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drawings/drawing3.xml" ContentType="application/vnd.openxmlformats-officedocument.drawingml.chartshapes+xml"/>
  <Override PartName="/word/charts/chart17.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theme/themeOverride14.xml" ContentType="application/vnd.openxmlformats-officedocument.themeOverride+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theme/themeOverride16.xml" ContentType="application/vnd.openxmlformats-officedocument.themeOverride+xml"/>
  <Override PartName="/word/charts/chart3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D8B3A" w14:textId="6C5FB346" w:rsidR="00877D86" w:rsidRPr="00887108" w:rsidRDefault="00877D86" w:rsidP="004176F4">
      <w:pPr>
        <w:jc w:val="center"/>
        <w:rPr>
          <w:rFonts w:cs="Arial Narrow"/>
          <w:color w:val="FFFFFF"/>
        </w:rPr>
      </w:pPr>
      <w:bookmarkStart w:id="0" w:name="_Toc251855762"/>
      <w:bookmarkStart w:id="1" w:name="_GoBack"/>
      <w:bookmarkEnd w:id="1"/>
    </w:p>
    <w:p w14:paraId="64C3301F" w14:textId="77777777" w:rsidR="00877D86" w:rsidRPr="00887108" w:rsidRDefault="00877D86" w:rsidP="004176F4">
      <w:pPr>
        <w:jc w:val="center"/>
        <w:rPr>
          <w:rFonts w:cs="Arial Narrow"/>
          <w:color w:val="FFFFFF"/>
        </w:rPr>
      </w:pPr>
    </w:p>
    <w:p w14:paraId="2F19FF5D" w14:textId="77777777" w:rsidR="00877D86" w:rsidRPr="00887108" w:rsidRDefault="00877D86" w:rsidP="004176F4">
      <w:pPr>
        <w:jc w:val="center"/>
        <w:rPr>
          <w:rFonts w:cs="Arial Narrow"/>
          <w:color w:val="FFFFFF"/>
        </w:rPr>
      </w:pPr>
    </w:p>
    <w:p w14:paraId="13664E0E" w14:textId="77777777" w:rsidR="00877D86" w:rsidRPr="00887108" w:rsidRDefault="00877D86" w:rsidP="004176F4">
      <w:pPr>
        <w:jc w:val="center"/>
        <w:rPr>
          <w:rFonts w:cs="Arial Narrow"/>
          <w:color w:val="FFFFFF"/>
        </w:rPr>
      </w:pPr>
    </w:p>
    <w:p w14:paraId="56CD3C90" w14:textId="66376013" w:rsidR="001247CF" w:rsidRPr="00887108" w:rsidRDefault="000F0786" w:rsidP="004176F4">
      <w:pPr>
        <w:jc w:val="center"/>
        <w:rPr>
          <w:rFonts w:cs="Arial Narrow"/>
          <w:color w:val="FFFFFF"/>
        </w:rPr>
      </w:pPr>
      <w:r w:rsidRPr="00887108">
        <w:drawing>
          <wp:anchor distT="0" distB="0" distL="114300" distR="114300" simplePos="0" relativeHeight="251656192" behindDoc="0" locked="0" layoutInCell="1" allowOverlap="1" wp14:anchorId="34B475D5" wp14:editId="0A193D88">
            <wp:simplePos x="0" y="0"/>
            <wp:positionH relativeFrom="column">
              <wp:align>center</wp:align>
            </wp:positionH>
            <wp:positionV relativeFrom="page">
              <wp:posOffset>1450340</wp:posOffset>
            </wp:positionV>
            <wp:extent cx="1360800" cy="1695600"/>
            <wp:effectExtent l="0" t="0" r="0" b="0"/>
            <wp:wrapNone/>
            <wp:docPr id="3" name="Obrázok 56" descr="Popis: štátny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6" descr="Popis: štátny zn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0800" cy="16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7CF" w:rsidRPr="00887108">
        <w:rPr>
          <w:rFonts w:cs="Arial Narrow"/>
          <w:color w:val="FFFFFF"/>
        </w:rPr>
        <w:t xml:space="preserve">;     </w:t>
      </w:r>
    </w:p>
    <w:p w14:paraId="1A99331C" w14:textId="77777777" w:rsidR="001247CF" w:rsidRPr="00887108" w:rsidRDefault="001247CF" w:rsidP="004176F4">
      <w:pPr>
        <w:jc w:val="center"/>
        <w:rPr>
          <w:rFonts w:cs="Arial Narrow"/>
          <w:b/>
          <w:bCs/>
          <w:sz w:val="32"/>
          <w:szCs w:val="32"/>
        </w:rPr>
      </w:pPr>
    </w:p>
    <w:p w14:paraId="024A8800" w14:textId="77777777" w:rsidR="001247CF" w:rsidRPr="00887108" w:rsidRDefault="001247CF" w:rsidP="004176F4">
      <w:pPr>
        <w:rPr>
          <w:rFonts w:cs="Arial Narrow"/>
        </w:rPr>
      </w:pPr>
    </w:p>
    <w:p w14:paraId="00501EC7" w14:textId="77777777" w:rsidR="001247CF" w:rsidRPr="00887108" w:rsidRDefault="001247CF" w:rsidP="004176F4">
      <w:pPr>
        <w:rPr>
          <w:rFonts w:cs="Arial Narrow"/>
        </w:rPr>
      </w:pPr>
    </w:p>
    <w:p w14:paraId="1CB9634E" w14:textId="77777777" w:rsidR="001247CF" w:rsidRPr="00887108" w:rsidRDefault="001247CF" w:rsidP="004176F4">
      <w:pPr>
        <w:rPr>
          <w:rFonts w:cs="Arial Narrow"/>
        </w:rPr>
      </w:pPr>
    </w:p>
    <w:p w14:paraId="0F237BDA" w14:textId="77777777" w:rsidR="001247CF" w:rsidRPr="00887108" w:rsidRDefault="001247CF" w:rsidP="004176F4">
      <w:pPr>
        <w:rPr>
          <w:rFonts w:cs="Arial Narrow"/>
        </w:rPr>
      </w:pPr>
    </w:p>
    <w:p w14:paraId="5F531F94" w14:textId="77777777" w:rsidR="001247CF" w:rsidRPr="00887108" w:rsidRDefault="001247CF" w:rsidP="004176F4">
      <w:pPr>
        <w:rPr>
          <w:rFonts w:cs="Arial Narrow"/>
        </w:rPr>
      </w:pPr>
    </w:p>
    <w:p w14:paraId="12EF5240" w14:textId="77777777" w:rsidR="001247CF" w:rsidRPr="00887108" w:rsidRDefault="001247CF" w:rsidP="004176F4">
      <w:pPr>
        <w:rPr>
          <w:rFonts w:cs="Arial Narrow"/>
        </w:rPr>
      </w:pPr>
    </w:p>
    <w:p w14:paraId="023320CB" w14:textId="77777777" w:rsidR="0028256A" w:rsidRPr="00887108" w:rsidRDefault="0028256A" w:rsidP="004176F4">
      <w:pPr>
        <w:rPr>
          <w:rFonts w:cs="Arial Narrow"/>
        </w:rPr>
      </w:pPr>
    </w:p>
    <w:p w14:paraId="7E7DC06B" w14:textId="77777777" w:rsidR="001247CF" w:rsidRPr="00887108" w:rsidRDefault="001247CF" w:rsidP="004176F4">
      <w:pPr>
        <w:rPr>
          <w:rFonts w:cs="Arial Narrow"/>
        </w:rPr>
      </w:pPr>
    </w:p>
    <w:p w14:paraId="394BBD50" w14:textId="77777777" w:rsidR="001247CF" w:rsidRPr="00887108" w:rsidRDefault="001247CF" w:rsidP="004176F4">
      <w:pPr>
        <w:jc w:val="center"/>
        <w:rPr>
          <w:rFonts w:cs="Arial Narrow"/>
        </w:rPr>
      </w:pPr>
    </w:p>
    <w:p w14:paraId="29AA7AF5" w14:textId="77777777" w:rsidR="001247CF" w:rsidRPr="00887108" w:rsidRDefault="001247CF" w:rsidP="004176F4">
      <w:pPr>
        <w:jc w:val="center"/>
        <w:rPr>
          <w:rFonts w:cs="Arial Narrow"/>
        </w:rPr>
      </w:pPr>
    </w:p>
    <w:p w14:paraId="0C3BDB21" w14:textId="77777777" w:rsidR="001247CF" w:rsidRPr="00887108" w:rsidRDefault="001247CF" w:rsidP="004176F4">
      <w:pPr>
        <w:jc w:val="center"/>
        <w:rPr>
          <w:rFonts w:cs="Arial Narrow"/>
        </w:rPr>
      </w:pPr>
    </w:p>
    <w:p w14:paraId="6F523775" w14:textId="77777777" w:rsidR="009E54EC" w:rsidRPr="00887108" w:rsidRDefault="009E54EC" w:rsidP="00877D86">
      <w:pPr>
        <w:spacing w:line="300" w:lineRule="auto"/>
        <w:jc w:val="center"/>
        <w:rPr>
          <w:rFonts w:cs="Arial Narrow"/>
          <w:b/>
          <w:bCs/>
          <w:sz w:val="56"/>
          <w:szCs w:val="56"/>
        </w:rPr>
      </w:pPr>
    </w:p>
    <w:p w14:paraId="402685BB" w14:textId="77777777" w:rsidR="001247CF" w:rsidRPr="00887108" w:rsidRDefault="001247CF" w:rsidP="00877D86">
      <w:pPr>
        <w:spacing w:line="300" w:lineRule="auto"/>
        <w:jc w:val="center"/>
        <w:rPr>
          <w:rFonts w:cs="Arial Narrow"/>
          <w:b/>
          <w:bCs/>
          <w:sz w:val="56"/>
          <w:szCs w:val="56"/>
        </w:rPr>
      </w:pPr>
      <w:r w:rsidRPr="00887108">
        <w:rPr>
          <w:rFonts w:cs="Arial Narrow"/>
          <w:b/>
          <w:bCs/>
          <w:sz w:val="56"/>
          <w:szCs w:val="56"/>
        </w:rPr>
        <w:t>P</w:t>
      </w:r>
      <w:r w:rsidR="0028256A" w:rsidRPr="00887108">
        <w:rPr>
          <w:rFonts w:cs="Arial Narrow"/>
          <w:b/>
          <w:bCs/>
          <w:sz w:val="56"/>
          <w:szCs w:val="56"/>
        </w:rPr>
        <w:t xml:space="preserve">rogram stability </w:t>
      </w:r>
      <w:r w:rsidRPr="00887108">
        <w:rPr>
          <w:rFonts w:cs="Arial Narrow"/>
          <w:b/>
          <w:bCs/>
          <w:sz w:val="56"/>
          <w:szCs w:val="56"/>
        </w:rPr>
        <w:t>S</w:t>
      </w:r>
      <w:r w:rsidR="0028256A" w:rsidRPr="00887108">
        <w:rPr>
          <w:rFonts w:cs="Arial Narrow"/>
          <w:b/>
          <w:bCs/>
          <w:sz w:val="56"/>
          <w:szCs w:val="56"/>
        </w:rPr>
        <w:t>lovenskej republiky</w:t>
      </w:r>
      <w:r w:rsidRPr="00887108">
        <w:rPr>
          <w:rFonts w:cs="Arial Narrow"/>
          <w:b/>
          <w:bCs/>
          <w:sz w:val="56"/>
          <w:szCs w:val="56"/>
        </w:rPr>
        <w:t xml:space="preserve"> </w:t>
      </w:r>
    </w:p>
    <w:p w14:paraId="20E52516" w14:textId="51CC804E" w:rsidR="001247CF" w:rsidRPr="00887108" w:rsidRDefault="0028256A" w:rsidP="00877D86">
      <w:pPr>
        <w:spacing w:line="300" w:lineRule="auto"/>
        <w:jc w:val="center"/>
        <w:rPr>
          <w:rFonts w:cs="Arial Narrow"/>
          <w:b/>
          <w:bCs/>
          <w:sz w:val="56"/>
          <w:szCs w:val="56"/>
        </w:rPr>
      </w:pPr>
      <w:r w:rsidRPr="00887108">
        <w:rPr>
          <w:rFonts w:cs="Arial Narrow"/>
          <w:b/>
          <w:bCs/>
          <w:sz w:val="56"/>
          <w:szCs w:val="56"/>
        </w:rPr>
        <w:t>na roky</w:t>
      </w:r>
      <w:r w:rsidR="001247CF" w:rsidRPr="00887108">
        <w:rPr>
          <w:rFonts w:cs="Arial Narrow"/>
          <w:b/>
          <w:bCs/>
          <w:sz w:val="56"/>
          <w:szCs w:val="56"/>
        </w:rPr>
        <w:t xml:space="preserve"> </w:t>
      </w:r>
      <w:r w:rsidR="00204588" w:rsidRPr="00887108">
        <w:rPr>
          <w:rFonts w:cs="Arial Narrow"/>
          <w:b/>
          <w:bCs/>
          <w:sz w:val="56"/>
          <w:szCs w:val="56"/>
        </w:rPr>
        <w:t>2020</w:t>
      </w:r>
      <w:r w:rsidR="001247CF" w:rsidRPr="00887108">
        <w:rPr>
          <w:rFonts w:cs="Arial Narrow"/>
          <w:b/>
          <w:bCs/>
          <w:sz w:val="56"/>
          <w:szCs w:val="56"/>
        </w:rPr>
        <w:t xml:space="preserve"> </w:t>
      </w:r>
      <w:r w:rsidRPr="00887108">
        <w:rPr>
          <w:rFonts w:cs="Arial Narrow"/>
          <w:b/>
          <w:bCs/>
          <w:sz w:val="56"/>
          <w:szCs w:val="56"/>
        </w:rPr>
        <w:t>až</w:t>
      </w:r>
      <w:r w:rsidR="001247CF" w:rsidRPr="00887108">
        <w:rPr>
          <w:rFonts w:cs="Arial Narrow"/>
          <w:b/>
          <w:bCs/>
          <w:sz w:val="56"/>
          <w:szCs w:val="56"/>
        </w:rPr>
        <w:t xml:space="preserve"> </w:t>
      </w:r>
      <w:r w:rsidR="00204588" w:rsidRPr="00887108">
        <w:rPr>
          <w:rFonts w:cs="Arial Narrow"/>
          <w:b/>
          <w:bCs/>
          <w:sz w:val="56"/>
          <w:szCs w:val="56"/>
        </w:rPr>
        <w:t>2023</w:t>
      </w:r>
    </w:p>
    <w:p w14:paraId="11CC81C8" w14:textId="77777777" w:rsidR="001247CF" w:rsidRPr="00887108" w:rsidRDefault="001247CF" w:rsidP="004176F4">
      <w:pPr>
        <w:jc w:val="center"/>
        <w:rPr>
          <w:rFonts w:cs="Arial Narrow"/>
          <w:b/>
          <w:bCs/>
          <w:sz w:val="52"/>
          <w:szCs w:val="52"/>
        </w:rPr>
      </w:pPr>
    </w:p>
    <w:p w14:paraId="6D9B7F64" w14:textId="77777777" w:rsidR="00877D86" w:rsidRPr="00887108" w:rsidRDefault="00D72DE6" w:rsidP="00D72DE6">
      <w:pPr>
        <w:tabs>
          <w:tab w:val="left" w:pos="6675"/>
        </w:tabs>
        <w:rPr>
          <w:rFonts w:cs="Arial Narrow"/>
          <w:b/>
          <w:bCs/>
          <w:sz w:val="52"/>
          <w:szCs w:val="52"/>
        </w:rPr>
      </w:pPr>
      <w:r w:rsidRPr="00887108">
        <w:rPr>
          <w:rFonts w:cs="Arial Narrow"/>
          <w:b/>
          <w:bCs/>
          <w:sz w:val="52"/>
          <w:szCs w:val="52"/>
        </w:rPr>
        <w:tab/>
      </w:r>
    </w:p>
    <w:p w14:paraId="0172FFD7" w14:textId="77777777" w:rsidR="001247CF" w:rsidRPr="00887108" w:rsidRDefault="001247CF" w:rsidP="000F0786">
      <w:pPr>
        <w:jc w:val="center"/>
        <w:rPr>
          <w:rFonts w:cs="Arial Narrow"/>
          <w:b/>
          <w:bCs/>
          <w:sz w:val="52"/>
          <w:szCs w:val="52"/>
        </w:rPr>
      </w:pPr>
    </w:p>
    <w:p w14:paraId="33CD8CC9" w14:textId="77777777" w:rsidR="001247CF" w:rsidRPr="00887108" w:rsidRDefault="001247CF" w:rsidP="000F0786">
      <w:pPr>
        <w:jc w:val="center"/>
        <w:rPr>
          <w:rFonts w:cs="Arial Narrow"/>
          <w:b/>
          <w:bCs/>
          <w:sz w:val="52"/>
          <w:szCs w:val="52"/>
        </w:rPr>
      </w:pPr>
    </w:p>
    <w:p w14:paraId="6F9EBEE7" w14:textId="77777777" w:rsidR="001247CF" w:rsidRPr="00887108" w:rsidRDefault="001247CF" w:rsidP="000F0786">
      <w:pPr>
        <w:jc w:val="center"/>
        <w:rPr>
          <w:rFonts w:cs="Arial Narrow"/>
          <w:b/>
          <w:bCs/>
          <w:sz w:val="52"/>
          <w:szCs w:val="52"/>
        </w:rPr>
      </w:pPr>
    </w:p>
    <w:p w14:paraId="380E9EFD" w14:textId="77777777" w:rsidR="001247CF" w:rsidRPr="00887108" w:rsidRDefault="001247CF" w:rsidP="000F0786">
      <w:pPr>
        <w:jc w:val="center"/>
        <w:rPr>
          <w:rFonts w:cs="Arial Narrow"/>
          <w:b/>
          <w:bCs/>
          <w:sz w:val="52"/>
          <w:szCs w:val="52"/>
        </w:rPr>
      </w:pPr>
    </w:p>
    <w:p w14:paraId="23F623E8" w14:textId="77777777" w:rsidR="001247CF" w:rsidRPr="00887108" w:rsidRDefault="001247CF" w:rsidP="000F0786">
      <w:pPr>
        <w:jc w:val="center"/>
        <w:rPr>
          <w:rFonts w:cs="Arial Narrow"/>
          <w:b/>
          <w:bCs/>
          <w:sz w:val="52"/>
          <w:szCs w:val="52"/>
        </w:rPr>
      </w:pPr>
    </w:p>
    <w:p w14:paraId="34CC4683" w14:textId="77777777" w:rsidR="000F0786" w:rsidRPr="00887108" w:rsidRDefault="000F0786" w:rsidP="000F0786">
      <w:pPr>
        <w:jc w:val="center"/>
        <w:rPr>
          <w:rFonts w:cs="Arial Narrow"/>
          <w:b/>
          <w:bCs/>
          <w:sz w:val="52"/>
          <w:szCs w:val="52"/>
        </w:rPr>
      </w:pPr>
    </w:p>
    <w:p w14:paraId="1BB9D128" w14:textId="77777777" w:rsidR="000F0786" w:rsidRPr="00887108" w:rsidRDefault="000F0786" w:rsidP="000F0786">
      <w:pPr>
        <w:tabs>
          <w:tab w:val="left" w:pos="3665"/>
        </w:tabs>
        <w:jc w:val="center"/>
        <w:rPr>
          <w:rFonts w:cs="Arial Narrow"/>
          <w:b/>
          <w:bCs/>
          <w:sz w:val="52"/>
          <w:szCs w:val="52"/>
        </w:rPr>
      </w:pPr>
    </w:p>
    <w:p w14:paraId="42999C89" w14:textId="77777777" w:rsidR="000F0786" w:rsidRPr="00887108" w:rsidRDefault="000F0786" w:rsidP="004176F4">
      <w:pPr>
        <w:jc w:val="center"/>
        <w:rPr>
          <w:rFonts w:cs="Arial Narrow"/>
          <w:b/>
          <w:bCs/>
          <w:sz w:val="52"/>
          <w:szCs w:val="52"/>
        </w:rPr>
      </w:pPr>
    </w:p>
    <w:p w14:paraId="1A1705AB" w14:textId="0D475950" w:rsidR="001247CF" w:rsidRPr="00887108" w:rsidRDefault="001247CF" w:rsidP="004176F4">
      <w:pPr>
        <w:jc w:val="center"/>
        <w:rPr>
          <w:rFonts w:cs="Arial Narrow"/>
          <w:b/>
          <w:bCs/>
          <w:sz w:val="52"/>
          <w:szCs w:val="52"/>
        </w:rPr>
      </w:pPr>
    </w:p>
    <w:p w14:paraId="0041390E" w14:textId="77777777" w:rsidR="000F0786" w:rsidRPr="00887108" w:rsidRDefault="000F0786">
      <w:bookmarkStart w:id="2" w:name="_Toc290035084"/>
      <w:bookmarkStart w:id="3" w:name="_Toc291580546"/>
      <w:bookmarkStart w:id="4" w:name="_Toc321211634"/>
      <w:bookmarkStart w:id="5" w:name="_Toc322707605"/>
      <w:bookmarkStart w:id="6" w:name="_Toc322708229"/>
      <w:bookmarkStart w:id="7" w:name="_Toc323117539"/>
      <w:bookmarkStart w:id="8" w:name="_Toc353804669"/>
      <w:bookmarkStart w:id="9" w:name="_Toc354477124"/>
      <w:bookmarkStart w:id="10" w:name="_Toc385764143"/>
      <w:bookmarkStart w:id="11" w:name="_Toc385951396"/>
      <w:bookmarkStart w:id="12" w:name="_Toc181078186"/>
      <w:bookmarkStart w:id="13" w:name="_Toc251855752"/>
    </w:p>
    <w:p w14:paraId="61368FF2" w14:textId="1AAA16A8" w:rsidR="000F0786" w:rsidRPr="00887108" w:rsidRDefault="000F0786">
      <w:pPr>
        <w:rPr>
          <w:b/>
          <w:bCs/>
          <w:sz w:val="28"/>
        </w:rPr>
      </w:pPr>
      <w:r w:rsidRPr="00887108">
        <w:rPr>
          <w:b/>
        </w:rPr>
        <mc:AlternateContent>
          <mc:Choice Requires="wps">
            <w:drawing>
              <wp:anchor distT="0" distB="0" distL="114300" distR="114300" simplePos="0" relativeHeight="251660288" behindDoc="1" locked="0" layoutInCell="0" allowOverlap="1" wp14:anchorId="055A3305" wp14:editId="0A33DD9D">
                <wp:simplePos x="0" y="0"/>
                <wp:positionH relativeFrom="page">
                  <wp:posOffset>3239069</wp:posOffset>
                </wp:positionH>
                <wp:positionV relativeFrom="page">
                  <wp:posOffset>9372311</wp:posOffset>
                </wp:positionV>
                <wp:extent cx="59055" cy="294640"/>
                <wp:effectExtent l="0" t="0" r="0" b="0"/>
                <wp:wrapNone/>
                <wp:docPr id="1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294640"/>
                        </a:xfrm>
                        <a:prstGeom prst="rect">
                          <a:avLst/>
                        </a:prstGeom>
                        <a:solidFill>
                          <a:srgbClr val="37A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849737" id="Rectangle 2" o:spid="_x0000_s1026" style="position:absolute;margin-left:255.05pt;margin-top:738pt;width:4.65pt;height:2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" o:allowincell="f" fillcolor="#37abe1" stroked="f">
                <v:path arrowok="t"/>
                <w10:wrap anchorx="page" anchory="page"/>
              </v:rect>
            </w:pict>
          </mc:Fallback>
        </mc:AlternateContent>
      </w:r>
      <w:r w:rsidRPr="00887108">
        <w:rPr>
          <w:b/>
          <w:sz w:val="20"/>
          <w:szCs w:val="20"/>
        </w:rPr>
        <mc:AlternateContent>
          <mc:Choice Requires="wps">
            <w:drawing>
              <wp:anchor distT="0" distB="0" distL="114300" distR="114300" simplePos="0" relativeHeight="251662336" behindDoc="0" locked="1" layoutInCell="1" allowOverlap="1" wp14:anchorId="491B032C" wp14:editId="2C55939D">
                <wp:simplePos x="0" y="0"/>
                <wp:positionH relativeFrom="column">
                  <wp:posOffset>2433955</wp:posOffset>
                </wp:positionH>
                <wp:positionV relativeFrom="page">
                  <wp:posOffset>9371965</wp:posOffset>
                </wp:positionV>
                <wp:extent cx="1268730" cy="483870"/>
                <wp:effectExtent l="0" t="0" r="762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83870"/>
                        </a:xfrm>
                        <a:prstGeom prst="rect">
                          <a:avLst/>
                        </a:prstGeom>
                        <a:solidFill>
                          <a:srgbClr val="FFFFFF"/>
                        </a:solidFill>
                        <a:ln w="9525">
                          <a:noFill/>
                          <a:miter lim="800000"/>
                          <a:headEnd/>
                          <a:tailEnd/>
                        </a:ln>
                      </wps:spPr>
                      <wps:txbx>
                        <w:txbxContent>
                          <w:p w14:paraId="341B2F4F" w14:textId="14AF0D9E" w:rsidR="00003F14" w:rsidRPr="001E0231" w:rsidRDefault="00003F14" w:rsidP="000F0786">
                            <w:pPr>
                              <w:rPr>
                                <w:rFonts w:cstheme="minorHAnsi"/>
                                <w:sz w:val="32"/>
                              </w:rPr>
                            </w:pPr>
                            <w:r>
                              <w:rPr>
                                <w:rFonts w:cstheme="minorHAnsi"/>
                                <w:sz w:val="32"/>
                              </w:rPr>
                              <w:t>máj</w:t>
                            </w:r>
                            <w:r w:rsidRPr="001E0231">
                              <w:rPr>
                                <w:rFonts w:cstheme="minorHAnsi"/>
                                <w:sz w:val="32"/>
                              </w:rPr>
                              <w:t xml:space="preserve"> </w:t>
                            </w:r>
                            <w:r>
                              <w:rPr>
                                <w:rFonts w:cstheme="minorHAnsi"/>
                                <w:sz w:val="32"/>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B032C" id="_x0000_t202" coordsize="21600,21600" o:spt="202" path="m,l,21600r21600,l21600,xe">
                <v:stroke joinstyle="miter"/>
                <v:path gradientshapeok="t" o:connecttype="rect"/>
              </v:shapetype>
              <v:shape id="Text Box 2" o:spid="_x0000_s1026" type="#_x0000_t202" style="position:absolute;margin-left:191.65pt;margin-top:737.95pt;width:99.9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" stroked="f">
                <v:textbox>
                  <w:txbxContent>
                    <w:p w14:paraId="341B2F4F" w14:textId="14AF0D9E" w:rsidR="00003F14" w:rsidRPr="001E0231" w:rsidRDefault="00003F14" w:rsidP="000F0786">
                      <w:pPr>
                        <w:rPr>
                          <w:rFonts w:cstheme="minorHAnsi"/>
                          <w:sz w:val="32"/>
                        </w:rPr>
                      </w:pPr>
                      <w:r>
                        <w:rPr>
                          <w:rFonts w:cstheme="minorHAnsi"/>
                          <w:sz w:val="32"/>
                        </w:rPr>
                        <w:t>máj</w:t>
                      </w:r>
                      <w:r w:rsidRPr="001E0231">
                        <w:rPr>
                          <w:rFonts w:cstheme="minorHAnsi"/>
                          <w:sz w:val="32"/>
                        </w:rPr>
                        <w:t xml:space="preserve"> </w:t>
                      </w:r>
                      <w:r>
                        <w:rPr>
                          <w:rFonts w:cstheme="minorHAnsi"/>
                          <w:sz w:val="32"/>
                        </w:rPr>
                        <w:t>2020</w:t>
                      </w:r>
                    </w:p>
                  </w:txbxContent>
                </v:textbox>
                <w10:wrap anchory="page"/>
                <w10:anchorlock/>
              </v:shape>
            </w:pict>
          </mc:Fallback>
        </mc:AlternateContent>
      </w:r>
      <w:r w:rsidRPr="00887108">
        <w:br w:type="page"/>
      </w:r>
    </w:p>
    <w:p w14:paraId="4F78096E" w14:textId="77777777" w:rsidR="007318AE" w:rsidRPr="00887108" w:rsidRDefault="007318AE" w:rsidP="007318AE">
      <w:pPr>
        <w:pStyle w:val="Zoznamobrzkov"/>
        <w:tabs>
          <w:tab w:val="right" w:leader="dot" w:pos="9060"/>
        </w:tabs>
        <w:spacing w:line="360" w:lineRule="auto"/>
        <w:rPr>
          <w:b/>
          <w:color w:val="2C9ADC" w:themeColor="accent1"/>
          <w:sz w:val="28"/>
          <w:szCs w:val="28"/>
        </w:rPr>
      </w:pPr>
      <w:bookmarkStart w:id="14" w:name="_Toc385764144"/>
      <w:bookmarkStart w:id="15" w:name="_Toc449429090"/>
      <w:bookmarkStart w:id="16" w:name="_Toc480443980"/>
      <w:bookmarkStart w:id="17" w:name="_Toc480444317"/>
      <w:bookmarkStart w:id="18" w:name="_Toc480444485"/>
      <w:bookmarkStart w:id="19" w:name="_Toc449429093"/>
      <w:bookmarkStart w:id="20" w:name="_Toc480443981"/>
      <w:bookmarkStart w:id="21" w:name="_Toc480444318"/>
      <w:bookmarkStart w:id="22" w:name="_Toc480444486"/>
      <w:bookmarkStart w:id="23" w:name="_Toc416943996"/>
      <w:r w:rsidRPr="00887108">
        <w:rPr>
          <w:b/>
          <w:color w:val="2C9ADC" w:themeColor="accent1"/>
          <w:sz w:val="28"/>
          <w:szCs w:val="28"/>
        </w:rPr>
        <w:lastRenderedPageBreak/>
        <w:t>ZHRNUTIE</w:t>
      </w:r>
      <w:bookmarkEnd w:id="14"/>
      <w:bookmarkEnd w:id="15"/>
      <w:bookmarkEnd w:id="16"/>
      <w:bookmarkEnd w:id="17"/>
      <w:bookmarkEnd w:id="18"/>
    </w:p>
    <w:p w14:paraId="7C9B4288" w14:textId="7EE3AD2A" w:rsidR="001E5A36" w:rsidRPr="00887108" w:rsidRDefault="001E5A36" w:rsidP="007318AE">
      <w:pPr>
        <w:spacing w:after="240"/>
        <w:jc w:val="both"/>
      </w:pPr>
      <w:r w:rsidRPr="00887108">
        <w:rPr>
          <w:b/>
        </w:rPr>
        <w:t>Globálna pandémi</w:t>
      </w:r>
      <w:r w:rsidR="00EF1D85" w:rsidRPr="00887108">
        <w:rPr>
          <w:b/>
        </w:rPr>
        <w:t>a koronavírusu priniesla výrazn</w:t>
      </w:r>
      <w:r w:rsidR="00887108" w:rsidRPr="00887108">
        <w:rPr>
          <w:b/>
        </w:rPr>
        <w:t>e</w:t>
      </w:r>
      <w:r w:rsidRPr="00887108">
        <w:rPr>
          <w:b/>
        </w:rPr>
        <w:t xml:space="preserve"> nepriaznivé spoločenské a ekonomické dopady aj na </w:t>
      </w:r>
      <w:r w:rsidR="00960B30" w:rsidRPr="00887108">
        <w:rPr>
          <w:b/>
        </w:rPr>
        <w:t>Slovensko</w:t>
      </w:r>
      <w:r w:rsidRPr="00887108">
        <w:rPr>
          <w:b/>
        </w:rPr>
        <w:t xml:space="preserve">. </w:t>
      </w:r>
      <w:r w:rsidR="00492445" w:rsidRPr="00887108">
        <w:t>Včasná r</w:t>
      </w:r>
      <w:r w:rsidRPr="00887108">
        <w:t>eakcia Slovenska v oblasti verejného zdravia</w:t>
      </w:r>
      <w:r w:rsidR="00492445" w:rsidRPr="00887108">
        <w:t xml:space="preserve"> a disciplinovanosť verejnosti pomohli doteraz minimalizovať dôsledky pandémie na zdravie a životy občanov. Následne sa </w:t>
      </w:r>
      <w:r w:rsidR="00526987" w:rsidRPr="00887108">
        <w:t xml:space="preserve">prvé </w:t>
      </w:r>
      <w:r w:rsidR="00492445" w:rsidRPr="00887108">
        <w:t>ekonomické opatrenia zameriava</w:t>
      </w:r>
      <w:r w:rsidR="00526987" w:rsidRPr="00887108">
        <w:t>jú</w:t>
      </w:r>
      <w:r w:rsidR="00492445" w:rsidRPr="00887108">
        <w:t xml:space="preserve"> </w:t>
      </w:r>
      <w:r w:rsidR="00526987" w:rsidRPr="00887108">
        <w:t>na zmiernenie ekonomických dopadov pandémie na občanov aj podni</w:t>
      </w:r>
      <w:r w:rsidR="00117A5B" w:rsidRPr="00887108">
        <w:t>ky</w:t>
      </w:r>
      <w:r w:rsidR="00526987" w:rsidRPr="00887108">
        <w:t>. Po stabilizačnej fáze sa opatrenia zamerajú na obnovenie ekonomického rastu. Opatrenia pôjdu ruka v ruke s posilnením udržateľnosti verejných financií, v krátkodobom aj dlhodobom horizonte, pretože tá je základom pre ekonomickú stabilitu, udržateľný ekonomický rast a rozvoj.</w:t>
      </w:r>
    </w:p>
    <w:p w14:paraId="4B0E963B" w14:textId="33BA7CA0" w:rsidR="007318AE" w:rsidRPr="00887108" w:rsidRDefault="00BB16D9" w:rsidP="007318AE">
      <w:pPr>
        <w:spacing w:after="240"/>
        <w:jc w:val="both"/>
      </w:pPr>
      <w:r w:rsidRPr="00887108">
        <w:rPr>
          <w:b/>
        </w:rPr>
        <w:t>Slovenská e</w:t>
      </w:r>
      <w:r w:rsidR="00185C41" w:rsidRPr="00887108">
        <w:rPr>
          <w:b/>
        </w:rPr>
        <w:t xml:space="preserve">konomika </w:t>
      </w:r>
      <w:r w:rsidRPr="00887108">
        <w:rPr>
          <w:b/>
        </w:rPr>
        <w:t xml:space="preserve">zaznamená v tomto roku najvýraznejší pokles vo svojej histórii. </w:t>
      </w:r>
      <w:r w:rsidRPr="00887108">
        <w:t>HDP Slovenska v tomto roku klesne o 7,2</w:t>
      </w:r>
      <w:r w:rsidR="00615751" w:rsidRPr="00887108">
        <w:t> </w:t>
      </w:r>
      <w:r w:rsidRPr="00887108">
        <w:t xml:space="preserve">% s najvýraznejším negatívnym dopadom v 2. štvrťroku kvôli výpadku zahraničného dopytu aj opatreniam na dodržiavanie spoločenského odstupu. </w:t>
      </w:r>
      <w:r w:rsidR="00A14DCB" w:rsidRPr="00887108">
        <w:t xml:space="preserve">Veľký prepad ekonomiky spôsobí, že aj pri vládnej pomoci na udržanie zamestnanosti ubudne </w:t>
      </w:r>
      <w:r w:rsidR="00960B30" w:rsidRPr="00887108">
        <w:t xml:space="preserve">88 </w:t>
      </w:r>
      <w:r w:rsidR="00A14DCB" w:rsidRPr="00887108">
        <w:t xml:space="preserve">tisíc pracovných miest a nezamestnanosť stúpne na takmer 9 %. Pri rýchlom a prudkom nástupe ekonomických dopadov pandémie ostáva naďalej veľká neistota </w:t>
      </w:r>
      <w:r w:rsidR="007318AE" w:rsidRPr="00887108">
        <w:t>ohľadom ďalšieho vývoja</w:t>
      </w:r>
      <w:r w:rsidR="00A14DCB" w:rsidRPr="00887108">
        <w:t>.</w:t>
      </w:r>
      <w:r w:rsidR="007318AE" w:rsidRPr="00887108">
        <w:t xml:space="preserve"> Predĺženie pandémie alebo jej opakovaný návrat v druhej polovici roka by recesiu výrazne prehĺbili.</w:t>
      </w:r>
    </w:p>
    <w:p w14:paraId="45C13580" w14:textId="78C2A7C8" w:rsidR="007318AE" w:rsidRPr="00887108" w:rsidRDefault="00605ADC" w:rsidP="0092512E">
      <w:pPr>
        <w:spacing w:after="240"/>
        <w:jc w:val="both"/>
      </w:pPr>
      <w:r w:rsidRPr="00887108">
        <w:rPr>
          <w:b/>
        </w:rPr>
        <w:t xml:space="preserve">Pandémia znásobí riziká vo verejných financiách. </w:t>
      </w:r>
      <w:r w:rsidR="00E34368" w:rsidRPr="00887108">
        <w:t>Deficit v h</w:t>
      </w:r>
      <w:r w:rsidR="007318AE" w:rsidRPr="00887108">
        <w:t>ospodáren</w:t>
      </w:r>
      <w:r w:rsidR="00E34368" w:rsidRPr="00887108">
        <w:t>í</w:t>
      </w:r>
      <w:r w:rsidR="007318AE" w:rsidRPr="00887108">
        <w:t xml:space="preserve"> verejnej správy v roku 2019 </w:t>
      </w:r>
      <w:r w:rsidR="00E34368" w:rsidRPr="00887108">
        <w:t xml:space="preserve">dosiahol 1,3 % HDP, výrazne nad </w:t>
      </w:r>
      <w:r w:rsidR="007318AE" w:rsidRPr="00887108">
        <w:t>cieľ</w:t>
      </w:r>
      <w:r w:rsidR="00E34368" w:rsidRPr="00887108">
        <w:t>om</w:t>
      </w:r>
      <w:r w:rsidR="007318AE" w:rsidRPr="00887108">
        <w:t xml:space="preserve"> vyrovnaného rozpočtu, </w:t>
      </w:r>
      <w:r w:rsidR="00E34368" w:rsidRPr="00887108">
        <w:t xml:space="preserve">a opatrenia v daňovej a sociálnej oblasti ešte zvýšili rozpočtové riziká pre rok 2020. Spolu s výrazným výpadkom daňovo-odvodových príjmov a fiškálnymi nákladmi opatrení na stabilizáciu ekonomiky tak </w:t>
      </w:r>
      <w:r w:rsidR="00B41EF5" w:rsidRPr="00887108">
        <w:t>deficit v tomto roku môže dosiahnuť 8,4 % HDP a hrubý verejný dlh môže prekonať hranicu 60 % HDP. Navyše</w:t>
      </w:r>
      <w:r w:rsidR="00117BE9">
        <w:t>,</w:t>
      </w:r>
      <w:r w:rsidR="00B41EF5" w:rsidRPr="00887108">
        <w:t xml:space="preserve"> zmeny v dôchodkovom systéme prijaté v minulom a tomto roku výrazne negatívne ovplyvnili udržateľnosť verejných financií v nasledujúcich dekádach s ohľadom na starnutie slovenského obyvateľstva.</w:t>
      </w:r>
      <w:r w:rsidR="006D397D" w:rsidRPr="00887108">
        <w:t xml:space="preserve"> V ich dôsledku narastie deficit dôchodkového systému do roku 2070 na viac než 7 % HDP.</w:t>
      </w:r>
      <w:r w:rsidR="00E63D33" w:rsidRPr="00887108">
        <w:t xml:space="preserve"> Ukazovatele strednodobej aj dlhodobej udržateľnosti S1 a S2 signalizujú vysoké riziko pre vývoj slovenských verejných financií. </w:t>
      </w:r>
      <w:r w:rsidR="00387D63" w:rsidRPr="00887108">
        <w:t xml:space="preserve">Na zníženie vysokého rizika </w:t>
      </w:r>
      <w:r w:rsidR="00117A5B" w:rsidRPr="00887108">
        <w:t xml:space="preserve">dlhodobej udržateľnosti verejných financií </w:t>
      </w:r>
      <w:r w:rsidR="00387D63" w:rsidRPr="00887108">
        <w:t>bude potrebná kombinácia postupn</w:t>
      </w:r>
      <w:r w:rsidR="00117A5B" w:rsidRPr="00887108">
        <w:t xml:space="preserve">ého znižovania deficitu </w:t>
      </w:r>
      <w:r w:rsidR="00387D63" w:rsidRPr="00887108">
        <w:t>a dôchodkovej reformy.</w:t>
      </w:r>
    </w:p>
    <w:p w14:paraId="202E4D3D" w14:textId="40D724D5" w:rsidR="007318AE" w:rsidRPr="00887108" w:rsidRDefault="003D1D3D" w:rsidP="007318AE">
      <w:pPr>
        <w:spacing w:after="240"/>
        <w:jc w:val="both"/>
        <w:rPr>
          <w:b/>
        </w:rPr>
      </w:pPr>
      <w:r w:rsidRPr="00887108">
        <w:rPr>
          <w:b/>
        </w:rPr>
        <w:t xml:space="preserve">Fiškálna politika bude rešpektovať európske aj národné rozpočtové pravidlá s cieľom stabilizácie verejného dlhu v pomere k HDP. </w:t>
      </w:r>
      <w:r w:rsidR="00345145" w:rsidRPr="00887108">
        <w:t xml:space="preserve">Na základe aktuálnej prognózy </w:t>
      </w:r>
      <w:r w:rsidRPr="00887108">
        <w:t xml:space="preserve">ostane deficit verejných financií </w:t>
      </w:r>
      <w:r w:rsidR="00345145" w:rsidRPr="00887108">
        <w:t>bez opatrení</w:t>
      </w:r>
      <w:r w:rsidR="00345145" w:rsidRPr="00887108">
        <w:rPr>
          <w:b/>
        </w:rPr>
        <w:t xml:space="preserve"> </w:t>
      </w:r>
      <w:r w:rsidRPr="00887108">
        <w:t>v rokoch 2021-2023 približne na úrovni 6 % HDP a</w:t>
      </w:r>
      <w:r w:rsidR="0068020B" w:rsidRPr="00887108">
        <w:t xml:space="preserve"> hrubý dlh by ďalej rástol nad </w:t>
      </w:r>
      <w:r w:rsidR="004D275E" w:rsidRPr="00887108">
        <w:t xml:space="preserve">66 </w:t>
      </w:r>
      <w:r w:rsidR="0068020B" w:rsidRPr="00887108">
        <w:t xml:space="preserve">% HDP. </w:t>
      </w:r>
      <w:r w:rsidR="00345145" w:rsidRPr="00887108">
        <w:t>N</w:t>
      </w:r>
      <w:r w:rsidR="00C70939" w:rsidRPr="00887108">
        <w:t>a d</w:t>
      </w:r>
      <w:r w:rsidR="0068020B" w:rsidRPr="00887108">
        <w:t>održanie európskych fiškálnych</w:t>
      </w:r>
      <w:r w:rsidR="00FB626E" w:rsidRPr="00887108">
        <w:t xml:space="preserve"> pravidiel</w:t>
      </w:r>
      <w:r w:rsidR="0068020B" w:rsidRPr="00887108">
        <w:t xml:space="preserve"> </w:t>
      </w:r>
      <w:r w:rsidR="008B707C" w:rsidRPr="00887108">
        <w:t xml:space="preserve">je </w:t>
      </w:r>
      <w:r w:rsidR="00C70939" w:rsidRPr="00887108">
        <w:t>potrebné</w:t>
      </w:r>
      <w:r w:rsidR="0068020B" w:rsidRPr="00887108">
        <w:t xml:space="preserve"> zníženi</w:t>
      </w:r>
      <w:r w:rsidR="00C70939" w:rsidRPr="00887108">
        <w:t>e</w:t>
      </w:r>
      <w:r w:rsidR="0068020B" w:rsidRPr="00887108">
        <w:t xml:space="preserve"> deficitu na </w:t>
      </w:r>
      <w:r w:rsidR="00C70939" w:rsidRPr="00887108">
        <w:t>4,9</w:t>
      </w:r>
      <w:r w:rsidR="00072ADC" w:rsidRPr="00887108">
        <w:t xml:space="preserve"> </w:t>
      </w:r>
      <w:r w:rsidR="00C70939" w:rsidRPr="00887108">
        <w:t>% HDP v 2021, 3,7</w:t>
      </w:r>
      <w:r w:rsidR="00072ADC" w:rsidRPr="00887108">
        <w:t xml:space="preserve"> </w:t>
      </w:r>
      <w:r w:rsidR="00C70939" w:rsidRPr="00887108">
        <w:t xml:space="preserve">% v 2022 a </w:t>
      </w:r>
      <w:r w:rsidR="0068020B" w:rsidRPr="00887108">
        <w:t xml:space="preserve">2,9 % </w:t>
      </w:r>
      <w:r w:rsidR="00C70939" w:rsidRPr="00887108">
        <w:t>v</w:t>
      </w:r>
      <w:r w:rsidR="0068020B" w:rsidRPr="00887108">
        <w:t xml:space="preserve"> roku 2023</w:t>
      </w:r>
      <w:r w:rsidR="00C70939" w:rsidRPr="00887108">
        <w:t xml:space="preserve">, čo by </w:t>
      </w:r>
      <w:r w:rsidR="00CE22C2" w:rsidRPr="00887108">
        <w:t xml:space="preserve">zároveň </w:t>
      </w:r>
      <w:r w:rsidR="00C70939" w:rsidRPr="00887108">
        <w:t>viedlo</w:t>
      </w:r>
      <w:r w:rsidR="0068020B" w:rsidRPr="00887108">
        <w:t xml:space="preserve"> k</w:t>
      </w:r>
      <w:r w:rsidR="00345145" w:rsidRPr="00887108">
        <w:t> </w:t>
      </w:r>
      <w:r w:rsidR="0068020B" w:rsidRPr="00887108">
        <w:t>stabilizácii</w:t>
      </w:r>
      <w:r w:rsidR="00345145" w:rsidRPr="00887108">
        <w:t xml:space="preserve"> </w:t>
      </w:r>
      <w:r w:rsidR="00C70939" w:rsidRPr="00887108">
        <w:t xml:space="preserve">hrubého </w:t>
      </w:r>
      <w:r w:rsidR="0068020B" w:rsidRPr="00887108">
        <w:t>dlhu blízko úrovne 60 % HDP.</w:t>
      </w:r>
      <w:r w:rsidR="00544AE4" w:rsidRPr="00887108">
        <w:t xml:space="preserve"> </w:t>
      </w:r>
      <w:r w:rsidR="00387D63" w:rsidRPr="00887108">
        <w:t xml:space="preserve">Na dosiahnutie </w:t>
      </w:r>
      <w:r w:rsidR="0068020B" w:rsidRPr="00887108">
        <w:t xml:space="preserve">takto definovaných </w:t>
      </w:r>
      <w:r w:rsidR="00387D63" w:rsidRPr="00887108">
        <w:t>strednodobých cieľov v </w:t>
      </w:r>
      <w:r w:rsidR="00BA46EB" w:rsidRPr="00887108">
        <w:t>ďalších</w:t>
      </w:r>
      <w:r w:rsidR="00387D63" w:rsidRPr="00887108">
        <w:t xml:space="preserve"> rokoch </w:t>
      </w:r>
      <w:r w:rsidR="0068020B" w:rsidRPr="00887108">
        <w:t xml:space="preserve">by bolo </w:t>
      </w:r>
      <w:r w:rsidR="00387D63" w:rsidRPr="00887108">
        <w:t xml:space="preserve">potrebné prijať </w:t>
      </w:r>
      <w:r w:rsidR="00960B30" w:rsidRPr="00887108">
        <w:t xml:space="preserve">oproti scenáru nezmenených politík </w:t>
      </w:r>
      <w:r w:rsidR="00387D63" w:rsidRPr="00887108">
        <w:t xml:space="preserve">konsolidačné opatrenia vo výške 1,1 miliardy v roku 2021 až 3,4 miliardy v roku 2023. </w:t>
      </w:r>
      <w:r w:rsidR="00345145" w:rsidRPr="00887108">
        <w:t xml:space="preserve">Vzhľadom na výraznú neistotu ohľadom budúceho ekonomického </w:t>
      </w:r>
      <w:r w:rsidR="008B707C" w:rsidRPr="00887108">
        <w:t xml:space="preserve">vývoja </w:t>
      </w:r>
      <w:r w:rsidR="00345145" w:rsidRPr="00887108">
        <w:t xml:space="preserve">budú </w:t>
      </w:r>
      <w:r w:rsidR="006E529B" w:rsidRPr="00887108">
        <w:t xml:space="preserve">fiškálne </w:t>
      </w:r>
      <w:r w:rsidR="00345145" w:rsidRPr="00887108">
        <w:t xml:space="preserve">ciele </w:t>
      </w:r>
      <w:r w:rsidR="006E529B" w:rsidRPr="00887108">
        <w:t xml:space="preserve">aj potreba opatrení na ich dosiahnutie </w:t>
      </w:r>
      <w:r w:rsidR="005A3FE8" w:rsidRPr="00887108">
        <w:t xml:space="preserve">v prípade </w:t>
      </w:r>
      <w:r w:rsidR="006E529B" w:rsidRPr="00887108">
        <w:t>zmien</w:t>
      </w:r>
      <w:r w:rsidR="005A3FE8" w:rsidRPr="00887108">
        <w:t xml:space="preserve"> aktualizované</w:t>
      </w:r>
      <w:r w:rsidR="008B707C" w:rsidRPr="00887108">
        <w:t xml:space="preserve">. </w:t>
      </w:r>
      <w:r w:rsidR="00EF7822" w:rsidRPr="00887108">
        <w:t>Preferované budú opatrenia zvyšujúce efektívnosť verejných financií</w:t>
      </w:r>
      <w:r w:rsidR="00EF7822" w:rsidRPr="00887108">
        <w:rPr>
          <w:i/>
        </w:rPr>
        <w:t>.</w:t>
      </w:r>
      <w:r w:rsidR="00345145" w:rsidRPr="00887108">
        <w:t xml:space="preserve"> </w:t>
      </w:r>
    </w:p>
    <w:tbl>
      <w:tblPr>
        <w:tblW w:w="9070" w:type="dxa"/>
        <w:tblCellMar>
          <w:left w:w="70" w:type="dxa"/>
          <w:right w:w="70" w:type="dxa"/>
        </w:tblCellMar>
        <w:tblLook w:val="0000" w:firstRow="0" w:lastRow="0" w:firstColumn="0" w:lastColumn="0" w:noHBand="0" w:noVBand="0"/>
      </w:tblPr>
      <w:tblGrid>
        <w:gridCol w:w="4344"/>
        <w:gridCol w:w="146"/>
        <w:gridCol w:w="4580"/>
      </w:tblGrid>
      <w:tr w:rsidR="007318AE" w:rsidRPr="00887108" w14:paraId="5CABEEE9" w14:textId="77777777" w:rsidTr="00214801">
        <w:trPr>
          <w:trHeight w:val="25"/>
        </w:trPr>
        <w:tc>
          <w:tcPr>
            <w:tcW w:w="4430" w:type="dxa"/>
            <w:tcBorders>
              <w:top w:val="nil"/>
              <w:left w:val="nil"/>
              <w:bottom w:val="single" w:sz="8" w:space="0" w:color="auto"/>
              <w:right w:val="nil"/>
            </w:tcBorders>
            <w:shd w:val="clear" w:color="auto" w:fill="auto"/>
            <w:noWrap/>
            <w:vAlign w:val="center"/>
          </w:tcPr>
          <w:p w14:paraId="2B55D98E" w14:textId="77777777" w:rsidR="007318AE" w:rsidRPr="00887108" w:rsidRDefault="007318AE" w:rsidP="00214801">
            <w:pPr>
              <w:keepNext/>
              <w:outlineLvl w:val="2"/>
              <w:rPr>
                <w:rFonts w:eastAsia="Calibri" w:cs="Arial"/>
                <w:b/>
                <w:bCs/>
                <w:color w:val="2C9ADC"/>
                <w:sz w:val="20"/>
                <w:szCs w:val="26"/>
                <w:lang w:eastAsia="en-US"/>
              </w:rPr>
            </w:pPr>
            <w:r w:rsidRPr="00887108">
              <w:rPr>
                <w:rFonts w:eastAsia="Calibri" w:cs="Arial"/>
                <w:b/>
                <w:bCs/>
                <w:color w:val="2C9ADC"/>
                <w:sz w:val="20"/>
                <w:szCs w:val="26"/>
                <w:lang w:eastAsia="en-US"/>
              </w:rPr>
              <w:t>Konsolidačné úsilie verejnej správy (% HDP)</w:t>
            </w:r>
          </w:p>
        </w:tc>
        <w:tc>
          <w:tcPr>
            <w:tcW w:w="146" w:type="dxa"/>
            <w:tcBorders>
              <w:top w:val="nil"/>
              <w:left w:val="nil"/>
              <w:bottom w:val="nil"/>
              <w:right w:val="nil"/>
            </w:tcBorders>
          </w:tcPr>
          <w:p w14:paraId="1787DF80" w14:textId="77777777" w:rsidR="007318AE" w:rsidRPr="00887108" w:rsidRDefault="007318AE" w:rsidP="00214801">
            <w:pPr>
              <w:rPr>
                <w:rFonts w:eastAsia="Calibri" w:cs="Arial"/>
                <w:b/>
                <w:bCs/>
                <w:color w:val="2C9ADC"/>
                <w:sz w:val="20"/>
                <w:szCs w:val="26"/>
                <w:lang w:eastAsia="en-US"/>
              </w:rPr>
            </w:pPr>
          </w:p>
        </w:tc>
        <w:tc>
          <w:tcPr>
            <w:tcW w:w="4494" w:type="dxa"/>
            <w:tcBorders>
              <w:top w:val="nil"/>
              <w:left w:val="nil"/>
              <w:bottom w:val="single" w:sz="8" w:space="0" w:color="auto"/>
              <w:right w:val="nil"/>
            </w:tcBorders>
            <w:shd w:val="clear" w:color="auto" w:fill="auto"/>
            <w:noWrap/>
            <w:vAlign w:val="center"/>
          </w:tcPr>
          <w:p w14:paraId="5295ECD8" w14:textId="77777777" w:rsidR="007318AE" w:rsidRPr="00887108" w:rsidRDefault="007318AE" w:rsidP="00214801">
            <w:pPr>
              <w:keepNext/>
              <w:outlineLvl w:val="2"/>
              <w:rPr>
                <w:rFonts w:eastAsia="Calibri" w:cs="Arial"/>
                <w:b/>
                <w:bCs/>
                <w:color w:val="2C9ADC"/>
                <w:sz w:val="20"/>
                <w:szCs w:val="26"/>
                <w:lang w:eastAsia="en-US"/>
              </w:rPr>
            </w:pPr>
            <w:r w:rsidRPr="00887108">
              <w:rPr>
                <w:rFonts w:eastAsia="Calibri" w:cs="Arial"/>
                <w:b/>
                <w:bCs/>
                <w:color w:val="2C9ADC"/>
                <w:sz w:val="20"/>
                <w:szCs w:val="26"/>
                <w:lang w:eastAsia="en-US"/>
              </w:rPr>
              <w:t>Hrubý dlh verejnej správy (% HDP)</w:t>
            </w:r>
          </w:p>
        </w:tc>
      </w:tr>
      <w:tr w:rsidR="007318AE" w:rsidRPr="00887108" w14:paraId="3425F9A1" w14:textId="77777777" w:rsidTr="00214801">
        <w:trPr>
          <w:trHeight w:val="1229"/>
        </w:trPr>
        <w:tc>
          <w:tcPr>
            <w:tcW w:w="4430" w:type="dxa"/>
            <w:tcBorders>
              <w:top w:val="single" w:sz="8" w:space="0" w:color="auto"/>
              <w:left w:val="nil"/>
              <w:bottom w:val="nil"/>
              <w:right w:val="nil"/>
            </w:tcBorders>
            <w:shd w:val="clear" w:color="auto" w:fill="auto"/>
            <w:noWrap/>
            <w:vAlign w:val="center"/>
          </w:tcPr>
          <w:p w14:paraId="4AF955AF" w14:textId="77777777" w:rsidR="007318AE" w:rsidRPr="00887108" w:rsidRDefault="007318AE" w:rsidP="00214801">
            <w:pPr>
              <w:rPr>
                <w:rFonts w:cs="Arial"/>
                <w:sz w:val="16"/>
                <w:szCs w:val="16"/>
                <w:highlight w:val="yellow"/>
              </w:rPr>
            </w:pPr>
            <w:r w:rsidRPr="00887108">
              <w:rPr>
                <w:sz w:val="16"/>
                <w:szCs w:val="16"/>
              </w:rPr>
              <w:drawing>
                <wp:inline distT="0" distB="0" distL="0" distR="0" wp14:anchorId="22A84765" wp14:editId="7585186A">
                  <wp:extent cx="2571750" cy="207645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46" w:type="dxa"/>
            <w:tcBorders>
              <w:top w:val="nil"/>
              <w:left w:val="nil"/>
              <w:bottom w:val="nil"/>
              <w:right w:val="nil"/>
            </w:tcBorders>
            <w:shd w:val="clear" w:color="auto" w:fill="auto"/>
          </w:tcPr>
          <w:p w14:paraId="5A58E9C6" w14:textId="77777777" w:rsidR="007318AE" w:rsidRPr="00887108" w:rsidRDefault="007318AE" w:rsidP="00214801">
            <w:pPr>
              <w:rPr>
                <w:rFonts w:cs="Arial"/>
                <w:sz w:val="20"/>
                <w:szCs w:val="20"/>
                <w:highlight w:val="yellow"/>
              </w:rPr>
            </w:pPr>
          </w:p>
        </w:tc>
        <w:tc>
          <w:tcPr>
            <w:tcW w:w="4494" w:type="dxa"/>
            <w:tcBorders>
              <w:top w:val="single" w:sz="8" w:space="0" w:color="auto"/>
              <w:left w:val="nil"/>
              <w:bottom w:val="nil"/>
              <w:right w:val="nil"/>
            </w:tcBorders>
            <w:shd w:val="clear" w:color="auto" w:fill="auto"/>
            <w:noWrap/>
            <w:vAlign w:val="center"/>
          </w:tcPr>
          <w:p w14:paraId="200D2A8C" w14:textId="77777777" w:rsidR="007318AE" w:rsidRPr="00887108" w:rsidRDefault="007318AE" w:rsidP="00214801">
            <w:pPr>
              <w:jc w:val="center"/>
              <w:rPr>
                <w:rFonts w:cs="Arial"/>
                <w:sz w:val="20"/>
                <w:szCs w:val="20"/>
                <w:highlight w:val="yellow"/>
              </w:rPr>
            </w:pPr>
            <w:r w:rsidRPr="00887108">
              <w:drawing>
                <wp:inline distT="0" distB="0" distL="0" distR="0" wp14:anchorId="0555D411" wp14:editId="625D70CF">
                  <wp:extent cx="2876550" cy="21717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318AE" w:rsidRPr="00887108" w14:paraId="72A870A9" w14:textId="77777777" w:rsidTr="00214801">
        <w:trPr>
          <w:trHeight w:val="89"/>
        </w:trPr>
        <w:tc>
          <w:tcPr>
            <w:tcW w:w="4430" w:type="dxa"/>
            <w:tcBorders>
              <w:top w:val="single" w:sz="4" w:space="0" w:color="auto"/>
              <w:left w:val="nil"/>
              <w:right w:val="nil"/>
            </w:tcBorders>
            <w:shd w:val="clear" w:color="auto" w:fill="auto"/>
            <w:noWrap/>
            <w:vAlign w:val="center"/>
          </w:tcPr>
          <w:p w14:paraId="2FE654E1" w14:textId="77777777" w:rsidR="007318AE" w:rsidRPr="00887108" w:rsidRDefault="007318AE" w:rsidP="00214801">
            <w:pPr>
              <w:jc w:val="right"/>
              <w:rPr>
                <w:rFonts w:cs="Arial Narrow"/>
                <w:i/>
                <w:iCs/>
                <w:sz w:val="16"/>
                <w:szCs w:val="16"/>
              </w:rPr>
            </w:pPr>
            <w:r w:rsidRPr="00887108">
              <w:rPr>
                <w:rFonts w:cs="Arial Narrow"/>
                <w:i/>
                <w:iCs/>
                <w:sz w:val="16"/>
                <w:szCs w:val="16"/>
              </w:rPr>
              <w:t>Zdroj: MF SR</w:t>
            </w:r>
          </w:p>
        </w:tc>
        <w:tc>
          <w:tcPr>
            <w:tcW w:w="146" w:type="dxa"/>
            <w:tcBorders>
              <w:top w:val="nil"/>
              <w:left w:val="nil"/>
              <w:right w:val="nil"/>
            </w:tcBorders>
            <w:shd w:val="clear" w:color="auto" w:fill="auto"/>
          </w:tcPr>
          <w:p w14:paraId="325308D7" w14:textId="77777777" w:rsidR="007318AE" w:rsidRPr="00887108" w:rsidRDefault="007318AE" w:rsidP="00214801">
            <w:pPr>
              <w:jc w:val="right"/>
              <w:rPr>
                <w:rFonts w:cs="Arial Narrow"/>
                <w:sz w:val="20"/>
                <w:szCs w:val="20"/>
              </w:rPr>
            </w:pPr>
          </w:p>
        </w:tc>
        <w:tc>
          <w:tcPr>
            <w:tcW w:w="4494" w:type="dxa"/>
            <w:tcBorders>
              <w:top w:val="single" w:sz="4" w:space="0" w:color="auto"/>
              <w:left w:val="nil"/>
              <w:right w:val="nil"/>
            </w:tcBorders>
            <w:shd w:val="clear" w:color="auto" w:fill="auto"/>
            <w:noWrap/>
            <w:vAlign w:val="center"/>
          </w:tcPr>
          <w:p w14:paraId="3686F66C" w14:textId="77777777" w:rsidR="007318AE" w:rsidRPr="00887108" w:rsidRDefault="007318AE" w:rsidP="00214801">
            <w:pPr>
              <w:spacing w:before="40"/>
              <w:jc w:val="right"/>
              <w:rPr>
                <w:rFonts w:cs="Arial Narrow"/>
                <w:i/>
                <w:iCs/>
                <w:sz w:val="16"/>
                <w:szCs w:val="16"/>
              </w:rPr>
            </w:pPr>
            <w:r w:rsidRPr="00887108">
              <w:rPr>
                <w:rFonts w:cs="Arial Narrow"/>
                <w:i/>
                <w:iCs/>
                <w:sz w:val="16"/>
                <w:szCs w:val="16"/>
              </w:rPr>
              <w:t>Zdroj: MF SR</w:t>
            </w:r>
          </w:p>
        </w:tc>
      </w:tr>
    </w:tbl>
    <w:p w14:paraId="1C7BB6AA" w14:textId="7BEE6BAF" w:rsidR="00387D63" w:rsidRPr="00887108" w:rsidRDefault="00387D63" w:rsidP="007318AE">
      <w:pPr>
        <w:jc w:val="both"/>
        <w:rPr>
          <w:b/>
          <w:iCs/>
        </w:rPr>
      </w:pPr>
    </w:p>
    <w:p w14:paraId="681359E1" w14:textId="67D945D5" w:rsidR="00DC36EA" w:rsidRPr="00887108" w:rsidRDefault="00DC36EA" w:rsidP="007318AE">
      <w:pPr>
        <w:jc w:val="both"/>
        <w:rPr>
          <w:lang w:eastAsia="cs-CZ"/>
        </w:rPr>
      </w:pPr>
      <w:r w:rsidRPr="00887108">
        <w:rPr>
          <w:b/>
        </w:rPr>
        <w:t>Vláda si v</w:t>
      </w:r>
      <w:r w:rsidR="00615751" w:rsidRPr="00887108">
        <w:rPr>
          <w:b/>
        </w:rPr>
        <w:t xml:space="preserve"> programovom vyhlásení </w:t>
      </w:r>
      <w:r w:rsidRPr="00887108">
        <w:rPr>
          <w:b/>
        </w:rPr>
        <w:t>dala za úlohu vypracovať reformu dôchodkového</w:t>
      </w:r>
      <w:r w:rsidR="00D131F6" w:rsidRPr="00887108">
        <w:rPr>
          <w:b/>
        </w:rPr>
        <w:t xml:space="preserve"> systému</w:t>
      </w:r>
      <w:r w:rsidRPr="00887108">
        <w:rPr>
          <w:b/>
        </w:rPr>
        <w:t>.</w:t>
      </w:r>
      <w:r w:rsidRPr="00887108">
        <w:t xml:space="preserve"> </w:t>
      </w:r>
      <w:r w:rsidRPr="00887108">
        <w:rPr>
          <w:lang w:eastAsia="cs-CZ"/>
        </w:rPr>
        <w:t xml:space="preserve">Opatreniami prijatými v roku 2019 sa </w:t>
      </w:r>
      <w:r w:rsidR="00614C08" w:rsidRPr="00887108">
        <w:rPr>
          <w:lang w:eastAsia="cs-CZ"/>
        </w:rPr>
        <w:t xml:space="preserve">výrazne </w:t>
      </w:r>
      <w:r w:rsidRPr="00887108">
        <w:rPr>
          <w:lang w:eastAsia="cs-CZ"/>
        </w:rPr>
        <w:t>zhoršila dlhodobá udržateľnosť</w:t>
      </w:r>
      <w:r w:rsidR="0079291F" w:rsidRPr="00887108">
        <w:rPr>
          <w:lang w:eastAsia="cs-CZ"/>
        </w:rPr>
        <w:t xml:space="preserve"> </w:t>
      </w:r>
      <w:r w:rsidR="00614C08" w:rsidRPr="00887108">
        <w:rPr>
          <w:lang w:eastAsia="cs-CZ"/>
        </w:rPr>
        <w:t>dôchodkového systému</w:t>
      </w:r>
      <w:r w:rsidRPr="00887108">
        <w:rPr>
          <w:lang w:eastAsia="cs-CZ"/>
        </w:rPr>
        <w:t>.</w:t>
      </w:r>
      <w:r w:rsidR="00614C08" w:rsidRPr="00887108">
        <w:rPr>
          <w:lang w:eastAsia="cs-CZ"/>
        </w:rPr>
        <w:t xml:space="preserve"> V prvom pilieri sa posilní väzba dôchodkových výdavkov na demografický vývoj, zvýši sa spravodlivosť a transparentnosť systému. V druhom pilieri je prioritou zvýšenie výnosov úspor dobre nastavenou investičnou politikou.</w:t>
      </w:r>
      <w:r w:rsidRPr="00887108">
        <w:rPr>
          <w:lang w:eastAsia="cs-CZ"/>
        </w:rPr>
        <w:t xml:space="preserve"> </w:t>
      </w:r>
      <w:r w:rsidR="001F2846" w:rsidRPr="00887108">
        <w:t>S cieľom zlepšiť predvídateľnosť a stabilitu dôchodkového systému vláda plánuje prijať ústavný zákon definujúci základné prvky prvého a druhého piliera.</w:t>
      </w:r>
      <w:r w:rsidR="001F2846" w:rsidRPr="00887108">
        <w:rPr>
          <w:b/>
        </w:rPr>
        <w:t xml:space="preserve"> </w:t>
      </w:r>
    </w:p>
    <w:p w14:paraId="538EF989" w14:textId="77777777" w:rsidR="00217D51" w:rsidRPr="00887108" w:rsidRDefault="00217D51" w:rsidP="007318AE">
      <w:pPr>
        <w:jc w:val="both"/>
        <w:rPr>
          <w:b/>
          <w:iCs/>
        </w:rPr>
      </w:pPr>
    </w:p>
    <w:p w14:paraId="198873F3" w14:textId="42FC98C6" w:rsidR="007318AE" w:rsidRPr="00887108" w:rsidRDefault="0092512E" w:rsidP="007318AE">
      <w:pPr>
        <w:jc w:val="both"/>
        <w:rPr>
          <w:iCs/>
        </w:rPr>
      </w:pPr>
      <w:r w:rsidRPr="00887108">
        <w:rPr>
          <w:b/>
          <w:iCs/>
        </w:rPr>
        <w:t xml:space="preserve">Dlhodobú udržateľnosť verejných financií podporia aj štrukturálne reformy na </w:t>
      </w:r>
      <w:r w:rsidR="00BA46EB" w:rsidRPr="00887108">
        <w:rPr>
          <w:b/>
          <w:iCs/>
        </w:rPr>
        <w:t>naštartovanie</w:t>
      </w:r>
      <w:r w:rsidRPr="00887108">
        <w:rPr>
          <w:b/>
          <w:iCs/>
        </w:rPr>
        <w:t xml:space="preserve"> ekonomického rastu. </w:t>
      </w:r>
      <w:r w:rsidRPr="00887108">
        <w:t>Opatrenia budú zamerané na hlavné štrukturálne výzvy slovenskej ekonomiky, a to zdravotníctvo, vzdeláv</w:t>
      </w:r>
      <w:r w:rsidR="0035494E" w:rsidRPr="00887108">
        <w:t>anie, trh práce</w:t>
      </w:r>
      <w:r w:rsidRPr="00887108">
        <w:t xml:space="preserve"> a efektívnejšie využívanie zdrojov v ekonomike. Zvýši sa efektívnosť verejných financií zameraním sa na prorastový daňový mix </w:t>
      </w:r>
      <w:r w:rsidR="00271233" w:rsidRPr="00887108">
        <w:t xml:space="preserve">a znižovanie daňových únikov </w:t>
      </w:r>
      <w:r w:rsidRPr="00887108">
        <w:t>na príjmovej strane a</w:t>
      </w:r>
      <w:r w:rsidR="00E93EA6" w:rsidRPr="00887108">
        <w:t> zvyšovaním hodnoty za peniaze na strane výdavkov.</w:t>
      </w:r>
    </w:p>
    <w:p w14:paraId="22D4F0AB" w14:textId="77777777" w:rsidR="007318AE" w:rsidRPr="00887108" w:rsidRDefault="007318AE" w:rsidP="007318AE">
      <w:pPr>
        <w:jc w:val="both"/>
        <w:rPr>
          <w:b/>
          <w:color w:val="000000" w:themeColor="text1"/>
        </w:rPr>
      </w:pPr>
    </w:p>
    <w:p w14:paraId="0183A2AB" w14:textId="5EAB9D43" w:rsidR="004F1A88" w:rsidRPr="00887108" w:rsidRDefault="0092512E" w:rsidP="004F1A88">
      <w:pPr>
        <w:jc w:val="both"/>
      </w:pPr>
      <w:r w:rsidRPr="00887108">
        <w:rPr>
          <w:b/>
          <w:color w:val="000000" w:themeColor="text1"/>
        </w:rPr>
        <w:t>Dôveryhodnosť rozpočtu a</w:t>
      </w:r>
      <w:r w:rsidR="008B707C" w:rsidRPr="00887108">
        <w:rPr>
          <w:b/>
          <w:color w:val="000000" w:themeColor="text1"/>
        </w:rPr>
        <w:t> </w:t>
      </w:r>
      <w:r w:rsidRPr="00887108">
        <w:rPr>
          <w:b/>
          <w:color w:val="000000" w:themeColor="text1"/>
        </w:rPr>
        <w:t>riadenie</w:t>
      </w:r>
      <w:r w:rsidR="008B707C" w:rsidRPr="00887108">
        <w:rPr>
          <w:b/>
          <w:color w:val="000000" w:themeColor="text1"/>
        </w:rPr>
        <w:t xml:space="preserve"> </w:t>
      </w:r>
      <w:r w:rsidR="007318AE" w:rsidRPr="00887108">
        <w:rPr>
          <w:b/>
          <w:color w:val="000000" w:themeColor="text1"/>
        </w:rPr>
        <w:t>verejných financií</w:t>
      </w:r>
      <w:r w:rsidRPr="00887108">
        <w:rPr>
          <w:b/>
          <w:color w:val="000000" w:themeColor="text1"/>
        </w:rPr>
        <w:t xml:space="preserve"> budú posilnené</w:t>
      </w:r>
      <w:r w:rsidR="007318AE" w:rsidRPr="00887108">
        <w:rPr>
          <w:b/>
          <w:color w:val="000000" w:themeColor="text1"/>
        </w:rPr>
        <w:t xml:space="preserve"> zaveden</w:t>
      </w:r>
      <w:r w:rsidR="008B707C" w:rsidRPr="00887108">
        <w:rPr>
          <w:b/>
          <w:color w:val="000000" w:themeColor="text1"/>
        </w:rPr>
        <w:t>ím</w:t>
      </w:r>
      <w:r w:rsidR="007318AE" w:rsidRPr="00887108">
        <w:rPr>
          <w:b/>
          <w:color w:val="000000" w:themeColor="text1"/>
        </w:rPr>
        <w:t xml:space="preserve"> viacročných výdavkových stropov, posilnením princípov Hodnoty za peniaze a zlepšením transparentnosti rozpočtu.</w:t>
      </w:r>
      <w:r w:rsidR="007318AE" w:rsidRPr="00887108">
        <w:rPr>
          <w:i/>
        </w:rPr>
        <w:t xml:space="preserve"> </w:t>
      </w:r>
      <w:r w:rsidR="007318AE" w:rsidRPr="00887108">
        <w:t xml:space="preserve">Vláda sa v programovom vyhlásení zaviazala zabezpečiť funkčné trojročné rozpočtovanie. Cieľom je posilniť proticyklickú funkciu verejných financií zavedením viacročných záväzných výdavkových stropov. Kvalitu rozpočtu podporí rozšírenie okruhu položiek kontrolovaných analytickými výbormi o úrokové výdavky, vybrané nedaňové príjmy a niektoré zákonom stanovené výdavky. Vláda taktiež zvýši transparentnosť rozpočtu častejším a zrozumiteľným informovaním o jeho príprave a plnení. Medzi </w:t>
      </w:r>
      <w:r w:rsidR="00BA46EB" w:rsidRPr="00887108">
        <w:t>ďalšie</w:t>
      </w:r>
      <w:r w:rsidR="007318AE" w:rsidRPr="00887108">
        <w:t xml:space="preserve"> ciele patrí zabezpečenie lepšej prípravy investičných projektov s dôsledným uplatňovaním princípov hodnoty za peniaze a zadefinovanie novej stratégie </w:t>
      </w:r>
      <w:r w:rsidR="0035494E" w:rsidRPr="00887108">
        <w:t>riadenia štátneho dlhu, podloženou</w:t>
      </w:r>
      <w:r w:rsidR="007318AE" w:rsidRPr="00887108">
        <w:t xml:space="preserve"> analýzou rizík a nákladov v súlade s najlepšou praxou vo svete.</w:t>
      </w:r>
      <w:r w:rsidR="00CE22C2" w:rsidRPr="00887108">
        <w:t xml:space="preserve"> </w:t>
      </w:r>
      <w:r w:rsidR="004F1A88" w:rsidRPr="00887108">
        <w:t>Vláda revíziou výdavkov zhodnotí počas volebného obdobia väčšinu verejných výdavkov</w:t>
      </w:r>
      <w:r w:rsidR="00ED40CE" w:rsidRPr="00887108">
        <w:t xml:space="preserve"> a odsúhlasené opatrenia bude dôsledne plniť</w:t>
      </w:r>
      <w:r w:rsidR="004F1A88" w:rsidRPr="00887108">
        <w:t xml:space="preserve">. Zavedením zákonnej povinnosti sa revízie výdavkov stali integrálnou súčasťou rozpočtového procesu. </w:t>
      </w:r>
    </w:p>
    <w:p w14:paraId="392CF295" w14:textId="7649EDF2" w:rsidR="00793AF2" w:rsidRPr="00887108" w:rsidRDefault="007318AE" w:rsidP="0068315C">
      <w:pPr>
        <w:pStyle w:val="Default"/>
        <w:spacing w:before="240" w:after="120"/>
        <w:jc w:val="both"/>
        <w:rPr>
          <w:rFonts w:ascii="Arial Narrow" w:hAnsi="Arial Narrow"/>
          <w:color w:val="auto"/>
          <w:sz w:val="22"/>
          <w:szCs w:val="22"/>
          <w:lang w:val="sk-SK"/>
        </w:rPr>
      </w:pPr>
      <w:r w:rsidRPr="00887108">
        <w:rPr>
          <w:rFonts w:ascii="Arial Narrow" w:hAnsi="Arial Narrow"/>
          <w:b/>
          <w:color w:val="auto"/>
          <w:sz w:val="22"/>
          <w:szCs w:val="22"/>
          <w:lang w:val="sk-SK"/>
        </w:rPr>
        <w:t>Program Stability je hlavný strednodobý rozpočtový dokument Slovenskej republiky</w:t>
      </w:r>
      <w:r w:rsidRPr="00887108">
        <w:rPr>
          <w:rFonts w:ascii="Arial Narrow" w:hAnsi="Arial Narrow"/>
          <w:color w:val="auto"/>
          <w:sz w:val="22"/>
          <w:szCs w:val="22"/>
          <w:lang w:val="sk-SK"/>
        </w:rPr>
        <w:t xml:space="preserve">. Slovensko týmto dodržiava povinnosť vymedzenú v článku 4 nariadenia Rady (EÚ) 473/2013. </w:t>
      </w:r>
      <w:r w:rsidR="004D275E" w:rsidRPr="00887108">
        <w:rPr>
          <w:rFonts w:ascii="Arial Narrow" w:hAnsi="Arial Narrow"/>
          <w:color w:val="auto"/>
          <w:sz w:val="22"/>
          <w:szCs w:val="22"/>
          <w:lang w:val="sk-SK"/>
        </w:rPr>
        <w:t>18</w:t>
      </w:r>
      <w:r w:rsidRPr="00887108">
        <w:rPr>
          <w:rFonts w:ascii="Arial Narrow" w:hAnsi="Arial Narrow"/>
          <w:color w:val="auto"/>
          <w:sz w:val="22"/>
          <w:szCs w:val="22"/>
          <w:lang w:val="sk-SK"/>
        </w:rPr>
        <w:t xml:space="preserve">. </w:t>
      </w:r>
      <w:r w:rsidR="00343B57" w:rsidRPr="00887108">
        <w:rPr>
          <w:rFonts w:ascii="Arial Narrow" w:hAnsi="Arial Narrow"/>
          <w:color w:val="auto"/>
          <w:sz w:val="22"/>
          <w:szCs w:val="22"/>
          <w:lang w:val="sk-SK"/>
        </w:rPr>
        <w:t>mája</w:t>
      </w:r>
      <w:r w:rsidRPr="00887108">
        <w:rPr>
          <w:rFonts w:ascii="Arial Narrow" w:hAnsi="Arial Narrow"/>
          <w:color w:val="auto"/>
          <w:sz w:val="22"/>
          <w:szCs w:val="22"/>
          <w:lang w:val="sk-SK"/>
        </w:rPr>
        <w:t xml:space="preserve"> 2020 bol Program stability na roky 2020-2023 schválený vládou a</w:t>
      </w:r>
      <w:r w:rsidR="006224BE" w:rsidRPr="00887108">
        <w:rPr>
          <w:rFonts w:ascii="Arial Narrow" w:hAnsi="Arial Narrow"/>
          <w:color w:val="auto"/>
          <w:sz w:val="22"/>
          <w:szCs w:val="22"/>
          <w:lang w:val="sk-SK"/>
        </w:rPr>
        <w:t> prerokovaný bude aj</w:t>
      </w:r>
      <w:r w:rsidR="0035494E" w:rsidRPr="00887108">
        <w:rPr>
          <w:rFonts w:ascii="Arial Narrow" w:hAnsi="Arial Narrow"/>
          <w:color w:val="auto"/>
          <w:sz w:val="22"/>
          <w:szCs w:val="22"/>
          <w:lang w:val="sk-SK"/>
        </w:rPr>
        <w:t xml:space="preserve"> </w:t>
      </w:r>
      <w:r w:rsidRPr="00887108">
        <w:rPr>
          <w:rFonts w:ascii="Arial Narrow" w:hAnsi="Arial Narrow"/>
          <w:color w:val="auto"/>
          <w:sz w:val="22"/>
          <w:szCs w:val="22"/>
          <w:lang w:val="sk-SK"/>
        </w:rPr>
        <w:t>poslanc</w:t>
      </w:r>
      <w:r w:rsidR="006224BE" w:rsidRPr="00887108">
        <w:rPr>
          <w:rFonts w:ascii="Arial Narrow" w:hAnsi="Arial Narrow"/>
          <w:color w:val="auto"/>
          <w:sz w:val="22"/>
          <w:szCs w:val="22"/>
          <w:lang w:val="sk-SK"/>
        </w:rPr>
        <w:t>ami</w:t>
      </w:r>
      <w:r w:rsidRPr="00887108">
        <w:rPr>
          <w:rFonts w:ascii="Arial Narrow" w:hAnsi="Arial Narrow"/>
          <w:color w:val="auto"/>
          <w:sz w:val="22"/>
          <w:szCs w:val="22"/>
          <w:lang w:val="sk-SK"/>
        </w:rPr>
        <w:t xml:space="preserve"> Národnej rady Slovenskej republiky</w:t>
      </w:r>
      <w:r w:rsidR="0035494E" w:rsidRPr="00887108">
        <w:rPr>
          <w:rFonts w:ascii="Arial Narrow" w:hAnsi="Arial Narrow"/>
          <w:color w:val="auto"/>
          <w:sz w:val="22"/>
          <w:szCs w:val="22"/>
          <w:lang w:val="sk-SK"/>
        </w:rPr>
        <w:t>.</w:t>
      </w:r>
      <w:r w:rsidRPr="00887108">
        <w:rPr>
          <w:rFonts w:ascii="Arial Narrow" w:hAnsi="Arial Narrow"/>
          <w:color w:val="auto"/>
          <w:sz w:val="22"/>
          <w:szCs w:val="22"/>
          <w:lang w:val="sk-SK"/>
        </w:rPr>
        <w:t xml:space="preserve"> Program stability je založený na makroekonomickej a daňovej prognóze Výborov pre makroekonomické a daňové prognózy z 8. apríla a 16. apríla 2020.</w:t>
      </w:r>
      <w:r w:rsidR="0068315C" w:rsidRPr="00887108">
        <w:rPr>
          <w:rFonts w:ascii="Arial Narrow" w:hAnsi="Arial Narrow"/>
          <w:color w:val="auto"/>
          <w:sz w:val="22"/>
          <w:szCs w:val="22"/>
          <w:lang w:val="sk-SK"/>
        </w:rPr>
        <w:t xml:space="preserve"> </w:t>
      </w:r>
    </w:p>
    <w:p w14:paraId="0F7114B7" w14:textId="07841A1B" w:rsidR="007318AE" w:rsidRPr="00887108" w:rsidRDefault="0068315C" w:rsidP="003C301C">
      <w:pPr>
        <w:pStyle w:val="Default"/>
        <w:jc w:val="both"/>
        <w:rPr>
          <w:rFonts w:ascii="Arial Narrow" w:hAnsi="Arial Narrow"/>
          <w:color w:val="auto"/>
          <w:sz w:val="22"/>
          <w:szCs w:val="22"/>
          <w:lang w:val="sk-SK"/>
        </w:rPr>
      </w:pPr>
      <w:r w:rsidRPr="00887108">
        <w:rPr>
          <w:rFonts w:ascii="Arial Narrow" w:hAnsi="Arial Narrow"/>
          <w:b/>
          <w:color w:val="auto"/>
          <w:sz w:val="22"/>
          <w:szCs w:val="22"/>
          <w:lang w:val="sk-SK"/>
        </w:rPr>
        <w:t xml:space="preserve">Súčasťou Programu stability sú aj </w:t>
      </w:r>
      <w:r w:rsidR="00793AF2" w:rsidRPr="00887108">
        <w:rPr>
          <w:rFonts w:ascii="Arial Narrow" w:hAnsi="Arial Narrow"/>
          <w:b/>
          <w:color w:val="auto"/>
          <w:sz w:val="22"/>
          <w:szCs w:val="22"/>
          <w:lang w:val="sk-SK"/>
        </w:rPr>
        <w:t>tri revízie výdavkov</w:t>
      </w:r>
      <w:r w:rsidR="00EA7E15" w:rsidRPr="00887108">
        <w:rPr>
          <w:rFonts w:ascii="Arial Narrow" w:hAnsi="Arial Narrow"/>
          <w:b/>
          <w:color w:val="auto"/>
          <w:sz w:val="22"/>
          <w:szCs w:val="22"/>
          <w:lang w:val="sk-SK"/>
        </w:rPr>
        <w:t xml:space="preserve"> a</w:t>
      </w:r>
      <w:r w:rsidR="00082F98" w:rsidRPr="00887108">
        <w:rPr>
          <w:rFonts w:ascii="Arial Narrow" w:hAnsi="Arial Narrow"/>
          <w:b/>
          <w:color w:val="auto"/>
          <w:sz w:val="22"/>
          <w:szCs w:val="22"/>
          <w:lang w:val="sk-SK"/>
        </w:rPr>
        <w:t xml:space="preserve"> súhrnná </w:t>
      </w:r>
      <w:r w:rsidR="00EA7E15" w:rsidRPr="00887108">
        <w:rPr>
          <w:rFonts w:ascii="Arial Narrow" w:hAnsi="Arial Narrow"/>
          <w:b/>
          <w:color w:val="auto"/>
          <w:sz w:val="22"/>
          <w:szCs w:val="22"/>
          <w:lang w:val="sk-SK"/>
        </w:rPr>
        <w:t>implementačná správa</w:t>
      </w:r>
      <w:r w:rsidR="00793AF2" w:rsidRPr="00887108">
        <w:rPr>
          <w:rFonts w:ascii="Arial Narrow" w:hAnsi="Arial Narrow"/>
          <w:color w:val="auto"/>
          <w:sz w:val="22"/>
          <w:szCs w:val="22"/>
          <w:lang w:val="sk-SK"/>
        </w:rPr>
        <w:t xml:space="preserve">. Revízia výdavkov zamestnanosti a odmeňovania vo verejnej správe prináša potenciál úspor </w:t>
      </w:r>
      <w:r w:rsidR="00117BE9">
        <w:rPr>
          <w:rFonts w:ascii="Arial Narrow" w:hAnsi="Arial Narrow"/>
          <w:color w:val="auto"/>
          <w:sz w:val="22"/>
          <w:szCs w:val="22"/>
          <w:lang w:val="sk-SK"/>
        </w:rPr>
        <w:t>za</w:t>
      </w:r>
      <w:r w:rsidR="00793AF2" w:rsidRPr="00887108">
        <w:rPr>
          <w:rFonts w:ascii="Arial Narrow" w:hAnsi="Arial Narrow"/>
          <w:color w:val="auto"/>
          <w:sz w:val="22"/>
          <w:szCs w:val="22"/>
          <w:lang w:val="sk-SK"/>
        </w:rPr>
        <w:t xml:space="preserve"> 765 mil. eur a kvantifikuje potrebu dodatočných zdrojov na dosiahnutie zamestnanosti a odmeňovania na prie</w:t>
      </w:r>
      <w:r w:rsidR="00343B57" w:rsidRPr="00887108">
        <w:rPr>
          <w:rFonts w:ascii="Arial Narrow" w:hAnsi="Arial Narrow"/>
          <w:color w:val="auto"/>
          <w:sz w:val="22"/>
          <w:szCs w:val="22"/>
          <w:lang w:val="sk-SK"/>
        </w:rPr>
        <w:t>mere krajín EÚ na 1,2 mld. eur.</w:t>
      </w:r>
      <w:r w:rsidR="00793AF2" w:rsidRPr="00887108">
        <w:rPr>
          <w:rFonts w:ascii="Arial Narrow" w:hAnsi="Arial Narrow"/>
          <w:color w:val="auto"/>
          <w:sz w:val="22"/>
          <w:szCs w:val="22"/>
          <w:lang w:val="sk-SK"/>
        </w:rPr>
        <w:t xml:space="preserve"> Revízia výdavkov na skupiny ohrozené chudobou alebo sociálnym vylúčením navrhuje realokačné opatrenia vo výške 13,7 mil</w:t>
      </w:r>
      <w:r w:rsidR="00EC20CA" w:rsidRPr="00887108">
        <w:rPr>
          <w:rFonts w:ascii="Arial Narrow" w:hAnsi="Arial Narrow"/>
          <w:color w:val="auto"/>
          <w:sz w:val="22"/>
          <w:szCs w:val="22"/>
          <w:lang w:val="sk-SK"/>
        </w:rPr>
        <w:t>.</w:t>
      </w:r>
      <w:r w:rsidR="00793AF2" w:rsidRPr="00887108">
        <w:rPr>
          <w:rFonts w:ascii="Arial Narrow" w:hAnsi="Arial Narrow"/>
          <w:color w:val="auto"/>
          <w:sz w:val="22"/>
          <w:szCs w:val="22"/>
          <w:lang w:val="sk-SK"/>
        </w:rPr>
        <w:t xml:space="preserve"> eur a identifikuje potrebu dodatočných 263 mil</w:t>
      </w:r>
      <w:r w:rsidR="00EC20CA" w:rsidRPr="00887108">
        <w:rPr>
          <w:rFonts w:ascii="Arial Narrow" w:hAnsi="Arial Narrow"/>
          <w:color w:val="auto"/>
          <w:sz w:val="22"/>
          <w:szCs w:val="22"/>
          <w:lang w:val="sk-SK"/>
        </w:rPr>
        <w:t>.</w:t>
      </w:r>
      <w:r w:rsidR="00793AF2" w:rsidRPr="00887108">
        <w:rPr>
          <w:rFonts w:ascii="Arial Narrow" w:hAnsi="Arial Narrow"/>
          <w:color w:val="auto"/>
          <w:sz w:val="22"/>
          <w:szCs w:val="22"/>
          <w:lang w:val="sk-SK"/>
        </w:rPr>
        <w:t xml:space="preserve"> eur. Revízia výdavkov na informatizáciu spomína potenciál znížiť ročné IT výdavky o 10-20% (48-95 mil. eur). </w:t>
      </w:r>
      <w:r w:rsidR="008D6113" w:rsidRPr="00887108">
        <w:rPr>
          <w:rFonts w:ascii="Arial Narrow" w:hAnsi="Arial Narrow"/>
          <w:color w:val="auto"/>
          <w:sz w:val="22"/>
          <w:szCs w:val="22"/>
          <w:lang w:val="sk-SK"/>
        </w:rPr>
        <w:t>Súhrnná implementačná</w:t>
      </w:r>
      <w:r w:rsidR="00EA7E15" w:rsidRPr="00887108">
        <w:rPr>
          <w:rFonts w:ascii="Arial Narrow" w:hAnsi="Arial Narrow"/>
          <w:color w:val="auto"/>
          <w:sz w:val="22"/>
          <w:szCs w:val="22"/>
          <w:lang w:val="sk-SK"/>
        </w:rPr>
        <w:t xml:space="preserve"> správa za rok 2019 hodnotí pokrok v plnení opatrení revízii výdavkov za oblasť zdravotníctva, dopravy, informatizácie, vzdelávania, životného prostredia, trhu práce a sociálnych politík a pôdohospodárstva a rozvoja vidieka.</w:t>
      </w:r>
      <w:r w:rsidR="007318AE" w:rsidRPr="00887108">
        <w:rPr>
          <w:lang w:val="sk-SK"/>
        </w:rPr>
        <w:br w:type="page"/>
      </w:r>
    </w:p>
    <w:p w14:paraId="594B0626" w14:textId="77777777" w:rsidR="00916904" w:rsidRPr="00887108" w:rsidRDefault="00916904" w:rsidP="00916904">
      <w:pPr>
        <w:pStyle w:val="Nadpis1"/>
        <w:rPr>
          <w:color w:val="2C9ADC"/>
        </w:rPr>
      </w:pPr>
      <w:bookmarkStart w:id="24" w:name="_Toc417646979"/>
      <w:bookmarkStart w:id="25" w:name="_Toc417907415"/>
      <w:bookmarkStart w:id="26" w:name="_Toc449429089"/>
      <w:bookmarkStart w:id="27" w:name="_Toc449430088"/>
      <w:bookmarkStart w:id="28" w:name="_Toc480443979"/>
      <w:bookmarkStart w:id="29" w:name="_Toc480444316"/>
      <w:bookmarkStart w:id="30" w:name="_Toc480444484"/>
      <w:bookmarkStart w:id="31" w:name="_Toc40181040"/>
      <w:r w:rsidRPr="00887108">
        <w:rPr>
          <w:color w:val="2C9ADC"/>
        </w:rPr>
        <w:t>OBSAH</w:t>
      </w:r>
      <w:bookmarkEnd w:id="24"/>
      <w:bookmarkEnd w:id="25"/>
      <w:bookmarkEnd w:id="26"/>
      <w:bookmarkEnd w:id="27"/>
      <w:bookmarkEnd w:id="28"/>
      <w:bookmarkEnd w:id="29"/>
      <w:bookmarkEnd w:id="30"/>
      <w:bookmarkEnd w:id="31"/>
    </w:p>
    <w:p w14:paraId="38895852" w14:textId="77777777" w:rsidR="00D76DCF" w:rsidRPr="00887108" w:rsidRDefault="00916904">
      <w:pPr>
        <w:pStyle w:val="Obsah1"/>
        <w:rPr>
          <w:rFonts w:asciiTheme="minorHAnsi" w:eastAsiaTheme="minorEastAsia" w:hAnsiTheme="minorHAnsi" w:cstheme="minorBidi"/>
          <w:b w:val="0"/>
        </w:rPr>
      </w:pPr>
      <w:r w:rsidRPr="00887108">
        <w:rPr>
          <w:noProof w:val="0"/>
        </w:rPr>
        <w:fldChar w:fldCharType="begin"/>
      </w:r>
      <w:r w:rsidRPr="00887108">
        <w:rPr>
          <w:noProof w:val="0"/>
        </w:rPr>
        <w:instrText xml:space="preserve"> TOC \o "1-2" \h \z \u </w:instrText>
      </w:r>
      <w:r w:rsidRPr="00887108">
        <w:rPr>
          <w:noProof w:val="0"/>
        </w:rPr>
        <w:fldChar w:fldCharType="separate"/>
      </w:r>
      <w:hyperlink w:anchor="_Toc40181040" w:history="1">
        <w:r w:rsidR="00D76DCF" w:rsidRPr="00887108">
          <w:rPr>
            <w:rStyle w:val="Hypertextovprepojenie"/>
            <w:b w:val="0"/>
          </w:rPr>
          <w:t>OBSAH</w:t>
        </w:r>
        <w:r w:rsidR="00D76DCF" w:rsidRPr="00887108">
          <w:rPr>
            <w:b w:val="0"/>
            <w:webHidden/>
          </w:rPr>
          <w:tab/>
        </w:r>
        <w:r w:rsidR="00D76DCF" w:rsidRPr="00887108">
          <w:rPr>
            <w:b w:val="0"/>
            <w:webHidden/>
          </w:rPr>
          <w:fldChar w:fldCharType="begin"/>
        </w:r>
        <w:r w:rsidR="00D76DCF" w:rsidRPr="00887108">
          <w:rPr>
            <w:b w:val="0"/>
            <w:webHidden/>
          </w:rPr>
          <w:instrText xml:space="preserve"> PAGEREF _Toc40181040 \h </w:instrText>
        </w:r>
        <w:r w:rsidR="00D76DCF" w:rsidRPr="00887108">
          <w:rPr>
            <w:b w:val="0"/>
            <w:webHidden/>
          </w:rPr>
        </w:r>
        <w:r w:rsidR="00D76DCF" w:rsidRPr="00887108">
          <w:rPr>
            <w:b w:val="0"/>
            <w:webHidden/>
          </w:rPr>
          <w:fldChar w:fldCharType="separate"/>
        </w:r>
        <w:r w:rsidR="00D47A36">
          <w:rPr>
            <w:b w:val="0"/>
            <w:webHidden/>
          </w:rPr>
          <w:t>4</w:t>
        </w:r>
        <w:r w:rsidR="00D76DCF" w:rsidRPr="00887108">
          <w:rPr>
            <w:b w:val="0"/>
            <w:webHidden/>
          </w:rPr>
          <w:fldChar w:fldCharType="end"/>
        </w:r>
      </w:hyperlink>
    </w:p>
    <w:p w14:paraId="080E0860" w14:textId="77777777" w:rsidR="00D76DCF" w:rsidRPr="00887108" w:rsidRDefault="006F2B75">
      <w:pPr>
        <w:pStyle w:val="Obsah1"/>
        <w:rPr>
          <w:rFonts w:asciiTheme="minorHAnsi" w:eastAsiaTheme="minorEastAsia" w:hAnsiTheme="minorHAnsi" w:cstheme="minorBidi"/>
          <w:b w:val="0"/>
        </w:rPr>
      </w:pPr>
      <w:hyperlink w:anchor="_Toc40181041" w:history="1">
        <w:r w:rsidR="00D76DCF" w:rsidRPr="00887108">
          <w:rPr>
            <w:rStyle w:val="Hypertextovprepojenie"/>
            <w:b w:val="0"/>
          </w:rPr>
          <w:t>1.</w:t>
        </w:r>
        <w:r w:rsidR="00D76DCF" w:rsidRPr="00887108">
          <w:rPr>
            <w:rFonts w:asciiTheme="minorHAnsi" w:eastAsiaTheme="minorEastAsia" w:hAnsiTheme="minorHAnsi" w:cstheme="minorBidi"/>
            <w:b w:val="0"/>
          </w:rPr>
          <w:tab/>
        </w:r>
        <w:r w:rsidR="00D76DCF" w:rsidRPr="00887108">
          <w:rPr>
            <w:rStyle w:val="Hypertextovprepojenie"/>
            <w:b w:val="0"/>
          </w:rPr>
          <w:t>EKONOMICKÝ VÝHĽAD A PREDPOKLADY</w:t>
        </w:r>
        <w:r w:rsidR="00D76DCF" w:rsidRPr="00887108">
          <w:rPr>
            <w:b w:val="0"/>
            <w:webHidden/>
          </w:rPr>
          <w:tab/>
        </w:r>
        <w:r w:rsidR="00D76DCF" w:rsidRPr="00887108">
          <w:rPr>
            <w:b w:val="0"/>
            <w:webHidden/>
          </w:rPr>
          <w:fldChar w:fldCharType="begin"/>
        </w:r>
        <w:r w:rsidR="00D76DCF" w:rsidRPr="00887108">
          <w:rPr>
            <w:b w:val="0"/>
            <w:webHidden/>
          </w:rPr>
          <w:instrText xml:space="preserve"> PAGEREF _Toc40181041 \h </w:instrText>
        </w:r>
        <w:r w:rsidR="00D76DCF" w:rsidRPr="00887108">
          <w:rPr>
            <w:b w:val="0"/>
            <w:webHidden/>
          </w:rPr>
        </w:r>
        <w:r w:rsidR="00D76DCF" w:rsidRPr="00887108">
          <w:rPr>
            <w:b w:val="0"/>
            <w:webHidden/>
          </w:rPr>
          <w:fldChar w:fldCharType="separate"/>
        </w:r>
        <w:r w:rsidR="00D47A36">
          <w:rPr>
            <w:b w:val="0"/>
            <w:webHidden/>
          </w:rPr>
          <w:t>7</w:t>
        </w:r>
        <w:r w:rsidR="00D76DCF" w:rsidRPr="00887108">
          <w:rPr>
            <w:b w:val="0"/>
            <w:webHidden/>
          </w:rPr>
          <w:fldChar w:fldCharType="end"/>
        </w:r>
      </w:hyperlink>
    </w:p>
    <w:p w14:paraId="1D640266" w14:textId="77777777" w:rsidR="00D76DCF" w:rsidRPr="00887108" w:rsidRDefault="006F2B75">
      <w:pPr>
        <w:pStyle w:val="Obsah2"/>
        <w:rPr>
          <w:rFonts w:asciiTheme="minorHAnsi" w:eastAsiaTheme="minorEastAsia" w:hAnsiTheme="minorHAnsi" w:cstheme="minorBidi"/>
        </w:rPr>
      </w:pPr>
      <w:hyperlink w:anchor="_Toc40181042" w:history="1">
        <w:r w:rsidR="00D76DCF" w:rsidRPr="00887108">
          <w:rPr>
            <w:rStyle w:val="Hypertextovprepojenie"/>
          </w:rPr>
          <w:t>1.1</w:t>
        </w:r>
        <w:r w:rsidR="00D76DCF" w:rsidRPr="00887108">
          <w:rPr>
            <w:rFonts w:asciiTheme="minorHAnsi" w:eastAsiaTheme="minorEastAsia" w:hAnsiTheme="minorHAnsi" w:cstheme="minorBidi"/>
          </w:rPr>
          <w:tab/>
        </w:r>
        <w:r w:rsidR="00D76DCF" w:rsidRPr="00887108">
          <w:rPr>
            <w:rStyle w:val="Hypertextovprepojenie"/>
          </w:rPr>
          <w:t>Ekonomický vývoj na Slovensku v roku 2019</w:t>
        </w:r>
        <w:r w:rsidR="00D76DCF" w:rsidRPr="00887108">
          <w:rPr>
            <w:webHidden/>
          </w:rPr>
          <w:tab/>
        </w:r>
        <w:r w:rsidR="00D76DCF" w:rsidRPr="00887108">
          <w:rPr>
            <w:webHidden/>
          </w:rPr>
          <w:fldChar w:fldCharType="begin"/>
        </w:r>
        <w:r w:rsidR="00D76DCF" w:rsidRPr="00887108">
          <w:rPr>
            <w:webHidden/>
          </w:rPr>
          <w:instrText xml:space="preserve"> PAGEREF _Toc40181042 \h </w:instrText>
        </w:r>
        <w:r w:rsidR="00D76DCF" w:rsidRPr="00887108">
          <w:rPr>
            <w:webHidden/>
          </w:rPr>
        </w:r>
        <w:r w:rsidR="00D76DCF" w:rsidRPr="00887108">
          <w:rPr>
            <w:webHidden/>
          </w:rPr>
          <w:fldChar w:fldCharType="separate"/>
        </w:r>
        <w:r w:rsidR="00D47A36">
          <w:rPr>
            <w:webHidden/>
          </w:rPr>
          <w:t>7</w:t>
        </w:r>
        <w:r w:rsidR="00D76DCF" w:rsidRPr="00887108">
          <w:rPr>
            <w:webHidden/>
          </w:rPr>
          <w:fldChar w:fldCharType="end"/>
        </w:r>
      </w:hyperlink>
    </w:p>
    <w:p w14:paraId="20BCCD63" w14:textId="77777777" w:rsidR="00D76DCF" w:rsidRPr="00887108" w:rsidRDefault="006F2B75">
      <w:pPr>
        <w:pStyle w:val="Obsah2"/>
        <w:rPr>
          <w:rFonts w:asciiTheme="minorHAnsi" w:eastAsiaTheme="minorEastAsia" w:hAnsiTheme="minorHAnsi" w:cstheme="minorBidi"/>
        </w:rPr>
      </w:pPr>
      <w:hyperlink w:anchor="_Toc40181043" w:history="1">
        <w:r w:rsidR="00D76DCF" w:rsidRPr="00887108">
          <w:rPr>
            <w:rStyle w:val="Hypertextovprepojenie"/>
          </w:rPr>
          <w:t>1.2</w:t>
        </w:r>
        <w:r w:rsidR="00D76DCF" w:rsidRPr="00887108">
          <w:rPr>
            <w:rFonts w:asciiTheme="minorHAnsi" w:eastAsiaTheme="minorEastAsia" w:hAnsiTheme="minorHAnsi" w:cstheme="minorBidi"/>
          </w:rPr>
          <w:tab/>
        </w:r>
        <w:r w:rsidR="00D76DCF" w:rsidRPr="00887108">
          <w:rPr>
            <w:rStyle w:val="Hypertextovprepojenie"/>
          </w:rPr>
          <w:t>Strednodobá prognóza vývoja ekonomiky na roky 2020 až 2023</w:t>
        </w:r>
        <w:r w:rsidR="00D76DCF" w:rsidRPr="00887108">
          <w:rPr>
            <w:webHidden/>
          </w:rPr>
          <w:tab/>
        </w:r>
        <w:r w:rsidR="00D76DCF" w:rsidRPr="00887108">
          <w:rPr>
            <w:webHidden/>
          </w:rPr>
          <w:fldChar w:fldCharType="begin"/>
        </w:r>
        <w:r w:rsidR="00D76DCF" w:rsidRPr="00887108">
          <w:rPr>
            <w:webHidden/>
          </w:rPr>
          <w:instrText xml:space="preserve"> PAGEREF _Toc40181043 \h </w:instrText>
        </w:r>
        <w:r w:rsidR="00D76DCF" w:rsidRPr="00887108">
          <w:rPr>
            <w:webHidden/>
          </w:rPr>
        </w:r>
        <w:r w:rsidR="00D76DCF" w:rsidRPr="00887108">
          <w:rPr>
            <w:webHidden/>
          </w:rPr>
          <w:fldChar w:fldCharType="separate"/>
        </w:r>
        <w:r w:rsidR="00D47A36">
          <w:rPr>
            <w:webHidden/>
          </w:rPr>
          <w:t>7</w:t>
        </w:r>
        <w:r w:rsidR="00D76DCF" w:rsidRPr="00887108">
          <w:rPr>
            <w:webHidden/>
          </w:rPr>
          <w:fldChar w:fldCharType="end"/>
        </w:r>
      </w:hyperlink>
    </w:p>
    <w:p w14:paraId="062009A3" w14:textId="77777777" w:rsidR="00D76DCF" w:rsidRPr="00887108" w:rsidRDefault="006F2B75">
      <w:pPr>
        <w:pStyle w:val="Obsah2"/>
        <w:rPr>
          <w:rFonts w:asciiTheme="minorHAnsi" w:eastAsiaTheme="minorEastAsia" w:hAnsiTheme="minorHAnsi" w:cstheme="minorBidi"/>
        </w:rPr>
      </w:pPr>
      <w:hyperlink w:anchor="_Toc40181044" w:history="1">
        <w:r w:rsidR="00D76DCF" w:rsidRPr="00887108">
          <w:rPr>
            <w:rStyle w:val="Hypertextovprepojenie"/>
          </w:rPr>
          <w:t>1.3</w:t>
        </w:r>
        <w:r w:rsidR="00D76DCF" w:rsidRPr="00887108">
          <w:rPr>
            <w:rFonts w:asciiTheme="minorHAnsi" w:eastAsiaTheme="minorEastAsia" w:hAnsiTheme="minorHAnsi" w:cstheme="minorBidi"/>
          </w:rPr>
          <w:tab/>
        </w:r>
        <w:r w:rsidR="00D76DCF" w:rsidRPr="00887108">
          <w:rPr>
            <w:rStyle w:val="Hypertextovprepojenie"/>
          </w:rPr>
          <w:t>Cyklický vývoj ekonomiky</w:t>
        </w:r>
        <w:r w:rsidR="00D76DCF" w:rsidRPr="00887108">
          <w:rPr>
            <w:webHidden/>
          </w:rPr>
          <w:tab/>
        </w:r>
        <w:r w:rsidR="00D76DCF" w:rsidRPr="00887108">
          <w:rPr>
            <w:webHidden/>
          </w:rPr>
          <w:fldChar w:fldCharType="begin"/>
        </w:r>
        <w:r w:rsidR="00D76DCF" w:rsidRPr="00887108">
          <w:rPr>
            <w:webHidden/>
          </w:rPr>
          <w:instrText xml:space="preserve"> PAGEREF _Toc40181044 \h </w:instrText>
        </w:r>
        <w:r w:rsidR="00D76DCF" w:rsidRPr="00887108">
          <w:rPr>
            <w:webHidden/>
          </w:rPr>
        </w:r>
        <w:r w:rsidR="00D76DCF" w:rsidRPr="00887108">
          <w:rPr>
            <w:webHidden/>
          </w:rPr>
          <w:fldChar w:fldCharType="separate"/>
        </w:r>
        <w:r w:rsidR="00D47A36">
          <w:rPr>
            <w:webHidden/>
          </w:rPr>
          <w:t>10</w:t>
        </w:r>
        <w:r w:rsidR="00D76DCF" w:rsidRPr="00887108">
          <w:rPr>
            <w:webHidden/>
          </w:rPr>
          <w:fldChar w:fldCharType="end"/>
        </w:r>
      </w:hyperlink>
    </w:p>
    <w:p w14:paraId="161E6E4F" w14:textId="77777777" w:rsidR="00D76DCF" w:rsidRPr="00887108" w:rsidRDefault="006F2B75">
      <w:pPr>
        <w:pStyle w:val="Obsah2"/>
        <w:rPr>
          <w:rFonts w:asciiTheme="minorHAnsi" w:eastAsiaTheme="minorEastAsia" w:hAnsiTheme="minorHAnsi" w:cstheme="minorBidi"/>
        </w:rPr>
      </w:pPr>
      <w:hyperlink w:anchor="_Toc40181045" w:history="1">
        <w:r w:rsidR="00D76DCF" w:rsidRPr="00887108">
          <w:rPr>
            <w:rStyle w:val="Hypertextovprepojenie"/>
          </w:rPr>
          <w:t>1.4</w:t>
        </w:r>
        <w:r w:rsidR="00D76DCF" w:rsidRPr="00887108">
          <w:rPr>
            <w:rFonts w:asciiTheme="minorHAnsi" w:eastAsiaTheme="minorEastAsia" w:hAnsiTheme="minorHAnsi" w:cstheme="minorBidi"/>
          </w:rPr>
          <w:tab/>
        </w:r>
        <w:r w:rsidR="00D76DCF" w:rsidRPr="00887108">
          <w:rPr>
            <w:rStyle w:val="Hypertextovprepojenie"/>
          </w:rPr>
          <w:t>Porovnanie prognóz slovenskej ekonomiky MF SR s prognózami ostatných inštitúcií</w:t>
        </w:r>
        <w:r w:rsidR="00D76DCF" w:rsidRPr="00887108">
          <w:rPr>
            <w:webHidden/>
          </w:rPr>
          <w:tab/>
        </w:r>
        <w:r w:rsidR="00D76DCF" w:rsidRPr="00887108">
          <w:rPr>
            <w:webHidden/>
          </w:rPr>
          <w:fldChar w:fldCharType="begin"/>
        </w:r>
        <w:r w:rsidR="00D76DCF" w:rsidRPr="00887108">
          <w:rPr>
            <w:webHidden/>
          </w:rPr>
          <w:instrText xml:space="preserve"> PAGEREF _Toc40181045 \h </w:instrText>
        </w:r>
        <w:r w:rsidR="00D76DCF" w:rsidRPr="00887108">
          <w:rPr>
            <w:webHidden/>
          </w:rPr>
        </w:r>
        <w:r w:rsidR="00D76DCF" w:rsidRPr="00887108">
          <w:rPr>
            <w:webHidden/>
          </w:rPr>
          <w:fldChar w:fldCharType="separate"/>
        </w:r>
        <w:r w:rsidR="00D47A36">
          <w:rPr>
            <w:webHidden/>
          </w:rPr>
          <w:t>11</w:t>
        </w:r>
        <w:r w:rsidR="00D76DCF" w:rsidRPr="00887108">
          <w:rPr>
            <w:webHidden/>
          </w:rPr>
          <w:fldChar w:fldCharType="end"/>
        </w:r>
      </w:hyperlink>
    </w:p>
    <w:p w14:paraId="287A9A1A" w14:textId="77777777" w:rsidR="00D76DCF" w:rsidRPr="00887108" w:rsidRDefault="006F2B75">
      <w:pPr>
        <w:pStyle w:val="Obsah2"/>
        <w:rPr>
          <w:rFonts w:asciiTheme="minorHAnsi" w:eastAsiaTheme="minorEastAsia" w:hAnsiTheme="minorHAnsi" w:cstheme="minorBidi"/>
        </w:rPr>
      </w:pPr>
      <w:hyperlink w:anchor="_Toc40181046" w:history="1">
        <w:r w:rsidR="00D76DCF" w:rsidRPr="00887108">
          <w:rPr>
            <w:rStyle w:val="Hypertextovprepojenie"/>
          </w:rPr>
          <w:t>1.5</w:t>
        </w:r>
        <w:r w:rsidR="00D76DCF" w:rsidRPr="00887108">
          <w:rPr>
            <w:rFonts w:asciiTheme="minorHAnsi" w:eastAsiaTheme="minorEastAsia" w:hAnsiTheme="minorHAnsi" w:cstheme="minorBidi"/>
          </w:rPr>
          <w:tab/>
        </w:r>
        <w:r w:rsidR="00D76DCF" w:rsidRPr="00887108">
          <w:rPr>
            <w:rStyle w:val="Hypertextovprepojenie"/>
          </w:rPr>
          <w:t>Rizikové scenáre</w:t>
        </w:r>
        <w:r w:rsidR="00D76DCF" w:rsidRPr="00887108">
          <w:rPr>
            <w:webHidden/>
          </w:rPr>
          <w:tab/>
        </w:r>
        <w:r w:rsidR="00D76DCF" w:rsidRPr="00887108">
          <w:rPr>
            <w:webHidden/>
          </w:rPr>
          <w:fldChar w:fldCharType="begin"/>
        </w:r>
        <w:r w:rsidR="00D76DCF" w:rsidRPr="00887108">
          <w:rPr>
            <w:webHidden/>
          </w:rPr>
          <w:instrText xml:space="preserve"> PAGEREF _Toc40181046 \h </w:instrText>
        </w:r>
        <w:r w:rsidR="00D76DCF" w:rsidRPr="00887108">
          <w:rPr>
            <w:webHidden/>
          </w:rPr>
        </w:r>
        <w:r w:rsidR="00D76DCF" w:rsidRPr="00887108">
          <w:rPr>
            <w:webHidden/>
          </w:rPr>
          <w:fldChar w:fldCharType="separate"/>
        </w:r>
        <w:r w:rsidR="00D47A36">
          <w:rPr>
            <w:webHidden/>
          </w:rPr>
          <w:t>11</w:t>
        </w:r>
        <w:r w:rsidR="00D76DCF" w:rsidRPr="00887108">
          <w:rPr>
            <w:webHidden/>
          </w:rPr>
          <w:fldChar w:fldCharType="end"/>
        </w:r>
      </w:hyperlink>
    </w:p>
    <w:p w14:paraId="0276A347" w14:textId="77777777" w:rsidR="00D76DCF" w:rsidRPr="00887108" w:rsidRDefault="006F2B75">
      <w:pPr>
        <w:pStyle w:val="Obsah1"/>
        <w:rPr>
          <w:rFonts w:asciiTheme="minorHAnsi" w:eastAsiaTheme="minorEastAsia" w:hAnsiTheme="minorHAnsi" w:cstheme="minorBidi"/>
          <w:b w:val="0"/>
        </w:rPr>
      </w:pPr>
      <w:hyperlink w:anchor="_Toc40181047" w:history="1">
        <w:r w:rsidR="00D76DCF" w:rsidRPr="00887108">
          <w:rPr>
            <w:rStyle w:val="Hypertextovprepojenie"/>
            <w:b w:val="0"/>
          </w:rPr>
          <w:t>2</w:t>
        </w:r>
        <w:r w:rsidR="00D76DCF" w:rsidRPr="00887108">
          <w:rPr>
            <w:rFonts w:asciiTheme="minorHAnsi" w:eastAsiaTheme="minorEastAsia" w:hAnsiTheme="minorHAnsi" w:cstheme="minorBidi"/>
            <w:b w:val="0"/>
          </w:rPr>
          <w:tab/>
        </w:r>
        <w:r w:rsidR="00D76DCF" w:rsidRPr="00887108">
          <w:rPr>
            <w:rStyle w:val="Hypertextovprepojenie"/>
            <w:b w:val="0"/>
          </w:rPr>
          <w:t>POZÍCIA VEREJNÝCH FINANCIÍ</w:t>
        </w:r>
        <w:r w:rsidR="00D76DCF" w:rsidRPr="00887108">
          <w:rPr>
            <w:b w:val="0"/>
            <w:webHidden/>
          </w:rPr>
          <w:tab/>
        </w:r>
        <w:r w:rsidR="00D76DCF" w:rsidRPr="00887108">
          <w:rPr>
            <w:b w:val="0"/>
            <w:webHidden/>
          </w:rPr>
          <w:fldChar w:fldCharType="begin"/>
        </w:r>
        <w:r w:rsidR="00D76DCF" w:rsidRPr="00887108">
          <w:rPr>
            <w:b w:val="0"/>
            <w:webHidden/>
          </w:rPr>
          <w:instrText xml:space="preserve"> PAGEREF _Toc40181047 \h </w:instrText>
        </w:r>
        <w:r w:rsidR="00D76DCF" w:rsidRPr="00887108">
          <w:rPr>
            <w:b w:val="0"/>
            <w:webHidden/>
          </w:rPr>
        </w:r>
        <w:r w:rsidR="00D76DCF" w:rsidRPr="00887108">
          <w:rPr>
            <w:b w:val="0"/>
            <w:webHidden/>
          </w:rPr>
          <w:fldChar w:fldCharType="separate"/>
        </w:r>
        <w:r w:rsidR="00D47A36">
          <w:rPr>
            <w:b w:val="0"/>
            <w:webHidden/>
          </w:rPr>
          <w:t>13</w:t>
        </w:r>
        <w:r w:rsidR="00D76DCF" w:rsidRPr="00887108">
          <w:rPr>
            <w:b w:val="0"/>
            <w:webHidden/>
          </w:rPr>
          <w:fldChar w:fldCharType="end"/>
        </w:r>
      </w:hyperlink>
    </w:p>
    <w:p w14:paraId="1C628761" w14:textId="77777777" w:rsidR="00D76DCF" w:rsidRPr="00887108" w:rsidRDefault="006F2B75">
      <w:pPr>
        <w:pStyle w:val="Obsah2"/>
        <w:rPr>
          <w:rFonts w:asciiTheme="minorHAnsi" w:eastAsiaTheme="minorEastAsia" w:hAnsiTheme="minorHAnsi" w:cstheme="minorBidi"/>
        </w:rPr>
      </w:pPr>
      <w:hyperlink w:anchor="_Toc40181048" w:history="1">
        <w:r w:rsidR="00D76DCF" w:rsidRPr="00887108">
          <w:rPr>
            <w:rStyle w:val="Hypertextovprepojenie"/>
          </w:rPr>
          <w:t>2.1</w:t>
        </w:r>
        <w:r w:rsidR="00D76DCF" w:rsidRPr="00887108">
          <w:rPr>
            <w:rFonts w:asciiTheme="minorHAnsi" w:eastAsiaTheme="minorEastAsia" w:hAnsiTheme="minorHAnsi" w:cstheme="minorBidi"/>
          </w:rPr>
          <w:tab/>
        </w:r>
        <w:r w:rsidR="00D76DCF" w:rsidRPr="00887108">
          <w:rPr>
            <w:rStyle w:val="Hypertextovprepojenie"/>
          </w:rPr>
          <w:t>Saldo verejnej správy v roku 2019</w:t>
        </w:r>
        <w:r w:rsidR="00D76DCF" w:rsidRPr="00887108">
          <w:rPr>
            <w:webHidden/>
          </w:rPr>
          <w:tab/>
        </w:r>
        <w:r w:rsidR="00D76DCF" w:rsidRPr="00887108">
          <w:rPr>
            <w:webHidden/>
          </w:rPr>
          <w:fldChar w:fldCharType="begin"/>
        </w:r>
        <w:r w:rsidR="00D76DCF" w:rsidRPr="00887108">
          <w:rPr>
            <w:webHidden/>
          </w:rPr>
          <w:instrText xml:space="preserve"> PAGEREF _Toc40181048 \h </w:instrText>
        </w:r>
        <w:r w:rsidR="00D76DCF" w:rsidRPr="00887108">
          <w:rPr>
            <w:webHidden/>
          </w:rPr>
        </w:r>
        <w:r w:rsidR="00D76DCF" w:rsidRPr="00887108">
          <w:rPr>
            <w:webHidden/>
          </w:rPr>
          <w:fldChar w:fldCharType="separate"/>
        </w:r>
        <w:r w:rsidR="00D47A36">
          <w:rPr>
            <w:webHidden/>
          </w:rPr>
          <w:t>13</w:t>
        </w:r>
        <w:r w:rsidR="00D76DCF" w:rsidRPr="00887108">
          <w:rPr>
            <w:webHidden/>
          </w:rPr>
          <w:fldChar w:fldCharType="end"/>
        </w:r>
      </w:hyperlink>
    </w:p>
    <w:p w14:paraId="0AF04AA4" w14:textId="77777777" w:rsidR="00D76DCF" w:rsidRPr="00887108" w:rsidRDefault="006F2B75">
      <w:pPr>
        <w:pStyle w:val="Obsah2"/>
        <w:rPr>
          <w:rFonts w:asciiTheme="minorHAnsi" w:eastAsiaTheme="minorEastAsia" w:hAnsiTheme="minorHAnsi" w:cstheme="minorBidi"/>
        </w:rPr>
      </w:pPr>
      <w:hyperlink w:anchor="_Toc40181049" w:history="1">
        <w:r w:rsidR="00D76DCF" w:rsidRPr="00887108">
          <w:rPr>
            <w:rStyle w:val="Hypertextovprepojenie"/>
          </w:rPr>
          <w:t>2.2</w:t>
        </w:r>
        <w:r w:rsidR="00D76DCF" w:rsidRPr="00887108">
          <w:rPr>
            <w:rFonts w:asciiTheme="minorHAnsi" w:eastAsiaTheme="minorEastAsia" w:hAnsiTheme="minorHAnsi" w:cstheme="minorBidi"/>
          </w:rPr>
          <w:tab/>
        </w:r>
        <w:r w:rsidR="00D76DCF" w:rsidRPr="00887108">
          <w:rPr>
            <w:rStyle w:val="Hypertextovprepojenie"/>
          </w:rPr>
          <w:t>Aktuálny vývoj v roku 2020</w:t>
        </w:r>
        <w:r w:rsidR="00D76DCF" w:rsidRPr="00887108">
          <w:rPr>
            <w:webHidden/>
          </w:rPr>
          <w:tab/>
        </w:r>
        <w:r w:rsidR="00D76DCF" w:rsidRPr="00887108">
          <w:rPr>
            <w:webHidden/>
          </w:rPr>
          <w:fldChar w:fldCharType="begin"/>
        </w:r>
        <w:r w:rsidR="00D76DCF" w:rsidRPr="00887108">
          <w:rPr>
            <w:webHidden/>
          </w:rPr>
          <w:instrText xml:space="preserve"> PAGEREF _Toc40181049 \h </w:instrText>
        </w:r>
        <w:r w:rsidR="00D76DCF" w:rsidRPr="00887108">
          <w:rPr>
            <w:webHidden/>
          </w:rPr>
        </w:r>
        <w:r w:rsidR="00D76DCF" w:rsidRPr="00887108">
          <w:rPr>
            <w:webHidden/>
          </w:rPr>
          <w:fldChar w:fldCharType="separate"/>
        </w:r>
        <w:r w:rsidR="00D47A36">
          <w:rPr>
            <w:webHidden/>
          </w:rPr>
          <w:t>15</w:t>
        </w:r>
        <w:r w:rsidR="00D76DCF" w:rsidRPr="00887108">
          <w:rPr>
            <w:webHidden/>
          </w:rPr>
          <w:fldChar w:fldCharType="end"/>
        </w:r>
      </w:hyperlink>
    </w:p>
    <w:p w14:paraId="3F6C3B1D" w14:textId="77777777" w:rsidR="00D76DCF" w:rsidRPr="00887108" w:rsidRDefault="006F2B75">
      <w:pPr>
        <w:pStyle w:val="Obsah2"/>
        <w:rPr>
          <w:rFonts w:asciiTheme="minorHAnsi" w:eastAsiaTheme="minorEastAsia" w:hAnsiTheme="minorHAnsi" w:cstheme="minorBidi"/>
        </w:rPr>
      </w:pPr>
      <w:hyperlink w:anchor="_Toc40181050" w:history="1">
        <w:r w:rsidR="00D76DCF" w:rsidRPr="00887108">
          <w:rPr>
            <w:rStyle w:val="Hypertextovprepojenie"/>
          </w:rPr>
          <w:t>2.3</w:t>
        </w:r>
        <w:r w:rsidR="00D76DCF" w:rsidRPr="00887108">
          <w:rPr>
            <w:rFonts w:asciiTheme="minorHAnsi" w:eastAsiaTheme="minorEastAsia" w:hAnsiTheme="minorHAnsi" w:cstheme="minorBidi"/>
          </w:rPr>
          <w:tab/>
        </w:r>
        <w:r w:rsidR="00D76DCF" w:rsidRPr="00887108">
          <w:rPr>
            <w:rStyle w:val="Hypertextovprepojenie"/>
          </w:rPr>
          <w:t>Strednodobý rozpočtový výhľad na roky 2021 až 2023</w:t>
        </w:r>
        <w:r w:rsidR="00D76DCF" w:rsidRPr="00887108">
          <w:rPr>
            <w:webHidden/>
          </w:rPr>
          <w:tab/>
        </w:r>
        <w:r w:rsidR="00D76DCF" w:rsidRPr="00887108">
          <w:rPr>
            <w:webHidden/>
          </w:rPr>
          <w:fldChar w:fldCharType="begin"/>
        </w:r>
        <w:r w:rsidR="00D76DCF" w:rsidRPr="00887108">
          <w:rPr>
            <w:webHidden/>
          </w:rPr>
          <w:instrText xml:space="preserve"> PAGEREF _Toc40181050 \h </w:instrText>
        </w:r>
        <w:r w:rsidR="00D76DCF" w:rsidRPr="00887108">
          <w:rPr>
            <w:webHidden/>
          </w:rPr>
        </w:r>
        <w:r w:rsidR="00D76DCF" w:rsidRPr="00887108">
          <w:rPr>
            <w:webHidden/>
          </w:rPr>
          <w:fldChar w:fldCharType="separate"/>
        </w:r>
        <w:r w:rsidR="00D47A36">
          <w:rPr>
            <w:webHidden/>
          </w:rPr>
          <w:t>19</w:t>
        </w:r>
        <w:r w:rsidR="00D76DCF" w:rsidRPr="00887108">
          <w:rPr>
            <w:webHidden/>
          </w:rPr>
          <w:fldChar w:fldCharType="end"/>
        </w:r>
      </w:hyperlink>
    </w:p>
    <w:p w14:paraId="36249097" w14:textId="77777777" w:rsidR="00D76DCF" w:rsidRPr="00887108" w:rsidRDefault="006F2B75">
      <w:pPr>
        <w:pStyle w:val="Obsah2"/>
        <w:rPr>
          <w:rFonts w:asciiTheme="minorHAnsi" w:eastAsiaTheme="minorEastAsia" w:hAnsiTheme="minorHAnsi" w:cstheme="minorBidi"/>
        </w:rPr>
      </w:pPr>
      <w:hyperlink w:anchor="_Toc40181051" w:history="1">
        <w:r w:rsidR="00D76DCF" w:rsidRPr="00887108">
          <w:rPr>
            <w:rStyle w:val="Hypertextovprepojenie"/>
          </w:rPr>
          <w:t>2.4</w:t>
        </w:r>
        <w:r w:rsidR="00D76DCF" w:rsidRPr="00887108">
          <w:rPr>
            <w:rFonts w:asciiTheme="minorHAnsi" w:eastAsiaTheme="minorEastAsia" w:hAnsiTheme="minorHAnsi" w:cstheme="minorBidi"/>
          </w:rPr>
          <w:tab/>
        </w:r>
        <w:r w:rsidR="00D76DCF" w:rsidRPr="00887108">
          <w:rPr>
            <w:rStyle w:val="Hypertextovprepojenie"/>
          </w:rPr>
          <w:t>Štrukturálne saldo</w:t>
        </w:r>
        <w:r w:rsidR="00D76DCF" w:rsidRPr="00887108">
          <w:rPr>
            <w:webHidden/>
          </w:rPr>
          <w:tab/>
        </w:r>
        <w:r w:rsidR="00D76DCF" w:rsidRPr="00887108">
          <w:rPr>
            <w:webHidden/>
          </w:rPr>
          <w:fldChar w:fldCharType="begin"/>
        </w:r>
        <w:r w:rsidR="00D76DCF" w:rsidRPr="00887108">
          <w:rPr>
            <w:webHidden/>
          </w:rPr>
          <w:instrText xml:space="preserve"> PAGEREF _Toc40181051 \h </w:instrText>
        </w:r>
        <w:r w:rsidR="00D76DCF" w:rsidRPr="00887108">
          <w:rPr>
            <w:webHidden/>
          </w:rPr>
        </w:r>
        <w:r w:rsidR="00D76DCF" w:rsidRPr="00887108">
          <w:rPr>
            <w:webHidden/>
          </w:rPr>
          <w:fldChar w:fldCharType="separate"/>
        </w:r>
        <w:r w:rsidR="00D47A36">
          <w:rPr>
            <w:webHidden/>
          </w:rPr>
          <w:t>20</w:t>
        </w:r>
        <w:r w:rsidR="00D76DCF" w:rsidRPr="00887108">
          <w:rPr>
            <w:webHidden/>
          </w:rPr>
          <w:fldChar w:fldCharType="end"/>
        </w:r>
      </w:hyperlink>
    </w:p>
    <w:p w14:paraId="33CBCE84" w14:textId="77777777" w:rsidR="00D76DCF" w:rsidRPr="00887108" w:rsidRDefault="006F2B75">
      <w:pPr>
        <w:pStyle w:val="Obsah2"/>
        <w:rPr>
          <w:rFonts w:asciiTheme="minorHAnsi" w:eastAsiaTheme="minorEastAsia" w:hAnsiTheme="minorHAnsi" w:cstheme="minorBidi"/>
        </w:rPr>
      </w:pPr>
      <w:hyperlink w:anchor="_Toc40181052" w:history="1">
        <w:r w:rsidR="00D76DCF" w:rsidRPr="00887108">
          <w:rPr>
            <w:rStyle w:val="Hypertextovprepojenie"/>
          </w:rPr>
          <w:t>2.5</w:t>
        </w:r>
        <w:r w:rsidR="00D76DCF" w:rsidRPr="00887108">
          <w:rPr>
            <w:rFonts w:asciiTheme="minorHAnsi" w:eastAsiaTheme="minorEastAsia" w:hAnsiTheme="minorHAnsi" w:cstheme="minorBidi"/>
          </w:rPr>
          <w:tab/>
        </w:r>
        <w:r w:rsidR="00D76DCF" w:rsidRPr="00887108">
          <w:rPr>
            <w:rStyle w:val="Hypertextovprepojenie"/>
          </w:rPr>
          <w:t xml:space="preserve">Verejný </w:t>
        </w:r>
        <w:r w:rsidR="00D76DCF" w:rsidRPr="00887108">
          <w:rPr>
            <w:rStyle w:val="Hypertextovprepojenie"/>
          </w:rPr>
          <w:t>d</w:t>
        </w:r>
        <w:r w:rsidR="00D76DCF" w:rsidRPr="00887108">
          <w:rPr>
            <w:rStyle w:val="Hypertextovprepojenie"/>
          </w:rPr>
          <w:t>lh</w:t>
        </w:r>
        <w:r w:rsidR="00D76DCF" w:rsidRPr="00887108">
          <w:rPr>
            <w:webHidden/>
          </w:rPr>
          <w:tab/>
        </w:r>
        <w:r w:rsidR="00D76DCF" w:rsidRPr="00887108">
          <w:rPr>
            <w:webHidden/>
          </w:rPr>
          <w:fldChar w:fldCharType="begin"/>
        </w:r>
        <w:r w:rsidR="00D76DCF" w:rsidRPr="00887108">
          <w:rPr>
            <w:webHidden/>
          </w:rPr>
          <w:instrText xml:space="preserve"> PAGEREF _Toc40181052 \h </w:instrText>
        </w:r>
        <w:r w:rsidR="00D76DCF" w:rsidRPr="00887108">
          <w:rPr>
            <w:webHidden/>
          </w:rPr>
        </w:r>
        <w:r w:rsidR="00D76DCF" w:rsidRPr="00887108">
          <w:rPr>
            <w:webHidden/>
          </w:rPr>
          <w:fldChar w:fldCharType="separate"/>
        </w:r>
        <w:r w:rsidR="00D47A36">
          <w:rPr>
            <w:webHidden/>
          </w:rPr>
          <w:t>22</w:t>
        </w:r>
        <w:r w:rsidR="00D76DCF" w:rsidRPr="00887108">
          <w:rPr>
            <w:webHidden/>
          </w:rPr>
          <w:fldChar w:fldCharType="end"/>
        </w:r>
      </w:hyperlink>
    </w:p>
    <w:p w14:paraId="2CBE79BE" w14:textId="77777777" w:rsidR="00D76DCF" w:rsidRPr="00887108" w:rsidRDefault="006F2B75">
      <w:pPr>
        <w:pStyle w:val="Obsah1"/>
        <w:rPr>
          <w:rFonts w:asciiTheme="minorHAnsi" w:eastAsiaTheme="minorEastAsia" w:hAnsiTheme="minorHAnsi" w:cstheme="minorBidi"/>
          <w:b w:val="0"/>
        </w:rPr>
      </w:pPr>
      <w:hyperlink w:anchor="_Toc40181053" w:history="1">
        <w:r w:rsidR="00D76DCF" w:rsidRPr="00887108">
          <w:rPr>
            <w:rStyle w:val="Hypertextovprepojenie"/>
            <w:rFonts w:cs="Arial Narrow"/>
            <w:b w:val="0"/>
          </w:rPr>
          <w:t>3</w:t>
        </w:r>
        <w:r w:rsidR="00D76DCF" w:rsidRPr="00887108">
          <w:rPr>
            <w:rFonts w:asciiTheme="minorHAnsi" w:eastAsiaTheme="minorEastAsia" w:hAnsiTheme="minorHAnsi" w:cstheme="minorBidi"/>
            <w:b w:val="0"/>
          </w:rPr>
          <w:tab/>
        </w:r>
        <w:r w:rsidR="00D76DCF" w:rsidRPr="00887108">
          <w:rPr>
            <w:rStyle w:val="Hypertextovprepojenie"/>
            <w:b w:val="0"/>
          </w:rPr>
          <w:t>UDRŽATEĽNOSŤ VEREJNÝCH FINANCIÍ</w:t>
        </w:r>
        <w:r w:rsidR="00D76DCF" w:rsidRPr="00887108">
          <w:rPr>
            <w:b w:val="0"/>
            <w:webHidden/>
          </w:rPr>
          <w:tab/>
        </w:r>
        <w:r w:rsidR="00D76DCF" w:rsidRPr="00887108">
          <w:rPr>
            <w:b w:val="0"/>
            <w:webHidden/>
          </w:rPr>
          <w:fldChar w:fldCharType="begin"/>
        </w:r>
        <w:r w:rsidR="00D76DCF" w:rsidRPr="00887108">
          <w:rPr>
            <w:b w:val="0"/>
            <w:webHidden/>
          </w:rPr>
          <w:instrText xml:space="preserve"> PAGEREF _Toc40181053 \h </w:instrText>
        </w:r>
        <w:r w:rsidR="00D76DCF" w:rsidRPr="00887108">
          <w:rPr>
            <w:b w:val="0"/>
            <w:webHidden/>
          </w:rPr>
        </w:r>
        <w:r w:rsidR="00D76DCF" w:rsidRPr="00887108">
          <w:rPr>
            <w:b w:val="0"/>
            <w:webHidden/>
          </w:rPr>
          <w:fldChar w:fldCharType="separate"/>
        </w:r>
        <w:r w:rsidR="00D47A36">
          <w:rPr>
            <w:b w:val="0"/>
            <w:webHidden/>
          </w:rPr>
          <w:t>26</w:t>
        </w:r>
        <w:r w:rsidR="00D76DCF" w:rsidRPr="00887108">
          <w:rPr>
            <w:b w:val="0"/>
            <w:webHidden/>
          </w:rPr>
          <w:fldChar w:fldCharType="end"/>
        </w:r>
      </w:hyperlink>
    </w:p>
    <w:p w14:paraId="2251350F" w14:textId="77777777" w:rsidR="00D76DCF" w:rsidRPr="00887108" w:rsidRDefault="006F2B75">
      <w:pPr>
        <w:pStyle w:val="Obsah2"/>
        <w:rPr>
          <w:rFonts w:asciiTheme="minorHAnsi" w:eastAsiaTheme="minorEastAsia" w:hAnsiTheme="minorHAnsi" w:cstheme="minorBidi"/>
        </w:rPr>
      </w:pPr>
      <w:hyperlink w:anchor="_Toc40181054" w:history="1">
        <w:r w:rsidR="00D76DCF" w:rsidRPr="00887108">
          <w:rPr>
            <w:rStyle w:val="Hypertextovprepojenie"/>
          </w:rPr>
          <w:t>3.1</w:t>
        </w:r>
        <w:r w:rsidR="00D76DCF" w:rsidRPr="00887108">
          <w:rPr>
            <w:rFonts w:asciiTheme="minorHAnsi" w:eastAsiaTheme="minorEastAsia" w:hAnsiTheme="minorHAnsi" w:cstheme="minorBidi"/>
          </w:rPr>
          <w:tab/>
        </w:r>
        <w:r w:rsidR="00D76DCF" w:rsidRPr="00887108">
          <w:rPr>
            <w:rStyle w:val="Hypertextovprepojenie"/>
          </w:rPr>
          <w:t>Hodnotenie celkovej udržateľnosti verejných financií</w:t>
        </w:r>
        <w:r w:rsidR="00D76DCF" w:rsidRPr="00887108">
          <w:rPr>
            <w:webHidden/>
          </w:rPr>
          <w:tab/>
        </w:r>
        <w:r w:rsidR="00D76DCF" w:rsidRPr="00887108">
          <w:rPr>
            <w:webHidden/>
          </w:rPr>
          <w:fldChar w:fldCharType="begin"/>
        </w:r>
        <w:r w:rsidR="00D76DCF" w:rsidRPr="00887108">
          <w:rPr>
            <w:webHidden/>
          </w:rPr>
          <w:instrText xml:space="preserve"> PAGEREF _Toc40181054 \h </w:instrText>
        </w:r>
        <w:r w:rsidR="00D76DCF" w:rsidRPr="00887108">
          <w:rPr>
            <w:webHidden/>
          </w:rPr>
        </w:r>
        <w:r w:rsidR="00D76DCF" w:rsidRPr="00887108">
          <w:rPr>
            <w:webHidden/>
          </w:rPr>
          <w:fldChar w:fldCharType="separate"/>
        </w:r>
        <w:r w:rsidR="00D47A36">
          <w:rPr>
            <w:webHidden/>
          </w:rPr>
          <w:t>26</w:t>
        </w:r>
        <w:r w:rsidR="00D76DCF" w:rsidRPr="00887108">
          <w:rPr>
            <w:webHidden/>
          </w:rPr>
          <w:fldChar w:fldCharType="end"/>
        </w:r>
      </w:hyperlink>
    </w:p>
    <w:p w14:paraId="206D3B6C" w14:textId="77777777" w:rsidR="00D76DCF" w:rsidRPr="00887108" w:rsidRDefault="006F2B75">
      <w:pPr>
        <w:pStyle w:val="Obsah1"/>
        <w:rPr>
          <w:rFonts w:asciiTheme="minorHAnsi" w:eastAsiaTheme="minorEastAsia" w:hAnsiTheme="minorHAnsi" w:cstheme="minorBidi"/>
          <w:b w:val="0"/>
        </w:rPr>
      </w:pPr>
      <w:hyperlink w:anchor="_Toc40181055" w:history="1">
        <w:r w:rsidR="00D76DCF" w:rsidRPr="00887108">
          <w:rPr>
            <w:rStyle w:val="Hypertextovprepojenie"/>
            <w:rFonts w:cs="Arial Narrow"/>
            <w:b w:val="0"/>
          </w:rPr>
          <w:t>4</w:t>
        </w:r>
        <w:r w:rsidR="00D76DCF" w:rsidRPr="00887108">
          <w:rPr>
            <w:rFonts w:asciiTheme="minorHAnsi" w:eastAsiaTheme="minorEastAsia" w:hAnsiTheme="minorHAnsi" w:cstheme="minorBidi"/>
            <w:b w:val="0"/>
          </w:rPr>
          <w:tab/>
        </w:r>
        <w:r w:rsidR="00D76DCF" w:rsidRPr="00887108">
          <w:rPr>
            <w:rStyle w:val="Hypertextovprepojenie"/>
            <w:rFonts w:cs="Arial Narrow"/>
            <w:b w:val="0"/>
          </w:rPr>
          <w:t>INŠTITUCIONÁLNE ASPEKTY VEREJNÝCH FINANCIÍ</w:t>
        </w:r>
        <w:r w:rsidR="00D76DCF" w:rsidRPr="00887108">
          <w:rPr>
            <w:b w:val="0"/>
            <w:webHidden/>
          </w:rPr>
          <w:tab/>
        </w:r>
        <w:r w:rsidR="00D76DCF" w:rsidRPr="00887108">
          <w:rPr>
            <w:b w:val="0"/>
            <w:webHidden/>
          </w:rPr>
          <w:fldChar w:fldCharType="begin"/>
        </w:r>
        <w:r w:rsidR="00D76DCF" w:rsidRPr="00887108">
          <w:rPr>
            <w:b w:val="0"/>
            <w:webHidden/>
          </w:rPr>
          <w:instrText xml:space="preserve"> PAGEREF _Toc40181055 \h </w:instrText>
        </w:r>
        <w:r w:rsidR="00D76DCF" w:rsidRPr="00887108">
          <w:rPr>
            <w:b w:val="0"/>
            <w:webHidden/>
          </w:rPr>
        </w:r>
        <w:r w:rsidR="00D76DCF" w:rsidRPr="00887108">
          <w:rPr>
            <w:b w:val="0"/>
            <w:webHidden/>
          </w:rPr>
          <w:fldChar w:fldCharType="separate"/>
        </w:r>
        <w:r w:rsidR="00D47A36">
          <w:rPr>
            <w:b w:val="0"/>
            <w:webHidden/>
          </w:rPr>
          <w:t>31</w:t>
        </w:r>
        <w:r w:rsidR="00D76DCF" w:rsidRPr="00887108">
          <w:rPr>
            <w:b w:val="0"/>
            <w:webHidden/>
          </w:rPr>
          <w:fldChar w:fldCharType="end"/>
        </w:r>
      </w:hyperlink>
    </w:p>
    <w:p w14:paraId="198D4FD7" w14:textId="77777777" w:rsidR="00D76DCF" w:rsidRPr="00887108" w:rsidRDefault="006F2B75">
      <w:pPr>
        <w:pStyle w:val="Obsah1"/>
        <w:rPr>
          <w:rFonts w:asciiTheme="minorHAnsi" w:eastAsiaTheme="minorEastAsia" w:hAnsiTheme="minorHAnsi" w:cstheme="minorBidi"/>
          <w:b w:val="0"/>
        </w:rPr>
      </w:pPr>
      <w:hyperlink w:anchor="_Toc40181056" w:history="1">
        <w:r w:rsidR="00D76DCF" w:rsidRPr="00887108">
          <w:rPr>
            <w:rStyle w:val="Hypertextovprepojenie"/>
            <w:rFonts w:cs="Arial Narrow"/>
            <w:b w:val="0"/>
          </w:rPr>
          <w:t>5</w:t>
        </w:r>
        <w:r w:rsidR="00D76DCF" w:rsidRPr="00887108">
          <w:rPr>
            <w:rFonts w:asciiTheme="minorHAnsi" w:eastAsiaTheme="minorEastAsia" w:hAnsiTheme="minorHAnsi" w:cstheme="minorBidi"/>
            <w:b w:val="0"/>
          </w:rPr>
          <w:tab/>
        </w:r>
        <w:r w:rsidR="00D76DCF" w:rsidRPr="00887108">
          <w:rPr>
            <w:rStyle w:val="Hypertextovprepojenie"/>
            <w:rFonts w:cs="Arial Narrow"/>
            <w:b w:val="0"/>
          </w:rPr>
          <w:t>ŠTRUKTURÁLNE POLITIKY</w:t>
        </w:r>
        <w:r w:rsidR="00D76DCF" w:rsidRPr="00887108">
          <w:rPr>
            <w:b w:val="0"/>
            <w:webHidden/>
          </w:rPr>
          <w:tab/>
        </w:r>
        <w:r w:rsidR="00D76DCF" w:rsidRPr="00887108">
          <w:rPr>
            <w:b w:val="0"/>
            <w:webHidden/>
          </w:rPr>
          <w:fldChar w:fldCharType="begin"/>
        </w:r>
        <w:r w:rsidR="00D76DCF" w:rsidRPr="00887108">
          <w:rPr>
            <w:b w:val="0"/>
            <w:webHidden/>
          </w:rPr>
          <w:instrText xml:space="preserve"> PAGEREF _Toc40181056 \h </w:instrText>
        </w:r>
        <w:r w:rsidR="00D76DCF" w:rsidRPr="00887108">
          <w:rPr>
            <w:b w:val="0"/>
            <w:webHidden/>
          </w:rPr>
        </w:r>
        <w:r w:rsidR="00D76DCF" w:rsidRPr="00887108">
          <w:rPr>
            <w:b w:val="0"/>
            <w:webHidden/>
          </w:rPr>
          <w:fldChar w:fldCharType="separate"/>
        </w:r>
        <w:r w:rsidR="00D47A36">
          <w:rPr>
            <w:b w:val="0"/>
            <w:webHidden/>
          </w:rPr>
          <w:t>33</w:t>
        </w:r>
        <w:r w:rsidR="00D76DCF" w:rsidRPr="00887108">
          <w:rPr>
            <w:b w:val="0"/>
            <w:webHidden/>
          </w:rPr>
          <w:fldChar w:fldCharType="end"/>
        </w:r>
      </w:hyperlink>
    </w:p>
    <w:p w14:paraId="5D3CA805" w14:textId="77777777" w:rsidR="00D76DCF" w:rsidRPr="00887108" w:rsidRDefault="006F2B75">
      <w:pPr>
        <w:pStyle w:val="Obsah1"/>
        <w:rPr>
          <w:rFonts w:asciiTheme="minorHAnsi" w:eastAsiaTheme="minorEastAsia" w:hAnsiTheme="minorHAnsi" w:cstheme="minorBidi"/>
          <w:b w:val="0"/>
        </w:rPr>
      </w:pPr>
      <w:hyperlink w:anchor="_Toc40181057" w:history="1">
        <w:r w:rsidR="00D76DCF" w:rsidRPr="00887108">
          <w:rPr>
            <w:rStyle w:val="Hypertextovprepojenie"/>
            <w:b w:val="0"/>
          </w:rPr>
          <w:t>PRÍLOHY</w:t>
        </w:r>
        <w:r w:rsidR="00D76DCF" w:rsidRPr="00887108">
          <w:rPr>
            <w:b w:val="0"/>
            <w:webHidden/>
          </w:rPr>
          <w:tab/>
        </w:r>
        <w:r w:rsidR="00D76DCF" w:rsidRPr="00887108">
          <w:rPr>
            <w:b w:val="0"/>
            <w:webHidden/>
          </w:rPr>
          <w:fldChar w:fldCharType="begin"/>
        </w:r>
        <w:r w:rsidR="00D76DCF" w:rsidRPr="00887108">
          <w:rPr>
            <w:b w:val="0"/>
            <w:webHidden/>
          </w:rPr>
          <w:instrText xml:space="preserve"> PAGEREF _Toc40181057 \h </w:instrText>
        </w:r>
        <w:r w:rsidR="00D76DCF" w:rsidRPr="00887108">
          <w:rPr>
            <w:b w:val="0"/>
            <w:webHidden/>
          </w:rPr>
        </w:r>
        <w:r w:rsidR="00D76DCF" w:rsidRPr="00887108">
          <w:rPr>
            <w:b w:val="0"/>
            <w:webHidden/>
          </w:rPr>
          <w:fldChar w:fldCharType="separate"/>
        </w:r>
        <w:r w:rsidR="00D47A36">
          <w:rPr>
            <w:b w:val="0"/>
            <w:webHidden/>
          </w:rPr>
          <w:t>36</w:t>
        </w:r>
        <w:r w:rsidR="00D76DCF" w:rsidRPr="00887108">
          <w:rPr>
            <w:b w:val="0"/>
            <w:webHidden/>
          </w:rPr>
          <w:fldChar w:fldCharType="end"/>
        </w:r>
      </w:hyperlink>
    </w:p>
    <w:p w14:paraId="59B40E67" w14:textId="77777777" w:rsidR="00916904" w:rsidRPr="00887108" w:rsidRDefault="00916904" w:rsidP="00916904">
      <w:pPr>
        <w:rPr>
          <w:highlight w:val="yellow"/>
        </w:rPr>
      </w:pPr>
      <w:r w:rsidRPr="00887108">
        <w:fldChar w:fldCharType="end"/>
      </w:r>
      <w:r w:rsidRPr="00887108">
        <w:rPr>
          <w:highlight w:val="yellow"/>
        </w:rPr>
        <w:br w:type="page"/>
      </w:r>
    </w:p>
    <w:p w14:paraId="6B99792E" w14:textId="77777777" w:rsidR="00916904" w:rsidRPr="00887108" w:rsidRDefault="00916904" w:rsidP="00916904">
      <w:pPr>
        <w:spacing w:after="240"/>
        <w:rPr>
          <w:rFonts w:cs="Arial Narrow"/>
          <w:b/>
          <w:color w:val="2C9ADC"/>
        </w:rPr>
      </w:pPr>
      <w:r w:rsidRPr="00887108">
        <w:rPr>
          <w:rFonts w:cs="Arial Narrow"/>
          <w:b/>
          <w:color w:val="2C9ADC"/>
        </w:rPr>
        <w:t>ZOZNAM BOXOV, TABULIEK A GRAFOV</w:t>
      </w:r>
    </w:p>
    <w:p w14:paraId="56B1B6C9" w14:textId="77777777" w:rsidR="00D76DCF" w:rsidRPr="00887108" w:rsidRDefault="00916904">
      <w:pPr>
        <w:pStyle w:val="Zoznamobrzkov"/>
        <w:tabs>
          <w:tab w:val="right" w:leader="dot" w:pos="9060"/>
        </w:tabs>
        <w:rPr>
          <w:rFonts w:asciiTheme="minorHAnsi" w:eastAsiaTheme="minorEastAsia" w:hAnsiTheme="minorHAnsi" w:cstheme="minorBidi"/>
        </w:rPr>
      </w:pPr>
      <w:r w:rsidRPr="00887108">
        <w:rPr>
          <w:rStyle w:val="Hypertextovprepojenie"/>
          <w:rFonts w:eastAsiaTheme="minorHAnsi"/>
          <w:lang w:eastAsia="en-US"/>
        </w:rPr>
        <w:fldChar w:fldCharType="begin"/>
      </w:r>
      <w:r w:rsidRPr="00887108">
        <w:rPr>
          <w:rStyle w:val="Hypertextovprepojenie"/>
          <w:rFonts w:eastAsiaTheme="minorHAnsi"/>
          <w:lang w:eastAsia="en-US"/>
        </w:rPr>
        <w:instrText xml:space="preserve"> TOC \h \z \c "BOX" </w:instrText>
      </w:r>
      <w:r w:rsidRPr="00887108">
        <w:rPr>
          <w:rStyle w:val="Hypertextovprepojenie"/>
          <w:rFonts w:eastAsiaTheme="minorHAnsi"/>
          <w:lang w:eastAsia="en-US"/>
        </w:rPr>
        <w:fldChar w:fldCharType="separate"/>
      </w:r>
      <w:hyperlink w:anchor="_Toc40181288" w:history="1">
        <w:r w:rsidR="00D76DCF" w:rsidRPr="00887108">
          <w:rPr>
            <w:rStyle w:val="Hypertextovprepojenie"/>
          </w:rPr>
          <w:t>BOX 1 -</w:t>
        </w:r>
        <w:r w:rsidR="00D76DCF" w:rsidRPr="00887108">
          <w:rPr>
            <w:rStyle w:val="Hypertextovprepojenie"/>
            <w:rFonts w:eastAsia="NeueHaasGroteskText W02" w:cs="Arial"/>
            <w:bCs/>
            <w:u w:color="2C9ADC"/>
          </w:rPr>
          <w:t xml:space="preserve"> Predpoklady externého prostredia</w:t>
        </w:r>
        <w:r w:rsidR="00D76DCF" w:rsidRPr="00887108">
          <w:rPr>
            <w:webHidden/>
          </w:rPr>
          <w:tab/>
        </w:r>
        <w:r w:rsidR="00D76DCF" w:rsidRPr="00887108">
          <w:rPr>
            <w:webHidden/>
          </w:rPr>
          <w:fldChar w:fldCharType="begin"/>
        </w:r>
        <w:r w:rsidR="00D76DCF" w:rsidRPr="00887108">
          <w:rPr>
            <w:webHidden/>
          </w:rPr>
          <w:instrText xml:space="preserve"> PAGEREF _Toc40181288 \h </w:instrText>
        </w:r>
        <w:r w:rsidR="00D76DCF" w:rsidRPr="00887108">
          <w:rPr>
            <w:webHidden/>
          </w:rPr>
        </w:r>
        <w:r w:rsidR="00D76DCF" w:rsidRPr="00887108">
          <w:rPr>
            <w:webHidden/>
          </w:rPr>
          <w:fldChar w:fldCharType="separate"/>
        </w:r>
        <w:r w:rsidR="00D47A36">
          <w:rPr>
            <w:noProof/>
            <w:webHidden/>
          </w:rPr>
          <w:t>9</w:t>
        </w:r>
        <w:r w:rsidR="00D76DCF" w:rsidRPr="00887108">
          <w:rPr>
            <w:webHidden/>
          </w:rPr>
          <w:fldChar w:fldCharType="end"/>
        </w:r>
      </w:hyperlink>
    </w:p>
    <w:p w14:paraId="7ABE2145"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89" w:history="1">
        <w:r w:rsidR="00D76DCF" w:rsidRPr="00887108">
          <w:rPr>
            <w:rStyle w:val="Hypertextovprepojenie"/>
          </w:rPr>
          <w:t>BOX 2 - Opatrenia prijaté v boji proti korona vírusu</w:t>
        </w:r>
        <w:r w:rsidR="00D76DCF" w:rsidRPr="00887108">
          <w:rPr>
            <w:webHidden/>
          </w:rPr>
          <w:tab/>
        </w:r>
        <w:r w:rsidR="00D76DCF" w:rsidRPr="00887108">
          <w:rPr>
            <w:webHidden/>
          </w:rPr>
          <w:fldChar w:fldCharType="begin"/>
        </w:r>
        <w:r w:rsidR="00D76DCF" w:rsidRPr="00887108">
          <w:rPr>
            <w:webHidden/>
          </w:rPr>
          <w:instrText xml:space="preserve"> PAGEREF _Toc40181289 \h </w:instrText>
        </w:r>
        <w:r w:rsidR="00D76DCF" w:rsidRPr="00887108">
          <w:rPr>
            <w:webHidden/>
          </w:rPr>
        </w:r>
        <w:r w:rsidR="00D76DCF" w:rsidRPr="00887108">
          <w:rPr>
            <w:webHidden/>
          </w:rPr>
          <w:fldChar w:fldCharType="separate"/>
        </w:r>
        <w:r w:rsidR="00D47A36">
          <w:rPr>
            <w:noProof/>
            <w:webHidden/>
          </w:rPr>
          <w:t>15</w:t>
        </w:r>
        <w:r w:rsidR="00D76DCF" w:rsidRPr="00887108">
          <w:rPr>
            <w:webHidden/>
          </w:rPr>
          <w:fldChar w:fldCharType="end"/>
        </w:r>
      </w:hyperlink>
    </w:p>
    <w:p w14:paraId="6B0F559D"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90" w:history="1">
        <w:r w:rsidR="00D76DCF" w:rsidRPr="00887108">
          <w:rPr>
            <w:rStyle w:val="Hypertextovprepojenie"/>
          </w:rPr>
          <w:t>BOX 3</w:t>
        </w:r>
        <w:r w:rsidR="00D76DCF" w:rsidRPr="00887108">
          <w:rPr>
            <w:rStyle w:val="Hypertextovprepojenie"/>
            <w:rFonts w:cs="Arial Narrow"/>
          </w:rPr>
          <w:t xml:space="preserve"> - Pravidlá Paktu stability a rastu počas koronakrízy</w:t>
        </w:r>
        <w:r w:rsidR="00D76DCF" w:rsidRPr="00887108">
          <w:rPr>
            <w:webHidden/>
          </w:rPr>
          <w:tab/>
        </w:r>
        <w:r w:rsidR="00D76DCF" w:rsidRPr="00887108">
          <w:rPr>
            <w:webHidden/>
          </w:rPr>
          <w:fldChar w:fldCharType="begin"/>
        </w:r>
        <w:r w:rsidR="00D76DCF" w:rsidRPr="00887108">
          <w:rPr>
            <w:webHidden/>
          </w:rPr>
          <w:instrText xml:space="preserve"> PAGEREF _Toc40181290 \h </w:instrText>
        </w:r>
        <w:r w:rsidR="00D76DCF" w:rsidRPr="00887108">
          <w:rPr>
            <w:webHidden/>
          </w:rPr>
        </w:r>
        <w:r w:rsidR="00D76DCF" w:rsidRPr="00887108">
          <w:rPr>
            <w:webHidden/>
          </w:rPr>
          <w:fldChar w:fldCharType="separate"/>
        </w:r>
        <w:r w:rsidR="00D47A36">
          <w:rPr>
            <w:noProof/>
            <w:webHidden/>
          </w:rPr>
          <w:t>21</w:t>
        </w:r>
        <w:r w:rsidR="00D76DCF" w:rsidRPr="00887108">
          <w:rPr>
            <w:webHidden/>
          </w:rPr>
          <w:fldChar w:fldCharType="end"/>
        </w:r>
      </w:hyperlink>
    </w:p>
    <w:p w14:paraId="46546A7C"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91" w:history="1">
        <w:r w:rsidR="00D76DCF" w:rsidRPr="00887108">
          <w:rPr>
            <w:rStyle w:val="Hypertextovprepojenie"/>
          </w:rPr>
          <w:t>BOX 4 - Ústavný zákon o rozpočtovej zodpovednosti v kontexte koronakrízy</w:t>
        </w:r>
        <w:r w:rsidR="00D76DCF" w:rsidRPr="00887108">
          <w:rPr>
            <w:webHidden/>
          </w:rPr>
          <w:tab/>
        </w:r>
        <w:r w:rsidR="00D76DCF" w:rsidRPr="00887108">
          <w:rPr>
            <w:webHidden/>
          </w:rPr>
          <w:fldChar w:fldCharType="begin"/>
        </w:r>
        <w:r w:rsidR="00D76DCF" w:rsidRPr="00887108">
          <w:rPr>
            <w:webHidden/>
          </w:rPr>
          <w:instrText xml:space="preserve"> PAGEREF _Toc40181291 \h </w:instrText>
        </w:r>
        <w:r w:rsidR="00D76DCF" w:rsidRPr="00887108">
          <w:rPr>
            <w:webHidden/>
          </w:rPr>
        </w:r>
        <w:r w:rsidR="00D76DCF" w:rsidRPr="00887108">
          <w:rPr>
            <w:webHidden/>
          </w:rPr>
          <w:fldChar w:fldCharType="separate"/>
        </w:r>
        <w:r w:rsidR="00D47A36">
          <w:rPr>
            <w:noProof/>
            <w:webHidden/>
          </w:rPr>
          <w:t>25</w:t>
        </w:r>
        <w:r w:rsidR="00D76DCF" w:rsidRPr="00887108">
          <w:rPr>
            <w:webHidden/>
          </w:rPr>
          <w:fldChar w:fldCharType="end"/>
        </w:r>
      </w:hyperlink>
    </w:p>
    <w:p w14:paraId="2F85FA07"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92" w:history="1">
        <w:r w:rsidR="00D76DCF" w:rsidRPr="00887108">
          <w:rPr>
            <w:rStyle w:val="Hypertextovprepojenie"/>
          </w:rPr>
          <w:t>BOX 5 - Aktuálne zmeny v politikách citlivých na starnutie populácie</w:t>
        </w:r>
        <w:r w:rsidR="00D76DCF" w:rsidRPr="00887108">
          <w:rPr>
            <w:webHidden/>
          </w:rPr>
          <w:tab/>
        </w:r>
        <w:r w:rsidR="00D76DCF" w:rsidRPr="00887108">
          <w:rPr>
            <w:webHidden/>
          </w:rPr>
          <w:fldChar w:fldCharType="begin"/>
        </w:r>
        <w:r w:rsidR="00D76DCF" w:rsidRPr="00887108">
          <w:rPr>
            <w:webHidden/>
          </w:rPr>
          <w:instrText xml:space="preserve"> PAGEREF _Toc40181292 \h </w:instrText>
        </w:r>
        <w:r w:rsidR="00D76DCF" w:rsidRPr="00887108">
          <w:rPr>
            <w:webHidden/>
          </w:rPr>
        </w:r>
        <w:r w:rsidR="00D76DCF" w:rsidRPr="00887108">
          <w:rPr>
            <w:webHidden/>
          </w:rPr>
          <w:fldChar w:fldCharType="separate"/>
        </w:r>
        <w:r w:rsidR="00D47A36">
          <w:rPr>
            <w:noProof/>
            <w:webHidden/>
          </w:rPr>
          <w:t>28</w:t>
        </w:r>
        <w:r w:rsidR="00D76DCF" w:rsidRPr="00887108">
          <w:rPr>
            <w:webHidden/>
          </w:rPr>
          <w:fldChar w:fldCharType="end"/>
        </w:r>
      </w:hyperlink>
    </w:p>
    <w:p w14:paraId="2C1B653A" w14:textId="77777777" w:rsidR="00916904" w:rsidRPr="00887108" w:rsidRDefault="00916904" w:rsidP="00916904">
      <w:pPr>
        <w:pStyle w:val="Zoznamobrzkov"/>
        <w:tabs>
          <w:tab w:val="right" w:leader="dot" w:pos="9060"/>
        </w:tabs>
        <w:spacing w:line="360" w:lineRule="auto"/>
        <w:rPr>
          <w:rStyle w:val="Hypertextovprepojenie"/>
          <w:rFonts w:eastAsiaTheme="minorHAnsi"/>
          <w:lang w:eastAsia="en-US"/>
        </w:rPr>
      </w:pPr>
      <w:r w:rsidRPr="00887108">
        <w:rPr>
          <w:rStyle w:val="Hypertextovprepojenie"/>
          <w:rFonts w:eastAsiaTheme="minorHAnsi"/>
          <w:lang w:eastAsia="en-US"/>
        </w:rPr>
        <w:fldChar w:fldCharType="end"/>
      </w:r>
    </w:p>
    <w:p w14:paraId="11020749" w14:textId="77777777" w:rsidR="001F19A9" w:rsidRPr="00887108" w:rsidRDefault="00916904">
      <w:pPr>
        <w:pStyle w:val="Zoznamobrzkov"/>
        <w:tabs>
          <w:tab w:val="right" w:leader="dot" w:pos="9060"/>
        </w:tabs>
        <w:rPr>
          <w:rFonts w:asciiTheme="minorHAnsi" w:eastAsiaTheme="minorEastAsia" w:hAnsiTheme="minorHAnsi" w:cstheme="minorBidi"/>
        </w:rPr>
      </w:pPr>
      <w:r w:rsidRPr="00887108">
        <w:rPr>
          <w:rStyle w:val="Hypertextovprepojenie"/>
          <w:rFonts w:eastAsiaTheme="minorHAnsi"/>
          <w:lang w:eastAsia="en-US"/>
        </w:rPr>
        <w:fldChar w:fldCharType="begin"/>
      </w:r>
      <w:r w:rsidRPr="00887108">
        <w:rPr>
          <w:rStyle w:val="Hypertextovprepojenie"/>
          <w:rFonts w:eastAsiaTheme="minorHAnsi"/>
          <w:lang w:eastAsia="en-US"/>
        </w:rPr>
        <w:instrText xml:space="preserve"> TOC \h \z \c "TABUĽKA" </w:instrText>
      </w:r>
      <w:r w:rsidRPr="00887108">
        <w:rPr>
          <w:rStyle w:val="Hypertextovprepojenie"/>
          <w:rFonts w:eastAsiaTheme="minorHAnsi"/>
          <w:lang w:eastAsia="en-US"/>
        </w:rPr>
        <w:fldChar w:fldCharType="separate"/>
      </w:r>
      <w:hyperlink w:anchor="_Toc40186678" w:history="1">
        <w:r w:rsidR="001F19A9" w:rsidRPr="00887108">
          <w:rPr>
            <w:rStyle w:val="Hypertextovprepojenie"/>
            <w:rFonts w:eastAsiaTheme="minorHAnsi"/>
            <w:lang w:eastAsia="en-US"/>
          </w:rPr>
          <w:t>TABUĽKA 1 - Prognóza vybraných indikátorov vývoja ekonomiky SR pre roky 2020 až 2023</w:t>
        </w:r>
        <w:r w:rsidR="001F19A9" w:rsidRPr="00887108">
          <w:rPr>
            <w:webHidden/>
          </w:rPr>
          <w:tab/>
        </w:r>
        <w:r w:rsidR="001F19A9" w:rsidRPr="00887108">
          <w:rPr>
            <w:webHidden/>
          </w:rPr>
          <w:fldChar w:fldCharType="begin"/>
        </w:r>
        <w:r w:rsidR="001F19A9" w:rsidRPr="00887108">
          <w:rPr>
            <w:webHidden/>
          </w:rPr>
          <w:instrText xml:space="preserve"> PAGEREF _Toc40186678 \h </w:instrText>
        </w:r>
        <w:r w:rsidR="001F19A9" w:rsidRPr="00887108">
          <w:rPr>
            <w:webHidden/>
          </w:rPr>
        </w:r>
        <w:r w:rsidR="001F19A9" w:rsidRPr="00887108">
          <w:rPr>
            <w:webHidden/>
          </w:rPr>
          <w:fldChar w:fldCharType="separate"/>
        </w:r>
        <w:r w:rsidR="00D47A36">
          <w:rPr>
            <w:noProof/>
            <w:webHidden/>
          </w:rPr>
          <w:t>7</w:t>
        </w:r>
        <w:r w:rsidR="001F19A9" w:rsidRPr="00887108">
          <w:rPr>
            <w:webHidden/>
          </w:rPr>
          <w:fldChar w:fldCharType="end"/>
        </w:r>
      </w:hyperlink>
    </w:p>
    <w:p w14:paraId="15DE44E1"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79" w:history="1">
        <w:r w:rsidR="001F19A9" w:rsidRPr="00887108">
          <w:rPr>
            <w:rStyle w:val="Hypertextovprepojenie"/>
            <w:rFonts w:eastAsiaTheme="minorHAnsi"/>
            <w:lang w:eastAsia="en-US"/>
          </w:rPr>
          <w:t>TABUĽKA 2 - Príspevky výrobných faktorov k rastu potenciálneho produktu - prístup MF SR</w:t>
        </w:r>
        <w:r w:rsidR="001F19A9" w:rsidRPr="00887108">
          <w:rPr>
            <w:webHidden/>
          </w:rPr>
          <w:tab/>
        </w:r>
        <w:r w:rsidR="001F19A9" w:rsidRPr="00887108">
          <w:rPr>
            <w:webHidden/>
          </w:rPr>
          <w:fldChar w:fldCharType="begin"/>
        </w:r>
        <w:r w:rsidR="001F19A9" w:rsidRPr="00887108">
          <w:rPr>
            <w:webHidden/>
          </w:rPr>
          <w:instrText xml:space="preserve"> PAGEREF _Toc40186679 \h </w:instrText>
        </w:r>
        <w:r w:rsidR="001F19A9" w:rsidRPr="00887108">
          <w:rPr>
            <w:webHidden/>
          </w:rPr>
        </w:r>
        <w:r w:rsidR="001F19A9" w:rsidRPr="00887108">
          <w:rPr>
            <w:webHidden/>
          </w:rPr>
          <w:fldChar w:fldCharType="separate"/>
        </w:r>
        <w:r w:rsidR="00D47A36">
          <w:rPr>
            <w:noProof/>
            <w:webHidden/>
          </w:rPr>
          <w:t>10</w:t>
        </w:r>
        <w:r w:rsidR="001F19A9" w:rsidRPr="00887108">
          <w:rPr>
            <w:webHidden/>
          </w:rPr>
          <w:fldChar w:fldCharType="end"/>
        </w:r>
      </w:hyperlink>
    </w:p>
    <w:p w14:paraId="0B05188D"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0" w:history="1">
        <w:r w:rsidR="001F19A9" w:rsidRPr="00887108">
          <w:rPr>
            <w:rStyle w:val="Hypertextovprepojenie"/>
            <w:rFonts w:eastAsiaTheme="minorHAnsi"/>
            <w:lang w:eastAsia="en-US"/>
          </w:rPr>
          <w:t>TABUĽKA 3 - Vývoj produkčnej medzery* -</w:t>
        </w:r>
        <w:r w:rsidR="001F19A9" w:rsidRPr="00887108">
          <w:rPr>
            <w:webHidden/>
          </w:rPr>
          <w:tab/>
        </w:r>
        <w:r w:rsidR="001F19A9" w:rsidRPr="00887108">
          <w:rPr>
            <w:webHidden/>
          </w:rPr>
          <w:fldChar w:fldCharType="begin"/>
        </w:r>
        <w:r w:rsidR="001F19A9" w:rsidRPr="00887108">
          <w:rPr>
            <w:webHidden/>
          </w:rPr>
          <w:instrText xml:space="preserve"> PAGEREF _Toc40186680 \h </w:instrText>
        </w:r>
        <w:r w:rsidR="001F19A9" w:rsidRPr="00887108">
          <w:rPr>
            <w:webHidden/>
          </w:rPr>
        </w:r>
        <w:r w:rsidR="001F19A9" w:rsidRPr="00887108">
          <w:rPr>
            <w:webHidden/>
          </w:rPr>
          <w:fldChar w:fldCharType="separate"/>
        </w:r>
        <w:r w:rsidR="00D47A36">
          <w:rPr>
            <w:noProof/>
            <w:webHidden/>
          </w:rPr>
          <w:t>10</w:t>
        </w:r>
        <w:r w:rsidR="001F19A9" w:rsidRPr="00887108">
          <w:rPr>
            <w:webHidden/>
          </w:rPr>
          <w:fldChar w:fldCharType="end"/>
        </w:r>
      </w:hyperlink>
    </w:p>
    <w:p w14:paraId="5D8B7E29"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1" w:history="1">
        <w:r w:rsidR="001F19A9" w:rsidRPr="00887108">
          <w:rPr>
            <w:rStyle w:val="Hypertextovprepojenie"/>
            <w:rFonts w:eastAsiaTheme="minorHAnsi"/>
            <w:lang w:eastAsia="en-US"/>
          </w:rPr>
          <w:t>TABUĽKA 4 - Porovnanie prognóz slovenskej ekonomiky MF SR a ostatných inštitúcií</w:t>
        </w:r>
        <w:r w:rsidR="001F19A9" w:rsidRPr="00887108">
          <w:rPr>
            <w:webHidden/>
          </w:rPr>
          <w:tab/>
        </w:r>
        <w:r w:rsidR="001F19A9" w:rsidRPr="00887108">
          <w:rPr>
            <w:webHidden/>
          </w:rPr>
          <w:fldChar w:fldCharType="begin"/>
        </w:r>
        <w:r w:rsidR="001F19A9" w:rsidRPr="00887108">
          <w:rPr>
            <w:webHidden/>
          </w:rPr>
          <w:instrText xml:space="preserve"> PAGEREF _Toc40186681 \h </w:instrText>
        </w:r>
        <w:r w:rsidR="001F19A9" w:rsidRPr="00887108">
          <w:rPr>
            <w:webHidden/>
          </w:rPr>
        </w:r>
        <w:r w:rsidR="001F19A9" w:rsidRPr="00887108">
          <w:rPr>
            <w:webHidden/>
          </w:rPr>
          <w:fldChar w:fldCharType="separate"/>
        </w:r>
        <w:r w:rsidR="00D47A36">
          <w:rPr>
            <w:noProof/>
            <w:webHidden/>
          </w:rPr>
          <w:t>11</w:t>
        </w:r>
        <w:r w:rsidR="001F19A9" w:rsidRPr="00887108">
          <w:rPr>
            <w:webHidden/>
          </w:rPr>
          <w:fldChar w:fldCharType="end"/>
        </w:r>
      </w:hyperlink>
    </w:p>
    <w:p w14:paraId="4B73D9CA"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2" w:history="1">
        <w:r w:rsidR="001F19A9" w:rsidRPr="00887108">
          <w:rPr>
            <w:rStyle w:val="Hypertextovprepojenie"/>
            <w:rFonts w:eastAsiaTheme="minorHAnsi"/>
            <w:lang w:eastAsia="en-US"/>
          </w:rPr>
          <w:t xml:space="preserve">TABUĽKA 5 </w:t>
        </w:r>
        <w:r w:rsidR="001F19A9" w:rsidRPr="00887108">
          <w:rPr>
            <w:rStyle w:val="Hypertextovprepojenie"/>
            <w:bCs/>
          </w:rPr>
          <w:t>- Scenár 1: Dlhšia karanténa</w:t>
        </w:r>
        <w:r w:rsidR="001F19A9" w:rsidRPr="00887108">
          <w:rPr>
            <w:webHidden/>
          </w:rPr>
          <w:tab/>
        </w:r>
        <w:r w:rsidR="001F19A9" w:rsidRPr="00887108">
          <w:rPr>
            <w:webHidden/>
          </w:rPr>
          <w:fldChar w:fldCharType="begin"/>
        </w:r>
        <w:r w:rsidR="001F19A9" w:rsidRPr="00887108">
          <w:rPr>
            <w:webHidden/>
          </w:rPr>
          <w:instrText xml:space="preserve"> PAGEREF _Toc40186682 \h </w:instrText>
        </w:r>
        <w:r w:rsidR="001F19A9" w:rsidRPr="00887108">
          <w:rPr>
            <w:webHidden/>
          </w:rPr>
        </w:r>
        <w:r w:rsidR="001F19A9" w:rsidRPr="00887108">
          <w:rPr>
            <w:webHidden/>
          </w:rPr>
          <w:fldChar w:fldCharType="separate"/>
        </w:r>
        <w:r w:rsidR="00D47A36">
          <w:rPr>
            <w:noProof/>
            <w:webHidden/>
          </w:rPr>
          <w:t>12</w:t>
        </w:r>
        <w:r w:rsidR="001F19A9" w:rsidRPr="00887108">
          <w:rPr>
            <w:webHidden/>
          </w:rPr>
          <w:fldChar w:fldCharType="end"/>
        </w:r>
      </w:hyperlink>
    </w:p>
    <w:p w14:paraId="3676EDA1"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3" w:history="1">
        <w:r w:rsidR="001F19A9" w:rsidRPr="00887108">
          <w:rPr>
            <w:rStyle w:val="Hypertextovprepojenie"/>
            <w:rFonts w:eastAsiaTheme="minorHAnsi"/>
            <w:lang w:eastAsia="en-US"/>
          </w:rPr>
          <w:t xml:space="preserve">TABUĽKA 6 </w:t>
        </w:r>
        <w:r w:rsidR="001F19A9" w:rsidRPr="00887108">
          <w:rPr>
            <w:rStyle w:val="Hypertextovprepojenie"/>
            <w:bCs/>
          </w:rPr>
          <w:t>- Scenár 2: Pomalšie oživenie</w:t>
        </w:r>
        <w:r w:rsidR="001F19A9" w:rsidRPr="00887108">
          <w:rPr>
            <w:webHidden/>
          </w:rPr>
          <w:tab/>
        </w:r>
        <w:r w:rsidR="001F19A9" w:rsidRPr="00887108">
          <w:rPr>
            <w:webHidden/>
          </w:rPr>
          <w:fldChar w:fldCharType="begin"/>
        </w:r>
        <w:r w:rsidR="001F19A9" w:rsidRPr="00887108">
          <w:rPr>
            <w:webHidden/>
          </w:rPr>
          <w:instrText xml:space="preserve"> PAGEREF _Toc40186683 \h </w:instrText>
        </w:r>
        <w:r w:rsidR="001F19A9" w:rsidRPr="00887108">
          <w:rPr>
            <w:webHidden/>
          </w:rPr>
        </w:r>
        <w:r w:rsidR="001F19A9" w:rsidRPr="00887108">
          <w:rPr>
            <w:webHidden/>
          </w:rPr>
          <w:fldChar w:fldCharType="separate"/>
        </w:r>
        <w:r w:rsidR="00D47A36">
          <w:rPr>
            <w:noProof/>
            <w:webHidden/>
          </w:rPr>
          <w:t>12</w:t>
        </w:r>
        <w:r w:rsidR="001F19A9" w:rsidRPr="00887108">
          <w:rPr>
            <w:webHidden/>
          </w:rPr>
          <w:fldChar w:fldCharType="end"/>
        </w:r>
      </w:hyperlink>
    </w:p>
    <w:p w14:paraId="0B870BC3"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4" w:history="1">
        <w:r w:rsidR="001F19A9" w:rsidRPr="00887108">
          <w:rPr>
            <w:rStyle w:val="Hypertextovprepojenie"/>
            <w:rFonts w:eastAsiaTheme="minorHAnsi"/>
            <w:lang w:eastAsia="en-US"/>
          </w:rPr>
          <w:t>TABUĽKA 7</w:t>
        </w:r>
        <w:r w:rsidR="001F19A9" w:rsidRPr="00887108">
          <w:rPr>
            <w:rStyle w:val="Hypertextovprepojenie"/>
            <w:bCs/>
          </w:rPr>
          <w:t xml:space="preserve"> - Zoznam opatrení prijatých v boji prodi koronavírusu (v mil. eur ak nie je uvedené inak)</w:t>
        </w:r>
        <w:r w:rsidR="001F19A9" w:rsidRPr="00887108">
          <w:rPr>
            <w:webHidden/>
          </w:rPr>
          <w:tab/>
        </w:r>
        <w:r w:rsidR="001F19A9" w:rsidRPr="00887108">
          <w:rPr>
            <w:webHidden/>
          </w:rPr>
          <w:fldChar w:fldCharType="begin"/>
        </w:r>
        <w:r w:rsidR="001F19A9" w:rsidRPr="00887108">
          <w:rPr>
            <w:webHidden/>
          </w:rPr>
          <w:instrText xml:space="preserve"> PAGEREF _Toc40186684 \h </w:instrText>
        </w:r>
        <w:r w:rsidR="001F19A9" w:rsidRPr="00887108">
          <w:rPr>
            <w:webHidden/>
          </w:rPr>
        </w:r>
        <w:r w:rsidR="001F19A9" w:rsidRPr="00887108">
          <w:rPr>
            <w:webHidden/>
          </w:rPr>
          <w:fldChar w:fldCharType="separate"/>
        </w:r>
        <w:r w:rsidR="00D47A36">
          <w:rPr>
            <w:noProof/>
            <w:webHidden/>
          </w:rPr>
          <w:t>16</w:t>
        </w:r>
        <w:r w:rsidR="001F19A9" w:rsidRPr="00887108">
          <w:rPr>
            <w:webHidden/>
          </w:rPr>
          <w:fldChar w:fldCharType="end"/>
        </w:r>
      </w:hyperlink>
    </w:p>
    <w:p w14:paraId="56DAFC40"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5" w:history="1">
        <w:r w:rsidR="001F19A9" w:rsidRPr="00887108">
          <w:rPr>
            <w:rStyle w:val="Hypertextovprepojenie"/>
            <w:rFonts w:eastAsiaTheme="minorHAnsi"/>
            <w:lang w:eastAsia="en-US"/>
          </w:rPr>
          <w:t xml:space="preserve">TABUĽKA 8 </w:t>
        </w:r>
        <w:r w:rsidR="001F19A9" w:rsidRPr="00887108">
          <w:rPr>
            <w:rStyle w:val="Hypertextovprepojenie"/>
            <w:bCs/>
          </w:rPr>
          <w:t xml:space="preserve">- Scenár nezmenených politík </w:t>
        </w:r>
        <w:r w:rsidR="001F19A9" w:rsidRPr="00887108">
          <w:rPr>
            <w:rStyle w:val="Hypertextovprepojenie"/>
          </w:rPr>
          <w:t>(ESA2010, % HDP)</w:t>
        </w:r>
        <w:r w:rsidR="001F19A9" w:rsidRPr="00887108">
          <w:rPr>
            <w:webHidden/>
          </w:rPr>
          <w:tab/>
        </w:r>
        <w:r w:rsidR="001F19A9" w:rsidRPr="00887108">
          <w:rPr>
            <w:webHidden/>
          </w:rPr>
          <w:fldChar w:fldCharType="begin"/>
        </w:r>
        <w:r w:rsidR="001F19A9" w:rsidRPr="00887108">
          <w:rPr>
            <w:webHidden/>
          </w:rPr>
          <w:instrText xml:space="preserve"> PAGEREF _Toc40186685 \h </w:instrText>
        </w:r>
        <w:r w:rsidR="001F19A9" w:rsidRPr="00887108">
          <w:rPr>
            <w:webHidden/>
          </w:rPr>
        </w:r>
        <w:r w:rsidR="001F19A9" w:rsidRPr="00887108">
          <w:rPr>
            <w:webHidden/>
          </w:rPr>
          <w:fldChar w:fldCharType="separate"/>
        </w:r>
        <w:r w:rsidR="00D47A36">
          <w:rPr>
            <w:noProof/>
            <w:webHidden/>
          </w:rPr>
          <w:t>19</w:t>
        </w:r>
        <w:r w:rsidR="001F19A9" w:rsidRPr="00887108">
          <w:rPr>
            <w:webHidden/>
          </w:rPr>
          <w:fldChar w:fldCharType="end"/>
        </w:r>
      </w:hyperlink>
    </w:p>
    <w:p w14:paraId="2A0BF6DF"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6" w:history="1">
        <w:r w:rsidR="001F19A9" w:rsidRPr="00887108">
          <w:rPr>
            <w:rStyle w:val="Hypertextovprepojenie"/>
            <w:rFonts w:eastAsiaTheme="minorHAnsi" w:cs="Arial"/>
            <w:lang w:eastAsia="en-US"/>
          </w:rPr>
          <w:t>TABUĽKA 9 - Konsolidačné úsilie (ESA 2010, % HDP)</w:t>
        </w:r>
        <w:r w:rsidR="001F19A9" w:rsidRPr="00887108">
          <w:rPr>
            <w:webHidden/>
          </w:rPr>
          <w:tab/>
        </w:r>
        <w:r w:rsidR="001F19A9" w:rsidRPr="00887108">
          <w:rPr>
            <w:webHidden/>
          </w:rPr>
          <w:fldChar w:fldCharType="begin"/>
        </w:r>
        <w:r w:rsidR="001F19A9" w:rsidRPr="00887108">
          <w:rPr>
            <w:webHidden/>
          </w:rPr>
          <w:instrText xml:space="preserve"> PAGEREF _Toc40186686 \h </w:instrText>
        </w:r>
        <w:r w:rsidR="001F19A9" w:rsidRPr="00887108">
          <w:rPr>
            <w:webHidden/>
          </w:rPr>
        </w:r>
        <w:r w:rsidR="001F19A9" w:rsidRPr="00887108">
          <w:rPr>
            <w:webHidden/>
          </w:rPr>
          <w:fldChar w:fldCharType="separate"/>
        </w:r>
        <w:r w:rsidR="00D47A36">
          <w:rPr>
            <w:noProof/>
            <w:webHidden/>
          </w:rPr>
          <w:t>21</w:t>
        </w:r>
        <w:r w:rsidR="001F19A9" w:rsidRPr="00887108">
          <w:rPr>
            <w:webHidden/>
          </w:rPr>
          <w:fldChar w:fldCharType="end"/>
        </w:r>
      </w:hyperlink>
    </w:p>
    <w:p w14:paraId="280A97C3"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7" w:history="1">
        <w:r w:rsidR="001F19A9" w:rsidRPr="00887108">
          <w:rPr>
            <w:rStyle w:val="Hypertextovprepojenie"/>
            <w:rFonts w:eastAsiaTheme="minorHAnsi"/>
            <w:lang w:eastAsia="en-US"/>
          </w:rPr>
          <w:t>TABUĽKA 10 - Rozklad S2</w:t>
        </w:r>
        <w:r w:rsidR="001F19A9" w:rsidRPr="00887108">
          <w:rPr>
            <w:webHidden/>
          </w:rPr>
          <w:tab/>
        </w:r>
        <w:r w:rsidR="001F19A9" w:rsidRPr="00887108">
          <w:rPr>
            <w:webHidden/>
          </w:rPr>
          <w:fldChar w:fldCharType="begin"/>
        </w:r>
        <w:r w:rsidR="001F19A9" w:rsidRPr="00887108">
          <w:rPr>
            <w:webHidden/>
          </w:rPr>
          <w:instrText xml:space="preserve"> PAGEREF _Toc40186687 \h </w:instrText>
        </w:r>
        <w:r w:rsidR="001F19A9" w:rsidRPr="00887108">
          <w:rPr>
            <w:webHidden/>
          </w:rPr>
        </w:r>
        <w:r w:rsidR="001F19A9" w:rsidRPr="00887108">
          <w:rPr>
            <w:webHidden/>
          </w:rPr>
          <w:fldChar w:fldCharType="separate"/>
        </w:r>
        <w:r w:rsidR="00D47A36">
          <w:rPr>
            <w:noProof/>
            <w:webHidden/>
          </w:rPr>
          <w:t>27</w:t>
        </w:r>
        <w:r w:rsidR="001F19A9" w:rsidRPr="00887108">
          <w:rPr>
            <w:webHidden/>
          </w:rPr>
          <w:fldChar w:fldCharType="end"/>
        </w:r>
      </w:hyperlink>
    </w:p>
    <w:p w14:paraId="396CEA02"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8" w:history="1">
        <w:r w:rsidR="001F19A9" w:rsidRPr="00887108">
          <w:rPr>
            <w:rStyle w:val="Hypertextovprepojenie"/>
            <w:rFonts w:eastAsiaTheme="minorHAnsi"/>
            <w:lang w:eastAsia="en-US"/>
          </w:rPr>
          <w:t>TABUĽKA 11</w:t>
        </w:r>
        <w:r w:rsidR="001F19A9" w:rsidRPr="00887108">
          <w:rPr>
            <w:rStyle w:val="Hypertextovprepojenie"/>
          </w:rPr>
          <w:t xml:space="preserve"> (</w:t>
        </w:r>
        <w:r w:rsidR="001F19A9" w:rsidRPr="00887108">
          <w:rPr>
            <w:rStyle w:val="Hypertextovprepojenie"/>
            <w:bCs/>
          </w:rPr>
          <w:t>Tabuľka 1a) - Makroekonomický prehľad (ESA 2010, mld. eur)</w:t>
        </w:r>
        <w:r w:rsidR="001F19A9" w:rsidRPr="00887108">
          <w:rPr>
            <w:webHidden/>
          </w:rPr>
          <w:tab/>
        </w:r>
        <w:r w:rsidR="001F19A9" w:rsidRPr="00887108">
          <w:rPr>
            <w:webHidden/>
          </w:rPr>
          <w:fldChar w:fldCharType="begin"/>
        </w:r>
        <w:r w:rsidR="001F19A9" w:rsidRPr="00887108">
          <w:rPr>
            <w:webHidden/>
          </w:rPr>
          <w:instrText xml:space="preserve"> PAGEREF _Toc40186688 \h </w:instrText>
        </w:r>
        <w:r w:rsidR="001F19A9" w:rsidRPr="00887108">
          <w:rPr>
            <w:webHidden/>
          </w:rPr>
        </w:r>
        <w:r w:rsidR="001F19A9" w:rsidRPr="00887108">
          <w:rPr>
            <w:webHidden/>
          </w:rPr>
          <w:fldChar w:fldCharType="separate"/>
        </w:r>
        <w:r w:rsidR="00D47A36">
          <w:rPr>
            <w:noProof/>
            <w:webHidden/>
          </w:rPr>
          <w:t>36</w:t>
        </w:r>
        <w:r w:rsidR="001F19A9" w:rsidRPr="00887108">
          <w:rPr>
            <w:webHidden/>
          </w:rPr>
          <w:fldChar w:fldCharType="end"/>
        </w:r>
      </w:hyperlink>
    </w:p>
    <w:p w14:paraId="225A2439"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89" w:history="1">
        <w:r w:rsidR="001F19A9" w:rsidRPr="00887108">
          <w:rPr>
            <w:rStyle w:val="Hypertextovprepojenie"/>
            <w:rFonts w:eastAsiaTheme="minorHAnsi"/>
            <w:lang w:eastAsia="en-US"/>
          </w:rPr>
          <w:t>TABUĽKA 12 (Tabuľka 1b) - Cenový vývoj (ESA 2010)</w:t>
        </w:r>
        <w:r w:rsidR="001F19A9" w:rsidRPr="00887108">
          <w:rPr>
            <w:webHidden/>
          </w:rPr>
          <w:tab/>
        </w:r>
        <w:r w:rsidR="001F19A9" w:rsidRPr="00887108">
          <w:rPr>
            <w:webHidden/>
          </w:rPr>
          <w:fldChar w:fldCharType="begin"/>
        </w:r>
        <w:r w:rsidR="001F19A9" w:rsidRPr="00887108">
          <w:rPr>
            <w:webHidden/>
          </w:rPr>
          <w:instrText xml:space="preserve"> PAGEREF _Toc40186689 \h </w:instrText>
        </w:r>
        <w:r w:rsidR="001F19A9" w:rsidRPr="00887108">
          <w:rPr>
            <w:webHidden/>
          </w:rPr>
        </w:r>
        <w:r w:rsidR="001F19A9" w:rsidRPr="00887108">
          <w:rPr>
            <w:webHidden/>
          </w:rPr>
          <w:fldChar w:fldCharType="separate"/>
        </w:r>
        <w:r w:rsidR="00D47A36">
          <w:rPr>
            <w:noProof/>
            <w:webHidden/>
          </w:rPr>
          <w:t>36</w:t>
        </w:r>
        <w:r w:rsidR="001F19A9" w:rsidRPr="00887108">
          <w:rPr>
            <w:webHidden/>
          </w:rPr>
          <w:fldChar w:fldCharType="end"/>
        </w:r>
      </w:hyperlink>
    </w:p>
    <w:p w14:paraId="772C5BD8"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0" w:history="1">
        <w:r w:rsidR="001F19A9" w:rsidRPr="00887108">
          <w:rPr>
            <w:rStyle w:val="Hypertextovprepojenie"/>
            <w:rFonts w:eastAsiaTheme="minorHAnsi"/>
            <w:lang w:eastAsia="en-US"/>
          </w:rPr>
          <w:t>TABUĽKA 13 (Tabuľka 2a) - Vývoj rozpočtov verejnej správy</w:t>
        </w:r>
        <w:r w:rsidR="001F19A9" w:rsidRPr="00887108">
          <w:rPr>
            <w:webHidden/>
          </w:rPr>
          <w:tab/>
        </w:r>
        <w:r w:rsidR="001F19A9" w:rsidRPr="00887108">
          <w:rPr>
            <w:webHidden/>
          </w:rPr>
          <w:fldChar w:fldCharType="begin"/>
        </w:r>
        <w:r w:rsidR="001F19A9" w:rsidRPr="00887108">
          <w:rPr>
            <w:webHidden/>
          </w:rPr>
          <w:instrText xml:space="preserve"> PAGEREF _Toc40186690 \h </w:instrText>
        </w:r>
        <w:r w:rsidR="001F19A9" w:rsidRPr="00887108">
          <w:rPr>
            <w:webHidden/>
          </w:rPr>
        </w:r>
        <w:r w:rsidR="001F19A9" w:rsidRPr="00887108">
          <w:rPr>
            <w:webHidden/>
          </w:rPr>
          <w:fldChar w:fldCharType="separate"/>
        </w:r>
        <w:r w:rsidR="00D47A36">
          <w:rPr>
            <w:noProof/>
            <w:webHidden/>
          </w:rPr>
          <w:t>36</w:t>
        </w:r>
        <w:r w:rsidR="001F19A9" w:rsidRPr="00887108">
          <w:rPr>
            <w:webHidden/>
          </w:rPr>
          <w:fldChar w:fldCharType="end"/>
        </w:r>
      </w:hyperlink>
    </w:p>
    <w:p w14:paraId="7BCC760F"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1" w:history="1">
        <w:r w:rsidR="001F19A9" w:rsidRPr="00887108">
          <w:rPr>
            <w:rStyle w:val="Hypertextovprepojenie"/>
            <w:rFonts w:eastAsiaTheme="minorHAnsi"/>
            <w:lang w:eastAsia="en-US"/>
          </w:rPr>
          <w:t>TABUĽKA 14 (Tabuľka 4) - Vývoj dlhu verejnej správy (% HDP)</w:t>
        </w:r>
        <w:r w:rsidR="001F19A9" w:rsidRPr="00887108">
          <w:rPr>
            <w:webHidden/>
          </w:rPr>
          <w:tab/>
        </w:r>
        <w:r w:rsidR="001F19A9" w:rsidRPr="00887108">
          <w:rPr>
            <w:webHidden/>
          </w:rPr>
          <w:fldChar w:fldCharType="begin"/>
        </w:r>
        <w:r w:rsidR="001F19A9" w:rsidRPr="00887108">
          <w:rPr>
            <w:webHidden/>
          </w:rPr>
          <w:instrText xml:space="preserve"> PAGEREF _Toc40186691 \h </w:instrText>
        </w:r>
        <w:r w:rsidR="001F19A9" w:rsidRPr="00887108">
          <w:rPr>
            <w:webHidden/>
          </w:rPr>
        </w:r>
        <w:r w:rsidR="001F19A9" w:rsidRPr="00887108">
          <w:rPr>
            <w:webHidden/>
          </w:rPr>
          <w:fldChar w:fldCharType="separate"/>
        </w:r>
        <w:r w:rsidR="00D47A36">
          <w:rPr>
            <w:noProof/>
            <w:webHidden/>
          </w:rPr>
          <w:t>37</w:t>
        </w:r>
        <w:r w:rsidR="001F19A9" w:rsidRPr="00887108">
          <w:rPr>
            <w:webHidden/>
          </w:rPr>
          <w:fldChar w:fldCharType="end"/>
        </w:r>
      </w:hyperlink>
    </w:p>
    <w:p w14:paraId="6DDA22BF"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2" w:history="1">
        <w:r w:rsidR="001F19A9" w:rsidRPr="00887108">
          <w:rPr>
            <w:rStyle w:val="Hypertextovprepojenie"/>
            <w:rFonts w:eastAsiaTheme="minorHAnsi" w:cs="Arial"/>
            <w:lang w:eastAsia="en-US"/>
          </w:rPr>
          <w:t>TABUĽKA 15 - Konsolidačné úsilie podľa tohtoročného manuálu EK (ESA 2010, % HDP)</w:t>
        </w:r>
        <w:r w:rsidR="001F19A9" w:rsidRPr="00887108">
          <w:rPr>
            <w:webHidden/>
          </w:rPr>
          <w:tab/>
        </w:r>
        <w:r w:rsidR="001F19A9" w:rsidRPr="00887108">
          <w:rPr>
            <w:webHidden/>
          </w:rPr>
          <w:fldChar w:fldCharType="begin"/>
        </w:r>
        <w:r w:rsidR="001F19A9" w:rsidRPr="00887108">
          <w:rPr>
            <w:webHidden/>
          </w:rPr>
          <w:instrText xml:space="preserve"> PAGEREF _Toc40186692 \h </w:instrText>
        </w:r>
        <w:r w:rsidR="001F19A9" w:rsidRPr="00887108">
          <w:rPr>
            <w:webHidden/>
          </w:rPr>
        </w:r>
        <w:r w:rsidR="001F19A9" w:rsidRPr="00887108">
          <w:rPr>
            <w:webHidden/>
          </w:rPr>
          <w:fldChar w:fldCharType="separate"/>
        </w:r>
        <w:r w:rsidR="00D47A36">
          <w:rPr>
            <w:noProof/>
            <w:webHidden/>
          </w:rPr>
          <w:t>42</w:t>
        </w:r>
        <w:r w:rsidR="001F19A9" w:rsidRPr="00887108">
          <w:rPr>
            <w:webHidden/>
          </w:rPr>
          <w:fldChar w:fldCharType="end"/>
        </w:r>
      </w:hyperlink>
    </w:p>
    <w:p w14:paraId="6473D89E"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3" w:history="1">
        <w:r w:rsidR="001F19A9" w:rsidRPr="00887108">
          <w:rPr>
            <w:rStyle w:val="Hypertextovprepojenie"/>
            <w:rFonts w:eastAsiaTheme="minorHAnsi"/>
            <w:lang w:eastAsia="en-US"/>
          </w:rPr>
          <w:t>TABUĽKA 16</w:t>
        </w:r>
        <w:r w:rsidR="001F19A9" w:rsidRPr="00887108">
          <w:rPr>
            <w:rStyle w:val="Hypertextovprepojenie"/>
          </w:rPr>
          <w:t xml:space="preserve"> - Výdavkové pravidlo</w:t>
        </w:r>
        <w:r w:rsidR="001F19A9" w:rsidRPr="00887108">
          <w:rPr>
            <w:webHidden/>
          </w:rPr>
          <w:tab/>
        </w:r>
        <w:r w:rsidR="001F19A9" w:rsidRPr="00887108">
          <w:rPr>
            <w:webHidden/>
          </w:rPr>
          <w:fldChar w:fldCharType="begin"/>
        </w:r>
        <w:r w:rsidR="001F19A9" w:rsidRPr="00887108">
          <w:rPr>
            <w:webHidden/>
          </w:rPr>
          <w:instrText xml:space="preserve"> PAGEREF _Toc40186693 \h </w:instrText>
        </w:r>
        <w:r w:rsidR="001F19A9" w:rsidRPr="00887108">
          <w:rPr>
            <w:webHidden/>
          </w:rPr>
        </w:r>
        <w:r w:rsidR="001F19A9" w:rsidRPr="00887108">
          <w:rPr>
            <w:webHidden/>
          </w:rPr>
          <w:fldChar w:fldCharType="separate"/>
        </w:r>
        <w:r w:rsidR="00D47A36">
          <w:rPr>
            <w:noProof/>
            <w:webHidden/>
          </w:rPr>
          <w:t>43</w:t>
        </w:r>
        <w:r w:rsidR="001F19A9" w:rsidRPr="00887108">
          <w:rPr>
            <w:webHidden/>
          </w:rPr>
          <w:fldChar w:fldCharType="end"/>
        </w:r>
      </w:hyperlink>
    </w:p>
    <w:p w14:paraId="4B4A2081"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4" w:history="1">
        <w:r w:rsidR="001F19A9" w:rsidRPr="00887108">
          <w:rPr>
            <w:rStyle w:val="Hypertextovprepojenie"/>
            <w:rFonts w:eastAsiaTheme="minorHAnsi"/>
            <w:lang w:eastAsia="en-US"/>
          </w:rPr>
          <w:t>TABUĽKA 17</w:t>
        </w:r>
        <w:r w:rsidR="001F19A9" w:rsidRPr="00887108">
          <w:rPr>
            <w:rStyle w:val="Hypertextovprepojenie"/>
          </w:rPr>
          <w:t xml:space="preserve"> - Diskrečné príjmové opatrenia – medziročné vplyvy opatrení (mil. eur, ESA2010)</w:t>
        </w:r>
        <w:r w:rsidR="001F19A9" w:rsidRPr="00887108">
          <w:rPr>
            <w:webHidden/>
          </w:rPr>
          <w:tab/>
        </w:r>
        <w:r w:rsidR="001F19A9" w:rsidRPr="00887108">
          <w:rPr>
            <w:webHidden/>
          </w:rPr>
          <w:fldChar w:fldCharType="begin"/>
        </w:r>
        <w:r w:rsidR="001F19A9" w:rsidRPr="00887108">
          <w:rPr>
            <w:webHidden/>
          </w:rPr>
          <w:instrText xml:space="preserve"> PAGEREF _Toc40186694 \h </w:instrText>
        </w:r>
        <w:r w:rsidR="001F19A9" w:rsidRPr="00887108">
          <w:rPr>
            <w:webHidden/>
          </w:rPr>
        </w:r>
        <w:r w:rsidR="001F19A9" w:rsidRPr="00887108">
          <w:rPr>
            <w:webHidden/>
          </w:rPr>
          <w:fldChar w:fldCharType="separate"/>
        </w:r>
        <w:r w:rsidR="00D47A36">
          <w:rPr>
            <w:noProof/>
            <w:webHidden/>
          </w:rPr>
          <w:t>44</w:t>
        </w:r>
        <w:r w:rsidR="001F19A9" w:rsidRPr="00887108">
          <w:rPr>
            <w:webHidden/>
          </w:rPr>
          <w:fldChar w:fldCharType="end"/>
        </w:r>
      </w:hyperlink>
    </w:p>
    <w:p w14:paraId="75CDDF69"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5" w:history="1">
        <w:r w:rsidR="001F19A9" w:rsidRPr="00887108">
          <w:rPr>
            <w:rStyle w:val="Hypertextovprepojenie"/>
            <w:rFonts w:eastAsiaTheme="minorHAnsi"/>
            <w:lang w:eastAsia="en-US"/>
          </w:rPr>
          <w:t>TABUĽKA 18</w:t>
        </w:r>
        <w:r w:rsidR="001F19A9" w:rsidRPr="00887108">
          <w:rPr>
            <w:rStyle w:val="Hypertextovprepojenie"/>
          </w:rPr>
          <w:t xml:space="preserve"> - Hotovostné vplyvy na zmenu nominálneho hrubého dlhu verejnej správy (v mil. eur)</w:t>
        </w:r>
        <w:r w:rsidR="001F19A9" w:rsidRPr="00887108">
          <w:rPr>
            <w:webHidden/>
          </w:rPr>
          <w:tab/>
        </w:r>
        <w:r w:rsidR="001F19A9" w:rsidRPr="00887108">
          <w:rPr>
            <w:webHidden/>
          </w:rPr>
          <w:fldChar w:fldCharType="begin"/>
        </w:r>
        <w:r w:rsidR="001F19A9" w:rsidRPr="00887108">
          <w:rPr>
            <w:webHidden/>
          </w:rPr>
          <w:instrText xml:space="preserve"> PAGEREF _Toc40186695 \h </w:instrText>
        </w:r>
        <w:r w:rsidR="001F19A9" w:rsidRPr="00887108">
          <w:rPr>
            <w:webHidden/>
          </w:rPr>
        </w:r>
        <w:r w:rsidR="001F19A9" w:rsidRPr="00887108">
          <w:rPr>
            <w:webHidden/>
          </w:rPr>
          <w:fldChar w:fldCharType="separate"/>
        </w:r>
        <w:r w:rsidR="00D47A36">
          <w:rPr>
            <w:noProof/>
            <w:webHidden/>
          </w:rPr>
          <w:t>46</w:t>
        </w:r>
        <w:r w:rsidR="001F19A9" w:rsidRPr="00887108">
          <w:rPr>
            <w:webHidden/>
          </w:rPr>
          <w:fldChar w:fldCharType="end"/>
        </w:r>
      </w:hyperlink>
    </w:p>
    <w:p w14:paraId="7600A438"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6" w:history="1">
        <w:r w:rsidR="001F19A9" w:rsidRPr="00887108">
          <w:rPr>
            <w:rStyle w:val="Hypertextovprepojenie"/>
            <w:rFonts w:eastAsiaTheme="minorHAnsi"/>
            <w:lang w:eastAsia="en-US"/>
          </w:rPr>
          <w:t>TABUĽKA 19</w:t>
        </w:r>
        <w:r w:rsidR="001F19A9" w:rsidRPr="00887108">
          <w:rPr>
            <w:rStyle w:val="Hypertextovprepojenie"/>
          </w:rPr>
          <w:t xml:space="preserve"> - Predpoklady MF SR pre výpočet indikátora udržateľnosti S1</w:t>
        </w:r>
        <w:r w:rsidR="001F19A9" w:rsidRPr="00887108">
          <w:rPr>
            <w:webHidden/>
          </w:rPr>
          <w:tab/>
        </w:r>
        <w:r w:rsidR="001F19A9" w:rsidRPr="00887108">
          <w:rPr>
            <w:webHidden/>
          </w:rPr>
          <w:fldChar w:fldCharType="begin"/>
        </w:r>
        <w:r w:rsidR="001F19A9" w:rsidRPr="00887108">
          <w:rPr>
            <w:webHidden/>
          </w:rPr>
          <w:instrText xml:space="preserve"> PAGEREF _Toc40186696 \h </w:instrText>
        </w:r>
        <w:r w:rsidR="001F19A9" w:rsidRPr="00887108">
          <w:rPr>
            <w:webHidden/>
          </w:rPr>
        </w:r>
        <w:r w:rsidR="001F19A9" w:rsidRPr="00887108">
          <w:rPr>
            <w:webHidden/>
          </w:rPr>
          <w:fldChar w:fldCharType="separate"/>
        </w:r>
        <w:r w:rsidR="00D47A36">
          <w:rPr>
            <w:noProof/>
            <w:webHidden/>
          </w:rPr>
          <w:t>47</w:t>
        </w:r>
        <w:r w:rsidR="001F19A9" w:rsidRPr="00887108">
          <w:rPr>
            <w:webHidden/>
          </w:rPr>
          <w:fldChar w:fldCharType="end"/>
        </w:r>
      </w:hyperlink>
    </w:p>
    <w:p w14:paraId="11A8F9E6"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7" w:history="1">
        <w:r w:rsidR="001F19A9" w:rsidRPr="00887108">
          <w:rPr>
            <w:rStyle w:val="Hypertextovprepojenie"/>
            <w:rFonts w:eastAsiaTheme="minorHAnsi"/>
            <w:lang w:eastAsia="en-US"/>
          </w:rPr>
          <w:t>TABUĽKA 20</w:t>
        </w:r>
        <w:r w:rsidR="001F19A9" w:rsidRPr="00887108">
          <w:rPr>
            <w:rStyle w:val="Hypertextovprepojenie"/>
          </w:rPr>
          <w:t xml:space="preserve"> - Rozbor indikátora udržateľnosti S1</w:t>
        </w:r>
        <w:r w:rsidR="001F19A9" w:rsidRPr="00887108">
          <w:rPr>
            <w:webHidden/>
          </w:rPr>
          <w:tab/>
        </w:r>
        <w:r w:rsidR="001F19A9" w:rsidRPr="00887108">
          <w:rPr>
            <w:webHidden/>
          </w:rPr>
          <w:fldChar w:fldCharType="begin"/>
        </w:r>
        <w:r w:rsidR="001F19A9" w:rsidRPr="00887108">
          <w:rPr>
            <w:webHidden/>
          </w:rPr>
          <w:instrText xml:space="preserve"> PAGEREF _Toc40186697 \h </w:instrText>
        </w:r>
        <w:r w:rsidR="001F19A9" w:rsidRPr="00887108">
          <w:rPr>
            <w:webHidden/>
          </w:rPr>
        </w:r>
        <w:r w:rsidR="001F19A9" w:rsidRPr="00887108">
          <w:rPr>
            <w:webHidden/>
          </w:rPr>
          <w:fldChar w:fldCharType="separate"/>
        </w:r>
        <w:r w:rsidR="00D47A36">
          <w:rPr>
            <w:noProof/>
            <w:webHidden/>
          </w:rPr>
          <w:t>47</w:t>
        </w:r>
        <w:r w:rsidR="001F19A9" w:rsidRPr="00887108">
          <w:rPr>
            <w:webHidden/>
          </w:rPr>
          <w:fldChar w:fldCharType="end"/>
        </w:r>
      </w:hyperlink>
    </w:p>
    <w:p w14:paraId="1A87A248"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8" w:history="1">
        <w:r w:rsidR="001F19A9" w:rsidRPr="00887108">
          <w:rPr>
            <w:rStyle w:val="Hypertextovprepojenie"/>
            <w:rFonts w:eastAsiaTheme="minorHAnsi"/>
            <w:lang w:eastAsia="en-US"/>
          </w:rPr>
          <w:t>TABUĽKA 21</w:t>
        </w:r>
        <w:r w:rsidR="001F19A9" w:rsidRPr="00887108">
          <w:rPr>
            <w:rStyle w:val="Hypertextovprepojenie"/>
          </w:rPr>
          <w:t xml:space="preserve"> - Predpoklady MF SR pre výpočet indikátora udržateľnosti S2</w:t>
        </w:r>
        <w:r w:rsidR="001F19A9" w:rsidRPr="00887108">
          <w:rPr>
            <w:webHidden/>
          </w:rPr>
          <w:tab/>
        </w:r>
        <w:r w:rsidR="001F19A9" w:rsidRPr="00887108">
          <w:rPr>
            <w:webHidden/>
          </w:rPr>
          <w:fldChar w:fldCharType="begin"/>
        </w:r>
        <w:r w:rsidR="001F19A9" w:rsidRPr="00887108">
          <w:rPr>
            <w:webHidden/>
          </w:rPr>
          <w:instrText xml:space="preserve"> PAGEREF _Toc40186698 \h </w:instrText>
        </w:r>
        <w:r w:rsidR="001F19A9" w:rsidRPr="00887108">
          <w:rPr>
            <w:webHidden/>
          </w:rPr>
        </w:r>
        <w:r w:rsidR="001F19A9" w:rsidRPr="00887108">
          <w:rPr>
            <w:webHidden/>
          </w:rPr>
          <w:fldChar w:fldCharType="separate"/>
        </w:r>
        <w:r w:rsidR="00D47A36">
          <w:rPr>
            <w:noProof/>
            <w:webHidden/>
          </w:rPr>
          <w:t>47</w:t>
        </w:r>
        <w:r w:rsidR="001F19A9" w:rsidRPr="00887108">
          <w:rPr>
            <w:webHidden/>
          </w:rPr>
          <w:fldChar w:fldCharType="end"/>
        </w:r>
      </w:hyperlink>
    </w:p>
    <w:p w14:paraId="606960B2"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699" w:history="1">
        <w:r w:rsidR="001F19A9" w:rsidRPr="00887108">
          <w:rPr>
            <w:rStyle w:val="Hypertextovprepojenie"/>
            <w:rFonts w:eastAsiaTheme="minorHAnsi"/>
            <w:lang w:eastAsia="en-US"/>
          </w:rPr>
          <w:t>TABUĽKA 22</w:t>
        </w:r>
        <w:r w:rsidR="001F19A9" w:rsidRPr="00887108">
          <w:rPr>
            <w:rStyle w:val="Hypertextovprepojenie"/>
          </w:rPr>
          <w:t xml:space="preserve"> - Rozbor indikátora udržateľnosti S2</w:t>
        </w:r>
        <w:r w:rsidR="001F19A9" w:rsidRPr="00887108">
          <w:rPr>
            <w:webHidden/>
          </w:rPr>
          <w:tab/>
        </w:r>
        <w:r w:rsidR="001F19A9" w:rsidRPr="00887108">
          <w:rPr>
            <w:webHidden/>
          </w:rPr>
          <w:fldChar w:fldCharType="begin"/>
        </w:r>
        <w:r w:rsidR="001F19A9" w:rsidRPr="00887108">
          <w:rPr>
            <w:webHidden/>
          </w:rPr>
          <w:instrText xml:space="preserve"> PAGEREF _Toc40186699 \h </w:instrText>
        </w:r>
        <w:r w:rsidR="001F19A9" w:rsidRPr="00887108">
          <w:rPr>
            <w:webHidden/>
          </w:rPr>
        </w:r>
        <w:r w:rsidR="001F19A9" w:rsidRPr="00887108">
          <w:rPr>
            <w:webHidden/>
          </w:rPr>
          <w:fldChar w:fldCharType="separate"/>
        </w:r>
        <w:r w:rsidR="00D47A36">
          <w:rPr>
            <w:noProof/>
            <w:webHidden/>
          </w:rPr>
          <w:t>47</w:t>
        </w:r>
        <w:r w:rsidR="001F19A9" w:rsidRPr="00887108">
          <w:rPr>
            <w:webHidden/>
          </w:rPr>
          <w:fldChar w:fldCharType="end"/>
        </w:r>
      </w:hyperlink>
    </w:p>
    <w:p w14:paraId="45AF83E0" w14:textId="77777777" w:rsidR="001F19A9" w:rsidRPr="00887108" w:rsidRDefault="006F2B75">
      <w:pPr>
        <w:pStyle w:val="Zoznamobrzkov"/>
        <w:tabs>
          <w:tab w:val="right" w:leader="dot" w:pos="9060"/>
        </w:tabs>
        <w:rPr>
          <w:rFonts w:asciiTheme="minorHAnsi" w:eastAsiaTheme="minorEastAsia" w:hAnsiTheme="minorHAnsi" w:cstheme="minorBidi"/>
        </w:rPr>
      </w:pPr>
      <w:hyperlink w:anchor="_Toc40186700" w:history="1">
        <w:r w:rsidR="001F19A9" w:rsidRPr="00887108">
          <w:rPr>
            <w:rStyle w:val="Hypertextovprepojenie"/>
            <w:rFonts w:eastAsiaTheme="minorHAnsi"/>
            <w:lang w:eastAsia="en-US"/>
          </w:rPr>
          <w:t>TABUĽKA 23</w:t>
        </w:r>
        <w:r w:rsidR="001F19A9" w:rsidRPr="00887108">
          <w:rPr>
            <w:rStyle w:val="Hypertextovprepojenie"/>
          </w:rPr>
          <w:t xml:space="preserve"> - Zoznam opatrení (vplyv v porovnaní s bázou 2019), mil. eur</w:t>
        </w:r>
        <w:r w:rsidR="001F19A9" w:rsidRPr="00887108">
          <w:rPr>
            <w:webHidden/>
          </w:rPr>
          <w:tab/>
        </w:r>
        <w:r w:rsidR="001F19A9" w:rsidRPr="00887108">
          <w:rPr>
            <w:webHidden/>
          </w:rPr>
          <w:fldChar w:fldCharType="begin"/>
        </w:r>
        <w:r w:rsidR="001F19A9" w:rsidRPr="00887108">
          <w:rPr>
            <w:webHidden/>
          </w:rPr>
          <w:instrText xml:space="preserve"> PAGEREF _Toc40186700 \h </w:instrText>
        </w:r>
        <w:r w:rsidR="001F19A9" w:rsidRPr="00887108">
          <w:rPr>
            <w:webHidden/>
          </w:rPr>
        </w:r>
        <w:r w:rsidR="001F19A9" w:rsidRPr="00887108">
          <w:rPr>
            <w:webHidden/>
          </w:rPr>
          <w:fldChar w:fldCharType="separate"/>
        </w:r>
        <w:r w:rsidR="00D47A36">
          <w:rPr>
            <w:noProof/>
            <w:webHidden/>
          </w:rPr>
          <w:t>49</w:t>
        </w:r>
        <w:r w:rsidR="001F19A9" w:rsidRPr="00887108">
          <w:rPr>
            <w:webHidden/>
          </w:rPr>
          <w:fldChar w:fldCharType="end"/>
        </w:r>
      </w:hyperlink>
    </w:p>
    <w:p w14:paraId="763AC668" w14:textId="77777777" w:rsidR="00916904" w:rsidRPr="00887108" w:rsidRDefault="00916904" w:rsidP="00916904">
      <w:pPr>
        <w:pStyle w:val="Zoznamobrzkov"/>
        <w:tabs>
          <w:tab w:val="right" w:leader="dot" w:pos="9060"/>
        </w:tabs>
        <w:spacing w:line="360" w:lineRule="auto"/>
        <w:rPr>
          <w:rStyle w:val="Hypertextovprepojenie"/>
          <w:rFonts w:eastAsiaTheme="minorHAnsi"/>
          <w:lang w:eastAsia="en-US"/>
        </w:rPr>
      </w:pPr>
      <w:r w:rsidRPr="00887108">
        <w:rPr>
          <w:rStyle w:val="Hypertextovprepojenie"/>
          <w:rFonts w:eastAsiaTheme="minorHAnsi"/>
          <w:lang w:eastAsia="en-US"/>
        </w:rPr>
        <w:fldChar w:fldCharType="end"/>
      </w:r>
    </w:p>
    <w:p w14:paraId="47DA8C27" w14:textId="77777777" w:rsidR="00916904" w:rsidRPr="00887108" w:rsidRDefault="00916904" w:rsidP="00916904">
      <w:pPr>
        <w:pStyle w:val="Zoznamobrzkov"/>
        <w:tabs>
          <w:tab w:val="right" w:leader="dot" w:pos="9060"/>
        </w:tabs>
        <w:rPr>
          <w:rStyle w:val="Hypertextovprepojenie"/>
          <w:rFonts w:eastAsiaTheme="minorHAnsi"/>
          <w:lang w:eastAsia="en-US"/>
        </w:rPr>
      </w:pPr>
    </w:p>
    <w:p w14:paraId="12997D3E" w14:textId="77777777" w:rsidR="00D76DCF" w:rsidRPr="00887108" w:rsidRDefault="00916904">
      <w:pPr>
        <w:pStyle w:val="Zoznamobrzkov"/>
        <w:tabs>
          <w:tab w:val="right" w:leader="dot" w:pos="9060"/>
        </w:tabs>
        <w:rPr>
          <w:rFonts w:asciiTheme="minorHAnsi" w:eastAsiaTheme="minorEastAsia" w:hAnsiTheme="minorHAnsi" w:cstheme="minorBidi"/>
        </w:rPr>
      </w:pPr>
      <w:r w:rsidRPr="00887108">
        <w:rPr>
          <w:rStyle w:val="Hypertextovprepojenie"/>
          <w:rFonts w:eastAsiaTheme="minorHAnsi"/>
          <w:lang w:eastAsia="en-US"/>
        </w:rPr>
        <w:fldChar w:fldCharType="begin"/>
      </w:r>
      <w:r w:rsidRPr="00887108">
        <w:rPr>
          <w:rStyle w:val="Hypertextovprepojenie"/>
          <w:rFonts w:eastAsiaTheme="minorHAnsi"/>
          <w:lang w:eastAsia="en-US"/>
        </w:rPr>
        <w:instrText xml:space="preserve"> TOC \h \z \c "GRAF" </w:instrText>
      </w:r>
      <w:r w:rsidRPr="00887108">
        <w:rPr>
          <w:rStyle w:val="Hypertextovprepojenie"/>
          <w:rFonts w:eastAsiaTheme="minorHAnsi"/>
          <w:lang w:eastAsia="en-US"/>
        </w:rPr>
        <w:fldChar w:fldCharType="separate"/>
      </w:r>
      <w:hyperlink w:anchor="_Toc40181252" w:history="1">
        <w:r w:rsidR="00D76DCF" w:rsidRPr="00887108">
          <w:rPr>
            <w:rStyle w:val="Hypertextovprepojenie"/>
            <w:rFonts w:eastAsiaTheme="minorHAnsi"/>
            <w:lang w:eastAsia="en-US"/>
          </w:rPr>
          <w:t>GRAF 1 - Príspevky k rastu HDP (p. b.)</w:t>
        </w:r>
        <w:r w:rsidR="00D76DCF" w:rsidRPr="00887108">
          <w:rPr>
            <w:webHidden/>
          </w:rPr>
          <w:tab/>
        </w:r>
        <w:r w:rsidR="00D76DCF" w:rsidRPr="00887108">
          <w:rPr>
            <w:webHidden/>
          </w:rPr>
          <w:fldChar w:fldCharType="begin"/>
        </w:r>
        <w:r w:rsidR="00D76DCF" w:rsidRPr="00887108">
          <w:rPr>
            <w:webHidden/>
          </w:rPr>
          <w:instrText xml:space="preserve"> PAGEREF _Toc40181252 \h </w:instrText>
        </w:r>
        <w:r w:rsidR="00D76DCF" w:rsidRPr="00887108">
          <w:rPr>
            <w:webHidden/>
          </w:rPr>
        </w:r>
        <w:r w:rsidR="00D76DCF" w:rsidRPr="00887108">
          <w:rPr>
            <w:webHidden/>
          </w:rPr>
          <w:fldChar w:fldCharType="separate"/>
        </w:r>
        <w:r w:rsidR="00D47A36">
          <w:rPr>
            <w:noProof/>
            <w:webHidden/>
          </w:rPr>
          <w:t>8</w:t>
        </w:r>
        <w:r w:rsidR="00D76DCF" w:rsidRPr="00887108">
          <w:rPr>
            <w:webHidden/>
          </w:rPr>
          <w:fldChar w:fldCharType="end"/>
        </w:r>
      </w:hyperlink>
    </w:p>
    <w:p w14:paraId="25667D2E"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53" w:history="1">
        <w:r w:rsidR="00D76DCF" w:rsidRPr="00887108">
          <w:rPr>
            <w:rStyle w:val="Hypertextovprepojenie"/>
            <w:rFonts w:eastAsiaTheme="minorHAnsi"/>
            <w:lang w:eastAsia="en-US"/>
          </w:rPr>
          <w:t>GRAF 2 - Príspevky k rastu zamestnanosti (p. b.)</w:t>
        </w:r>
        <w:r w:rsidR="00D76DCF" w:rsidRPr="00887108">
          <w:rPr>
            <w:webHidden/>
          </w:rPr>
          <w:tab/>
        </w:r>
        <w:r w:rsidR="00D76DCF" w:rsidRPr="00887108">
          <w:rPr>
            <w:webHidden/>
          </w:rPr>
          <w:fldChar w:fldCharType="begin"/>
        </w:r>
        <w:r w:rsidR="00D76DCF" w:rsidRPr="00887108">
          <w:rPr>
            <w:webHidden/>
          </w:rPr>
          <w:instrText xml:space="preserve"> PAGEREF _Toc40181253 \h </w:instrText>
        </w:r>
        <w:r w:rsidR="00D76DCF" w:rsidRPr="00887108">
          <w:rPr>
            <w:webHidden/>
          </w:rPr>
        </w:r>
        <w:r w:rsidR="00D76DCF" w:rsidRPr="00887108">
          <w:rPr>
            <w:webHidden/>
          </w:rPr>
          <w:fldChar w:fldCharType="separate"/>
        </w:r>
        <w:r w:rsidR="00D47A36">
          <w:rPr>
            <w:noProof/>
            <w:webHidden/>
          </w:rPr>
          <w:t>8</w:t>
        </w:r>
        <w:r w:rsidR="00D76DCF" w:rsidRPr="00887108">
          <w:rPr>
            <w:webHidden/>
          </w:rPr>
          <w:fldChar w:fldCharType="end"/>
        </w:r>
      </w:hyperlink>
    </w:p>
    <w:p w14:paraId="67DD1664"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54" w:history="1">
        <w:r w:rsidR="00D76DCF" w:rsidRPr="00887108">
          <w:rPr>
            <w:rStyle w:val="Hypertextovprepojenie"/>
            <w:rFonts w:eastAsiaTheme="minorHAnsi"/>
            <w:lang w:eastAsia="en-US"/>
          </w:rPr>
          <w:t>GRAF 3 - Externé nerovnováhy - zložky salda bežného účtu platobnej bilancie (% HDP)</w:t>
        </w:r>
        <w:r w:rsidR="00D76DCF" w:rsidRPr="00887108">
          <w:rPr>
            <w:webHidden/>
          </w:rPr>
          <w:tab/>
        </w:r>
        <w:r w:rsidR="00D76DCF" w:rsidRPr="00887108">
          <w:rPr>
            <w:webHidden/>
          </w:rPr>
          <w:fldChar w:fldCharType="begin"/>
        </w:r>
        <w:r w:rsidR="00D76DCF" w:rsidRPr="00887108">
          <w:rPr>
            <w:webHidden/>
          </w:rPr>
          <w:instrText xml:space="preserve"> PAGEREF _Toc40181254 \h </w:instrText>
        </w:r>
        <w:r w:rsidR="00D76DCF" w:rsidRPr="00887108">
          <w:rPr>
            <w:webHidden/>
          </w:rPr>
        </w:r>
        <w:r w:rsidR="00D76DCF" w:rsidRPr="00887108">
          <w:rPr>
            <w:webHidden/>
          </w:rPr>
          <w:fldChar w:fldCharType="separate"/>
        </w:r>
        <w:r w:rsidR="00D47A36">
          <w:rPr>
            <w:noProof/>
            <w:webHidden/>
          </w:rPr>
          <w:t>9</w:t>
        </w:r>
        <w:r w:rsidR="00D76DCF" w:rsidRPr="00887108">
          <w:rPr>
            <w:webHidden/>
          </w:rPr>
          <w:fldChar w:fldCharType="end"/>
        </w:r>
      </w:hyperlink>
    </w:p>
    <w:p w14:paraId="27B0DB83"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55" w:history="1">
        <w:r w:rsidR="00D76DCF" w:rsidRPr="00887108">
          <w:rPr>
            <w:rStyle w:val="Hypertextovprepojenie"/>
            <w:rFonts w:eastAsiaTheme="minorHAnsi"/>
            <w:lang w:eastAsia="en-US"/>
          </w:rPr>
          <w:t>GRAF 4 - Štruktúra spotrebiteľskej inflácie –medziročné príspevky zložiek k CPI (v p. b.)</w:t>
        </w:r>
        <w:r w:rsidR="00D76DCF" w:rsidRPr="00887108">
          <w:rPr>
            <w:webHidden/>
          </w:rPr>
          <w:tab/>
        </w:r>
        <w:r w:rsidR="00D76DCF" w:rsidRPr="00887108">
          <w:rPr>
            <w:webHidden/>
          </w:rPr>
          <w:fldChar w:fldCharType="begin"/>
        </w:r>
        <w:r w:rsidR="00D76DCF" w:rsidRPr="00887108">
          <w:rPr>
            <w:webHidden/>
          </w:rPr>
          <w:instrText xml:space="preserve"> PAGEREF _Toc40181255 \h </w:instrText>
        </w:r>
        <w:r w:rsidR="00D76DCF" w:rsidRPr="00887108">
          <w:rPr>
            <w:webHidden/>
          </w:rPr>
        </w:r>
        <w:r w:rsidR="00D76DCF" w:rsidRPr="00887108">
          <w:rPr>
            <w:webHidden/>
          </w:rPr>
          <w:fldChar w:fldCharType="separate"/>
        </w:r>
        <w:r w:rsidR="00D47A36">
          <w:rPr>
            <w:noProof/>
            <w:webHidden/>
          </w:rPr>
          <w:t>9</w:t>
        </w:r>
        <w:r w:rsidR="00D76DCF" w:rsidRPr="00887108">
          <w:rPr>
            <w:webHidden/>
          </w:rPr>
          <w:fldChar w:fldCharType="end"/>
        </w:r>
      </w:hyperlink>
    </w:p>
    <w:p w14:paraId="46E1FA9E"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56" w:history="1">
        <w:r w:rsidR="00D76DCF" w:rsidRPr="00887108">
          <w:rPr>
            <w:rStyle w:val="Hypertextovprepojenie"/>
            <w:rFonts w:eastAsiaTheme="minorHAnsi"/>
            <w:lang w:eastAsia="en-US"/>
          </w:rPr>
          <w:t>GRAF 5 -</w:t>
        </w:r>
        <w:r w:rsidR="00D76DCF" w:rsidRPr="00887108">
          <w:rPr>
            <w:rStyle w:val="Hypertextovprepojenie"/>
            <w:rFonts w:eastAsia="NeueHaasGroteskText W02" w:cs="Arial"/>
            <w:bCs/>
            <w:u w:color="2C9ADC"/>
          </w:rPr>
          <w:t xml:space="preserve"> Globálna lodná kontajnerová preprava vo februári klesla podobne ako v 2009</w:t>
        </w:r>
        <w:r w:rsidR="00D76DCF" w:rsidRPr="00887108">
          <w:rPr>
            <w:webHidden/>
          </w:rPr>
          <w:tab/>
        </w:r>
        <w:r w:rsidR="00D76DCF" w:rsidRPr="00887108">
          <w:rPr>
            <w:webHidden/>
          </w:rPr>
          <w:fldChar w:fldCharType="begin"/>
        </w:r>
        <w:r w:rsidR="00D76DCF" w:rsidRPr="00887108">
          <w:rPr>
            <w:webHidden/>
          </w:rPr>
          <w:instrText xml:space="preserve"> PAGEREF _Toc40181256 \h </w:instrText>
        </w:r>
        <w:r w:rsidR="00D76DCF" w:rsidRPr="00887108">
          <w:rPr>
            <w:webHidden/>
          </w:rPr>
        </w:r>
        <w:r w:rsidR="00D76DCF" w:rsidRPr="00887108">
          <w:rPr>
            <w:webHidden/>
          </w:rPr>
          <w:fldChar w:fldCharType="separate"/>
        </w:r>
        <w:r w:rsidR="00D47A36">
          <w:rPr>
            <w:noProof/>
            <w:webHidden/>
          </w:rPr>
          <w:t>9</w:t>
        </w:r>
        <w:r w:rsidR="00D76DCF" w:rsidRPr="00887108">
          <w:rPr>
            <w:webHidden/>
          </w:rPr>
          <w:fldChar w:fldCharType="end"/>
        </w:r>
      </w:hyperlink>
    </w:p>
    <w:p w14:paraId="66586AEB"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57" w:history="1">
        <w:r w:rsidR="00D76DCF" w:rsidRPr="00887108">
          <w:rPr>
            <w:rStyle w:val="Hypertextovprepojenie"/>
            <w:rFonts w:eastAsiaTheme="minorHAnsi"/>
            <w:lang w:eastAsia="en-US"/>
          </w:rPr>
          <w:t>GRAF 6 -</w:t>
        </w:r>
        <w:r w:rsidR="00D76DCF" w:rsidRPr="00887108">
          <w:rPr>
            <w:rStyle w:val="Hypertextovprepojenie"/>
            <w:rFonts w:eastAsia="NeueHaasGroteskText W02" w:cs="Arial"/>
            <w:bCs/>
            <w:u w:color="2C9ADC"/>
          </w:rPr>
          <w:t xml:space="preserve"> Marcové predstihové indikátory pre eurozónu hlásia historické prepady</w:t>
        </w:r>
        <w:r w:rsidR="00D76DCF" w:rsidRPr="00887108">
          <w:rPr>
            <w:webHidden/>
          </w:rPr>
          <w:tab/>
        </w:r>
        <w:r w:rsidR="00D76DCF" w:rsidRPr="00887108">
          <w:rPr>
            <w:webHidden/>
          </w:rPr>
          <w:fldChar w:fldCharType="begin"/>
        </w:r>
        <w:r w:rsidR="00D76DCF" w:rsidRPr="00887108">
          <w:rPr>
            <w:webHidden/>
          </w:rPr>
          <w:instrText xml:space="preserve"> PAGEREF _Toc40181257 \h </w:instrText>
        </w:r>
        <w:r w:rsidR="00D76DCF" w:rsidRPr="00887108">
          <w:rPr>
            <w:webHidden/>
          </w:rPr>
        </w:r>
        <w:r w:rsidR="00D76DCF" w:rsidRPr="00887108">
          <w:rPr>
            <w:webHidden/>
          </w:rPr>
          <w:fldChar w:fldCharType="separate"/>
        </w:r>
        <w:r w:rsidR="00D47A36">
          <w:rPr>
            <w:noProof/>
            <w:webHidden/>
          </w:rPr>
          <w:t>9</w:t>
        </w:r>
        <w:r w:rsidR="00D76DCF" w:rsidRPr="00887108">
          <w:rPr>
            <w:webHidden/>
          </w:rPr>
          <w:fldChar w:fldCharType="end"/>
        </w:r>
      </w:hyperlink>
    </w:p>
    <w:p w14:paraId="690AAC4F"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58" w:history="1">
        <w:r w:rsidR="00D76DCF" w:rsidRPr="00887108">
          <w:rPr>
            <w:rStyle w:val="Hypertextovprepojenie"/>
            <w:rFonts w:eastAsiaTheme="minorHAnsi"/>
            <w:lang w:eastAsia="en-US"/>
          </w:rPr>
          <w:t>GRAF 7 - Príspevky výrobných faktorov k rastu potenciálneho produktu (p. b.) - prístup MF SR</w:t>
        </w:r>
        <w:r w:rsidR="00D76DCF" w:rsidRPr="00887108">
          <w:rPr>
            <w:webHidden/>
          </w:rPr>
          <w:tab/>
        </w:r>
        <w:r w:rsidR="00D76DCF" w:rsidRPr="00887108">
          <w:rPr>
            <w:webHidden/>
          </w:rPr>
          <w:fldChar w:fldCharType="begin"/>
        </w:r>
        <w:r w:rsidR="00D76DCF" w:rsidRPr="00887108">
          <w:rPr>
            <w:webHidden/>
          </w:rPr>
          <w:instrText xml:space="preserve"> PAGEREF _Toc40181258 \h </w:instrText>
        </w:r>
        <w:r w:rsidR="00D76DCF" w:rsidRPr="00887108">
          <w:rPr>
            <w:webHidden/>
          </w:rPr>
        </w:r>
        <w:r w:rsidR="00D76DCF" w:rsidRPr="00887108">
          <w:rPr>
            <w:webHidden/>
          </w:rPr>
          <w:fldChar w:fldCharType="separate"/>
        </w:r>
        <w:r w:rsidR="00D47A36">
          <w:rPr>
            <w:noProof/>
            <w:webHidden/>
          </w:rPr>
          <w:t>10</w:t>
        </w:r>
        <w:r w:rsidR="00D76DCF" w:rsidRPr="00887108">
          <w:rPr>
            <w:webHidden/>
          </w:rPr>
          <w:fldChar w:fldCharType="end"/>
        </w:r>
      </w:hyperlink>
    </w:p>
    <w:p w14:paraId="598144F7"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59" w:history="1">
        <w:r w:rsidR="00D76DCF" w:rsidRPr="00887108">
          <w:rPr>
            <w:rStyle w:val="Hypertextovprepojenie"/>
            <w:rFonts w:eastAsiaTheme="minorHAnsi"/>
            <w:lang w:eastAsia="en-US"/>
          </w:rPr>
          <w:t>GRAF 8 - Produkčná medzera* (% pot. HDP) - prístup MF SR</w:t>
        </w:r>
        <w:r w:rsidR="00D76DCF" w:rsidRPr="00887108">
          <w:rPr>
            <w:webHidden/>
          </w:rPr>
          <w:tab/>
        </w:r>
        <w:r w:rsidR="00D76DCF" w:rsidRPr="00887108">
          <w:rPr>
            <w:webHidden/>
          </w:rPr>
          <w:fldChar w:fldCharType="begin"/>
        </w:r>
        <w:r w:rsidR="00D76DCF" w:rsidRPr="00887108">
          <w:rPr>
            <w:webHidden/>
          </w:rPr>
          <w:instrText xml:space="preserve"> PAGEREF _Toc40181259 \h </w:instrText>
        </w:r>
        <w:r w:rsidR="00D76DCF" w:rsidRPr="00887108">
          <w:rPr>
            <w:webHidden/>
          </w:rPr>
        </w:r>
        <w:r w:rsidR="00D76DCF" w:rsidRPr="00887108">
          <w:rPr>
            <w:webHidden/>
          </w:rPr>
          <w:fldChar w:fldCharType="separate"/>
        </w:r>
        <w:r w:rsidR="00D47A36">
          <w:rPr>
            <w:noProof/>
            <w:webHidden/>
          </w:rPr>
          <w:t>10</w:t>
        </w:r>
        <w:r w:rsidR="00D76DCF" w:rsidRPr="00887108">
          <w:rPr>
            <w:webHidden/>
          </w:rPr>
          <w:fldChar w:fldCharType="end"/>
        </w:r>
      </w:hyperlink>
    </w:p>
    <w:p w14:paraId="4F3F91A5"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0" w:history="1">
        <w:r w:rsidR="00D76DCF" w:rsidRPr="00887108">
          <w:rPr>
            <w:rStyle w:val="Hypertextovprepojenie"/>
            <w:rFonts w:eastAsiaTheme="minorHAnsi"/>
            <w:lang w:eastAsia="en-US"/>
          </w:rPr>
          <w:t xml:space="preserve">GRAF 9 - </w:t>
        </w:r>
        <w:r w:rsidR="00D76DCF" w:rsidRPr="00887108">
          <w:rPr>
            <w:rStyle w:val="Hypertextovprepojenie"/>
            <w:rFonts w:eastAsia="NeueHaasGroteskText W02" w:cs="Arial"/>
            <w:bCs/>
            <w:u w:color="2C9ADC"/>
          </w:rPr>
          <w:t>HDP v základnej prognóze a scenároch (index, 2019=100)</w:t>
        </w:r>
        <w:r w:rsidR="00D76DCF" w:rsidRPr="00887108">
          <w:rPr>
            <w:webHidden/>
          </w:rPr>
          <w:tab/>
        </w:r>
        <w:r w:rsidR="00D76DCF" w:rsidRPr="00887108">
          <w:rPr>
            <w:webHidden/>
          </w:rPr>
          <w:fldChar w:fldCharType="begin"/>
        </w:r>
        <w:r w:rsidR="00D76DCF" w:rsidRPr="00887108">
          <w:rPr>
            <w:webHidden/>
          </w:rPr>
          <w:instrText xml:space="preserve"> PAGEREF _Toc40181260 \h </w:instrText>
        </w:r>
        <w:r w:rsidR="00D76DCF" w:rsidRPr="00887108">
          <w:rPr>
            <w:webHidden/>
          </w:rPr>
        </w:r>
        <w:r w:rsidR="00D76DCF" w:rsidRPr="00887108">
          <w:rPr>
            <w:webHidden/>
          </w:rPr>
          <w:fldChar w:fldCharType="separate"/>
        </w:r>
        <w:r w:rsidR="00D47A36">
          <w:rPr>
            <w:noProof/>
            <w:webHidden/>
          </w:rPr>
          <w:t>12</w:t>
        </w:r>
        <w:r w:rsidR="00D76DCF" w:rsidRPr="00887108">
          <w:rPr>
            <w:webHidden/>
          </w:rPr>
          <w:fldChar w:fldCharType="end"/>
        </w:r>
      </w:hyperlink>
    </w:p>
    <w:p w14:paraId="54C33F95"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1" w:history="1">
        <w:r w:rsidR="00D76DCF" w:rsidRPr="00887108">
          <w:rPr>
            <w:rStyle w:val="Hypertextovprepojenie"/>
            <w:rFonts w:eastAsiaTheme="minorHAnsi"/>
            <w:lang w:eastAsia="en-US"/>
          </w:rPr>
          <w:t xml:space="preserve">GRAF 10 - </w:t>
        </w:r>
        <w:r w:rsidR="00D76DCF" w:rsidRPr="00887108">
          <w:rPr>
            <w:rStyle w:val="Hypertextovprepojenie"/>
            <w:rFonts w:eastAsia="NeueHaasGroteskText W02" w:cs="Arial"/>
            <w:bCs/>
            <w:u w:color="2C9ADC"/>
          </w:rPr>
          <w:t>Zamestnanosť v základnej prognóze a scenároch (index, 2019=100)</w:t>
        </w:r>
        <w:r w:rsidR="00D76DCF" w:rsidRPr="00887108">
          <w:rPr>
            <w:webHidden/>
          </w:rPr>
          <w:tab/>
        </w:r>
        <w:r w:rsidR="00D76DCF" w:rsidRPr="00887108">
          <w:rPr>
            <w:webHidden/>
          </w:rPr>
          <w:fldChar w:fldCharType="begin"/>
        </w:r>
        <w:r w:rsidR="00D76DCF" w:rsidRPr="00887108">
          <w:rPr>
            <w:webHidden/>
          </w:rPr>
          <w:instrText xml:space="preserve"> PAGEREF _Toc40181261 \h </w:instrText>
        </w:r>
        <w:r w:rsidR="00D76DCF" w:rsidRPr="00887108">
          <w:rPr>
            <w:webHidden/>
          </w:rPr>
        </w:r>
        <w:r w:rsidR="00D76DCF" w:rsidRPr="00887108">
          <w:rPr>
            <w:webHidden/>
          </w:rPr>
          <w:fldChar w:fldCharType="separate"/>
        </w:r>
        <w:r w:rsidR="00D47A36">
          <w:rPr>
            <w:noProof/>
            <w:webHidden/>
          </w:rPr>
          <w:t>12</w:t>
        </w:r>
        <w:r w:rsidR="00D76DCF" w:rsidRPr="00887108">
          <w:rPr>
            <w:webHidden/>
          </w:rPr>
          <w:fldChar w:fldCharType="end"/>
        </w:r>
      </w:hyperlink>
    </w:p>
    <w:p w14:paraId="616B0C65"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2" w:history="1">
        <w:r w:rsidR="00D76DCF" w:rsidRPr="00887108">
          <w:rPr>
            <w:rStyle w:val="Hypertextovprepojenie"/>
            <w:rFonts w:eastAsiaTheme="minorHAnsi"/>
            <w:lang w:eastAsia="en-US"/>
          </w:rPr>
          <w:t>GRAF 11 - Plnenie schváleného rozpočtu 2019 - rozdiely na hlavných položkách (ESA 2010)</w:t>
        </w:r>
        <w:r w:rsidR="00D76DCF" w:rsidRPr="00887108">
          <w:rPr>
            <w:webHidden/>
          </w:rPr>
          <w:tab/>
        </w:r>
        <w:r w:rsidR="00D76DCF" w:rsidRPr="00887108">
          <w:rPr>
            <w:webHidden/>
          </w:rPr>
          <w:fldChar w:fldCharType="begin"/>
        </w:r>
        <w:r w:rsidR="00D76DCF" w:rsidRPr="00887108">
          <w:rPr>
            <w:webHidden/>
          </w:rPr>
          <w:instrText xml:space="preserve"> PAGEREF _Toc40181262 \h </w:instrText>
        </w:r>
        <w:r w:rsidR="00D76DCF" w:rsidRPr="00887108">
          <w:rPr>
            <w:webHidden/>
          </w:rPr>
        </w:r>
        <w:r w:rsidR="00D76DCF" w:rsidRPr="00887108">
          <w:rPr>
            <w:webHidden/>
          </w:rPr>
          <w:fldChar w:fldCharType="separate"/>
        </w:r>
        <w:r w:rsidR="00D47A36">
          <w:rPr>
            <w:noProof/>
            <w:webHidden/>
          </w:rPr>
          <w:t>13</w:t>
        </w:r>
        <w:r w:rsidR="00D76DCF" w:rsidRPr="00887108">
          <w:rPr>
            <w:webHidden/>
          </w:rPr>
          <w:fldChar w:fldCharType="end"/>
        </w:r>
      </w:hyperlink>
    </w:p>
    <w:p w14:paraId="62C773A7"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3" w:history="1">
        <w:r w:rsidR="00D76DCF" w:rsidRPr="00887108">
          <w:rPr>
            <w:rStyle w:val="Hypertextovprepojenie"/>
            <w:rFonts w:eastAsiaTheme="minorHAnsi"/>
            <w:lang w:eastAsia="en-US"/>
          </w:rPr>
          <w:t>GRAF 12 - Plnenie schváleného rozpočtu - rozdiely na hlavných položkách (ESA 2010), príspevky v mil. eur</w:t>
        </w:r>
        <w:r w:rsidR="00D76DCF" w:rsidRPr="00887108">
          <w:rPr>
            <w:webHidden/>
          </w:rPr>
          <w:tab/>
        </w:r>
        <w:r w:rsidR="00D76DCF" w:rsidRPr="00887108">
          <w:rPr>
            <w:webHidden/>
          </w:rPr>
          <w:fldChar w:fldCharType="begin"/>
        </w:r>
        <w:r w:rsidR="00D76DCF" w:rsidRPr="00887108">
          <w:rPr>
            <w:webHidden/>
          </w:rPr>
          <w:instrText xml:space="preserve"> PAGEREF _Toc40181263 \h </w:instrText>
        </w:r>
        <w:r w:rsidR="00D76DCF" w:rsidRPr="00887108">
          <w:rPr>
            <w:webHidden/>
          </w:rPr>
        </w:r>
        <w:r w:rsidR="00D76DCF" w:rsidRPr="00887108">
          <w:rPr>
            <w:webHidden/>
          </w:rPr>
          <w:fldChar w:fldCharType="separate"/>
        </w:r>
        <w:r w:rsidR="00D47A36">
          <w:rPr>
            <w:noProof/>
            <w:webHidden/>
          </w:rPr>
          <w:t>15</w:t>
        </w:r>
        <w:r w:rsidR="00D76DCF" w:rsidRPr="00887108">
          <w:rPr>
            <w:webHidden/>
          </w:rPr>
          <w:fldChar w:fldCharType="end"/>
        </w:r>
      </w:hyperlink>
    </w:p>
    <w:p w14:paraId="18ACBC44"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4" w:history="1">
        <w:r w:rsidR="00D76DCF" w:rsidRPr="00887108">
          <w:rPr>
            <w:rStyle w:val="Hypertextovprepojenie"/>
          </w:rPr>
          <w:t>GRAF 13 - Nominálne saldá podľa subsektorov (v % HDP)</w:t>
        </w:r>
        <w:r w:rsidR="00D76DCF" w:rsidRPr="00887108">
          <w:rPr>
            <w:webHidden/>
          </w:rPr>
          <w:tab/>
        </w:r>
        <w:r w:rsidR="00D76DCF" w:rsidRPr="00887108">
          <w:rPr>
            <w:webHidden/>
          </w:rPr>
          <w:fldChar w:fldCharType="begin"/>
        </w:r>
        <w:r w:rsidR="00D76DCF" w:rsidRPr="00887108">
          <w:rPr>
            <w:webHidden/>
          </w:rPr>
          <w:instrText xml:space="preserve"> PAGEREF _Toc40181264 \h </w:instrText>
        </w:r>
        <w:r w:rsidR="00D76DCF" w:rsidRPr="00887108">
          <w:rPr>
            <w:webHidden/>
          </w:rPr>
        </w:r>
        <w:r w:rsidR="00D76DCF" w:rsidRPr="00887108">
          <w:rPr>
            <w:webHidden/>
          </w:rPr>
          <w:fldChar w:fldCharType="separate"/>
        </w:r>
        <w:r w:rsidR="00D47A36">
          <w:rPr>
            <w:noProof/>
            <w:webHidden/>
          </w:rPr>
          <w:t>19</w:t>
        </w:r>
        <w:r w:rsidR="00D76DCF" w:rsidRPr="00887108">
          <w:rPr>
            <w:webHidden/>
          </w:rPr>
          <w:fldChar w:fldCharType="end"/>
        </w:r>
      </w:hyperlink>
    </w:p>
    <w:p w14:paraId="35BF3413"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5" w:history="1">
        <w:r w:rsidR="00D76DCF" w:rsidRPr="00887108">
          <w:rPr>
            <w:rStyle w:val="Hypertextovprepojenie"/>
            <w:rFonts w:eastAsiaTheme="minorHAnsi"/>
            <w:lang w:eastAsia="en-US"/>
          </w:rPr>
          <w:t>GRAF 14 - Zmena primárneho štrukturálneho salda oproti úrovni produkčnej medzery (% HDP)</w:t>
        </w:r>
        <w:r w:rsidR="00D76DCF" w:rsidRPr="00887108">
          <w:rPr>
            <w:webHidden/>
          </w:rPr>
          <w:tab/>
        </w:r>
        <w:r w:rsidR="00D76DCF" w:rsidRPr="00887108">
          <w:rPr>
            <w:webHidden/>
          </w:rPr>
          <w:fldChar w:fldCharType="begin"/>
        </w:r>
        <w:r w:rsidR="00D76DCF" w:rsidRPr="00887108">
          <w:rPr>
            <w:webHidden/>
          </w:rPr>
          <w:instrText xml:space="preserve"> PAGEREF _Toc40181265 \h </w:instrText>
        </w:r>
        <w:r w:rsidR="00D76DCF" w:rsidRPr="00887108">
          <w:rPr>
            <w:webHidden/>
          </w:rPr>
        </w:r>
        <w:r w:rsidR="00D76DCF" w:rsidRPr="00887108">
          <w:rPr>
            <w:webHidden/>
          </w:rPr>
          <w:fldChar w:fldCharType="separate"/>
        </w:r>
        <w:r w:rsidR="00D47A36">
          <w:rPr>
            <w:noProof/>
            <w:webHidden/>
          </w:rPr>
          <w:t>22</w:t>
        </w:r>
        <w:r w:rsidR="00D76DCF" w:rsidRPr="00887108">
          <w:rPr>
            <w:webHidden/>
          </w:rPr>
          <w:fldChar w:fldCharType="end"/>
        </w:r>
      </w:hyperlink>
    </w:p>
    <w:p w14:paraId="033D9FA9"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6" w:history="1">
        <w:r w:rsidR="00D76DCF" w:rsidRPr="00887108">
          <w:rPr>
            <w:rStyle w:val="Hypertextovprepojenie"/>
            <w:rFonts w:eastAsiaTheme="minorHAnsi"/>
            <w:lang w:eastAsia="en-US"/>
          </w:rPr>
          <w:t>GRAF 15 - Hrubý dlh verejnej správy (% HDP)</w:t>
        </w:r>
        <w:r w:rsidR="00D76DCF" w:rsidRPr="00887108">
          <w:rPr>
            <w:webHidden/>
          </w:rPr>
          <w:tab/>
        </w:r>
        <w:r w:rsidR="00D76DCF" w:rsidRPr="00887108">
          <w:rPr>
            <w:webHidden/>
          </w:rPr>
          <w:fldChar w:fldCharType="begin"/>
        </w:r>
        <w:r w:rsidR="00D76DCF" w:rsidRPr="00887108">
          <w:rPr>
            <w:webHidden/>
          </w:rPr>
          <w:instrText xml:space="preserve"> PAGEREF _Toc40181266 \h </w:instrText>
        </w:r>
        <w:r w:rsidR="00D76DCF" w:rsidRPr="00887108">
          <w:rPr>
            <w:webHidden/>
          </w:rPr>
        </w:r>
        <w:r w:rsidR="00D76DCF" w:rsidRPr="00887108">
          <w:rPr>
            <w:webHidden/>
          </w:rPr>
          <w:fldChar w:fldCharType="separate"/>
        </w:r>
        <w:r w:rsidR="00D47A36">
          <w:rPr>
            <w:noProof/>
            <w:webHidden/>
          </w:rPr>
          <w:t>23</w:t>
        </w:r>
        <w:r w:rsidR="00D76DCF" w:rsidRPr="00887108">
          <w:rPr>
            <w:webHidden/>
          </w:rPr>
          <w:fldChar w:fldCharType="end"/>
        </w:r>
      </w:hyperlink>
    </w:p>
    <w:p w14:paraId="6E22D94E"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7" w:history="1">
        <w:r w:rsidR="00D76DCF" w:rsidRPr="00887108">
          <w:rPr>
            <w:rStyle w:val="Hypertextovprepojenie"/>
            <w:rFonts w:eastAsiaTheme="minorHAnsi"/>
            <w:lang w:eastAsia="en-US"/>
          </w:rPr>
          <w:t>GRAF 16 - Príspevky faktorov k medziročnej zmene hrubého dlhu (% HDP)</w:t>
        </w:r>
        <w:r w:rsidR="00D76DCF" w:rsidRPr="00887108">
          <w:rPr>
            <w:webHidden/>
          </w:rPr>
          <w:tab/>
        </w:r>
        <w:r w:rsidR="00D76DCF" w:rsidRPr="00887108">
          <w:rPr>
            <w:webHidden/>
          </w:rPr>
          <w:fldChar w:fldCharType="begin"/>
        </w:r>
        <w:r w:rsidR="00D76DCF" w:rsidRPr="00887108">
          <w:rPr>
            <w:webHidden/>
          </w:rPr>
          <w:instrText xml:space="preserve"> PAGEREF _Toc40181267 \h </w:instrText>
        </w:r>
        <w:r w:rsidR="00D76DCF" w:rsidRPr="00887108">
          <w:rPr>
            <w:webHidden/>
          </w:rPr>
        </w:r>
        <w:r w:rsidR="00D76DCF" w:rsidRPr="00887108">
          <w:rPr>
            <w:webHidden/>
          </w:rPr>
          <w:fldChar w:fldCharType="separate"/>
        </w:r>
        <w:r w:rsidR="00D47A36">
          <w:rPr>
            <w:noProof/>
            <w:webHidden/>
          </w:rPr>
          <w:t>23</w:t>
        </w:r>
        <w:r w:rsidR="00D76DCF" w:rsidRPr="00887108">
          <w:rPr>
            <w:webHidden/>
          </w:rPr>
          <w:fldChar w:fldCharType="end"/>
        </w:r>
      </w:hyperlink>
    </w:p>
    <w:p w14:paraId="49F7670B"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8" w:history="1">
        <w:r w:rsidR="00D76DCF" w:rsidRPr="00887108">
          <w:rPr>
            <w:rStyle w:val="Hypertextovprepojenie"/>
            <w:rFonts w:eastAsiaTheme="minorHAnsi"/>
            <w:lang w:eastAsia="en-US"/>
          </w:rPr>
          <w:t>GRAF 17 - Rozdiel medzi nominálnym rastom HDP a úrokovými sadzbami (% medziročné rasty)</w:t>
        </w:r>
        <w:r w:rsidR="00D76DCF" w:rsidRPr="00887108">
          <w:rPr>
            <w:webHidden/>
          </w:rPr>
          <w:tab/>
        </w:r>
        <w:r w:rsidR="00D76DCF" w:rsidRPr="00887108">
          <w:rPr>
            <w:webHidden/>
          </w:rPr>
          <w:fldChar w:fldCharType="begin"/>
        </w:r>
        <w:r w:rsidR="00D76DCF" w:rsidRPr="00887108">
          <w:rPr>
            <w:webHidden/>
          </w:rPr>
          <w:instrText xml:space="preserve"> PAGEREF _Toc40181268 \h </w:instrText>
        </w:r>
        <w:r w:rsidR="00D76DCF" w:rsidRPr="00887108">
          <w:rPr>
            <w:webHidden/>
          </w:rPr>
        </w:r>
        <w:r w:rsidR="00D76DCF" w:rsidRPr="00887108">
          <w:rPr>
            <w:webHidden/>
          </w:rPr>
          <w:fldChar w:fldCharType="separate"/>
        </w:r>
        <w:r w:rsidR="00D47A36">
          <w:rPr>
            <w:noProof/>
            <w:webHidden/>
          </w:rPr>
          <w:t>23</w:t>
        </w:r>
        <w:r w:rsidR="00D76DCF" w:rsidRPr="00887108">
          <w:rPr>
            <w:webHidden/>
          </w:rPr>
          <w:fldChar w:fldCharType="end"/>
        </w:r>
      </w:hyperlink>
    </w:p>
    <w:p w14:paraId="3338FC85"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69" w:history="1">
        <w:r w:rsidR="00D76DCF" w:rsidRPr="00887108">
          <w:rPr>
            <w:rStyle w:val="Hypertextovprepojenie"/>
            <w:rFonts w:eastAsiaTheme="minorHAnsi"/>
            <w:lang w:eastAsia="en-US"/>
          </w:rPr>
          <w:t>GRAF 18 - Plánovaný vývoj hrubého dlhu verejnej správy v porovnaní so scenárom nezmenených politík (% HDP)</w:t>
        </w:r>
        <w:r w:rsidR="00D76DCF" w:rsidRPr="00887108">
          <w:rPr>
            <w:webHidden/>
          </w:rPr>
          <w:tab/>
        </w:r>
        <w:r w:rsidR="00D76DCF" w:rsidRPr="00887108">
          <w:rPr>
            <w:webHidden/>
          </w:rPr>
          <w:fldChar w:fldCharType="begin"/>
        </w:r>
        <w:r w:rsidR="00D76DCF" w:rsidRPr="00887108">
          <w:rPr>
            <w:webHidden/>
          </w:rPr>
          <w:instrText xml:space="preserve"> PAGEREF _Toc40181269 \h </w:instrText>
        </w:r>
        <w:r w:rsidR="00D76DCF" w:rsidRPr="00887108">
          <w:rPr>
            <w:webHidden/>
          </w:rPr>
        </w:r>
        <w:r w:rsidR="00D76DCF" w:rsidRPr="00887108">
          <w:rPr>
            <w:webHidden/>
          </w:rPr>
          <w:fldChar w:fldCharType="separate"/>
        </w:r>
        <w:r w:rsidR="00D47A36">
          <w:rPr>
            <w:noProof/>
            <w:webHidden/>
          </w:rPr>
          <w:t>24</w:t>
        </w:r>
        <w:r w:rsidR="00D76DCF" w:rsidRPr="00887108">
          <w:rPr>
            <w:webHidden/>
          </w:rPr>
          <w:fldChar w:fldCharType="end"/>
        </w:r>
      </w:hyperlink>
    </w:p>
    <w:p w14:paraId="2C3C46E5"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0" w:history="1">
        <w:r w:rsidR="00D76DCF" w:rsidRPr="00887108">
          <w:rPr>
            <w:rStyle w:val="Hypertextovprepojenie"/>
            <w:rFonts w:eastAsiaTheme="minorHAnsi"/>
            <w:lang w:eastAsia="en-US"/>
          </w:rPr>
          <w:t>GRAF 19 - Čistý dlh (% HDP)</w:t>
        </w:r>
        <w:r w:rsidR="00D76DCF" w:rsidRPr="00887108">
          <w:rPr>
            <w:webHidden/>
          </w:rPr>
          <w:tab/>
        </w:r>
        <w:r w:rsidR="00D76DCF" w:rsidRPr="00887108">
          <w:rPr>
            <w:webHidden/>
          </w:rPr>
          <w:fldChar w:fldCharType="begin"/>
        </w:r>
        <w:r w:rsidR="00D76DCF" w:rsidRPr="00887108">
          <w:rPr>
            <w:webHidden/>
          </w:rPr>
          <w:instrText xml:space="preserve"> PAGEREF _Toc40181270 \h </w:instrText>
        </w:r>
        <w:r w:rsidR="00D76DCF" w:rsidRPr="00887108">
          <w:rPr>
            <w:webHidden/>
          </w:rPr>
        </w:r>
        <w:r w:rsidR="00D76DCF" w:rsidRPr="00887108">
          <w:rPr>
            <w:webHidden/>
          </w:rPr>
          <w:fldChar w:fldCharType="separate"/>
        </w:r>
        <w:r w:rsidR="00D47A36">
          <w:rPr>
            <w:noProof/>
            <w:webHidden/>
          </w:rPr>
          <w:t>24</w:t>
        </w:r>
        <w:r w:rsidR="00D76DCF" w:rsidRPr="00887108">
          <w:rPr>
            <w:webHidden/>
          </w:rPr>
          <w:fldChar w:fldCharType="end"/>
        </w:r>
      </w:hyperlink>
    </w:p>
    <w:p w14:paraId="1F788B19"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1" w:history="1">
        <w:r w:rsidR="00D76DCF" w:rsidRPr="00887108">
          <w:rPr>
            <w:rStyle w:val="Hypertextovprepojenie"/>
            <w:rFonts w:eastAsiaTheme="minorHAnsi"/>
            <w:lang w:eastAsia="en-US"/>
          </w:rPr>
          <w:t>GRAF 20 – Potreba financovania (% HDP)</w:t>
        </w:r>
        <w:r w:rsidR="00D76DCF" w:rsidRPr="00887108">
          <w:rPr>
            <w:webHidden/>
          </w:rPr>
          <w:tab/>
        </w:r>
        <w:r w:rsidR="00D76DCF" w:rsidRPr="00887108">
          <w:rPr>
            <w:webHidden/>
          </w:rPr>
          <w:fldChar w:fldCharType="begin"/>
        </w:r>
        <w:r w:rsidR="00D76DCF" w:rsidRPr="00887108">
          <w:rPr>
            <w:webHidden/>
          </w:rPr>
          <w:instrText xml:space="preserve"> PAGEREF _Toc40181271 \h </w:instrText>
        </w:r>
        <w:r w:rsidR="00D76DCF" w:rsidRPr="00887108">
          <w:rPr>
            <w:webHidden/>
          </w:rPr>
        </w:r>
        <w:r w:rsidR="00D76DCF" w:rsidRPr="00887108">
          <w:rPr>
            <w:webHidden/>
          </w:rPr>
          <w:fldChar w:fldCharType="separate"/>
        </w:r>
        <w:r w:rsidR="00D47A36">
          <w:rPr>
            <w:noProof/>
            <w:webHidden/>
          </w:rPr>
          <w:t>24</w:t>
        </w:r>
        <w:r w:rsidR="00D76DCF" w:rsidRPr="00887108">
          <w:rPr>
            <w:webHidden/>
          </w:rPr>
          <w:fldChar w:fldCharType="end"/>
        </w:r>
      </w:hyperlink>
    </w:p>
    <w:p w14:paraId="6E7CF1A1"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2" w:history="1">
        <w:r w:rsidR="00D76DCF" w:rsidRPr="00887108">
          <w:rPr>
            <w:rStyle w:val="Hypertextovprepojenie"/>
            <w:rFonts w:eastAsiaTheme="minorHAnsi"/>
            <w:lang w:eastAsia="en-US"/>
          </w:rPr>
          <w:t>GRAF 21 - Strednodobá udržateľnosť S1 (EK, MF SR % HDP)*</w:t>
        </w:r>
        <w:r w:rsidR="00D76DCF" w:rsidRPr="00887108">
          <w:rPr>
            <w:webHidden/>
          </w:rPr>
          <w:tab/>
        </w:r>
        <w:r w:rsidR="00D76DCF" w:rsidRPr="00887108">
          <w:rPr>
            <w:webHidden/>
          </w:rPr>
          <w:fldChar w:fldCharType="begin"/>
        </w:r>
        <w:r w:rsidR="00D76DCF" w:rsidRPr="00887108">
          <w:rPr>
            <w:webHidden/>
          </w:rPr>
          <w:instrText xml:space="preserve"> PAGEREF _Toc40181272 \h </w:instrText>
        </w:r>
        <w:r w:rsidR="00D76DCF" w:rsidRPr="00887108">
          <w:rPr>
            <w:webHidden/>
          </w:rPr>
        </w:r>
        <w:r w:rsidR="00D76DCF" w:rsidRPr="00887108">
          <w:rPr>
            <w:webHidden/>
          </w:rPr>
          <w:fldChar w:fldCharType="separate"/>
        </w:r>
        <w:r w:rsidR="00D47A36">
          <w:rPr>
            <w:noProof/>
            <w:webHidden/>
          </w:rPr>
          <w:t>27</w:t>
        </w:r>
        <w:r w:rsidR="00D76DCF" w:rsidRPr="00887108">
          <w:rPr>
            <w:webHidden/>
          </w:rPr>
          <w:fldChar w:fldCharType="end"/>
        </w:r>
      </w:hyperlink>
    </w:p>
    <w:p w14:paraId="4A4EAC7E"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3" w:history="1">
        <w:r w:rsidR="00D76DCF" w:rsidRPr="00887108">
          <w:rPr>
            <w:rStyle w:val="Hypertextovprepojenie"/>
            <w:rFonts w:eastAsiaTheme="minorHAnsi"/>
            <w:lang w:eastAsia="en-US"/>
          </w:rPr>
          <w:t>GRAF 22 - Dlhodobá udržateľnosť S2 (EK, MF SR % HDP)*</w:t>
        </w:r>
        <w:r w:rsidR="00D76DCF" w:rsidRPr="00887108">
          <w:rPr>
            <w:webHidden/>
          </w:rPr>
          <w:tab/>
        </w:r>
        <w:r w:rsidR="00D76DCF" w:rsidRPr="00887108">
          <w:rPr>
            <w:webHidden/>
          </w:rPr>
          <w:fldChar w:fldCharType="begin"/>
        </w:r>
        <w:r w:rsidR="00D76DCF" w:rsidRPr="00887108">
          <w:rPr>
            <w:webHidden/>
          </w:rPr>
          <w:instrText xml:space="preserve"> PAGEREF _Toc40181273 \h </w:instrText>
        </w:r>
        <w:r w:rsidR="00D76DCF" w:rsidRPr="00887108">
          <w:rPr>
            <w:webHidden/>
          </w:rPr>
        </w:r>
        <w:r w:rsidR="00D76DCF" w:rsidRPr="00887108">
          <w:rPr>
            <w:webHidden/>
          </w:rPr>
          <w:fldChar w:fldCharType="separate"/>
        </w:r>
        <w:r w:rsidR="00D47A36">
          <w:rPr>
            <w:noProof/>
            <w:webHidden/>
          </w:rPr>
          <w:t>27</w:t>
        </w:r>
        <w:r w:rsidR="00D76DCF" w:rsidRPr="00887108">
          <w:rPr>
            <w:webHidden/>
          </w:rPr>
          <w:fldChar w:fldCharType="end"/>
        </w:r>
      </w:hyperlink>
    </w:p>
    <w:p w14:paraId="473C331E"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4" w:history="1">
        <w:r w:rsidR="00D76DCF" w:rsidRPr="00887108">
          <w:rPr>
            <w:rStyle w:val="Hypertextovprepojenie"/>
            <w:rFonts w:eastAsiaTheme="minorHAnsi"/>
            <w:lang w:eastAsia="en-US"/>
          </w:rPr>
          <w:t xml:space="preserve">GRAF 23 - </w:t>
        </w:r>
        <w:r w:rsidR="00D76DCF" w:rsidRPr="00887108">
          <w:rPr>
            <w:rStyle w:val="Hypertextovprepojenie"/>
            <w:rFonts w:cs="Arial"/>
          </w:rPr>
          <w:t>Dopady dôchodkových opatrení na výdavky na dôchodky (v % HDP)</w:t>
        </w:r>
        <w:r w:rsidR="00D76DCF" w:rsidRPr="00887108">
          <w:rPr>
            <w:webHidden/>
          </w:rPr>
          <w:tab/>
        </w:r>
        <w:r w:rsidR="00D76DCF" w:rsidRPr="00887108">
          <w:rPr>
            <w:webHidden/>
          </w:rPr>
          <w:fldChar w:fldCharType="begin"/>
        </w:r>
        <w:r w:rsidR="00D76DCF" w:rsidRPr="00887108">
          <w:rPr>
            <w:webHidden/>
          </w:rPr>
          <w:instrText xml:space="preserve"> PAGEREF _Toc40181274 \h </w:instrText>
        </w:r>
        <w:r w:rsidR="00D76DCF" w:rsidRPr="00887108">
          <w:rPr>
            <w:webHidden/>
          </w:rPr>
        </w:r>
        <w:r w:rsidR="00D76DCF" w:rsidRPr="00887108">
          <w:rPr>
            <w:webHidden/>
          </w:rPr>
          <w:fldChar w:fldCharType="separate"/>
        </w:r>
        <w:r w:rsidR="00D47A36">
          <w:rPr>
            <w:noProof/>
            <w:webHidden/>
          </w:rPr>
          <w:t>28</w:t>
        </w:r>
        <w:r w:rsidR="00D76DCF" w:rsidRPr="00887108">
          <w:rPr>
            <w:webHidden/>
          </w:rPr>
          <w:fldChar w:fldCharType="end"/>
        </w:r>
      </w:hyperlink>
    </w:p>
    <w:p w14:paraId="6B81DB77"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5" w:history="1">
        <w:r w:rsidR="00D76DCF" w:rsidRPr="00887108">
          <w:rPr>
            <w:rStyle w:val="Hypertextovprepojenie"/>
            <w:rFonts w:eastAsiaTheme="minorHAnsi"/>
            <w:lang w:eastAsia="en-US"/>
          </w:rPr>
          <w:t xml:space="preserve">GRAF 24 - </w:t>
        </w:r>
        <w:r w:rsidR="00D76DCF" w:rsidRPr="00887108">
          <w:rPr>
            <w:rStyle w:val="Hypertextovprepojenie"/>
            <w:rFonts w:eastAsia="Calibri" w:cs="Arial"/>
            <w:bCs/>
            <w:lang w:eastAsia="en-US"/>
          </w:rPr>
          <w:t>Aktualizácia projekcií výdavkov citlivých na starnutie z dôvodu zavedenia stropu na dôchodkový vek (% HDP)</w:t>
        </w:r>
        <w:r w:rsidR="00D76DCF" w:rsidRPr="00887108">
          <w:rPr>
            <w:webHidden/>
          </w:rPr>
          <w:tab/>
        </w:r>
        <w:r w:rsidR="00D76DCF" w:rsidRPr="00887108">
          <w:rPr>
            <w:webHidden/>
          </w:rPr>
          <w:fldChar w:fldCharType="begin"/>
        </w:r>
        <w:r w:rsidR="00D76DCF" w:rsidRPr="00887108">
          <w:rPr>
            <w:webHidden/>
          </w:rPr>
          <w:instrText xml:space="preserve"> PAGEREF _Toc40181275 \h </w:instrText>
        </w:r>
        <w:r w:rsidR="00D76DCF" w:rsidRPr="00887108">
          <w:rPr>
            <w:webHidden/>
          </w:rPr>
        </w:r>
        <w:r w:rsidR="00D76DCF" w:rsidRPr="00887108">
          <w:rPr>
            <w:webHidden/>
          </w:rPr>
          <w:fldChar w:fldCharType="separate"/>
        </w:r>
        <w:r w:rsidR="00D47A36">
          <w:rPr>
            <w:noProof/>
            <w:webHidden/>
          </w:rPr>
          <w:t>29</w:t>
        </w:r>
        <w:r w:rsidR="00D76DCF" w:rsidRPr="00887108">
          <w:rPr>
            <w:webHidden/>
          </w:rPr>
          <w:fldChar w:fldCharType="end"/>
        </w:r>
      </w:hyperlink>
    </w:p>
    <w:p w14:paraId="6FCD4EB3"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6" w:history="1">
        <w:r w:rsidR="00D76DCF" w:rsidRPr="00887108">
          <w:rPr>
            <w:rStyle w:val="Hypertextovprepojenie"/>
            <w:rFonts w:eastAsiaTheme="minorHAnsi"/>
            <w:lang w:eastAsia="en-US"/>
          </w:rPr>
          <w:t xml:space="preserve">GRAF 25 - </w:t>
        </w:r>
        <w:r w:rsidR="00D76DCF" w:rsidRPr="00887108">
          <w:rPr>
            <w:rStyle w:val="Hypertextovprepojenie"/>
            <w:rFonts w:eastAsia="Calibri" w:cs="Arial"/>
            <w:bCs/>
            <w:lang w:eastAsia="en-US"/>
          </w:rPr>
          <w:t>Dodatočný nárast výdavkov citlivých na starnutie z dôvodu zavedenia stropu na dôchodkový vek (% HDP)</w:t>
        </w:r>
        <w:r w:rsidR="00D76DCF" w:rsidRPr="00887108">
          <w:rPr>
            <w:webHidden/>
          </w:rPr>
          <w:tab/>
        </w:r>
        <w:r w:rsidR="00D76DCF" w:rsidRPr="00887108">
          <w:rPr>
            <w:webHidden/>
          </w:rPr>
          <w:fldChar w:fldCharType="begin"/>
        </w:r>
        <w:r w:rsidR="00D76DCF" w:rsidRPr="00887108">
          <w:rPr>
            <w:webHidden/>
          </w:rPr>
          <w:instrText xml:space="preserve"> PAGEREF _Toc40181276 \h </w:instrText>
        </w:r>
        <w:r w:rsidR="00D76DCF" w:rsidRPr="00887108">
          <w:rPr>
            <w:webHidden/>
          </w:rPr>
        </w:r>
        <w:r w:rsidR="00D76DCF" w:rsidRPr="00887108">
          <w:rPr>
            <w:webHidden/>
          </w:rPr>
          <w:fldChar w:fldCharType="separate"/>
        </w:r>
        <w:r w:rsidR="00D47A36">
          <w:rPr>
            <w:noProof/>
            <w:webHidden/>
          </w:rPr>
          <w:t>29</w:t>
        </w:r>
        <w:r w:rsidR="00D76DCF" w:rsidRPr="00887108">
          <w:rPr>
            <w:webHidden/>
          </w:rPr>
          <w:fldChar w:fldCharType="end"/>
        </w:r>
      </w:hyperlink>
    </w:p>
    <w:p w14:paraId="32512D94"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7" w:history="1">
        <w:r w:rsidR="00D76DCF" w:rsidRPr="00887108">
          <w:rPr>
            <w:rStyle w:val="Hypertextovprepojenie"/>
            <w:rFonts w:eastAsiaTheme="minorHAnsi"/>
            <w:lang w:eastAsia="en-US"/>
          </w:rPr>
          <w:t xml:space="preserve">GRAF 26 - </w:t>
        </w:r>
        <w:r w:rsidR="00D76DCF" w:rsidRPr="00887108">
          <w:rPr>
            <w:rStyle w:val="Hypertextovprepojenie"/>
            <w:rFonts w:eastAsia="Calibri" w:cs="Arial"/>
            <w:bCs/>
            <w:lang w:eastAsia="en-US"/>
          </w:rPr>
          <w:t>Dopad zavedenia 13. dôchod</w:t>
        </w:r>
        <w:r w:rsidR="00D76DCF" w:rsidRPr="00887108">
          <w:rPr>
            <w:rStyle w:val="Hypertextovprepojenie"/>
            <w:rFonts w:eastAsia="Calibri" w:cs="Arial"/>
            <w:bCs/>
            <w:lang w:eastAsia="en-US"/>
          </w:rPr>
          <w:t>k</w:t>
        </w:r>
        <w:r w:rsidR="00D76DCF" w:rsidRPr="00887108">
          <w:rPr>
            <w:rStyle w:val="Hypertextovprepojenie"/>
            <w:rFonts w:eastAsia="Calibri" w:cs="Arial"/>
            <w:bCs/>
            <w:lang w:eastAsia="en-US"/>
          </w:rPr>
          <w:t>u na výdavky na dôchodky (% HDP)</w:t>
        </w:r>
        <w:r w:rsidR="00D76DCF" w:rsidRPr="00887108">
          <w:rPr>
            <w:webHidden/>
          </w:rPr>
          <w:tab/>
        </w:r>
        <w:r w:rsidR="00D76DCF" w:rsidRPr="00887108">
          <w:rPr>
            <w:webHidden/>
          </w:rPr>
          <w:fldChar w:fldCharType="begin"/>
        </w:r>
        <w:r w:rsidR="00D76DCF" w:rsidRPr="00887108">
          <w:rPr>
            <w:webHidden/>
          </w:rPr>
          <w:instrText xml:space="preserve"> PAGEREF _Toc40181277 \h </w:instrText>
        </w:r>
        <w:r w:rsidR="00D76DCF" w:rsidRPr="00887108">
          <w:rPr>
            <w:webHidden/>
          </w:rPr>
        </w:r>
        <w:r w:rsidR="00D76DCF" w:rsidRPr="00887108">
          <w:rPr>
            <w:webHidden/>
          </w:rPr>
          <w:fldChar w:fldCharType="separate"/>
        </w:r>
        <w:r w:rsidR="00D47A36">
          <w:rPr>
            <w:noProof/>
            <w:webHidden/>
          </w:rPr>
          <w:t>30</w:t>
        </w:r>
        <w:r w:rsidR="00D76DCF" w:rsidRPr="00887108">
          <w:rPr>
            <w:webHidden/>
          </w:rPr>
          <w:fldChar w:fldCharType="end"/>
        </w:r>
      </w:hyperlink>
    </w:p>
    <w:p w14:paraId="6F4E46AD"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8" w:history="1">
        <w:r w:rsidR="00D76DCF" w:rsidRPr="00887108">
          <w:rPr>
            <w:rStyle w:val="Hypertextovprepojenie"/>
            <w:rFonts w:eastAsiaTheme="minorHAnsi"/>
            <w:lang w:eastAsia="en-US"/>
          </w:rPr>
          <w:t xml:space="preserve">GRAF 27 - </w:t>
        </w:r>
        <w:r w:rsidR="00D76DCF" w:rsidRPr="00887108">
          <w:rPr>
            <w:rStyle w:val="Hypertextovprepojenie"/>
            <w:rFonts w:eastAsia="Calibri" w:cs="Arial"/>
            <w:bCs/>
            <w:lang w:eastAsia="en-US"/>
          </w:rPr>
          <w:t>Dopad zavedenia 13. dôchodku na výdavky na dôchodky (% HDP)</w:t>
        </w:r>
        <w:r w:rsidR="00D76DCF" w:rsidRPr="00887108">
          <w:rPr>
            <w:webHidden/>
          </w:rPr>
          <w:tab/>
        </w:r>
        <w:r w:rsidR="00D76DCF" w:rsidRPr="00887108">
          <w:rPr>
            <w:webHidden/>
          </w:rPr>
          <w:fldChar w:fldCharType="begin"/>
        </w:r>
        <w:r w:rsidR="00D76DCF" w:rsidRPr="00887108">
          <w:rPr>
            <w:webHidden/>
          </w:rPr>
          <w:instrText xml:space="preserve"> PAGEREF _Toc40181278 \h </w:instrText>
        </w:r>
        <w:r w:rsidR="00D76DCF" w:rsidRPr="00887108">
          <w:rPr>
            <w:webHidden/>
          </w:rPr>
        </w:r>
        <w:r w:rsidR="00D76DCF" w:rsidRPr="00887108">
          <w:rPr>
            <w:webHidden/>
          </w:rPr>
          <w:fldChar w:fldCharType="separate"/>
        </w:r>
        <w:r w:rsidR="00D47A36">
          <w:rPr>
            <w:noProof/>
            <w:webHidden/>
          </w:rPr>
          <w:t>30</w:t>
        </w:r>
        <w:r w:rsidR="00D76DCF" w:rsidRPr="00887108">
          <w:rPr>
            <w:webHidden/>
          </w:rPr>
          <w:fldChar w:fldCharType="end"/>
        </w:r>
      </w:hyperlink>
    </w:p>
    <w:p w14:paraId="28FA58BB"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79" w:history="1">
        <w:r w:rsidR="00D76DCF" w:rsidRPr="00887108">
          <w:rPr>
            <w:rStyle w:val="Hypertextovprepojenie"/>
            <w:rFonts w:eastAsiaTheme="minorHAnsi"/>
            <w:lang w:eastAsia="en-US"/>
          </w:rPr>
          <w:t xml:space="preserve">GRAF 28 - </w:t>
        </w:r>
        <w:r w:rsidR="00D76DCF" w:rsidRPr="00887108">
          <w:rPr>
            <w:rStyle w:val="Hypertextovprepojenie"/>
            <w:rFonts w:cs="Arial"/>
          </w:rPr>
          <w:t>Daňová medzera na DPH (% potenciálneho výnosu, národná aj EK metodika)</w:t>
        </w:r>
        <w:r w:rsidR="00D76DCF" w:rsidRPr="00887108">
          <w:rPr>
            <w:webHidden/>
          </w:rPr>
          <w:tab/>
        </w:r>
        <w:r w:rsidR="00D76DCF" w:rsidRPr="00887108">
          <w:rPr>
            <w:webHidden/>
          </w:rPr>
          <w:fldChar w:fldCharType="begin"/>
        </w:r>
        <w:r w:rsidR="00D76DCF" w:rsidRPr="00887108">
          <w:rPr>
            <w:webHidden/>
          </w:rPr>
          <w:instrText xml:space="preserve"> PAGEREF _Toc40181279 \h </w:instrText>
        </w:r>
        <w:r w:rsidR="00D76DCF" w:rsidRPr="00887108">
          <w:rPr>
            <w:webHidden/>
          </w:rPr>
        </w:r>
        <w:r w:rsidR="00D76DCF" w:rsidRPr="00887108">
          <w:rPr>
            <w:webHidden/>
          </w:rPr>
          <w:fldChar w:fldCharType="separate"/>
        </w:r>
        <w:r w:rsidR="00D47A36">
          <w:rPr>
            <w:noProof/>
            <w:webHidden/>
          </w:rPr>
          <w:t>34</w:t>
        </w:r>
        <w:r w:rsidR="00D76DCF" w:rsidRPr="00887108">
          <w:rPr>
            <w:webHidden/>
          </w:rPr>
          <w:fldChar w:fldCharType="end"/>
        </w:r>
      </w:hyperlink>
    </w:p>
    <w:p w14:paraId="272AB768"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80" w:history="1">
        <w:r w:rsidR="00D76DCF" w:rsidRPr="00887108">
          <w:rPr>
            <w:rStyle w:val="Hypertextovprepojenie"/>
            <w:rFonts w:eastAsiaTheme="minorHAnsi"/>
            <w:lang w:eastAsia="en-US"/>
          </w:rPr>
          <w:t xml:space="preserve">GRAF 29 - </w:t>
        </w:r>
        <w:r w:rsidR="00D76DCF" w:rsidRPr="00887108">
          <w:rPr>
            <w:rStyle w:val="Hypertextovprepojenie"/>
            <w:rFonts w:cs="Arial"/>
          </w:rPr>
          <w:t>Daňová medzery na DPH v EÚ (2017)</w:t>
        </w:r>
        <w:r w:rsidR="00D76DCF" w:rsidRPr="00887108">
          <w:rPr>
            <w:webHidden/>
          </w:rPr>
          <w:tab/>
        </w:r>
        <w:r w:rsidR="00D76DCF" w:rsidRPr="00887108">
          <w:rPr>
            <w:webHidden/>
          </w:rPr>
          <w:fldChar w:fldCharType="begin"/>
        </w:r>
        <w:r w:rsidR="00D76DCF" w:rsidRPr="00887108">
          <w:rPr>
            <w:webHidden/>
          </w:rPr>
          <w:instrText xml:space="preserve"> PAGEREF _Toc40181280 \h </w:instrText>
        </w:r>
        <w:r w:rsidR="00D76DCF" w:rsidRPr="00887108">
          <w:rPr>
            <w:webHidden/>
          </w:rPr>
        </w:r>
        <w:r w:rsidR="00D76DCF" w:rsidRPr="00887108">
          <w:rPr>
            <w:webHidden/>
          </w:rPr>
          <w:fldChar w:fldCharType="separate"/>
        </w:r>
        <w:r w:rsidR="00D47A36">
          <w:rPr>
            <w:noProof/>
            <w:webHidden/>
          </w:rPr>
          <w:t>34</w:t>
        </w:r>
        <w:r w:rsidR="00D76DCF" w:rsidRPr="00887108">
          <w:rPr>
            <w:webHidden/>
          </w:rPr>
          <w:fldChar w:fldCharType="end"/>
        </w:r>
      </w:hyperlink>
    </w:p>
    <w:p w14:paraId="2CCAD079"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81" w:history="1">
        <w:r w:rsidR="00D76DCF" w:rsidRPr="00887108">
          <w:rPr>
            <w:rStyle w:val="Hypertextovprepojenie"/>
            <w:rFonts w:eastAsiaTheme="minorHAnsi"/>
          </w:rPr>
          <w:t>GRAF 30 - Príspevky k zmene odhadu daňových príjmov 2019 oproti rozpočtu (mil. eur)</w:t>
        </w:r>
        <w:r w:rsidR="00D76DCF" w:rsidRPr="00887108">
          <w:rPr>
            <w:webHidden/>
          </w:rPr>
          <w:tab/>
        </w:r>
        <w:r w:rsidR="00D76DCF" w:rsidRPr="00887108">
          <w:rPr>
            <w:webHidden/>
          </w:rPr>
          <w:fldChar w:fldCharType="begin"/>
        </w:r>
        <w:r w:rsidR="00D76DCF" w:rsidRPr="00887108">
          <w:rPr>
            <w:webHidden/>
          </w:rPr>
          <w:instrText xml:space="preserve"> PAGEREF _Toc40181281 \h </w:instrText>
        </w:r>
        <w:r w:rsidR="00D76DCF" w:rsidRPr="00887108">
          <w:rPr>
            <w:webHidden/>
          </w:rPr>
        </w:r>
        <w:r w:rsidR="00D76DCF" w:rsidRPr="00887108">
          <w:rPr>
            <w:webHidden/>
          </w:rPr>
          <w:fldChar w:fldCharType="separate"/>
        </w:r>
        <w:r w:rsidR="00D47A36">
          <w:rPr>
            <w:noProof/>
            <w:webHidden/>
          </w:rPr>
          <w:t>40</w:t>
        </w:r>
        <w:r w:rsidR="00D76DCF" w:rsidRPr="00887108">
          <w:rPr>
            <w:webHidden/>
          </w:rPr>
          <w:fldChar w:fldCharType="end"/>
        </w:r>
      </w:hyperlink>
    </w:p>
    <w:p w14:paraId="7BAC7491" w14:textId="77777777" w:rsidR="00D76DCF" w:rsidRPr="00887108" w:rsidRDefault="006F2B75">
      <w:pPr>
        <w:pStyle w:val="Zoznamobrzkov"/>
        <w:tabs>
          <w:tab w:val="right" w:leader="dot" w:pos="9060"/>
        </w:tabs>
        <w:rPr>
          <w:rFonts w:asciiTheme="minorHAnsi" w:eastAsiaTheme="minorEastAsia" w:hAnsiTheme="minorHAnsi" w:cstheme="minorBidi"/>
        </w:rPr>
      </w:pPr>
      <w:hyperlink w:anchor="_Toc40181282" w:history="1">
        <w:r w:rsidR="00D76DCF" w:rsidRPr="00887108">
          <w:rPr>
            <w:rStyle w:val="Hypertextovprepojenie"/>
            <w:rFonts w:eastAsiaTheme="minorHAnsi"/>
          </w:rPr>
          <w:t>GRAF 31 - Príspevky k zmene odhadu daňovo-odvodových príjmov 2019 oproti rozpočtu (mil. eur)</w:t>
        </w:r>
        <w:r w:rsidR="00D76DCF" w:rsidRPr="00887108">
          <w:rPr>
            <w:webHidden/>
          </w:rPr>
          <w:tab/>
        </w:r>
        <w:r w:rsidR="00D76DCF" w:rsidRPr="00887108">
          <w:rPr>
            <w:webHidden/>
          </w:rPr>
          <w:fldChar w:fldCharType="begin"/>
        </w:r>
        <w:r w:rsidR="00D76DCF" w:rsidRPr="00887108">
          <w:rPr>
            <w:webHidden/>
          </w:rPr>
          <w:instrText xml:space="preserve"> PAGEREF _Toc40181282 \h </w:instrText>
        </w:r>
        <w:r w:rsidR="00D76DCF" w:rsidRPr="00887108">
          <w:rPr>
            <w:webHidden/>
          </w:rPr>
        </w:r>
        <w:r w:rsidR="00D76DCF" w:rsidRPr="00887108">
          <w:rPr>
            <w:webHidden/>
          </w:rPr>
          <w:fldChar w:fldCharType="separate"/>
        </w:r>
        <w:r w:rsidR="00D47A36">
          <w:rPr>
            <w:noProof/>
            <w:webHidden/>
          </w:rPr>
          <w:t>40</w:t>
        </w:r>
        <w:r w:rsidR="00D76DCF" w:rsidRPr="00887108">
          <w:rPr>
            <w:webHidden/>
          </w:rPr>
          <w:fldChar w:fldCharType="end"/>
        </w:r>
      </w:hyperlink>
    </w:p>
    <w:p w14:paraId="7BFA2B61" w14:textId="1EA0404C" w:rsidR="00916904" w:rsidRPr="00887108" w:rsidRDefault="00916904" w:rsidP="00916904">
      <w:pPr>
        <w:rPr>
          <w:rFonts w:ascii="Times New Roman" w:hAnsi="Times New Roman" w:cs="Times New Roman"/>
          <w:color w:val="000000"/>
          <w:sz w:val="24"/>
          <w:szCs w:val="24"/>
        </w:rPr>
      </w:pPr>
      <w:r w:rsidRPr="00887108">
        <w:rPr>
          <w:rStyle w:val="Hypertextovprepojenie"/>
          <w:rFonts w:eastAsiaTheme="minorHAnsi"/>
          <w:lang w:eastAsia="en-US"/>
        </w:rPr>
        <w:fldChar w:fldCharType="end"/>
      </w:r>
      <w:r w:rsidRPr="00887108">
        <w:br w:type="page"/>
      </w:r>
    </w:p>
    <w:p w14:paraId="38D47C9D" w14:textId="5AB56540" w:rsidR="00204588" w:rsidRPr="00887108" w:rsidRDefault="00204588" w:rsidP="00204588">
      <w:pPr>
        <w:pStyle w:val="Nadpis1"/>
        <w:numPr>
          <w:ilvl w:val="0"/>
          <w:numId w:val="3"/>
        </w:numPr>
        <w:spacing w:before="240" w:after="240"/>
        <w:ind w:left="357" w:hanging="357"/>
        <w:rPr>
          <w:color w:val="2C9ADC"/>
        </w:rPr>
      </w:pPr>
      <w:bookmarkStart w:id="32" w:name="_Toc40181041"/>
      <w:r w:rsidRPr="00887108">
        <w:rPr>
          <w:color w:val="2C9ADC"/>
        </w:rPr>
        <w:t>EKONOMICKÝ VÝHĽAD A PREDPOKLADY</w:t>
      </w:r>
      <w:bookmarkEnd w:id="19"/>
      <w:bookmarkEnd w:id="20"/>
      <w:bookmarkEnd w:id="21"/>
      <w:bookmarkEnd w:id="22"/>
      <w:bookmarkEnd w:id="32"/>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04588" w:rsidRPr="00887108" w14:paraId="5E5D322F" w14:textId="77777777" w:rsidTr="00204588">
        <w:tc>
          <w:tcPr>
            <w:tcW w:w="9072" w:type="dxa"/>
          </w:tcPr>
          <w:p w14:paraId="4ABD61C9" w14:textId="5809FCE7" w:rsidR="00204588" w:rsidRPr="00887108" w:rsidRDefault="00204588">
            <w:pPr>
              <w:pStyle w:val="odsekzatabukou"/>
              <w:spacing w:before="120" w:after="120"/>
              <w:rPr>
                <w:i/>
              </w:rPr>
            </w:pPr>
            <w:r w:rsidRPr="00887108">
              <w:rPr>
                <w:i/>
              </w:rPr>
              <w:t xml:space="preserve">V dôsledku globálnej krízy vyvolanej pandémiou koronavírusu klesne HDP Slovenska v roku 2020 o 7,2 %. Výkon ekonomiky sa zníži výrazne najmä v druhom štvrťroku a to naprieč sektormi služieb, priemyslu a stavebníctva. V druhej polovici roka začne ekonomika </w:t>
            </w:r>
            <w:r w:rsidR="0008528C" w:rsidRPr="00887108">
              <w:rPr>
                <w:i/>
              </w:rPr>
              <w:t xml:space="preserve">postupne </w:t>
            </w:r>
            <w:r w:rsidRPr="00887108">
              <w:rPr>
                <w:i/>
              </w:rPr>
              <w:t>ožívať</w:t>
            </w:r>
            <w:r w:rsidR="0008528C" w:rsidRPr="00887108">
              <w:rPr>
                <w:i/>
              </w:rPr>
              <w:t>, s čiastočným dobiehaním strát.</w:t>
            </w:r>
            <w:r w:rsidRPr="00887108">
              <w:rPr>
                <w:i/>
              </w:rPr>
              <w:t xml:space="preserve"> </w:t>
            </w:r>
            <w:r w:rsidR="0008528C" w:rsidRPr="00887108">
              <w:rPr>
                <w:i/>
              </w:rPr>
              <w:t>Vďaka tomu</w:t>
            </w:r>
            <w:r w:rsidRPr="00887108">
              <w:rPr>
                <w:i/>
              </w:rPr>
              <w:t xml:space="preserve"> rast HDP </w:t>
            </w:r>
            <w:r w:rsidR="0008528C" w:rsidRPr="00887108">
              <w:rPr>
                <w:i/>
              </w:rPr>
              <w:t xml:space="preserve">dosiahne </w:t>
            </w:r>
            <w:r w:rsidRPr="00887108">
              <w:rPr>
                <w:i/>
              </w:rPr>
              <w:t xml:space="preserve">v roku 2021 6,8 %. V ďalších rokoch sa dynamika spomalí a celkovo tak ekonomika dobehne </w:t>
            </w:r>
            <w:r w:rsidR="00ED40CE" w:rsidRPr="00887108">
              <w:rPr>
                <w:i/>
              </w:rPr>
              <w:t xml:space="preserve">do roku 2023 </w:t>
            </w:r>
            <w:r w:rsidRPr="00887108">
              <w:rPr>
                <w:i/>
              </w:rPr>
              <w:t xml:space="preserve">približne polovicu straty </w:t>
            </w:r>
            <w:r w:rsidR="00ED40CE" w:rsidRPr="00887108">
              <w:rPr>
                <w:i/>
              </w:rPr>
              <w:t xml:space="preserve">z roku 2020. </w:t>
            </w:r>
            <w:r w:rsidRPr="00887108">
              <w:rPr>
                <w:i/>
              </w:rPr>
              <w:t>Neistota ohľadom ďalšieho vývoja ostáva naďalej veľká. Predĺženie pandémie alebo jej opakovaný návrat v druhej polovici roka by recesiu výrazne prehĺbili.</w:t>
            </w:r>
          </w:p>
        </w:tc>
      </w:tr>
    </w:tbl>
    <w:p w14:paraId="385B30EE" w14:textId="77777777" w:rsidR="00204588" w:rsidRPr="00887108" w:rsidRDefault="00204588" w:rsidP="00204588">
      <w:pPr>
        <w:pStyle w:val="Nadpis2"/>
        <w:keepLines/>
        <w:numPr>
          <w:ilvl w:val="1"/>
          <w:numId w:val="2"/>
        </w:numPr>
        <w:spacing w:before="240" w:after="120"/>
        <w:rPr>
          <w:b/>
          <w:color w:val="2C9ADC"/>
          <w:szCs w:val="28"/>
        </w:rPr>
      </w:pPr>
      <w:bookmarkStart w:id="33" w:name="_Toc449429100"/>
      <w:bookmarkStart w:id="34" w:name="_Toc480443988"/>
      <w:bookmarkStart w:id="35" w:name="_Toc480444320"/>
      <w:bookmarkStart w:id="36" w:name="_Toc480444493"/>
      <w:bookmarkStart w:id="37" w:name="_Toc40181042"/>
      <w:r w:rsidRPr="00887108">
        <w:rPr>
          <w:b/>
          <w:color w:val="2C9ADC"/>
          <w:szCs w:val="28"/>
        </w:rPr>
        <w:t>Ekonomický vývoj na Slovensku v roku 201</w:t>
      </w:r>
      <w:bookmarkEnd w:id="33"/>
      <w:bookmarkEnd w:id="34"/>
      <w:bookmarkEnd w:id="35"/>
      <w:bookmarkEnd w:id="36"/>
      <w:r w:rsidRPr="00887108">
        <w:rPr>
          <w:b/>
          <w:color w:val="2C9ADC"/>
          <w:szCs w:val="28"/>
        </w:rPr>
        <w:t>9</w:t>
      </w:r>
      <w:bookmarkEnd w:id="37"/>
      <w:r w:rsidRPr="00887108">
        <w:rPr>
          <w:b/>
          <w:color w:val="2C9ADC"/>
          <w:szCs w:val="28"/>
        </w:rPr>
        <w:t xml:space="preserve"> </w:t>
      </w:r>
    </w:p>
    <w:p w14:paraId="1D70FDF8" w14:textId="562E5CBA" w:rsidR="00204588" w:rsidRPr="00887108" w:rsidRDefault="00204588" w:rsidP="00204588">
      <w:pPr>
        <w:jc w:val="both"/>
        <w:rPr>
          <w:color w:val="000000"/>
        </w:rPr>
      </w:pPr>
      <w:r w:rsidRPr="00887108">
        <w:rPr>
          <w:rFonts w:eastAsia="NeueHaasGroteskText W02" w:cs="Arial"/>
          <w:b/>
          <w:szCs w:val="20"/>
        </w:rPr>
        <w:t xml:space="preserve">Po </w:t>
      </w:r>
      <w:r w:rsidR="00E23CA9" w:rsidRPr="00887108">
        <w:rPr>
          <w:rFonts w:eastAsia="NeueHaasGroteskText W02" w:cs="Arial"/>
          <w:b/>
          <w:szCs w:val="20"/>
        </w:rPr>
        <w:t>výraznom prehrievaní v 2018</w:t>
      </w:r>
      <w:r w:rsidRPr="00887108">
        <w:rPr>
          <w:rFonts w:eastAsia="NeueHaasGroteskText W02" w:cs="Arial"/>
          <w:b/>
          <w:szCs w:val="20"/>
        </w:rPr>
        <w:t xml:space="preserve"> dynamika slovenskej ekonomiky v roku 2019 zvoľnila na 2,3 %. </w:t>
      </w:r>
      <w:r w:rsidRPr="00887108">
        <w:rPr>
          <w:rFonts w:eastAsia="NeueHaasGroteskText W02" w:cs="Arial"/>
          <w:szCs w:val="20"/>
        </w:rPr>
        <w:t xml:space="preserve">Nepriaznivý vývoj zahraničného dopytu sa premietol predovšetkým do slovenského exportne orientovaného priemyslu. Trh práce však tlaku odolal a pri historicky nízkej nezamestnanosti si zamestnanci na mzdách polepšili najviac od roku 2008. V míňaní ale domácnosti ostali opatrné a dodatočné príjmy sa pretavili do rekordných úspor. Stabilná situácia na trhu práce potiahla aj rast spotrebiteľských cien, ktoré stúpli o 2,7 %. Celková vládna spotreba sa zvýšila najmä vďaka zvyšovaniu tarifných platov zamestnancov vo verejnom sektore. </w:t>
      </w:r>
    </w:p>
    <w:p w14:paraId="12CBCEF7" w14:textId="77777777" w:rsidR="00204588" w:rsidRPr="00887108" w:rsidRDefault="00204588" w:rsidP="00204588">
      <w:pPr>
        <w:pStyle w:val="Nadpis2"/>
        <w:keepLines/>
        <w:numPr>
          <w:ilvl w:val="1"/>
          <w:numId w:val="2"/>
        </w:numPr>
        <w:spacing w:before="240" w:after="120" w:line="276" w:lineRule="auto"/>
        <w:rPr>
          <w:b/>
          <w:color w:val="2C9ADC"/>
          <w:szCs w:val="28"/>
        </w:rPr>
      </w:pPr>
      <w:bookmarkStart w:id="38" w:name="_Toc449429112"/>
      <w:bookmarkStart w:id="39" w:name="_Toc480443991"/>
      <w:bookmarkStart w:id="40" w:name="_Toc480444321"/>
      <w:bookmarkStart w:id="41" w:name="_Toc480444496"/>
      <w:bookmarkStart w:id="42" w:name="_Toc40181043"/>
      <w:r w:rsidRPr="00887108">
        <w:rPr>
          <w:b/>
          <w:color w:val="2C9ADC"/>
          <w:szCs w:val="28"/>
        </w:rPr>
        <w:t>Strednodobá prognóza</w:t>
      </w:r>
      <w:r w:rsidRPr="00887108">
        <w:rPr>
          <w:rStyle w:val="Odkaznapoznmkupodiarou"/>
          <w:b/>
          <w:lang w:val="sk-SK"/>
        </w:rPr>
        <w:footnoteReference w:id="2"/>
      </w:r>
      <w:r w:rsidRPr="00887108">
        <w:rPr>
          <w:b/>
          <w:color w:val="2C9ADC"/>
          <w:szCs w:val="28"/>
        </w:rPr>
        <w:t xml:space="preserve"> vývoja ekonomiky</w:t>
      </w:r>
      <w:bookmarkEnd w:id="38"/>
      <w:bookmarkEnd w:id="39"/>
      <w:bookmarkEnd w:id="40"/>
      <w:bookmarkEnd w:id="41"/>
      <w:r w:rsidRPr="00887108">
        <w:rPr>
          <w:b/>
          <w:color w:val="2C9ADC"/>
          <w:szCs w:val="28"/>
        </w:rPr>
        <w:t xml:space="preserve"> na roky 2020 až 2023</w:t>
      </w:r>
      <w:bookmarkEnd w:id="42"/>
    </w:p>
    <w:p w14:paraId="2FCF923A" w14:textId="54478962" w:rsidR="00204588" w:rsidRPr="00887108" w:rsidRDefault="00204588" w:rsidP="00204588">
      <w:pPr>
        <w:pStyle w:val="Odsek"/>
        <w:rPr>
          <w:b/>
        </w:rPr>
      </w:pPr>
      <w:r w:rsidRPr="00887108">
        <w:rPr>
          <w:b/>
        </w:rPr>
        <w:t xml:space="preserve">Globálna pandémia stiahne v roku 2020 slovenskú ekonomiku do recesie a HDP sa prepadne o 7,2 %. </w:t>
      </w:r>
      <w:r w:rsidRPr="00887108">
        <w:t xml:space="preserve">Tento odhad stojí na predpoklade, že slovenská ekonomika aj jej zahraniční obchodní partneri zostanú výrazne </w:t>
      </w:r>
      <w:r w:rsidR="00E23CA9" w:rsidRPr="00887108">
        <w:t xml:space="preserve">zasiahnutí pandémiou </w:t>
      </w:r>
      <w:r w:rsidRPr="00887108">
        <w:t>počas 2 mesiacov. Výkon ekonomiky klesne výrazne najmä v druhom štvrťroku a to naprieč sektormi služieb, priemyslu a stavebníctva. V druhej polovici roka očakávame postupné oživenie, hoci nie rovnomerne v každom sektore, keďže čiastočné obmedzenia môžu stále pretrvávať. Predkrízový výkon by mala ekonomika dohnať až koncom roku 2021, no predkrízov</w:t>
      </w:r>
      <w:r w:rsidR="00E23CA9" w:rsidRPr="00887108">
        <w:t>é</w:t>
      </w:r>
      <w:r w:rsidRPr="00887108">
        <w:t xml:space="preserve"> </w:t>
      </w:r>
      <w:r w:rsidR="00E23CA9" w:rsidRPr="00887108">
        <w:t>očakávania</w:t>
      </w:r>
      <w:r w:rsidRPr="00887108">
        <w:t xml:space="preserve"> </w:t>
      </w:r>
      <w:r w:rsidR="001D6F71" w:rsidRPr="00887108">
        <w:t>úplne</w:t>
      </w:r>
      <w:r w:rsidRPr="00887108">
        <w:t xml:space="preserve"> nedobehne.</w:t>
      </w:r>
    </w:p>
    <w:p w14:paraId="49299343" w14:textId="12381824" w:rsidR="00204588" w:rsidRPr="00887108" w:rsidRDefault="00204588" w:rsidP="00204588">
      <w:pPr>
        <w:pStyle w:val="Odsek"/>
        <w:rPr>
          <w:b/>
        </w:rPr>
      </w:pPr>
      <w:r w:rsidRPr="00887108">
        <w:rPr>
          <w:b/>
        </w:rPr>
        <w:t>HDP stiahnu v roku 2020 nadol nielen investície a absencia zahraničného dopytu, al</w:t>
      </w:r>
      <w:r w:rsidR="00343B57" w:rsidRPr="00887108">
        <w:rPr>
          <w:b/>
        </w:rPr>
        <w:t>e aj obmedzená domáca spotreba.</w:t>
      </w:r>
      <w:r w:rsidRPr="00887108">
        <w:rPr>
          <w:b/>
        </w:rPr>
        <w:t xml:space="preserve"> </w:t>
      </w:r>
      <w:r w:rsidRPr="00887108">
        <w:t>Hoci disponibilný príjem obyvateľstva neklesá tak výrazne, spotreba domácností je ovplyvnená viacerými kanálmi, opatreniami proti šíreniu nákazy, obavami z nakazenia aj neistotou ohľadom budúceho vývoja. Výpadok príjmov je čiastočne kompenzovaný vládnymi opatreniami, takže miera úspor domácností dočasne stúpne. Investície sa prepadnú podobne hlboko ako počas globálnej finančnej krízy v 2009 a ekonomika bude výrazne podchladená. Obdobne aj export utrpí z dôvodu pandémie výrazné straty. Obchodná bilancia však môže skončiť paradoxne kladná, keďže pokles spotreby zníži aj množstvo dovážaného tovaru a služieb. Vládna spotreba bude tlmiť dôsledky krízy.</w:t>
      </w:r>
    </w:p>
    <w:p w14:paraId="5B034329" w14:textId="1A7CFE29" w:rsidR="00204588" w:rsidRPr="00887108" w:rsidRDefault="00204588" w:rsidP="00204588">
      <w:pPr>
        <w:pStyle w:val="Odsek"/>
      </w:pPr>
      <w:r w:rsidRPr="00887108">
        <w:rPr>
          <w:b/>
        </w:rPr>
        <w:t xml:space="preserve">V roku 2021 bude oživenie pokračovať a na konci roku by ekonomika mohla dosiahnuť predkrízovú úroveň. </w:t>
      </w:r>
      <w:r w:rsidRPr="00887108">
        <w:t xml:space="preserve">HDP stúpne o 6,8 %, podporený domácim aj zahraničným dopytom. </w:t>
      </w:r>
      <w:r w:rsidR="0022275E" w:rsidRPr="00887108">
        <w:t>S poklesom neistoty by sa mala o</w:t>
      </w:r>
      <w:r w:rsidRPr="00887108">
        <w:t xml:space="preserve">bnoviť aj investičná aktivita. </w:t>
      </w:r>
      <w:r w:rsidR="0022275E" w:rsidRPr="00887108">
        <w:t>Ekonomika</w:t>
      </w:r>
      <w:r w:rsidRPr="00887108">
        <w:t xml:space="preserve"> však zostane stále výraznejšie podchladená. </w:t>
      </w:r>
    </w:p>
    <w:p w14:paraId="27346339" w14:textId="7F3FBFE5" w:rsidR="00204588" w:rsidRPr="00887108" w:rsidRDefault="00204588" w:rsidP="00204588">
      <w:pPr>
        <w:pStyle w:val="Odsek"/>
        <w:rPr>
          <w:b/>
        </w:rPr>
      </w:pPr>
      <w:r w:rsidRPr="00887108">
        <w:rPr>
          <w:b/>
        </w:rPr>
        <w:t>Ku koncu horizontu prognózy dynamika HDP spomalí a ekonomika predkrízov</w:t>
      </w:r>
      <w:r w:rsidR="0022275E" w:rsidRPr="00887108">
        <w:rPr>
          <w:b/>
        </w:rPr>
        <w:t>é</w:t>
      </w:r>
      <w:r w:rsidRPr="00887108">
        <w:rPr>
          <w:b/>
        </w:rPr>
        <w:t xml:space="preserve"> </w:t>
      </w:r>
      <w:r w:rsidR="0022275E" w:rsidRPr="00887108">
        <w:rPr>
          <w:b/>
        </w:rPr>
        <w:t>očakávania</w:t>
      </w:r>
      <w:r w:rsidRPr="00887108">
        <w:rPr>
          <w:b/>
        </w:rPr>
        <w:t xml:space="preserve"> </w:t>
      </w:r>
      <w:r w:rsidR="0022275E" w:rsidRPr="00887108">
        <w:rPr>
          <w:b/>
        </w:rPr>
        <w:t xml:space="preserve">úplne </w:t>
      </w:r>
      <w:r w:rsidRPr="00887108">
        <w:rPr>
          <w:b/>
        </w:rPr>
        <w:t>nedo</w:t>
      </w:r>
      <w:r w:rsidR="0022275E" w:rsidRPr="00887108">
        <w:rPr>
          <w:b/>
        </w:rPr>
        <w:t>behne</w:t>
      </w:r>
      <w:r w:rsidRPr="00887108">
        <w:rPr>
          <w:b/>
        </w:rPr>
        <w:t xml:space="preserve">. </w:t>
      </w:r>
      <w:r w:rsidRPr="00887108">
        <w:t xml:space="preserve">Celkovo sa tak podarí dobehnúť približne polovicu straty </w:t>
      </w:r>
      <w:r w:rsidR="0022275E" w:rsidRPr="00887108">
        <w:t>z roku 2020 oproti očakávaniam z pred krízy</w:t>
      </w:r>
      <w:r w:rsidRPr="00887108">
        <w:t xml:space="preserve">. Aktivitu </w:t>
      </w:r>
      <w:r w:rsidR="0022275E" w:rsidRPr="00887108">
        <w:t xml:space="preserve">najmä v roku 2023 </w:t>
      </w:r>
      <w:r w:rsidRPr="00887108">
        <w:t xml:space="preserve">podporí dočerpávanie EÚ fondov na konci programového obdobia. </w:t>
      </w:r>
      <w:r w:rsidR="0022275E" w:rsidRPr="00887108">
        <w:t>Negatívna p</w:t>
      </w:r>
      <w:r w:rsidRPr="00887108">
        <w:t xml:space="preserve">rodukčná medzera sa </w:t>
      </w:r>
      <w:r w:rsidR="00EF7822" w:rsidRPr="00887108">
        <w:t xml:space="preserve">aj vďaka tomu </w:t>
      </w:r>
      <w:r w:rsidRPr="00887108">
        <w:t xml:space="preserve">takmer uzavrie. </w:t>
      </w:r>
    </w:p>
    <w:tbl>
      <w:tblPr>
        <w:tblW w:w="9161" w:type="dxa"/>
        <w:jc w:val="center"/>
        <w:tblCellMar>
          <w:left w:w="70" w:type="dxa"/>
          <w:right w:w="70" w:type="dxa"/>
        </w:tblCellMar>
        <w:tblLook w:val="04A0" w:firstRow="1" w:lastRow="0" w:firstColumn="1" w:lastColumn="0" w:noHBand="0" w:noVBand="1"/>
      </w:tblPr>
      <w:tblGrid>
        <w:gridCol w:w="478"/>
        <w:gridCol w:w="4533"/>
        <w:gridCol w:w="878"/>
        <w:gridCol w:w="548"/>
        <w:gridCol w:w="548"/>
        <w:gridCol w:w="523"/>
        <w:gridCol w:w="551"/>
        <w:gridCol w:w="551"/>
        <w:gridCol w:w="551"/>
      </w:tblGrid>
      <w:tr w:rsidR="00204588" w:rsidRPr="00887108" w14:paraId="6DFE1DCD" w14:textId="77777777" w:rsidTr="00204588">
        <w:trPr>
          <w:trHeight w:val="283"/>
          <w:jc w:val="center"/>
        </w:trPr>
        <w:tc>
          <w:tcPr>
            <w:tcW w:w="9161" w:type="dxa"/>
            <w:gridSpan w:val="9"/>
            <w:tcBorders>
              <w:top w:val="nil"/>
              <w:left w:val="nil"/>
              <w:bottom w:val="single" w:sz="8" w:space="0" w:color="auto"/>
              <w:right w:val="nil"/>
            </w:tcBorders>
            <w:shd w:val="clear" w:color="auto" w:fill="auto"/>
            <w:noWrap/>
            <w:vAlign w:val="center"/>
            <w:hideMark/>
          </w:tcPr>
          <w:p w14:paraId="1FCF47B1" w14:textId="77777777" w:rsidR="00204588" w:rsidRPr="00887108" w:rsidRDefault="00204588" w:rsidP="00204588">
            <w:pPr>
              <w:pStyle w:val="Nadpis3"/>
              <w:spacing w:before="120"/>
              <w:rPr>
                <w:rFonts w:eastAsiaTheme="minorHAnsi"/>
                <w:color w:val="2C9ADC"/>
                <w:lang w:eastAsia="en-US"/>
              </w:rPr>
            </w:pPr>
            <w:bookmarkStart w:id="43" w:name="RANGE!B2"/>
            <w:bookmarkStart w:id="44" w:name="_Toc416944013"/>
            <w:bookmarkStart w:id="45" w:name="_Toc417646996"/>
            <w:bookmarkStart w:id="46" w:name="_Toc417907432"/>
            <w:bookmarkStart w:id="47" w:name="_Toc449429113"/>
            <w:bookmarkStart w:id="48" w:name="_Toc449430112"/>
            <w:bookmarkStart w:id="49" w:name="_Toc480443992"/>
            <w:bookmarkStart w:id="50" w:name="_Toc480444497"/>
            <w:bookmarkStart w:id="51" w:name="_Toc40186678"/>
            <w:r w:rsidRPr="00887108">
              <w:rPr>
                <w:rFonts w:eastAsiaTheme="minorHAnsi"/>
                <w:color w:val="2C9ADC" w:themeColor="accent1"/>
                <w:lang w:eastAsia="en-US"/>
              </w:rPr>
              <w:t xml:space="preserve">TABUĽKA </w:t>
            </w:r>
            <w:r w:rsidRPr="00887108">
              <w:rPr>
                <w:rFonts w:eastAsiaTheme="minorHAnsi"/>
                <w:color w:val="2C9ADC" w:themeColor="accent1"/>
                <w:lang w:eastAsia="en-US"/>
              </w:rPr>
              <w:fldChar w:fldCharType="begin"/>
            </w:r>
            <w:r w:rsidRPr="00887108">
              <w:rPr>
                <w:rFonts w:eastAsiaTheme="minorHAnsi"/>
                <w:color w:val="2C9ADC" w:themeColor="accent1"/>
                <w:lang w:eastAsia="en-US"/>
              </w:rPr>
              <w:instrText xml:space="preserve"> SEQ TABUĽKA \* ARABIC </w:instrText>
            </w:r>
            <w:r w:rsidRPr="00887108">
              <w:rPr>
                <w:rFonts w:eastAsiaTheme="minorHAnsi"/>
                <w:color w:val="2C9ADC" w:themeColor="accent1"/>
                <w:lang w:eastAsia="en-US"/>
              </w:rPr>
              <w:fldChar w:fldCharType="separate"/>
            </w:r>
            <w:r w:rsidR="00D47A36">
              <w:rPr>
                <w:rFonts w:eastAsiaTheme="minorHAnsi"/>
                <w:noProof/>
                <w:color w:val="2C9ADC" w:themeColor="accent1"/>
                <w:lang w:eastAsia="en-US"/>
              </w:rPr>
              <w:t>1</w:t>
            </w:r>
            <w:r w:rsidRPr="00887108">
              <w:rPr>
                <w:rFonts w:eastAsiaTheme="minorHAnsi"/>
                <w:color w:val="2C9ADC" w:themeColor="accent1"/>
                <w:lang w:eastAsia="en-US"/>
              </w:rPr>
              <w:fldChar w:fldCharType="end"/>
            </w:r>
            <w:r w:rsidRPr="00887108">
              <w:rPr>
                <w:rFonts w:eastAsiaTheme="minorHAnsi"/>
                <w:color w:val="2C9ADC" w:themeColor="accent1"/>
                <w:lang w:eastAsia="en-US"/>
              </w:rPr>
              <w:t xml:space="preserve"> - Prognóza </w:t>
            </w:r>
            <w:r w:rsidRPr="00887108">
              <w:rPr>
                <w:rFonts w:eastAsiaTheme="minorHAnsi"/>
                <w:color w:val="2C9ADC"/>
                <w:lang w:eastAsia="en-US"/>
              </w:rPr>
              <w:t>vybraných indikátorov vývoja ekonomiky SR pre roky 2020 až 2023</w:t>
            </w:r>
            <w:r w:rsidRPr="00887108">
              <w:rPr>
                <w:rStyle w:val="Odkaznapoznmkupodiarou"/>
                <w:rFonts w:eastAsiaTheme="minorHAnsi"/>
                <w:color w:val="2C9ADC"/>
                <w:lang w:val="sk-SK"/>
              </w:rPr>
              <w:footnoteReference w:id="3"/>
            </w:r>
            <w:bookmarkEnd w:id="43"/>
            <w:bookmarkEnd w:id="44"/>
            <w:bookmarkEnd w:id="45"/>
            <w:bookmarkEnd w:id="46"/>
            <w:bookmarkEnd w:id="47"/>
            <w:bookmarkEnd w:id="48"/>
            <w:bookmarkEnd w:id="49"/>
            <w:bookmarkEnd w:id="50"/>
            <w:bookmarkEnd w:id="51"/>
          </w:p>
        </w:tc>
      </w:tr>
      <w:tr w:rsidR="00204588" w:rsidRPr="00887108" w14:paraId="71F8EECE" w14:textId="77777777" w:rsidTr="00204588">
        <w:trPr>
          <w:trHeight w:val="283"/>
          <w:jc w:val="center"/>
        </w:trPr>
        <w:tc>
          <w:tcPr>
            <w:tcW w:w="478" w:type="dxa"/>
            <w:tcBorders>
              <w:top w:val="single" w:sz="8" w:space="0" w:color="auto"/>
              <w:left w:val="nil"/>
              <w:bottom w:val="single" w:sz="6" w:space="0" w:color="auto"/>
              <w:right w:val="nil"/>
            </w:tcBorders>
            <w:shd w:val="clear" w:color="auto" w:fill="auto"/>
            <w:noWrap/>
            <w:vAlign w:val="center"/>
            <w:hideMark/>
          </w:tcPr>
          <w:p w14:paraId="48CA2CC5" w14:textId="77777777" w:rsidR="00204588" w:rsidRPr="00887108" w:rsidRDefault="00204588" w:rsidP="00204588">
            <w:pPr>
              <w:jc w:val="center"/>
              <w:rPr>
                <w:rFonts w:cs="Times New Roman"/>
                <w:b/>
                <w:bCs/>
                <w:color w:val="000000"/>
                <w:sz w:val="20"/>
                <w:szCs w:val="20"/>
              </w:rPr>
            </w:pPr>
            <w:r w:rsidRPr="00887108">
              <w:rPr>
                <w:rFonts w:cs="Arial"/>
                <w:b/>
                <w:bCs/>
                <w:color w:val="000000"/>
                <w:sz w:val="20"/>
                <w:szCs w:val="20"/>
              </w:rPr>
              <w:t>P. č.</w:t>
            </w:r>
          </w:p>
        </w:tc>
        <w:tc>
          <w:tcPr>
            <w:tcW w:w="4533" w:type="dxa"/>
            <w:tcBorders>
              <w:top w:val="single" w:sz="8" w:space="0" w:color="auto"/>
              <w:left w:val="nil"/>
              <w:bottom w:val="single" w:sz="6" w:space="0" w:color="auto"/>
              <w:right w:val="nil"/>
            </w:tcBorders>
            <w:shd w:val="clear" w:color="auto" w:fill="auto"/>
            <w:noWrap/>
            <w:vAlign w:val="center"/>
            <w:hideMark/>
          </w:tcPr>
          <w:p w14:paraId="0F245F9B" w14:textId="77777777" w:rsidR="00204588" w:rsidRPr="00887108" w:rsidRDefault="00204588" w:rsidP="00204588">
            <w:pPr>
              <w:jc w:val="center"/>
              <w:rPr>
                <w:rFonts w:cs="Times New Roman"/>
                <w:b/>
                <w:bCs/>
                <w:color w:val="000000"/>
                <w:sz w:val="20"/>
                <w:szCs w:val="20"/>
              </w:rPr>
            </w:pPr>
            <w:r w:rsidRPr="00887108">
              <w:rPr>
                <w:rFonts w:cs="Arial"/>
                <w:b/>
                <w:bCs/>
                <w:color w:val="000000"/>
                <w:sz w:val="20"/>
                <w:szCs w:val="20"/>
              </w:rPr>
              <w:t>Ukazovateľ</w:t>
            </w:r>
          </w:p>
        </w:tc>
        <w:tc>
          <w:tcPr>
            <w:tcW w:w="878" w:type="dxa"/>
            <w:tcBorders>
              <w:top w:val="single" w:sz="8" w:space="0" w:color="auto"/>
              <w:left w:val="nil"/>
              <w:bottom w:val="single" w:sz="6" w:space="0" w:color="auto"/>
              <w:right w:val="nil"/>
            </w:tcBorders>
            <w:shd w:val="clear" w:color="auto" w:fill="auto"/>
            <w:noWrap/>
            <w:vAlign w:val="center"/>
            <w:hideMark/>
          </w:tcPr>
          <w:p w14:paraId="01746F37" w14:textId="77777777" w:rsidR="00204588" w:rsidRPr="00887108" w:rsidRDefault="00204588" w:rsidP="00204588">
            <w:pPr>
              <w:jc w:val="center"/>
              <w:rPr>
                <w:rFonts w:cs="Times New Roman"/>
                <w:b/>
                <w:bCs/>
                <w:color w:val="000000"/>
                <w:sz w:val="20"/>
                <w:szCs w:val="20"/>
              </w:rPr>
            </w:pPr>
            <w:r w:rsidRPr="00887108">
              <w:rPr>
                <w:rFonts w:cs="Arial"/>
                <w:b/>
                <w:bCs/>
                <w:color w:val="000000"/>
                <w:sz w:val="20"/>
                <w:szCs w:val="20"/>
              </w:rPr>
              <w:t> </w:t>
            </w:r>
          </w:p>
        </w:tc>
        <w:tc>
          <w:tcPr>
            <w:tcW w:w="1096" w:type="dxa"/>
            <w:gridSpan w:val="2"/>
            <w:tcBorders>
              <w:top w:val="single" w:sz="8" w:space="0" w:color="auto"/>
              <w:left w:val="nil"/>
              <w:bottom w:val="single" w:sz="6" w:space="0" w:color="auto"/>
              <w:right w:val="nil"/>
            </w:tcBorders>
            <w:shd w:val="clear" w:color="auto" w:fill="auto"/>
            <w:noWrap/>
            <w:vAlign w:val="center"/>
            <w:hideMark/>
          </w:tcPr>
          <w:p w14:paraId="6ADB4368" w14:textId="77777777" w:rsidR="00204588" w:rsidRPr="00887108" w:rsidRDefault="00204588" w:rsidP="00204588">
            <w:pPr>
              <w:jc w:val="center"/>
              <w:rPr>
                <w:rFonts w:cs="Times New Roman"/>
                <w:b/>
                <w:bCs/>
                <w:color w:val="000000"/>
                <w:sz w:val="20"/>
                <w:szCs w:val="20"/>
              </w:rPr>
            </w:pPr>
            <w:r w:rsidRPr="00887108">
              <w:rPr>
                <w:rFonts w:cs="Arial"/>
                <w:b/>
                <w:bCs/>
                <w:color w:val="000000"/>
                <w:sz w:val="20"/>
                <w:szCs w:val="20"/>
              </w:rPr>
              <w:t>Skutočnosť</w:t>
            </w:r>
          </w:p>
        </w:tc>
        <w:tc>
          <w:tcPr>
            <w:tcW w:w="2176" w:type="dxa"/>
            <w:gridSpan w:val="4"/>
            <w:tcBorders>
              <w:top w:val="single" w:sz="8" w:space="0" w:color="auto"/>
              <w:left w:val="nil"/>
              <w:bottom w:val="single" w:sz="6" w:space="0" w:color="auto"/>
              <w:right w:val="nil"/>
            </w:tcBorders>
            <w:shd w:val="clear" w:color="auto" w:fill="auto"/>
            <w:noWrap/>
            <w:vAlign w:val="center"/>
            <w:hideMark/>
          </w:tcPr>
          <w:p w14:paraId="78B5CFFC" w14:textId="77777777" w:rsidR="00204588" w:rsidRPr="00887108" w:rsidRDefault="00204588" w:rsidP="00204588">
            <w:pPr>
              <w:jc w:val="center"/>
              <w:rPr>
                <w:rFonts w:cs="Times New Roman"/>
                <w:b/>
                <w:bCs/>
                <w:color w:val="000000"/>
                <w:sz w:val="20"/>
                <w:szCs w:val="20"/>
              </w:rPr>
            </w:pPr>
            <w:r w:rsidRPr="00887108">
              <w:rPr>
                <w:rFonts w:cs="Arial"/>
                <w:b/>
                <w:bCs/>
                <w:color w:val="000000"/>
                <w:sz w:val="20"/>
                <w:szCs w:val="20"/>
              </w:rPr>
              <w:t>Prognóza</w:t>
            </w:r>
          </w:p>
        </w:tc>
      </w:tr>
      <w:tr w:rsidR="00204588" w:rsidRPr="00887108" w14:paraId="6EE08A90" w14:textId="77777777" w:rsidTr="00204588">
        <w:trPr>
          <w:trHeight w:val="283"/>
          <w:jc w:val="center"/>
        </w:trPr>
        <w:tc>
          <w:tcPr>
            <w:tcW w:w="478" w:type="dxa"/>
            <w:tcBorders>
              <w:top w:val="single" w:sz="6" w:space="0" w:color="auto"/>
              <w:left w:val="nil"/>
              <w:bottom w:val="single" w:sz="6" w:space="0" w:color="auto"/>
              <w:right w:val="nil"/>
            </w:tcBorders>
            <w:shd w:val="clear" w:color="auto" w:fill="auto"/>
            <w:noWrap/>
            <w:vAlign w:val="center"/>
            <w:hideMark/>
          </w:tcPr>
          <w:p w14:paraId="75EE4334" w14:textId="77777777" w:rsidR="00204588" w:rsidRPr="00887108" w:rsidRDefault="00204588" w:rsidP="00204588">
            <w:pPr>
              <w:jc w:val="center"/>
              <w:rPr>
                <w:rFonts w:cs="Times New Roman"/>
                <w:b/>
                <w:bCs/>
                <w:color w:val="000000"/>
                <w:sz w:val="20"/>
                <w:szCs w:val="20"/>
              </w:rPr>
            </w:pPr>
            <w:r w:rsidRPr="00887108">
              <w:rPr>
                <w:rFonts w:cs="Times New Roman"/>
                <w:b/>
                <w:bCs/>
                <w:color w:val="000000"/>
                <w:sz w:val="20"/>
                <w:szCs w:val="20"/>
              </w:rPr>
              <w:t> </w:t>
            </w:r>
          </w:p>
        </w:tc>
        <w:tc>
          <w:tcPr>
            <w:tcW w:w="4533" w:type="dxa"/>
            <w:tcBorders>
              <w:top w:val="single" w:sz="6" w:space="0" w:color="auto"/>
              <w:left w:val="nil"/>
              <w:bottom w:val="single" w:sz="6" w:space="0" w:color="auto"/>
              <w:right w:val="nil"/>
            </w:tcBorders>
            <w:shd w:val="clear" w:color="auto" w:fill="auto"/>
            <w:noWrap/>
            <w:vAlign w:val="center"/>
            <w:hideMark/>
          </w:tcPr>
          <w:p w14:paraId="50951129" w14:textId="77777777" w:rsidR="00204588" w:rsidRPr="00887108" w:rsidRDefault="00204588" w:rsidP="00204588">
            <w:pPr>
              <w:jc w:val="center"/>
              <w:rPr>
                <w:rFonts w:cs="Times New Roman"/>
                <w:b/>
                <w:bCs/>
                <w:color w:val="000000"/>
                <w:sz w:val="20"/>
                <w:szCs w:val="20"/>
              </w:rPr>
            </w:pPr>
            <w:r w:rsidRPr="00887108">
              <w:rPr>
                <w:rFonts w:cs="Times New Roman"/>
                <w:b/>
                <w:bCs/>
                <w:color w:val="000000"/>
                <w:sz w:val="20"/>
                <w:szCs w:val="20"/>
              </w:rPr>
              <w:t> </w:t>
            </w:r>
          </w:p>
        </w:tc>
        <w:tc>
          <w:tcPr>
            <w:tcW w:w="878" w:type="dxa"/>
            <w:tcBorders>
              <w:top w:val="single" w:sz="6" w:space="0" w:color="auto"/>
              <w:left w:val="nil"/>
              <w:bottom w:val="single" w:sz="6" w:space="0" w:color="auto"/>
              <w:right w:val="nil"/>
            </w:tcBorders>
            <w:shd w:val="clear" w:color="auto" w:fill="auto"/>
            <w:noWrap/>
            <w:vAlign w:val="center"/>
            <w:hideMark/>
          </w:tcPr>
          <w:p w14:paraId="01C021B3" w14:textId="77777777" w:rsidR="00204588" w:rsidRPr="00887108" w:rsidRDefault="00204588" w:rsidP="00204588">
            <w:pPr>
              <w:jc w:val="center"/>
              <w:rPr>
                <w:rFonts w:cs="Times New Roman"/>
                <w:b/>
                <w:bCs/>
                <w:color w:val="000000"/>
                <w:sz w:val="20"/>
                <w:szCs w:val="20"/>
              </w:rPr>
            </w:pPr>
            <w:r w:rsidRPr="00887108">
              <w:rPr>
                <w:rFonts w:cs="Arial"/>
                <w:b/>
                <w:bCs/>
                <w:color w:val="000000"/>
                <w:sz w:val="20"/>
                <w:szCs w:val="20"/>
              </w:rPr>
              <w:t>m. j.</w:t>
            </w:r>
          </w:p>
        </w:tc>
        <w:tc>
          <w:tcPr>
            <w:tcW w:w="548" w:type="dxa"/>
            <w:tcBorders>
              <w:top w:val="single" w:sz="6" w:space="0" w:color="auto"/>
              <w:left w:val="nil"/>
              <w:bottom w:val="single" w:sz="6" w:space="0" w:color="auto"/>
              <w:right w:val="nil"/>
            </w:tcBorders>
            <w:shd w:val="clear" w:color="auto" w:fill="auto"/>
            <w:noWrap/>
            <w:vAlign w:val="center"/>
            <w:hideMark/>
          </w:tcPr>
          <w:p w14:paraId="42D96E4C" w14:textId="77777777" w:rsidR="00204588" w:rsidRPr="00887108" w:rsidRDefault="00204588" w:rsidP="00204588">
            <w:pPr>
              <w:jc w:val="center"/>
              <w:rPr>
                <w:b/>
                <w:bCs/>
                <w:color w:val="000000"/>
                <w:sz w:val="20"/>
                <w:szCs w:val="18"/>
              </w:rPr>
            </w:pPr>
            <w:r w:rsidRPr="00887108">
              <w:rPr>
                <w:b/>
                <w:bCs/>
                <w:color w:val="000000"/>
                <w:sz w:val="18"/>
                <w:szCs w:val="18"/>
              </w:rPr>
              <w:t>2018</w:t>
            </w:r>
          </w:p>
        </w:tc>
        <w:tc>
          <w:tcPr>
            <w:tcW w:w="548" w:type="dxa"/>
            <w:tcBorders>
              <w:top w:val="single" w:sz="6" w:space="0" w:color="auto"/>
              <w:left w:val="nil"/>
              <w:bottom w:val="single" w:sz="6" w:space="0" w:color="auto"/>
              <w:right w:val="nil"/>
            </w:tcBorders>
            <w:shd w:val="clear" w:color="auto" w:fill="auto"/>
            <w:noWrap/>
            <w:vAlign w:val="center"/>
            <w:hideMark/>
          </w:tcPr>
          <w:p w14:paraId="2A694223" w14:textId="77777777" w:rsidR="00204588" w:rsidRPr="00887108" w:rsidRDefault="00204588" w:rsidP="00204588">
            <w:pPr>
              <w:jc w:val="center"/>
              <w:rPr>
                <w:b/>
                <w:bCs/>
                <w:color w:val="000000"/>
                <w:sz w:val="20"/>
                <w:szCs w:val="18"/>
              </w:rPr>
            </w:pPr>
            <w:r w:rsidRPr="00887108">
              <w:rPr>
                <w:b/>
                <w:bCs/>
                <w:color w:val="000000"/>
                <w:sz w:val="18"/>
                <w:szCs w:val="18"/>
              </w:rPr>
              <w:t>2019</w:t>
            </w:r>
          </w:p>
        </w:tc>
        <w:tc>
          <w:tcPr>
            <w:tcW w:w="523" w:type="dxa"/>
            <w:tcBorders>
              <w:top w:val="single" w:sz="6" w:space="0" w:color="auto"/>
              <w:left w:val="nil"/>
              <w:bottom w:val="single" w:sz="6" w:space="0" w:color="auto"/>
              <w:right w:val="nil"/>
            </w:tcBorders>
            <w:shd w:val="clear" w:color="auto" w:fill="auto"/>
            <w:noWrap/>
            <w:vAlign w:val="center"/>
            <w:hideMark/>
          </w:tcPr>
          <w:p w14:paraId="231B121B" w14:textId="77777777" w:rsidR="00204588" w:rsidRPr="00887108" w:rsidRDefault="00204588" w:rsidP="00204588">
            <w:pPr>
              <w:jc w:val="center"/>
              <w:rPr>
                <w:b/>
                <w:bCs/>
                <w:color w:val="000000"/>
                <w:sz w:val="20"/>
                <w:szCs w:val="18"/>
              </w:rPr>
            </w:pPr>
            <w:r w:rsidRPr="00887108">
              <w:rPr>
                <w:b/>
                <w:bCs/>
                <w:color w:val="000000"/>
                <w:sz w:val="18"/>
                <w:szCs w:val="18"/>
              </w:rPr>
              <w:t>2020</w:t>
            </w:r>
          </w:p>
        </w:tc>
        <w:tc>
          <w:tcPr>
            <w:tcW w:w="551" w:type="dxa"/>
            <w:tcBorders>
              <w:top w:val="single" w:sz="6" w:space="0" w:color="auto"/>
              <w:left w:val="nil"/>
              <w:bottom w:val="single" w:sz="6" w:space="0" w:color="auto"/>
              <w:right w:val="nil"/>
            </w:tcBorders>
            <w:shd w:val="clear" w:color="auto" w:fill="auto"/>
            <w:noWrap/>
            <w:vAlign w:val="center"/>
            <w:hideMark/>
          </w:tcPr>
          <w:p w14:paraId="60926408" w14:textId="77777777" w:rsidR="00204588" w:rsidRPr="00887108" w:rsidRDefault="00204588" w:rsidP="00204588">
            <w:pPr>
              <w:jc w:val="center"/>
              <w:rPr>
                <w:b/>
                <w:bCs/>
                <w:color w:val="000000"/>
                <w:sz w:val="20"/>
                <w:szCs w:val="18"/>
              </w:rPr>
            </w:pPr>
            <w:r w:rsidRPr="00887108">
              <w:rPr>
                <w:b/>
                <w:bCs/>
                <w:color w:val="000000"/>
                <w:sz w:val="18"/>
                <w:szCs w:val="18"/>
              </w:rPr>
              <w:t>2021</w:t>
            </w:r>
          </w:p>
        </w:tc>
        <w:tc>
          <w:tcPr>
            <w:tcW w:w="551" w:type="dxa"/>
            <w:tcBorders>
              <w:top w:val="single" w:sz="6" w:space="0" w:color="auto"/>
              <w:left w:val="nil"/>
              <w:bottom w:val="single" w:sz="6" w:space="0" w:color="auto"/>
              <w:right w:val="nil"/>
            </w:tcBorders>
            <w:shd w:val="clear" w:color="auto" w:fill="auto"/>
            <w:noWrap/>
            <w:vAlign w:val="center"/>
            <w:hideMark/>
          </w:tcPr>
          <w:p w14:paraId="6B147905" w14:textId="77777777" w:rsidR="00204588" w:rsidRPr="00887108" w:rsidRDefault="00204588" w:rsidP="00204588">
            <w:pPr>
              <w:jc w:val="center"/>
              <w:rPr>
                <w:b/>
                <w:bCs/>
                <w:color w:val="000000"/>
                <w:sz w:val="20"/>
                <w:szCs w:val="18"/>
              </w:rPr>
            </w:pPr>
            <w:r w:rsidRPr="00887108">
              <w:rPr>
                <w:b/>
                <w:bCs/>
                <w:color w:val="000000"/>
                <w:sz w:val="18"/>
                <w:szCs w:val="18"/>
              </w:rPr>
              <w:t>2022</w:t>
            </w:r>
          </w:p>
        </w:tc>
        <w:tc>
          <w:tcPr>
            <w:tcW w:w="551" w:type="dxa"/>
            <w:tcBorders>
              <w:top w:val="single" w:sz="6" w:space="0" w:color="auto"/>
              <w:left w:val="nil"/>
              <w:bottom w:val="single" w:sz="6" w:space="0" w:color="auto"/>
              <w:right w:val="nil"/>
            </w:tcBorders>
            <w:shd w:val="clear" w:color="auto" w:fill="auto"/>
            <w:noWrap/>
            <w:vAlign w:val="center"/>
            <w:hideMark/>
          </w:tcPr>
          <w:p w14:paraId="0B73A729" w14:textId="77777777" w:rsidR="00204588" w:rsidRPr="00887108" w:rsidRDefault="00204588" w:rsidP="00204588">
            <w:pPr>
              <w:jc w:val="center"/>
              <w:rPr>
                <w:b/>
                <w:bCs/>
                <w:color w:val="000000"/>
                <w:sz w:val="20"/>
                <w:szCs w:val="18"/>
              </w:rPr>
            </w:pPr>
            <w:r w:rsidRPr="00887108">
              <w:rPr>
                <w:b/>
                <w:bCs/>
                <w:color w:val="000000"/>
                <w:sz w:val="18"/>
                <w:szCs w:val="18"/>
              </w:rPr>
              <w:t>2023</w:t>
            </w:r>
          </w:p>
        </w:tc>
      </w:tr>
      <w:tr w:rsidR="00204588" w:rsidRPr="00887108" w14:paraId="441BD631" w14:textId="77777777" w:rsidTr="00204588">
        <w:trPr>
          <w:trHeight w:val="272"/>
          <w:jc w:val="center"/>
        </w:trPr>
        <w:tc>
          <w:tcPr>
            <w:tcW w:w="478" w:type="dxa"/>
            <w:tcBorders>
              <w:top w:val="single" w:sz="6" w:space="0" w:color="auto"/>
              <w:left w:val="nil"/>
              <w:bottom w:val="nil"/>
              <w:right w:val="nil"/>
            </w:tcBorders>
            <w:shd w:val="clear" w:color="auto" w:fill="auto"/>
            <w:noWrap/>
            <w:vAlign w:val="center"/>
            <w:hideMark/>
          </w:tcPr>
          <w:p w14:paraId="373098C5"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1</w:t>
            </w:r>
          </w:p>
        </w:tc>
        <w:tc>
          <w:tcPr>
            <w:tcW w:w="4533" w:type="dxa"/>
            <w:tcBorders>
              <w:top w:val="single" w:sz="6" w:space="0" w:color="auto"/>
              <w:left w:val="nil"/>
              <w:bottom w:val="nil"/>
              <w:right w:val="nil"/>
            </w:tcBorders>
            <w:shd w:val="clear" w:color="auto" w:fill="auto"/>
            <w:noWrap/>
            <w:vAlign w:val="center"/>
            <w:hideMark/>
          </w:tcPr>
          <w:p w14:paraId="5E618B1E" w14:textId="02E308FC" w:rsidR="00204588" w:rsidRPr="00887108" w:rsidRDefault="00204588" w:rsidP="004D275E">
            <w:pPr>
              <w:rPr>
                <w:rFonts w:cs="Times New Roman"/>
                <w:color w:val="000000"/>
                <w:sz w:val="20"/>
                <w:szCs w:val="20"/>
              </w:rPr>
            </w:pPr>
            <w:r w:rsidRPr="00887108">
              <w:rPr>
                <w:rFonts w:cs="Arial"/>
                <w:color w:val="000000"/>
                <w:sz w:val="20"/>
                <w:szCs w:val="20"/>
              </w:rPr>
              <w:t>HDP, bežné ceny</w:t>
            </w:r>
          </w:p>
        </w:tc>
        <w:tc>
          <w:tcPr>
            <w:tcW w:w="878" w:type="dxa"/>
            <w:tcBorders>
              <w:top w:val="single" w:sz="6" w:space="0" w:color="auto"/>
              <w:left w:val="nil"/>
              <w:bottom w:val="nil"/>
              <w:right w:val="nil"/>
            </w:tcBorders>
            <w:shd w:val="clear" w:color="auto" w:fill="auto"/>
            <w:noWrap/>
            <w:vAlign w:val="center"/>
            <w:hideMark/>
          </w:tcPr>
          <w:p w14:paraId="5F22D7A9"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mld. eur</w:t>
            </w:r>
          </w:p>
        </w:tc>
        <w:tc>
          <w:tcPr>
            <w:tcW w:w="548" w:type="dxa"/>
            <w:tcBorders>
              <w:top w:val="single" w:sz="6" w:space="0" w:color="auto"/>
              <w:left w:val="nil"/>
              <w:bottom w:val="nil"/>
              <w:right w:val="nil"/>
            </w:tcBorders>
            <w:shd w:val="clear" w:color="auto" w:fill="auto"/>
            <w:noWrap/>
            <w:vAlign w:val="center"/>
            <w:hideMark/>
          </w:tcPr>
          <w:p w14:paraId="56B85F76" w14:textId="77777777" w:rsidR="00204588" w:rsidRPr="00887108" w:rsidRDefault="00204588" w:rsidP="00204588">
            <w:pPr>
              <w:jc w:val="center"/>
              <w:rPr>
                <w:bCs/>
                <w:color w:val="000000"/>
                <w:sz w:val="18"/>
                <w:szCs w:val="18"/>
              </w:rPr>
            </w:pPr>
            <w:r w:rsidRPr="00887108">
              <w:rPr>
                <w:color w:val="000000"/>
                <w:sz w:val="18"/>
                <w:szCs w:val="18"/>
              </w:rPr>
              <w:t>89,7</w:t>
            </w:r>
          </w:p>
        </w:tc>
        <w:tc>
          <w:tcPr>
            <w:tcW w:w="548" w:type="dxa"/>
            <w:tcBorders>
              <w:top w:val="single" w:sz="6" w:space="0" w:color="auto"/>
              <w:left w:val="nil"/>
              <w:bottom w:val="nil"/>
              <w:right w:val="nil"/>
            </w:tcBorders>
            <w:shd w:val="clear" w:color="auto" w:fill="auto"/>
            <w:noWrap/>
            <w:vAlign w:val="center"/>
            <w:hideMark/>
          </w:tcPr>
          <w:p w14:paraId="7A330F60" w14:textId="77777777" w:rsidR="00204588" w:rsidRPr="00887108" w:rsidRDefault="00204588" w:rsidP="00204588">
            <w:pPr>
              <w:jc w:val="center"/>
              <w:rPr>
                <w:bCs/>
                <w:color w:val="000000"/>
                <w:sz w:val="20"/>
                <w:szCs w:val="18"/>
              </w:rPr>
            </w:pPr>
            <w:r w:rsidRPr="00887108">
              <w:rPr>
                <w:color w:val="000000"/>
                <w:sz w:val="18"/>
                <w:szCs w:val="18"/>
              </w:rPr>
              <w:t>94,2</w:t>
            </w:r>
          </w:p>
        </w:tc>
        <w:tc>
          <w:tcPr>
            <w:tcW w:w="523" w:type="dxa"/>
            <w:tcBorders>
              <w:top w:val="single" w:sz="6" w:space="0" w:color="auto"/>
              <w:left w:val="nil"/>
              <w:bottom w:val="nil"/>
              <w:right w:val="nil"/>
            </w:tcBorders>
            <w:shd w:val="clear" w:color="auto" w:fill="auto"/>
            <w:noWrap/>
            <w:vAlign w:val="center"/>
            <w:hideMark/>
          </w:tcPr>
          <w:p w14:paraId="13E1CA18" w14:textId="77777777" w:rsidR="00204588" w:rsidRPr="00887108" w:rsidRDefault="00204588" w:rsidP="00204588">
            <w:pPr>
              <w:jc w:val="center"/>
              <w:rPr>
                <w:bCs/>
                <w:color w:val="000000"/>
                <w:sz w:val="20"/>
                <w:szCs w:val="18"/>
              </w:rPr>
            </w:pPr>
            <w:r w:rsidRPr="00887108">
              <w:rPr>
                <w:color w:val="000000"/>
                <w:sz w:val="18"/>
                <w:szCs w:val="18"/>
              </w:rPr>
              <w:t>89,0</w:t>
            </w:r>
          </w:p>
        </w:tc>
        <w:tc>
          <w:tcPr>
            <w:tcW w:w="551" w:type="dxa"/>
            <w:tcBorders>
              <w:top w:val="single" w:sz="6" w:space="0" w:color="auto"/>
              <w:left w:val="nil"/>
              <w:bottom w:val="nil"/>
              <w:right w:val="nil"/>
            </w:tcBorders>
            <w:shd w:val="clear" w:color="auto" w:fill="auto"/>
            <w:noWrap/>
            <w:vAlign w:val="center"/>
            <w:hideMark/>
          </w:tcPr>
          <w:p w14:paraId="5812A3B4" w14:textId="77777777" w:rsidR="00204588" w:rsidRPr="00887108" w:rsidRDefault="00204588" w:rsidP="00204588">
            <w:pPr>
              <w:jc w:val="center"/>
              <w:rPr>
                <w:bCs/>
                <w:color w:val="000000"/>
                <w:sz w:val="20"/>
                <w:szCs w:val="18"/>
              </w:rPr>
            </w:pPr>
            <w:r w:rsidRPr="00887108">
              <w:rPr>
                <w:color w:val="000000"/>
                <w:sz w:val="18"/>
                <w:szCs w:val="18"/>
              </w:rPr>
              <w:t>95,2</w:t>
            </w:r>
          </w:p>
        </w:tc>
        <w:tc>
          <w:tcPr>
            <w:tcW w:w="551" w:type="dxa"/>
            <w:tcBorders>
              <w:top w:val="single" w:sz="6" w:space="0" w:color="auto"/>
              <w:left w:val="nil"/>
              <w:bottom w:val="nil"/>
              <w:right w:val="nil"/>
            </w:tcBorders>
            <w:shd w:val="clear" w:color="auto" w:fill="auto"/>
            <w:noWrap/>
            <w:vAlign w:val="center"/>
            <w:hideMark/>
          </w:tcPr>
          <w:p w14:paraId="5E1F17F1" w14:textId="77777777" w:rsidR="00204588" w:rsidRPr="00887108" w:rsidRDefault="00204588" w:rsidP="00204588">
            <w:pPr>
              <w:jc w:val="center"/>
              <w:rPr>
                <w:bCs/>
                <w:color w:val="000000"/>
                <w:sz w:val="20"/>
                <w:szCs w:val="18"/>
              </w:rPr>
            </w:pPr>
            <w:r w:rsidRPr="00887108">
              <w:rPr>
                <w:color w:val="000000"/>
                <w:sz w:val="18"/>
                <w:szCs w:val="18"/>
              </w:rPr>
              <w:t>100,5</w:t>
            </w:r>
          </w:p>
        </w:tc>
        <w:tc>
          <w:tcPr>
            <w:tcW w:w="551" w:type="dxa"/>
            <w:tcBorders>
              <w:top w:val="single" w:sz="6" w:space="0" w:color="auto"/>
              <w:left w:val="nil"/>
              <w:bottom w:val="nil"/>
              <w:right w:val="nil"/>
            </w:tcBorders>
            <w:shd w:val="clear" w:color="auto" w:fill="auto"/>
            <w:noWrap/>
            <w:vAlign w:val="center"/>
            <w:hideMark/>
          </w:tcPr>
          <w:p w14:paraId="69E65370" w14:textId="77777777" w:rsidR="00204588" w:rsidRPr="00887108" w:rsidRDefault="00204588" w:rsidP="00204588">
            <w:pPr>
              <w:jc w:val="center"/>
              <w:rPr>
                <w:bCs/>
                <w:color w:val="000000"/>
                <w:sz w:val="20"/>
                <w:szCs w:val="18"/>
              </w:rPr>
            </w:pPr>
            <w:r w:rsidRPr="00887108">
              <w:rPr>
                <w:color w:val="000000"/>
                <w:sz w:val="18"/>
                <w:szCs w:val="18"/>
              </w:rPr>
              <w:t>105,8</w:t>
            </w:r>
          </w:p>
        </w:tc>
      </w:tr>
      <w:tr w:rsidR="00204588" w:rsidRPr="00887108" w14:paraId="4B9423CC"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7AF4DBDB"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2</w:t>
            </w:r>
          </w:p>
        </w:tc>
        <w:tc>
          <w:tcPr>
            <w:tcW w:w="4533" w:type="dxa"/>
            <w:tcBorders>
              <w:top w:val="nil"/>
              <w:left w:val="nil"/>
              <w:bottom w:val="nil"/>
              <w:right w:val="nil"/>
            </w:tcBorders>
            <w:shd w:val="clear" w:color="auto" w:fill="auto"/>
            <w:noWrap/>
            <w:vAlign w:val="center"/>
            <w:hideMark/>
          </w:tcPr>
          <w:p w14:paraId="1EA35A65" w14:textId="77777777" w:rsidR="00204588" w:rsidRPr="00887108" w:rsidRDefault="00204588" w:rsidP="00204588">
            <w:pPr>
              <w:rPr>
                <w:rFonts w:cs="Times New Roman"/>
                <w:color w:val="000000"/>
                <w:sz w:val="20"/>
                <w:szCs w:val="20"/>
              </w:rPr>
            </w:pPr>
            <w:r w:rsidRPr="00887108">
              <w:rPr>
                <w:rFonts w:cs="Arial"/>
                <w:color w:val="000000"/>
                <w:sz w:val="20"/>
                <w:szCs w:val="20"/>
              </w:rPr>
              <w:t>HDP, stále ceny</w:t>
            </w:r>
          </w:p>
        </w:tc>
        <w:tc>
          <w:tcPr>
            <w:tcW w:w="878" w:type="dxa"/>
            <w:tcBorders>
              <w:top w:val="nil"/>
              <w:left w:val="nil"/>
              <w:bottom w:val="nil"/>
              <w:right w:val="nil"/>
            </w:tcBorders>
            <w:shd w:val="clear" w:color="auto" w:fill="auto"/>
            <w:noWrap/>
            <w:vAlign w:val="center"/>
            <w:hideMark/>
          </w:tcPr>
          <w:p w14:paraId="7BCF95A7"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65AD1403" w14:textId="77777777" w:rsidR="00204588" w:rsidRPr="00887108" w:rsidRDefault="00204588" w:rsidP="00204588">
            <w:pPr>
              <w:jc w:val="center"/>
              <w:rPr>
                <w:bCs/>
                <w:color w:val="000000"/>
                <w:sz w:val="18"/>
                <w:szCs w:val="18"/>
              </w:rPr>
            </w:pPr>
            <w:r w:rsidRPr="00887108">
              <w:rPr>
                <w:color w:val="000000"/>
                <w:sz w:val="18"/>
                <w:szCs w:val="18"/>
              </w:rPr>
              <w:t>4,0</w:t>
            </w:r>
          </w:p>
        </w:tc>
        <w:tc>
          <w:tcPr>
            <w:tcW w:w="548" w:type="dxa"/>
            <w:tcBorders>
              <w:top w:val="nil"/>
              <w:left w:val="nil"/>
              <w:bottom w:val="nil"/>
              <w:right w:val="nil"/>
            </w:tcBorders>
            <w:shd w:val="clear" w:color="auto" w:fill="auto"/>
            <w:noWrap/>
            <w:vAlign w:val="center"/>
            <w:hideMark/>
          </w:tcPr>
          <w:p w14:paraId="3BE5AA1B" w14:textId="77777777" w:rsidR="00204588" w:rsidRPr="00887108" w:rsidRDefault="00204588" w:rsidP="00204588">
            <w:pPr>
              <w:jc w:val="center"/>
              <w:rPr>
                <w:bCs/>
                <w:color w:val="000000"/>
                <w:sz w:val="20"/>
                <w:szCs w:val="18"/>
              </w:rPr>
            </w:pPr>
            <w:r w:rsidRPr="00887108">
              <w:rPr>
                <w:color w:val="000000"/>
                <w:sz w:val="18"/>
                <w:szCs w:val="18"/>
              </w:rPr>
              <w:t>2,3</w:t>
            </w:r>
          </w:p>
        </w:tc>
        <w:tc>
          <w:tcPr>
            <w:tcW w:w="523" w:type="dxa"/>
            <w:tcBorders>
              <w:top w:val="nil"/>
              <w:left w:val="nil"/>
              <w:bottom w:val="nil"/>
              <w:right w:val="nil"/>
            </w:tcBorders>
            <w:shd w:val="clear" w:color="auto" w:fill="auto"/>
            <w:noWrap/>
            <w:vAlign w:val="center"/>
            <w:hideMark/>
          </w:tcPr>
          <w:p w14:paraId="74BBA0AD" w14:textId="77777777" w:rsidR="00204588" w:rsidRPr="00887108" w:rsidRDefault="00204588" w:rsidP="00204588">
            <w:pPr>
              <w:jc w:val="center"/>
              <w:rPr>
                <w:bCs/>
                <w:color w:val="000000"/>
                <w:sz w:val="20"/>
                <w:szCs w:val="18"/>
              </w:rPr>
            </w:pPr>
            <w:r w:rsidRPr="00887108">
              <w:rPr>
                <w:color w:val="000000"/>
                <w:sz w:val="18"/>
                <w:szCs w:val="18"/>
              </w:rPr>
              <w:t>-7,2</w:t>
            </w:r>
          </w:p>
        </w:tc>
        <w:tc>
          <w:tcPr>
            <w:tcW w:w="551" w:type="dxa"/>
            <w:tcBorders>
              <w:top w:val="nil"/>
              <w:left w:val="nil"/>
              <w:bottom w:val="nil"/>
              <w:right w:val="nil"/>
            </w:tcBorders>
            <w:shd w:val="clear" w:color="auto" w:fill="auto"/>
            <w:noWrap/>
            <w:vAlign w:val="center"/>
            <w:hideMark/>
          </w:tcPr>
          <w:p w14:paraId="5D100901" w14:textId="77777777" w:rsidR="00204588" w:rsidRPr="00887108" w:rsidRDefault="00204588" w:rsidP="00204588">
            <w:pPr>
              <w:jc w:val="center"/>
              <w:rPr>
                <w:bCs/>
                <w:color w:val="000000"/>
                <w:sz w:val="20"/>
                <w:szCs w:val="18"/>
              </w:rPr>
            </w:pPr>
            <w:r w:rsidRPr="00887108">
              <w:rPr>
                <w:color w:val="000000"/>
                <w:sz w:val="18"/>
                <w:szCs w:val="18"/>
              </w:rPr>
              <w:t>6,8</w:t>
            </w:r>
          </w:p>
        </w:tc>
        <w:tc>
          <w:tcPr>
            <w:tcW w:w="551" w:type="dxa"/>
            <w:tcBorders>
              <w:top w:val="nil"/>
              <w:left w:val="nil"/>
              <w:bottom w:val="nil"/>
              <w:right w:val="nil"/>
            </w:tcBorders>
            <w:shd w:val="clear" w:color="auto" w:fill="auto"/>
            <w:noWrap/>
            <w:vAlign w:val="center"/>
            <w:hideMark/>
          </w:tcPr>
          <w:p w14:paraId="4B364474" w14:textId="77777777" w:rsidR="00204588" w:rsidRPr="00887108" w:rsidRDefault="00204588" w:rsidP="00204588">
            <w:pPr>
              <w:jc w:val="center"/>
              <w:rPr>
                <w:bCs/>
                <w:color w:val="000000"/>
                <w:sz w:val="20"/>
                <w:szCs w:val="18"/>
              </w:rPr>
            </w:pPr>
            <w:r w:rsidRPr="00887108">
              <w:rPr>
                <w:color w:val="000000"/>
                <w:sz w:val="18"/>
                <w:szCs w:val="18"/>
              </w:rPr>
              <w:t>4,1</w:t>
            </w:r>
          </w:p>
        </w:tc>
        <w:tc>
          <w:tcPr>
            <w:tcW w:w="551" w:type="dxa"/>
            <w:tcBorders>
              <w:top w:val="nil"/>
              <w:left w:val="nil"/>
              <w:bottom w:val="nil"/>
              <w:right w:val="nil"/>
            </w:tcBorders>
            <w:shd w:val="clear" w:color="auto" w:fill="auto"/>
            <w:noWrap/>
            <w:vAlign w:val="center"/>
            <w:hideMark/>
          </w:tcPr>
          <w:p w14:paraId="7BECEEDA" w14:textId="77777777" w:rsidR="00204588" w:rsidRPr="00887108" w:rsidRDefault="00204588" w:rsidP="00204588">
            <w:pPr>
              <w:jc w:val="center"/>
              <w:rPr>
                <w:bCs/>
                <w:color w:val="000000"/>
                <w:sz w:val="20"/>
                <w:szCs w:val="18"/>
              </w:rPr>
            </w:pPr>
            <w:r w:rsidRPr="00887108">
              <w:rPr>
                <w:color w:val="000000"/>
                <w:sz w:val="18"/>
                <w:szCs w:val="18"/>
              </w:rPr>
              <w:t>3,2</w:t>
            </w:r>
          </w:p>
        </w:tc>
      </w:tr>
      <w:tr w:rsidR="00204588" w:rsidRPr="00887108" w14:paraId="40EFBC58"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0D2E13AB"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3</w:t>
            </w:r>
          </w:p>
        </w:tc>
        <w:tc>
          <w:tcPr>
            <w:tcW w:w="4533" w:type="dxa"/>
            <w:tcBorders>
              <w:top w:val="nil"/>
              <w:left w:val="nil"/>
              <w:bottom w:val="nil"/>
              <w:right w:val="nil"/>
            </w:tcBorders>
            <w:shd w:val="clear" w:color="auto" w:fill="auto"/>
            <w:vAlign w:val="center"/>
            <w:hideMark/>
          </w:tcPr>
          <w:p w14:paraId="3BB53055" w14:textId="77777777" w:rsidR="00204588" w:rsidRPr="00887108" w:rsidRDefault="00204588" w:rsidP="00204588">
            <w:pPr>
              <w:rPr>
                <w:rFonts w:cs="Times New Roman"/>
                <w:color w:val="0000FF"/>
                <w:sz w:val="20"/>
                <w:szCs w:val="20"/>
                <w:u w:val="single"/>
              </w:rPr>
            </w:pPr>
            <w:r w:rsidRPr="00887108">
              <w:rPr>
                <w:rFonts w:cs="Arial"/>
                <w:color w:val="000000"/>
                <w:sz w:val="20"/>
                <w:szCs w:val="20"/>
              </w:rPr>
              <w:t xml:space="preserve">     Konečná spotreba domácností a NISD</w:t>
            </w:r>
            <w:r w:rsidRPr="00887108">
              <w:rPr>
                <w:rStyle w:val="Odkaznapoznmkupodiarou"/>
                <w:color w:val="000000"/>
                <w:sz w:val="18"/>
                <w:szCs w:val="18"/>
                <w:lang w:val="sk-SK"/>
              </w:rPr>
              <w:footnoteReference w:id="4"/>
            </w:r>
          </w:p>
        </w:tc>
        <w:tc>
          <w:tcPr>
            <w:tcW w:w="878" w:type="dxa"/>
            <w:tcBorders>
              <w:top w:val="nil"/>
              <w:left w:val="nil"/>
              <w:bottom w:val="nil"/>
              <w:right w:val="nil"/>
            </w:tcBorders>
            <w:shd w:val="clear" w:color="auto" w:fill="auto"/>
            <w:noWrap/>
            <w:vAlign w:val="center"/>
            <w:hideMark/>
          </w:tcPr>
          <w:p w14:paraId="310C02F9"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4DAD8FC" w14:textId="77777777" w:rsidR="00204588" w:rsidRPr="00887108" w:rsidRDefault="00204588" w:rsidP="00204588">
            <w:pPr>
              <w:jc w:val="center"/>
              <w:rPr>
                <w:bCs/>
                <w:color w:val="000000"/>
                <w:sz w:val="18"/>
                <w:szCs w:val="18"/>
              </w:rPr>
            </w:pPr>
            <w:r w:rsidRPr="00887108">
              <w:rPr>
                <w:color w:val="000000"/>
                <w:sz w:val="18"/>
                <w:szCs w:val="18"/>
              </w:rPr>
              <w:t>3,9</w:t>
            </w:r>
          </w:p>
        </w:tc>
        <w:tc>
          <w:tcPr>
            <w:tcW w:w="548" w:type="dxa"/>
            <w:tcBorders>
              <w:top w:val="nil"/>
              <w:left w:val="nil"/>
              <w:bottom w:val="nil"/>
              <w:right w:val="nil"/>
            </w:tcBorders>
            <w:shd w:val="clear" w:color="auto" w:fill="auto"/>
            <w:noWrap/>
            <w:vAlign w:val="center"/>
            <w:hideMark/>
          </w:tcPr>
          <w:p w14:paraId="4AC2FCCF" w14:textId="77777777" w:rsidR="00204588" w:rsidRPr="00887108" w:rsidRDefault="00204588" w:rsidP="00204588">
            <w:pPr>
              <w:jc w:val="center"/>
              <w:rPr>
                <w:bCs/>
                <w:color w:val="000000"/>
                <w:sz w:val="20"/>
                <w:szCs w:val="18"/>
              </w:rPr>
            </w:pPr>
            <w:r w:rsidRPr="00887108">
              <w:rPr>
                <w:color w:val="000000"/>
                <w:sz w:val="18"/>
                <w:szCs w:val="18"/>
              </w:rPr>
              <w:t>2,2</w:t>
            </w:r>
          </w:p>
        </w:tc>
        <w:tc>
          <w:tcPr>
            <w:tcW w:w="523" w:type="dxa"/>
            <w:tcBorders>
              <w:top w:val="nil"/>
              <w:left w:val="nil"/>
              <w:bottom w:val="nil"/>
              <w:right w:val="nil"/>
            </w:tcBorders>
            <w:shd w:val="clear" w:color="auto" w:fill="auto"/>
            <w:noWrap/>
            <w:vAlign w:val="center"/>
            <w:hideMark/>
          </w:tcPr>
          <w:p w14:paraId="3569730E" w14:textId="77777777" w:rsidR="00204588" w:rsidRPr="00887108" w:rsidRDefault="00204588" w:rsidP="00204588">
            <w:pPr>
              <w:jc w:val="center"/>
              <w:rPr>
                <w:bCs/>
                <w:color w:val="000000"/>
                <w:sz w:val="20"/>
                <w:szCs w:val="18"/>
              </w:rPr>
            </w:pPr>
            <w:r w:rsidRPr="00887108">
              <w:rPr>
                <w:color w:val="000000"/>
                <w:sz w:val="18"/>
                <w:szCs w:val="18"/>
              </w:rPr>
              <w:t>-8,4</w:t>
            </w:r>
          </w:p>
        </w:tc>
        <w:tc>
          <w:tcPr>
            <w:tcW w:w="551" w:type="dxa"/>
            <w:tcBorders>
              <w:top w:val="nil"/>
              <w:left w:val="nil"/>
              <w:bottom w:val="nil"/>
              <w:right w:val="nil"/>
            </w:tcBorders>
            <w:shd w:val="clear" w:color="auto" w:fill="auto"/>
            <w:noWrap/>
            <w:vAlign w:val="center"/>
            <w:hideMark/>
          </w:tcPr>
          <w:p w14:paraId="296FC278" w14:textId="77777777" w:rsidR="00204588" w:rsidRPr="00887108" w:rsidRDefault="00204588" w:rsidP="00204588">
            <w:pPr>
              <w:jc w:val="center"/>
              <w:rPr>
                <w:bCs/>
                <w:color w:val="000000"/>
                <w:sz w:val="20"/>
                <w:szCs w:val="18"/>
              </w:rPr>
            </w:pPr>
            <w:r w:rsidRPr="00887108">
              <w:rPr>
                <w:color w:val="000000"/>
                <w:sz w:val="18"/>
                <w:szCs w:val="18"/>
              </w:rPr>
              <w:t>7,8</w:t>
            </w:r>
          </w:p>
        </w:tc>
        <w:tc>
          <w:tcPr>
            <w:tcW w:w="551" w:type="dxa"/>
            <w:tcBorders>
              <w:top w:val="nil"/>
              <w:left w:val="nil"/>
              <w:bottom w:val="nil"/>
              <w:right w:val="nil"/>
            </w:tcBorders>
            <w:shd w:val="clear" w:color="auto" w:fill="auto"/>
            <w:noWrap/>
            <w:vAlign w:val="center"/>
            <w:hideMark/>
          </w:tcPr>
          <w:p w14:paraId="3F843C07" w14:textId="77777777" w:rsidR="00204588" w:rsidRPr="00887108" w:rsidRDefault="00204588" w:rsidP="00204588">
            <w:pPr>
              <w:jc w:val="center"/>
              <w:rPr>
                <w:bCs/>
                <w:color w:val="000000"/>
                <w:sz w:val="20"/>
                <w:szCs w:val="18"/>
              </w:rPr>
            </w:pPr>
            <w:r w:rsidRPr="00887108">
              <w:rPr>
                <w:color w:val="000000"/>
                <w:sz w:val="18"/>
                <w:szCs w:val="18"/>
              </w:rPr>
              <w:t>4,1</w:t>
            </w:r>
          </w:p>
        </w:tc>
        <w:tc>
          <w:tcPr>
            <w:tcW w:w="551" w:type="dxa"/>
            <w:tcBorders>
              <w:top w:val="nil"/>
              <w:left w:val="nil"/>
              <w:bottom w:val="nil"/>
              <w:right w:val="nil"/>
            </w:tcBorders>
            <w:shd w:val="clear" w:color="auto" w:fill="auto"/>
            <w:noWrap/>
            <w:vAlign w:val="center"/>
            <w:hideMark/>
          </w:tcPr>
          <w:p w14:paraId="4EFFA87E" w14:textId="77777777" w:rsidR="00204588" w:rsidRPr="00887108" w:rsidRDefault="00204588" w:rsidP="00204588">
            <w:pPr>
              <w:jc w:val="center"/>
              <w:rPr>
                <w:bCs/>
                <w:color w:val="000000"/>
                <w:sz w:val="20"/>
                <w:szCs w:val="18"/>
              </w:rPr>
            </w:pPr>
            <w:r w:rsidRPr="00887108">
              <w:rPr>
                <w:color w:val="000000"/>
                <w:sz w:val="18"/>
                <w:szCs w:val="18"/>
              </w:rPr>
              <w:t>2,9</w:t>
            </w:r>
          </w:p>
        </w:tc>
      </w:tr>
      <w:tr w:rsidR="00204588" w:rsidRPr="00887108" w14:paraId="09B23D88"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48195C40"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4</w:t>
            </w:r>
          </w:p>
        </w:tc>
        <w:tc>
          <w:tcPr>
            <w:tcW w:w="4533" w:type="dxa"/>
            <w:tcBorders>
              <w:top w:val="nil"/>
              <w:left w:val="nil"/>
              <w:bottom w:val="nil"/>
              <w:right w:val="nil"/>
            </w:tcBorders>
            <w:shd w:val="clear" w:color="auto" w:fill="auto"/>
            <w:vAlign w:val="center"/>
            <w:hideMark/>
          </w:tcPr>
          <w:p w14:paraId="0FF4ECC1" w14:textId="77777777" w:rsidR="00204588" w:rsidRPr="00887108" w:rsidRDefault="00204588" w:rsidP="00204588">
            <w:pPr>
              <w:rPr>
                <w:rFonts w:cs="Times New Roman"/>
                <w:color w:val="000000"/>
                <w:sz w:val="20"/>
                <w:szCs w:val="20"/>
              </w:rPr>
            </w:pPr>
            <w:r w:rsidRPr="00887108">
              <w:rPr>
                <w:rFonts w:cs="Arial"/>
                <w:color w:val="000000"/>
                <w:sz w:val="20"/>
                <w:szCs w:val="20"/>
              </w:rPr>
              <w:t xml:space="preserve">     Konečná spotreba verejnej správy </w:t>
            </w:r>
          </w:p>
        </w:tc>
        <w:tc>
          <w:tcPr>
            <w:tcW w:w="878" w:type="dxa"/>
            <w:tcBorders>
              <w:top w:val="nil"/>
              <w:left w:val="nil"/>
              <w:bottom w:val="nil"/>
              <w:right w:val="nil"/>
            </w:tcBorders>
            <w:shd w:val="clear" w:color="auto" w:fill="auto"/>
            <w:noWrap/>
            <w:vAlign w:val="center"/>
            <w:hideMark/>
          </w:tcPr>
          <w:p w14:paraId="422B5200"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12F59216" w14:textId="77777777" w:rsidR="00204588" w:rsidRPr="00887108" w:rsidRDefault="00204588" w:rsidP="00204588">
            <w:pPr>
              <w:jc w:val="center"/>
              <w:rPr>
                <w:bCs/>
                <w:color w:val="000000"/>
                <w:sz w:val="20"/>
                <w:szCs w:val="18"/>
              </w:rPr>
            </w:pPr>
            <w:r w:rsidRPr="00887108">
              <w:rPr>
                <w:color w:val="000000"/>
                <w:sz w:val="18"/>
                <w:szCs w:val="18"/>
              </w:rPr>
              <w:t>0,2</w:t>
            </w:r>
          </w:p>
        </w:tc>
        <w:tc>
          <w:tcPr>
            <w:tcW w:w="548" w:type="dxa"/>
            <w:tcBorders>
              <w:top w:val="nil"/>
              <w:left w:val="nil"/>
              <w:bottom w:val="nil"/>
              <w:right w:val="nil"/>
            </w:tcBorders>
            <w:shd w:val="clear" w:color="auto" w:fill="auto"/>
            <w:noWrap/>
            <w:vAlign w:val="center"/>
            <w:hideMark/>
          </w:tcPr>
          <w:p w14:paraId="71F1FF6D" w14:textId="77777777" w:rsidR="00204588" w:rsidRPr="00887108" w:rsidRDefault="00204588" w:rsidP="00204588">
            <w:pPr>
              <w:jc w:val="center"/>
              <w:rPr>
                <w:bCs/>
                <w:color w:val="000000"/>
                <w:sz w:val="20"/>
                <w:szCs w:val="18"/>
              </w:rPr>
            </w:pPr>
            <w:r w:rsidRPr="00887108">
              <w:rPr>
                <w:color w:val="000000"/>
                <w:sz w:val="18"/>
                <w:szCs w:val="18"/>
              </w:rPr>
              <w:t>3,8</w:t>
            </w:r>
          </w:p>
        </w:tc>
        <w:tc>
          <w:tcPr>
            <w:tcW w:w="523" w:type="dxa"/>
            <w:tcBorders>
              <w:top w:val="nil"/>
              <w:left w:val="nil"/>
              <w:bottom w:val="nil"/>
              <w:right w:val="nil"/>
            </w:tcBorders>
            <w:shd w:val="clear" w:color="auto" w:fill="auto"/>
            <w:noWrap/>
            <w:vAlign w:val="center"/>
            <w:hideMark/>
          </w:tcPr>
          <w:p w14:paraId="6BE0E398" w14:textId="77777777" w:rsidR="00204588" w:rsidRPr="00887108" w:rsidRDefault="00204588" w:rsidP="00204588">
            <w:pPr>
              <w:jc w:val="center"/>
              <w:rPr>
                <w:bCs/>
                <w:color w:val="000000"/>
                <w:sz w:val="20"/>
                <w:szCs w:val="18"/>
              </w:rPr>
            </w:pPr>
            <w:r w:rsidRPr="00887108">
              <w:rPr>
                <w:color w:val="000000"/>
                <w:sz w:val="18"/>
                <w:szCs w:val="18"/>
              </w:rPr>
              <w:t>1,8</w:t>
            </w:r>
          </w:p>
        </w:tc>
        <w:tc>
          <w:tcPr>
            <w:tcW w:w="551" w:type="dxa"/>
            <w:tcBorders>
              <w:top w:val="nil"/>
              <w:left w:val="nil"/>
              <w:bottom w:val="nil"/>
              <w:right w:val="nil"/>
            </w:tcBorders>
            <w:shd w:val="clear" w:color="auto" w:fill="auto"/>
            <w:noWrap/>
            <w:vAlign w:val="center"/>
            <w:hideMark/>
          </w:tcPr>
          <w:p w14:paraId="2D8826BF" w14:textId="77777777" w:rsidR="00204588" w:rsidRPr="00887108" w:rsidRDefault="00204588" w:rsidP="00204588">
            <w:pPr>
              <w:jc w:val="center"/>
              <w:rPr>
                <w:bCs/>
                <w:color w:val="000000"/>
                <w:sz w:val="20"/>
                <w:szCs w:val="18"/>
              </w:rPr>
            </w:pPr>
            <w:r w:rsidRPr="00887108">
              <w:rPr>
                <w:color w:val="000000"/>
                <w:sz w:val="18"/>
                <w:szCs w:val="18"/>
              </w:rPr>
              <w:t>0,2</w:t>
            </w:r>
          </w:p>
        </w:tc>
        <w:tc>
          <w:tcPr>
            <w:tcW w:w="551" w:type="dxa"/>
            <w:tcBorders>
              <w:top w:val="nil"/>
              <w:left w:val="nil"/>
              <w:bottom w:val="nil"/>
              <w:right w:val="nil"/>
            </w:tcBorders>
            <w:shd w:val="clear" w:color="auto" w:fill="auto"/>
            <w:noWrap/>
            <w:vAlign w:val="center"/>
            <w:hideMark/>
          </w:tcPr>
          <w:p w14:paraId="5B432FD9" w14:textId="77777777" w:rsidR="00204588" w:rsidRPr="00887108" w:rsidRDefault="00204588" w:rsidP="00204588">
            <w:pPr>
              <w:jc w:val="center"/>
              <w:rPr>
                <w:bCs/>
                <w:color w:val="000000"/>
                <w:sz w:val="20"/>
                <w:szCs w:val="18"/>
              </w:rPr>
            </w:pPr>
            <w:r w:rsidRPr="00887108">
              <w:rPr>
                <w:color w:val="000000"/>
                <w:sz w:val="18"/>
                <w:szCs w:val="18"/>
              </w:rPr>
              <w:t>1,8</w:t>
            </w:r>
          </w:p>
        </w:tc>
        <w:tc>
          <w:tcPr>
            <w:tcW w:w="551" w:type="dxa"/>
            <w:tcBorders>
              <w:top w:val="nil"/>
              <w:left w:val="nil"/>
              <w:bottom w:val="nil"/>
              <w:right w:val="nil"/>
            </w:tcBorders>
            <w:shd w:val="clear" w:color="auto" w:fill="auto"/>
            <w:noWrap/>
            <w:vAlign w:val="center"/>
            <w:hideMark/>
          </w:tcPr>
          <w:p w14:paraId="3B8F7618" w14:textId="77777777" w:rsidR="00204588" w:rsidRPr="00887108" w:rsidRDefault="00204588" w:rsidP="00204588">
            <w:pPr>
              <w:jc w:val="center"/>
              <w:rPr>
                <w:bCs/>
                <w:color w:val="000000"/>
                <w:sz w:val="20"/>
                <w:szCs w:val="18"/>
              </w:rPr>
            </w:pPr>
            <w:r w:rsidRPr="00887108">
              <w:rPr>
                <w:color w:val="000000"/>
                <w:sz w:val="18"/>
                <w:szCs w:val="18"/>
              </w:rPr>
              <w:t>2,6</w:t>
            </w:r>
          </w:p>
        </w:tc>
      </w:tr>
      <w:tr w:rsidR="00204588" w:rsidRPr="00887108" w14:paraId="4233C2EE"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15EF3079"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5</w:t>
            </w:r>
          </w:p>
        </w:tc>
        <w:tc>
          <w:tcPr>
            <w:tcW w:w="4533" w:type="dxa"/>
            <w:tcBorders>
              <w:top w:val="nil"/>
              <w:left w:val="nil"/>
              <w:bottom w:val="nil"/>
              <w:right w:val="nil"/>
            </w:tcBorders>
            <w:shd w:val="clear" w:color="auto" w:fill="auto"/>
            <w:vAlign w:val="center"/>
            <w:hideMark/>
          </w:tcPr>
          <w:p w14:paraId="14234FED" w14:textId="77777777" w:rsidR="00204588" w:rsidRPr="00887108" w:rsidRDefault="00204588" w:rsidP="00204588">
            <w:pPr>
              <w:rPr>
                <w:rFonts w:cs="Times New Roman"/>
                <w:color w:val="000000"/>
                <w:sz w:val="20"/>
                <w:szCs w:val="20"/>
              </w:rPr>
            </w:pPr>
            <w:r w:rsidRPr="00887108">
              <w:rPr>
                <w:rFonts w:cs="Arial"/>
                <w:color w:val="000000"/>
                <w:sz w:val="20"/>
                <w:szCs w:val="20"/>
              </w:rPr>
              <w:t xml:space="preserve">     Tvorba hrubého fixného kapitálu </w:t>
            </w:r>
          </w:p>
        </w:tc>
        <w:tc>
          <w:tcPr>
            <w:tcW w:w="878" w:type="dxa"/>
            <w:tcBorders>
              <w:top w:val="nil"/>
              <w:left w:val="nil"/>
              <w:bottom w:val="nil"/>
              <w:right w:val="nil"/>
            </w:tcBorders>
            <w:shd w:val="clear" w:color="auto" w:fill="auto"/>
            <w:noWrap/>
            <w:vAlign w:val="center"/>
            <w:hideMark/>
          </w:tcPr>
          <w:p w14:paraId="29BDF2E4"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771BECB7" w14:textId="77777777" w:rsidR="00204588" w:rsidRPr="00887108" w:rsidRDefault="00204588" w:rsidP="00204588">
            <w:pPr>
              <w:jc w:val="center"/>
              <w:rPr>
                <w:bCs/>
                <w:color w:val="000000"/>
                <w:sz w:val="20"/>
                <w:szCs w:val="18"/>
              </w:rPr>
            </w:pPr>
            <w:r w:rsidRPr="00887108">
              <w:rPr>
                <w:color w:val="000000"/>
                <w:sz w:val="18"/>
                <w:szCs w:val="18"/>
              </w:rPr>
              <w:t>3,7</w:t>
            </w:r>
          </w:p>
        </w:tc>
        <w:tc>
          <w:tcPr>
            <w:tcW w:w="548" w:type="dxa"/>
            <w:tcBorders>
              <w:top w:val="nil"/>
              <w:left w:val="nil"/>
              <w:bottom w:val="nil"/>
              <w:right w:val="nil"/>
            </w:tcBorders>
            <w:shd w:val="clear" w:color="auto" w:fill="auto"/>
            <w:noWrap/>
            <w:vAlign w:val="center"/>
            <w:hideMark/>
          </w:tcPr>
          <w:p w14:paraId="05552B29" w14:textId="77777777" w:rsidR="00204588" w:rsidRPr="00887108" w:rsidRDefault="00204588" w:rsidP="00204588">
            <w:pPr>
              <w:jc w:val="center"/>
              <w:rPr>
                <w:bCs/>
                <w:color w:val="000000"/>
                <w:sz w:val="20"/>
                <w:szCs w:val="18"/>
              </w:rPr>
            </w:pPr>
            <w:r w:rsidRPr="00887108">
              <w:rPr>
                <w:color w:val="000000"/>
                <w:sz w:val="18"/>
                <w:szCs w:val="18"/>
              </w:rPr>
              <w:t>4,4</w:t>
            </w:r>
          </w:p>
        </w:tc>
        <w:tc>
          <w:tcPr>
            <w:tcW w:w="523" w:type="dxa"/>
            <w:tcBorders>
              <w:top w:val="nil"/>
              <w:left w:val="nil"/>
              <w:bottom w:val="nil"/>
              <w:right w:val="nil"/>
            </w:tcBorders>
            <w:shd w:val="clear" w:color="auto" w:fill="auto"/>
            <w:noWrap/>
            <w:vAlign w:val="center"/>
            <w:hideMark/>
          </w:tcPr>
          <w:p w14:paraId="2F656EFB" w14:textId="77777777" w:rsidR="00204588" w:rsidRPr="00887108" w:rsidRDefault="00204588" w:rsidP="00204588">
            <w:pPr>
              <w:jc w:val="center"/>
              <w:rPr>
                <w:bCs/>
                <w:color w:val="000000"/>
                <w:sz w:val="20"/>
                <w:szCs w:val="18"/>
              </w:rPr>
            </w:pPr>
            <w:r w:rsidRPr="00887108">
              <w:rPr>
                <w:color w:val="000000"/>
                <w:sz w:val="18"/>
                <w:szCs w:val="18"/>
              </w:rPr>
              <w:t>-20,3</w:t>
            </w:r>
          </w:p>
        </w:tc>
        <w:tc>
          <w:tcPr>
            <w:tcW w:w="551" w:type="dxa"/>
            <w:tcBorders>
              <w:top w:val="nil"/>
              <w:left w:val="nil"/>
              <w:bottom w:val="nil"/>
              <w:right w:val="nil"/>
            </w:tcBorders>
            <w:shd w:val="clear" w:color="auto" w:fill="auto"/>
            <w:noWrap/>
            <w:vAlign w:val="center"/>
            <w:hideMark/>
          </w:tcPr>
          <w:p w14:paraId="615F57AB" w14:textId="77777777" w:rsidR="00204588" w:rsidRPr="00887108" w:rsidRDefault="00204588" w:rsidP="00204588">
            <w:pPr>
              <w:jc w:val="center"/>
              <w:rPr>
                <w:bCs/>
                <w:color w:val="000000"/>
                <w:sz w:val="20"/>
                <w:szCs w:val="18"/>
              </w:rPr>
            </w:pPr>
            <w:r w:rsidRPr="00887108">
              <w:rPr>
                <w:color w:val="000000"/>
                <w:sz w:val="18"/>
                <w:szCs w:val="18"/>
              </w:rPr>
              <w:t>17,0</w:t>
            </w:r>
          </w:p>
        </w:tc>
        <w:tc>
          <w:tcPr>
            <w:tcW w:w="551" w:type="dxa"/>
            <w:tcBorders>
              <w:top w:val="nil"/>
              <w:left w:val="nil"/>
              <w:bottom w:val="nil"/>
              <w:right w:val="nil"/>
            </w:tcBorders>
            <w:shd w:val="clear" w:color="auto" w:fill="auto"/>
            <w:noWrap/>
            <w:vAlign w:val="center"/>
            <w:hideMark/>
          </w:tcPr>
          <w:p w14:paraId="21B315B6" w14:textId="77777777" w:rsidR="00204588" w:rsidRPr="00887108" w:rsidRDefault="00204588" w:rsidP="00204588">
            <w:pPr>
              <w:jc w:val="center"/>
              <w:rPr>
                <w:bCs/>
                <w:color w:val="000000"/>
                <w:sz w:val="20"/>
                <w:szCs w:val="18"/>
              </w:rPr>
            </w:pPr>
            <w:r w:rsidRPr="00887108">
              <w:rPr>
                <w:color w:val="000000"/>
                <w:sz w:val="18"/>
                <w:szCs w:val="18"/>
              </w:rPr>
              <w:t>5,2</w:t>
            </w:r>
          </w:p>
        </w:tc>
        <w:tc>
          <w:tcPr>
            <w:tcW w:w="551" w:type="dxa"/>
            <w:tcBorders>
              <w:top w:val="nil"/>
              <w:left w:val="nil"/>
              <w:bottom w:val="nil"/>
              <w:right w:val="nil"/>
            </w:tcBorders>
            <w:shd w:val="clear" w:color="auto" w:fill="auto"/>
            <w:noWrap/>
            <w:vAlign w:val="center"/>
            <w:hideMark/>
          </w:tcPr>
          <w:p w14:paraId="6E54B1BE" w14:textId="77777777" w:rsidR="00204588" w:rsidRPr="00887108" w:rsidRDefault="00204588" w:rsidP="00204588">
            <w:pPr>
              <w:jc w:val="center"/>
              <w:rPr>
                <w:bCs/>
                <w:color w:val="000000"/>
                <w:sz w:val="20"/>
                <w:szCs w:val="18"/>
              </w:rPr>
            </w:pPr>
            <w:r w:rsidRPr="00887108">
              <w:rPr>
                <w:color w:val="000000"/>
                <w:sz w:val="18"/>
                <w:szCs w:val="18"/>
              </w:rPr>
              <w:t>5,8</w:t>
            </w:r>
          </w:p>
        </w:tc>
      </w:tr>
      <w:tr w:rsidR="00204588" w:rsidRPr="00887108" w14:paraId="388126D5"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56C9F682"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6</w:t>
            </w:r>
          </w:p>
        </w:tc>
        <w:tc>
          <w:tcPr>
            <w:tcW w:w="4533" w:type="dxa"/>
            <w:tcBorders>
              <w:top w:val="nil"/>
              <w:left w:val="nil"/>
              <w:bottom w:val="nil"/>
              <w:right w:val="nil"/>
            </w:tcBorders>
            <w:shd w:val="clear" w:color="auto" w:fill="auto"/>
            <w:vAlign w:val="center"/>
            <w:hideMark/>
          </w:tcPr>
          <w:p w14:paraId="1D02AF19" w14:textId="77777777" w:rsidR="00204588" w:rsidRPr="00887108" w:rsidRDefault="00204588" w:rsidP="00204588">
            <w:pPr>
              <w:rPr>
                <w:rFonts w:cs="Times New Roman"/>
                <w:color w:val="000000"/>
                <w:sz w:val="20"/>
                <w:szCs w:val="20"/>
              </w:rPr>
            </w:pPr>
            <w:r w:rsidRPr="00887108">
              <w:rPr>
                <w:rFonts w:cs="Arial"/>
                <w:color w:val="000000"/>
                <w:sz w:val="20"/>
                <w:szCs w:val="20"/>
              </w:rPr>
              <w:t xml:space="preserve">     Export tovarov a služieb </w:t>
            </w:r>
          </w:p>
        </w:tc>
        <w:tc>
          <w:tcPr>
            <w:tcW w:w="878" w:type="dxa"/>
            <w:tcBorders>
              <w:top w:val="nil"/>
              <w:left w:val="nil"/>
              <w:bottom w:val="nil"/>
              <w:right w:val="nil"/>
            </w:tcBorders>
            <w:shd w:val="clear" w:color="auto" w:fill="auto"/>
            <w:noWrap/>
            <w:vAlign w:val="center"/>
            <w:hideMark/>
          </w:tcPr>
          <w:p w14:paraId="0B040BB5"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541C604" w14:textId="77777777" w:rsidR="00204588" w:rsidRPr="00887108" w:rsidRDefault="00204588" w:rsidP="00204588">
            <w:pPr>
              <w:jc w:val="center"/>
              <w:rPr>
                <w:bCs/>
                <w:color w:val="000000"/>
                <w:sz w:val="20"/>
                <w:szCs w:val="18"/>
              </w:rPr>
            </w:pPr>
            <w:r w:rsidRPr="00887108">
              <w:rPr>
                <w:color w:val="000000"/>
                <w:sz w:val="18"/>
                <w:szCs w:val="18"/>
              </w:rPr>
              <w:t>5,4</w:t>
            </w:r>
          </w:p>
        </w:tc>
        <w:tc>
          <w:tcPr>
            <w:tcW w:w="548" w:type="dxa"/>
            <w:tcBorders>
              <w:top w:val="nil"/>
              <w:left w:val="nil"/>
              <w:bottom w:val="nil"/>
              <w:right w:val="nil"/>
            </w:tcBorders>
            <w:shd w:val="clear" w:color="auto" w:fill="auto"/>
            <w:noWrap/>
            <w:vAlign w:val="center"/>
            <w:hideMark/>
          </w:tcPr>
          <w:p w14:paraId="37566830" w14:textId="77777777" w:rsidR="00204588" w:rsidRPr="00887108" w:rsidRDefault="00204588" w:rsidP="00204588">
            <w:pPr>
              <w:jc w:val="center"/>
              <w:rPr>
                <w:bCs/>
                <w:color w:val="000000"/>
                <w:sz w:val="20"/>
                <w:szCs w:val="18"/>
              </w:rPr>
            </w:pPr>
            <w:r w:rsidRPr="00887108">
              <w:rPr>
                <w:color w:val="000000"/>
                <w:sz w:val="18"/>
                <w:szCs w:val="18"/>
              </w:rPr>
              <w:t>1,7</w:t>
            </w:r>
          </w:p>
        </w:tc>
        <w:tc>
          <w:tcPr>
            <w:tcW w:w="523" w:type="dxa"/>
            <w:tcBorders>
              <w:top w:val="nil"/>
              <w:left w:val="nil"/>
              <w:bottom w:val="nil"/>
              <w:right w:val="nil"/>
            </w:tcBorders>
            <w:shd w:val="clear" w:color="auto" w:fill="auto"/>
            <w:noWrap/>
            <w:vAlign w:val="center"/>
            <w:hideMark/>
          </w:tcPr>
          <w:p w14:paraId="08E7C006" w14:textId="77777777" w:rsidR="00204588" w:rsidRPr="00887108" w:rsidRDefault="00204588" w:rsidP="00204588">
            <w:pPr>
              <w:jc w:val="center"/>
              <w:rPr>
                <w:bCs/>
                <w:color w:val="000000"/>
                <w:sz w:val="20"/>
                <w:szCs w:val="18"/>
              </w:rPr>
            </w:pPr>
            <w:r w:rsidRPr="00887108">
              <w:rPr>
                <w:color w:val="000000"/>
                <w:sz w:val="18"/>
                <w:szCs w:val="18"/>
              </w:rPr>
              <w:t>-21,4</w:t>
            </w:r>
          </w:p>
        </w:tc>
        <w:tc>
          <w:tcPr>
            <w:tcW w:w="551" w:type="dxa"/>
            <w:tcBorders>
              <w:top w:val="nil"/>
              <w:left w:val="nil"/>
              <w:bottom w:val="nil"/>
              <w:right w:val="nil"/>
            </w:tcBorders>
            <w:shd w:val="clear" w:color="auto" w:fill="auto"/>
            <w:noWrap/>
            <w:vAlign w:val="center"/>
            <w:hideMark/>
          </w:tcPr>
          <w:p w14:paraId="3DBE5DB4" w14:textId="77777777" w:rsidR="00204588" w:rsidRPr="00887108" w:rsidRDefault="00204588" w:rsidP="00204588">
            <w:pPr>
              <w:jc w:val="center"/>
              <w:rPr>
                <w:bCs/>
                <w:color w:val="000000"/>
                <w:sz w:val="20"/>
                <w:szCs w:val="18"/>
              </w:rPr>
            </w:pPr>
            <w:r w:rsidRPr="00887108">
              <w:rPr>
                <w:color w:val="000000"/>
                <w:sz w:val="18"/>
                <w:szCs w:val="18"/>
              </w:rPr>
              <w:t>17,6</w:t>
            </w:r>
          </w:p>
        </w:tc>
        <w:tc>
          <w:tcPr>
            <w:tcW w:w="551" w:type="dxa"/>
            <w:tcBorders>
              <w:top w:val="nil"/>
              <w:left w:val="nil"/>
              <w:bottom w:val="nil"/>
              <w:right w:val="nil"/>
            </w:tcBorders>
            <w:shd w:val="clear" w:color="auto" w:fill="auto"/>
            <w:noWrap/>
            <w:vAlign w:val="center"/>
            <w:hideMark/>
          </w:tcPr>
          <w:p w14:paraId="4B1D8CB8" w14:textId="77777777" w:rsidR="00204588" w:rsidRPr="00887108" w:rsidRDefault="00204588" w:rsidP="00204588">
            <w:pPr>
              <w:jc w:val="center"/>
              <w:rPr>
                <w:bCs/>
                <w:color w:val="000000"/>
                <w:sz w:val="20"/>
                <w:szCs w:val="18"/>
              </w:rPr>
            </w:pPr>
            <w:r w:rsidRPr="00887108">
              <w:rPr>
                <w:color w:val="000000"/>
                <w:sz w:val="18"/>
                <w:szCs w:val="18"/>
              </w:rPr>
              <w:t>6,5</w:t>
            </w:r>
          </w:p>
        </w:tc>
        <w:tc>
          <w:tcPr>
            <w:tcW w:w="551" w:type="dxa"/>
            <w:tcBorders>
              <w:top w:val="nil"/>
              <w:left w:val="nil"/>
              <w:bottom w:val="nil"/>
              <w:right w:val="nil"/>
            </w:tcBorders>
            <w:shd w:val="clear" w:color="auto" w:fill="auto"/>
            <w:noWrap/>
            <w:vAlign w:val="center"/>
            <w:hideMark/>
          </w:tcPr>
          <w:p w14:paraId="47AC4FE0" w14:textId="77777777" w:rsidR="00204588" w:rsidRPr="00887108" w:rsidRDefault="00204588" w:rsidP="00204588">
            <w:pPr>
              <w:jc w:val="center"/>
              <w:rPr>
                <w:bCs/>
                <w:color w:val="000000"/>
                <w:sz w:val="20"/>
                <w:szCs w:val="18"/>
              </w:rPr>
            </w:pPr>
            <w:r w:rsidRPr="00887108">
              <w:rPr>
                <w:color w:val="000000"/>
                <w:sz w:val="18"/>
                <w:szCs w:val="18"/>
              </w:rPr>
              <w:t>3,6</w:t>
            </w:r>
          </w:p>
        </w:tc>
      </w:tr>
      <w:tr w:rsidR="00204588" w:rsidRPr="00887108" w14:paraId="77059FD7"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4DBB86C8"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7</w:t>
            </w:r>
          </w:p>
        </w:tc>
        <w:tc>
          <w:tcPr>
            <w:tcW w:w="4533" w:type="dxa"/>
            <w:tcBorders>
              <w:top w:val="nil"/>
              <w:left w:val="nil"/>
              <w:bottom w:val="nil"/>
              <w:right w:val="nil"/>
            </w:tcBorders>
            <w:shd w:val="clear" w:color="auto" w:fill="auto"/>
            <w:vAlign w:val="center"/>
            <w:hideMark/>
          </w:tcPr>
          <w:p w14:paraId="2E2E727C" w14:textId="77777777" w:rsidR="00204588" w:rsidRPr="00887108" w:rsidRDefault="00204588" w:rsidP="00204588">
            <w:pPr>
              <w:rPr>
                <w:rFonts w:cs="Times New Roman"/>
                <w:color w:val="000000"/>
                <w:sz w:val="20"/>
                <w:szCs w:val="20"/>
              </w:rPr>
            </w:pPr>
            <w:r w:rsidRPr="00887108">
              <w:rPr>
                <w:rFonts w:cs="Arial"/>
                <w:color w:val="000000"/>
                <w:sz w:val="20"/>
                <w:szCs w:val="20"/>
              </w:rPr>
              <w:t xml:space="preserve">     Import tovarov a služieb </w:t>
            </w:r>
          </w:p>
        </w:tc>
        <w:tc>
          <w:tcPr>
            <w:tcW w:w="878" w:type="dxa"/>
            <w:tcBorders>
              <w:top w:val="nil"/>
              <w:left w:val="nil"/>
              <w:bottom w:val="nil"/>
              <w:right w:val="nil"/>
            </w:tcBorders>
            <w:shd w:val="clear" w:color="auto" w:fill="auto"/>
            <w:noWrap/>
            <w:vAlign w:val="center"/>
            <w:hideMark/>
          </w:tcPr>
          <w:p w14:paraId="46EAD1FE"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986DA09" w14:textId="77777777" w:rsidR="00204588" w:rsidRPr="00887108" w:rsidRDefault="00204588" w:rsidP="00204588">
            <w:pPr>
              <w:jc w:val="center"/>
              <w:rPr>
                <w:bCs/>
                <w:color w:val="000000"/>
                <w:sz w:val="20"/>
                <w:szCs w:val="18"/>
              </w:rPr>
            </w:pPr>
            <w:r w:rsidRPr="00887108">
              <w:rPr>
                <w:color w:val="000000"/>
                <w:sz w:val="18"/>
                <w:szCs w:val="18"/>
              </w:rPr>
              <w:t>5,0</w:t>
            </w:r>
          </w:p>
        </w:tc>
        <w:tc>
          <w:tcPr>
            <w:tcW w:w="548" w:type="dxa"/>
            <w:tcBorders>
              <w:top w:val="nil"/>
              <w:left w:val="nil"/>
              <w:bottom w:val="nil"/>
              <w:right w:val="nil"/>
            </w:tcBorders>
            <w:shd w:val="clear" w:color="auto" w:fill="auto"/>
            <w:noWrap/>
            <w:vAlign w:val="center"/>
            <w:hideMark/>
          </w:tcPr>
          <w:p w14:paraId="0567602B" w14:textId="77777777" w:rsidR="00204588" w:rsidRPr="00887108" w:rsidRDefault="00204588" w:rsidP="00204588">
            <w:pPr>
              <w:jc w:val="center"/>
              <w:rPr>
                <w:bCs/>
                <w:color w:val="000000"/>
                <w:sz w:val="20"/>
                <w:szCs w:val="18"/>
              </w:rPr>
            </w:pPr>
            <w:r w:rsidRPr="00887108">
              <w:rPr>
                <w:color w:val="000000"/>
                <w:sz w:val="18"/>
                <w:szCs w:val="18"/>
              </w:rPr>
              <w:t>2,6</w:t>
            </w:r>
          </w:p>
        </w:tc>
        <w:tc>
          <w:tcPr>
            <w:tcW w:w="523" w:type="dxa"/>
            <w:tcBorders>
              <w:top w:val="nil"/>
              <w:left w:val="nil"/>
              <w:bottom w:val="nil"/>
              <w:right w:val="nil"/>
            </w:tcBorders>
            <w:shd w:val="clear" w:color="auto" w:fill="auto"/>
            <w:noWrap/>
            <w:vAlign w:val="center"/>
            <w:hideMark/>
          </w:tcPr>
          <w:p w14:paraId="69E0FD61" w14:textId="77777777" w:rsidR="00204588" w:rsidRPr="00887108" w:rsidRDefault="00204588" w:rsidP="00204588">
            <w:pPr>
              <w:jc w:val="center"/>
              <w:rPr>
                <w:bCs/>
                <w:color w:val="000000"/>
                <w:sz w:val="20"/>
                <w:szCs w:val="18"/>
              </w:rPr>
            </w:pPr>
            <w:r w:rsidRPr="00887108">
              <w:rPr>
                <w:color w:val="000000"/>
                <w:sz w:val="18"/>
                <w:szCs w:val="18"/>
              </w:rPr>
              <w:t>-25,5</w:t>
            </w:r>
          </w:p>
        </w:tc>
        <w:tc>
          <w:tcPr>
            <w:tcW w:w="551" w:type="dxa"/>
            <w:tcBorders>
              <w:top w:val="nil"/>
              <w:left w:val="nil"/>
              <w:bottom w:val="nil"/>
              <w:right w:val="nil"/>
            </w:tcBorders>
            <w:shd w:val="clear" w:color="auto" w:fill="auto"/>
            <w:noWrap/>
            <w:vAlign w:val="center"/>
            <w:hideMark/>
          </w:tcPr>
          <w:p w14:paraId="77654F12" w14:textId="77777777" w:rsidR="00204588" w:rsidRPr="00887108" w:rsidRDefault="00204588" w:rsidP="00204588">
            <w:pPr>
              <w:jc w:val="center"/>
              <w:rPr>
                <w:bCs/>
                <w:color w:val="000000"/>
                <w:sz w:val="20"/>
                <w:szCs w:val="18"/>
              </w:rPr>
            </w:pPr>
            <w:r w:rsidRPr="00887108">
              <w:rPr>
                <w:color w:val="000000"/>
                <w:sz w:val="18"/>
                <w:szCs w:val="18"/>
              </w:rPr>
              <w:t>19,0</w:t>
            </w:r>
          </w:p>
        </w:tc>
        <w:tc>
          <w:tcPr>
            <w:tcW w:w="551" w:type="dxa"/>
            <w:tcBorders>
              <w:top w:val="nil"/>
              <w:left w:val="nil"/>
              <w:bottom w:val="nil"/>
              <w:right w:val="nil"/>
            </w:tcBorders>
            <w:shd w:val="clear" w:color="auto" w:fill="auto"/>
            <w:noWrap/>
            <w:vAlign w:val="center"/>
            <w:hideMark/>
          </w:tcPr>
          <w:p w14:paraId="049767C5" w14:textId="77777777" w:rsidR="00204588" w:rsidRPr="00887108" w:rsidRDefault="00204588" w:rsidP="00204588">
            <w:pPr>
              <w:jc w:val="center"/>
              <w:rPr>
                <w:bCs/>
                <w:color w:val="000000"/>
                <w:sz w:val="20"/>
                <w:szCs w:val="18"/>
              </w:rPr>
            </w:pPr>
            <w:r w:rsidRPr="00887108">
              <w:rPr>
                <w:color w:val="000000"/>
                <w:sz w:val="18"/>
                <w:szCs w:val="18"/>
              </w:rPr>
              <w:t>6,5</w:t>
            </w:r>
          </w:p>
        </w:tc>
        <w:tc>
          <w:tcPr>
            <w:tcW w:w="551" w:type="dxa"/>
            <w:tcBorders>
              <w:top w:val="nil"/>
              <w:left w:val="nil"/>
              <w:bottom w:val="nil"/>
              <w:right w:val="nil"/>
            </w:tcBorders>
            <w:shd w:val="clear" w:color="auto" w:fill="auto"/>
            <w:noWrap/>
            <w:vAlign w:val="center"/>
            <w:hideMark/>
          </w:tcPr>
          <w:p w14:paraId="3F74985B" w14:textId="77777777" w:rsidR="00204588" w:rsidRPr="00887108" w:rsidRDefault="00204588" w:rsidP="00204588">
            <w:pPr>
              <w:jc w:val="center"/>
              <w:rPr>
                <w:bCs/>
                <w:color w:val="000000"/>
                <w:sz w:val="20"/>
                <w:szCs w:val="18"/>
              </w:rPr>
            </w:pPr>
            <w:r w:rsidRPr="00887108">
              <w:rPr>
                <w:color w:val="000000"/>
                <w:sz w:val="18"/>
                <w:szCs w:val="18"/>
              </w:rPr>
              <w:t>4,0</w:t>
            </w:r>
          </w:p>
        </w:tc>
      </w:tr>
      <w:tr w:rsidR="00204588" w:rsidRPr="00887108" w14:paraId="7C41023E"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2DD1F192"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8</w:t>
            </w:r>
          </w:p>
        </w:tc>
        <w:tc>
          <w:tcPr>
            <w:tcW w:w="4533" w:type="dxa"/>
            <w:tcBorders>
              <w:top w:val="nil"/>
              <w:left w:val="nil"/>
              <w:bottom w:val="nil"/>
              <w:right w:val="nil"/>
            </w:tcBorders>
            <w:shd w:val="clear" w:color="auto" w:fill="auto"/>
            <w:noWrap/>
            <w:vAlign w:val="center"/>
            <w:hideMark/>
          </w:tcPr>
          <w:p w14:paraId="6A2D2842" w14:textId="77777777" w:rsidR="00204588" w:rsidRPr="00887108" w:rsidRDefault="00204588" w:rsidP="00204588">
            <w:pPr>
              <w:rPr>
                <w:rFonts w:cs="Times New Roman"/>
                <w:color w:val="000000"/>
                <w:sz w:val="20"/>
                <w:szCs w:val="20"/>
              </w:rPr>
            </w:pPr>
            <w:r w:rsidRPr="00887108">
              <w:rPr>
                <w:rFonts w:cs="Arial"/>
                <w:color w:val="000000"/>
                <w:sz w:val="20"/>
                <w:szCs w:val="20"/>
              </w:rPr>
              <w:t>Produkčná medzera (podiel na potenciálnom produkte)</w:t>
            </w:r>
          </w:p>
        </w:tc>
        <w:tc>
          <w:tcPr>
            <w:tcW w:w="878" w:type="dxa"/>
            <w:tcBorders>
              <w:top w:val="nil"/>
              <w:left w:val="nil"/>
              <w:bottom w:val="nil"/>
              <w:right w:val="nil"/>
            </w:tcBorders>
            <w:shd w:val="clear" w:color="auto" w:fill="auto"/>
            <w:noWrap/>
            <w:vAlign w:val="center"/>
            <w:hideMark/>
          </w:tcPr>
          <w:p w14:paraId="616E4AFC"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5F3F8BAC" w14:textId="77777777" w:rsidR="00204588" w:rsidRPr="00887108" w:rsidRDefault="00204588" w:rsidP="00204588">
            <w:pPr>
              <w:jc w:val="center"/>
              <w:rPr>
                <w:bCs/>
                <w:color w:val="000000"/>
                <w:sz w:val="20"/>
                <w:szCs w:val="18"/>
              </w:rPr>
            </w:pPr>
            <w:r w:rsidRPr="00887108">
              <w:rPr>
                <w:color w:val="000000"/>
                <w:sz w:val="18"/>
                <w:szCs w:val="18"/>
              </w:rPr>
              <w:t>1,8</w:t>
            </w:r>
          </w:p>
        </w:tc>
        <w:tc>
          <w:tcPr>
            <w:tcW w:w="548" w:type="dxa"/>
            <w:tcBorders>
              <w:top w:val="nil"/>
              <w:left w:val="nil"/>
              <w:bottom w:val="nil"/>
              <w:right w:val="nil"/>
            </w:tcBorders>
            <w:shd w:val="clear" w:color="auto" w:fill="auto"/>
            <w:noWrap/>
            <w:vAlign w:val="center"/>
            <w:hideMark/>
          </w:tcPr>
          <w:p w14:paraId="23DE356E" w14:textId="77777777" w:rsidR="00204588" w:rsidRPr="00887108" w:rsidRDefault="00204588" w:rsidP="00204588">
            <w:pPr>
              <w:jc w:val="center"/>
              <w:rPr>
                <w:bCs/>
                <w:color w:val="000000"/>
                <w:sz w:val="20"/>
                <w:szCs w:val="18"/>
              </w:rPr>
            </w:pPr>
            <w:r w:rsidRPr="00887108">
              <w:rPr>
                <w:color w:val="000000"/>
                <w:sz w:val="18"/>
                <w:szCs w:val="18"/>
              </w:rPr>
              <w:t>1,7</w:t>
            </w:r>
          </w:p>
        </w:tc>
        <w:tc>
          <w:tcPr>
            <w:tcW w:w="523" w:type="dxa"/>
            <w:tcBorders>
              <w:top w:val="nil"/>
              <w:left w:val="nil"/>
              <w:bottom w:val="nil"/>
              <w:right w:val="nil"/>
            </w:tcBorders>
            <w:shd w:val="clear" w:color="auto" w:fill="auto"/>
            <w:noWrap/>
            <w:vAlign w:val="center"/>
            <w:hideMark/>
          </w:tcPr>
          <w:p w14:paraId="1EB47EAD" w14:textId="77777777" w:rsidR="00204588" w:rsidRPr="00887108" w:rsidRDefault="00204588" w:rsidP="00204588">
            <w:pPr>
              <w:jc w:val="center"/>
              <w:rPr>
                <w:bCs/>
                <w:color w:val="000000"/>
                <w:sz w:val="20"/>
                <w:szCs w:val="18"/>
              </w:rPr>
            </w:pPr>
            <w:r w:rsidRPr="00887108">
              <w:rPr>
                <w:color w:val="000000"/>
                <w:sz w:val="18"/>
                <w:szCs w:val="18"/>
              </w:rPr>
              <w:t>-7,1</w:t>
            </w:r>
          </w:p>
        </w:tc>
        <w:tc>
          <w:tcPr>
            <w:tcW w:w="551" w:type="dxa"/>
            <w:tcBorders>
              <w:top w:val="nil"/>
              <w:left w:val="nil"/>
              <w:bottom w:val="nil"/>
              <w:right w:val="nil"/>
            </w:tcBorders>
            <w:shd w:val="clear" w:color="auto" w:fill="auto"/>
            <w:noWrap/>
            <w:vAlign w:val="center"/>
            <w:hideMark/>
          </w:tcPr>
          <w:p w14:paraId="0D6C71CA" w14:textId="77777777" w:rsidR="00204588" w:rsidRPr="00887108" w:rsidRDefault="00204588" w:rsidP="00204588">
            <w:pPr>
              <w:jc w:val="center"/>
              <w:rPr>
                <w:bCs/>
                <w:color w:val="000000"/>
                <w:sz w:val="20"/>
                <w:szCs w:val="18"/>
              </w:rPr>
            </w:pPr>
            <w:r w:rsidRPr="00887108">
              <w:rPr>
                <w:color w:val="000000"/>
                <w:sz w:val="18"/>
                <w:szCs w:val="18"/>
              </w:rPr>
              <w:t>-3,0</w:t>
            </w:r>
          </w:p>
        </w:tc>
        <w:tc>
          <w:tcPr>
            <w:tcW w:w="551" w:type="dxa"/>
            <w:tcBorders>
              <w:top w:val="nil"/>
              <w:left w:val="nil"/>
              <w:bottom w:val="nil"/>
              <w:right w:val="nil"/>
            </w:tcBorders>
            <w:shd w:val="clear" w:color="auto" w:fill="auto"/>
            <w:noWrap/>
            <w:vAlign w:val="center"/>
            <w:hideMark/>
          </w:tcPr>
          <w:p w14:paraId="14561C0A" w14:textId="77777777" w:rsidR="00204588" w:rsidRPr="00887108" w:rsidRDefault="00204588" w:rsidP="00204588">
            <w:pPr>
              <w:jc w:val="center"/>
              <w:rPr>
                <w:bCs/>
                <w:color w:val="000000"/>
                <w:sz w:val="20"/>
                <w:szCs w:val="18"/>
              </w:rPr>
            </w:pPr>
            <w:r w:rsidRPr="00887108">
              <w:rPr>
                <w:color w:val="000000"/>
                <w:sz w:val="18"/>
                <w:szCs w:val="18"/>
              </w:rPr>
              <w:t>-1,3</w:t>
            </w:r>
          </w:p>
        </w:tc>
        <w:tc>
          <w:tcPr>
            <w:tcW w:w="551" w:type="dxa"/>
            <w:tcBorders>
              <w:top w:val="nil"/>
              <w:left w:val="nil"/>
              <w:bottom w:val="nil"/>
              <w:right w:val="nil"/>
            </w:tcBorders>
            <w:shd w:val="clear" w:color="auto" w:fill="auto"/>
            <w:noWrap/>
            <w:vAlign w:val="center"/>
            <w:hideMark/>
          </w:tcPr>
          <w:p w14:paraId="467E7450" w14:textId="77777777" w:rsidR="00204588" w:rsidRPr="00887108" w:rsidRDefault="00204588" w:rsidP="00204588">
            <w:pPr>
              <w:jc w:val="center"/>
              <w:rPr>
                <w:bCs/>
                <w:color w:val="000000"/>
                <w:sz w:val="20"/>
                <w:szCs w:val="18"/>
              </w:rPr>
            </w:pPr>
            <w:r w:rsidRPr="00887108">
              <w:rPr>
                <w:color w:val="000000"/>
                <w:sz w:val="18"/>
                <w:szCs w:val="18"/>
              </w:rPr>
              <w:t>-0,5</w:t>
            </w:r>
          </w:p>
        </w:tc>
      </w:tr>
      <w:tr w:rsidR="00204588" w:rsidRPr="00887108" w14:paraId="65A9CE2A"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64FFF4EA"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9</w:t>
            </w:r>
          </w:p>
        </w:tc>
        <w:tc>
          <w:tcPr>
            <w:tcW w:w="4533" w:type="dxa"/>
            <w:tcBorders>
              <w:top w:val="nil"/>
              <w:left w:val="nil"/>
              <w:bottom w:val="nil"/>
              <w:right w:val="nil"/>
            </w:tcBorders>
            <w:shd w:val="clear" w:color="auto" w:fill="auto"/>
            <w:noWrap/>
            <w:vAlign w:val="center"/>
            <w:hideMark/>
          </w:tcPr>
          <w:p w14:paraId="4A63A088" w14:textId="77777777" w:rsidR="00204588" w:rsidRPr="00887108" w:rsidRDefault="00204588" w:rsidP="00204588">
            <w:pPr>
              <w:rPr>
                <w:rFonts w:cs="Times New Roman"/>
                <w:color w:val="000000"/>
                <w:sz w:val="20"/>
                <w:szCs w:val="20"/>
              </w:rPr>
            </w:pPr>
            <w:r w:rsidRPr="00887108">
              <w:rPr>
                <w:rFonts w:cs="Arial"/>
                <w:color w:val="000000"/>
                <w:sz w:val="20"/>
                <w:szCs w:val="20"/>
              </w:rPr>
              <w:t>Priem. mesačná mzda za hospodárstvo (nominálny rast)</w:t>
            </w:r>
          </w:p>
        </w:tc>
        <w:tc>
          <w:tcPr>
            <w:tcW w:w="878" w:type="dxa"/>
            <w:tcBorders>
              <w:top w:val="nil"/>
              <w:left w:val="nil"/>
              <w:bottom w:val="nil"/>
              <w:right w:val="nil"/>
            </w:tcBorders>
            <w:shd w:val="clear" w:color="auto" w:fill="auto"/>
            <w:noWrap/>
            <w:vAlign w:val="center"/>
            <w:hideMark/>
          </w:tcPr>
          <w:p w14:paraId="6B124DFB"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8468873" w14:textId="77777777" w:rsidR="00204588" w:rsidRPr="00887108" w:rsidRDefault="00204588" w:rsidP="00204588">
            <w:pPr>
              <w:jc w:val="center"/>
              <w:rPr>
                <w:bCs/>
                <w:color w:val="000000"/>
                <w:sz w:val="20"/>
                <w:szCs w:val="18"/>
              </w:rPr>
            </w:pPr>
            <w:r w:rsidRPr="00887108">
              <w:rPr>
                <w:color w:val="000000"/>
                <w:sz w:val="18"/>
                <w:szCs w:val="18"/>
              </w:rPr>
              <w:t>6,2</w:t>
            </w:r>
          </w:p>
        </w:tc>
        <w:tc>
          <w:tcPr>
            <w:tcW w:w="548" w:type="dxa"/>
            <w:tcBorders>
              <w:top w:val="nil"/>
              <w:left w:val="nil"/>
              <w:bottom w:val="nil"/>
              <w:right w:val="nil"/>
            </w:tcBorders>
            <w:shd w:val="clear" w:color="auto" w:fill="auto"/>
            <w:noWrap/>
            <w:vAlign w:val="center"/>
            <w:hideMark/>
          </w:tcPr>
          <w:p w14:paraId="04ED7DC5" w14:textId="77777777" w:rsidR="00204588" w:rsidRPr="00887108" w:rsidRDefault="00204588" w:rsidP="00204588">
            <w:pPr>
              <w:jc w:val="center"/>
              <w:rPr>
                <w:bCs/>
                <w:color w:val="000000"/>
                <w:sz w:val="20"/>
                <w:szCs w:val="18"/>
              </w:rPr>
            </w:pPr>
            <w:r w:rsidRPr="00887108">
              <w:rPr>
                <w:color w:val="000000"/>
                <w:sz w:val="18"/>
                <w:szCs w:val="18"/>
              </w:rPr>
              <w:t>7,8</w:t>
            </w:r>
          </w:p>
        </w:tc>
        <w:tc>
          <w:tcPr>
            <w:tcW w:w="523" w:type="dxa"/>
            <w:tcBorders>
              <w:top w:val="nil"/>
              <w:left w:val="nil"/>
              <w:bottom w:val="nil"/>
              <w:right w:val="nil"/>
            </w:tcBorders>
            <w:shd w:val="clear" w:color="auto" w:fill="auto"/>
            <w:noWrap/>
            <w:vAlign w:val="center"/>
            <w:hideMark/>
          </w:tcPr>
          <w:p w14:paraId="25FEA7D0" w14:textId="77777777" w:rsidR="00204588" w:rsidRPr="00887108" w:rsidRDefault="00204588" w:rsidP="00204588">
            <w:pPr>
              <w:jc w:val="center"/>
              <w:rPr>
                <w:bCs/>
                <w:color w:val="000000"/>
                <w:sz w:val="20"/>
                <w:szCs w:val="18"/>
              </w:rPr>
            </w:pPr>
            <w:r w:rsidRPr="00887108">
              <w:rPr>
                <w:color w:val="000000"/>
                <w:sz w:val="18"/>
                <w:szCs w:val="18"/>
              </w:rPr>
              <w:t>1,6</w:t>
            </w:r>
          </w:p>
        </w:tc>
        <w:tc>
          <w:tcPr>
            <w:tcW w:w="551" w:type="dxa"/>
            <w:tcBorders>
              <w:top w:val="nil"/>
              <w:left w:val="nil"/>
              <w:bottom w:val="nil"/>
              <w:right w:val="nil"/>
            </w:tcBorders>
            <w:shd w:val="clear" w:color="auto" w:fill="auto"/>
            <w:noWrap/>
            <w:vAlign w:val="center"/>
            <w:hideMark/>
          </w:tcPr>
          <w:p w14:paraId="3578A7B6" w14:textId="77777777" w:rsidR="00204588" w:rsidRPr="00887108" w:rsidRDefault="00204588" w:rsidP="00204588">
            <w:pPr>
              <w:jc w:val="center"/>
              <w:rPr>
                <w:bCs/>
                <w:color w:val="000000"/>
                <w:sz w:val="20"/>
                <w:szCs w:val="18"/>
              </w:rPr>
            </w:pPr>
            <w:r w:rsidRPr="00887108">
              <w:rPr>
                <w:color w:val="000000"/>
                <w:sz w:val="18"/>
                <w:szCs w:val="18"/>
              </w:rPr>
              <w:t>4,0</w:t>
            </w:r>
          </w:p>
        </w:tc>
        <w:tc>
          <w:tcPr>
            <w:tcW w:w="551" w:type="dxa"/>
            <w:tcBorders>
              <w:top w:val="nil"/>
              <w:left w:val="nil"/>
              <w:bottom w:val="nil"/>
              <w:right w:val="nil"/>
            </w:tcBorders>
            <w:shd w:val="clear" w:color="auto" w:fill="auto"/>
            <w:noWrap/>
            <w:vAlign w:val="center"/>
            <w:hideMark/>
          </w:tcPr>
          <w:p w14:paraId="70C6C017" w14:textId="77777777" w:rsidR="00204588" w:rsidRPr="00887108" w:rsidRDefault="00204588" w:rsidP="00204588">
            <w:pPr>
              <w:jc w:val="center"/>
              <w:rPr>
                <w:bCs/>
                <w:color w:val="000000"/>
                <w:sz w:val="20"/>
                <w:szCs w:val="18"/>
              </w:rPr>
            </w:pPr>
            <w:r w:rsidRPr="00887108">
              <w:rPr>
                <w:color w:val="000000"/>
                <w:sz w:val="18"/>
                <w:szCs w:val="18"/>
              </w:rPr>
              <w:t>4,9</w:t>
            </w:r>
          </w:p>
        </w:tc>
        <w:tc>
          <w:tcPr>
            <w:tcW w:w="551" w:type="dxa"/>
            <w:tcBorders>
              <w:top w:val="nil"/>
              <w:left w:val="nil"/>
              <w:bottom w:val="nil"/>
              <w:right w:val="nil"/>
            </w:tcBorders>
            <w:shd w:val="clear" w:color="auto" w:fill="auto"/>
            <w:noWrap/>
            <w:vAlign w:val="center"/>
            <w:hideMark/>
          </w:tcPr>
          <w:p w14:paraId="13C41D6E" w14:textId="77777777" w:rsidR="00204588" w:rsidRPr="00887108" w:rsidRDefault="00204588" w:rsidP="00204588">
            <w:pPr>
              <w:jc w:val="center"/>
              <w:rPr>
                <w:bCs/>
                <w:color w:val="000000"/>
                <w:sz w:val="20"/>
                <w:szCs w:val="18"/>
              </w:rPr>
            </w:pPr>
            <w:r w:rsidRPr="00887108">
              <w:rPr>
                <w:color w:val="000000"/>
                <w:sz w:val="18"/>
                <w:szCs w:val="18"/>
              </w:rPr>
              <w:t>4,9</w:t>
            </w:r>
          </w:p>
        </w:tc>
      </w:tr>
      <w:tr w:rsidR="00204588" w:rsidRPr="00887108" w14:paraId="5AA9C15A"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3E570CDB"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10</w:t>
            </w:r>
          </w:p>
        </w:tc>
        <w:tc>
          <w:tcPr>
            <w:tcW w:w="4533" w:type="dxa"/>
            <w:tcBorders>
              <w:top w:val="nil"/>
              <w:left w:val="nil"/>
              <w:bottom w:val="nil"/>
              <w:right w:val="nil"/>
            </w:tcBorders>
            <w:shd w:val="clear" w:color="auto" w:fill="auto"/>
            <w:noWrap/>
            <w:vAlign w:val="center"/>
            <w:hideMark/>
          </w:tcPr>
          <w:p w14:paraId="2C95011B" w14:textId="77777777" w:rsidR="00204588" w:rsidRPr="00887108" w:rsidRDefault="00204588" w:rsidP="00204588">
            <w:pPr>
              <w:rPr>
                <w:rFonts w:cs="Times New Roman"/>
                <w:color w:val="000000"/>
                <w:sz w:val="20"/>
                <w:szCs w:val="20"/>
              </w:rPr>
            </w:pPr>
            <w:r w:rsidRPr="00887108">
              <w:rPr>
                <w:rFonts w:cs="Arial"/>
                <w:color w:val="000000"/>
                <w:sz w:val="20"/>
                <w:szCs w:val="20"/>
              </w:rPr>
              <w:t>Priemerný rast zamestnanosti, podľa VZPS</w:t>
            </w:r>
          </w:p>
        </w:tc>
        <w:tc>
          <w:tcPr>
            <w:tcW w:w="878" w:type="dxa"/>
            <w:tcBorders>
              <w:top w:val="nil"/>
              <w:left w:val="nil"/>
              <w:bottom w:val="nil"/>
              <w:right w:val="nil"/>
            </w:tcBorders>
            <w:shd w:val="clear" w:color="auto" w:fill="auto"/>
            <w:noWrap/>
            <w:vAlign w:val="center"/>
            <w:hideMark/>
          </w:tcPr>
          <w:p w14:paraId="6B583096"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14CEB25" w14:textId="77777777" w:rsidR="00204588" w:rsidRPr="00887108" w:rsidRDefault="00204588" w:rsidP="00204588">
            <w:pPr>
              <w:jc w:val="center"/>
              <w:rPr>
                <w:bCs/>
                <w:color w:val="000000"/>
                <w:sz w:val="20"/>
                <w:szCs w:val="18"/>
              </w:rPr>
            </w:pPr>
            <w:r w:rsidRPr="00887108">
              <w:rPr>
                <w:color w:val="000000"/>
                <w:sz w:val="18"/>
                <w:szCs w:val="18"/>
              </w:rPr>
              <w:t>1,4</w:t>
            </w:r>
          </w:p>
        </w:tc>
        <w:tc>
          <w:tcPr>
            <w:tcW w:w="548" w:type="dxa"/>
            <w:tcBorders>
              <w:top w:val="nil"/>
              <w:left w:val="nil"/>
              <w:bottom w:val="nil"/>
              <w:right w:val="nil"/>
            </w:tcBorders>
            <w:shd w:val="clear" w:color="auto" w:fill="auto"/>
            <w:noWrap/>
            <w:vAlign w:val="center"/>
            <w:hideMark/>
          </w:tcPr>
          <w:p w14:paraId="6EE5BFA2" w14:textId="77777777" w:rsidR="00204588" w:rsidRPr="00887108" w:rsidRDefault="00204588" w:rsidP="00204588">
            <w:pPr>
              <w:jc w:val="center"/>
              <w:rPr>
                <w:bCs/>
                <w:color w:val="000000"/>
                <w:sz w:val="20"/>
                <w:szCs w:val="18"/>
              </w:rPr>
            </w:pPr>
            <w:r w:rsidRPr="00887108">
              <w:rPr>
                <w:color w:val="000000"/>
                <w:sz w:val="18"/>
                <w:szCs w:val="18"/>
              </w:rPr>
              <w:t>0,7</w:t>
            </w:r>
          </w:p>
        </w:tc>
        <w:tc>
          <w:tcPr>
            <w:tcW w:w="523" w:type="dxa"/>
            <w:tcBorders>
              <w:top w:val="nil"/>
              <w:left w:val="nil"/>
              <w:bottom w:val="nil"/>
              <w:right w:val="nil"/>
            </w:tcBorders>
            <w:shd w:val="clear" w:color="auto" w:fill="auto"/>
            <w:noWrap/>
            <w:vAlign w:val="center"/>
            <w:hideMark/>
          </w:tcPr>
          <w:p w14:paraId="7EF597D8" w14:textId="77777777" w:rsidR="00204588" w:rsidRPr="00887108" w:rsidRDefault="00204588" w:rsidP="00204588">
            <w:pPr>
              <w:jc w:val="center"/>
              <w:rPr>
                <w:bCs/>
                <w:color w:val="000000"/>
                <w:sz w:val="20"/>
                <w:szCs w:val="18"/>
              </w:rPr>
            </w:pPr>
            <w:r w:rsidRPr="00887108">
              <w:rPr>
                <w:color w:val="000000"/>
                <w:sz w:val="18"/>
                <w:szCs w:val="18"/>
              </w:rPr>
              <w:t>-3,5</w:t>
            </w:r>
          </w:p>
        </w:tc>
        <w:tc>
          <w:tcPr>
            <w:tcW w:w="551" w:type="dxa"/>
            <w:tcBorders>
              <w:top w:val="nil"/>
              <w:left w:val="nil"/>
              <w:bottom w:val="nil"/>
              <w:right w:val="nil"/>
            </w:tcBorders>
            <w:shd w:val="clear" w:color="auto" w:fill="auto"/>
            <w:noWrap/>
            <w:vAlign w:val="center"/>
            <w:hideMark/>
          </w:tcPr>
          <w:p w14:paraId="2ECF2C2F" w14:textId="77777777" w:rsidR="00204588" w:rsidRPr="00887108" w:rsidRDefault="00204588" w:rsidP="00204588">
            <w:pPr>
              <w:jc w:val="center"/>
              <w:rPr>
                <w:bCs/>
                <w:color w:val="000000"/>
                <w:sz w:val="20"/>
                <w:szCs w:val="18"/>
              </w:rPr>
            </w:pPr>
            <w:r w:rsidRPr="00887108">
              <w:rPr>
                <w:color w:val="000000"/>
                <w:sz w:val="18"/>
                <w:szCs w:val="18"/>
              </w:rPr>
              <w:t>1,5</w:t>
            </w:r>
          </w:p>
        </w:tc>
        <w:tc>
          <w:tcPr>
            <w:tcW w:w="551" w:type="dxa"/>
            <w:tcBorders>
              <w:top w:val="nil"/>
              <w:left w:val="nil"/>
              <w:bottom w:val="nil"/>
              <w:right w:val="nil"/>
            </w:tcBorders>
            <w:shd w:val="clear" w:color="auto" w:fill="auto"/>
            <w:noWrap/>
            <w:vAlign w:val="center"/>
            <w:hideMark/>
          </w:tcPr>
          <w:p w14:paraId="5CDEE482" w14:textId="77777777" w:rsidR="00204588" w:rsidRPr="00887108" w:rsidRDefault="00204588" w:rsidP="00204588">
            <w:pPr>
              <w:jc w:val="center"/>
              <w:rPr>
                <w:bCs/>
                <w:color w:val="000000"/>
                <w:sz w:val="20"/>
                <w:szCs w:val="18"/>
              </w:rPr>
            </w:pPr>
            <w:r w:rsidRPr="00887108">
              <w:rPr>
                <w:color w:val="000000"/>
                <w:sz w:val="18"/>
                <w:szCs w:val="18"/>
              </w:rPr>
              <w:t>1,0</w:t>
            </w:r>
          </w:p>
        </w:tc>
        <w:tc>
          <w:tcPr>
            <w:tcW w:w="551" w:type="dxa"/>
            <w:tcBorders>
              <w:top w:val="nil"/>
              <w:left w:val="nil"/>
              <w:bottom w:val="nil"/>
              <w:right w:val="nil"/>
            </w:tcBorders>
            <w:shd w:val="clear" w:color="auto" w:fill="auto"/>
            <w:noWrap/>
            <w:vAlign w:val="center"/>
            <w:hideMark/>
          </w:tcPr>
          <w:p w14:paraId="6DF13C78" w14:textId="77777777" w:rsidR="00204588" w:rsidRPr="00887108" w:rsidRDefault="00204588" w:rsidP="00204588">
            <w:pPr>
              <w:jc w:val="center"/>
              <w:rPr>
                <w:bCs/>
                <w:color w:val="000000"/>
                <w:sz w:val="20"/>
                <w:szCs w:val="18"/>
              </w:rPr>
            </w:pPr>
            <w:r w:rsidRPr="00887108">
              <w:rPr>
                <w:color w:val="000000"/>
                <w:sz w:val="18"/>
                <w:szCs w:val="18"/>
              </w:rPr>
              <w:t>0,2</w:t>
            </w:r>
          </w:p>
        </w:tc>
      </w:tr>
      <w:tr w:rsidR="00204588" w:rsidRPr="00887108" w14:paraId="22A8C788"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3D6B79FB"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11</w:t>
            </w:r>
          </w:p>
        </w:tc>
        <w:tc>
          <w:tcPr>
            <w:tcW w:w="4533" w:type="dxa"/>
            <w:tcBorders>
              <w:top w:val="nil"/>
              <w:left w:val="nil"/>
              <w:bottom w:val="nil"/>
              <w:right w:val="nil"/>
            </w:tcBorders>
            <w:shd w:val="clear" w:color="auto" w:fill="auto"/>
            <w:vAlign w:val="center"/>
            <w:hideMark/>
          </w:tcPr>
          <w:p w14:paraId="5F335551" w14:textId="77777777" w:rsidR="00204588" w:rsidRPr="00887108" w:rsidRDefault="00204588" w:rsidP="00204588">
            <w:pPr>
              <w:rPr>
                <w:rFonts w:cs="Times New Roman"/>
                <w:color w:val="000000"/>
                <w:sz w:val="20"/>
                <w:szCs w:val="20"/>
              </w:rPr>
            </w:pPr>
            <w:r w:rsidRPr="00887108">
              <w:rPr>
                <w:rFonts w:cs="Arial"/>
                <w:color w:val="000000"/>
                <w:sz w:val="20"/>
                <w:szCs w:val="20"/>
              </w:rPr>
              <w:t>Priemerný rast zamestnanosti, podľa ESA 2010</w:t>
            </w:r>
          </w:p>
        </w:tc>
        <w:tc>
          <w:tcPr>
            <w:tcW w:w="878" w:type="dxa"/>
            <w:tcBorders>
              <w:top w:val="nil"/>
              <w:left w:val="nil"/>
              <w:bottom w:val="nil"/>
              <w:right w:val="nil"/>
            </w:tcBorders>
            <w:shd w:val="clear" w:color="auto" w:fill="auto"/>
            <w:noWrap/>
            <w:vAlign w:val="center"/>
            <w:hideMark/>
          </w:tcPr>
          <w:p w14:paraId="4F5CFB09"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D1776B7" w14:textId="77777777" w:rsidR="00204588" w:rsidRPr="00887108" w:rsidRDefault="00204588" w:rsidP="00204588">
            <w:pPr>
              <w:jc w:val="center"/>
              <w:rPr>
                <w:bCs/>
                <w:color w:val="000000"/>
                <w:sz w:val="20"/>
                <w:szCs w:val="18"/>
              </w:rPr>
            </w:pPr>
            <w:r w:rsidRPr="00887108">
              <w:rPr>
                <w:color w:val="000000"/>
                <w:sz w:val="18"/>
                <w:szCs w:val="18"/>
              </w:rPr>
              <w:t>2,0</w:t>
            </w:r>
          </w:p>
        </w:tc>
        <w:tc>
          <w:tcPr>
            <w:tcW w:w="548" w:type="dxa"/>
            <w:tcBorders>
              <w:top w:val="nil"/>
              <w:left w:val="nil"/>
              <w:bottom w:val="nil"/>
              <w:right w:val="nil"/>
            </w:tcBorders>
            <w:shd w:val="clear" w:color="auto" w:fill="auto"/>
            <w:noWrap/>
            <w:vAlign w:val="center"/>
            <w:hideMark/>
          </w:tcPr>
          <w:p w14:paraId="48321A47" w14:textId="77777777" w:rsidR="00204588" w:rsidRPr="00887108" w:rsidRDefault="00204588" w:rsidP="00204588">
            <w:pPr>
              <w:jc w:val="center"/>
              <w:rPr>
                <w:bCs/>
                <w:color w:val="000000"/>
                <w:sz w:val="20"/>
                <w:szCs w:val="18"/>
              </w:rPr>
            </w:pPr>
            <w:r w:rsidRPr="00887108">
              <w:rPr>
                <w:color w:val="000000"/>
                <w:sz w:val="18"/>
                <w:szCs w:val="18"/>
              </w:rPr>
              <w:t>1,2</w:t>
            </w:r>
          </w:p>
        </w:tc>
        <w:tc>
          <w:tcPr>
            <w:tcW w:w="523" w:type="dxa"/>
            <w:tcBorders>
              <w:top w:val="nil"/>
              <w:left w:val="nil"/>
              <w:bottom w:val="nil"/>
              <w:right w:val="nil"/>
            </w:tcBorders>
            <w:shd w:val="clear" w:color="auto" w:fill="auto"/>
            <w:noWrap/>
            <w:vAlign w:val="center"/>
            <w:hideMark/>
          </w:tcPr>
          <w:p w14:paraId="452700CA" w14:textId="77777777" w:rsidR="00204588" w:rsidRPr="00887108" w:rsidRDefault="00204588" w:rsidP="00204588">
            <w:pPr>
              <w:jc w:val="center"/>
              <w:rPr>
                <w:bCs/>
                <w:color w:val="000000"/>
                <w:sz w:val="20"/>
                <w:szCs w:val="18"/>
              </w:rPr>
            </w:pPr>
            <w:r w:rsidRPr="00887108">
              <w:rPr>
                <w:color w:val="000000"/>
                <w:sz w:val="18"/>
                <w:szCs w:val="18"/>
              </w:rPr>
              <w:t>-3,6</w:t>
            </w:r>
          </w:p>
        </w:tc>
        <w:tc>
          <w:tcPr>
            <w:tcW w:w="551" w:type="dxa"/>
            <w:tcBorders>
              <w:top w:val="nil"/>
              <w:left w:val="nil"/>
              <w:bottom w:val="nil"/>
              <w:right w:val="nil"/>
            </w:tcBorders>
            <w:shd w:val="clear" w:color="auto" w:fill="auto"/>
            <w:noWrap/>
            <w:vAlign w:val="center"/>
            <w:hideMark/>
          </w:tcPr>
          <w:p w14:paraId="04562DE9" w14:textId="77777777" w:rsidR="00204588" w:rsidRPr="00887108" w:rsidRDefault="00204588" w:rsidP="00204588">
            <w:pPr>
              <w:jc w:val="center"/>
              <w:rPr>
                <w:bCs/>
                <w:color w:val="000000"/>
                <w:sz w:val="20"/>
                <w:szCs w:val="18"/>
              </w:rPr>
            </w:pPr>
            <w:r w:rsidRPr="00887108">
              <w:rPr>
                <w:color w:val="000000"/>
                <w:sz w:val="18"/>
                <w:szCs w:val="18"/>
              </w:rPr>
              <w:t>1,6</w:t>
            </w:r>
          </w:p>
        </w:tc>
        <w:tc>
          <w:tcPr>
            <w:tcW w:w="551" w:type="dxa"/>
            <w:tcBorders>
              <w:top w:val="nil"/>
              <w:left w:val="nil"/>
              <w:bottom w:val="nil"/>
              <w:right w:val="nil"/>
            </w:tcBorders>
            <w:shd w:val="clear" w:color="auto" w:fill="auto"/>
            <w:noWrap/>
            <w:vAlign w:val="center"/>
            <w:hideMark/>
          </w:tcPr>
          <w:p w14:paraId="792C0607" w14:textId="77777777" w:rsidR="00204588" w:rsidRPr="00887108" w:rsidRDefault="00204588" w:rsidP="00204588">
            <w:pPr>
              <w:jc w:val="center"/>
              <w:rPr>
                <w:bCs/>
                <w:color w:val="000000"/>
                <w:sz w:val="20"/>
                <w:szCs w:val="18"/>
              </w:rPr>
            </w:pPr>
            <w:r w:rsidRPr="00887108">
              <w:rPr>
                <w:color w:val="000000"/>
                <w:sz w:val="18"/>
                <w:szCs w:val="18"/>
              </w:rPr>
              <w:t>1,0</w:t>
            </w:r>
          </w:p>
        </w:tc>
        <w:tc>
          <w:tcPr>
            <w:tcW w:w="551" w:type="dxa"/>
            <w:tcBorders>
              <w:top w:val="nil"/>
              <w:left w:val="nil"/>
              <w:bottom w:val="nil"/>
              <w:right w:val="nil"/>
            </w:tcBorders>
            <w:shd w:val="clear" w:color="auto" w:fill="auto"/>
            <w:noWrap/>
            <w:vAlign w:val="center"/>
            <w:hideMark/>
          </w:tcPr>
          <w:p w14:paraId="28F03833" w14:textId="77777777" w:rsidR="00204588" w:rsidRPr="00887108" w:rsidRDefault="00204588" w:rsidP="00204588">
            <w:pPr>
              <w:jc w:val="center"/>
              <w:rPr>
                <w:bCs/>
                <w:color w:val="000000"/>
                <w:sz w:val="20"/>
                <w:szCs w:val="18"/>
              </w:rPr>
            </w:pPr>
            <w:r w:rsidRPr="00887108">
              <w:rPr>
                <w:color w:val="000000"/>
                <w:sz w:val="18"/>
                <w:szCs w:val="18"/>
              </w:rPr>
              <w:t>0,3</w:t>
            </w:r>
          </w:p>
        </w:tc>
      </w:tr>
      <w:tr w:rsidR="00204588" w:rsidRPr="00887108" w14:paraId="47DDDD15"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3FFB7F6D"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12</w:t>
            </w:r>
          </w:p>
        </w:tc>
        <w:tc>
          <w:tcPr>
            <w:tcW w:w="4533" w:type="dxa"/>
            <w:tcBorders>
              <w:top w:val="nil"/>
              <w:left w:val="nil"/>
              <w:bottom w:val="nil"/>
              <w:right w:val="nil"/>
            </w:tcBorders>
            <w:shd w:val="clear" w:color="auto" w:fill="auto"/>
            <w:vAlign w:val="center"/>
            <w:hideMark/>
          </w:tcPr>
          <w:p w14:paraId="2E545C54" w14:textId="77777777" w:rsidR="00204588" w:rsidRPr="00887108" w:rsidRDefault="00204588" w:rsidP="00204588">
            <w:pPr>
              <w:rPr>
                <w:rFonts w:cs="Times New Roman"/>
                <w:color w:val="000000"/>
                <w:sz w:val="20"/>
                <w:szCs w:val="20"/>
              </w:rPr>
            </w:pPr>
            <w:r w:rsidRPr="00887108">
              <w:rPr>
                <w:rFonts w:cs="Arial"/>
                <w:color w:val="000000"/>
                <w:sz w:val="20"/>
                <w:szCs w:val="20"/>
              </w:rPr>
              <w:t>Priemerná miera nezamestnanosti, podľa VZPS</w:t>
            </w:r>
          </w:p>
        </w:tc>
        <w:tc>
          <w:tcPr>
            <w:tcW w:w="878" w:type="dxa"/>
            <w:tcBorders>
              <w:top w:val="nil"/>
              <w:left w:val="nil"/>
              <w:bottom w:val="nil"/>
              <w:right w:val="nil"/>
            </w:tcBorders>
            <w:shd w:val="clear" w:color="auto" w:fill="auto"/>
            <w:noWrap/>
            <w:vAlign w:val="center"/>
            <w:hideMark/>
          </w:tcPr>
          <w:p w14:paraId="7566D349"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04C49062" w14:textId="77777777" w:rsidR="00204588" w:rsidRPr="00887108" w:rsidRDefault="00204588" w:rsidP="00204588">
            <w:pPr>
              <w:jc w:val="center"/>
              <w:rPr>
                <w:bCs/>
                <w:color w:val="000000"/>
                <w:sz w:val="20"/>
                <w:szCs w:val="18"/>
              </w:rPr>
            </w:pPr>
            <w:r w:rsidRPr="00887108">
              <w:rPr>
                <w:color w:val="000000"/>
                <w:sz w:val="18"/>
                <w:szCs w:val="18"/>
              </w:rPr>
              <w:t>6,5</w:t>
            </w:r>
          </w:p>
        </w:tc>
        <w:tc>
          <w:tcPr>
            <w:tcW w:w="548" w:type="dxa"/>
            <w:tcBorders>
              <w:top w:val="nil"/>
              <w:left w:val="nil"/>
              <w:bottom w:val="nil"/>
              <w:right w:val="nil"/>
            </w:tcBorders>
            <w:shd w:val="clear" w:color="auto" w:fill="auto"/>
            <w:noWrap/>
            <w:vAlign w:val="center"/>
            <w:hideMark/>
          </w:tcPr>
          <w:p w14:paraId="03E3B2A2" w14:textId="77777777" w:rsidR="00204588" w:rsidRPr="00887108" w:rsidRDefault="00204588" w:rsidP="00204588">
            <w:pPr>
              <w:jc w:val="center"/>
              <w:rPr>
                <w:bCs/>
                <w:color w:val="000000"/>
                <w:sz w:val="20"/>
                <w:szCs w:val="18"/>
              </w:rPr>
            </w:pPr>
            <w:r w:rsidRPr="00887108">
              <w:rPr>
                <w:color w:val="000000"/>
                <w:sz w:val="18"/>
                <w:szCs w:val="18"/>
              </w:rPr>
              <w:t>5,8</w:t>
            </w:r>
          </w:p>
        </w:tc>
        <w:tc>
          <w:tcPr>
            <w:tcW w:w="523" w:type="dxa"/>
            <w:tcBorders>
              <w:top w:val="nil"/>
              <w:left w:val="nil"/>
              <w:bottom w:val="nil"/>
              <w:right w:val="nil"/>
            </w:tcBorders>
            <w:shd w:val="clear" w:color="auto" w:fill="auto"/>
            <w:noWrap/>
            <w:vAlign w:val="center"/>
            <w:hideMark/>
          </w:tcPr>
          <w:p w14:paraId="514898B6" w14:textId="77777777" w:rsidR="00204588" w:rsidRPr="00887108" w:rsidRDefault="00204588" w:rsidP="00204588">
            <w:pPr>
              <w:jc w:val="center"/>
              <w:rPr>
                <w:bCs/>
                <w:color w:val="000000"/>
                <w:sz w:val="20"/>
                <w:szCs w:val="18"/>
              </w:rPr>
            </w:pPr>
            <w:r w:rsidRPr="00887108">
              <w:rPr>
                <w:color w:val="000000"/>
                <w:sz w:val="18"/>
                <w:szCs w:val="18"/>
              </w:rPr>
              <w:t>8,8</w:t>
            </w:r>
          </w:p>
        </w:tc>
        <w:tc>
          <w:tcPr>
            <w:tcW w:w="551" w:type="dxa"/>
            <w:tcBorders>
              <w:top w:val="nil"/>
              <w:left w:val="nil"/>
              <w:bottom w:val="nil"/>
              <w:right w:val="nil"/>
            </w:tcBorders>
            <w:shd w:val="clear" w:color="auto" w:fill="auto"/>
            <w:noWrap/>
            <w:vAlign w:val="center"/>
            <w:hideMark/>
          </w:tcPr>
          <w:p w14:paraId="6917703B" w14:textId="77777777" w:rsidR="00204588" w:rsidRPr="00887108" w:rsidRDefault="00204588" w:rsidP="00204588">
            <w:pPr>
              <w:jc w:val="center"/>
              <w:rPr>
                <w:bCs/>
                <w:color w:val="000000"/>
                <w:sz w:val="20"/>
                <w:szCs w:val="18"/>
              </w:rPr>
            </w:pPr>
            <w:r w:rsidRPr="00887108">
              <w:rPr>
                <w:color w:val="000000"/>
                <w:sz w:val="18"/>
                <w:szCs w:val="18"/>
              </w:rPr>
              <w:t>7,7</w:t>
            </w:r>
          </w:p>
        </w:tc>
        <w:tc>
          <w:tcPr>
            <w:tcW w:w="551" w:type="dxa"/>
            <w:tcBorders>
              <w:top w:val="nil"/>
              <w:left w:val="nil"/>
              <w:bottom w:val="nil"/>
              <w:right w:val="nil"/>
            </w:tcBorders>
            <w:shd w:val="clear" w:color="auto" w:fill="auto"/>
            <w:noWrap/>
            <w:vAlign w:val="center"/>
            <w:hideMark/>
          </w:tcPr>
          <w:p w14:paraId="433979C6" w14:textId="77777777" w:rsidR="00204588" w:rsidRPr="00887108" w:rsidRDefault="00204588" w:rsidP="00204588">
            <w:pPr>
              <w:jc w:val="center"/>
              <w:rPr>
                <w:bCs/>
                <w:color w:val="000000"/>
                <w:sz w:val="20"/>
                <w:szCs w:val="18"/>
              </w:rPr>
            </w:pPr>
            <w:r w:rsidRPr="00887108">
              <w:rPr>
                <w:color w:val="000000"/>
                <w:sz w:val="18"/>
                <w:szCs w:val="18"/>
              </w:rPr>
              <w:t>6,8</w:t>
            </w:r>
          </w:p>
        </w:tc>
        <w:tc>
          <w:tcPr>
            <w:tcW w:w="551" w:type="dxa"/>
            <w:tcBorders>
              <w:top w:val="nil"/>
              <w:left w:val="nil"/>
              <w:bottom w:val="nil"/>
              <w:right w:val="nil"/>
            </w:tcBorders>
            <w:shd w:val="clear" w:color="auto" w:fill="auto"/>
            <w:noWrap/>
            <w:vAlign w:val="center"/>
            <w:hideMark/>
          </w:tcPr>
          <w:p w14:paraId="0F0181D1" w14:textId="77777777" w:rsidR="00204588" w:rsidRPr="00887108" w:rsidRDefault="00204588" w:rsidP="00204588">
            <w:pPr>
              <w:jc w:val="center"/>
              <w:rPr>
                <w:bCs/>
                <w:color w:val="000000"/>
                <w:sz w:val="20"/>
                <w:szCs w:val="18"/>
              </w:rPr>
            </w:pPr>
            <w:r w:rsidRPr="00887108">
              <w:rPr>
                <w:color w:val="000000"/>
                <w:sz w:val="18"/>
                <w:szCs w:val="18"/>
              </w:rPr>
              <w:t>6,4</w:t>
            </w:r>
          </w:p>
        </w:tc>
      </w:tr>
      <w:tr w:rsidR="00204588" w:rsidRPr="00887108" w14:paraId="7B18D094"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25774446"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13</w:t>
            </w:r>
          </w:p>
        </w:tc>
        <w:tc>
          <w:tcPr>
            <w:tcW w:w="4533" w:type="dxa"/>
            <w:tcBorders>
              <w:top w:val="nil"/>
              <w:left w:val="nil"/>
              <w:bottom w:val="nil"/>
              <w:right w:val="nil"/>
            </w:tcBorders>
            <w:shd w:val="clear" w:color="auto" w:fill="auto"/>
            <w:vAlign w:val="center"/>
            <w:hideMark/>
          </w:tcPr>
          <w:p w14:paraId="6B82FC81" w14:textId="77777777" w:rsidR="00204588" w:rsidRPr="00887108" w:rsidRDefault="00204588" w:rsidP="00204588">
            <w:pPr>
              <w:rPr>
                <w:rFonts w:cs="Times New Roman"/>
                <w:color w:val="000000"/>
                <w:sz w:val="20"/>
                <w:szCs w:val="20"/>
              </w:rPr>
            </w:pPr>
            <w:r w:rsidRPr="00887108">
              <w:rPr>
                <w:rFonts w:cs="Arial"/>
                <w:color w:val="000000"/>
                <w:sz w:val="20"/>
                <w:szCs w:val="20"/>
              </w:rPr>
              <w:t>Priemerná evidovaná miera nezamestnanosti</w:t>
            </w:r>
          </w:p>
        </w:tc>
        <w:tc>
          <w:tcPr>
            <w:tcW w:w="878" w:type="dxa"/>
            <w:tcBorders>
              <w:top w:val="nil"/>
              <w:left w:val="nil"/>
              <w:bottom w:val="nil"/>
              <w:right w:val="nil"/>
            </w:tcBorders>
            <w:shd w:val="clear" w:color="auto" w:fill="auto"/>
            <w:noWrap/>
            <w:vAlign w:val="center"/>
            <w:hideMark/>
          </w:tcPr>
          <w:p w14:paraId="1B1DE138"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6455DAA9" w14:textId="77777777" w:rsidR="00204588" w:rsidRPr="00887108" w:rsidRDefault="00204588" w:rsidP="00204588">
            <w:pPr>
              <w:jc w:val="center"/>
              <w:rPr>
                <w:bCs/>
                <w:color w:val="000000"/>
                <w:sz w:val="20"/>
                <w:szCs w:val="18"/>
              </w:rPr>
            </w:pPr>
            <w:r w:rsidRPr="00887108">
              <w:rPr>
                <w:color w:val="000000"/>
                <w:sz w:val="18"/>
                <w:szCs w:val="18"/>
              </w:rPr>
              <w:t>5,4</w:t>
            </w:r>
          </w:p>
        </w:tc>
        <w:tc>
          <w:tcPr>
            <w:tcW w:w="548" w:type="dxa"/>
            <w:tcBorders>
              <w:top w:val="nil"/>
              <w:left w:val="nil"/>
              <w:bottom w:val="nil"/>
              <w:right w:val="nil"/>
            </w:tcBorders>
            <w:shd w:val="clear" w:color="auto" w:fill="auto"/>
            <w:noWrap/>
            <w:vAlign w:val="center"/>
            <w:hideMark/>
          </w:tcPr>
          <w:p w14:paraId="4CB283DF" w14:textId="77777777" w:rsidR="00204588" w:rsidRPr="00887108" w:rsidRDefault="00204588" w:rsidP="00204588">
            <w:pPr>
              <w:jc w:val="center"/>
              <w:rPr>
                <w:bCs/>
                <w:color w:val="000000"/>
                <w:sz w:val="20"/>
                <w:szCs w:val="18"/>
              </w:rPr>
            </w:pPr>
            <w:r w:rsidRPr="00887108">
              <w:rPr>
                <w:color w:val="000000"/>
                <w:sz w:val="18"/>
                <w:szCs w:val="18"/>
              </w:rPr>
              <w:t>5,0</w:t>
            </w:r>
          </w:p>
        </w:tc>
        <w:tc>
          <w:tcPr>
            <w:tcW w:w="523" w:type="dxa"/>
            <w:tcBorders>
              <w:top w:val="nil"/>
              <w:left w:val="nil"/>
              <w:bottom w:val="nil"/>
              <w:right w:val="nil"/>
            </w:tcBorders>
            <w:shd w:val="clear" w:color="auto" w:fill="auto"/>
            <w:noWrap/>
            <w:vAlign w:val="center"/>
            <w:hideMark/>
          </w:tcPr>
          <w:p w14:paraId="7779F33A" w14:textId="77777777" w:rsidR="00204588" w:rsidRPr="00887108" w:rsidRDefault="00204588" w:rsidP="00204588">
            <w:pPr>
              <w:jc w:val="center"/>
              <w:rPr>
                <w:bCs/>
                <w:color w:val="000000"/>
                <w:sz w:val="20"/>
                <w:szCs w:val="18"/>
              </w:rPr>
            </w:pPr>
            <w:r w:rsidRPr="00887108">
              <w:rPr>
                <w:color w:val="000000"/>
                <w:sz w:val="18"/>
                <w:szCs w:val="18"/>
              </w:rPr>
              <w:t>7,7</w:t>
            </w:r>
          </w:p>
        </w:tc>
        <w:tc>
          <w:tcPr>
            <w:tcW w:w="551" w:type="dxa"/>
            <w:tcBorders>
              <w:top w:val="nil"/>
              <w:left w:val="nil"/>
              <w:bottom w:val="nil"/>
              <w:right w:val="nil"/>
            </w:tcBorders>
            <w:shd w:val="clear" w:color="auto" w:fill="auto"/>
            <w:noWrap/>
            <w:vAlign w:val="center"/>
            <w:hideMark/>
          </w:tcPr>
          <w:p w14:paraId="1C74E385" w14:textId="77777777" w:rsidR="00204588" w:rsidRPr="00887108" w:rsidRDefault="00204588" w:rsidP="00204588">
            <w:pPr>
              <w:jc w:val="center"/>
              <w:rPr>
                <w:bCs/>
                <w:color w:val="000000"/>
                <w:sz w:val="20"/>
                <w:szCs w:val="18"/>
              </w:rPr>
            </w:pPr>
            <w:r w:rsidRPr="00887108">
              <w:rPr>
                <w:color w:val="000000"/>
                <w:sz w:val="18"/>
                <w:szCs w:val="18"/>
              </w:rPr>
              <w:t>6,7</w:t>
            </w:r>
          </w:p>
        </w:tc>
        <w:tc>
          <w:tcPr>
            <w:tcW w:w="551" w:type="dxa"/>
            <w:tcBorders>
              <w:top w:val="nil"/>
              <w:left w:val="nil"/>
              <w:bottom w:val="nil"/>
              <w:right w:val="nil"/>
            </w:tcBorders>
            <w:shd w:val="clear" w:color="auto" w:fill="auto"/>
            <w:noWrap/>
            <w:vAlign w:val="center"/>
            <w:hideMark/>
          </w:tcPr>
          <w:p w14:paraId="4B492B13" w14:textId="77777777" w:rsidR="00204588" w:rsidRPr="00887108" w:rsidRDefault="00204588" w:rsidP="00204588">
            <w:pPr>
              <w:jc w:val="center"/>
              <w:rPr>
                <w:bCs/>
                <w:color w:val="000000"/>
                <w:sz w:val="20"/>
                <w:szCs w:val="18"/>
              </w:rPr>
            </w:pPr>
            <w:r w:rsidRPr="00887108">
              <w:rPr>
                <w:color w:val="000000"/>
                <w:sz w:val="18"/>
                <w:szCs w:val="18"/>
              </w:rPr>
              <w:t>5,9</w:t>
            </w:r>
          </w:p>
        </w:tc>
        <w:tc>
          <w:tcPr>
            <w:tcW w:w="551" w:type="dxa"/>
            <w:tcBorders>
              <w:top w:val="nil"/>
              <w:left w:val="nil"/>
              <w:bottom w:val="nil"/>
              <w:right w:val="nil"/>
            </w:tcBorders>
            <w:shd w:val="clear" w:color="auto" w:fill="auto"/>
            <w:noWrap/>
            <w:vAlign w:val="center"/>
            <w:hideMark/>
          </w:tcPr>
          <w:p w14:paraId="510655DD" w14:textId="77777777" w:rsidR="00204588" w:rsidRPr="00887108" w:rsidRDefault="00204588" w:rsidP="00204588">
            <w:pPr>
              <w:jc w:val="center"/>
              <w:rPr>
                <w:bCs/>
                <w:color w:val="000000"/>
                <w:sz w:val="20"/>
                <w:szCs w:val="18"/>
              </w:rPr>
            </w:pPr>
            <w:r w:rsidRPr="00887108">
              <w:rPr>
                <w:color w:val="000000"/>
                <w:sz w:val="18"/>
                <w:szCs w:val="18"/>
              </w:rPr>
              <w:t>5,5</w:t>
            </w:r>
          </w:p>
        </w:tc>
      </w:tr>
      <w:tr w:rsidR="00204588" w:rsidRPr="00887108" w14:paraId="5FF285AE" w14:textId="77777777" w:rsidTr="00204588">
        <w:trPr>
          <w:trHeight w:val="272"/>
          <w:jc w:val="center"/>
        </w:trPr>
        <w:tc>
          <w:tcPr>
            <w:tcW w:w="478" w:type="dxa"/>
            <w:tcBorders>
              <w:top w:val="nil"/>
              <w:left w:val="nil"/>
              <w:bottom w:val="nil"/>
              <w:right w:val="nil"/>
            </w:tcBorders>
            <w:shd w:val="clear" w:color="auto" w:fill="auto"/>
            <w:noWrap/>
            <w:vAlign w:val="center"/>
            <w:hideMark/>
          </w:tcPr>
          <w:p w14:paraId="0206C10B"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14</w:t>
            </w:r>
          </w:p>
        </w:tc>
        <w:tc>
          <w:tcPr>
            <w:tcW w:w="4533" w:type="dxa"/>
            <w:tcBorders>
              <w:top w:val="nil"/>
              <w:left w:val="nil"/>
              <w:bottom w:val="nil"/>
              <w:right w:val="nil"/>
            </w:tcBorders>
            <w:shd w:val="clear" w:color="auto" w:fill="auto"/>
            <w:vAlign w:val="center"/>
            <w:hideMark/>
          </w:tcPr>
          <w:p w14:paraId="58287F76" w14:textId="77777777" w:rsidR="00204588" w:rsidRPr="00887108" w:rsidRDefault="00204588" w:rsidP="00204588">
            <w:pPr>
              <w:rPr>
                <w:rFonts w:cs="Times New Roman"/>
                <w:color w:val="000000"/>
                <w:sz w:val="20"/>
                <w:szCs w:val="20"/>
              </w:rPr>
            </w:pPr>
            <w:r w:rsidRPr="00887108">
              <w:rPr>
                <w:rFonts w:cs="Arial"/>
                <w:color w:val="000000"/>
                <w:sz w:val="20"/>
                <w:szCs w:val="20"/>
              </w:rPr>
              <w:t>Harmonizovaný index spotrebiteľských cien (HICP)</w:t>
            </w:r>
          </w:p>
        </w:tc>
        <w:tc>
          <w:tcPr>
            <w:tcW w:w="878" w:type="dxa"/>
            <w:tcBorders>
              <w:top w:val="nil"/>
              <w:left w:val="nil"/>
              <w:bottom w:val="nil"/>
              <w:right w:val="nil"/>
            </w:tcBorders>
            <w:shd w:val="clear" w:color="auto" w:fill="auto"/>
            <w:noWrap/>
            <w:vAlign w:val="center"/>
            <w:hideMark/>
          </w:tcPr>
          <w:p w14:paraId="24AEC21D"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5F59A0C2" w14:textId="77777777" w:rsidR="00204588" w:rsidRPr="00887108" w:rsidRDefault="00204588" w:rsidP="00204588">
            <w:pPr>
              <w:jc w:val="center"/>
              <w:rPr>
                <w:bCs/>
                <w:color w:val="000000"/>
                <w:sz w:val="20"/>
                <w:szCs w:val="18"/>
              </w:rPr>
            </w:pPr>
            <w:r w:rsidRPr="00887108">
              <w:rPr>
                <w:color w:val="000000"/>
                <w:sz w:val="18"/>
                <w:szCs w:val="18"/>
              </w:rPr>
              <w:t>2,5</w:t>
            </w:r>
          </w:p>
        </w:tc>
        <w:tc>
          <w:tcPr>
            <w:tcW w:w="548" w:type="dxa"/>
            <w:tcBorders>
              <w:top w:val="nil"/>
              <w:left w:val="nil"/>
              <w:bottom w:val="nil"/>
              <w:right w:val="nil"/>
            </w:tcBorders>
            <w:shd w:val="clear" w:color="auto" w:fill="auto"/>
            <w:noWrap/>
            <w:vAlign w:val="center"/>
            <w:hideMark/>
          </w:tcPr>
          <w:p w14:paraId="0C792499" w14:textId="77777777" w:rsidR="00204588" w:rsidRPr="00887108" w:rsidRDefault="00204588" w:rsidP="00204588">
            <w:pPr>
              <w:jc w:val="center"/>
              <w:rPr>
                <w:bCs/>
                <w:color w:val="000000"/>
                <w:sz w:val="20"/>
                <w:szCs w:val="18"/>
              </w:rPr>
            </w:pPr>
            <w:r w:rsidRPr="00887108">
              <w:rPr>
                <w:color w:val="000000"/>
                <w:sz w:val="18"/>
                <w:szCs w:val="18"/>
              </w:rPr>
              <w:t>2,8</w:t>
            </w:r>
          </w:p>
        </w:tc>
        <w:tc>
          <w:tcPr>
            <w:tcW w:w="523" w:type="dxa"/>
            <w:tcBorders>
              <w:top w:val="nil"/>
              <w:left w:val="nil"/>
              <w:bottom w:val="nil"/>
              <w:right w:val="nil"/>
            </w:tcBorders>
            <w:shd w:val="clear" w:color="auto" w:fill="auto"/>
            <w:noWrap/>
            <w:vAlign w:val="center"/>
            <w:hideMark/>
          </w:tcPr>
          <w:p w14:paraId="1E7DA733" w14:textId="77777777" w:rsidR="00204588" w:rsidRPr="00887108" w:rsidRDefault="00204588" w:rsidP="00204588">
            <w:pPr>
              <w:jc w:val="center"/>
              <w:rPr>
                <w:bCs/>
                <w:color w:val="000000"/>
                <w:sz w:val="20"/>
                <w:szCs w:val="18"/>
              </w:rPr>
            </w:pPr>
            <w:r w:rsidRPr="00887108">
              <w:rPr>
                <w:color w:val="000000"/>
                <w:sz w:val="18"/>
                <w:szCs w:val="18"/>
              </w:rPr>
              <w:t>1,7</w:t>
            </w:r>
          </w:p>
        </w:tc>
        <w:tc>
          <w:tcPr>
            <w:tcW w:w="551" w:type="dxa"/>
            <w:tcBorders>
              <w:top w:val="nil"/>
              <w:left w:val="nil"/>
              <w:bottom w:val="nil"/>
              <w:right w:val="nil"/>
            </w:tcBorders>
            <w:shd w:val="clear" w:color="auto" w:fill="auto"/>
            <w:noWrap/>
            <w:vAlign w:val="center"/>
            <w:hideMark/>
          </w:tcPr>
          <w:p w14:paraId="55840A0C" w14:textId="77777777" w:rsidR="00204588" w:rsidRPr="00887108" w:rsidRDefault="00204588" w:rsidP="00204588">
            <w:pPr>
              <w:jc w:val="center"/>
              <w:rPr>
                <w:bCs/>
                <w:color w:val="000000"/>
                <w:sz w:val="20"/>
                <w:szCs w:val="18"/>
              </w:rPr>
            </w:pPr>
            <w:r w:rsidRPr="00887108">
              <w:rPr>
                <w:color w:val="000000"/>
                <w:sz w:val="18"/>
                <w:szCs w:val="18"/>
              </w:rPr>
              <w:t>0,2</w:t>
            </w:r>
          </w:p>
        </w:tc>
        <w:tc>
          <w:tcPr>
            <w:tcW w:w="551" w:type="dxa"/>
            <w:tcBorders>
              <w:top w:val="nil"/>
              <w:left w:val="nil"/>
              <w:bottom w:val="nil"/>
              <w:right w:val="nil"/>
            </w:tcBorders>
            <w:shd w:val="clear" w:color="auto" w:fill="auto"/>
            <w:noWrap/>
            <w:vAlign w:val="center"/>
            <w:hideMark/>
          </w:tcPr>
          <w:p w14:paraId="458242E1" w14:textId="77777777" w:rsidR="00204588" w:rsidRPr="00887108" w:rsidRDefault="00204588" w:rsidP="00204588">
            <w:pPr>
              <w:jc w:val="center"/>
              <w:rPr>
                <w:bCs/>
                <w:color w:val="000000"/>
                <w:sz w:val="20"/>
                <w:szCs w:val="18"/>
              </w:rPr>
            </w:pPr>
            <w:r w:rsidRPr="00887108">
              <w:rPr>
                <w:color w:val="000000"/>
                <w:sz w:val="18"/>
                <w:szCs w:val="18"/>
              </w:rPr>
              <w:t>1,9</w:t>
            </w:r>
          </w:p>
        </w:tc>
        <w:tc>
          <w:tcPr>
            <w:tcW w:w="551" w:type="dxa"/>
            <w:tcBorders>
              <w:top w:val="nil"/>
              <w:left w:val="nil"/>
              <w:bottom w:val="nil"/>
              <w:right w:val="nil"/>
            </w:tcBorders>
            <w:shd w:val="clear" w:color="auto" w:fill="auto"/>
            <w:noWrap/>
            <w:vAlign w:val="center"/>
            <w:hideMark/>
          </w:tcPr>
          <w:p w14:paraId="314C8762" w14:textId="77777777" w:rsidR="00204588" w:rsidRPr="00887108" w:rsidRDefault="00204588" w:rsidP="00204588">
            <w:pPr>
              <w:jc w:val="center"/>
              <w:rPr>
                <w:bCs/>
                <w:color w:val="000000"/>
                <w:sz w:val="20"/>
                <w:szCs w:val="18"/>
              </w:rPr>
            </w:pPr>
            <w:r w:rsidRPr="00887108">
              <w:rPr>
                <w:color w:val="000000"/>
                <w:sz w:val="18"/>
                <w:szCs w:val="18"/>
              </w:rPr>
              <w:t>2,0</w:t>
            </w:r>
          </w:p>
        </w:tc>
      </w:tr>
      <w:tr w:rsidR="00204588" w:rsidRPr="00887108" w14:paraId="399DF20D" w14:textId="77777777" w:rsidTr="00204588">
        <w:trPr>
          <w:trHeight w:val="272"/>
          <w:jc w:val="center"/>
        </w:trPr>
        <w:tc>
          <w:tcPr>
            <w:tcW w:w="478" w:type="dxa"/>
            <w:tcBorders>
              <w:top w:val="nil"/>
              <w:left w:val="nil"/>
              <w:bottom w:val="single" w:sz="8" w:space="0" w:color="auto"/>
              <w:right w:val="nil"/>
            </w:tcBorders>
            <w:shd w:val="clear" w:color="auto" w:fill="auto"/>
            <w:noWrap/>
            <w:vAlign w:val="center"/>
            <w:hideMark/>
          </w:tcPr>
          <w:p w14:paraId="75FF3E32"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15</w:t>
            </w:r>
          </w:p>
        </w:tc>
        <w:tc>
          <w:tcPr>
            <w:tcW w:w="4533" w:type="dxa"/>
            <w:tcBorders>
              <w:top w:val="nil"/>
              <w:left w:val="nil"/>
              <w:bottom w:val="single" w:sz="8" w:space="0" w:color="auto"/>
              <w:right w:val="nil"/>
            </w:tcBorders>
            <w:shd w:val="clear" w:color="auto" w:fill="auto"/>
            <w:vAlign w:val="center"/>
            <w:hideMark/>
          </w:tcPr>
          <w:p w14:paraId="5C020A22" w14:textId="77777777" w:rsidR="00204588" w:rsidRPr="00887108" w:rsidRDefault="00204588" w:rsidP="00204588">
            <w:pPr>
              <w:rPr>
                <w:rFonts w:cs="Times New Roman"/>
                <w:color w:val="000000"/>
                <w:sz w:val="20"/>
                <w:szCs w:val="20"/>
              </w:rPr>
            </w:pPr>
            <w:r w:rsidRPr="00887108">
              <w:rPr>
                <w:rFonts w:cs="Arial"/>
                <w:color w:val="000000"/>
                <w:sz w:val="20"/>
                <w:szCs w:val="20"/>
              </w:rPr>
              <w:t>Bilancia bežného účtu (podiel na HDP)</w:t>
            </w:r>
          </w:p>
        </w:tc>
        <w:tc>
          <w:tcPr>
            <w:tcW w:w="878" w:type="dxa"/>
            <w:tcBorders>
              <w:top w:val="nil"/>
              <w:left w:val="nil"/>
              <w:bottom w:val="single" w:sz="8" w:space="0" w:color="auto"/>
              <w:right w:val="nil"/>
            </w:tcBorders>
            <w:shd w:val="clear" w:color="auto" w:fill="auto"/>
            <w:noWrap/>
            <w:vAlign w:val="center"/>
            <w:hideMark/>
          </w:tcPr>
          <w:p w14:paraId="554BB1DC" w14:textId="77777777" w:rsidR="00204588" w:rsidRPr="00887108" w:rsidRDefault="00204588" w:rsidP="00204588">
            <w:pPr>
              <w:jc w:val="center"/>
              <w:rPr>
                <w:rFonts w:cs="Times New Roman"/>
                <w:color w:val="000000"/>
                <w:sz w:val="20"/>
                <w:szCs w:val="20"/>
              </w:rPr>
            </w:pPr>
            <w:r w:rsidRPr="00887108">
              <w:rPr>
                <w:rFonts w:cs="Arial"/>
                <w:color w:val="000000"/>
                <w:sz w:val="20"/>
                <w:szCs w:val="20"/>
              </w:rPr>
              <w:t>%</w:t>
            </w:r>
          </w:p>
        </w:tc>
        <w:tc>
          <w:tcPr>
            <w:tcW w:w="548" w:type="dxa"/>
            <w:tcBorders>
              <w:top w:val="nil"/>
              <w:left w:val="nil"/>
              <w:bottom w:val="single" w:sz="8" w:space="0" w:color="auto"/>
              <w:right w:val="nil"/>
            </w:tcBorders>
            <w:shd w:val="clear" w:color="auto" w:fill="auto"/>
            <w:noWrap/>
            <w:vAlign w:val="center"/>
            <w:hideMark/>
          </w:tcPr>
          <w:p w14:paraId="53F33A42" w14:textId="77777777" w:rsidR="00204588" w:rsidRPr="00887108" w:rsidRDefault="00204588" w:rsidP="00204588">
            <w:pPr>
              <w:jc w:val="center"/>
              <w:rPr>
                <w:bCs/>
                <w:color w:val="000000"/>
                <w:sz w:val="20"/>
                <w:szCs w:val="18"/>
              </w:rPr>
            </w:pPr>
            <w:r w:rsidRPr="00887108">
              <w:rPr>
                <w:color w:val="000000"/>
                <w:sz w:val="18"/>
                <w:szCs w:val="18"/>
              </w:rPr>
              <w:t>-2,6</w:t>
            </w:r>
          </w:p>
        </w:tc>
        <w:tc>
          <w:tcPr>
            <w:tcW w:w="548" w:type="dxa"/>
            <w:tcBorders>
              <w:top w:val="nil"/>
              <w:left w:val="nil"/>
              <w:bottom w:val="single" w:sz="8" w:space="0" w:color="auto"/>
              <w:right w:val="nil"/>
            </w:tcBorders>
            <w:shd w:val="clear" w:color="auto" w:fill="auto"/>
            <w:noWrap/>
            <w:vAlign w:val="center"/>
            <w:hideMark/>
          </w:tcPr>
          <w:p w14:paraId="350EE10D" w14:textId="77777777" w:rsidR="00204588" w:rsidRPr="00887108" w:rsidRDefault="00204588" w:rsidP="00204588">
            <w:pPr>
              <w:jc w:val="center"/>
              <w:rPr>
                <w:bCs/>
                <w:color w:val="000000"/>
                <w:sz w:val="20"/>
                <w:szCs w:val="18"/>
              </w:rPr>
            </w:pPr>
            <w:r w:rsidRPr="00887108">
              <w:rPr>
                <w:color w:val="000000"/>
                <w:sz w:val="18"/>
                <w:szCs w:val="18"/>
              </w:rPr>
              <w:t>-2,9</w:t>
            </w:r>
          </w:p>
        </w:tc>
        <w:tc>
          <w:tcPr>
            <w:tcW w:w="523" w:type="dxa"/>
            <w:tcBorders>
              <w:top w:val="nil"/>
              <w:left w:val="nil"/>
              <w:bottom w:val="single" w:sz="8" w:space="0" w:color="auto"/>
              <w:right w:val="nil"/>
            </w:tcBorders>
            <w:shd w:val="clear" w:color="auto" w:fill="auto"/>
            <w:noWrap/>
            <w:vAlign w:val="center"/>
            <w:hideMark/>
          </w:tcPr>
          <w:p w14:paraId="16DC78DB" w14:textId="77777777" w:rsidR="00204588" w:rsidRPr="00887108" w:rsidRDefault="00204588" w:rsidP="00204588">
            <w:pPr>
              <w:jc w:val="center"/>
              <w:rPr>
                <w:bCs/>
                <w:color w:val="000000"/>
                <w:sz w:val="20"/>
                <w:szCs w:val="18"/>
              </w:rPr>
            </w:pPr>
            <w:r w:rsidRPr="00887108">
              <w:rPr>
                <w:color w:val="000000"/>
                <w:sz w:val="18"/>
                <w:szCs w:val="18"/>
              </w:rPr>
              <w:t>2,3</w:t>
            </w:r>
          </w:p>
        </w:tc>
        <w:tc>
          <w:tcPr>
            <w:tcW w:w="551" w:type="dxa"/>
            <w:tcBorders>
              <w:top w:val="nil"/>
              <w:left w:val="nil"/>
              <w:bottom w:val="single" w:sz="8" w:space="0" w:color="auto"/>
              <w:right w:val="nil"/>
            </w:tcBorders>
            <w:shd w:val="clear" w:color="auto" w:fill="auto"/>
            <w:noWrap/>
            <w:vAlign w:val="center"/>
            <w:hideMark/>
          </w:tcPr>
          <w:p w14:paraId="231527D3" w14:textId="77777777" w:rsidR="00204588" w:rsidRPr="00887108" w:rsidRDefault="00204588" w:rsidP="00204588">
            <w:pPr>
              <w:jc w:val="center"/>
              <w:rPr>
                <w:bCs/>
                <w:color w:val="000000"/>
                <w:sz w:val="20"/>
                <w:szCs w:val="18"/>
              </w:rPr>
            </w:pPr>
            <w:r w:rsidRPr="00887108">
              <w:rPr>
                <w:color w:val="000000"/>
                <w:sz w:val="18"/>
                <w:szCs w:val="18"/>
              </w:rPr>
              <w:t>0,3</w:t>
            </w:r>
          </w:p>
        </w:tc>
        <w:tc>
          <w:tcPr>
            <w:tcW w:w="551" w:type="dxa"/>
            <w:tcBorders>
              <w:top w:val="nil"/>
              <w:left w:val="nil"/>
              <w:bottom w:val="single" w:sz="8" w:space="0" w:color="auto"/>
              <w:right w:val="nil"/>
            </w:tcBorders>
            <w:shd w:val="clear" w:color="auto" w:fill="auto"/>
            <w:noWrap/>
            <w:vAlign w:val="center"/>
            <w:hideMark/>
          </w:tcPr>
          <w:p w14:paraId="7DA5A151" w14:textId="77777777" w:rsidR="00204588" w:rsidRPr="00887108" w:rsidRDefault="00204588" w:rsidP="00204588">
            <w:pPr>
              <w:jc w:val="center"/>
              <w:rPr>
                <w:bCs/>
                <w:color w:val="000000"/>
                <w:sz w:val="20"/>
                <w:szCs w:val="18"/>
              </w:rPr>
            </w:pPr>
            <w:r w:rsidRPr="00887108">
              <w:rPr>
                <w:color w:val="000000"/>
                <w:sz w:val="18"/>
                <w:szCs w:val="18"/>
              </w:rPr>
              <w:t>0,3</w:t>
            </w:r>
          </w:p>
        </w:tc>
        <w:tc>
          <w:tcPr>
            <w:tcW w:w="551" w:type="dxa"/>
            <w:tcBorders>
              <w:top w:val="nil"/>
              <w:left w:val="nil"/>
              <w:bottom w:val="single" w:sz="8" w:space="0" w:color="auto"/>
              <w:right w:val="nil"/>
            </w:tcBorders>
            <w:shd w:val="clear" w:color="auto" w:fill="auto"/>
            <w:noWrap/>
            <w:vAlign w:val="center"/>
            <w:hideMark/>
          </w:tcPr>
          <w:p w14:paraId="562A8E32" w14:textId="77777777" w:rsidR="00204588" w:rsidRPr="00887108" w:rsidRDefault="00204588" w:rsidP="00204588">
            <w:pPr>
              <w:jc w:val="center"/>
              <w:rPr>
                <w:bCs/>
                <w:color w:val="000000"/>
                <w:sz w:val="20"/>
                <w:szCs w:val="18"/>
              </w:rPr>
            </w:pPr>
            <w:r w:rsidRPr="00887108">
              <w:rPr>
                <w:color w:val="000000"/>
                <w:sz w:val="18"/>
                <w:szCs w:val="18"/>
              </w:rPr>
              <w:t>-0,5</w:t>
            </w:r>
          </w:p>
        </w:tc>
      </w:tr>
      <w:tr w:rsidR="00204588" w:rsidRPr="00887108" w14:paraId="06247EC2" w14:textId="77777777" w:rsidTr="00204588">
        <w:trPr>
          <w:trHeight w:val="227"/>
          <w:jc w:val="center"/>
        </w:trPr>
        <w:tc>
          <w:tcPr>
            <w:tcW w:w="9161" w:type="dxa"/>
            <w:gridSpan w:val="9"/>
            <w:tcBorders>
              <w:top w:val="single" w:sz="8" w:space="0" w:color="auto"/>
              <w:left w:val="nil"/>
              <w:bottom w:val="nil"/>
              <w:right w:val="nil"/>
            </w:tcBorders>
            <w:shd w:val="clear" w:color="auto" w:fill="auto"/>
            <w:noWrap/>
            <w:vAlign w:val="center"/>
            <w:hideMark/>
          </w:tcPr>
          <w:p w14:paraId="7B5BA70C" w14:textId="77777777" w:rsidR="00204588" w:rsidRPr="00887108" w:rsidRDefault="00204588" w:rsidP="00204588">
            <w:pPr>
              <w:pStyle w:val="poznmka"/>
              <w:rPr>
                <w:rFonts w:cs="Times New Roman"/>
              </w:rPr>
            </w:pPr>
            <w:r w:rsidRPr="00887108">
              <w:t xml:space="preserve">Zdroj: MF SR                                                                                                              </w:t>
            </w:r>
          </w:p>
        </w:tc>
      </w:tr>
    </w:tbl>
    <w:p w14:paraId="411F94A5" w14:textId="77777777" w:rsidR="00204588" w:rsidRPr="00887108" w:rsidRDefault="00204588" w:rsidP="00204588">
      <w:pPr>
        <w:rPr>
          <w:highlight w:val="yellow"/>
        </w:rPr>
      </w:pPr>
    </w:p>
    <w:p w14:paraId="7396524F" w14:textId="4B3AFBE1" w:rsidR="00204588" w:rsidRPr="00887108" w:rsidRDefault="00204588" w:rsidP="00204588">
      <w:pPr>
        <w:spacing w:after="240"/>
        <w:jc w:val="both"/>
      </w:pPr>
      <w:r w:rsidRPr="00887108">
        <w:rPr>
          <w:b/>
        </w:rPr>
        <w:t xml:space="preserve">Zamestnanosť v roku 2020 výrazne klesne a z trhu práce ubudne 88 tis. pracovných miest. </w:t>
      </w:r>
      <w:r w:rsidRPr="00887108">
        <w:t xml:space="preserve">Ľudia prídu o prácu najmä vo vybraných sektoroch služieb (turizmus, stravovacie služby, maloobchod či doprava), ale aj v priemysle a stavebníctve. Vládne opatrenia </w:t>
      </w:r>
      <w:r w:rsidR="00E23CA9" w:rsidRPr="00887108">
        <w:t xml:space="preserve">na udržanie </w:t>
      </w:r>
      <w:r w:rsidRPr="00887108">
        <w:t>zamestnanos</w:t>
      </w:r>
      <w:r w:rsidR="00E23CA9" w:rsidRPr="00887108">
        <w:t>ti</w:t>
      </w:r>
      <w:r w:rsidRPr="00887108">
        <w:t xml:space="preserve"> však budú nárast nezamestnanosti tlmiť. Predpokladáme, že bez týchto opatrení by došlo k výraznejšiemu prepúšťaniu a nezamestnanosť by bola</w:t>
      </w:r>
      <w:r w:rsidR="00343B57" w:rsidRPr="00887108">
        <w:t xml:space="preserve"> o takmer 20 tis. osôb vyššia. </w:t>
      </w:r>
      <w:r w:rsidR="00EF7822" w:rsidRPr="00887108">
        <w:t xml:space="preserve">Zlepšenie situácie na </w:t>
      </w:r>
      <w:r w:rsidRPr="00887108">
        <w:t xml:space="preserve">trhu práce predpokladáme </w:t>
      </w:r>
      <w:r w:rsidR="00E9784C" w:rsidRPr="00887108">
        <w:t>od</w:t>
      </w:r>
      <w:r w:rsidRPr="00887108">
        <w:t xml:space="preserve"> druh</w:t>
      </w:r>
      <w:r w:rsidR="00E9784C" w:rsidRPr="00887108">
        <w:t>ého</w:t>
      </w:r>
      <w:r w:rsidRPr="00887108">
        <w:t xml:space="preserve"> polrok</w:t>
      </w:r>
      <w:r w:rsidR="00E9784C" w:rsidRPr="00887108">
        <w:t>a</w:t>
      </w:r>
      <w:r w:rsidRPr="00887108">
        <w:t xml:space="preserve"> 2020, avšak bude len postupné a predkrízovú úroveň zamestnanosti na horizonte prognózy nedosiahneme. Zrkadlovo, miera nezamestnanosti v roku 2020 stúpne na 8,8 %</w:t>
      </w:r>
      <w:r w:rsidR="00E9784C" w:rsidRPr="00887108">
        <w:t>.</w:t>
      </w:r>
      <w:r w:rsidRPr="00887108">
        <w:t xml:space="preserve"> </w:t>
      </w:r>
      <w:r w:rsidR="00E9784C" w:rsidRPr="00887108">
        <w:t>V</w:t>
      </w:r>
      <w:r w:rsidRPr="00887108">
        <w:t xml:space="preserve"> ďalších rokoch bude </w:t>
      </w:r>
      <w:r w:rsidR="00E9784C" w:rsidRPr="00887108">
        <w:t xml:space="preserve">miera nezamestnanosti </w:t>
      </w:r>
      <w:r w:rsidRPr="00887108">
        <w:t>klesať, ale stále sa bude nachádzať nad predkrízovou úrovňou.</w:t>
      </w:r>
    </w:p>
    <w:p w14:paraId="68E08EC4" w14:textId="7441A2E8" w:rsidR="00204588" w:rsidRPr="00887108" w:rsidRDefault="00204588" w:rsidP="00204588">
      <w:pPr>
        <w:pStyle w:val="Odsek"/>
        <w:rPr>
          <w:b/>
          <w:bCs/>
          <w:szCs w:val="20"/>
        </w:rPr>
      </w:pPr>
      <w:r w:rsidRPr="00887108">
        <w:rPr>
          <w:b/>
          <w:bCs/>
          <w:szCs w:val="20"/>
        </w:rPr>
        <w:t xml:space="preserve">Priemerná nominálna mzda v roku 2020 zvoľní tempo a zvýši sa len o 1,6 %. </w:t>
      </w:r>
      <w:r w:rsidRPr="00887108">
        <w:rPr>
          <w:bCs/>
          <w:szCs w:val="20"/>
        </w:rPr>
        <w:t>Oproti roku 2019 ide o výrazné spomalenie najmä v súkromnom sektore. Vývoj priemernej mzdy bude tlmený množstvom poberateľov dávky ošetrovného a nemocenskej dávky aj nižšou mzdou plynúcou zo skrátených úväzkov. Reálna mzda bude pre výpadok ekonomickej aktivity stagnovať. V ďalších rokoch sa dynamika miezd obnoví spolu s</w:t>
      </w:r>
      <w:r w:rsidR="00E23CA9" w:rsidRPr="00887108">
        <w:rPr>
          <w:bCs/>
          <w:szCs w:val="20"/>
        </w:rPr>
        <w:t>o</w:t>
      </w:r>
      <w:r w:rsidRPr="00887108">
        <w:rPr>
          <w:bCs/>
          <w:szCs w:val="20"/>
        </w:rPr>
        <w:t xml:space="preserve"> </w:t>
      </w:r>
      <w:r w:rsidR="00E23CA9" w:rsidRPr="00887108">
        <w:rPr>
          <w:bCs/>
          <w:szCs w:val="20"/>
        </w:rPr>
        <w:t xml:space="preserve">zlepšením na </w:t>
      </w:r>
      <w:r w:rsidRPr="00887108">
        <w:rPr>
          <w:bCs/>
          <w:szCs w:val="20"/>
        </w:rPr>
        <w:t>trhu práce.</w:t>
      </w:r>
    </w:p>
    <w:tbl>
      <w:tblPr>
        <w:tblW w:w="4911"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25"/>
        <w:gridCol w:w="237"/>
        <w:gridCol w:w="4447"/>
      </w:tblGrid>
      <w:tr w:rsidR="00204588" w:rsidRPr="00887108" w14:paraId="074A0C56" w14:textId="77777777" w:rsidTr="00204588">
        <w:trPr>
          <w:trHeight w:val="2238"/>
          <w:jc w:val="center"/>
        </w:trPr>
        <w:tc>
          <w:tcPr>
            <w:tcW w:w="4225" w:type="dxa"/>
            <w:tcBorders>
              <w:top w:val="nil"/>
              <w:left w:val="nil"/>
              <w:bottom w:val="single" w:sz="4" w:space="0" w:color="auto"/>
              <w:right w:val="nil"/>
            </w:tcBorders>
            <w:vAlign w:val="center"/>
          </w:tcPr>
          <w:p w14:paraId="09D1EEF7" w14:textId="77777777" w:rsidR="00204588" w:rsidRPr="00887108" w:rsidRDefault="00204588" w:rsidP="00204588">
            <w:pPr>
              <w:pStyle w:val="Nadpis3"/>
              <w:pBdr>
                <w:bottom w:val="single" w:sz="4" w:space="1" w:color="auto"/>
              </w:pBdr>
              <w:jc w:val="both"/>
              <w:rPr>
                <w:rFonts w:eastAsiaTheme="minorHAnsi"/>
                <w:color w:val="2C9ADC"/>
                <w:lang w:eastAsia="en-US"/>
              </w:rPr>
            </w:pPr>
            <w:bookmarkStart w:id="52" w:name="_Toc480443998"/>
            <w:bookmarkStart w:id="53" w:name="_Toc480444503"/>
            <w:bookmarkStart w:id="54" w:name="_Toc40181252"/>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1</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w:t>
            </w:r>
            <w:r w:rsidRPr="00887108">
              <w:rPr>
                <w:rFonts w:eastAsiaTheme="minorHAnsi"/>
                <w:color w:val="2C9ADC"/>
                <w:lang w:eastAsia="en-US"/>
              </w:rPr>
              <w:t>- Príspevky k rastu HDP (p. b.)</w:t>
            </w:r>
            <w:bookmarkEnd w:id="52"/>
            <w:bookmarkEnd w:id="53"/>
            <w:bookmarkEnd w:id="54"/>
          </w:p>
          <w:p w14:paraId="55C93393" w14:textId="77777777" w:rsidR="00204588" w:rsidRPr="00887108" w:rsidRDefault="00204588" w:rsidP="00204588">
            <w:pPr>
              <w:spacing w:before="40" w:after="40"/>
              <w:jc w:val="center"/>
              <w:rPr>
                <w:rFonts w:cs="Arial"/>
                <w:b/>
                <w:sz w:val="20"/>
                <w:szCs w:val="20"/>
              </w:rPr>
            </w:pPr>
            <w:r w:rsidRPr="00887108">
              <w:drawing>
                <wp:inline distT="0" distB="0" distL="0" distR="0" wp14:anchorId="77A3B809" wp14:editId="530A140A">
                  <wp:extent cx="2593975" cy="160718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37" w:type="dxa"/>
            <w:tcBorders>
              <w:top w:val="nil"/>
              <w:left w:val="nil"/>
              <w:bottom w:val="nil"/>
              <w:right w:val="nil"/>
            </w:tcBorders>
            <w:vAlign w:val="center"/>
          </w:tcPr>
          <w:p w14:paraId="22CC70EF" w14:textId="77777777" w:rsidR="00204588" w:rsidRPr="00887108" w:rsidRDefault="00204588" w:rsidP="00204588">
            <w:pPr>
              <w:spacing w:before="40" w:after="40"/>
              <w:jc w:val="center"/>
              <w:rPr>
                <w:rFonts w:cs="Arial"/>
                <w:b/>
                <w:sz w:val="20"/>
                <w:szCs w:val="20"/>
              </w:rPr>
            </w:pPr>
          </w:p>
        </w:tc>
        <w:tc>
          <w:tcPr>
            <w:tcW w:w="4447" w:type="dxa"/>
            <w:tcBorders>
              <w:top w:val="nil"/>
              <w:left w:val="nil"/>
              <w:bottom w:val="single" w:sz="4" w:space="0" w:color="auto"/>
              <w:right w:val="nil"/>
            </w:tcBorders>
            <w:vAlign w:val="center"/>
          </w:tcPr>
          <w:p w14:paraId="18155532" w14:textId="77777777" w:rsidR="00204588" w:rsidRPr="00887108" w:rsidRDefault="00204588" w:rsidP="00204588">
            <w:pPr>
              <w:pStyle w:val="Nadpis3"/>
              <w:pBdr>
                <w:bottom w:val="single" w:sz="4" w:space="1" w:color="auto"/>
              </w:pBdr>
              <w:jc w:val="both"/>
              <w:rPr>
                <w:rFonts w:eastAsiaTheme="minorHAnsi"/>
                <w:color w:val="2C9ADC"/>
                <w:lang w:eastAsia="en-US"/>
              </w:rPr>
            </w:pPr>
            <w:bookmarkStart w:id="55" w:name="_Toc480443999"/>
            <w:bookmarkStart w:id="56" w:name="_Toc480444504"/>
            <w:bookmarkStart w:id="57" w:name="_Toc40181253"/>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2</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w:t>
            </w:r>
            <w:r w:rsidRPr="00887108">
              <w:rPr>
                <w:rFonts w:eastAsiaTheme="minorHAnsi"/>
                <w:color w:val="2C9ADC"/>
                <w:lang w:eastAsia="en-US"/>
              </w:rPr>
              <w:t>- Príspevky k rastu zamestnanosti (p. b.)</w:t>
            </w:r>
            <w:bookmarkEnd w:id="55"/>
            <w:bookmarkEnd w:id="56"/>
            <w:bookmarkEnd w:id="57"/>
          </w:p>
          <w:p w14:paraId="057226E0" w14:textId="77777777" w:rsidR="00204588" w:rsidRPr="00887108" w:rsidRDefault="00204588" w:rsidP="00204588">
            <w:pPr>
              <w:spacing w:before="40" w:after="40"/>
              <w:jc w:val="center"/>
              <w:rPr>
                <w:rFonts w:cs="Arial"/>
                <w:b/>
                <w:sz w:val="20"/>
                <w:szCs w:val="20"/>
              </w:rPr>
            </w:pPr>
            <w:r w:rsidRPr="00887108">
              <w:drawing>
                <wp:inline distT="0" distB="0" distL="0" distR="0" wp14:anchorId="263C88B9" wp14:editId="44AFB081">
                  <wp:extent cx="2684145" cy="1619936"/>
                  <wp:effectExtent l="0" t="0" r="190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204588" w:rsidRPr="00887108" w14:paraId="58FA3792" w14:textId="77777777" w:rsidTr="00204588">
        <w:trPr>
          <w:trHeight w:val="121"/>
          <w:jc w:val="center"/>
        </w:trPr>
        <w:tc>
          <w:tcPr>
            <w:tcW w:w="4225" w:type="dxa"/>
            <w:tcBorders>
              <w:top w:val="single" w:sz="4" w:space="0" w:color="auto"/>
              <w:left w:val="nil"/>
              <w:bottom w:val="nil"/>
              <w:right w:val="nil"/>
            </w:tcBorders>
            <w:vAlign w:val="center"/>
          </w:tcPr>
          <w:p w14:paraId="3EC7F21E" w14:textId="77777777" w:rsidR="00204588" w:rsidRPr="00887108" w:rsidRDefault="00204588" w:rsidP="00204588">
            <w:pPr>
              <w:pStyle w:val="poznmka"/>
            </w:pPr>
            <w:r w:rsidRPr="00887108">
              <w:t>Zdroj: ŠÚ SR, MF SR</w:t>
            </w:r>
          </w:p>
        </w:tc>
        <w:tc>
          <w:tcPr>
            <w:tcW w:w="237" w:type="dxa"/>
            <w:tcBorders>
              <w:top w:val="nil"/>
              <w:left w:val="nil"/>
              <w:bottom w:val="nil"/>
              <w:right w:val="nil"/>
            </w:tcBorders>
            <w:vAlign w:val="center"/>
          </w:tcPr>
          <w:p w14:paraId="17A04F8E" w14:textId="77777777" w:rsidR="00204588" w:rsidRPr="00887108" w:rsidRDefault="00204588" w:rsidP="00204588">
            <w:pPr>
              <w:pStyle w:val="poznmka"/>
            </w:pPr>
          </w:p>
        </w:tc>
        <w:tc>
          <w:tcPr>
            <w:tcW w:w="4447" w:type="dxa"/>
            <w:tcBorders>
              <w:top w:val="single" w:sz="4" w:space="0" w:color="auto"/>
              <w:left w:val="nil"/>
              <w:bottom w:val="nil"/>
              <w:right w:val="nil"/>
            </w:tcBorders>
            <w:vAlign w:val="center"/>
          </w:tcPr>
          <w:p w14:paraId="7C18A837" w14:textId="77777777" w:rsidR="00204588" w:rsidRPr="00887108" w:rsidRDefault="00204588" w:rsidP="00204588">
            <w:pPr>
              <w:pStyle w:val="poznmka"/>
            </w:pPr>
            <w:r w:rsidRPr="00887108">
              <w:t>Zdroj: ŠÚ SR, MF SR</w:t>
            </w:r>
          </w:p>
        </w:tc>
      </w:tr>
    </w:tbl>
    <w:p w14:paraId="1232C3F8" w14:textId="30DDCB98" w:rsidR="00204588" w:rsidRPr="00887108" w:rsidRDefault="00204588" w:rsidP="00204588">
      <w:pPr>
        <w:pStyle w:val="odsekzatabukou"/>
        <w:rPr>
          <w:highlight w:val="yellow"/>
        </w:rPr>
      </w:pPr>
      <w:r w:rsidRPr="00887108">
        <w:rPr>
          <w:b/>
        </w:rPr>
        <w:t xml:space="preserve">Inflácia v roku 2020 spomalí na 1,7 %. </w:t>
      </w:r>
      <w:r w:rsidRPr="00887108">
        <w:t xml:space="preserve">Zníženie je výsledkom najmä výrazného poklesu cien ropy pre nižší dopyt, ale aj cenovú vojnu jej producentov. Nižšia cena ropy stlmí aj rast cien potravín v dôsledku nižších cien vstupov v poľnohospodárstve. Ceny služieb a obchodovateľných tovarov zareagujú na prepad ekonomiky s oneskorením. Regulované ceny sú </w:t>
      </w:r>
      <w:r w:rsidR="00E75186" w:rsidRPr="00887108">
        <w:t xml:space="preserve">v tomto roku </w:t>
      </w:r>
      <w:r w:rsidRPr="00887108">
        <w:t>ovplyvnené zvýšením cien elektrickej energie od januára.</w:t>
      </w:r>
      <w:r w:rsidRPr="00887108">
        <w:rPr>
          <w:b/>
          <w:highlight w:val="yellow"/>
        </w:rPr>
        <w:t xml:space="preserve"> </w:t>
      </w:r>
    </w:p>
    <w:p w14:paraId="4094B219" w14:textId="17C3AC4D" w:rsidR="00204588" w:rsidRPr="00887108" w:rsidRDefault="00204588" w:rsidP="00204588">
      <w:pPr>
        <w:pStyle w:val="Odsek"/>
        <w:rPr>
          <w:rFonts w:eastAsia="NeueHaasGroteskText W02" w:cs="NeueHaasGroteskText W02"/>
          <w:szCs w:val="20"/>
          <w:highlight w:val="yellow"/>
        </w:rPr>
      </w:pPr>
      <w:r w:rsidRPr="00887108">
        <w:rPr>
          <w:rFonts w:eastAsia="NeueHaasGroteskText W02" w:cs="NeueHaasGroteskText W02"/>
          <w:b/>
          <w:szCs w:val="20"/>
        </w:rPr>
        <w:t xml:space="preserve">Rast cien sa v budúcom roku zníži takmer na nulu. </w:t>
      </w:r>
      <w:r w:rsidRPr="00887108">
        <w:rPr>
          <w:rFonts w:eastAsia="NeueHaasGroteskText W02" w:cs="NeueHaasGroteskText W02"/>
          <w:szCs w:val="20"/>
        </w:rPr>
        <w:t xml:space="preserve">Nízke ceny ropy a vývoj budúcich kontraktov energetických komodít indikujú výrazný pokles regulovaných cien energií. K nemu sa pridá aj spomalenie rastu cien služieb a tovarov pre prepad ekonomiky a jej výrazné podchladenie. V ďalších rokoch </w:t>
      </w:r>
      <w:r w:rsidR="00456D4B" w:rsidRPr="00887108">
        <w:rPr>
          <w:rFonts w:eastAsia="NeueHaasGroteskText W02" w:cs="NeueHaasGroteskText W02"/>
          <w:szCs w:val="20"/>
        </w:rPr>
        <w:t>prinesie</w:t>
      </w:r>
      <w:r w:rsidRPr="00887108">
        <w:rPr>
          <w:rFonts w:eastAsia="NeueHaasGroteskText W02" w:cs="NeueHaasGroteskText W02"/>
          <w:szCs w:val="20"/>
        </w:rPr>
        <w:t xml:space="preserve"> postupn</w:t>
      </w:r>
      <w:r w:rsidR="00456D4B" w:rsidRPr="00887108">
        <w:rPr>
          <w:rFonts w:eastAsia="NeueHaasGroteskText W02" w:cs="NeueHaasGroteskText W02"/>
          <w:szCs w:val="20"/>
        </w:rPr>
        <w:t>é</w:t>
      </w:r>
      <w:r w:rsidRPr="00887108">
        <w:rPr>
          <w:rFonts w:eastAsia="NeueHaasGroteskText W02" w:cs="NeueHaasGroteskText W02"/>
          <w:szCs w:val="20"/>
        </w:rPr>
        <w:t xml:space="preserve"> oživen</w:t>
      </w:r>
      <w:r w:rsidR="00456D4B" w:rsidRPr="00887108">
        <w:rPr>
          <w:rFonts w:eastAsia="NeueHaasGroteskText W02" w:cs="NeueHaasGroteskText W02"/>
          <w:szCs w:val="20"/>
        </w:rPr>
        <w:t>ie</w:t>
      </w:r>
      <w:r w:rsidRPr="00887108">
        <w:rPr>
          <w:rFonts w:eastAsia="NeueHaasGroteskText W02" w:cs="NeueHaasGroteskText W02"/>
          <w:szCs w:val="20"/>
        </w:rPr>
        <w:t xml:space="preserve"> ekonomiky aj postupný návrat dopytovej inflácie. V strednodobom horizonte rast cien dosiahne 2%.</w:t>
      </w:r>
      <w:r w:rsidRPr="00887108">
        <w:rPr>
          <w:rFonts w:eastAsia="NeueHaasGroteskText W02" w:cs="NeueHaasGroteskText W02"/>
          <w:szCs w:val="20"/>
          <w:highlight w:val="yellow"/>
        </w:rPr>
        <w:t xml:space="preserve"> </w:t>
      </w:r>
    </w:p>
    <w:tbl>
      <w:tblPr>
        <w:tblW w:w="4904" w:type="pct"/>
        <w:jc w:val="center"/>
        <w:tblBorders>
          <w:bottom w:val="single" w:sz="4" w:space="0" w:color="auto"/>
        </w:tblBorders>
        <w:tblLayout w:type="fixed"/>
        <w:tblCellMar>
          <w:left w:w="70" w:type="dxa"/>
          <w:right w:w="70" w:type="dxa"/>
        </w:tblCellMar>
        <w:tblLook w:val="01E0" w:firstRow="1" w:lastRow="1" w:firstColumn="1" w:lastColumn="1" w:noHBand="0" w:noVBand="0"/>
      </w:tblPr>
      <w:tblGrid>
        <w:gridCol w:w="4252"/>
        <w:gridCol w:w="169"/>
        <w:gridCol w:w="4475"/>
      </w:tblGrid>
      <w:tr w:rsidR="00204588" w:rsidRPr="00887108" w14:paraId="173C8569" w14:textId="77777777" w:rsidTr="00204588">
        <w:trPr>
          <w:trHeight w:val="1121"/>
          <w:jc w:val="center"/>
        </w:trPr>
        <w:tc>
          <w:tcPr>
            <w:tcW w:w="4252" w:type="dxa"/>
            <w:tcBorders>
              <w:bottom w:val="single" w:sz="4" w:space="0" w:color="auto"/>
            </w:tcBorders>
            <w:vAlign w:val="center"/>
          </w:tcPr>
          <w:p w14:paraId="23813AFB" w14:textId="77777777" w:rsidR="00204588" w:rsidRPr="00887108" w:rsidRDefault="00204588" w:rsidP="00204588">
            <w:pPr>
              <w:pStyle w:val="Nadpis3"/>
              <w:pBdr>
                <w:bottom w:val="single" w:sz="4" w:space="1" w:color="auto"/>
              </w:pBdr>
              <w:jc w:val="both"/>
              <w:rPr>
                <w:rFonts w:eastAsiaTheme="minorHAnsi"/>
                <w:color w:val="2C9ADC"/>
                <w:lang w:eastAsia="en-US"/>
              </w:rPr>
            </w:pPr>
            <w:bookmarkStart w:id="58" w:name="_Toc480444000"/>
            <w:bookmarkStart w:id="59" w:name="_Toc480444505"/>
            <w:bookmarkStart w:id="60" w:name="_Toc40181254"/>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3</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w:t>
            </w:r>
            <w:r w:rsidRPr="00887108">
              <w:rPr>
                <w:rFonts w:eastAsiaTheme="minorHAnsi"/>
                <w:color w:val="2C9ADC"/>
                <w:lang w:eastAsia="en-US"/>
              </w:rPr>
              <w:t>- Externé nerovnováhy - zložky salda bežného účtu platobnej bilancie (% HDP)</w:t>
            </w:r>
            <w:bookmarkEnd w:id="58"/>
            <w:bookmarkEnd w:id="59"/>
            <w:bookmarkEnd w:id="60"/>
          </w:p>
          <w:p w14:paraId="2FC0771E" w14:textId="77777777" w:rsidR="00204588" w:rsidRPr="00887108" w:rsidRDefault="00204588" w:rsidP="00204588">
            <w:pPr>
              <w:spacing w:before="40" w:after="40"/>
              <w:jc w:val="center"/>
              <w:rPr>
                <w:rFonts w:cs="Arial"/>
                <w:b/>
                <w:sz w:val="20"/>
                <w:szCs w:val="20"/>
              </w:rPr>
            </w:pPr>
            <w:r w:rsidRPr="00887108">
              <w:drawing>
                <wp:inline distT="0" distB="0" distL="0" distR="0" wp14:anchorId="2B92B849" wp14:editId="23131BC8">
                  <wp:extent cx="2611120" cy="170243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69" w:type="dxa"/>
            <w:tcBorders>
              <w:bottom w:val="nil"/>
            </w:tcBorders>
            <w:vAlign w:val="center"/>
          </w:tcPr>
          <w:p w14:paraId="05A67BC4" w14:textId="77777777" w:rsidR="00204588" w:rsidRPr="00887108" w:rsidRDefault="00204588" w:rsidP="00204588">
            <w:pPr>
              <w:spacing w:before="40" w:after="40"/>
              <w:jc w:val="center"/>
              <w:rPr>
                <w:rFonts w:cs="Arial"/>
                <w:b/>
                <w:sz w:val="20"/>
                <w:szCs w:val="20"/>
              </w:rPr>
            </w:pPr>
          </w:p>
        </w:tc>
        <w:tc>
          <w:tcPr>
            <w:tcW w:w="4475" w:type="dxa"/>
            <w:tcBorders>
              <w:bottom w:val="single" w:sz="4" w:space="0" w:color="auto"/>
            </w:tcBorders>
            <w:vAlign w:val="center"/>
          </w:tcPr>
          <w:p w14:paraId="5EE6B4B7" w14:textId="77777777" w:rsidR="00204588" w:rsidRPr="00887108" w:rsidRDefault="00204588" w:rsidP="00204588">
            <w:pPr>
              <w:pStyle w:val="Nadpis3"/>
              <w:pBdr>
                <w:bottom w:val="single" w:sz="4" w:space="1" w:color="auto"/>
              </w:pBdr>
              <w:jc w:val="both"/>
              <w:rPr>
                <w:rFonts w:eastAsiaTheme="minorHAnsi"/>
                <w:color w:val="2C9ADC"/>
                <w:lang w:eastAsia="en-US"/>
              </w:rPr>
            </w:pPr>
            <w:bookmarkStart w:id="61" w:name="_Toc480444001"/>
            <w:bookmarkStart w:id="62" w:name="_Toc480444506"/>
            <w:bookmarkStart w:id="63" w:name="_Toc40181255"/>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4</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w:t>
            </w:r>
            <w:r w:rsidRPr="00887108">
              <w:rPr>
                <w:rFonts w:eastAsiaTheme="minorHAnsi"/>
                <w:color w:val="2C9ADC"/>
                <w:lang w:eastAsia="en-US"/>
              </w:rPr>
              <w:t>- Štruktúra spotrebiteľskej inflácie –medziročné príspevky zložiek k CPI (v p. b.)</w:t>
            </w:r>
            <w:bookmarkEnd w:id="61"/>
            <w:bookmarkEnd w:id="62"/>
            <w:bookmarkEnd w:id="63"/>
          </w:p>
          <w:p w14:paraId="53AFB841" w14:textId="77777777" w:rsidR="00204588" w:rsidRPr="00887108" w:rsidRDefault="00204588" w:rsidP="00204588">
            <w:pPr>
              <w:spacing w:before="40" w:after="40"/>
              <w:jc w:val="center"/>
              <w:rPr>
                <w:rFonts w:cs="Arial"/>
                <w:b/>
                <w:sz w:val="20"/>
                <w:szCs w:val="20"/>
              </w:rPr>
            </w:pPr>
            <w:r w:rsidRPr="00887108">
              <w:drawing>
                <wp:inline distT="0" distB="0" distL="0" distR="0" wp14:anchorId="46F42110" wp14:editId="212F6B5F">
                  <wp:extent cx="2752725" cy="1689735"/>
                  <wp:effectExtent l="0" t="0" r="0" b="571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204588" w:rsidRPr="00887108" w14:paraId="08197785" w14:textId="77777777" w:rsidTr="00204588">
        <w:trPr>
          <w:trHeight w:val="142"/>
          <w:jc w:val="center"/>
        </w:trPr>
        <w:tc>
          <w:tcPr>
            <w:tcW w:w="4252" w:type="dxa"/>
            <w:tcBorders>
              <w:top w:val="single" w:sz="4" w:space="0" w:color="auto"/>
              <w:bottom w:val="single" w:sz="4" w:space="0" w:color="auto"/>
            </w:tcBorders>
            <w:vAlign w:val="center"/>
          </w:tcPr>
          <w:p w14:paraId="07D6C0EC" w14:textId="77777777" w:rsidR="00204588" w:rsidRPr="00887108" w:rsidRDefault="00204588" w:rsidP="00204588">
            <w:pPr>
              <w:pStyle w:val="poznmka"/>
            </w:pPr>
            <w:r w:rsidRPr="00887108">
              <w:t xml:space="preserve">Zdroj: NBS, MF SR </w:t>
            </w:r>
          </w:p>
        </w:tc>
        <w:tc>
          <w:tcPr>
            <w:tcW w:w="169" w:type="dxa"/>
            <w:tcBorders>
              <w:top w:val="nil"/>
              <w:bottom w:val="nil"/>
            </w:tcBorders>
            <w:vAlign w:val="center"/>
          </w:tcPr>
          <w:p w14:paraId="54B3E4EA" w14:textId="77777777" w:rsidR="00204588" w:rsidRPr="00887108" w:rsidRDefault="00204588" w:rsidP="00204588">
            <w:pPr>
              <w:pStyle w:val="poznmka"/>
            </w:pPr>
          </w:p>
        </w:tc>
        <w:tc>
          <w:tcPr>
            <w:tcW w:w="4475" w:type="dxa"/>
            <w:tcBorders>
              <w:top w:val="single" w:sz="4" w:space="0" w:color="auto"/>
              <w:bottom w:val="single" w:sz="4" w:space="0" w:color="auto"/>
            </w:tcBorders>
            <w:vAlign w:val="center"/>
          </w:tcPr>
          <w:p w14:paraId="1461D448" w14:textId="77777777" w:rsidR="00204588" w:rsidRPr="00887108" w:rsidRDefault="00204588" w:rsidP="00204588">
            <w:pPr>
              <w:pStyle w:val="poznmka"/>
            </w:pPr>
            <w:r w:rsidRPr="00887108">
              <w:t xml:space="preserve">Zdroj: ŠÚ SR, MF SR </w:t>
            </w:r>
          </w:p>
        </w:tc>
      </w:tr>
      <w:tr w:rsidR="00204588" w:rsidRPr="00887108" w14:paraId="36BDBF24" w14:textId="77777777" w:rsidTr="00204588">
        <w:trPr>
          <w:trHeight w:val="142"/>
          <w:jc w:val="center"/>
        </w:trPr>
        <w:tc>
          <w:tcPr>
            <w:tcW w:w="4252" w:type="dxa"/>
            <w:tcBorders>
              <w:top w:val="single" w:sz="4" w:space="0" w:color="auto"/>
              <w:bottom w:val="nil"/>
            </w:tcBorders>
            <w:vAlign w:val="center"/>
          </w:tcPr>
          <w:p w14:paraId="540AE6FB" w14:textId="77777777" w:rsidR="00204588" w:rsidRPr="00887108" w:rsidRDefault="00204588" w:rsidP="00204588">
            <w:pPr>
              <w:pStyle w:val="poznmka"/>
            </w:pPr>
          </w:p>
        </w:tc>
        <w:tc>
          <w:tcPr>
            <w:tcW w:w="169" w:type="dxa"/>
            <w:tcBorders>
              <w:top w:val="nil"/>
              <w:bottom w:val="nil"/>
            </w:tcBorders>
            <w:vAlign w:val="center"/>
          </w:tcPr>
          <w:p w14:paraId="414C17D4" w14:textId="77777777" w:rsidR="00204588" w:rsidRPr="00887108" w:rsidRDefault="00204588" w:rsidP="00204588">
            <w:pPr>
              <w:pStyle w:val="poznmka"/>
            </w:pPr>
          </w:p>
        </w:tc>
        <w:tc>
          <w:tcPr>
            <w:tcW w:w="4475" w:type="dxa"/>
            <w:tcBorders>
              <w:top w:val="single" w:sz="4" w:space="0" w:color="auto"/>
              <w:bottom w:val="nil"/>
            </w:tcBorders>
            <w:vAlign w:val="center"/>
          </w:tcPr>
          <w:p w14:paraId="1F3B0865" w14:textId="77777777" w:rsidR="00204588" w:rsidRPr="00887108" w:rsidRDefault="00204588" w:rsidP="00204588">
            <w:pPr>
              <w:pStyle w:val="poznmka"/>
            </w:pPr>
          </w:p>
        </w:tc>
      </w:tr>
    </w:tbl>
    <w:p w14:paraId="285AA79D" w14:textId="77777777" w:rsidR="00204588" w:rsidRPr="00887108" w:rsidRDefault="00204588" w:rsidP="00204588">
      <w:pPr>
        <w:spacing w:after="120"/>
        <w:jc w:val="both"/>
        <w:rPr>
          <w:rFonts w:eastAsia="NeueHaasGroteskText W02" w:cs="Arial"/>
          <w:bCs/>
          <w:szCs w:val="20"/>
          <w:highlight w:val="yellow"/>
        </w:rPr>
      </w:pPr>
    </w:p>
    <w:tbl>
      <w:tblPr>
        <w:tblpPr w:leftFromText="142" w:rightFromText="142" w:vertAnchor="text" w:horzAnchor="margin" w:tblpXSpec="center" w:tblpY="1"/>
        <w:tblOverlap w:val="never"/>
        <w:tblW w:w="9072" w:type="dxa"/>
        <w:tblBorders>
          <w:insideH w:val="single" w:sz="4" w:space="0" w:color="auto"/>
          <w:insideV w:val="single" w:sz="4" w:space="0" w:color="auto"/>
        </w:tblBorders>
        <w:shd w:val="clear" w:color="auto" w:fill="AAD3F2"/>
        <w:tblLayout w:type="fixed"/>
        <w:tblCellMar>
          <w:left w:w="70" w:type="dxa"/>
          <w:right w:w="70" w:type="dxa"/>
        </w:tblCellMar>
        <w:tblLook w:val="01E0" w:firstRow="1" w:lastRow="1" w:firstColumn="1" w:lastColumn="1" w:noHBand="0" w:noVBand="0"/>
      </w:tblPr>
      <w:tblGrid>
        <w:gridCol w:w="9072"/>
      </w:tblGrid>
      <w:tr w:rsidR="00204588" w:rsidRPr="00887108" w14:paraId="1D718C42" w14:textId="77777777" w:rsidTr="004C787A">
        <w:trPr>
          <w:trHeight w:val="1701"/>
        </w:trPr>
        <w:tc>
          <w:tcPr>
            <w:tcW w:w="9072" w:type="dxa"/>
            <w:shd w:val="clear" w:color="auto" w:fill="AAD3F2"/>
            <w:vAlign w:val="center"/>
          </w:tcPr>
          <w:p w14:paraId="38DCFC37" w14:textId="66E2921D" w:rsidR="00204588" w:rsidRPr="00887108" w:rsidRDefault="006546DD" w:rsidP="00204588">
            <w:pPr>
              <w:spacing w:after="120"/>
              <w:ind w:right="1015"/>
              <w:jc w:val="both"/>
              <w:rPr>
                <w:rFonts w:eastAsia="NeueHaasGroteskText W02" w:cs="Arial"/>
                <w:bCs/>
                <w:sz w:val="24"/>
                <w:szCs w:val="24"/>
              </w:rPr>
            </w:pPr>
            <w:bookmarkStart w:id="64" w:name="_Toc40181288"/>
            <w:r w:rsidRPr="00887108">
              <w:rPr>
                <w:b/>
                <w:color w:val="2C9ADC" w:themeColor="accent1"/>
                <w:sz w:val="24"/>
                <w:szCs w:val="24"/>
              </w:rPr>
              <w:t xml:space="preserve">BOX </w:t>
            </w:r>
            <w:r w:rsidRPr="00887108">
              <w:rPr>
                <w:b/>
                <w:color w:val="2C9ADC" w:themeColor="accent1"/>
                <w:sz w:val="24"/>
                <w:szCs w:val="24"/>
              </w:rPr>
              <w:fldChar w:fldCharType="begin"/>
            </w:r>
            <w:r w:rsidRPr="00887108">
              <w:rPr>
                <w:b/>
                <w:color w:val="2C9ADC" w:themeColor="accent1"/>
                <w:sz w:val="24"/>
                <w:szCs w:val="24"/>
              </w:rPr>
              <w:instrText xml:space="preserve"> SEQ BOX \* ARABIC </w:instrText>
            </w:r>
            <w:r w:rsidRPr="00887108">
              <w:rPr>
                <w:b/>
                <w:color w:val="2C9ADC" w:themeColor="accent1"/>
                <w:sz w:val="24"/>
                <w:szCs w:val="24"/>
              </w:rPr>
              <w:fldChar w:fldCharType="separate"/>
            </w:r>
            <w:r w:rsidR="00D47A36">
              <w:rPr>
                <w:b/>
                <w:noProof/>
                <w:color w:val="2C9ADC" w:themeColor="accent1"/>
                <w:sz w:val="24"/>
                <w:szCs w:val="24"/>
              </w:rPr>
              <w:t>1</w:t>
            </w:r>
            <w:r w:rsidRPr="00887108">
              <w:rPr>
                <w:b/>
                <w:color w:val="2C9ADC" w:themeColor="accent1"/>
                <w:sz w:val="24"/>
                <w:szCs w:val="24"/>
              </w:rPr>
              <w:fldChar w:fldCharType="end"/>
            </w:r>
            <w:r w:rsidRPr="00887108">
              <w:rPr>
                <w:b/>
                <w:color w:val="2C9ADC" w:themeColor="accent1"/>
                <w:sz w:val="24"/>
                <w:szCs w:val="24"/>
              </w:rPr>
              <w:t xml:space="preserve"> -</w:t>
            </w:r>
            <w:r w:rsidR="00204588" w:rsidRPr="00887108">
              <w:rPr>
                <w:rFonts w:eastAsia="NeueHaasGroteskText W02" w:cs="Arial"/>
                <w:b/>
                <w:bCs/>
                <w:color w:val="2C9ADC"/>
                <w:sz w:val="24"/>
                <w:szCs w:val="24"/>
                <w:u w:color="2C9ADC"/>
              </w:rPr>
              <w:t xml:space="preserve"> Predpoklady externého prostredia</w:t>
            </w:r>
            <w:bookmarkEnd w:id="64"/>
          </w:p>
          <w:p w14:paraId="10C49D14" w14:textId="77777777" w:rsidR="00204588" w:rsidRPr="00887108" w:rsidRDefault="00204588" w:rsidP="00204588">
            <w:pPr>
              <w:widowControl w:val="0"/>
              <w:tabs>
                <w:tab w:val="right" w:pos="9531"/>
              </w:tabs>
              <w:ind w:right="34"/>
              <w:jc w:val="both"/>
              <w:rPr>
                <w:rFonts w:eastAsia="NeueHaasGroteskText W02" w:cs="Arial"/>
                <w:bCs/>
                <w:sz w:val="20"/>
                <w:szCs w:val="20"/>
              </w:rPr>
            </w:pPr>
            <w:r w:rsidRPr="00887108">
              <w:rPr>
                <w:rFonts w:eastAsia="NeueHaasGroteskText W02" w:cs="Arial"/>
                <w:b/>
                <w:bCs/>
                <w:sz w:val="20"/>
                <w:szCs w:val="20"/>
              </w:rPr>
              <w:t xml:space="preserve">Napätá situácia súvisiaca s koronavírusom spôsobila výpredaje na globálnych finančných trhoch. </w:t>
            </w:r>
            <w:r w:rsidRPr="00887108">
              <w:rPr>
                <w:rFonts w:eastAsia="NeueHaasGroteskText W02" w:cs="Arial"/>
                <w:bCs/>
                <w:sz w:val="20"/>
                <w:szCs w:val="20"/>
              </w:rPr>
              <w:t>Akciové trhy v USA, eurozóne aj v Japonsku klesli od 20. februára do polovice marca o vyše 30 %, čím si pripísali podobné straty ako počas finančnej krízy v roku 2008. Náhla panika aktivovala indikátory neistoty a stresu na finančných trhoch a spôsobila nárast kreditných prirážok.</w:t>
            </w:r>
          </w:p>
          <w:p w14:paraId="61CACC99" w14:textId="77777777" w:rsidR="00204588" w:rsidRPr="00887108" w:rsidRDefault="00204588" w:rsidP="00204588">
            <w:pPr>
              <w:widowControl w:val="0"/>
              <w:tabs>
                <w:tab w:val="right" w:pos="9531"/>
              </w:tabs>
              <w:ind w:right="34"/>
              <w:jc w:val="both"/>
              <w:rPr>
                <w:rFonts w:eastAsia="NeueHaasGroteskText W02" w:cs="Arial"/>
                <w:b/>
                <w:bCs/>
                <w:sz w:val="20"/>
                <w:szCs w:val="20"/>
              </w:rPr>
            </w:pPr>
          </w:p>
          <w:p w14:paraId="3C17FC99" w14:textId="77777777" w:rsidR="00204588" w:rsidRPr="00887108" w:rsidRDefault="00204588" w:rsidP="00204588">
            <w:pPr>
              <w:widowControl w:val="0"/>
              <w:tabs>
                <w:tab w:val="right" w:pos="9531"/>
              </w:tabs>
              <w:ind w:right="34"/>
              <w:jc w:val="both"/>
              <w:rPr>
                <w:rFonts w:eastAsia="NeueHaasGroteskText W02" w:cs="Arial"/>
                <w:bCs/>
                <w:sz w:val="20"/>
                <w:szCs w:val="20"/>
              </w:rPr>
            </w:pPr>
            <w:r w:rsidRPr="00887108">
              <w:rPr>
                <w:rFonts w:eastAsia="NeueHaasGroteskText W02" w:cs="Arial"/>
                <w:b/>
                <w:bCs/>
                <w:sz w:val="20"/>
                <w:szCs w:val="20"/>
              </w:rPr>
              <w:t xml:space="preserve">Pohotové reakcie kľúčových centrálnych bánk pomohli stabilizovať situáciu. </w:t>
            </w:r>
            <w:r w:rsidRPr="00887108">
              <w:rPr>
                <w:rFonts w:eastAsia="NeueHaasGroteskText W02" w:cs="Arial"/>
                <w:bCs/>
                <w:sz w:val="20"/>
                <w:szCs w:val="20"/>
              </w:rPr>
              <w:t>Americký Fed znížil kľúčovú úrokovú sadzbu z 1,5 % na 0 %. Zároveň uvoľnil podmienky na kolaterál a spustil neobmedzený nákup aktív a viacero programov požičiavania na podoporu firiem. Rozsiahly balík opatrení prijala aj ECB. Vypustila limit na držanie vládnych dlhopisov jednej krajiny (predtým 33 %) v rámci 750 mld. Eur programu PEPP (Pandemic Emergency Purchase Programme). Zároveň znížila aj rizikový štandard pre kolaterál a prisľúbila kupovať aj podnikové dlhopisy. Impulz prichádza aj z fiškálnych politík viacerých krajín. Súbor opatrení dočasne upokojil situáciu na akciových trhoch, ktoré vymazali časť pôvodných strát.</w:t>
            </w:r>
          </w:p>
          <w:p w14:paraId="7F424C73" w14:textId="77777777" w:rsidR="00204588" w:rsidRPr="00887108" w:rsidRDefault="00204588" w:rsidP="00204588">
            <w:pPr>
              <w:widowControl w:val="0"/>
              <w:tabs>
                <w:tab w:val="right" w:pos="9531"/>
              </w:tabs>
              <w:ind w:right="34"/>
              <w:jc w:val="both"/>
              <w:rPr>
                <w:rFonts w:eastAsia="NeueHaasGroteskText W02" w:cs="Arial"/>
                <w:bCs/>
                <w:sz w:val="20"/>
                <w:szCs w:val="20"/>
              </w:rPr>
            </w:pPr>
          </w:p>
          <w:p w14:paraId="2D7BD3EF" w14:textId="1E8E3777" w:rsidR="00204588" w:rsidRPr="00887108" w:rsidRDefault="00204588" w:rsidP="00204588">
            <w:pPr>
              <w:widowControl w:val="0"/>
              <w:tabs>
                <w:tab w:val="right" w:pos="9531"/>
              </w:tabs>
              <w:ind w:right="34"/>
              <w:jc w:val="both"/>
              <w:rPr>
                <w:rFonts w:eastAsia="NeueHaasGroteskText W02" w:cs="Arial"/>
                <w:bCs/>
                <w:sz w:val="20"/>
                <w:szCs w:val="20"/>
              </w:rPr>
            </w:pPr>
            <w:r w:rsidRPr="00887108">
              <w:rPr>
                <w:rFonts w:eastAsia="NeueHaasGroteskText W02" w:cs="Arial"/>
                <w:b/>
                <w:bCs/>
                <w:sz w:val="20"/>
                <w:szCs w:val="20"/>
              </w:rPr>
              <w:t xml:space="preserve">Cena ropy Brent od začiatku roku klesla o viac ako 50 %. </w:t>
            </w:r>
            <w:r w:rsidRPr="00887108">
              <w:rPr>
                <w:rFonts w:eastAsia="NeueHaasGroteskText W02" w:cs="Arial"/>
                <w:bCs/>
                <w:sz w:val="20"/>
                <w:szCs w:val="20"/>
              </w:rPr>
              <w:t>K zníženiu ceny komodity až k 27 USD/bl prispeli okrem poklesu dopytu aj obchodné spory medzi krajinami OPEC+. Turbulentné obdobie má za sebou aj devízový trh. Oslabovali najmä kurzy tzv. emerging krajín, ale aj kurzy V3. Rovnako náročné posuny zaznamenali dlhopisové trhy, keď dopyt po vládnych dlhopisov z obáv investorov klesal, a prirážky dočasne stúpli.</w:t>
            </w:r>
          </w:p>
          <w:tbl>
            <w:tblPr>
              <w:tblpPr w:leftFromText="141" w:rightFromText="141" w:vertAnchor="text" w:horzAnchor="margin" w:tblpY="61"/>
              <w:tblOverlap w:val="never"/>
              <w:tblW w:w="496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35"/>
              <w:gridCol w:w="179"/>
              <w:gridCol w:w="4461"/>
            </w:tblGrid>
            <w:tr w:rsidR="00204588" w:rsidRPr="00887108" w14:paraId="389498E6" w14:textId="77777777" w:rsidTr="00204588">
              <w:trPr>
                <w:trHeight w:val="359"/>
              </w:trPr>
              <w:tc>
                <w:tcPr>
                  <w:tcW w:w="2386" w:type="pct"/>
                  <w:tcBorders>
                    <w:top w:val="nil"/>
                    <w:left w:val="nil"/>
                    <w:bottom w:val="single" w:sz="4" w:space="0" w:color="auto"/>
                    <w:right w:val="nil"/>
                  </w:tcBorders>
                  <w:shd w:val="clear" w:color="auto" w:fill="auto"/>
                  <w:vAlign w:val="center"/>
                </w:tcPr>
                <w:p w14:paraId="027E50EB" w14:textId="58FE4CD6" w:rsidR="00204588" w:rsidRPr="00887108" w:rsidRDefault="00A410A4" w:rsidP="00A410A4">
                  <w:pPr>
                    <w:spacing w:before="40" w:after="40"/>
                    <w:rPr>
                      <w:rFonts w:cs="Arial"/>
                      <w:b/>
                      <w:color w:val="2C9ADC"/>
                      <w:sz w:val="18"/>
                      <w:szCs w:val="18"/>
                    </w:rPr>
                  </w:pPr>
                  <w:bookmarkStart w:id="65" w:name="_Toc40181256"/>
                  <w:r w:rsidRPr="00887108">
                    <w:rPr>
                      <w:rFonts w:eastAsiaTheme="minorHAnsi"/>
                      <w:b/>
                      <w:color w:val="2C9ADC"/>
                      <w:sz w:val="18"/>
                      <w:szCs w:val="18"/>
                      <w:lang w:eastAsia="en-US"/>
                    </w:rPr>
                    <w:t xml:space="preserve">GRAF </w:t>
                  </w:r>
                  <w:r w:rsidRPr="00887108">
                    <w:rPr>
                      <w:rFonts w:eastAsiaTheme="minorHAnsi"/>
                      <w:b/>
                      <w:color w:val="2C9ADC"/>
                      <w:sz w:val="18"/>
                      <w:szCs w:val="18"/>
                      <w:lang w:eastAsia="en-US"/>
                    </w:rPr>
                    <w:fldChar w:fldCharType="begin"/>
                  </w:r>
                  <w:r w:rsidRPr="00887108">
                    <w:rPr>
                      <w:rFonts w:eastAsiaTheme="minorHAnsi"/>
                      <w:b/>
                      <w:color w:val="2C9ADC"/>
                      <w:sz w:val="18"/>
                      <w:szCs w:val="18"/>
                      <w:lang w:eastAsia="en-US"/>
                    </w:rPr>
                    <w:instrText xml:space="preserve"> SEQ GRAF \* ARABIC </w:instrText>
                  </w:r>
                  <w:r w:rsidRPr="00887108">
                    <w:rPr>
                      <w:rFonts w:eastAsiaTheme="minorHAnsi"/>
                      <w:b/>
                      <w:color w:val="2C9ADC"/>
                      <w:sz w:val="18"/>
                      <w:szCs w:val="18"/>
                      <w:lang w:eastAsia="en-US"/>
                    </w:rPr>
                    <w:fldChar w:fldCharType="separate"/>
                  </w:r>
                  <w:r w:rsidR="00D47A36">
                    <w:rPr>
                      <w:rFonts w:eastAsiaTheme="minorHAnsi"/>
                      <w:b/>
                      <w:noProof/>
                      <w:color w:val="2C9ADC"/>
                      <w:sz w:val="18"/>
                      <w:szCs w:val="18"/>
                      <w:lang w:eastAsia="en-US"/>
                    </w:rPr>
                    <w:t>5</w:t>
                  </w:r>
                  <w:r w:rsidRPr="00887108">
                    <w:rPr>
                      <w:rFonts w:eastAsiaTheme="minorHAnsi"/>
                      <w:b/>
                      <w:color w:val="2C9ADC"/>
                      <w:sz w:val="18"/>
                      <w:szCs w:val="18"/>
                      <w:lang w:eastAsia="en-US"/>
                    </w:rPr>
                    <w:fldChar w:fldCharType="end"/>
                  </w:r>
                  <w:r w:rsidRPr="00887108">
                    <w:rPr>
                      <w:rFonts w:eastAsiaTheme="minorHAnsi"/>
                      <w:b/>
                      <w:color w:val="2C9ADC"/>
                      <w:sz w:val="18"/>
                      <w:szCs w:val="18"/>
                      <w:lang w:eastAsia="en-US"/>
                    </w:rPr>
                    <w:t xml:space="preserve"> -</w:t>
                  </w:r>
                  <w:r w:rsidR="00204588" w:rsidRPr="00887108">
                    <w:rPr>
                      <w:rFonts w:eastAsia="NeueHaasGroteskText W02" w:cs="Arial"/>
                      <w:b/>
                      <w:bCs/>
                      <w:color w:val="2C9ADC"/>
                      <w:sz w:val="18"/>
                      <w:szCs w:val="18"/>
                      <w:u w:color="2C9ADC"/>
                    </w:rPr>
                    <w:t xml:space="preserve"> Globálna lodná kontajnerová preprava vo februári klesla podobne ako v 2009</w:t>
                  </w:r>
                  <w:bookmarkEnd w:id="65"/>
                </w:p>
              </w:tc>
              <w:tc>
                <w:tcPr>
                  <w:tcW w:w="101" w:type="pct"/>
                  <w:tcBorders>
                    <w:top w:val="nil"/>
                    <w:left w:val="nil"/>
                    <w:bottom w:val="nil"/>
                    <w:right w:val="nil"/>
                  </w:tcBorders>
                  <w:shd w:val="clear" w:color="auto" w:fill="auto"/>
                  <w:vAlign w:val="center"/>
                </w:tcPr>
                <w:p w14:paraId="42F2F9B9" w14:textId="77777777" w:rsidR="00204588" w:rsidRPr="00887108" w:rsidRDefault="00204588" w:rsidP="00204588">
                  <w:pPr>
                    <w:spacing w:before="60" w:after="60"/>
                    <w:rPr>
                      <w:rFonts w:cs="Arial"/>
                      <w:b/>
                      <w:color w:val="2C9ADC"/>
                      <w:sz w:val="18"/>
                      <w:szCs w:val="18"/>
                    </w:rPr>
                  </w:pPr>
                </w:p>
              </w:tc>
              <w:tc>
                <w:tcPr>
                  <w:tcW w:w="2513" w:type="pct"/>
                  <w:tcBorders>
                    <w:top w:val="nil"/>
                    <w:left w:val="nil"/>
                    <w:bottom w:val="single" w:sz="4" w:space="0" w:color="auto"/>
                    <w:right w:val="nil"/>
                  </w:tcBorders>
                  <w:shd w:val="clear" w:color="auto" w:fill="auto"/>
                  <w:vAlign w:val="center"/>
                </w:tcPr>
                <w:p w14:paraId="7E630A71" w14:textId="3E8D1AB6" w:rsidR="00204588" w:rsidRPr="00887108" w:rsidRDefault="00A410A4" w:rsidP="00204588">
                  <w:pPr>
                    <w:spacing w:before="40" w:after="40"/>
                    <w:rPr>
                      <w:rFonts w:cs="Arial"/>
                      <w:b/>
                      <w:color w:val="2C9ADC"/>
                      <w:sz w:val="18"/>
                      <w:szCs w:val="18"/>
                    </w:rPr>
                  </w:pPr>
                  <w:bookmarkStart w:id="66" w:name="_Toc40181257"/>
                  <w:r w:rsidRPr="00887108">
                    <w:rPr>
                      <w:rFonts w:eastAsiaTheme="minorHAnsi"/>
                      <w:b/>
                      <w:color w:val="2C9ADC"/>
                      <w:sz w:val="18"/>
                      <w:szCs w:val="18"/>
                      <w:lang w:eastAsia="en-US"/>
                    </w:rPr>
                    <w:t xml:space="preserve">GRAF </w:t>
                  </w:r>
                  <w:r w:rsidRPr="00887108">
                    <w:rPr>
                      <w:rFonts w:eastAsiaTheme="minorHAnsi"/>
                      <w:b/>
                      <w:color w:val="2C9ADC"/>
                      <w:sz w:val="18"/>
                      <w:szCs w:val="18"/>
                      <w:lang w:eastAsia="en-US"/>
                    </w:rPr>
                    <w:fldChar w:fldCharType="begin"/>
                  </w:r>
                  <w:r w:rsidRPr="00887108">
                    <w:rPr>
                      <w:rFonts w:eastAsiaTheme="minorHAnsi"/>
                      <w:b/>
                      <w:color w:val="2C9ADC"/>
                      <w:sz w:val="18"/>
                      <w:szCs w:val="18"/>
                      <w:lang w:eastAsia="en-US"/>
                    </w:rPr>
                    <w:instrText xml:space="preserve"> SEQ GRAF \* ARABIC </w:instrText>
                  </w:r>
                  <w:r w:rsidRPr="00887108">
                    <w:rPr>
                      <w:rFonts w:eastAsiaTheme="minorHAnsi"/>
                      <w:b/>
                      <w:color w:val="2C9ADC"/>
                      <w:sz w:val="18"/>
                      <w:szCs w:val="18"/>
                      <w:lang w:eastAsia="en-US"/>
                    </w:rPr>
                    <w:fldChar w:fldCharType="separate"/>
                  </w:r>
                  <w:r w:rsidR="00D47A36">
                    <w:rPr>
                      <w:rFonts w:eastAsiaTheme="minorHAnsi"/>
                      <w:b/>
                      <w:noProof/>
                      <w:color w:val="2C9ADC"/>
                      <w:sz w:val="18"/>
                      <w:szCs w:val="18"/>
                      <w:lang w:eastAsia="en-US"/>
                    </w:rPr>
                    <w:t>6</w:t>
                  </w:r>
                  <w:r w:rsidRPr="00887108">
                    <w:rPr>
                      <w:rFonts w:eastAsiaTheme="minorHAnsi"/>
                      <w:b/>
                      <w:color w:val="2C9ADC"/>
                      <w:sz w:val="18"/>
                      <w:szCs w:val="18"/>
                      <w:lang w:eastAsia="en-US"/>
                    </w:rPr>
                    <w:fldChar w:fldCharType="end"/>
                  </w:r>
                  <w:r w:rsidRPr="00887108">
                    <w:rPr>
                      <w:rFonts w:eastAsiaTheme="minorHAnsi"/>
                      <w:b/>
                      <w:color w:val="2C9ADC"/>
                      <w:sz w:val="18"/>
                      <w:szCs w:val="18"/>
                      <w:lang w:eastAsia="en-US"/>
                    </w:rPr>
                    <w:t xml:space="preserve"> -</w:t>
                  </w:r>
                  <w:r w:rsidRPr="00887108">
                    <w:rPr>
                      <w:rFonts w:eastAsia="NeueHaasGroteskText W02" w:cs="Arial"/>
                      <w:b/>
                      <w:bCs/>
                      <w:color w:val="2C9ADC"/>
                      <w:sz w:val="18"/>
                      <w:szCs w:val="18"/>
                      <w:u w:color="2C9ADC"/>
                    </w:rPr>
                    <w:t xml:space="preserve"> </w:t>
                  </w:r>
                  <w:r w:rsidR="00204588" w:rsidRPr="00887108">
                    <w:rPr>
                      <w:rFonts w:eastAsia="NeueHaasGroteskText W02" w:cs="Arial"/>
                      <w:b/>
                      <w:bCs/>
                      <w:color w:val="2C9ADC"/>
                      <w:sz w:val="18"/>
                      <w:szCs w:val="18"/>
                      <w:u w:color="2C9ADC"/>
                    </w:rPr>
                    <w:t>Marcové predstihové indikátory pre eurozónu hlásia historické prepady</w:t>
                  </w:r>
                  <w:bookmarkEnd w:id="66"/>
                </w:p>
              </w:tc>
            </w:tr>
            <w:tr w:rsidR="00204588" w:rsidRPr="00887108" w14:paraId="20122B9B" w14:textId="77777777" w:rsidTr="00E166E9">
              <w:trPr>
                <w:trHeight w:val="917"/>
              </w:trPr>
              <w:tc>
                <w:tcPr>
                  <w:tcW w:w="2386" w:type="pct"/>
                  <w:tcBorders>
                    <w:top w:val="single" w:sz="4" w:space="0" w:color="auto"/>
                    <w:left w:val="nil"/>
                    <w:bottom w:val="single" w:sz="4" w:space="0" w:color="auto"/>
                    <w:right w:val="nil"/>
                  </w:tcBorders>
                  <w:vAlign w:val="center"/>
                </w:tcPr>
                <w:p w14:paraId="37BA6F2B" w14:textId="77777777" w:rsidR="00204588" w:rsidRPr="00887108" w:rsidRDefault="00204588" w:rsidP="00204588">
                  <w:pPr>
                    <w:spacing w:before="40" w:after="40"/>
                    <w:jc w:val="center"/>
                    <w:rPr>
                      <w:rFonts w:cs="Arial"/>
                      <w:b/>
                      <w:sz w:val="20"/>
                      <w:szCs w:val="20"/>
                    </w:rPr>
                  </w:pPr>
                  <w:r w:rsidRPr="00887108">
                    <w:rPr>
                      <w:rFonts w:cs="Arial"/>
                    </w:rPr>
                    <w:drawing>
                      <wp:inline distT="0" distB="0" distL="0" distR="0" wp14:anchorId="4705C275" wp14:editId="1D146A78">
                        <wp:extent cx="2447925" cy="1819275"/>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01" w:type="pct"/>
                  <w:tcBorders>
                    <w:top w:val="nil"/>
                    <w:left w:val="nil"/>
                    <w:bottom w:val="nil"/>
                    <w:right w:val="nil"/>
                  </w:tcBorders>
                  <w:vAlign w:val="center"/>
                </w:tcPr>
                <w:p w14:paraId="0647A6A2" w14:textId="77777777" w:rsidR="00204588" w:rsidRPr="00887108" w:rsidRDefault="00204588" w:rsidP="00204588">
                  <w:pPr>
                    <w:spacing w:before="40" w:after="40"/>
                    <w:jc w:val="center"/>
                    <w:rPr>
                      <w:rFonts w:cs="Arial"/>
                      <w:b/>
                      <w:sz w:val="20"/>
                      <w:szCs w:val="20"/>
                    </w:rPr>
                  </w:pPr>
                </w:p>
              </w:tc>
              <w:tc>
                <w:tcPr>
                  <w:tcW w:w="2513" w:type="pct"/>
                  <w:tcBorders>
                    <w:top w:val="single" w:sz="4" w:space="0" w:color="auto"/>
                    <w:left w:val="nil"/>
                    <w:bottom w:val="single" w:sz="4" w:space="0" w:color="auto"/>
                    <w:right w:val="nil"/>
                  </w:tcBorders>
                  <w:vAlign w:val="center"/>
                </w:tcPr>
                <w:p w14:paraId="05D03872" w14:textId="452A9E3F" w:rsidR="00204588" w:rsidRPr="00887108" w:rsidRDefault="00B62E20" w:rsidP="00204588">
                  <w:pPr>
                    <w:spacing w:before="40" w:after="40"/>
                    <w:jc w:val="center"/>
                    <w:rPr>
                      <w:rFonts w:cs="Arial"/>
                      <w:b/>
                      <w:sz w:val="20"/>
                      <w:szCs w:val="20"/>
                    </w:rPr>
                  </w:pPr>
                  <w:r w:rsidRPr="00887108">
                    <w:rPr>
                      <w:rFonts w:eastAsia="NeueHaasGroteskText W02" w:cs="Arial"/>
                      <w:b/>
                      <w:bCs/>
                      <w:sz w:val="20"/>
                      <w:szCs w:val="20"/>
                    </w:rPr>
                    <mc:AlternateContent>
                      <mc:Choice Requires="wps">
                        <w:drawing>
                          <wp:anchor distT="0" distB="0" distL="114300" distR="114300" simplePos="0" relativeHeight="251664384" behindDoc="0" locked="0" layoutInCell="1" allowOverlap="1" wp14:anchorId="3888F7FD" wp14:editId="008D4783">
                            <wp:simplePos x="0" y="0"/>
                            <wp:positionH relativeFrom="column">
                              <wp:posOffset>2313940</wp:posOffset>
                            </wp:positionH>
                            <wp:positionV relativeFrom="paragraph">
                              <wp:posOffset>1204595</wp:posOffset>
                            </wp:positionV>
                            <wp:extent cx="107950" cy="107950"/>
                            <wp:effectExtent l="0" t="0" r="6350" b="6350"/>
                            <wp:wrapNone/>
                            <wp:docPr id="5" name="Ovál 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7030A0">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A0624F6" id="Ovál 5" o:spid="_x0000_s1026" style="position:absolute;margin-left:182.2pt;margin-top:94.85pt;width: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" fillcolor="#7030a0" stroked="f" strokeweight="2pt">
                            <v:fill opacity="21588f"/>
                          </v:oval>
                        </w:pict>
                      </mc:Fallback>
                    </mc:AlternateContent>
                  </w:r>
                  <w:r w:rsidR="00E166E9" w:rsidRPr="00887108">
                    <w:drawing>
                      <wp:inline distT="0" distB="0" distL="0" distR="0" wp14:anchorId="70CFC39A" wp14:editId="0F05A1F8">
                        <wp:extent cx="2409825" cy="1800225"/>
                        <wp:effectExtent l="0" t="0" r="9525"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04588" w:rsidRPr="00887108">
                    <w:rPr>
                      <w:rFonts w:eastAsia="NeueHaasGroteskText W02" w:cs="Arial"/>
                      <w:b/>
                      <w:bCs/>
                      <w:sz w:val="20"/>
                      <w:szCs w:val="20"/>
                    </w:rPr>
                    <mc:AlternateContent>
                      <mc:Choice Requires="wps">
                        <w:drawing>
                          <wp:anchor distT="0" distB="0" distL="114300" distR="114300" simplePos="0" relativeHeight="251665408" behindDoc="0" locked="0" layoutInCell="1" allowOverlap="1" wp14:anchorId="4E0A3919" wp14:editId="793D4D05">
                            <wp:simplePos x="0" y="0"/>
                            <wp:positionH relativeFrom="column">
                              <wp:posOffset>2302510</wp:posOffset>
                            </wp:positionH>
                            <wp:positionV relativeFrom="paragraph">
                              <wp:posOffset>906780</wp:posOffset>
                            </wp:positionV>
                            <wp:extent cx="107950" cy="107950"/>
                            <wp:effectExtent l="0" t="0" r="6350" b="6350"/>
                            <wp:wrapNone/>
                            <wp:docPr id="27" name="Ovál 2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7030A0">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D0E813D" id="Ovál 27" o:spid="_x0000_s1026" style="position:absolute;margin-left:181.3pt;margin-top:71.4pt;width: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" fillcolor="#7030a0" stroked="f" strokeweight="2pt">
                            <v:fill opacity="21588f"/>
                          </v:oval>
                        </w:pict>
                      </mc:Fallback>
                    </mc:AlternateContent>
                  </w:r>
                </w:p>
              </w:tc>
            </w:tr>
            <w:tr w:rsidR="00204588" w:rsidRPr="00887108" w14:paraId="3CB532AE" w14:textId="77777777" w:rsidTr="00204588">
              <w:trPr>
                <w:trHeight w:val="115"/>
              </w:trPr>
              <w:tc>
                <w:tcPr>
                  <w:tcW w:w="2386" w:type="pct"/>
                  <w:tcBorders>
                    <w:top w:val="single" w:sz="4" w:space="0" w:color="auto"/>
                    <w:left w:val="nil"/>
                    <w:bottom w:val="nil"/>
                    <w:right w:val="nil"/>
                  </w:tcBorders>
                </w:tcPr>
                <w:p w14:paraId="741FAA01" w14:textId="77777777" w:rsidR="00204588" w:rsidRPr="00887108" w:rsidRDefault="00204588" w:rsidP="00204588">
                  <w:pPr>
                    <w:spacing w:before="40" w:after="40"/>
                    <w:jc w:val="right"/>
                    <w:rPr>
                      <w:rFonts w:cs="Arial"/>
                      <w:i/>
                      <w:sz w:val="14"/>
                      <w:szCs w:val="14"/>
                    </w:rPr>
                  </w:pPr>
                  <w:r w:rsidRPr="00887108">
                    <w:rPr>
                      <w:rFonts w:cs="Arial"/>
                      <w:i/>
                      <w:sz w:val="14"/>
                      <w:szCs w:val="14"/>
                    </w:rPr>
                    <w:t>Zdroj ISL, IFP</w:t>
                  </w:r>
                </w:p>
              </w:tc>
              <w:tc>
                <w:tcPr>
                  <w:tcW w:w="101" w:type="pct"/>
                  <w:tcBorders>
                    <w:top w:val="nil"/>
                    <w:left w:val="nil"/>
                    <w:bottom w:val="nil"/>
                    <w:right w:val="nil"/>
                  </w:tcBorders>
                </w:tcPr>
                <w:p w14:paraId="7DC9DA40" w14:textId="77777777" w:rsidR="00204588" w:rsidRPr="00887108" w:rsidRDefault="00204588" w:rsidP="00204588">
                  <w:pPr>
                    <w:jc w:val="right"/>
                    <w:rPr>
                      <w:rFonts w:cs="Arial"/>
                      <w:i/>
                      <w:sz w:val="14"/>
                      <w:szCs w:val="14"/>
                    </w:rPr>
                  </w:pPr>
                </w:p>
              </w:tc>
              <w:tc>
                <w:tcPr>
                  <w:tcW w:w="2513" w:type="pct"/>
                  <w:tcBorders>
                    <w:top w:val="single" w:sz="4" w:space="0" w:color="auto"/>
                    <w:left w:val="nil"/>
                    <w:bottom w:val="nil"/>
                    <w:right w:val="nil"/>
                  </w:tcBorders>
                </w:tcPr>
                <w:p w14:paraId="43C6CD0D" w14:textId="06487F2D" w:rsidR="00204588" w:rsidRPr="00887108" w:rsidRDefault="00204588" w:rsidP="00204588">
                  <w:pPr>
                    <w:spacing w:before="40" w:after="40"/>
                    <w:jc w:val="right"/>
                    <w:rPr>
                      <w:rFonts w:cs="Arial"/>
                      <w:i/>
                      <w:sz w:val="14"/>
                      <w:szCs w:val="14"/>
                    </w:rPr>
                  </w:pPr>
                  <w:r w:rsidRPr="00887108">
                    <w:rPr>
                      <w:rFonts w:cs="Arial"/>
                      <w:i/>
                      <w:sz w:val="14"/>
                      <w:szCs w:val="14"/>
                    </w:rPr>
                    <w:t xml:space="preserve">Zdroj: EK, IHS </w:t>
                  </w:r>
                  <w:r w:rsidR="00343B57" w:rsidRPr="00887108">
                    <w:rPr>
                      <w:rFonts w:cs="Arial"/>
                      <w:i/>
                      <w:sz w:val="14"/>
                      <w:szCs w:val="14"/>
                    </w:rPr>
                    <w:t xml:space="preserve">Markit, Eurostat, </w:t>
                  </w:r>
                  <w:r w:rsidRPr="00887108">
                    <w:rPr>
                      <w:rFonts w:cs="Arial"/>
                      <w:i/>
                      <w:sz w:val="14"/>
                      <w:szCs w:val="14"/>
                    </w:rPr>
                    <w:t>IFP</w:t>
                  </w:r>
                </w:p>
              </w:tc>
            </w:tr>
          </w:tbl>
          <w:p w14:paraId="0E661794" w14:textId="77777777" w:rsidR="00204588" w:rsidRPr="00887108" w:rsidRDefault="00204588" w:rsidP="00204588">
            <w:pPr>
              <w:widowControl w:val="0"/>
              <w:tabs>
                <w:tab w:val="right" w:pos="9531"/>
              </w:tabs>
              <w:ind w:right="34"/>
              <w:jc w:val="both"/>
              <w:rPr>
                <w:rFonts w:eastAsia="NeueHaasGroteskText W02" w:cs="Arial"/>
                <w:b/>
                <w:bCs/>
                <w:sz w:val="20"/>
                <w:szCs w:val="20"/>
              </w:rPr>
            </w:pPr>
          </w:p>
          <w:p w14:paraId="7DA33E7C" w14:textId="628EF13E" w:rsidR="00204588" w:rsidRPr="00887108" w:rsidRDefault="00204588" w:rsidP="00204588">
            <w:pPr>
              <w:widowControl w:val="0"/>
              <w:tabs>
                <w:tab w:val="right" w:pos="9531"/>
              </w:tabs>
              <w:ind w:right="34"/>
              <w:jc w:val="both"/>
              <w:rPr>
                <w:rFonts w:eastAsia="NeueHaasGroteskText W02" w:cs="Arial"/>
                <w:bCs/>
                <w:sz w:val="20"/>
                <w:szCs w:val="20"/>
              </w:rPr>
            </w:pPr>
            <w:r w:rsidRPr="00887108">
              <w:rPr>
                <w:rFonts w:eastAsia="NeueHaasGroteskText W02" w:cs="Arial"/>
                <w:b/>
                <w:bCs/>
                <w:sz w:val="20"/>
                <w:szCs w:val="20"/>
              </w:rPr>
              <w:t xml:space="preserve">Prepuknutie koronavírusu paralyzovalo globálnu ekonomiku. </w:t>
            </w:r>
            <w:r w:rsidRPr="00887108">
              <w:rPr>
                <w:rFonts w:eastAsia="NeueHaasGroteskText W02" w:cs="Arial"/>
                <w:bCs/>
                <w:sz w:val="20"/>
                <w:szCs w:val="20"/>
              </w:rPr>
              <w:t>Vo februári klesla svetová lodná kontajnerová preprava medzimesačne o 10 %, podobne ako v časoch finančnej krízy (</w:t>
            </w:r>
            <w:r w:rsidR="001D7FBD" w:rsidRPr="00887108">
              <w:rPr>
                <w:rFonts w:eastAsia="NeueHaasGroteskText W02" w:cs="Arial"/>
                <w:bCs/>
                <w:i/>
                <w:color w:val="2C9ADC" w:themeColor="accent1"/>
                <w:sz w:val="20"/>
                <w:szCs w:val="20"/>
              </w:rPr>
              <w:t>Graf 5</w:t>
            </w:r>
            <w:r w:rsidRPr="00887108">
              <w:rPr>
                <w:rFonts w:eastAsia="NeueHaasGroteskText W02" w:cs="Arial"/>
                <w:bCs/>
                <w:sz w:val="20"/>
                <w:szCs w:val="20"/>
              </w:rPr>
              <w:t>). V USA stúpol počet žiadostí o podporu v nezamestnanosti o historických 9 mil. v </w:t>
            </w:r>
            <w:r w:rsidR="00FA18DA" w:rsidRPr="00887108">
              <w:rPr>
                <w:rFonts w:eastAsia="NeueHaasGroteskText W02" w:cs="Arial"/>
                <w:bCs/>
                <w:sz w:val="20"/>
                <w:szCs w:val="20"/>
              </w:rPr>
              <w:t>druhej polovici marca</w:t>
            </w:r>
            <w:r w:rsidRPr="00887108">
              <w:rPr>
                <w:rFonts w:eastAsia="NeueHaasGroteskText W02" w:cs="Arial"/>
                <w:bCs/>
                <w:sz w:val="20"/>
                <w:szCs w:val="20"/>
              </w:rPr>
              <w:t xml:space="preserve">. Ekonomika eurozóny sa v priebehu 1. štvrťroka prepadla do recesie, v ktorej zotrvá aj v priebehu 2. štvrťroka. Uzatvorenie hraníc a prijatie ochranných opatrení zasiahli v prvej línii letecký priemysel, turizmus, reštaurácie a hotely a služby vo všeobecnosti. Pokles medzinárodného obchodu aj problémy v dodávateľských reťazcoch budú mať za následok recesiu aj v priemyselnej výrobe. Konkrétny rozsah škôd spôsobený koronovírusom bude závisieť od dĺžky trvania pandémie. </w:t>
            </w:r>
          </w:p>
          <w:p w14:paraId="7AA12450" w14:textId="77777777" w:rsidR="00204588" w:rsidRPr="00887108" w:rsidRDefault="00204588" w:rsidP="00204588">
            <w:pPr>
              <w:jc w:val="both"/>
              <w:rPr>
                <w:rFonts w:eastAsia="NeueHaasGroteskText W02" w:cs="Arial"/>
                <w:b/>
                <w:bCs/>
                <w:sz w:val="20"/>
                <w:szCs w:val="20"/>
              </w:rPr>
            </w:pPr>
          </w:p>
          <w:p w14:paraId="340A5AD7" w14:textId="77777777" w:rsidR="00F71DC3" w:rsidRPr="00887108" w:rsidRDefault="00204588" w:rsidP="00204588">
            <w:pPr>
              <w:jc w:val="both"/>
              <w:rPr>
                <w:rFonts w:eastAsia="NeueHaasGroteskText W02" w:cs="Arial"/>
                <w:bCs/>
                <w:sz w:val="20"/>
                <w:szCs w:val="20"/>
              </w:rPr>
            </w:pPr>
            <w:r w:rsidRPr="00887108">
              <w:rPr>
                <w:rFonts w:eastAsia="NeueHaasGroteskText W02" w:cs="Arial"/>
                <w:b/>
                <w:bCs/>
                <w:sz w:val="20"/>
                <w:szCs w:val="20"/>
              </w:rPr>
              <w:t xml:space="preserve">Konjunkturálne prieskumy naznačujú, že recesia bude hlbšia ako finančná kríza v roku 2008 </w:t>
            </w:r>
            <w:r w:rsidRPr="00887108">
              <w:rPr>
                <w:rFonts w:eastAsia="NeueHaasGroteskText W02" w:cs="Arial"/>
                <w:bCs/>
                <w:sz w:val="20"/>
                <w:szCs w:val="20"/>
              </w:rPr>
              <w:t>(</w:t>
            </w:r>
            <w:r w:rsidRPr="00887108">
              <w:rPr>
                <w:rFonts w:eastAsia="NeueHaasGroteskText W02" w:cs="Arial"/>
                <w:bCs/>
                <w:color w:val="2C9ADC" w:themeColor="accent1"/>
                <w:sz w:val="20"/>
                <w:szCs w:val="20"/>
              </w:rPr>
              <w:t>Graf 6</w:t>
            </w:r>
            <w:r w:rsidRPr="00887108">
              <w:rPr>
                <w:rFonts w:eastAsia="NeueHaasGroteskText W02" w:cs="Arial"/>
                <w:bCs/>
                <w:sz w:val="20"/>
                <w:szCs w:val="20"/>
              </w:rPr>
              <w:t>). Kompozitný PMI index v eurozóne sa prepadol na svoje historické minimum. Podobne aj indikátory sentimentu (ESI) v eurozóne a aktivity Ifo v Nemecku signalizujú porovnateľ</w:t>
            </w:r>
            <w:r w:rsidR="00343B57" w:rsidRPr="00887108">
              <w:rPr>
                <w:rFonts w:eastAsia="NeueHaasGroteskText W02" w:cs="Arial"/>
                <w:bCs/>
                <w:sz w:val="20"/>
                <w:szCs w:val="20"/>
              </w:rPr>
              <w:t>ný rozsah škôd ako v roku 2008.</w:t>
            </w:r>
            <w:r w:rsidRPr="00887108">
              <w:rPr>
                <w:rFonts w:eastAsia="NeueHaasGroteskText W02" w:cs="Arial"/>
                <w:bCs/>
                <w:sz w:val="20"/>
                <w:szCs w:val="20"/>
              </w:rPr>
              <w:t xml:space="preserve"> Odhad HDP aj importov všetkých obchodných partnerov Slovenska bol revidovaný výrazne nadol, zodpovedajúc približne dvojmesačnému trvaniu pandémie. </w:t>
            </w:r>
          </w:p>
          <w:p w14:paraId="52B160B0" w14:textId="77777777" w:rsidR="00F71DC3" w:rsidRPr="00887108" w:rsidRDefault="00F71DC3" w:rsidP="00204588">
            <w:pPr>
              <w:jc w:val="both"/>
              <w:rPr>
                <w:rFonts w:eastAsia="NeueHaasGroteskText W02" w:cs="Arial"/>
                <w:bCs/>
                <w:sz w:val="20"/>
                <w:szCs w:val="20"/>
              </w:rPr>
            </w:pPr>
          </w:p>
          <w:p w14:paraId="43793EF8" w14:textId="0C4BCAD7" w:rsidR="00204588" w:rsidRPr="00887108" w:rsidRDefault="00204588" w:rsidP="00204588">
            <w:pPr>
              <w:jc w:val="both"/>
              <w:rPr>
                <w:rFonts w:eastAsia="NeueHaasGroteskText W02" w:cs="Arial"/>
                <w:bCs/>
                <w:sz w:val="20"/>
                <w:szCs w:val="20"/>
              </w:rPr>
            </w:pPr>
            <w:r w:rsidRPr="00887108">
              <w:rPr>
                <w:rFonts w:eastAsia="NeueHaasGroteskText W02" w:cs="Arial"/>
                <w:bCs/>
                <w:sz w:val="20"/>
                <w:szCs w:val="20"/>
              </w:rPr>
              <w:t>Uzávierka predpokladov vonkajšieho prostredia vrátane úrokových sadzieb, cien komodít a výmenných kurzov bola 31. marca 2020.</w:t>
            </w:r>
          </w:p>
        </w:tc>
      </w:tr>
    </w:tbl>
    <w:p w14:paraId="35A71F23" w14:textId="77777777" w:rsidR="00204588" w:rsidRPr="00887108" w:rsidRDefault="00204588" w:rsidP="00204588">
      <w:pPr>
        <w:pStyle w:val="Nadpis2"/>
        <w:keepLines/>
        <w:numPr>
          <w:ilvl w:val="1"/>
          <w:numId w:val="2"/>
        </w:numPr>
        <w:spacing w:before="240" w:after="120" w:line="276" w:lineRule="auto"/>
        <w:rPr>
          <w:b/>
          <w:color w:val="2C9ADC"/>
          <w:szCs w:val="28"/>
        </w:rPr>
      </w:pPr>
      <w:bookmarkStart w:id="67" w:name="_Toc449429121"/>
      <w:bookmarkStart w:id="68" w:name="_Toc480444002"/>
      <w:bookmarkStart w:id="69" w:name="_Toc480444322"/>
      <w:bookmarkStart w:id="70" w:name="_Toc480444507"/>
      <w:bookmarkStart w:id="71" w:name="_Toc40181044"/>
      <w:r w:rsidRPr="00887108">
        <w:rPr>
          <w:b/>
          <w:color w:val="2C9ADC"/>
          <w:szCs w:val="28"/>
        </w:rPr>
        <w:t>Cyklický vývoj ekonomiky</w:t>
      </w:r>
      <w:bookmarkEnd w:id="67"/>
      <w:bookmarkEnd w:id="68"/>
      <w:bookmarkEnd w:id="69"/>
      <w:bookmarkEnd w:id="70"/>
      <w:bookmarkEnd w:id="71"/>
      <w:r w:rsidRPr="00887108">
        <w:rPr>
          <w:b/>
          <w:color w:val="2C9ADC"/>
          <w:szCs w:val="28"/>
        </w:rPr>
        <w:t xml:space="preserve"> </w:t>
      </w:r>
    </w:p>
    <w:p w14:paraId="67625B8D" w14:textId="61C0788A" w:rsidR="00204588" w:rsidRPr="00887108" w:rsidRDefault="00204588" w:rsidP="00204588">
      <w:pPr>
        <w:pStyle w:val="Odsek"/>
        <w:rPr>
          <w:b/>
        </w:rPr>
      </w:pPr>
      <w:bookmarkStart w:id="72" w:name="_Toc449429131"/>
      <w:bookmarkStart w:id="73" w:name="_Toc480444012"/>
      <w:bookmarkStart w:id="74" w:name="_Toc480444323"/>
      <w:bookmarkStart w:id="75" w:name="_Toc480444517"/>
      <w:r w:rsidRPr="00887108">
        <w:rPr>
          <w:b/>
        </w:rPr>
        <w:t xml:space="preserve">Rast potenciálu ekonomiky spomalí. </w:t>
      </w:r>
      <w:r w:rsidRPr="00887108">
        <w:t xml:space="preserve">Slabšie bude k potenciálu prispievať najmä trh práce, keďže zamestnanosť a participácia </w:t>
      </w:r>
      <w:r w:rsidR="00F633D3" w:rsidRPr="00887108">
        <w:t xml:space="preserve">na trhu práce </w:t>
      </w:r>
      <w:r w:rsidRPr="00887108">
        <w:t>pre krízu klesnú. Tvorba investícií a kapitálu bude obmedzená</w:t>
      </w:r>
      <w:r w:rsidR="00E23CA9" w:rsidRPr="00887108">
        <w:t xml:space="preserve"> </w:t>
      </w:r>
      <w:r w:rsidRPr="00887108">
        <w:t xml:space="preserve">aj </w:t>
      </w:r>
      <w:r w:rsidR="00BA46EB" w:rsidRPr="00887108">
        <w:t>neistotou</w:t>
      </w:r>
      <w:r w:rsidRPr="00887108">
        <w:t xml:space="preserve"> ďalšieho vývoja. Celková produktivita faktorov bude však zasiahnutá len mierne, keďže šok do ekonomickej aktivity nemá štrukturálny charakter.</w:t>
      </w:r>
    </w:p>
    <w:tbl>
      <w:tblPr>
        <w:tblW w:w="8932" w:type="dxa"/>
        <w:jc w:val="center"/>
        <w:tblLayout w:type="fixed"/>
        <w:tblCellMar>
          <w:left w:w="70" w:type="dxa"/>
          <w:right w:w="70" w:type="dxa"/>
        </w:tblCellMar>
        <w:tblLook w:val="04A0" w:firstRow="1" w:lastRow="0" w:firstColumn="1" w:lastColumn="0" w:noHBand="0" w:noVBand="1"/>
      </w:tblPr>
      <w:tblGrid>
        <w:gridCol w:w="4395"/>
        <w:gridCol w:w="681"/>
        <w:gridCol w:w="964"/>
        <w:gridCol w:w="964"/>
        <w:gridCol w:w="964"/>
        <w:gridCol w:w="929"/>
        <w:gridCol w:w="35"/>
      </w:tblGrid>
      <w:tr w:rsidR="00204588" w:rsidRPr="00887108" w14:paraId="50A9F55F" w14:textId="77777777" w:rsidTr="00204588">
        <w:trPr>
          <w:gridAfter w:val="1"/>
          <w:wAfter w:w="35" w:type="dxa"/>
          <w:trHeight w:val="275"/>
          <w:jc w:val="center"/>
        </w:trPr>
        <w:tc>
          <w:tcPr>
            <w:tcW w:w="4395" w:type="dxa"/>
            <w:tcBorders>
              <w:top w:val="nil"/>
              <w:left w:val="nil"/>
              <w:bottom w:val="single" w:sz="6" w:space="0" w:color="auto"/>
              <w:right w:val="nil"/>
            </w:tcBorders>
            <w:shd w:val="clear" w:color="auto" w:fill="auto"/>
            <w:noWrap/>
            <w:vAlign w:val="center"/>
            <w:hideMark/>
          </w:tcPr>
          <w:p w14:paraId="435F2842" w14:textId="5B63498B" w:rsidR="00204588" w:rsidRPr="00887108" w:rsidRDefault="00204588" w:rsidP="00204588">
            <w:pPr>
              <w:pStyle w:val="Nadpis3"/>
              <w:rPr>
                <w:rFonts w:eastAsiaTheme="minorHAnsi"/>
                <w:color w:val="2C9ADC"/>
                <w:highlight w:val="yellow"/>
                <w:lang w:eastAsia="en-US"/>
              </w:rPr>
            </w:pPr>
            <w:bookmarkStart w:id="76" w:name="_Toc40181258"/>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7</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w:t>
            </w:r>
            <w:r w:rsidRPr="00887108">
              <w:rPr>
                <w:rFonts w:eastAsiaTheme="minorHAnsi"/>
                <w:color w:val="2C9ADC"/>
                <w:lang w:eastAsia="en-US"/>
              </w:rPr>
              <w:t>- Príspevky výrobných faktorov k rastu potenciálneho produktu (p. b.) - prístup MF SR</w:t>
            </w:r>
            <w:bookmarkEnd w:id="76"/>
          </w:p>
        </w:tc>
        <w:tc>
          <w:tcPr>
            <w:tcW w:w="4502" w:type="dxa"/>
            <w:gridSpan w:val="5"/>
            <w:tcBorders>
              <w:top w:val="nil"/>
              <w:left w:val="nil"/>
              <w:bottom w:val="single" w:sz="8" w:space="0" w:color="auto"/>
              <w:right w:val="nil"/>
            </w:tcBorders>
            <w:shd w:val="clear" w:color="auto" w:fill="auto"/>
            <w:noWrap/>
            <w:vAlign w:val="center"/>
            <w:hideMark/>
          </w:tcPr>
          <w:p w14:paraId="3498455E" w14:textId="752E7D6B" w:rsidR="00204588" w:rsidRPr="00887108" w:rsidRDefault="00683A4A" w:rsidP="00204588">
            <w:pPr>
              <w:pStyle w:val="Nadpis3"/>
              <w:jc w:val="both"/>
              <w:rPr>
                <w:color w:val="2C9ADC" w:themeColor="accent1"/>
              </w:rPr>
            </w:pPr>
            <w:bookmarkStart w:id="77" w:name="_Toc40186679"/>
            <w:r w:rsidRPr="00887108">
              <w:rPr>
                <w:rFonts w:eastAsiaTheme="minorHAnsi"/>
                <w:color w:val="2C9ADC" w:themeColor="accent1"/>
                <w:lang w:eastAsia="en-US"/>
              </w:rPr>
              <w:t xml:space="preserve">TABUĽKA </w:t>
            </w:r>
            <w:r w:rsidRPr="00887108">
              <w:rPr>
                <w:rFonts w:eastAsiaTheme="minorHAnsi"/>
                <w:color w:val="2C9ADC" w:themeColor="accent1"/>
                <w:lang w:eastAsia="en-US"/>
              </w:rPr>
              <w:fldChar w:fldCharType="begin"/>
            </w:r>
            <w:r w:rsidRPr="00887108">
              <w:rPr>
                <w:rFonts w:eastAsiaTheme="minorHAnsi"/>
                <w:color w:val="2C9ADC" w:themeColor="accent1"/>
                <w:lang w:eastAsia="en-US"/>
              </w:rPr>
              <w:instrText xml:space="preserve"> SEQ TABUĽKA \* ARABIC </w:instrText>
            </w:r>
            <w:r w:rsidRPr="00887108">
              <w:rPr>
                <w:rFonts w:eastAsiaTheme="minorHAnsi"/>
                <w:color w:val="2C9ADC" w:themeColor="accent1"/>
                <w:lang w:eastAsia="en-US"/>
              </w:rPr>
              <w:fldChar w:fldCharType="separate"/>
            </w:r>
            <w:r w:rsidR="00D47A36">
              <w:rPr>
                <w:rFonts w:eastAsiaTheme="minorHAnsi"/>
                <w:noProof/>
                <w:color w:val="2C9ADC" w:themeColor="accent1"/>
                <w:lang w:eastAsia="en-US"/>
              </w:rPr>
              <w:t>2</w:t>
            </w:r>
            <w:r w:rsidRPr="00887108">
              <w:rPr>
                <w:rFonts w:eastAsiaTheme="minorHAnsi"/>
                <w:color w:val="2C9ADC" w:themeColor="accent1"/>
                <w:lang w:eastAsia="en-US"/>
              </w:rPr>
              <w:fldChar w:fldCharType="end"/>
            </w:r>
            <w:r w:rsidR="00204588" w:rsidRPr="00887108">
              <w:rPr>
                <w:rFonts w:eastAsiaTheme="minorHAnsi"/>
                <w:color w:val="2C9ADC"/>
                <w:lang w:eastAsia="en-US"/>
              </w:rPr>
              <w:t xml:space="preserve"> - Príspevky výrobných faktorov k rastu potenciálneho produktu - prístup MF SR</w:t>
            </w:r>
            <w:bookmarkEnd w:id="77"/>
          </w:p>
        </w:tc>
      </w:tr>
      <w:tr w:rsidR="00204588" w:rsidRPr="00887108" w14:paraId="7F32A23A" w14:textId="77777777" w:rsidTr="00204588">
        <w:trPr>
          <w:trHeight w:val="283"/>
          <w:jc w:val="center"/>
        </w:trPr>
        <w:tc>
          <w:tcPr>
            <w:tcW w:w="4395" w:type="dxa"/>
            <w:vMerge w:val="restart"/>
            <w:tcBorders>
              <w:top w:val="single" w:sz="6" w:space="0" w:color="auto"/>
              <w:left w:val="nil"/>
              <w:bottom w:val="single" w:sz="4" w:space="0" w:color="000000"/>
              <w:right w:val="nil"/>
            </w:tcBorders>
            <w:shd w:val="clear" w:color="auto" w:fill="auto"/>
            <w:vAlign w:val="center"/>
            <w:hideMark/>
          </w:tcPr>
          <w:p w14:paraId="23372FA1" w14:textId="77777777" w:rsidR="00204588" w:rsidRPr="00887108" w:rsidRDefault="00204588" w:rsidP="00204588">
            <w:pPr>
              <w:rPr>
                <w:rFonts w:cs="Times New Roman"/>
                <w:b/>
                <w:bCs/>
                <w:color w:val="000000"/>
                <w:sz w:val="16"/>
                <w:szCs w:val="16"/>
                <w:highlight w:val="yellow"/>
              </w:rPr>
            </w:pPr>
            <w:r w:rsidRPr="00887108">
              <w:drawing>
                <wp:inline distT="0" distB="0" distL="0" distR="0" wp14:anchorId="3B361E85" wp14:editId="0249FC44">
                  <wp:extent cx="2724150" cy="195072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681" w:type="dxa"/>
            <w:tcBorders>
              <w:top w:val="single" w:sz="8" w:space="0" w:color="auto"/>
              <w:left w:val="nil"/>
              <w:bottom w:val="single" w:sz="4" w:space="0" w:color="auto"/>
              <w:right w:val="nil"/>
            </w:tcBorders>
            <w:shd w:val="clear" w:color="auto" w:fill="auto"/>
            <w:noWrap/>
            <w:vAlign w:val="center"/>
            <w:hideMark/>
          </w:tcPr>
          <w:p w14:paraId="172AFF78" w14:textId="77777777" w:rsidR="00204588" w:rsidRPr="00887108" w:rsidRDefault="00204588" w:rsidP="00204588">
            <w:pPr>
              <w:rPr>
                <w:rFonts w:cs="Times New Roman"/>
                <w:color w:val="000000"/>
                <w:sz w:val="18"/>
                <w:szCs w:val="18"/>
                <w:lang w:eastAsia="en-US"/>
              </w:rPr>
            </w:pPr>
            <w:r w:rsidRPr="00887108">
              <w:rPr>
                <w:color w:val="000000"/>
                <w:sz w:val="18"/>
                <w:szCs w:val="18"/>
              </w:rPr>
              <w:t> </w:t>
            </w:r>
          </w:p>
        </w:tc>
        <w:tc>
          <w:tcPr>
            <w:tcW w:w="964" w:type="dxa"/>
            <w:tcBorders>
              <w:top w:val="single" w:sz="8" w:space="0" w:color="auto"/>
              <w:left w:val="nil"/>
              <w:bottom w:val="single" w:sz="4" w:space="0" w:color="auto"/>
              <w:right w:val="nil"/>
            </w:tcBorders>
            <w:shd w:val="clear" w:color="auto" w:fill="auto"/>
            <w:vAlign w:val="center"/>
            <w:hideMark/>
          </w:tcPr>
          <w:p w14:paraId="6797591C" w14:textId="77777777" w:rsidR="00204588" w:rsidRPr="00887108" w:rsidRDefault="00204588" w:rsidP="00204588">
            <w:pPr>
              <w:jc w:val="center"/>
              <w:rPr>
                <w:b/>
                <w:bCs/>
                <w:color w:val="000000"/>
                <w:sz w:val="18"/>
                <w:szCs w:val="18"/>
              </w:rPr>
            </w:pPr>
            <w:r w:rsidRPr="00887108">
              <w:rPr>
                <w:b/>
                <w:bCs/>
                <w:color w:val="000000"/>
                <w:sz w:val="18"/>
                <w:szCs w:val="18"/>
              </w:rPr>
              <w:t>Pot. HDP (rast, %)</w:t>
            </w:r>
          </w:p>
        </w:tc>
        <w:tc>
          <w:tcPr>
            <w:tcW w:w="964" w:type="dxa"/>
            <w:tcBorders>
              <w:top w:val="single" w:sz="8" w:space="0" w:color="auto"/>
              <w:left w:val="nil"/>
              <w:bottom w:val="single" w:sz="4" w:space="0" w:color="auto"/>
              <w:right w:val="nil"/>
            </w:tcBorders>
            <w:shd w:val="clear" w:color="000000" w:fill="E6E6E6"/>
            <w:vAlign w:val="center"/>
            <w:hideMark/>
          </w:tcPr>
          <w:p w14:paraId="3442820E" w14:textId="77777777" w:rsidR="00204588" w:rsidRPr="00887108" w:rsidRDefault="00204588" w:rsidP="00204588">
            <w:pPr>
              <w:jc w:val="center"/>
              <w:rPr>
                <w:b/>
                <w:bCs/>
                <w:color w:val="000000"/>
                <w:sz w:val="18"/>
                <w:szCs w:val="18"/>
              </w:rPr>
            </w:pPr>
            <w:r w:rsidRPr="00887108">
              <w:rPr>
                <w:b/>
                <w:bCs/>
                <w:color w:val="000000"/>
                <w:sz w:val="18"/>
                <w:szCs w:val="18"/>
              </w:rPr>
              <w:t>TFP</w:t>
            </w:r>
            <w:r w:rsidRPr="00887108">
              <w:rPr>
                <w:b/>
                <w:bCs/>
                <w:color w:val="000000"/>
                <w:sz w:val="18"/>
                <w:szCs w:val="18"/>
                <w:vertAlign w:val="superscript"/>
              </w:rPr>
              <w:t>*</w:t>
            </w:r>
          </w:p>
        </w:tc>
        <w:tc>
          <w:tcPr>
            <w:tcW w:w="964" w:type="dxa"/>
            <w:tcBorders>
              <w:top w:val="single" w:sz="8" w:space="0" w:color="auto"/>
              <w:left w:val="nil"/>
              <w:bottom w:val="single" w:sz="4" w:space="0" w:color="auto"/>
              <w:right w:val="nil"/>
            </w:tcBorders>
            <w:shd w:val="clear" w:color="000000" w:fill="E6E6E6"/>
            <w:vAlign w:val="center"/>
            <w:hideMark/>
          </w:tcPr>
          <w:p w14:paraId="768428BA" w14:textId="77777777" w:rsidR="00204588" w:rsidRPr="00887108" w:rsidRDefault="00204588" w:rsidP="00204588">
            <w:pPr>
              <w:jc w:val="center"/>
              <w:rPr>
                <w:b/>
                <w:bCs/>
                <w:color w:val="000000"/>
                <w:sz w:val="18"/>
                <w:szCs w:val="18"/>
              </w:rPr>
            </w:pPr>
            <w:r w:rsidRPr="00887108">
              <w:rPr>
                <w:b/>
                <w:bCs/>
                <w:color w:val="000000"/>
                <w:sz w:val="18"/>
                <w:szCs w:val="18"/>
              </w:rPr>
              <w:t>Zásoba kapitálu</w:t>
            </w:r>
          </w:p>
        </w:tc>
        <w:tc>
          <w:tcPr>
            <w:tcW w:w="964" w:type="dxa"/>
            <w:gridSpan w:val="2"/>
            <w:tcBorders>
              <w:top w:val="single" w:sz="8" w:space="0" w:color="auto"/>
              <w:left w:val="nil"/>
              <w:bottom w:val="single" w:sz="4" w:space="0" w:color="auto"/>
              <w:right w:val="nil"/>
            </w:tcBorders>
            <w:shd w:val="clear" w:color="000000" w:fill="E6E6E6"/>
            <w:vAlign w:val="center"/>
            <w:hideMark/>
          </w:tcPr>
          <w:p w14:paraId="471B5903" w14:textId="77777777" w:rsidR="00204588" w:rsidRPr="00887108" w:rsidRDefault="00204588" w:rsidP="00204588">
            <w:pPr>
              <w:jc w:val="center"/>
              <w:rPr>
                <w:b/>
                <w:bCs/>
                <w:color w:val="000000"/>
                <w:sz w:val="18"/>
                <w:szCs w:val="18"/>
              </w:rPr>
            </w:pPr>
            <w:r w:rsidRPr="00887108">
              <w:rPr>
                <w:b/>
                <w:bCs/>
                <w:color w:val="000000"/>
                <w:sz w:val="18"/>
                <w:szCs w:val="18"/>
              </w:rPr>
              <w:t>Práca</w:t>
            </w:r>
          </w:p>
        </w:tc>
      </w:tr>
      <w:tr w:rsidR="00204588" w:rsidRPr="00887108" w14:paraId="3B1B2183" w14:textId="77777777" w:rsidTr="00204588">
        <w:trPr>
          <w:trHeight w:val="283"/>
          <w:jc w:val="center"/>
        </w:trPr>
        <w:tc>
          <w:tcPr>
            <w:tcW w:w="4395" w:type="dxa"/>
            <w:vMerge/>
            <w:tcBorders>
              <w:top w:val="nil"/>
              <w:left w:val="nil"/>
              <w:bottom w:val="single" w:sz="4" w:space="0" w:color="000000"/>
              <w:right w:val="nil"/>
            </w:tcBorders>
            <w:vAlign w:val="center"/>
            <w:hideMark/>
          </w:tcPr>
          <w:p w14:paraId="5486789D"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nil"/>
              <w:right w:val="nil"/>
            </w:tcBorders>
            <w:shd w:val="clear" w:color="auto" w:fill="auto"/>
            <w:noWrap/>
            <w:vAlign w:val="center"/>
            <w:hideMark/>
          </w:tcPr>
          <w:p w14:paraId="45CE0E74" w14:textId="77777777" w:rsidR="00204588" w:rsidRPr="00887108" w:rsidRDefault="00204588" w:rsidP="00204588">
            <w:pPr>
              <w:jc w:val="center"/>
              <w:rPr>
                <w:color w:val="000000"/>
                <w:sz w:val="18"/>
                <w:szCs w:val="18"/>
              </w:rPr>
            </w:pPr>
            <w:r w:rsidRPr="00887108">
              <w:rPr>
                <w:color w:val="000000"/>
                <w:sz w:val="18"/>
                <w:szCs w:val="18"/>
              </w:rPr>
              <w:t>2015</w:t>
            </w:r>
          </w:p>
        </w:tc>
        <w:tc>
          <w:tcPr>
            <w:tcW w:w="964" w:type="dxa"/>
            <w:tcBorders>
              <w:top w:val="nil"/>
              <w:left w:val="nil"/>
              <w:bottom w:val="nil"/>
              <w:right w:val="nil"/>
            </w:tcBorders>
            <w:shd w:val="clear" w:color="auto" w:fill="auto"/>
            <w:noWrap/>
            <w:vAlign w:val="center"/>
            <w:hideMark/>
          </w:tcPr>
          <w:p w14:paraId="0D0D55CE" w14:textId="77777777" w:rsidR="00204588" w:rsidRPr="00887108" w:rsidRDefault="00204588" w:rsidP="00204588">
            <w:pPr>
              <w:jc w:val="center"/>
              <w:rPr>
                <w:color w:val="000000"/>
                <w:sz w:val="18"/>
                <w:szCs w:val="18"/>
              </w:rPr>
            </w:pPr>
            <w:r w:rsidRPr="00887108">
              <w:rPr>
                <w:color w:val="000000"/>
                <w:sz w:val="18"/>
                <w:szCs w:val="18"/>
              </w:rPr>
              <w:t>3,1</w:t>
            </w:r>
          </w:p>
        </w:tc>
        <w:tc>
          <w:tcPr>
            <w:tcW w:w="964" w:type="dxa"/>
            <w:tcBorders>
              <w:top w:val="nil"/>
              <w:left w:val="nil"/>
              <w:bottom w:val="nil"/>
              <w:right w:val="nil"/>
            </w:tcBorders>
            <w:shd w:val="clear" w:color="000000" w:fill="E6E6E6"/>
            <w:noWrap/>
            <w:vAlign w:val="center"/>
            <w:hideMark/>
          </w:tcPr>
          <w:p w14:paraId="53A17542" w14:textId="77777777" w:rsidR="00204588" w:rsidRPr="00887108" w:rsidRDefault="00204588" w:rsidP="00204588">
            <w:pPr>
              <w:jc w:val="center"/>
              <w:rPr>
                <w:b/>
                <w:bCs/>
                <w:color w:val="000000"/>
                <w:sz w:val="18"/>
                <w:szCs w:val="18"/>
              </w:rPr>
            </w:pPr>
            <w:r w:rsidRPr="00887108">
              <w:rPr>
                <w:b/>
                <w:bCs/>
                <w:color w:val="000000"/>
                <w:sz w:val="18"/>
                <w:szCs w:val="18"/>
              </w:rPr>
              <w:t>2,0</w:t>
            </w:r>
          </w:p>
        </w:tc>
        <w:tc>
          <w:tcPr>
            <w:tcW w:w="964" w:type="dxa"/>
            <w:tcBorders>
              <w:top w:val="nil"/>
              <w:left w:val="nil"/>
              <w:bottom w:val="nil"/>
              <w:right w:val="nil"/>
            </w:tcBorders>
            <w:shd w:val="clear" w:color="000000" w:fill="E6E6E6"/>
            <w:noWrap/>
            <w:vAlign w:val="center"/>
            <w:hideMark/>
          </w:tcPr>
          <w:p w14:paraId="741C525E" w14:textId="77777777" w:rsidR="00204588" w:rsidRPr="00887108" w:rsidRDefault="00204588" w:rsidP="00204588">
            <w:pPr>
              <w:jc w:val="center"/>
              <w:rPr>
                <w:b/>
                <w:bCs/>
                <w:color w:val="000000"/>
                <w:sz w:val="18"/>
                <w:szCs w:val="18"/>
              </w:rPr>
            </w:pPr>
            <w:r w:rsidRPr="00887108">
              <w:rPr>
                <w:b/>
                <w:bCs/>
                <w:color w:val="000000"/>
                <w:sz w:val="18"/>
                <w:szCs w:val="18"/>
              </w:rPr>
              <w:t>0,5</w:t>
            </w:r>
          </w:p>
        </w:tc>
        <w:tc>
          <w:tcPr>
            <w:tcW w:w="964" w:type="dxa"/>
            <w:gridSpan w:val="2"/>
            <w:tcBorders>
              <w:top w:val="nil"/>
              <w:left w:val="nil"/>
              <w:bottom w:val="nil"/>
              <w:right w:val="nil"/>
            </w:tcBorders>
            <w:shd w:val="clear" w:color="000000" w:fill="E6E6E6"/>
            <w:vAlign w:val="center"/>
            <w:hideMark/>
          </w:tcPr>
          <w:p w14:paraId="7D90E7D7" w14:textId="77777777" w:rsidR="00204588" w:rsidRPr="00887108" w:rsidRDefault="00204588" w:rsidP="00204588">
            <w:pPr>
              <w:jc w:val="center"/>
              <w:rPr>
                <w:b/>
                <w:bCs/>
                <w:color w:val="000000"/>
                <w:sz w:val="18"/>
                <w:szCs w:val="18"/>
              </w:rPr>
            </w:pPr>
            <w:r w:rsidRPr="00887108">
              <w:rPr>
                <w:b/>
                <w:bCs/>
                <w:color w:val="000000"/>
                <w:sz w:val="18"/>
                <w:szCs w:val="18"/>
              </w:rPr>
              <w:t>0,5</w:t>
            </w:r>
          </w:p>
        </w:tc>
      </w:tr>
      <w:tr w:rsidR="00204588" w:rsidRPr="00887108" w14:paraId="532BFDE3" w14:textId="77777777" w:rsidTr="00204588">
        <w:trPr>
          <w:trHeight w:val="283"/>
          <w:jc w:val="center"/>
        </w:trPr>
        <w:tc>
          <w:tcPr>
            <w:tcW w:w="4395" w:type="dxa"/>
            <w:vMerge/>
            <w:tcBorders>
              <w:top w:val="nil"/>
              <w:left w:val="nil"/>
              <w:bottom w:val="single" w:sz="4" w:space="0" w:color="000000"/>
              <w:right w:val="nil"/>
            </w:tcBorders>
            <w:vAlign w:val="center"/>
            <w:hideMark/>
          </w:tcPr>
          <w:p w14:paraId="1AE1628D"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nil"/>
              <w:right w:val="nil"/>
            </w:tcBorders>
            <w:shd w:val="clear" w:color="auto" w:fill="auto"/>
            <w:noWrap/>
            <w:vAlign w:val="center"/>
            <w:hideMark/>
          </w:tcPr>
          <w:p w14:paraId="538E8B65" w14:textId="77777777" w:rsidR="00204588" w:rsidRPr="00887108" w:rsidRDefault="00204588" w:rsidP="00204588">
            <w:pPr>
              <w:jc w:val="center"/>
              <w:rPr>
                <w:color w:val="000000"/>
                <w:sz w:val="18"/>
                <w:szCs w:val="18"/>
              </w:rPr>
            </w:pPr>
            <w:r w:rsidRPr="00887108">
              <w:rPr>
                <w:color w:val="000000"/>
                <w:sz w:val="18"/>
                <w:szCs w:val="18"/>
              </w:rPr>
              <w:t>2016</w:t>
            </w:r>
          </w:p>
        </w:tc>
        <w:tc>
          <w:tcPr>
            <w:tcW w:w="964" w:type="dxa"/>
            <w:tcBorders>
              <w:top w:val="nil"/>
              <w:left w:val="nil"/>
              <w:bottom w:val="nil"/>
              <w:right w:val="nil"/>
            </w:tcBorders>
            <w:shd w:val="clear" w:color="auto" w:fill="auto"/>
            <w:noWrap/>
            <w:vAlign w:val="center"/>
            <w:hideMark/>
          </w:tcPr>
          <w:p w14:paraId="1E86892B" w14:textId="77777777" w:rsidR="00204588" w:rsidRPr="00887108" w:rsidRDefault="00204588" w:rsidP="00204588">
            <w:pPr>
              <w:jc w:val="center"/>
              <w:rPr>
                <w:color w:val="000000"/>
                <w:sz w:val="18"/>
                <w:szCs w:val="18"/>
              </w:rPr>
            </w:pPr>
            <w:r w:rsidRPr="00887108">
              <w:rPr>
                <w:color w:val="000000"/>
                <w:sz w:val="18"/>
                <w:szCs w:val="18"/>
              </w:rPr>
              <w:t>2.5</w:t>
            </w:r>
          </w:p>
        </w:tc>
        <w:tc>
          <w:tcPr>
            <w:tcW w:w="964" w:type="dxa"/>
            <w:tcBorders>
              <w:top w:val="nil"/>
              <w:left w:val="nil"/>
              <w:bottom w:val="nil"/>
              <w:right w:val="nil"/>
            </w:tcBorders>
            <w:shd w:val="clear" w:color="000000" w:fill="E6E6E6"/>
            <w:noWrap/>
            <w:vAlign w:val="center"/>
            <w:hideMark/>
          </w:tcPr>
          <w:p w14:paraId="2A490A8B" w14:textId="77777777" w:rsidR="00204588" w:rsidRPr="00887108" w:rsidRDefault="00204588" w:rsidP="00204588">
            <w:pPr>
              <w:jc w:val="center"/>
              <w:rPr>
                <w:b/>
                <w:bCs/>
                <w:color w:val="000000"/>
                <w:sz w:val="18"/>
                <w:szCs w:val="18"/>
              </w:rPr>
            </w:pPr>
            <w:r w:rsidRPr="00887108">
              <w:rPr>
                <w:b/>
                <w:bCs/>
                <w:color w:val="000000"/>
                <w:sz w:val="18"/>
                <w:szCs w:val="18"/>
              </w:rPr>
              <w:t>1,1</w:t>
            </w:r>
          </w:p>
        </w:tc>
        <w:tc>
          <w:tcPr>
            <w:tcW w:w="964" w:type="dxa"/>
            <w:tcBorders>
              <w:top w:val="nil"/>
              <w:left w:val="nil"/>
              <w:bottom w:val="nil"/>
              <w:right w:val="nil"/>
            </w:tcBorders>
            <w:shd w:val="clear" w:color="000000" w:fill="E6E6E6"/>
            <w:noWrap/>
            <w:vAlign w:val="center"/>
            <w:hideMark/>
          </w:tcPr>
          <w:p w14:paraId="4F263AC1" w14:textId="77777777" w:rsidR="00204588" w:rsidRPr="00887108" w:rsidRDefault="00204588" w:rsidP="00204588">
            <w:pPr>
              <w:jc w:val="center"/>
              <w:rPr>
                <w:b/>
                <w:bCs/>
                <w:color w:val="000000"/>
                <w:sz w:val="18"/>
                <w:szCs w:val="18"/>
              </w:rPr>
            </w:pPr>
            <w:r w:rsidRPr="00887108">
              <w:rPr>
                <w:b/>
                <w:bCs/>
                <w:color w:val="000000"/>
                <w:sz w:val="18"/>
                <w:szCs w:val="18"/>
              </w:rPr>
              <w:t>0,8</w:t>
            </w:r>
          </w:p>
        </w:tc>
        <w:tc>
          <w:tcPr>
            <w:tcW w:w="964" w:type="dxa"/>
            <w:gridSpan w:val="2"/>
            <w:tcBorders>
              <w:top w:val="nil"/>
              <w:left w:val="nil"/>
              <w:bottom w:val="nil"/>
              <w:right w:val="nil"/>
            </w:tcBorders>
            <w:shd w:val="clear" w:color="000000" w:fill="E6E6E6"/>
            <w:vAlign w:val="center"/>
            <w:hideMark/>
          </w:tcPr>
          <w:p w14:paraId="08A8EA2A" w14:textId="77777777" w:rsidR="00204588" w:rsidRPr="00887108" w:rsidRDefault="00204588" w:rsidP="00204588">
            <w:pPr>
              <w:jc w:val="center"/>
              <w:rPr>
                <w:b/>
                <w:bCs/>
                <w:color w:val="000000"/>
                <w:sz w:val="18"/>
                <w:szCs w:val="18"/>
              </w:rPr>
            </w:pPr>
            <w:r w:rsidRPr="00887108">
              <w:rPr>
                <w:b/>
                <w:bCs/>
                <w:color w:val="000000"/>
                <w:sz w:val="18"/>
                <w:szCs w:val="18"/>
              </w:rPr>
              <w:t>0,6</w:t>
            </w:r>
          </w:p>
        </w:tc>
      </w:tr>
      <w:tr w:rsidR="00204588" w:rsidRPr="00887108" w14:paraId="1D0B3628" w14:textId="77777777" w:rsidTr="00204588">
        <w:trPr>
          <w:trHeight w:val="283"/>
          <w:jc w:val="center"/>
        </w:trPr>
        <w:tc>
          <w:tcPr>
            <w:tcW w:w="4395" w:type="dxa"/>
            <w:vMerge/>
            <w:tcBorders>
              <w:top w:val="nil"/>
              <w:left w:val="nil"/>
              <w:bottom w:val="single" w:sz="4" w:space="0" w:color="000000"/>
              <w:right w:val="nil"/>
            </w:tcBorders>
            <w:vAlign w:val="center"/>
            <w:hideMark/>
          </w:tcPr>
          <w:p w14:paraId="59B7C2E2"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nil"/>
              <w:right w:val="nil"/>
            </w:tcBorders>
            <w:shd w:val="clear" w:color="auto" w:fill="auto"/>
            <w:noWrap/>
            <w:vAlign w:val="center"/>
            <w:hideMark/>
          </w:tcPr>
          <w:p w14:paraId="79BC34A3" w14:textId="77777777" w:rsidR="00204588" w:rsidRPr="00887108" w:rsidRDefault="00204588" w:rsidP="00204588">
            <w:pPr>
              <w:jc w:val="center"/>
              <w:rPr>
                <w:color w:val="000000"/>
                <w:sz w:val="18"/>
                <w:szCs w:val="18"/>
              </w:rPr>
            </w:pPr>
            <w:r w:rsidRPr="00887108">
              <w:rPr>
                <w:color w:val="000000"/>
                <w:sz w:val="18"/>
                <w:szCs w:val="18"/>
              </w:rPr>
              <w:t>2017</w:t>
            </w:r>
          </w:p>
        </w:tc>
        <w:tc>
          <w:tcPr>
            <w:tcW w:w="964" w:type="dxa"/>
            <w:tcBorders>
              <w:top w:val="nil"/>
              <w:left w:val="nil"/>
              <w:bottom w:val="nil"/>
              <w:right w:val="nil"/>
            </w:tcBorders>
            <w:shd w:val="clear" w:color="auto" w:fill="auto"/>
            <w:noWrap/>
            <w:vAlign w:val="center"/>
            <w:hideMark/>
          </w:tcPr>
          <w:p w14:paraId="443C3791" w14:textId="77777777" w:rsidR="00204588" w:rsidRPr="00887108" w:rsidRDefault="00204588" w:rsidP="00204588">
            <w:pPr>
              <w:jc w:val="center"/>
              <w:rPr>
                <w:color w:val="000000"/>
                <w:sz w:val="18"/>
                <w:szCs w:val="18"/>
              </w:rPr>
            </w:pPr>
            <w:r w:rsidRPr="00887108">
              <w:rPr>
                <w:color w:val="000000"/>
                <w:sz w:val="18"/>
                <w:szCs w:val="18"/>
              </w:rPr>
              <w:t>2,3</w:t>
            </w:r>
          </w:p>
        </w:tc>
        <w:tc>
          <w:tcPr>
            <w:tcW w:w="964" w:type="dxa"/>
            <w:tcBorders>
              <w:top w:val="nil"/>
              <w:left w:val="nil"/>
              <w:bottom w:val="nil"/>
              <w:right w:val="nil"/>
            </w:tcBorders>
            <w:shd w:val="clear" w:color="000000" w:fill="E6E6E6"/>
            <w:noWrap/>
            <w:vAlign w:val="center"/>
            <w:hideMark/>
          </w:tcPr>
          <w:p w14:paraId="552C944F" w14:textId="77777777" w:rsidR="00204588" w:rsidRPr="00887108" w:rsidRDefault="00204588" w:rsidP="00204588">
            <w:pPr>
              <w:jc w:val="center"/>
              <w:rPr>
                <w:b/>
                <w:bCs/>
                <w:color w:val="000000"/>
                <w:sz w:val="18"/>
                <w:szCs w:val="18"/>
              </w:rPr>
            </w:pPr>
            <w:r w:rsidRPr="00887108">
              <w:rPr>
                <w:b/>
                <w:bCs/>
                <w:color w:val="000000"/>
                <w:sz w:val="18"/>
                <w:szCs w:val="18"/>
              </w:rPr>
              <w:t>1,2</w:t>
            </w:r>
          </w:p>
        </w:tc>
        <w:tc>
          <w:tcPr>
            <w:tcW w:w="964" w:type="dxa"/>
            <w:tcBorders>
              <w:top w:val="nil"/>
              <w:left w:val="nil"/>
              <w:bottom w:val="nil"/>
              <w:right w:val="nil"/>
            </w:tcBorders>
            <w:shd w:val="clear" w:color="000000" w:fill="E6E6E6"/>
            <w:noWrap/>
            <w:vAlign w:val="center"/>
            <w:hideMark/>
          </w:tcPr>
          <w:p w14:paraId="2A42845A" w14:textId="77777777" w:rsidR="00204588" w:rsidRPr="00887108" w:rsidRDefault="00204588" w:rsidP="00204588">
            <w:pPr>
              <w:jc w:val="center"/>
              <w:rPr>
                <w:b/>
                <w:bCs/>
                <w:color w:val="000000"/>
                <w:sz w:val="18"/>
                <w:szCs w:val="18"/>
              </w:rPr>
            </w:pPr>
            <w:r w:rsidRPr="00887108">
              <w:rPr>
                <w:b/>
                <w:bCs/>
                <w:color w:val="000000"/>
                <w:sz w:val="18"/>
                <w:szCs w:val="18"/>
              </w:rPr>
              <w:t>0,5</w:t>
            </w:r>
          </w:p>
        </w:tc>
        <w:tc>
          <w:tcPr>
            <w:tcW w:w="964" w:type="dxa"/>
            <w:gridSpan w:val="2"/>
            <w:tcBorders>
              <w:top w:val="nil"/>
              <w:left w:val="nil"/>
              <w:bottom w:val="nil"/>
              <w:right w:val="nil"/>
            </w:tcBorders>
            <w:shd w:val="clear" w:color="000000" w:fill="E6E6E6"/>
            <w:vAlign w:val="center"/>
            <w:hideMark/>
          </w:tcPr>
          <w:p w14:paraId="54DC2884" w14:textId="77777777" w:rsidR="00204588" w:rsidRPr="00887108" w:rsidRDefault="00204588" w:rsidP="00204588">
            <w:pPr>
              <w:jc w:val="center"/>
              <w:rPr>
                <w:b/>
                <w:bCs/>
                <w:color w:val="000000"/>
                <w:sz w:val="18"/>
                <w:szCs w:val="18"/>
              </w:rPr>
            </w:pPr>
            <w:r w:rsidRPr="00887108">
              <w:rPr>
                <w:b/>
                <w:bCs/>
                <w:color w:val="000000"/>
                <w:sz w:val="18"/>
                <w:szCs w:val="18"/>
              </w:rPr>
              <w:t>0,6</w:t>
            </w:r>
          </w:p>
        </w:tc>
      </w:tr>
      <w:tr w:rsidR="00204588" w:rsidRPr="00887108" w14:paraId="775AB45E" w14:textId="77777777" w:rsidTr="00204588">
        <w:trPr>
          <w:trHeight w:val="283"/>
          <w:jc w:val="center"/>
        </w:trPr>
        <w:tc>
          <w:tcPr>
            <w:tcW w:w="4395" w:type="dxa"/>
            <w:vMerge/>
            <w:tcBorders>
              <w:top w:val="nil"/>
              <w:left w:val="nil"/>
              <w:bottom w:val="single" w:sz="4" w:space="0" w:color="000000"/>
              <w:right w:val="nil"/>
            </w:tcBorders>
            <w:vAlign w:val="center"/>
            <w:hideMark/>
          </w:tcPr>
          <w:p w14:paraId="52296D14"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nil"/>
              <w:right w:val="nil"/>
            </w:tcBorders>
            <w:shd w:val="clear" w:color="auto" w:fill="auto"/>
            <w:noWrap/>
            <w:vAlign w:val="center"/>
            <w:hideMark/>
          </w:tcPr>
          <w:p w14:paraId="1A4A7C39" w14:textId="77777777" w:rsidR="00204588" w:rsidRPr="00887108" w:rsidRDefault="00204588" w:rsidP="00204588">
            <w:pPr>
              <w:jc w:val="center"/>
              <w:rPr>
                <w:color w:val="000000"/>
                <w:sz w:val="18"/>
                <w:szCs w:val="18"/>
              </w:rPr>
            </w:pPr>
            <w:r w:rsidRPr="00887108">
              <w:rPr>
                <w:color w:val="000000"/>
                <w:sz w:val="18"/>
                <w:szCs w:val="18"/>
              </w:rPr>
              <w:t>2018</w:t>
            </w:r>
          </w:p>
        </w:tc>
        <w:tc>
          <w:tcPr>
            <w:tcW w:w="964" w:type="dxa"/>
            <w:tcBorders>
              <w:top w:val="nil"/>
              <w:left w:val="nil"/>
              <w:bottom w:val="nil"/>
              <w:right w:val="nil"/>
            </w:tcBorders>
            <w:shd w:val="clear" w:color="auto" w:fill="auto"/>
            <w:noWrap/>
            <w:vAlign w:val="center"/>
            <w:hideMark/>
          </w:tcPr>
          <w:p w14:paraId="368C5606" w14:textId="77777777" w:rsidR="00204588" w:rsidRPr="00887108" w:rsidRDefault="00204588" w:rsidP="00204588">
            <w:pPr>
              <w:jc w:val="center"/>
              <w:rPr>
                <w:color w:val="000000"/>
                <w:sz w:val="18"/>
                <w:szCs w:val="18"/>
              </w:rPr>
            </w:pPr>
            <w:r w:rsidRPr="00887108">
              <w:rPr>
                <w:color w:val="000000"/>
                <w:sz w:val="18"/>
                <w:szCs w:val="18"/>
              </w:rPr>
              <w:t>2,7</w:t>
            </w:r>
          </w:p>
        </w:tc>
        <w:tc>
          <w:tcPr>
            <w:tcW w:w="964" w:type="dxa"/>
            <w:tcBorders>
              <w:top w:val="nil"/>
              <w:left w:val="nil"/>
              <w:bottom w:val="nil"/>
              <w:right w:val="nil"/>
            </w:tcBorders>
            <w:shd w:val="clear" w:color="000000" w:fill="E6E6E6"/>
            <w:noWrap/>
            <w:vAlign w:val="center"/>
            <w:hideMark/>
          </w:tcPr>
          <w:p w14:paraId="40CCEA50" w14:textId="77777777" w:rsidR="00204588" w:rsidRPr="00887108" w:rsidRDefault="00204588" w:rsidP="00204588">
            <w:pPr>
              <w:jc w:val="center"/>
              <w:rPr>
                <w:b/>
                <w:bCs/>
                <w:color w:val="000000"/>
                <w:sz w:val="18"/>
                <w:szCs w:val="18"/>
              </w:rPr>
            </w:pPr>
            <w:r w:rsidRPr="00887108">
              <w:rPr>
                <w:b/>
                <w:bCs/>
                <w:color w:val="000000"/>
                <w:sz w:val="18"/>
                <w:szCs w:val="18"/>
              </w:rPr>
              <w:t>1,5</w:t>
            </w:r>
          </w:p>
        </w:tc>
        <w:tc>
          <w:tcPr>
            <w:tcW w:w="964" w:type="dxa"/>
            <w:tcBorders>
              <w:top w:val="nil"/>
              <w:left w:val="nil"/>
              <w:bottom w:val="nil"/>
              <w:right w:val="nil"/>
            </w:tcBorders>
            <w:shd w:val="clear" w:color="000000" w:fill="E6E6E6"/>
            <w:noWrap/>
            <w:vAlign w:val="center"/>
            <w:hideMark/>
          </w:tcPr>
          <w:p w14:paraId="1045D981" w14:textId="77777777" w:rsidR="00204588" w:rsidRPr="00887108" w:rsidRDefault="00204588" w:rsidP="00204588">
            <w:pPr>
              <w:jc w:val="center"/>
              <w:rPr>
                <w:b/>
                <w:bCs/>
                <w:color w:val="000000"/>
                <w:sz w:val="18"/>
                <w:szCs w:val="18"/>
              </w:rPr>
            </w:pPr>
            <w:r w:rsidRPr="00887108">
              <w:rPr>
                <w:b/>
                <w:bCs/>
                <w:color w:val="000000"/>
                <w:sz w:val="18"/>
                <w:szCs w:val="18"/>
              </w:rPr>
              <w:t>0,7</w:t>
            </w:r>
          </w:p>
        </w:tc>
        <w:tc>
          <w:tcPr>
            <w:tcW w:w="964" w:type="dxa"/>
            <w:gridSpan w:val="2"/>
            <w:tcBorders>
              <w:top w:val="nil"/>
              <w:left w:val="nil"/>
              <w:bottom w:val="nil"/>
              <w:right w:val="nil"/>
            </w:tcBorders>
            <w:shd w:val="clear" w:color="000000" w:fill="E6E6E6"/>
            <w:vAlign w:val="center"/>
            <w:hideMark/>
          </w:tcPr>
          <w:p w14:paraId="62B5E68E" w14:textId="77777777" w:rsidR="00204588" w:rsidRPr="00887108" w:rsidRDefault="00204588" w:rsidP="00204588">
            <w:pPr>
              <w:jc w:val="center"/>
              <w:rPr>
                <w:b/>
                <w:bCs/>
                <w:color w:val="000000"/>
                <w:sz w:val="18"/>
                <w:szCs w:val="18"/>
              </w:rPr>
            </w:pPr>
            <w:r w:rsidRPr="00887108">
              <w:rPr>
                <w:b/>
                <w:bCs/>
                <w:color w:val="000000"/>
                <w:sz w:val="18"/>
                <w:szCs w:val="18"/>
              </w:rPr>
              <w:t>0,5</w:t>
            </w:r>
          </w:p>
        </w:tc>
      </w:tr>
      <w:tr w:rsidR="00204588" w:rsidRPr="00887108" w14:paraId="2FFAF0EC" w14:textId="77777777" w:rsidTr="00204588">
        <w:trPr>
          <w:trHeight w:val="283"/>
          <w:jc w:val="center"/>
        </w:trPr>
        <w:tc>
          <w:tcPr>
            <w:tcW w:w="4395" w:type="dxa"/>
            <w:vMerge/>
            <w:tcBorders>
              <w:top w:val="nil"/>
              <w:left w:val="nil"/>
              <w:bottom w:val="single" w:sz="4" w:space="0" w:color="000000"/>
              <w:right w:val="nil"/>
            </w:tcBorders>
            <w:vAlign w:val="center"/>
            <w:hideMark/>
          </w:tcPr>
          <w:p w14:paraId="6DC671BB"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single" w:sz="4" w:space="0" w:color="auto"/>
              <w:right w:val="nil"/>
            </w:tcBorders>
            <w:shd w:val="clear" w:color="auto" w:fill="auto"/>
            <w:noWrap/>
            <w:vAlign w:val="center"/>
            <w:hideMark/>
          </w:tcPr>
          <w:p w14:paraId="71060F3D" w14:textId="77777777" w:rsidR="00204588" w:rsidRPr="00887108" w:rsidRDefault="00204588" w:rsidP="00204588">
            <w:pPr>
              <w:jc w:val="center"/>
              <w:rPr>
                <w:color w:val="000000"/>
                <w:sz w:val="18"/>
                <w:szCs w:val="18"/>
              </w:rPr>
            </w:pPr>
            <w:r w:rsidRPr="00887108">
              <w:rPr>
                <w:color w:val="000000"/>
                <w:sz w:val="18"/>
                <w:szCs w:val="18"/>
              </w:rPr>
              <w:t>2019</w:t>
            </w:r>
          </w:p>
        </w:tc>
        <w:tc>
          <w:tcPr>
            <w:tcW w:w="964" w:type="dxa"/>
            <w:tcBorders>
              <w:top w:val="nil"/>
              <w:left w:val="nil"/>
              <w:bottom w:val="single" w:sz="4" w:space="0" w:color="auto"/>
              <w:right w:val="nil"/>
            </w:tcBorders>
            <w:shd w:val="clear" w:color="auto" w:fill="auto"/>
            <w:noWrap/>
            <w:vAlign w:val="center"/>
            <w:hideMark/>
          </w:tcPr>
          <w:p w14:paraId="10837E31" w14:textId="77777777" w:rsidR="00204588" w:rsidRPr="00887108" w:rsidRDefault="00204588" w:rsidP="00204588">
            <w:pPr>
              <w:jc w:val="center"/>
              <w:rPr>
                <w:color w:val="000000"/>
                <w:sz w:val="18"/>
                <w:szCs w:val="18"/>
              </w:rPr>
            </w:pPr>
            <w:r w:rsidRPr="00887108">
              <w:rPr>
                <w:color w:val="000000"/>
                <w:sz w:val="18"/>
                <w:szCs w:val="18"/>
              </w:rPr>
              <w:t>2,4</w:t>
            </w:r>
          </w:p>
        </w:tc>
        <w:tc>
          <w:tcPr>
            <w:tcW w:w="964" w:type="dxa"/>
            <w:tcBorders>
              <w:top w:val="nil"/>
              <w:left w:val="nil"/>
              <w:bottom w:val="single" w:sz="4" w:space="0" w:color="auto"/>
              <w:right w:val="nil"/>
            </w:tcBorders>
            <w:shd w:val="clear" w:color="000000" w:fill="E6E6E6"/>
            <w:noWrap/>
            <w:vAlign w:val="center"/>
            <w:hideMark/>
          </w:tcPr>
          <w:p w14:paraId="1F8CC7FD" w14:textId="77777777" w:rsidR="00204588" w:rsidRPr="00887108" w:rsidRDefault="00204588" w:rsidP="00204588">
            <w:pPr>
              <w:jc w:val="center"/>
              <w:rPr>
                <w:b/>
                <w:bCs/>
                <w:color w:val="000000"/>
                <w:sz w:val="18"/>
                <w:szCs w:val="18"/>
              </w:rPr>
            </w:pPr>
            <w:r w:rsidRPr="00887108">
              <w:rPr>
                <w:b/>
                <w:bCs/>
                <w:color w:val="000000"/>
                <w:sz w:val="18"/>
                <w:szCs w:val="18"/>
              </w:rPr>
              <w:t>1,4</w:t>
            </w:r>
          </w:p>
        </w:tc>
        <w:tc>
          <w:tcPr>
            <w:tcW w:w="964" w:type="dxa"/>
            <w:tcBorders>
              <w:top w:val="nil"/>
              <w:left w:val="nil"/>
              <w:bottom w:val="single" w:sz="4" w:space="0" w:color="auto"/>
              <w:right w:val="nil"/>
            </w:tcBorders>
            <w:shd w:val="clear" w:color="000000" w:fill="E6E6E6"/>
            <w:noWrap/>
            <w:vAlign w:val="center"/>
            <w:hideMark/>
          </w:tcPr>
          <w:p w14:paraId="76E0F280" w14:textId="77777777" w:rsidR="00204588" w:rsidRPr="00887108" w:rsidRDefault="00204588" w:rsidP="00204588">
            <w:pPr>
              <w:jc w:val="center"/>
              <w:rPr>
                <w:b/>
                <w:bCs/>
                <w:color w:val="000000"/>
                <w:sz w:val="18"/>
                <w:szCs w:val="18"/>
              </w:rPr>
            </w:pPr>
            <w:r w:rsidRPr="00887108">
              <w:rPr>
                <w:b/>
                <w:bCs/>
                <w:color w:val="000000"/>
                <w:sz w:val="18"/>
                <w:szCs w:val="18"/>
              </w:rPr>
              <w:t>0,7</w:t>
            </w:r>
          </w:p>
        </w:tc>
        <w:tc>
          <w:tcPr>
            <w:tcW w:w="964" w:type="dxa"/>
            <w:gridSpan w:val="2"/>
            <w:tcBorders>
              <w:top w:val="nil"/>
              <w:left w:val="nil"/>
              <w:bottom w:val="single" w:sz="4" w:space="0" w:color="auto"/>
              <w:right w:val="nil"/>
            </w:tcBorders>
            <w:shd w:val="clear" w:color="000000" w:fill="E6E6E6"/>
            <w:vAlign w:val="center"/>
            <w:hideMark/>
          </w:tcPr>
          <w:p w14:paraId="2EC3FE2E" w14:textId="77777777" w:rsidR="00204588" w:rsidRPr="00887108" w:rsidRDefault="00204588" w:rsidP="00204588">
            <w:pPr>
              <w:jc w:val="center"/>
              <w:rPr>
                <w:b/>
                <w:bCs/>
                <w:color w:val="000000"/>
                <w:sz w:val="18"/>
                <w:szCs w:val="18"/>
              </w:rPr>
            </w:pPr>
            <w:r w:rsidRPr="00887108">
              <w:rPr>
                <w:b/>
                <w:bCs/>
                <w:color w:val="000000"/>
                <w:sz w:val="18"/>
                <w:szCs w:val="18"/>
              </w:rPr>
              <w:t>0,3</w:t>
            </w:r>
          </w:p>
        </w:tc>
      </w:tr>
      <w:tr w:rsidR="00204588" w:rsidRPr="00887108" w14:paraId="49641632" w14:textId="77777777" w:rsidTr="00204588">
        <w:trPr>
          <w:trHeight w:val="283"/>
          <w:jc w:val="center"/>
        </w:trPr>
        <w:tc>
          <w:tcPr>
            <w:tcW w:w="4395" w:type="dxa"/>
            <w:vMerge/>
            <w:tcBorders>
              <w:top w:val="nil"/>
              <w:left w:val="nil"/>
              <w:bottom w:val="single" w:sz="4" w:space="0" w:color="000000"/>
              <w:right w:val="nil"/>
            </w:tcBorders>
            <w:vAlign w:val="center"/>
            <w:hideMark/>
          </w:tcPr>
          <w:p w14:paraId="48F948C7"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nil"/>
              <w:right w:val="nil"/>
            </w:tcBorders>
            <w:shd w:val="clear" w:color="auto" w:fill="auto"/>
            <w:noWrap/>
            <w:vAlign w:val="center"/>
            <w:hideMark/>
          </w:tcPr>
          <w:p w14:paraId="1E69D93B" w14:textId="77777777" w:rsidR="00204588" w:rsidRPr="00887108" w:rsidRDefault="00204588" w:rsidP="00204588">
            <w:pPr>
              <w:jc w:val="center"/>
              <w:rPr>
                <w:color w:val="000000"/>
                <w:sz w:val="18"/>
                <w:szCs w:val="18"/>
              </w:rPr>
            </w:pPr>
            <w:r w:rsidRPr="00887108">
              <w:rPr>
                <w:color w:val="000000"/>
                <w:sz w:val="18"/>
                <w:szCs w:val="18"/>
              </w:rPr>
              <w:t>2020F</w:t>
            </w:r>
          </w:p>
        </w:tc>
        <w:tc>
          <w:tcPr>
            <w:tcW w:w="964" w:type="dxa"/>
            <w:tcBorders>
              <w:top w:val="nil"/>
              <w:left w:val="nil"/>
              <w:bottom w:val="nil"/>
              <w:right w:val="nil"/>
            </w:tcBorders>
            <w:shd w:val="clear" w:color="auto" w:fill="auto"/>
            <w:noWrap/>
            <w:vAlign w:val="center"/>
            <w:hideMark/>
          </w:tcPr>
          <w:p w14:paraId="5DBF653A" w14:textId="77777777" w:rsidR="00204588" w:rsidRPr="00887108" w:rsidRDefault="00204588" w:rsidP="00204588">
            <w:pPr>
              <w:jc w:val="center"/>
              <w:rPr>
                <w:color w:val="000000"/>
                <w:sz w:val="18"/>
                <w:szCs w:val="18"/>
              </w:rPr>
            </w:pPr>
            <w:r w:rsidRPr="00887108">
              <w:rPr>
                <w:color w:val="000000"/>
                <w:sz w:val="18"/>
                <w:szCs w:val="18"/>
              </w:rPr>
              <w:t>1,6</w:t>
            </w:r>
          </w:p>
        </w:tc>
        <w:tc>
          <w:tcPr>
            <w:tcW w:w="964" w:type="dxa"/>
            <w:tcBorders>
              <w:top w:val="nil"/>
              <w:left w:val="nil"/>
              <w:bottom w:val="nil"/>
              <w:right w:val="nil"/>
            </w:tcBorders>
            <w:shd w:val="clear" w:color="000000" w:fill="E6E6E6"/>
            <w:noWrap/>
            <w:vAlign w:val="center"/>
            <w:hideMark/>
          </w:tcPr>
          <w:p w14:paraId="129B5623" w14:textId="77777777" w:rsidR="00204588" w:rsidRPr="00887108" w:rsidRDefault="00204588" w:rsidP="00204588">
            <w:pPr>
              <w:jc w:val="center"/>
              <w:rPr>
                <w:b/>
                <w:bCs/>
                <w:color w:val="000000"/>
                <w:sz w:val="18"/>
                <w:szCs w:val="18"/>
              </w:rPr>
            </w:pPr>
            <w:r w:rsidRPr="00887108">
              <w:rPr>
                <w:b/>
                <w:bCs/>
                <w:color w:val="000000"/>
                <w:sz w:val="18"/>
                <w:szCs w:val="18"/>
              </w:rPr>
              <w:t>1,2</w:t>
            </w:r>
          </w:p>
        </w:tc>
        <w:tc>
          <w:tcPr>
            <w:tcW w:w="964" w:type="dxa"/>
            <w:tcBorders>
              <w:top w:val="nil"/>
              <w:left w:val="nil"/>
              <w:bottom w:val="nil"/>
              <w:right w:val="nil"/>
            </w:tcBorders>
            <w:shd w:val="clear" w:color="000000" w:fill="E6E6E6"/>
            <w:noWrap/>
            <w:vAlign w:val="center"/>
            <w:hideMark/>
          </w:tcPr>
          <w:p w14:paraId="6C443E0D" w14:textId="77777777" w:rsidR="00204588" w:rsidRPr="00887108" w:rsidRDefault="00204588" w:rsidP="00204588">
            <w:pPr>
              <w:jc w:val="center"/>
              <w:rPr>
                <w:b/>
                <w:bCs/>
                <w:color w:val="000000"/>
                <w:sz w:val="18"/>
                <w:szCs w:val="18"/>
              </w:rPr>
            </w:pPr>
            <w:r w:rsidRPr="00887108">
              <w:rPr>
                <w:b/>
                <w:bCs/>
                <w:color w:val="000000"/>
                <w:sz w:val="18"/>
                <w:szCs w:val="18"/>
              </w:rPr>
              <w:t>0,6</w:t>
            </w:r>
          </w:p>
        </w:tc>
        <w:tc>
          <w:tcPr>
            <w:tcW w:w="964" w:type="dxa"/>
            <w:gridSpan w:val="2"/>
            <w:tcBorders>
              <w:top w:val="nil"/>
              <w:left w:val="nil"/>
              <w:bottom w:val="nil"/>
              <w:right w:val="nil"/>
            </w:tcBorders>
            <w:shd w:val="clear" w:color="000000" w:fill="E6E6E6"/>
            <w:vAlign w:val="center"/>
            <w:hideMark/>
          </w:tcPr>
          <w:p w14:paraId="110D618D" w14:textId="77777777" w:rsidR="00204588" w:rsidRPr="00887108" w:rsidRDefault="00204588" w:rsidP="00204588">
            <w:pPr>
              <w:jc w:val="center"/>
              <w:rPr>
                <w:b/>
                <w:bCs/>
                <w:color w:val="000000"/>
                <w:sz w:val="18"/>
                <w:szCs w:val="18"/>
              </w:rPr>
            </w:pPr>
            <w:r w:rsidRPr="00887108">
              <w:rPr>
                <w:b/>
                <w:bCs/>
                <w:color w:val="000000"/>
                <w:sz w:val="18"/>
                <w:szCs w:val="18"/>
              </w:rPr>
              <w:t>-0.2</w:t>
            </w:r>
          </w:p>
        </w:tc>
      </w:tr>
      <w:tr w:rsidR="00204588" w:rsidRPr="00887108" w14:paraId="5CC86579" w14:textId="77777777" w:rsidTr="00204588">
        <w:trPr>
          <w:trHeight w:val="283"/>
          <w:jc w:val="center"/>
        </w:trPr>
        <w:tc>
          <w:tcPr>
            <w:tcW w:w="4395" w:type="dxa"/>
            <w:vMerge/>
            <w:tcBorders>
              <w:top w:val="nil"/>
              <w:left w:val="nil"/>
              <w:bottom w:val="single" w:sz="4" w:space="0" w:color="000000"/>
              <w:right w:val="nil"/>
            </w:tcBorders>
            <w:vAlign w:val="center"/>
            <w:hideMark/>
          </w:tcPr>
          <w:p w14:paraId="1FB449F1"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nil"/>
              <w:right w:val="nil"/>
            </w:tcBorders>
            <w:shd w:val="clear" w:color="auto" w:fill="auto"/>
            <w:noWrap/>
            <w:vAlign w:val="center"/>
            <w:hideMark/>
          </w:tcPr>
          <w:p w14:paraId="62856ADB" w14:textId="77777777" w:rsidR="00204588" w:rsidRPr="00887108" w:rsidRDefault="00204588" w:rsidP="00204588">
            <w:pPr>
              <w:jc w:val="center"/>
              <w:rPr>
                <w:color w:val="000000"/>
                <w:sz w:val="18"/>
                <w:szCs w:val="18"/>
              </w:rPr>
            </w:pPr>
            <w:r w:rsidRPr="00887108">
              <w:rPr>
                <w:color w:val="000000"/>
                <w:sz w:val="18"/>
                <w:szCs w:val="18"/>
              </w:rPr>
              <w:t>2021F</w:t>
            </w:r>
          </w:p>
        </w:tc>
        <w:tc>
          <w:tcPr>
            <w:tcW w:w="964" w:type="dxa"/>
            <w:tcBorders>
              <w:top w:val="nil"/>
              <w:left w:val="nil"/>
              <w:bottom w:val="nil"/>
              <w:right w:val="nil"/>
            </w:tcBorders>
            <w:shd w:val="clear" w:color="auto" w:fill="auto"/>
            <w:noWrap/>
            <w:vAlign w:val="center"/>
            <w:hideMark/>
          </w:tcPr>
          <w:p w14:paraId="33613843" w14:textId="77777777" w:rsidR="00204588" w:rsidRPr="00887108" w:rsidRDefault="00204588" w:rsidP="00204588">
            <w:pPr>
              <w:jc w:val="center"/>
              <w:rPr>
                <w:color w:val="000000"/>
                <w:sz w:val="18"/>
                <w:szCs w:val="18"/>
              </w:rPr>
            </w:pPr>
            <w:r w:rsidRPr="00887108">
              <w:rPr>
                <w:color w:val="000000"/>
                <w:sz w:val="18"/>
                <w:szCs w:val="18"/>
              </w:rPr>
              <w:t>2,2</w:t>
            </w:r>
          </w:p>
        </w:tc>
        <w:tc>
          <w:tcPr>
            <w:tcW w:w="964" w:type="dxa"/>
            <w:tcBorders>
              <w:top w:val="nil"/>
              <w:left w:val="nil"/>
              <w:bottom w:val="nil"/>
              <w:right w:val="nil"/>
            </w:tcBorders>
            <w:shd w:val="clear" w:color="000000" w:fill="E6E6E6"/>
            <w:noWrap/>
            <w:vAlign w:val="center"/>
            <w:hideMark/>
          </w:tcPr>
          <w:p w14:paraId="33B840FA" w14:textId="77777777" w:rsidR="00204588" w:rsidRPr="00887108" w:rsidRDefault="00204588" w:rsidP="00204588">
            <w:pPr>
              <w:jc w:val="center"/>
              <w:rPr>
                <w:b/>
                <w:bCs/>
                <w:color w:val="000000"/>
                <w:sz w:val="18"/>
                <w:szCs w:val="18"/>
              </w:rPr>
            </w:pPr>
            <w:r w:rsidRPr="00887108">
              <w:rPr>
                <w:b/>
                <w:bCs/>
                <w:color w:val="000000"/>
                <w:sz w:val="18"/>
                <w:szCs w:val="18"/>
              </w:rPr>
              <w:t>1,4</w:t>
            </w:r>
          </w:p>
        </w:tc>
        <w:tc>
          <w:tcPr>
            <w:tcW w:w="964" w:type="dxa"/>
            <w:tcBorders>
              <w:top w:val="nil"/>
              <w:left w:val="nil"/>
              <w:bottom w:val="nil"/>
              <w:right w:val="nil"/>
            </w:tcBorders>
            <w:shd w:val="clear" w:color="000000" w:fill="E6E6E6"/>
            <w:noWrap/>
            <w:vAlign w:val="center"/>
            <w:hideMark/>
          </w:tcPr>
          <w:p w14:paraId="3EA17A1B" w14:textId="77777777" w:rsidR="00204588" w:rsidRPr="00887108" w:rsidRDefault="00204588" w:rsidP="00204588">
            <w:pPr>
              <w:jc w:val="center"/>
              <w:rPr>
                <w:b/>
                <w:bCs/>
                <w:color w:val="000000"/>
                <w:sz w:val="18"/>
                <w:szCs w:val="18"/>
              </w:rPr>
            </w:pPr>
            <w:r w:rsidRPr="00887108">
              <w:rPr>
                <w:b/>
                <w:bCs/>
                <w:color w:val="000000"/>
                <w:sz w:val="18"/>
                <w:szCs w:val="18"/>
              </w:rPr>
              <w:t>0,3</w:t>
            </w:r>
          </w:p>
        </w:tc>
        <w:tc>
          <w:tcPr>
            <w:tcW w:w="964" w:type="dxa"/>
            <w:gridSpan w:val="2"/>
            <w:tcBorders>
              <w:top w:val="nil"/>
              <w:left w:val="nil"/>
              <w:bottom w:val="nil"/>
              <w:right w:val="nil"/>
            </w:tcBorders>
            <w:shd w:val="clear" w:color="000000" w:fill="E6E6E6"/>
            <w:vAlign w:val="center"/>
            <w:hideMark/>
          </w:tcPr>
          <w:p w14:paraId="53D63BFE" w14:textId="77777777" w:rsidR="00204588" w:rsidRPr="00887108" w:rsidRDefault="00204588" w:rsidP="00204588">
            <w:pPr>
              <w:jc w:val="center"/>
              <w:rPr>
                <w:b/>
                <w:bCs/>
                <w:color w:val="000000"/>
                <w:sz w:val="18"/>
                <w:szCs w:val="18"/>
              </w:rPr>
            </w:pPr>
            <w:r w:rsidRPr="00887108">
              <w:rPr>
                <w:b/>
                <w:bCs/>
                <w:color w:val="000000"/>
                <w:sz w:val="18"/>
                <w:szCs w:val="18"/>
              </w:rPr>
              <w:t>0,5</w:t>
            </w:r>
          </w:p>
        </w:tc>
      </w:tr>
      <w:tr w:rsidR="00204588" w:rsidRPr="00887108" w14:paraId="5E79E43F" w14:textId="77777777" w:rsidTr="00204588">
        <w:trPr>
          <w:trHeight w:val="283"/>
          <w:jc w:val="center"/>
        </w:trPr>
        <w:tc>
          <w:tcPr>
            <w:tcW w:w="4395" w:type="dxa"/>
            <w:vMerge/>
            <w:tcBorders>
              <w:top w:val="nil"/>
              <w:left w:val="nil"/>
              <w:bottom w:val="single" w:sz="4" w:space="0" w:color="000000"/>
              <w:right w:val="nil"/>
            </w:tcBorders>
            <w:vAlign w:val="center"/>
            <w:hideMark/>
          </w:tcPr>
          <w:p w14:paraId="0EE9C9DF"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nil"/>
              <w:right w:val="nil"/>
            </w:tcBorders>
            <w:shd w:val="clear" w:color="auto" w:fill="auto"/>
            <w:noWrap/>
            <w:vAlign w:val="center"/>
            <w:hideMark/>
          </w:tcPr>
          <w:p w14:paraId="39F22D9A" w14:textId="77777777" w:rsidR="00204588" w:rsidRPr="00887108" w:rsidRDefault="00204588" w:rsidP="00204588">
            <w:pPr>
              <w:jc w:val="center"/>
              <w:rPr>
                <w:color w:val="000000"/>
                <w:sz w:val="18"/>
                <w:szCs w:val="18"/>
              </w:rPr>
            </w:pPr>
            <w:r w:rsidRPr="00887108">
              <w:rPr>
                <w:color w:val="000000"/>
                <w:sz w:val="18"/>
                <w:szCs w:val="18"/>
              </w:rPr>
              <w:t>2022F</w:t>
            </w:r>
          </w:p>
        </w:tc>
        <w:tc>
          <w:tcPr>
            <w:tcW w:w="964" w:type="dxa"/>
            <w:tcBorders>
              <w:top w:val="nil"/>
              <w:left w:val="nil"/>
              <w:bottom w:val="nil"/>
              <w:right w:val="nil"/>
            </w:tcBorders>
            <w:shd w:val="clear" w:color="auto" w:fill="auto"/>
            <w:noWrap/>
            <w:vAlign w:val="center"/>
            <w:hideMark/>
          </w:tcPr>
          <w:p w14:paraId="1ACC52A0" w14:textId="77777777" w:rsidR="00204588" w:rsidRPr="00887108" w:rsidRDefault="00204588" w:rsidP="00204588">
            <w:pPr>
              <w:jc w:val="center"/>
              <w:rPr>
                <w:color w:val="000000"/>
                <w:sz w:val="18"/>
                <w:szCs w:val="18"/>
              </w:rPr>
            </w:pPr>
            <w:r w:rsidRPr="00887108">
              <w:rPr>
                <w:color w:val="000000"/>
                <w:sz w:val="18"/>
                <w:szCs w:val="18"/>
              </w:rPr>
              <w:t>2,3</w:t>
            </w:r>
          </w:p>
        </w:tc>
        <w:tc>
          <w:tcPr>
            <w:tcW w:w="964" w:type="dxa"/>
            <w:tcBorders>
              <w:top w:val="nil"/>
              <w:left w:val="nil"/>
              <w:bottom w:val="nil"/>
              <w:right w:val="nil"/>
            </w:tcBorders>
            <w:shd w:val="clear" w:color="000000" w:fill="E6E6E6"/>
            <w:noWrap/>
            <w:vAlign w:val="center"/>
            <w:hideMark/>
          </w:tcPr>
          <w:p w14:paraId="2B8A8A42" w14:textId="77777777" w:rsidR="00204588" w:rsidRPr="00887108" w:rsidRDefault="00204588" w:rsidP="00204588">
            <w:pPr>
              <w:jc w:val="center"/>
              <w:rPr>
                <w:b/>
                <w:bCs/>
                <w:color w:val="000000"/>
                <w:sz w:val="18"/>
                <w:szCs w:val="18"/>
              </w:rPr>
            </w:pPr>
            <w:r w:rsidRPr="00887108">
              <w:rPr>
                <w:b/>
                <w:bCs/>
                <w:color w:val="000000"/>
                <w:sz w:val="18"/>
                <w:szCs w:val="18"/>
              </w:rPr>
              <w:t>1,3</w:t>
            </w:r>
          </w:p>
        </w:tc>
        <w:tc>
          <w:tcPr>
            <w:tcW w:w="964" w:type="dxa"/>
            <w:tcBorders>
              <w:top w:val="nil"/>
              <w:left w:val="nil"/>
              <w:bottom w:val="nil"/>
              <w:right w:val="nil"/>
            </w:tcBorders>
            <w:shd w:val="clear" w:color="000000" w:fill="E6E6E6"/>
            <w:noWrap/>
            <w:vAlign w:val="center"/>
            <w:hideMark/>
          </w:tcPr>
          <w:p w14:paraId="7CE6E069" w14:textId="77777777" w:rsidR="00204588" w:rsidRPr="00887108" w:rsidRDefault="00204588" w:rsidP="00204588">
            <w:pPr>
              <w:jc w:val="center"/>
              <w:rPr>
                <w:b/>
                <w:bCs/>
                <w:color w:val="000000"/>
                <w:sz w:val="18"/>
                <w:szCs w:val="18"/>
              </w:rPr>
            </w:pPr>
            <w:r w:rsidRPr="00887108">
              <w:rPr>
                <w:b/>
                <w:bCs/>
                <w:color w:val="000000"/>
                <w:sz w:val="18"/>
                <w:szCs w:val="18"/>
              </w:rPr>
              <w:t>0,7</w:t>
            </w:r>
          </w:p>
        </w:tc>
        <w:tc>
          <w:tcPr>
            <w:tcW w:w="964" w:type="dxa"/>
            <w:gridSpan w:val="2"/>
            <w:tcBorders>
              <w:top w:val="nil"/>
              <w:left w:val="nil"/>
              <w:bottom w:val="nil"/>
              <w:right w:val="nil"/>
            </w:tcBorders>
            <w:shd w:val="clear" w:color="000000" w:fill="E6E6E6"/>
            <w:vAlign w:val="center"/>
            <w:hideMark/>
          </w:tcPr>
          <w:p w14:paraId="403C2590" w14:textId="77777777" w:rsidR="00204588" w:rsidRPr="00887108" w:rsidRDefault="00204588" w:rsidP="00204588">
            <w:pPr>
              <w:jc w:val="center"/>
              <w:rPr>
                <w:b/>
                <w:bCs/>
                <w:color w:val="000000"/>
                <w:sz w:val="18"/>
                <w:szCs w:val="18"/>
              </w:rPr>
            </w:pPr>
            <w:r w:rsidRPr="00887108">
              <w:rPr>
                <w:b/>
                <w:bCs/>
                <w:color w:val="000000"/>
                <w:sz w:val="18"/>
                <w:szCs w:val="18"/>
              </w:rPr>
              <w:t>0,3</w:t>
            </w:r>
          </w:p>
        </w:tc>
      </w:tr>
      <w:tr w:rsidR="00204588" w:rsidRPr="00887108" w14:paraId="7876735F" w14:textId="77777777" w:rsidTr="00204588">
        <w:trPr>
          <w:trHeight w:val="283"/>
          <w:jc w:val="center"/>
        </w:trPr>
        <w:tc>
          <w:tcPr>
            <w:tcW w:w="4395" w:type="dxa"/>
            <w:vMerge/>
            <w:tcBorders>
              <w:top w:val="nil"/>
              <w:left w:val="nil"/>
              <w:bottom w:val="single" w:sz="4" w:space="0" w:color="000000"/>
              <w:right w:val="nil"/>
            </w:tcBorders>
            <w:vAlign w:val="center"/>
            <w:hideMark/>
          </w:tcPr>
          <w:p w14:paraId="0536240D" w14:textId="77777777" w:rsidR="00204588" w:rsidRPr="00887108" w:rsidRDefault="00204588" w:rsidP="00204588">
            <w:pPr>
              <w:ind w:left="360"/>
              <w:rPr>
                <w:rFonts w:cs="Times New Roman"/>
                <w:b/>
                <w:bCs/>
                <w:color w:val="000000"/>
                <w:sz w:val="16"/>
                <w:szCs w:val="16"/>
                <w:highlight w:val="yellow"/>
              </w:rPr>
            </w:pPr>
          </w:p>
        </w:tc>
        <w:tc>
          <w:tcPr>
            <w:tcW w:w="681" w:type="dxa"/>
            <w:tcBorders>
              <w:top w:val="nil"/>
              <w:left w:val="nil"/>
              <w:bottom w:val="single" w:sz="4" w:space="0" w:color="auto"/>
              <w:right w:val="nil"/>
            </w:tcBorders>
            <w:shd w:val="clear" w:color="auto" w:fill="auto"/>
            <w:noWrap/>
            <w:vAlign w:val="center"/>
            <w:hideMark/>
          </w:tcPr>
          <w:p w14:paraId="0911AE10" w14:textId="77777777" w:rsidR="00204588" w:rsidRPr="00887108" w:rsidRDefault="00204588" w:rsidP="00204588">
            <w:pPr>
              <w:jc w:val="center"/>
              <w:rPr>
                <w:color w:val="000000"/>
                <w:sz w:val="18"/>
                <w:szCs w:val="18"/>
              </w:rPr>
            </w:pPr>
            <w:r w:rsidRPr="00887108">
              <w:rPr>
                <w:color w:val="000000"/>
                <w:sz w:val="18"/>
                <w:szCs w:val="18"/>
              </w:rPr>
              <w:t>2023F</w:t>
            </w:r>
          </w:p>
        </w:tc>
        <w:tc>
          <w:tcPr>
            <w:tcW w:w="964" w:type="dxa"/>
            <w:tcBorders>
              <w:top w:val="nil"/>
              <w:left w:val="nil"/>
              <w:bottom w:val="single" w:sz="4" w:space="0" w:color="auto"/>
              <w:right w:val="nil"/>
            </w:tcBorders>
            <w:shd w:val="clear" w:color="auto" w:fill="auto"/>
            <w:noWrap/>
            <w:vAlign w:val="center"/>
            <w:hideMark/>
          </w:tcPr>
          <w:p w14:paraId="064F5D27" w14:textId="77777777" w:rsidR="00204588" w:rsidRPr="00887108" w:rsidRDefault="00204588" w:rsidP="00204588">
            <w:pPr>
              <w:jc w:val="center"/>
              <w:rPr>
                <w:color w:val="000000"/>
                <w:sz w:val="18"/>
                <w:szCs w:val="18"/>
              </w:rPr>
            </w:pPr>
            <w:r w:rsidRPr="00887108">
              <w:rPr>
                <w:color w:val="000000"/>
                <w:sz w:val="18"/>
                <w:szCs w:val="18"/>
              </w:rPr>
              <w:t>2,3</w:t>
            </w:r>
          </w:p>
        </w:tc>
        <w:tc>
          <w:tcPr>
            <w:tcW w:w="964" w:type="dxa"/>
            <w:tcBorders>
              <w:top w:val="nil"/>
              <w:left w:val="nil"/>
              <w:bottom w:val="single" w:sz="4" w:space="0" w:color="auto"/>
              <w:right w:val="nil"/>
            </w:tcBorders>
            <w:shd w:val="clear" w:color="000000" w:fill="E6E6E6"/>
            <w:noWrap/>
            <w:vAlign w:val="center"/>
            <w:hideMark/>
          </w:tcPr>
          <w:p w14:paraId="2DB563A1" w14:textId="77777777" w:rsidR="00204588" w:rsidRPr="00887108" w:rsidRDefault="00204588" w:rsidP="00204588">
            <w:pPr>
              <w:jc w:val="center"/>
              <w:rPr>
                <w:b/>
                <w:bCs/>
                <w:color w:val="000000"/>
                <w:sz w:val="18"/>
                <w:szCs w:val="18"/>
              </w:rPr>
            </w:pPr>
            <w:r w:rsidRPr="00887108">
              <w:rPr>
                <w:b/>
                <w:bCs/>
                <w:color w:val="000000"/>
                <w:sz w:val="18"/>
                <w:szCs w:val="18"/>
              </w:rPr>
              <w:t>1,4</w:t>
            </w:r>
          </w:p>
        </w:tc>
        <w:tc>
          <w:tcPr>
            <w:tcW w:w="964" w:type="dxa"/>
            <w:tcBorders>
              <w:top w:val="nil"/>
              <w:left w:val="nil"/>
              <w:bottom w:val="single" w:sz="4" w:space="0" w:color="auto"/>
              <w:right w:val="nil"/>
            </w:tcBorders>
            <w:shd w:val="clear" w:color="000000" w:fill="E6E6E6"/>
            <w:noWrap/>
            <w:vAlign w:val="center"/>
            <w:hideMark/>
          </w:tcPr>
          <w:p w14:paraId="22BBF5C0" w14:textId="77777777" w:rsidR="00204588" w:rsidRPr="00887108" w:rsidRDefault="00204588" w:rsidP="00204588">
            <w:pPr>
              <w:jc w:val="center"/>
              <w:rPr>
                <w:b/>
                <w:bCs/>
                <w:color w:val="000000"/>
                <w:sz w:val="18"/>
                <w:szCs w:val="18"/>
              </w:rPr>
            </w:pPr>
            <w:r w:rsidRPr="00887108">
              <w:rPr>
                <w:b/>
                <w:bCs/>
                <w:color w:val="000000"/>
                <w:sz w:val="18"/>
                <w:szCs w:val="18"/>
              </w:rPr>
              <w:t>0,8</w:t>
            </w:r>
          </w:p>
        </w:tc>
        <w:tc>
          <w:tcPr>
            <w:tcW w:w="964" w:type="dxa"/>
            <w:gridSpan w:val="2"/>
            <w:tcBorders>
              <w:top w:val="nil"/>
              <w:left w:val="nil"/>
              <w:bottom w:val="single" w:sz="4" w:space="0" w:color="auto"/>
              <w:right w:val="nil"/>
            </w:tcBorders>
            <w:shd w:val="clear" w:color="000000" w:fill="E6E6E6"/>
            <w:vAlign w:val="center"/>
            <w:hideMark/>
          </w:tcPr>
          <w:p w14:paraId="1FCF8D8F" w14:textId="77777777" w:rsidR="00204588" w:rsidRPr="00887108" w:rsidRDefault="00204588" w:rsidP="00204588">
            <w:pPr>
              <w:jc w:val="center"/>
              <w:rPr>
                <w:b/>
                <w:bCs/>
                <w:color w:val="000000"/>
                <w:sz w:val="18"/>
                <w:szCs w:val="18"/>
              </w:rPr>
            </w:pPr>
            <w:r w:rsidRPr="00887108">
              <w:rPr>
                <w:b/>
                <w:bCs/>
                <w:color w:val="000000"/>
                <w:sz w:val="18"/>
                <w:szCs w:val="18"/>
              </w:rPr>
              <w:t>0,1</w:t>
            </w:r>
          </w:p>
        </w:tc>
      </w:tr>
      <w:tr w:rsidR="00204588" w:rsidRPr="00887108" w14:paraId="15405B33" w14:textId="77777777" w:rsidTr="00204588">
        <w:trPr>
          <w:gridAfter w:val="1"/>
          <w:wAfter w:w="35" w:type="dxa"/>
          <w:trHeight w:val="227"/>
          <w:jc w:val="center"/>
        </w:trPr>
        <w:tc>
          <w:tcPr>
            <w:tcW w:w="4395" w:type="dxa"/>
            <w:tcBorders>
              <w:top w:val="nil"/>
              <w:left w:val="nil"/>
              <w:bottom w:val="nil"/>
              <w:right w:val="nil"/>
            </w:tcBorders>
            <w:shd w:val="clear" w:color="auto" w:fill="auto"/>
            <w:vAlign w:val="center"/>
            <w:hideMark/>
          </w:tcPr>
          <w:p w14:paraId="73350E34" w14:textId="77777777" w:rsidR="00204588" w:rsidRPr="00887108" w:rsidRDefault="00204588" w:rsidP="00204588">
            <w:pPr>
              <w:pStyle w:val="poznmka"/>
              <w:jc w:val="left"/>
              <w:rPr>
                <w:rFonts w:cs="Times New Roman"/>
              </w:rPr>
            </w:pPr>
            <w:r w:rsidRPr="00887108">
              <w:t>* celková produktivita výrobných faktorov</w:t>
            </w:r>
          </w:p>
        </w:tc>
        <w:tc>
          <w:tcPr>
            <w:tcW w:w="4502" w:type="dxa"/>
            <w:gridSpan w:val="5"/>
            <w:tcBorders>
              <w:top w:val="single" w:sz="8" w:space="0" w:color="auto"/>
              <w:left w:val="nil"/>
              <w:bottom w:val="nil"/>
              <w:right w:val="nil"/>
            </w:tcBorders>
            <w:shd w:val="clear" w:color="auto" w:fill="auto"/>
            <w:vAlign w:val="center"/>
            <w:hideMark/>
          </w:tcPr>
          <w:p w14:paraId="556EC31F" w14:textId="77777777" w:rsidR="00204588" w:rsidRPr="00887108" w:rsidRDefault="00204588" w:rsidP="00204588">
            <w:pPr>
              <w:pStyle w:val="poznmka"/>
              <w:rPr>
                <w:rFonts w:cs="Times New Roman"/>
              </w:rPr>
            </w:pPr>
            <w:r w:rsidRPr="00887108">
              <w:t>Zdroj: MF SR</w:t>
            </w:r>
          </w:p>
        </w:tc>
      </w:tr>
    </w:tbl>
    <w:p w14:paraId="60F76C52" w14:textId="77777777" w:rsidR="00204588" w:rsidRPr="00887108" w:rsidRDefault="00204588" w:rsidP="00204588">
      <w:pPr>
        <w:pStyle w:val="Odsek"/>
        <w:rPr>
          <w:b/>
        </w:rPr>
      </w:pPr>
    </w:p>
    <w:p w14:paraId="0F0379DB" w14:textId="1C414696" w:rsidR="00204588" w:rsidRPr="00887108" w:rsidRDefault="00E23CA9" w:rsidP="00204588">
      <w:pPr>
        <w:pStyle w:val="Odsek"/>
        <w:rPr>
          <w:b/>
        </w:rPr>
      </w:pPr>
      <w:r w:rsidRPr="00887108">
        <w:rPr>
          <w:b/>
        </w:rPr>
        <w:t>Slovenská ekonomika bude v roku 2020 výrazne podchladená</w:t>
      </w:r>
      <w:r w:rsidR="00204588" w:rsidRPr="00887108">
        <w:rPr>
          <w:b/>
        </w:rPr>
        <w:t xml:space="preserve">. </w:t>
      </w:r>
      <w:r w:rsidR="00204588" w:rsidRPr="00887108">
        <w:t>Hoci sú opatrenia na zvýšenie spoločenského odstupu len dočasné, obnovenie ekonomického rastu bude sprevádzané zvýšenou nezamestnanosťou a opatrným míňaním domácností. Oživenie tak bude v domácej ekonomike a v zahraničnom dopyte len postupné. Produkčná medzera sa neuzavrie hneď, ale až za horizontom prognózy.</w:t>
      </w:r>
    </w:p>
    <w:tbl>
      <w:tblPr>
        <w:tblW w:w="8718" w:type="dxa"/>
        <w:tblInd w:w="70" w:type="dxa"/>
        <w:tblLayout w:type="fixed"/>
        <w:tblCellMar>
          <w:left w:w="70" w:type="dxa"/>
          <w:right w:w="70" w:type="dxa"/>
        </w:tblCellMar>
        <w:tblLook w:val="04A0" w:firstRow="1" w:lastRow="0" w:firstColumn="1" w:lastColumn="0" w:noHBand="0" w:noVBand="1"/>
      </w:tblPr>
      <w:tblGrid>
        <w:gridCol w:w="4466"/>
        <w:gridCol w:w="567"/>
        <w:gridCol w:w="1276"/>
        <w:gridCol w:w="1150"/>
        <w:gridCol w:w="1151"/>
        <w:gridCol w:w="96"/>
        <w:gridCol w:w="12"/>
      </w:tblGrid>
      <w:tr w:rsidR="00204588" w:rsidRPr="00887108" w14:paraId="19F33250" w14:textId="77777777" w:rsidTr="00204588">
        <w:trPr>
          <w:gridAfter w:val="2"/>
          <w:wAfter w:w="108" w:type="dxa"/>
          <w:trHeight w:val="200"/>
        </w:trPr>
        <w:tc>
          <w:tcPr>
            <w:tcW w:w="4466" w:type="dxa"/>
            <w:tcBorders>
              <w:top w:val="nil"/>
              <w:left w:val="nil"/>
              <w:bottom w:val="single" w:sz="4" w:space="0" w:color="auto"/>
              <w:right w:val="nil"/>
            </w:tcBorders>
            <w:shd w:val="clear" w:color="auto" w:fill="auto"/>
            <w:noWrap/>
            <w:vAlign w:val="center"/>
            <w:hideMark/>
          </w:tcPr>
          <w:p w14:paraId="5F784504" w14:textId="0563588B" w:rsidR="00204588" w:rsidRPr="00887108" w:rsidRDefault="00204588" w:rsidP="00204588">
            <w:pPr>
              <w:pStyle w:val="Nadpis3"/>
              <w:rPr>
                <w:rFonts w:eastAsiaTheme="minorHAnsi"/>
                <w:color w:val="2C9ADC"/>
                <w:highlight w:val="yellow"/>
                <w:lang w:eastAsia="en-US"/>
              </w:rPr>
            </w:pPr>
            <w:bookmarkStart w:id="78" w:name="_Toc40181259"/>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8</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w:t>
            </w:r>
            <w:r w:rsidRPr="00887108">
              <w:rPr>
                <w:rFonts w:eastAsiaTheme="minorHAnsi"/>
                <w:color w:val="2C9ADC"/>
                <w:lang w:eastAsia="en-US"/>
              </w:rPr>
              <w:t>- Produkčná medzera* (% pot. HDP) -</w:t>
            </w:r>
            <w:r w:rsidRPr="00887108">
              <w:rPr>
                <w:rFonts w:eastAsiaTheme="minorHAnsi"/>
                <w:color w:val="2C9ADC"/>
                <w:lang w:eastAsia="en-US"/>
              </w:rPr>
              <w:br/>
              <w:t>prístup MF SR</w:t>
            </w:r>
            <w:bookmarkEnd w:id="78"/>
          </w:p>
        </w:tc>
        <w:tc>
          <w:tcPr>
            <w:tcW w:w="4144" w:type="dxa"/>
            <w:gridSpan w:val="4"/>
            <w:tcBorders>
              <w:top w:val="nil"/>
              <w:left w:val="nil"/>
              <w:bottom w:val="single" w:sz="8" w:space="0" w:color="auto"/>
              <w:right w:val="nil"/>
            </w:tcBorders>
            <w:shd w:val="clear" w:color="auto" w:fill="auto"/>
            <w:noWrap/>
            <w:vAlign w:val="center"/>
            <w:hideMark/>
          </w:tcPr>
          <w:p w14:paraId="23FC88B7" w14:textId="5076010B" w:rsidR="00204588" w:rsidRPr="00887108" w:rsidRDefault="00683A4A" w:rsidP="00204588">
            <w:pPr>
              <w:pStyle w:val="Nadpis3"/>
              <w:jc w:val="both"/>
              <w:rPr>
                <w:rFonts w:eastAsiaTheme="minorHAnsi"/>
                <w:color w:val="2C9ADC"/>
                <w:lang w:eastAsia="en-US"/>
              </w:rPr>
            </w:pPr>
            <w:bookmarkStart w:id="79" w:name="_Toc40186680"/>
            <w:r w:rsidRPr="00887108">
              <w:rPr>
                <w:rFonts w:eastAsiaTheme="minorHAnsi"/>
                <w:color w:val="2C9ADC" w:themeColor="accent1"/>
                <w:lang w:eastAsia="en-US"/>
              </w:rPr>
              <w:t xml:space="preserve">TABUĽKA </w:t>
            </w:r>
            <w:r w:rsidRPr="00887108">
              <w:rPr>
                <w:rFonts w:eastAsiaTheme="minorHAnsi"/>
                <w:color w:val="2C9ADC" w:themeColor="accent1"/>
                <w:lang w:eastAsia="en-US"/>
              </w:rPr>
              <w:fldChar w:fldCharType="begin"/>
            </w:r>
            <w:r w:rsidRPr="00887108">
              <w:rPr>
                <w:rFonts w:eastAsiaTheme="minorHAnsi"/>
                <w:color w:val="2C9ADC" w:themeColor="accent1"/>
                <w:lang w:eastAsia="en-US"/>
              </w:rPr>
              <w:instrText xml:space="preserve"> SEQ TABUĽKA \* ARABIC </w:instrText>
            </w:r>
            <w:r w:rsidRPr="00887108">
              <w:rPr>
                <w:rFonts w:eastAsiaTheme="minorHAnsi"/>
                <w:color w:val="2C9ADC" w:themeColor="accent1"/>
                <w:lang w:eastAsia="en-US"/>
              </w:rPr>
              <w:fldChar w:fldCharType="separate"/>
            </w:r>
            <w:r w:rsidR="00D47A36">
              <w:rPr>
                <w:rFonts w:eastAsiaTheme="minorHAnsi"/>
                <w:noProof/>
                <w:color w:val="2C9ADC" w:themeColor="accent1"/>
                <w:lang w:eastAsia="en-US"/>
              </w:rPr>
              <w:t>3</w:t>
            </w:r>
            <w:r w:rsidRPr="00887108">
              <w:rPr>
                <w:rFonts w:eastAsiaTheme="minorHAnsi"/>
                <w:color w:val="2C9ADC" w:themeColor="accent1"/>
                <w:lang w:eastAsia="en-US"/>
              </w:rPr>
              <w:fldChar w:fldCharType="end"/>
            </w:r>
            <w:r w:rsidR="00D76DCF" w:rsidRPr="00887108">
              <w:rPr>
                <w:rFonts w:eastAsiaTheme="minorHAnsi"/>
                <w:color w:val="2C9ADC"/>
                <w:lang w:eastAsia="en-US"/>
              </w:rPr>
              <w:t xml:space="preserve"> -</w:t>
            </w:r>
            <w:r w:rsidR="00204588" w:rsidRPr="00887108">
              <w:rPr>
                <w:rFonts w:eastAsiaTheme="minorHAnsi"/>
                <w:color w:val="2C9ADC"/>
                <w:lang w:eastAsia="en-US"/>
              </w:rPr>
              <w:t xml:space="preserve"> Vývoj produkčnej medzery* -</w:t>
            </w:r>
            <w:bookmarkEnd w:id="79"/>
          </w:p>
          <w:p w14:paraId="2A159B4A" w14:textId="77777777" w:rsidR="00204588" w:rsidRPr="00887108" w:rsidRDefault="00204588" w:rsidP="00204588">
            <w:pPr>
              <w:pStyle w:val="Nadpis3"/>
              <w:jc w:val="both"/>
              <w:rPr>
                <w:color w:val="2C9ADC" w:themeColor="accent1"/>
              </w:rPr>
            </w:pPr>
            <w:r w:rsidRPr="00887108">
              <w:rPr>
                <w:rFonts w:eastAsiaTheme="minorHAnsi"/>
                <w:color w:val="2C9ADC"/>
                <w:lang w:eastAsia="en-US"/>
              </w:rPr>
              <w:t>prístup MF SR</w:t>
            </w:r>
          </w:p>
        </w:tc>
      </w:tr>
      <w:tr w:rsidR="00204588" w:rsidRPr="00887108" w14:paraId="4FF535AA" w14:textId="77777777" w:rsidTr="00204588">
        <w:trPr>
          <w:gridAfter w:val="1"/>
          <w:wAfter w:w="12" w:type="dxa"/>
          <w:trHeight w:val="237"/>
        </w:trPr>
        <w:tc>
          <w:tcPr>
            <w:tcW w:w="4466" w:type="dxa"/>
            <w:vMerge w:val="restart"/>
            <w:tcBorders>
              <w:left w:val="nil"/>
              <w:right w:val="nil"/>
            </w:tcBorders>
            <w:shd w:val="clear" w:color="auto" w:fill="auto"/>
            <w:vAlign w:val="center"/>
            <w:hideMark/>
          </w:tcPr>
          <w:p w14:paraId="21DDE508" w14:textId="77777777" w:rsidR="00204588" w:rsidRPr="00887108" w:rsidRDefault="00204588" w:rsidP="00204588">
            <w:pPr>
              <w:rPr>
                <w:rFonts w:cs="Times New Roman"/>
                <w:b/>
                <w:bCs/>
                <w:color w:val="000000"/>
                <w:sz w:val="16"/>
                <w:szCs w:val="16"/>
                <w:highlight w:val="yellow"/>
              </w:rPr>
            </w:pPr>
            <w:r w:rsidRPr="00887108">
              <w:drawing>
                <wp:inline distT="0" distB="0" distL="0" distR="0" wp14:anchorId="248BE605" wp14:editId="6B5F604B">
                  <wp:extent cx="2667000" cy="151384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67" w:type="dxa"/>
            <w:tcBorders>
              <w:left w:val="nil"/>
              <w:right w:val="nil"/>
            </w:tcBorders>
            <w:shd w:val="clear" w:color="auto" w:fill="auto"/>
            <w:noWrap/>
            <w:vAlign w:val="center"/>
          </w:tcPr>
          <w:p w14:paraId="58A81FB3" w14:textId="77777777" w:rsidR="00204588" w:rsidRPr="00887108" w:rsidRDefault="00204588" w:rsidP="00204588">
            <w:pPr>
              <w:rPr>
                <w:rFonts w:cs="Times New Roman"/>
                <w:color w:val="000000"/>
                <w:sz w:val="18"/>
                <w:szCs w:val="18"/>
                <w:lang w:eastAsia="en-US"/>
              </w:rPr>
            </w:pPr>
            <w:r w:rsidRPr="00887108">
              <w:rPr>
                <w:color w:val="000000"/>
                <w:sz w:val="18"/>
                <w:szCs w:val="18"/>
              </w:rPr>
              <w:t> </w:t>
            </w:r>
          </w:p>
        </w:tc>
        <w:tc>
          <w:tcPr>
            <w:tcW w:w="1276" w:type="dxa"/>
            <w:tcBorders>
              <w:left w:val="nil"/>
              <w:right w:val="nil"/>
            </w:tcBorders>
            <w:shd w:val="clear" w:color="auto" w:fill="auto"/>
            <w:vAlign w:val="center"/>
          </w:tcPr>
          <w:p w14:paraId="44D4EDEB" w14:textId="77777777" w:rsidR="00204588" w:rsidRPr="00887108" w:rsidRDefault="00204588" w:rsidP="00204588">
            <w:pPr>
              <w:jc w:val="center"/>
              <w:rPr>
                <w:b/>
                <w:bCs/>
                <w:color w:val="000000"/>
                <w:sz w:val="18"/>
                <w:szCs w:val="18"/>
              </w:rPr>
            </w:pPr>
            <w:r w:rsidRPr="00887108">
              <w:rPr>
                <w:b/>
                <w:bCs/>
                <w:color w:val="000000"/>
                <w:sz w:val="18"/>
                <w:szCs w:val="18"/>
              </w:rPr>
              <w:t>HDP</w:t>
            </w:r>
          </w:p>
        </w:tc>
        <w:tc>
          <w:tcPr>
            <w:tcW w:w="1150" w:type="dxa"/>
            <w:vMerge w:val="restart"/>
            <w:tcBorders>
              <w:left w:val="nil"/>
              <w:right w:val="nil"/>
            </w:tcBorders>
            <w:shd w:val="clear" w:color="auto" w:fill="auto"/>
            <w:vAlign w:val="center"/>
          </w:tcPr>
          <w:p w14:paraId="37B82CAF" w14:textId="77777777" w:rsidR="00204588" w:rsidRPr="00887108" w:rsidRDefault="00204588" w:rsidP="00204588">
            <w:pPr>
              <w:jc w:val="center"/>
              <w:rPr>
                <w:b/>
                <w:bCs/>
                <w:color w:val="000000"/>
                <w:sz w:val="18"/>
                <w:szCs w:val="18"/>
              </w:rPr>
            </w:pPr>
            <w:r w:rsidRPr="00887108">
              <w:rPr>
                <w:b/>
                <w:bCs/>
                <w:color w:val="000000"/>
                <w:sz w:val="18"/>
                <w:szCs w:val="18"/>
              </w:rPr>
              <w:t>Pot. HDP (rast, %)</w:t>
            </w:r>
          </w:p>
        </w:tc>
        <w:tc>
          <w:tcPr>
            <w:tcW w:w="1247" w:type="dxa"/>
            <w:gridSpan w:val="2"/>
            <w:tcBorders>
              <w:left w:val="nil"/>
              <w:right w:val="nil"/>
            </w:tcBorders>
            <w:shd w:val="clear" w:color="000000" w:fill="E6E6E6"/>
            <w:vAlign w:val="center"/>
          </w:tcPr>
          <w:p w14:paraId="2F970706" w14:textId="77777777" w:rsidR="00204588" w:rsidRPr="00887108" w:rsidRDefault="00204588" w:rsidP="00204588">
            <w:pPr>
              <w:jc w:val="center"/>
              <w:rPr>
                <w:b/>
                <w:bCs/>
                <w:color w:val="000000"/>
                <w:sz w:val="18"/>
                <w:szCs w:val="18"/>
              </w:rPr>
            </w:pPr>
            <w:r w:rsidRPr="00887108">
              <w:rPr>
                <w:b/>
                <w:bCs/>
                <w:color w:val="000000"/>
                <w:sz w:val="18"/>
                <w:szCs w:val="18"/>
              </w:rPr>
              <w:t>Pred. medzera</w:t>
            </w:r>
          </w:p>
        </w:tc>
      </w:tr>
      <w:tr w:rsidR="00204588" w:rsidRPr="00887108" w14:paraId="3AAFD7E2" w14:textId="77777777" w:rsidTr="00204588">
        <w:trPr>
          <w:gridAfter w:val="1"/>
          <w:wAfter w:w="12" w:type="dxa"/>
          <w:trHeight w:val="198"/>
        </w:trPr>
        <w:tc>
          <w:tcPr>
            <w:tcW w:w="4466" w:type="dxa"/>
            <w:vMerge/>
            <w:tcBorders>
              <w:left w:val="nil"/>
              <w:bottom w:val="single" w:sz="4" w:space="0" w:color="000000"/>
              <w:right w:val="nil"/>
            </w:tcBorders>
            <w:vAlign w:val="center"/>
            <w:hideMark/>
          </w:tcPr>
          <w:p w14:paraId="0D189559" w14:textId="77777777" w:rsidR="00204588" w:rsidRPr="00887108" w:rsidRDefault="00204588" w:rsidP="00204588">
            <w:pPr>
              <w:ind w:left="360"/>
              <w:rPr>
                <w:rFonts w:cs="Times New Roman"/>
                <w:b/>
                <w:bCs/>
                <w:color w:val="000000"/>
                <w:sz w:val="16"/>
                <w:szCs w:val="16"/>
                <w:highlight w:val="yellow"/>
              </w:rPr>
            </w:pPr>
          </w:p>
        </w:tc>
        <w:tc>
          <w:tcPr>
            <w:tcW w:w="567" w:type="dxa"/>
            <w:tcBorders>
              <w:left w:val="nil"/>
              <w:bottom w:val="nil"/>
              <w:right w:val="nil"/>
            </w:tcBorders>
            <w:shd w:val="clear" w:color="auto" w:fill="auto"/>
            <w:noWrap/>
            <w:vAlign w:val="center"/>
          </w:tcPr>
          <w:p w14:paraId="032641F7" w14:textId="77777777" w:rsidR="00204588" w:rsidRPr="00887108" w:rsidRDefault="00204588" w:rsidP="00204588">
            <w:pPr>
              <w:rPr>
                <w:color w:val="000000"/>
                <w:sz w:val="18"/>
                <w:szCs w:val="18"/>
              </w:rPr>
            </w:pPr>
          </w:p>
        </w:tc>
        <w:tc>
          <w:tcPr>
            <w:tcW w:w="1276" w:type="dxa"/>
            <w:tcBorders>
              <w:left w:val="nil"/>
              <w:bottom w:val="nil"/>
              <w:right w:val="nil"/>
            </w:tcBorders>
            <w:shd w:val="clear" w:color="auto" w:fill="auto"/>
            <w:noWrap/>
            <w:vAlign w:val="center"/>
          </w:tcPr>
          <w:p w14:paraId="6DBD50E8" w14:textId="77777777" w:rsidR="00204588" w:rsidRPr="00887108" w:rsidRDefault="00204588" w:rsidP="00204588">
            <w:pPr>
              <w:jc w:val="center"/>
              <w:rPr>
                <w:b/>
                <w:bCs/>
                <w:color w:val="000000"/>
                <w:sz w:val="18"/>
                <w:szCs w:val="18"/>
              </w:rPr>
            </w:pPr>
            <w:r w:rsidRPr="00887108">
              <w:rPr>
                <w:b/>
                <w:bCs/>
                <w:color w:val="000000"/>
                <w:sz w:val="18"/>
                <w:szCs w:val="18"/>
              </w:rPr>
              <w:t>(reálny rast, %)</w:t>
            </w:r>
          </w:p>
        </w:tc>
        <w:tc>
          <w:tcPr>
            <w:tcW w:w="1150" w:type="dxa"/>
            <w:vMerge/>
            <w:tcBorders>
              <w:left w:val="nil"/>
              <w:bottom w:val="nil"/>
              <w:right w:val="nil"/>
            </w:tcBorders>
            <w:shd w:val="clear" w:color="auto" w:fill="auto"/>
            <w:noWrap/>
            <w:vAlign w:val="center"/>
          </w:tcPr>
          <w:p w14:paraId="12D5CC9F" w14:textId="77777777" w:rsidR="00204588" w:rsidRPr="00887108" w:rsidRDefault="00204588" w:rsidP="00204588">
            <w:pPr>
              <w:jc w:val="center"/>
              <w:rPr>
                <w:b/>
                <w:bCs/>
                <w:color w:val="000000"/>
                <w:sz w:val="18"/>
                <w:szCs w:val="18"/>
              </w:rPr>
            </w:pPr>
          </w:p>
        </w:tc>
        <w:tc>
          <w:tcPr>
            <w:tcW w:w="1247" w:type="dxa"/>
            <w:gridSpan w:val="2"/>
            <w:tcBorders>
              <w:left w:val="nil"/>
              <w:bottom w:val="nil"/>
              <w:right w:val="nil"/>
            </w:tcBorders>
            <w:shd w:val="clear" w:color="000000" w:fill="E6E6E6"/>
            <w:vAlign w:val="center"/>
          </w:tcPr>
          <w:p w14:paraId="2F17AF61" w14:textId="77777777" w:rsidR="00204588" w:rsidRPr="00887108" w:rsidRDefault="00204588" w:rsidP="00204588">
            <w:pPr>
              <w:jc w:val="center"/>
              <w:rPr>
                <w:b/>
                <w:bCs/>
                <w:color w:val="000000"/>
                <w:sz w:val="18"/>
                <w:szCs w:val="18"/>
              </w:rPr>
            </w:pPr>
            <w:r w:rsidRPr="00887108">
              <w:rPr>
                <w:b/>
                <w:bCs/>
                <w:color w:val="000000"/>
                <w:sz w:val="18"/>
                <w:szCs w:val="18"/>
              </w:rPr>
              <w:t>(% pot. HDP)</w:t>
            </w:r>
          </w:p>
        </w:tc>
      </w:tr>
      <w:tr w:rsidR="00204588" w:rsidRPr="00887108" w14:paraId="65ABD1F3" w14:textId="77777777" w:rsidTr="00204588">
        <w:trPr>
          <w:gridAfter w:val="1"/>
          <w:wAfter w:w="12" w:type="dxa"/>
          <w:trHeight w:val="261"/>
        </w:trPr>
        <w:tc>
          <w:tcPr>
            <w:tcW w:w="4466" w:type="dxa"/>
            <w:vMerge/>
            <w:tcBorders>
              <w:top w:val="nil"/>
              <w:left w:val="nil"/>
              <w:bottom w:val="single" w:sz="4" w:space="0" w:color="000000"/>
              <w:right w:val="nil"/>
            </w:tcBorders>
            <w:vAlign w:val="center"/>
            <w:hideMark/>
          </w:tcPr>
          <w:p w14:paraId="06F9C30F"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nil"/>
              <w:right w:val="nil"/>
            </w:tcBorders>
            <w:shd w:val="clear" w:color="auto" w:fill="auto"/>
            <w:noWrap/>
            <w:vAlign w:val="center"/>
          </w:tcPr>
          <w:p w14:paraId="36BCD4A4" w14:textId="77777777" w:rsidR="00204588" w:rsidRPr="00887108" w:rsidRDefault="00204588" w:rsidP="00204588">
            <w:pPr>
              <w:jc w:val="center"/>
              <w:rPr>
                <w:color w:val="000000"/>
                <w:sz w:val="18"/>
                <w:szCs w:val="18"/>
              </w:rPr>
            </w:pPr>
            <w:r w:rsidRPr="00887108">
              <w:rPr>
                <w:color w:val="000000"/>
                <w:sz w:val="18"/>
                <w:szCs w:val="18"/>
              </w:rPr>
              <w:t>2016</w:t>
            </w:r>
          </w:p>
        </w:tc>
        <w:tc>
          <w:tcPr>
            <w:tcW w:w="1276" w:type="dxa"/>
            <w:tcBorders>
              <w:top w:val="nil"/>
              <w:left w:val="nil"/>
              <w:bottom w:val="nil"/>
              <w:right w:val="nil"/>
            </w:tcBorders>
            <w:shd w:val="clear" w:color="auto" w:fill="auto"/>
            <w:noWrap/>
            <w:vAlign w:val="center"/>
          </w:tcPr>
          <w:p w14:paraId="05366848" w14:textId="77777777" w:rsidR="00204588" w:rsidRPr="00887108" w:rsidRDefault="00204588" w:rsidP="00204588">
            <w:pPr>
              <w:jc w:val="center"/>
              <w:rPr>
                <w:color w:val="000000"/>
                <w:sz w:val="18"/>
                <w:szCs w:val="18"/>
              </w:rPr>
            </w:pPr>
            <w:r w:rsidRPr="00887108">
              <w:rPr>
                <w:color w:val="000000"/>
                <w:sz w:val="18"/>
                <w:szCs w:val="18"/>
              </w:rPr>
              <w:t>2,1</w:t>
            </w:r>
          </w:p>
        </w:tc>
        <w:tc>
          <w:tcPr>
            <w:tcW w:w="1150" w:type="dxa"/>
            <w:tcBorders>
              <w:top w:val="nil"/>
              <w:left w:val="nil"/>
              <w:bottom w:val="nil"/>
              <w:right w:val="nil"/>
            </w:tcBorders>
            <w:shd w:val="clear" w:color="auto" w:fill="auto"/>
            <w:noWrap/>
            <w:vAlign w:val="center"/>
          </w:tcPr>
          <w:p w14:paraId="134B3753" w14:textId="77777777" w:rsidR="00204588" w:rsidRPr="00887108" w:rsidRDefault="00204588" w:rsidP="00204588">
            <w:pPr>
              <w:jc w:val="center"/>
              <w:rPr>
                <w:color w:val="000000"/>
                <w:sz w:val="18"/>
                <w:szCs w:val="18"/>
              </w:rPr>
            </w:pPr>
            <w:r w:rsidRPr="00887108">
              <w:rPr>
                <w:color w:val="000000"/>
                <w:sz w:val="18"/>
                <w:szCs w:val="18"/>
              </w:rPr>
              <w:t>2,5</w:t>
            </w:r>
          </w:p>
        </w:tc>
        <w:tc>
          <w:tcPr>
            <w:tcW w:w="1247" w:type="dxa"/>
            <w:gridSpan w:val="2"/>
            <w:tcBorders>
              <w:top w:val="nil"/>
              <w:left w:val="nil"/>
              <w:bottom w:val="nil"/>
              <w:right w:val="nil"/>
            </w:tcBorders>
            <w:shd w:val="clear" w:color="000000" w:fill="E6E6E6"/>
            <w:vAlign w:val="center"/>
          </w:tcPr>
          <w:p w14:paraId="47962239" w14:textId="77777777" w:rsidR="00204588" w:rsidRPr="00887108" w:rsidRDefault="00204588" w:rsidP="00204588">
            <w:pPr>
              <w:jc w:val="center"/>
              <w:rPr>
                <w:b/>
                <w:bCs/>
                <w:color w:val="000000"/>
                <w:sz w:val="18"/>
                <w:szCs w:val="18"/>
              </w:rPr>
            </w:pPr>
            <w:r w:rsidRPr="00887108">
              <w:rPr>
                <w:b/>
                <w:bCs/>
                <w:color w:val="000000"/>
                <w:sz w:val="18"/>
                <w:szCs w:val="18"/>
              </w:rPr>
              <w:t>-0,3</w:t>
            </w:r>
          </w:p>
        </w:tc>
      </w:tr>
      <w:tr w:rsidR="00204588" w:rsidRPr="00887108" w14:paraId="276E15AF" w14:textId="77777777" w:rsidTr="00204588">
        <w:trPr>
          <w:gridAfter w:val="1"/>
          <w:wAfter w:w="12" w:type="dxa"/>
          <w:trHeight w:val="261"/>
        </w:trPr>
        <w:tc>
          <w:tcPr>
            <w:tcW w:w="4466" w:type="dxa"/>
            <w:vMerge/>
            <w:tcBorders>
              <w:top w:val="nil"/>
              <w:left w:val="nil"/>
              <w:bottom w:val="single" w:sz="4" w:space="0" w:color="000000"/>
              <w:right w:val="nil"/>
            </w:tcBorders>
            <w:vAlign w:val="center"/>
            <w:hideMark/>
          </w:tcPr>
          <w:p w14:paraId="0BA2510A"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nil"/>
              <w:right w:val="nil"/>
            </w:tcBorders>
            <w:shd w:val="clear" w:color="auto" w:fill="auto"/>
            <w:noWrap/>
            <w:vAlign w:val="center"/>
          </w:tcPr>
          <w:p w14:paraId="6D0BA67A" w14:textId="77777777" w:rsidR="00204588" w:rsidRPr="00887108" w:rsidRDefault="00204588" w:rsidP="00204588">
            <w:pPr>
              <w:jc w:val="center"/>
              <w:rPr>
                <w:color w:val="000000"/>
                <w:sz w:val="18"/>
                <w:szCs w:val="18"/>
              </w:rPr>
            </w:pPr>
            <w:r w:rsidRPr="00887108">
              <w:rPr>
                <w:color w:val="000000"/>
                <w:sz w:val="18"/>
                <w:szCs w:val="18"/>
              </w:rPr>
              <w:t>2017</w:t>
            </w:r>
          </w:p>
        </w:tc>
        <w:tc>
          <w:tcPr>
            <w:tcW w:w="1276" w:type="dxa"/>
            <w:tcBorders>
              <w:top w:val="nil"/>
              <w:left w:val="nil"/>
              <w:bottom w:val="nil"/>
              <w:right w:val="nil"/>
            </w:tcBorders>
            <w:shd w:val="clear" w:color="auto" w:fill="auto"/>
            <w:noWrap/>
            <w:vAlign w:val="center"/>
          </w:tcPr>
          <w:p w14:paraId="72FE78D9" w14:textId="77777777" w:rsidR="00204588" w:rsidRPr="00887108" w:rsidRDefault="00204588" w:rsidP="00204588">
            <w:pPr>
              <w:jc w:val="center"/>
              <w:rPr>
                <w:color w:val="000000"/>
                <w:sz w:val="18"/>
                <w:szCs w:val="18"/>
              </w:rPr>
            </w:pPr>
            <w:r w:rsidRPr="00887108">
              <w:rPr>
                <w:color w:val="000000"/>
                <w:sz w:val="18"/>
                <w:szCs w:val="18"/>
              </w:rPr>
              <w:t>3,0</w:t>
            </w:r>
          </w:p>
        </w:tc>
        <w:tc>
          <w:tcPr>
            <w:tcW w:w="1150" w:type="dxa"/>
            <w:tcBorders>
              <w:top w:val="nil"/>
              <w:left w:val="nil"/>
              <w:bottom w:val="nil"/>
              <w:right w:val="nil"/>
            </w:tcBorders>
            <w:shd w:val="clear" w:color="auto" w:fill="auto"/>
            <w:noWrap/>
            <w:vAlign w:val="center"/>
          </w:tcPr>
          <w:p w14:paraId="276F17A4" w14:textId="77777777" w:rsidR="00204588" w:rsidRPr="00887108" w:rsidRDefault="00204588" w:rsidP="00204588">
            <w:pPr>
              <w:jc w:val="center"/>
              <w:rPr>
                <w:color w:val="000000"/>
                <w:sz w:val="18"/>
                <w:szCs w:val="18"/>
              </w:rPr>
            </w:pPr>
            <w:r w:rsidRPr="00887108">
              <w:rPr>
                <w:color w:val="000000"/>
                <w:sz w:val="18"/>
                <w:szCs w:val="18"/>
              </w:rPr>
              <w:t>2,3</w:t>
            </w:r>
          </w:p>
        </w:tc>
        <w:tc>
          <w:tcPr>
            <w:tcW w:w="1247" w:type="dxa"/>
            <w:gridSpan w:val="2"/>
            <w:tcBorders>
              <w:top w:val="nil"/>
              <w:left w:val="nil"/>
              <w:bottom w:val="nil"/>
              <w:right w:val="nil"/>
            </w:tcBorders>
            <w:shd w:val="clear" w:color="000000" w:fill="E6E6E6"/>
            <w:vAlign w:val="center"/>
          </w:tcPr>
          <w:p w14:paraId="6BEABD53" w14:textId="77777777" w:rsidR="00204588" w:rsidRPr="00887108" w:rsidRDefault="00204588" w:rsidP="00204588">
            <w:pPr>
              <w:jc w:val="center"/>
              <w:rPr>
                <w:b/>
                <w:bCs/>
                <w:color w:val="000000"/>
                <w:sz w:val="18"/>
                <w:szCs w:val="18"/>
              </w:rPr>
            </w:pPr>
            <w:r w:rsidRPr="00887108">
              <w:rPr>
                <w:b/>
                <w:bCs/>
                <w:color w:val="000000"/>
                <w:sz w:val="18"/>
                <w:szCs w:val="18"/>
              </w:rPr>
              <w:t>0,5</w:t>
            </w:r>
          </w:p>
        </w:tc>
      </w:tr>
      <w:tr w:rsidR="00204588" w:rsidRPr="00887108" w14:paraId="2C483061" w14:textId="77777777" w:rsidTr="00204588">
        <w:trPr>
          <w:gridAfter w:val="1"/>
          <w:wAfter w:w="12" w:type="dxa"/>
          <w:trHeight w:val="261"/>
        </w:trPr>
        <w:tc>
          <w:tcPr>
            <w:tcW w:w="4466" w:type="dxa"/>
            <w:vMerge/>
            <w:tcBorders>
              <w:top w:val="nil"/>
              <w:left w:val="nil"/>
              <w:bottom w:val="single" w:sz="4" w:space="0" w:color="000000"/>
              <w:right w:val="nil"/>
            </w:tcBorders>
            <w:vAlign w:val="center"/>
            <w:hideMark/>
          </w:tcPr>
          <w:p w14:paraId="4542B038"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nil"/>
              <w:right w:val="nil"/>
            </w:tcBorders>
            <w:shd w:val="clear" w:color="auto" w:fill="auto"/>
            <w:noWrap/>
            <w:vAlign w:val="center"/>
          </w:tcPr>
          <w:p w14:paraId="2A6F1F6C" w14:textId="77777777" w:rsidR="00204588" w:rsidRPr="00887108" w:rsidRDefault="00204588" w:rsidP="00204588">
            <w:pPr>
              <w:jc w:val="center"/>
              <w:rPr>
                <w:color w:val="000000"/>
                <w:sz w:val="18"/>
                <w:szCs w:val="18"/>
              </w:rPr>
            </w:pPr>
            <w:r w:rsidRPr="00887108">
              <w:rPr>
                <w:color w:val="000000"/>
                <w:sz w:val="18"/>
                <w:szCs w:val="18"/>
              </w:rPr>
              <w:t>2018</w:t>
            </w:r>
          </w:p>
        </w:tc>
        <w:tc>
          <w:tcPr>
            <w:tcW w:w="1276" w:type="dxa"/>
            <w:tcBorders>
              <w:top w:val="nil"/>
              <w:left w:val="nil"/>
              <w:bottom w:val="nil"/>
              <w:right w:val="nil"/>
            </w:tcBorders>
            <w:shd w:val="clear" w:color="auto" w:fill="auto"/>
            <w:noWrap/>
            <w:vAlign w:val="center"/>
          </w:tcPr>
          <w:p w14:paraId="04154C3A" w14:textId="77777777" w:rsidR="00204588" w:rsidRPr="00887108" w:rsidRDefault="00204588" w:rsidP="00204588">
            <w:pPr>
              <w:jc w:val="center"/>
              <w:rPr>
                <w:color w:val="000000"/>
                <w:sz w:val="18"/>
                <w:szCs w:val="18"/>
              </w:rPr>
            </w:pPr>
            <w:r w:rsidRPr="00887108">
              <w:rPr>
                <w:color w:val="000000"/>
                <w:sz w:val="18"/>
                <w:szCs w:val="18"/>
              </w:rPr>
              <w:t>4,0</w:t>
            </w:r>
          </w:p>
        </w:tc>
        <w:tc>
          <w:tcPr>
            <w:tcW w:w="1150" w:type="dxa"/>
            <w:tcBorders>
              <w:top w:val="nil"/>
              <w:left w:val="nil"/>
              <w:bottom w:val="nil"/>
              <w:right w:val="nil"/>
            </w:tcBorders>
            <w:shd w:val="clear" w:color="auto" w:fill="auto"/>
            <w:noWrap/>
            <w:vAlign w:val="center"/>
          </w:tcPr>
          <w:p w14:paraId="401A0651" w14:textId="77777777" w:rsidR="00204588" w:rsidRPr="00887108" w:rsidRDefault="00204588" w:rsidP="00204588">
            <w:pPr>
              <w:jc w:val="center"/>
              <w:rPr>
                <w:color w:val="000000"/>
                <w:sz w:val="18"/>
                <w:szCs w:val="18"/>
              </w:rPr>
            </w:pPr>
            <w:r w:rsidRPr="00887108">
              <w:rPr>
                <w:color w:val="000000"/>
                <w:sz w:val="18"/>
                <w:szCs w:val="18"/>
              </w:rPr>
              <w:t>2,7</w:t>
            </w:r>
          </w:p>
        </w:tc>
        <w:tc>
          <w:tcPr>
            <w:tcW w:w="1247" w:type="dxa"/>
            <w:gridSpan w:val="2"/>
            <w:tcBorders>
              <w:top w:val="nil"/>
              <w:left w:val="nil"/>
              <w:bottom w:val="nil"/>
              <w:right w:val="nil"/>
            </w:tcBorders>
            <w:shd w:val="clear" w:color="000000" w:fill="E6E6E6"/>
            <w:vAlign w:val="center"/>
          </w:tcPr>
          <w:p w14:paraId="41712293" w14:textId="77777777" w:rsidR="00204588" w:rsidRPr="00887108" w:rsidRDefault="00204588" w:rsidP="00204588">
            <w:pPr>
              <w:jc w:val="center"/>
              <w:rPr>
                <w:b/>
                <w:bCs/>
                <w:color w:val="000000"/>
                <w:sz w:val="18"/>
                <w:szCs w:val="18"/>
              </w:rPr>
            </w:pPr>
            <w:r w:rsidRPr="00887108">
              <w:rPr>
                <w:b/>
                <w:bCs/>
                <w:color w:val="000000"/>
                <w:sz w:val="18"/>
                <w:szCs w:val="18"/>
              </w:rPr>
              <w:t>1,8</w:t>
            </w:r>
          </w:p>
        </w:tc>
      </w:tr>
      <w:tr w:rsidR="00204588" w:rsidRPr="00887108" w14:paraId="277E1AB9" w14:textId="77777777" w:rsidTr="00204588">
        <w:trPr>
          <w:gridAfter w:val="1"/>
          <w:wAfter w:w="12" w:type="dxa"/>
          <w:trHeight w:val="262"/>
        </w:trPr>
        <w:tc>
          <w:tcPr>
            <w:tcW w:w="4466" w:type="dxa"/>
            <w:vMerge/>
            <w:tcBorders>
              <w:top w:val="nil"/>
              <w:left w:val="nil"/>
              <w:bottom w:val="single" w:sz="4" w:space="0" w:color="000000"/>
              <w:right w:val="nil"/>
            </w:tcBorders>
            <w:vAlign w:val="center"/>
            <w:hideMark/>
          </w:tcPr>
          <w:p w14:paraId="6874BDF2"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single" w:sz="4" w:space="0" w:color="auto"/>
              <w:right w:val="nil"/>
            </w:tcBorders>
            <w:shd w:val="clear" w:color="auto" w:fill="auto"/>
            <w:noWrap/>
            <w:vAlign w:val="center"/>
          </w:tcPr>
          <w:p w14:paraId="61A7DC68" w14:textId="77777777" w:rsidR="00204588" w:rsidRPr="00887108" w:rsidRDefault="00204588" w:rsidP="00204588">
            <w:pPr>
              <w:jc w:val="center"/>
              <w:rPr>
                <w:color w:val="000000"/>
                <w:sz w:val="18"/>
                <w:szCs w:val="18"/>
              </w:rPr>
            </w:pPr>
            <w:r w:rsidRPr="00887108">
              <w:rPr>
                <w:color w:val="000000"/>
                <w:sz w:val="18"/>
                <w:szCs w:val="18"/>
              </w:rPr>
              <w:t>2019</w:t>
            </w:r>
          </w:p>
        </w:tc>
        <w:tc>
          <w:tcPr>
            <w:tcW w:w="1276" w:type="dxa"/>
            <w:tcBorders>
              <w:top w:val="nil"/>
              <w:left w:val="nil"/>
              <w:bottom w:val="single" w:sz="4" w:space="0" w:color="auto"/>
              <w:right w:val="nil"/>
            </w:tcBorders>
            <w:shd w:val="clear" w:color="auto" w:fill="auto"/>
            <w:noWrap/>
            <w:vAlign w:val="center"/>
          </w:tcPr>
          <w:p w14:paraId="7FBF6668" w14:textId="77777777" w:rsidR="00204588" w:rsidRPr="00887108" w:rsidRDefault="00204588" w:rsidP="00204588">
            <w:pPr>
              <w:jc w:val="center"/>
              <w:rPr>
                <w:color w:val="000000"/>
                <w:sz w:val="18"/>
                <w:szCs w:val="18"/>
              </w:rPr>
            </w:pPr>
            <w:r w:rsidRPr="00887108">
              <w:rPr>
                <w:color w:val="000000"/>
                <w:sz w:val="18"/>
                <w:szCs w:val="18"/>
              </w:rPr>
              <w:t>2,3</w:t>
            </w:r>
          </w:p>
        </w:tc>
        <w:tc>
          <w:tcPr>
            <w:tcW w:w="1150" w:type="dxa"/>
            <w:tcBorders>
              <w:top w:val="nil"/>
              <w:left w:val="nil"/>
              <w:bottom w:val="single" w:sz="4" w:space="0" w:color="auto"/>
              <w:right w:val="nil"/>
            </w:tcBorders>
            <w:shd w:val="clear" w:color="auto" w:fill="auto"/>
            <w:noWrap/>
            <w:vAlign w:val="center"/>
          </w:tcPr>
          <w:p w14:paraId="6CC8A1CF" w14:textId="77777777" w:rsidR="00204588" w:rsidRPr="00887108" w:rsidRDefault="00204588" w:rsidP="00204588">
            <w:pPr>
              <w:jc w:val="center"/>
              <w:rPr>
                <w:color w:val="000000"/>
                <w:sz w:val="18"/>
                <w:szCs w:val="18"/>
              </w:rPr>
            </w:pPr>
            <w:r w:rsidRPr="00887108">
              <w:rPr>
                <w:color w:val="000000"/>
                <w:sz w:val="18"/>
                <w:szCs w:val="18"/>
              </w:rPr>
              <w:t>2,4</w:t>
            </w:r>
          </w:p>
        </w:tc>
        <w:tc>
          <w:tcPr>
            <w:tcW w:w="1247" w:type="dxa"/>
            <w:gridSpan w:val="2"/>
            <w:tcBorders>
              <w:top w:val="nil"/>
              <w:left w:val="nil"/>
              <w:bottom w:val="single" w:sz="4" w:space="0" w:color="auto"/>
              <w:right w:val="nil"/>
            </w:tcBorders>
            <w:shd w:val="clear" w:color="000000" w:fill="E6E6E6"/>
            <w:vAlign w:val="center"/>
          </w:tcPr>
          <w:p w14:paraId="67F4701E" w14:textId="77777777" w:rsidR="00204588" w:rsidRPr="00887108" w:rsidRDefault="00204588" w:rsidP="00204588">
            <w:pPr>
              <w:jc w:val="center"/>
              <w:rPr>
                <w:b/>
                <w:bCs/>
                <w:color w:val="000000"/>
                <w:sz w:val="18"/>
                <w:szCs w:val="18"/>
              </w:rPr>
            </w:pPr>
            <w:r w:rsidRPr="00887108">
              <w:rPr>
                <w:b/>
                <w:bCs/>
                <w:color w:val="000000"/>
                <w:sz w:val="18"/>
                <w:szCs w:val="18"/>
              </w:rPr>
              <w:t>1,7</w:t>
            </w:r>
          </w:p>
        </w:tc>
      </w:tr>
      <w:tr w:rsidR="00204588" w:rsidRPr="00887108" w14:paraId="77E097EB" w14:textId="77777777" w:rsidTr="00204588">
        <w:trPr>
          <w:gridAfter w:val="1"/>
          <w:wAfter w:w="12" w:type="dxa"/>
          <w:trHeight w:val="280"/>
        </w:trPr>
        <w:tc>
          <w:tcPr>
            <w:tcW w:w="4466" w:type="dxa"/>
            <w:vMerge/>
            <w:tcBorders>
              <w:top w:val="nil"/>
              <w:left w:val="nil"/>
              <w:bottom w:val="single" w:sz="4" w:space="0" w:color="000000"/>
              <w:right w:val="nil"/>
            </w:tcBorders>
            <w:vAlign w:val="center"/>
            <w:hideMark/>
          </w:tcPr>
          <w:p w14:paraId="2BD3ED4C"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nil"/>
              <w:right w:val="nil"/>
            </w:tcBorders>
            <w:shd w:val="clear" w:color="auto" w:fill="auto"/>
            <w:noWrap/>
            <w:vAlign w:val="center"/>
          </w:tcPr>
          <w:p w14:paraId="7C433806" w14:textId="77777777" w:rsidR="00204588" w:rsidRPr="00887108" w:rsidRDefault="00204588" w:rsidP="00204588">
            <w:pPr>
              <w:jc w:val="center"/>
              <w:rPr>
                <w:color w:val="000000"/>
                <w:sz w:val="18"/>
                <w:szCs w:val="18"/>
              </w:rPr>
            </w:pPr>
            <w:r w:rsidRPr="00887108">
              <w:rPr>
                <w:color w:val="000000"/>
                <w:sz w:val="18"/>
                <w:szCs w:val="18"/>
              </w:rPr>
              <w:t>2020F</w:t>
            </w:r>
          </w:p>
        </w:tc>
        <w:tc>
          <w:tcPr>
            <w:tcW w:w="1276" w:type="dxa"/>
            <w:tcBorders>
              <w:top w:val="nil"/>
              <w:left w:val="nil"/>
              <w:bottom w:val="nil"/>
              <w:right w:val="nil"/>
            </w:tcBorders>
            <w:shd w:val="clear" w:color="auto" w:fill="auto"/>
            <w:noWrap/>
            <w:vAlign w:val="center"/>
          </w:tcPr>
          <w:p w14:paraId="39C93FF5" w14:textId="77777777" w:rsidR="00204588" w:rsidRPr="00887108" w:rsidRDefault="00204588" w:rsidP="00204588">
            <w:pPr>
              <w:jc w:val="center"/>
              <w:rPr>
                <w:color w:val="000000"/>
                <w:sz w:val="18"/>
                <w:szCs w:val="18"/>
              </w:rPr>
            </w:pPr>
            <w:r w:rsidRPr="00887108">
              <w:rPr>
                <w:color w:val="000000"/>
                <w:sz w:val="18"/>
                <w:szCs w:val="18"/>
              </w:rPr>
              <w:t>-7,2</w:t>
            </w:r>
          </w:p>
        </w:tc>
        <w:tc>
          <w:tcPr>
            <w:tcW w:w="1150" w:type="dxa"/>
            <w:tcBorders>
              <w:top w:val="nil"/>
              <w:left w:val="nil"/>
              <w:bottom w:val="nil"/>
              <w:right w:val="nil"/>
            </w:tcBorders>
            <w:shd w:val="clear" w:color="auto" w:fill="auto"/>
            <w:noWrap/>
            <w:vAlign w:val="center"/>
          </w:tcPr>
          <w:p w14:paraId="78A7648E" w14:textId="77777777" w:rsidR="00204588" w:rsidRPr="00887108" w:rsidRDefault="00204588" w:rsidP="00204588">
            <w:pPr>
              <w:jc w:val="center"/>
              <w:rPr>
                <w:color w:val="000000"/>
                <w:sz w:val="18"/>
                <w:szCs w:val="18"/>
              </w:rPr>
            </w:pPr>
            <w:r w:rsidRPr="00887108">
              <w:rPr>
                <w:color w:val="000000"/>
                <w:sz w:val="18"/>
                <w:szCs w:val="18"/>
              </w:rPr>
              <w:t>1,6</w:t>
            </w:r>
          </w:p>
        </w:tc>
        <w:tc>
          <w:tcPr>
            <w:tcW w:w="1247" w:type="dxa"/>
            <w:gridSpan w:val="2"/>
            <w:tcBorders>
              <w:top w:val="nil"/>
              <w:left w:val="nil"/>
              <w:bottom w:val="nil"/>
              <w:right w:val="nil"/>
            </w:tcBorders>
            <w:shd w:val="clear" w:color="000000" w:fill="E6E6E6"/>
            <w:vAlign w:val="center"/>
          </w:tcPr>
          <w:p w14:paraId="48C99186" w14:textId="77777777" w:rsidR="00204588" w:rsidRPr="00887108" w:rsidRDefault="00204588" w:rsidP="00204588">
            <w:pPr>
              <w:jc w:val="center"/>
              <w:rPr>
                <w:b/>
                <w:bCs/>
                <w:color w:val="000000"/>
                <w:sz w:val="18"/>
                <w:szCs w:val="18"/>
              </w:rPr>
            </w:pPr>
            <w:r w:rsidRPr="00887108">
              <w:rPr>
                <w:b/>
                <w:bCs/>
                <w:color w:val="000000"/>
                <w:sz w:val="18"/>
                <w:szCs w:val="18"/>
              </w:rPr>
              <w:t>-7,1</w:t>
            </w:r>
          </w:p>
        </w:tc>
      </w:tr>
      <w:tr w:rsidR="00204588" w:rsidRPr="00887108" w14:paraId="23E6FF81" w14:textId="77777777" w:rsidTr="00204588">
        <w:trPr>
          <w:gridAfter w:val="1"/>
          <w:wAfter w:w="12" w:type="dxa"/>
          <w:trHeight w:val="272"/>
        </w:trPr>
        <w:tc>
          <w:tcPr>
            <w:tcW w:w="4466" w:type="dxa"/>
            <w:vMerge/>
            <w:tcBorders>
              <w:top w:val="nil"/>
              <w:left w:val="nil"/>
              <w:bottom w:val="single" w:sz="4" w:space="0" w:color="000000"/>
              <w:right w:val="nil"/>
            </w:tcBorders>
            <w:vAlign w:val="center"/>
            <w:hideMark/>
          </w:tcPr>
          <w:p w14:paraId="7E311531"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nil"/>
              <w:right w:val="nil"/>
            </w:tcBorders>
            <w:shd w:val="clear" w:color="auto" w:fill="auto"/>
            <w:noWrap/>
            <w:vAlign w:val="center"/>
          </w:tcPr>
          <w:p w14:paraId="3C06FEB3" w14:textId="77777777" w:rsidR="00204588" w:rsidRPr="00887108" w:rsidRDefault="00204588" w:rsidP="00204588">
            <w:pPr>
              <w:jc w:val="center"/>
              <w:rPr>
                <w:color w:val="000000"/>
                <w:sz w:val="18"/>
                <w:szCs w:val="18"/>
              </w:rPr>
            </w:pPr>
            <w:r w:rsidRPr="00887108">
              <w:rPr>
                <w:color w:val="000000"/>
                <w:sz w:val="18"/>
                <w:szCs w:val="18"/>
              </w:rPr>
              <w:t>2021F</w:t>
            </w:r>
          </w:p>
        </w:tc>
        <w:tc>
          <w:tcPr>
            <w:tcW w:w="1276" w:type="dxa"/>
            <w:tcBorders>
              <w:top w:val="nil"/>
              <w:left w:val="nil"/>
              <w:bottom w:val="nil"/>
              <w:right w:val="nil"/>
            </w:tcBorders>
            <w:shd w:val="clear" w:color="auto" w:fill="auto"/>
            <w:noWrap/>
            <w:vAlign w:val="center"/>
          </w:tcPr>
          <w:p w14:paraId="7365E347" w14:textId="77777777" w:rsidR="00204588" w:rsidRPr="00887108" w:rsidRDefault="00204588" w:rsidP="00204588">
            <w:pPr>
              <w:jc w:val="center"/>
              <w:rPr>
                <w:color w:val="000000"/>
                <w:sz w:val="18"/>
                <w:szCs w:val="18"/>
              </w:rPr>
            </w:pPr>
            <w:r w:rsidRPr="00887108">
              <w:rPr>
                <w:color w:val="000000"/>
                <w:sz w:val="18"/>
                <w:szCs w:val="18"/>
              </w:rPr>
              <w:t>6,8</w:t>
            </w:r>
          </w:p>
        </w:tc>
        <w:tc>
          <w:tcPr>
            <w:tcW w:w="1150" w:type="dxa"/>
            <w:tcBorders>
              <w:top w:val="nil"/>
              <w:left w:val="nil"/>
              <w:bottom w:val="nil"/>
              <w:right w:val="nil"/>
            </w:tcBorders>
            <w:shd w:val="clear" w:color="auto" w:fill="auto"/>
            <w:noWrap/>
            <w:vAlign w:val="center"/>
          </w:tcPr>
          <w:p w14:paraId="26CD1B39" w14:textId="77777777" w:rsidR="00204588" w:rsidRPr="00887108" w:rsidRDefault="00204588" w:rsidP="00204588">
            <w:pPr>
              <w:jc w:val="center"/>
              <w:rPr>
                <w:color w:val="000000"/>
                <w:sz w:val="18"/>
                <w:szCs w:val="18"/>
              </w:rPr>
            </w:pPr>
            <w:r w:rsidRPr="00887108">
              <w:rPr>
                <w:color w:val="000000"/>
                <w:sz w:val="18"/>
                <w:szCs w:val="18"/>
              </w:rPr>
              <w:t>2,2</w:t>
            </w:r>
          </w:p>
        </w:tc>
        <w:tc>
          <w:tcPr>
            <w:tcW w:w="1247" w:type="dxa"/>
            <w:gridSpan w:val="2"/>
            <w:tcBorders>
              <w:top w:val="nil"/>
              <w:left w:val="nil"/>
              <w:bottom w:val="nil"/>
              <w:right w:val="nil"/>
            </w:tcBorders>
            <w:shd w:val="clear" w:color="000000" w:fill="E6E6E6"/>
            <w:vAlign w:val="center"/>
          </w:tcPr>
          <w:p w14:paraId="259A1A13" w14:textId="77777777" w:rsidR="00204588" w:rsidRPr="00887108" w:rsidRDefault="00204588" w:rsidP="00204588">
            <w:pPr>
              <w:jc w:val="center"/>
              <w:rPr>
                <w:b/>
                <w:bCs/>
                <w:color w:val="000000"/>
                <w:sz w:val="18"/>
                <w:szCs w:val="18"/>
              </w:rPr>
            </w:pPr>
            <w:r w:rsidRPr="00887108">
              <w:rPr>
                <w:b/>
                <w:bCs/>
                <w:color w:val="000000"/>
                <w:sz w:val="18"/>
                <w:szCs w:val="18"/>
              </w:rPr>
              <w:t>-3,0</w:t>
            </w:r>
          </w:p>
        </w:tc>
      </w:tr>
      <w:tr w:rsidR="00204588" w:rsidRPr="00887108" w14:paraId="06ACF20A" w14:textId="77777777" w:rsidTr="00204588">
        <w:trPr>
          <w:gridAfter w:val="1"/>
          <w:wAfter w:w="12" w:type="dxa"/>
          <w:trHeight w:val="64"/>
        </w:trPr>
        <w:tc>
          <w:tcPr>
            <w:tcW w:w="4466" w:type="dxa"/>
            <w:vMerge/>
            <w:tcBorders>
              <w:top w:val="nil"/>
              <w:left w:val="nil"/>
              <w:bottom w:val="single" w:sz="4" w:space="0" w:color="000000"/>
              <w:right w:val="nil"/>
            </w:tcBorders>
            <w:vAlign w:val="center"/>
            <w:hideMark/>
          </w:tcPr>
          <w:p w14:paraId="6FE4BEF8"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nil"/>
              <w:right w:val="nil"/>
            </w:tcBorders>
            <w:shd w:val="clear" w:color="auto" w:fill="auto"/>
            <w:noWrap/>
            <w:vAlign w:val="center"/>
          </w:tcPr>
          <w:p w14:paraId="357F1865" w14:textId="77777777" w:rsidR="00204588" w:rsidRPr="00887108" w:rsidRDefault="00204588" w:rsidP="00204588">
            <w:pPr>
              <w:jc w:val="center"/>
              <w:rPr>
                <w:color w:val="000000"/>
                <w:sz w:val="18"/>
                <w:szCs w:val="18"/>
              </w:rPr>
            </w:pPr>
            <w:r w:rsidRPr="00887108">
              <w:rPr>
                <w:color w:val="000000"/>
                <w:sz w:val="18"/>
                <w:szCs w:val="18"/>
              </w:rPr>
              <w:t>2022F</w:t>
            </w:r>
          </w:p>
        </w:tc>
        <w:tc>
          <w:tcPr>
            <w:tcW w:w="1276" w:type="dxa"/>
            <w:tcBorders>
              <w:top w:val="nil"/>
              <w:left w:val="nil"/>
              <w:bottom w:val="nil"/>
              <w:right w:val="nil"/>
            </w:tcBorders>
            <w:shd w:val="clear" w:color="auto" w:fill="auto"/>
            <w:noWrap/>
            <w:vAlign w:val="center"/>
          </w:tcPr>
          <w:p w14:paraId="67D7AE89" w14:textId="77777777" w:rsidR="00204588" w:rsidRPr="00887108" w:rsidRDefault="00204588" w:rsidP="00204588">
            <w:pPr>
              <w:jc w:val="center"/>
              <w:rPr>
                <w:color w:val="000000"/>
                <w:sz w:val="18"/>
                <w:szCs w:val="18"/>
              </w:rPr>
            </w:pPr>
            <w:r w:rsidRPr="00887108">
              <w:rPr>
                <w:color w:val="000000"/>
                <w:sz w:val="18"/>
                <w:szCs w:val="18"/>
              </w:rPr>
              <w:t>4,1</w:t>
            </w:r>
          </w:p>
        </w:tc>
        <w:tc>
          <w:tcPr>
            <w:tcW w:w="1150" w:type="dxa"/>
            <w:tcBorders>
              <w:top w:val="nil"/>
              <w:left w:val="nil"/>
              <w:bottom w:val="nil"/>
              <w:right w:val="nil"/>
            </w:tcBorders>
            <w:shd w:val="clear" w:color="auto" w:fill="auto"/>
            <w:noWrap/>
            <w:vAlign w:val="center"/>
          </w:tcPr>
          <w:p w14:paraId="584FA16C" w14:textId="77777777" w:rsidR="00204588" w:rsidRPr="00887108" w:rsidRDefault="00204588" w:rsidP="00204588">
            <w:pPr>
              <w:jc w:val="center"/>
              <w:rPr>
                <w:color w:val="000000"/>
                <w:sz w:val="18"/>
                <w:szCs w:val="18"/>
              </w:rPr>
            </w:pPr>
            <w:r w:rsidRPr="00887108">
              <w:rPr>
                <w:color w:val="000000"/>
                <w:sz w:val="18"/>
                <w:szCs w:val="18"/>
              </w:rPr>
              <w:t>2,3</w:t>
            </w:r>
          </w:p>
        </w:tc>
        <w:tc>
          <w:tcPr>
            <w:tcW w:w="1247" w:type="dxa"/>
            <w:gridSpan w:val="2"/>
            <w:tcBorders>
              <w:top w:val="nil"/>
              <w:left w:val="nil"/>
              <w:bottom w:val="nil"/>
              <w:right w:val="nil"/>
            </w:tcBorders>
            <w:shd w:val="clear" w:color="000000" w:fill="E6E6E6"/>
            <w:vAlign w:val="center"/>
          </w:tcPr>
          <w:p w14:paraId="01F09C68" w14:textId="77777777" w:rsidR="00204588" w:rsidRPr="00887108" w:rsidRDefault="00204588" w:rsidP="00204588">
            <w:pPr>
              <w:jc w:val="center"/>
              <w:rPr>
                <w:b/>
                <w:bCs/>
                <w:color w:val="000000"/>
                <w:sz w:val="18"/>
                <w:szCs w:val="18"/>
              </w:rPr>
            </w:pPr>
            <w:r w:rsidRPr="00887108">
              <w:rPr>
                <w:b/>
                <w:bCs/>
                <w:color w:val="000000"/>
                <w:sz w:val="18"/>
                <w:szCs w:val="18"/>
              </w:rPr>
              <w:t>-1,3</w:t>
            </w:r>
          </w:p>
        </w:tc>
      </w:tr>
      <w:tr w:rsidR="00204588" w:rsidRPr="00887108" w14:paraId="13409A81" w14:textId="77777777" w:rsidTr="00204588">
        <w:trPr>
          <w:gridAfter w:val="1"/>
          <w:wAfter w:w="12" w:type="dxa"/>
          <w:trHeight w:val="353"/>
        </w:trPr>
        <w:tc>
          <w:tcPr>
            <w:tcW w:w="4466" w:type="dxa"/>
            <w:vMerge/>
            <w:tcBorders>
              <w:top w:val="nil"/>
              <w:left w:val="nil"/>
              <w:bottom w:val="single" w:sz="4" w:space="0" w:color="auto"/>
              <w:right w:val="nil"/>
            </w:tcBorders>
            <w:vAlign w:val="center"/>
            <w:hideMark/>
          </w:tcPr>
          <w:p w14:paraId="33CE1C36" w14:textId="77777777" w:rsidR="00204588" w:rsidRPr="00887108" w:rsidRDefault="00204588" w:rsidP="00204588">
            <w:pPr>
              <w:ind w:left="360"/>
              <w:rPr>
                <w:rFonts w:cs="Times New Roman"/>
                <w:b/>
                <w:bCs/>
                <w:color w:val="000000"/>
                <w:sz w:val="16"/>
                <w:szCs w:val="16"/>
                <w:highlight w:val="yellow"/>
              </w:rPr>
            </w:pPr>
          </w:p>
        </w:tc>
        <w:tc>
          <w:tcPr>
            <w:tcW w:w="567" w:type="dxa"/>
            <w:tcBorders>
              <w:top w:val="nil"/>
              <w:left w:val="nil"/>
              <w:bottom w:val="single" w:sz="4" w:space="0" w:color="auto"/>
              <w:right w:val="nil"/>
            </w:tcBorders>
            <w:shd w:val="clear" w:color="auto" w:fill="auto"/>
            <w:noWrap/>
            <w:vAlign w:val="center"/>
          </w:tcPr>
          <w:p w14:paraId="051D2565" w14:textId="77777777" w:rsidR="00204588" w:rsidRPr="00887108" w:rsidRDefault="00204588" w:rsidP="00204588">
            <w:pPr>
              <w:jc w:val="center"/>
              <w:rPr>
                <w:color w:val="000000"/>
                <w:sz w:val="18"/>
                <w:szCs w:val="18"/>
              </w:rPr>
            </w:pPr>
            <w:r w:rsidRPr="00887108">
              <w:rPr>
                <w:color w:val="000000"/>
                <w:sz w:val="18"/>
                <w:szCs w:val="18"/>
              </w:rPr>
              <w:t>2023F</w:t>
            </w:r>
          </w:p>
        </w:tc>
        <w:tc>
          <w:tcPr>
            <w:tcW w:w="1276" w:type="dxa"/>
            <w:tcBorders>
              <w:top w:val="nil"/>
              <w:left w:val="nil"/>
              <w:bottom w:val="single" w:sz="4" w:space="0" w:color="auto"/>
              <w:right w:val="nil"/>
            </w:tcBorders>
            <w:shd w:val="clear" w:color="auto" w:fill="auto"/>
            <w:noWrap/>
            <w:vAlign w:val="center"/>
          </w:tcPr>
          <w:p w14:paraId="4A30397E" w14:textId="77777777" w:rsidR="00204588" w:rsidRPr="00887108" w:rsidRDefault="00204588" w:rsidP="00204588">
            <w:pPr>
              <w:jc w:val="center"/>
              <w:rPr>
                <w:color w:val="000000"/>
                <w:sz w:val="18"/>
                <w:szCs w:val="18"/>
              </w:rPr>
            </w:pPr>
            <w:r w:rsidRPr="00887108">
              <w:rPr>
                <w:color w:val="000000"/>
                <w:sz w:val="18"/>
                <w:szCs w:val="18"/>
              </w:rPr>
              <w:t>3,2</w:t>
            </w:r>
          </w:p>
        </w:tc>
        <w:tc>
          <w:tcPr>
            <w:tcW w:w="1150" w:type="dxa"/>
            <w:tcBorders>
              <w:top w:val="nil"/>
              <w:left w:val="nil"/>
              <w:bottom w:val="single" w:sz="4" w:space="0" w:color="auto"/>
              <w:right w:val="nil"/>
            </w:tcBorders>
            <w:shd w:val="clear" w:color="auto" w:fill="auto"/>
            <w:noWrap/>
            <w:vAlign w:val="center"/>
          </w:tcPr>
          <w:p w14:paraId="371A75E5" w14:textId="77777777" w:rsidR="00204588" w:rsidRPr="00887108" w:rsidRDefault="00204588" w:rsidP="00204588">
            <w:pPr>
              <w:jc w:val="center"/>
              <w:rPr>
                <w:color w:val="000000"/>
                <w:sz w:val="18"/>
                <w:szCs w:val="18"/>
              </w:rPr>
            </w:pPr>
            <w:r w:rsidRPr="00887108">
              <w:rPr>
                <w:color w:val="000000"/>
                <w:sz w:val="18"/>
                <w:szCs w:val="18"/>
              </w:rPr>
              <w:t>2,3</w:t>
            </w:r>
          </w:p>
        </w:tc>
        <w:tc>
          <w:tcPr>
            <w:tcW w:w="1247" w:type="dxa"/>
            <w:gridSpan w:val="2"/>
            <w:tcBorders>
              <w:top w:val="nil"/>
              <w:left w:val="nil"/>
              <w:bottom w:val="single" w:sz="4" w:space="0" w:color="auto"/>
              <w:right w:val="nil"/>
            </w:tcBorders>
            <w:shd w:val="clear" w:color="000000" w:fill="E6E6E6"/>
            <w:vAlign w:val="center"/>
          </w:tcPr>
          <w:p w14:paraId="0D29AF8E" w14:textId="77777777" w:rsidR="00204588" w:rsidRPr="00887108" w:rsidRDefault="00204588" w:rsidP="00204588">
            <w:pPr>
              <w:jc w:val="center"/>
              <w:rPr>
                <w:b/>
                <w:bCs/>
                <w:color w:val="000000"/>
                <w:sz w:val="18"/>
                <w:szCs w:val="18"/>
              </w:rPr>
            </w:pPr>
            <w:r w:rsidRPr="00887108">
              <w:rPr>
                <w:b/>
                <w:bCs/>
                <w:color w:val="000000"/>
                <w:sz w:val="18"/>
                <w:szCs w:val="18"/>
              </w:rPr>
              <w:t>-0,5</w:t>
            </w:r>
          </w:p>
        </w:tc>
      </w:tr>
      <w:tr w:rsidR="00204588" w:rsidRPr="00887108" w14:paraId="20188393" w14:textId="77777777" w:rsidTr="00204588">
        <w:trPr>
          <w:trHeight w:val="227"/>
        </w:trPr>
        <w:tc>
          <w:tcPr>
            <w:tcW w:w="4466" w:type="dxa"/>
            <w:tcBorders>
              <w:top w:val="single" w:sz="4" w:space="0" w:color="auto"/>
              <w:left w:val="nil"/>
              <w:bottom w:val="nil"/>
              <w:right w:val="nil"/>
            </w:tcBorders>
            <w:shd w:val="clear" w:color="auto" w:fill="auto"/>
            <w:vAlign w:val="center"/>
          </w:tcPr>
          <w:p w14:paraId="3073F804" w14:textId="77777777" w:rsidR="00204588" w:rsidRPr="00887108" w:rsidRDefault="00204588" w:rsidP="00204588">
            <w:pPr>
              <w:rPr>
                <w:rFonts w:cs="Times New Roman"/>
                <w:i/>
                <w:iCs/>
                <w:color w:val="000000"/>
                <w:sz w:val="16"/>
                <w:szCs w:val="16"/>
              </w:rPr>
            </w:pPr>
            <w:r w:rsidRPr="00887108">
              <w:rPr>
                <w:rFonts w:cs="Times New Roman"/>
                <w:i/>
                <w:iCs/>
                <w:color w:val="000000"/>
                <w:sz w:val="16"/>
                <w:szCs w:val="16"/>
              </w:rPr>
              <w:t>* O</w:t>
            </w:r>
            <w:r w:rsidRPr="00887108">
              <w:rPr>
                <w:i/>
                <w:sz w:val="16"/>
                <w:szCs w:val="16"/>
              </w:rPr>
              <w:t xml:space="preserve">dhad z Vamp z apríla 2020 </w:t>
            </w:r>
          </w:p>
        </w:tc>
        <w:tc>
          <w:tcPr>
            <w:tcW w:w="4252" w:type="dxa"/>
            <w:gridSpan w:val="6"/>
            <w:tcBorders>
              <w:top w:val="single" w:sz="8" w:space="0" w:color="auto"/>
              <w:left w:val="nil"/>
              <w:bottom w:val="nil"/>
              <w:right w:val="nil"/>
            </w:tcBorders>
            <w:shd w:val="clear" w:color="auto" w:fill="auto"/>
            <w:vAlign w:val="center"/>
            <w:hideMark/>
          </w:tcPr>
          <w:p w14:paraId="6BFE9149" w14:textId="77777777" w:rsidR="00204588" w:rsidRPr="00887108" w:rsidRDefault="00204588" w:rsidP="00204588">
            <w:pPr>
              <w:pStyle w:val="poznmka"/>
              <w:rPr>
                <w:rFonts w:cs="Times New Roman"/>
              </w:rPr>
            </w:pPr>
            <w:r w:rsidRPr="00887108">
              <w:t>Zdroj: MF SR</w:t>
            </w:r>
          </w:p>
        </w:tc>
      </w:tr>
    </w:tbl>
    <w:p w14:paraId="677C6129" w14:textId="77777777" w:rsidR="00204588" w:rsidRPr="00887108" w:rsidRDefault="00204588" w:rsidP="00204588">
      <w:pPr>
        <w:jc w:val="both"/>
        <w:rPr>
          <w:highlight w:val="yellow"/>
        </w:rPr>
      </w:pPr>
    </w:p>
    <w:p w14:paraId="5812BC40" w14:textId="77777777" w:rsidR="004C787A" w:rsidRPr="00887108" w:rsidRDefault="004C787A" w:rsidP="004C787A">
      <w:pPr>
        <w:pStyle w:val="Nadpis2"/>
        <w:keepLines/>
        <w:spacing w:before="240" w:after="120" w:line="276" w:lineRule="auto"/>
        <w:rPr>
          <w:b/>
          <w:color w:val="2C9ADC"/>
          <w:szCs w:val="28"/>
        </w:rPr>
      </w:pPr>
      <w:bookmarkStart w:id="80" w:name="_Toc40181045"/>
    </w:p>
    <w:p w14:paraId="073550EE" w14:textId="77777777" w:rsidR="00AD6A92" w:rsidRPr="00887108" w:rsidRDefault="00AD6A92" w:rsidP="00AD6A92"/>
    <w:p w14:paraId="29A85C08" w14:textId="77777777" w:rsidR="00204588" w:rsidRPr="00887108" w:rsidRDefault="00204588" w:rsidP="00204588">
      <w:pPr>
        <w:pStyle w:val="Nadpis2"/>
        <w:keepLines/>
        <w:numPr>
          <w:ilvl w:val="1"/>
          <w:numId w:val="2"/>
        </w:numPr>
        <w:spacing w:before="240" w:after="120" w:line="276" w:lineRule="auto"/>
        <w:rPr>
          <w:b/>
          <w:color w:val="2C9ADC"/>
          <w:szCs w:val="28"/>
        </w:rPr>
      </w:pPr>
      <w:r w:rsidRPr="00887108">
        <w:rPr>
          <w:b/>
          <w:color w:val="2C9ADC"/>
          <w:szCs w:val="28"/>
        </w:rPr>
        <w:t>Porovnanie prognóz slovenskej ekonomiky MF SR s prognózami ostatných inštitúcií</w:t>
      </w:r>
      <w:bookmarkEnd w:id="72"/>
      <w:bookmarkEnd w:id="73"/>
      <w:bookmarkEnd w:id="74"/>
      <w:bookmarkEnd w:id="75"/>
      <w:bookmarkEnd w:id="80"/>
      <w:r w:rsidRPr="00887108">
        <w:rPr>
          <w:b/>
          <w:color w:val="2C9ADC"/>
          <w:szCs w:val="28"/>
        </w:rPr>
        <w:t xml:space="preserve"> </w:t>
      </w:r>
    </w:p>
    <w:p w14:paraId="195C2E0B" w14:textId="77777777" w:rsidR="008B707C" w:rsidRPr="00887108" w:rsidRDefault="008B707C" w:rsidP="00BC0180">
      <w:pPr>
        <w:pStyle w:val="Odsek"/>
        <w:rPr>
          <w:sz w:val="24"/>
        </w:rPr>
      </w:pPr>
      <w:r w:rsidRPr="00887108">
        <w:rPr>
          <w:b/>
          <w:bCs/>
          <w:szCs w:val="20"/>
        </w:rPr>
        <w:t>Prognóza MF SR je len veľmi mierne pesimistickejšia v porovnaní s ostatnými inštitúciami zohľadňujúcimi vplyv koronavírusu.</w:t>
      </w:r>
      <w:r w:rsidRPr="00887108">
        <w:rPr>
          <w:szCs w:val="20"/>
        </w:rPr>
        <w:t xml:space="preserve"> V porovnaní s prognózou EK je prepad HDP v prognóze MF SR v roku 2020 ešte o 0,5 p .b. hlbší a spotrebiteľské ceny v roku 2021 rastú pre pokles regulovaných cien pomalšie. Oživenie ekonomiky je porovnateľné silné medzi oboma prognózami Rozdiel v bilancii bežného účtu vzniká z dôvodu, že MF SR predpokladá silný pokles spotreby domácností, ktorý stiahne aj import tovarov a služieb a zlepší obchodnú bilanciu. </w:t>
      </w:r>
    </w:p>
    <w:tbl>
      <w:tblPr>
        <w:tblW w:w="5000" w:type="pct"/>
        <w:jc w:val="center"/>
        <w:tblCellMar>
          <w:left w:w="70" w:type="dxa"/>
          <w:right w:w="70" w:type="dxa"/>
        </w:tblCellMar>
        <w:tblLook w:val="00A0" w:firstRow="1" w:lastRow="0" w:firstColumn="1" w:lastColumn="0" w:noHBand="0" w:noVBand="0"/>
      </w:tblPr>
      <w:tblGrid>
        <w:gridCol w:w="3451"/>
        <w:gridCol w:w="1721"/>
        <w:gridCol w:w="1714"/>
        <w:gridCol w:w="2184"/>
      </w:tblGrid>
      <w:tr w:rsidR="00204588" w:rsidRPr="00887108" w14:paraId="2E904DAA" w14:textId="77777777" w:rsidTr="00204588">
        <w:trPr>
          <w:trHeight w:val="24"/>
          <w:jc w:val="center"/>
        </w:trPr>
        <w:tc>
          <w:tcPr>
            <w:tcW w:w="5000" w:type="pct"/>
            <w:gridSpan w:val="4"/>
            <w:tcBorders>
              <w:top w:val="nil"/>
              <w:left w:val="nil"/>
              <w:bottom w:val="single" w:sz="8" w:space="0" w:color="auto"/>
              <w:right w:val="nil"/>
            </w:tcBorders>
            <w:shd w:val="clear" w:color="000000" w:fill="auto"/>
            <w:noWrap/>
          </w:tcPr>
          <w:p w14:paraId="24D5865C" w14:textId="3B041709" w:rsidR="00204588" w:rsidRPr="00887108" w:rsidRDefault="00204588" w:rsidP="00204588">
            <w:pPr>
              <w:pStyle w:val="Nadpis3"/>
              <w:rPr>
                <w:rFonts w:eastAsiaTheme="minorHAnsi"/>
                <w:color w:val="2C9ADC"/>
                <w:lang w:eastAsia="en-US"/>
              </w:rPr>
            </w:pPr>
            <w:bookmarkStart w:id="81" w:name="_Toc480444013"/>
            <w:bookmarkStart w:id="82" w:name="_Toc480444518"/>
            <w:bookmarkStart w:id="83" w:name="_Toc40186681"/>
            <w:r w:rsidRPr="00887108">
              <w:rPr>
                <w:rFonts w:eastAsiaTheme="minorHAnsi"/>
                <w:color w:val="2C9ADC" w:themeColor="accent1"/>
                <w:lang w:eastAsia="en-US"/>
              </w:rPr>
              <w:t xml:space="preserve">TABUĽKA </w:t>
            </w:r>
            <w:r w:rsidRPr="00887108">
              <w:rPr>
                <w:rFonts w:eastAsiaTheme="minorHAnsi"/>
                <w:color w:val="2C9ADC" w:themeColor="accent1"/>
                <w:lang w:eastAsia="en-US"/>
              </w:rPr>
              <w:fldChar w:fldCharType="begin"/>
            </w:r>
            <w:r w:rsidRPr="00887108">
              <w:rPr>
                <w:rFonts w:eastAsiaTheme="minorHAnsi"/>
                <w:color w:val="2C9ADC" w:themeColor="accent1"/>
                <w:lang w:eastAsia="en-US"/>
              </w:rPr>
              <w:instrText xml:space="preserve"> SEQ TABUĽKA \* ARABIC </w:instrText>
            </w:r>
            <w:r w:rsidRPr="00887108">
              <w:rPr>
                <w:rFonts w:eastAsiaTheme="minorHAnsi"/>
                <w:color w:val="2C9ADC" w:themeColor="accent1"/>
                <w:lang w:eastAsia="en-US"/>
              </w:rPr>
              <w:fldChar w:fldCharType="separate"/>
            </w:r>
            <w:r w:rsidR="00D47A36">
              <w:rPr>
                <w:rFonts w:eastAsiaTheme="minorHAnsi"/>
                <w:noProof/>
                <w:color w:val="2C9ADC" w:themeColor="accent1"/>
                <w:lang w:eastAsia="en-US"/>
              </w:rPr>
              <w:t>4</w:t>
            </w:r>
            <w:r w:rsidRPr="00887108">
              <w:rPr>
                <w:rFonts w:eastAsiaTheme="minorHAnsi"/>
                <w:color w:val="2C9ADC" w:themeColor="accent1"/>
                <w:lang w:eastAsia="en-US"/>
              </w:rPr>
              <w:fldChar w:fldCharType="end"/>
            </w:r>
            <w:r w:rsidRPr="00887108">
              <w:rPr>
                <w:rFonts w:eastAsiaTheme="minorHAnsi"/>
                <w:color w:val="2C9ADC"/>
                <w:lang w:eastAsia="en-US"/>
              </w:rPr>
              <w:t xml:space="preserve"> - Porovnanie prognóz slovenskej ekonomiky MF SR a ostatných inštitúcií</w:t>
            </w:r>
            <w:bookmarkEnd w:id="81"/>
            <w:bookmarkEnd w:id="82"/>
            <w:bookmarkEnd w:id="83"/>
          </w:p>
        </w:tc>
      </w:tr>
      <w:tr w:rsidR="00204588" w:rsidRPr="00887108" w14:paraId="0E48426B" w14:textId="77777777" w:rsidTr="00204588">
        <w:trPr>
          <w:trHeight w:val="24"/>
          <w:jc w:val="center"/>
        </w:trPr>
        <w:tc>
          <w:tcPr>
            <w:tcW w:w="1902" w:type="pct"/>
            <w:tcBorders>
              <w:top w:val="single" w:sz="8" w:space="0" w:color="auto"/>
              <w:left w:val="nil"/>
              <w:bottom w:val="single" w:sz="8" w:space="0" w:color="auto"/>
              <w:right w:val="nil"/>
            </w:tcBorders>
            <w:shd w:val="clear" w:color="auto" w:fill="FFFFFF" w:themeFill="background1"/>
            <w:vAlign w:val="center"/>
          </w:tcPr>
          <w:p w14:paraId="71004F37" w14:textId="77777777" w:rsidR="00204588" w:rsidRPr="00887108" w:rsidRDefault="00204588" w:rsidP="00204588">
            <w:pPr>
              <w:rPr>
                <w:rFonts w:cs="Times New Roman"/>
                <w:color w:val="000000"/>
                <w:sz w:val="20"/>
                <w:szCs w:val="20"/>
              </w:rPr>
            </w:pPr>
          </w:p>
        </w:tc>
        <w:tc>
          <w:tcPr>
            <w:tcW w:w="949" w:type="pct"/>
            <w:tcBorders>
              <w:top w:val="single" w:sz="8" w:space="0" w:color="auto"/>
              <w:left w:val="nil"/>
              <w:bottom w:val="single" w:sz="8" w:space="0" w:color="auto"/>
              <w:right w:val="nil"/>
            </w:tcBorders>
            <w:shd w:val="clear" w:color="auto" w:fill="FFFFFF" w:themeFill="background1"/>
            <w:vAlign w:val="center"/>
          </w:tcPr>
          <w:p w14:paraId="33EBF6BB"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2019</w:t>
            </w:r>
          </w:p>
        </w:tc>
        <w:tc>
          <w:tcPr>
            <w:tcW w:w="945" w:type="pct"/>
            <w:tcBorders>
              <w:top w:val="single" w:sz="8" w:space="0" w:color="auto"/>
              <w:left w:val="nil"/>
              <w:bottom w:val="single" w:sz="8" w:space="0" w:color="auto"/>
              <w:right w:val="nil"/>
            </w:tcBorders>
            <w:shd w:val="clear" w:color="auto" w:fill="FFFFFF" w:themeFill="background1"/>
            <w:vAlign w:val="center"/>
          </w:tcPr>
          <w:p w14:paraId="7E65203F"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2020</w:t>
            </w:r>
          </w:p>
        </w:tc>
        <w:tc>
          <w:tcPr>
            <w:tcW w:w="1205" w:type="pct"/>
            <w:tcBorders>
              <w:top w:val="single" w:sz="8" w:space="0" w:color="auto"/>
              <w:left w:val="nil"/>
              <w:bottom w:val="single" w:sz="8" w:space="0" w:color="auto"/>
              <w:right w:val="nil"/>
            </w:tcBorders>
            <w:shd w:val="clear" w:color="auto" w:fill="FFFFFF" w:themeFill="background1"/>
            <w:vAlign w:val="center"/>
          </w:tcPr>
          <w:p w14:paraId="0893198F"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2021</w:t>
            </w:r>
          </w:p>
        </w:tc>
      </w:tr>
      <w:tr w:rsidR="00204588" w:rsidRPr="00887108" w14:paraId="050AEFF7" w14:textId="77777777" w:rsidTr="00204588">
        <w:trPr>
          <w:trHeight w:val="24"/>
          <w:jc w:val="center"/>
        </w:trPr>
        <w:tc>
          <w:tcPr>
            <w:tcW w:w="5000" w:type="pct"/>
            <w:gridSpan w:val="4"/>
            <w:tcBorders>
              <w:top w:val="single" w:sz="8" w:space="0" w:color="auto"/>
              <w:left w:val="nil"/>
              <w:bottom w:val="single" w:sz="8" w:space="0" w:color="auto"/>
              <w:right w:val="nil"/>
            </w:tcBorders>
            <w:shd w:val="clear" w:color="auto" w:fill="F2F2F2" w:themeFill="background1" w:themeFillShade="F2"/>
            <w:vAlign w:val="center"/>
          </w:tcPr>
          <w:p w14:paraId="0528B095" w14:textId="77777777" w:rsidR="00204588" w:rsidRPr="00887108" w:rsidRDefault="00204588" w:rsidP="00204588">
            <w:pPr>
              <w:jc w:val="center"/>
              <w:rPr>
                <w:rFonts w:cs="Times New Roman"/>
                <w:b/>
                <w:bCs/>
                <w:color w:val="000000"/>
                <w:sz w:val="20"/>
                <w:szCs w:val="20"/>
              </w:rPr>
            </w:pPr>
            <w:r w:rsidRPr="00887108">
              <w:rPr>
                <w:rFonts w:cs="Times New Roman"/>
                <w:b/>
                <w:bCs/>
                <w:color w:val="000000"/>
                <w:sz w:val="20"/>
                <w:szCs w:val="20"/>
              </w:rPr>
              <w:t xml:space="preserve">                                                                         Reálny rast HDP (%)</w:t>
            </w:r>
          </w:p>
        </w:tc>
      </w:tr>
      <w:tr w:rsidR="00204588" w:rsidRPr="00887108" w14:paraId="63F45B0B" w14:textId="77777777" w:rsidTr="00204588">
        <w:trPr>
          <w:trHeight w:val="24"/>
          <w:jc w:val="center"/>
        </w:trPr>
        <w:tc>
          <w:tcPr>
            <w:tcW w:w="1902" w:type="pct"/>
            <w:tcBorders>
              <w:top w:val="single" w:sz="8" w:space="0" w:color="auto"/>
              <w:left w:val="nil"/>
              <w:bottom w:val="nil"/>
              <w:right w:val="nil"/>
            </w:tcBorders>
            <w:shd w:val="clear" w:color="000000" w:fill="FFFFFF"/>
            <w:vAlign w:val="center"/>
          </w:tcPr>
          <w:p w14:paraId="0FA4942D" w14:textId="77777777" w:rsidR="00204588" w:rsidRPr="00887108" w:rsidRDefault="00204588" w:rsidP="00204588">
            <w:pPr>
              <w:ind w:firstLineChars="100" w:firstLine="201"/>
              <w:rPr>
                <w:rFonts w:cs="Times New Roman"/>
                <w:b/>
                <w:bCs/>
                <w:color w:val="000000"/>
                <w:sz w:val="20"/>
                <w:szCs w:val="20"/>
              </w:rPr>
            </w:pPr>
            <w:r w:rsidRPr="00887108">
              <w:rPr>
                <w:rFonts w:cs="Times New Roman"/>
                <w:b/>
                <w:bCs/>
                <w:color w:val="000000"/>
                <w:sz w:val="20"/>
                <w:szCs w:val="20"/>
              </w:rPr>
              <w:t>MF SR</w:t>
            </w:r>
          </w:p>
        </w:tc>
        <w:tc>
          <w:tcPr>
            <w:tcW w:w="949" w:type="pct"/>
            <w:tcBorders>
              <w:top w:val="single" w:sz="8" w:space="0" w:color="auto"/>
              <w:left w:val="nil"/>
              <w:bottom w:val="nil"/>
              <w:right w:val="nil"/>
            </w:tcBorders>
            <w:shd w:val="clear" w:color="000000" w:fill="FFFFFF"/>
            <w:vAlign w:val="center"/>
          </w:tcPr>
          <w:p w14:paraId="37D533BA"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2,3</w:t>
            </w:r>
          </w:p>
        </w:tc>
        <w:tc>
          <w:tcPr>
            <w:tcW w:w="945" w:type="pct"/>
            <w:tcBorders>
              <w:top w:val="single" w:sz="8" w:space="0" w:color="auto"/>
              <w:left w:val="nil"/>
              <w:bottom w:val="nil"/>
              <w:right w:val="nil"/>
            </w:tcBorders>
            <w:shd w:val="clear" w:color="000000" w:fill="FFFFFF"/>
            <w:vAlign w:val="center"/>
          </w:tcPr>
          <w:p w14:paraId="092E34F3"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-7,2</w:t>
            </w:r>
          </w:p>
        </w:tc>
        <w:tc>
          <w:tcPr>
            <w:tcW w:w="1205" w:type="pct"/>
            <w:tcBorders>
              <w:top w:val="single" w:sz="8" w:space="0" w:color="auto"/>
              <w:left w:val="nil"/>
              <w:bottom w:val="nil"/>
              <w:right w:val="nil"/>
            </w:tcBorders>
            <w:shd w:val="clear" w:color="000000" w:fill="FFFFFF"/>
            <w:vAlign w:val="center"/>
          </w:tcPr>
          <w:p w14:paraId="4CB2019A"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6,8</w:t>
            </w:r>
          </w:p>
        </w:tc>
      </w:tr>
      <w:tr w:rsidR="00204588" w:rsidRPr="00887108" w14:paraId="09BD83CA" w14:textId="77777777" w:rsidTr="00204588">
        <w:trPr>
          <w:trHeight w:val="24"/>
          <w:jc w:val="center"/>
        </w:trPr>
        <w:tc>
          <w:tcPr>
            <w:tcW w:w="1902" w:type="pct"/>
            <w:tcBorders>
              <w:top w:val="nil"/>
              <w:left w:val="nil"/>
              <w:bottom w:val="nil"/>
              <w:right w:val="nil"/>
            </w:tcBorders>
            <w:shd w:val="clear" w:color="auto" w:fill="auto"/>
            <w:vAlign w:val="center"/>
          </w:tcPr>
          <w:p w14:paraId="305596A1" w14:textId="77777777" w:rsidR="00204588" w:rsidRPr="00887108" w:rsidRDefault="00204588" w:rsidP="00204588">
            <w:pPr>
              <w:ind w:firstLineChars="100" w:firstLine="200"/>
              <w:rPr>
                <w:color w:val="000000"/>
                <w:sz w:val="20"/>
                <w:szCs w:val="20"/>
              </w:rPr>
            </w:pPr>
            <w:r w:rsidRPr="00887108">
              <w:rPr>
                <w:color w:val="000000"/>
                <w:sz w:val="20"/>
                <w:szCs w:val="20"/>
              </w:rPr>
              <w:t>Makrovýbor (medián)</w:t>
            </w:r>
          </w:p>
        </w:tc>
        <w:tc>
          <w:tcPr>
            <w:tcW w:w="949" w:type="pct"/>
            <w:tcBorders>
              <w:top w:val="nil"/>
              <w:left w:val="nil"/>
              <w:bottom w:val="nil"/>
              <w:right w:val="nil"/>
            </w:tcBorders>
            <w:shd w:val="clear" w:color="auto" w:fill="auto"/>
            <w:vAlign w:val="center"/>
          </w:tcPr>
          <w:p w14:paraId="5E806BF6" w14:textId="77777777" w:rsidR="00204588" w:rsidRPr="00887108" w:rsidRDefault="00204588" w:rsidP="00204588">
            <w:pPr>
              <w:jc w:val="center"/>
              <w:rPr>
                <w:color w:val="000000"/>
                <w:sz w:val="20"/>
                <w:szCs w:val="20"/>
              </w:rPr>
            </w:pPr>
            <w:r w:rsidRPr="00887108">
              <w:rPr>
                <w:color w:val="000000"/>
                <w:sz w:val="18"/>
                <w:szCs w:val="18"/>
              </w:rPr>
              <w:t>2,3</w:t>
            </w:r>
          </w:p>
        </w:tc>
        <w:tc>
          <w:tcPr>
            <w:tcW w:w="945" w:type="pct"/>
            <w:tcBorders>
              <w:top w:val="nil"/>
              <w:left w:val="nil"/>
              <w:bottom w:val="nil"/>
              <w:right w:val="nil"/>
            </w:tcBorders>
            <w:shd w:val="clear" w:color="auto" w:fill="auto"/>
            <w:vAlign w:val="center"/>
          </w:tcPr>
          <w:p w14:paraId="7FBAB586" w14:textId="77777777" w:rsidR="00204588" w:rsidRPr="00887108" w:rsidRDefault="00204588" w:rsidP="00204588">
            <w:pPr>
              <w:jc w:val="center"/>
              <w:rPr>
                <w:color w:val="000000"/>
                <w:sz w:val="20"/>
                <w:szCs w:val="20"/>
              </w:rPr>
            </w:pPr>
            <w:r w:rsidRPr="00887108">
              <w:rPr>
                <w:color w:val="000000"/>
                <w:sz w:val="18"/>
                <w:szCs w:val="18"/>
              </w:rPr>
              <w:t>-6,5</w:t>
            </w:r>
          </w:p>
        </w:tc>
        <w:tc>
          <w:tcPr>
            <w:tcW w:w="1205" w:type="pct"/>
            <w:tcBorders>
              <w:top w:val="nil"/>
              <w:left w:val="nil"/>
              <w:bottom w:val="nil"/>
              <w:right w:val="nil"/>
            </w:tcBorders>
            <w:shd w:val="clear" w:color="auto" w:fill="auto"/>
            <w:vAlign w:val="center"/>
          </w:tcPr>
          <w:p w14:paraId="38D2CADE" w14:textId="77777777" w:rsidR="00204588" w:rsidRPr="00887108" w:rsidRDefault="00204588" w:rsidP="00204588">
            <w:pPr>
              <w:jc w:val="center"/>
              <w:rPr>
                <w:color w:val="000000"/>
                <w:sz w:val="20"/>
                <w:szCs w:val="20"/>
              </w:rPr>
            </w:pPr>
            <w:r w:rsidRPr="00887108">
              <w:rPr>
                <w:color w:val="000000"/>
                <w:sz w:val="18"/>
                <w:szCs w:val="18"/>
              </w:rPr>
              <w:t>6,0</w:t>
            </w:r>
          </w:p>
        </w:tc>
      </w:tr>
      <w:tr w:rsidR="00204588" w:rsidRPr="00887108" w14:paraId="0FB1349D" w14:textId="77777777" w:rsidTr="00204588">
        <w:trPr>
          <w:trHeight w:val="24"/>
          <w:jc w:val="center"/>
        </w:trPr>
        <w:tc>
          <w:tcPr>
            <w:tcW w:w="1902" w:type="pct"/>
            <w:tcBorders>
              <w:top w:val="nil"/>
              <w:left w:val="nil"/>
              <w:bottom w:val="nil"/>
              <w:right w:val="nil"/>
            </w:tcBorders>
            <w:shd w:val="clear" w:color="000000" w:fill="FFFFFF"/>
            <w:vAlign w:val="center"/>
          </w:tcPr>
          <w:p w14:paraId="46758764"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NBS</w:t>
            </w:r>
          </w:p>
        </w:tc>
        <w:tc>
          <w:tcPr>
            <w:tcW w:w="949" w:type="pct"/>
            <w:tcBorders>
              <w:top w:val="nil"/>
              <w:left w:val="nil"/>
              <w:bottom w:val="nil"/>
              <w:right w:val="nil"/>
            </w:tcBorders>
            <w:shd w:val="clear" w:color="000000" w:fill="FFFFFF"/>
            <w:vAlign w:val="center"/>
          </w:tcPr>
          <w:p w14:paraId="25D7EB36" w14:textId="77777777" w:rsidR="00204588" w:rsidRPr="00887108" w:rsidRDefault="00204588" w:rsidP="00204588">
            <w:pPr>
              <w:jc w:val="center"/>
              <w:rPr>
                <w:rFonts w:cs="Times New Roman"/>
                <w:color w:val="000000"/>
                <w:sz w:val="20"/>
                <w:szCs w:val="20"/>
              </w:rPr>
            </w:pPr>
            <w:r w:rsidRPr="00887108">
              <w:rPr>
                <w:color w:val="000000"/>
                <w:sz w:val="18"/>
                <w:szCs w:val="18"/>
              </w:rPr>
              <w:t>2,3</w:t>
            </w:r>
          </w:p>
        </w:tc>
        <w:tc>
          <w:tcPr>
            <w:tcW w:w="945" w:type="pct"/>
            <w:tcBorders>
              <w:top w:val="nil"/>
              <w:left w:val="nil"/>
              <w:bottom w:val="nil"/>
              <w:right w:val="nil"/>
            </w:tcBorders>
            <w:shd w:val="clear" w:color="000000" w:fill="FFFFFF"/>
            <w:vAlign w:val="center"/>
          </w:tcPr>
          <w:p w14:paraId="67672EF6" w14:textId="77777777" w:rsidR="00204588" w:rsidRPr="00887108" w:rsidRDefault="00204588" w:rsidP="00204588">
            <w:pPr>
              <w:jc w:val="center"/>
              <w:rPr>
                <w:rFonts w:cs="Times New Roman"/>
                <w:color w:val="000000"/>
                <w:sz w:val="20"/>
                <w:szCs w:val="20"/>
              </w:rPr>
            </w:pPr>
            <w:r w:rsidRPr="00887108">
              <w:rPr>
                <w:color w:val="000000"/>
                <w:sz w:val="18"/>
                <w:szCs w:val="18"/>
              </w:rPr>
              <w:t>-9,3</w:t>
            </w:r>
          </w:p>
        </w:tc>
        <w:tc>
          <w:tcPr>
            <w:tcW w:w="1205" w:type="pct"/>
            <w:tcBorders>
              <w:top w:val="nil"/>
              <w:left w:val="nil"/>
              <w:bottom w:val="nil"/>
              <w:right w:val="nil"/>
            </w:tcBorders>
            <w:shd w:val="clear" w:color="000000" w:fill="FFFFFF"/>
            <w:vAlign w:val="center"/>
          </w:tcPr>
          <w:p w14:paraId="7C8183FB" w14:textId="77777777" w:rsidR="00204588" w:rsidRPr="00887108" w:rsidRDefault="00204588" w:rsidP="00204588">
            <w:pPr>
              <w:jc w:val="center"/>
              <w:rPr>
                <w:rFonts w:cs="Times New Roman"/>
                <w:color w:val="000000"/>
                <w:sz w:val="20"/>
                <w:szCs w:val="20"/>
              </w:rPr>
            </w:pPr>
            <w:r w:rsidRPr="00887108">
              <w:rPr>
                <w:color w:val="000000"/>
                <w:sz w:val="18"/>
                <w:szCs w:val="18"/>
              </w:rPr>
              <w:t>8,0</w:t>
            </w:r>
          </w:p>
        </w:tc>
      </w:tr>
      <w:tr w:rsidR="00204588" w:rsidRPr="00887108" w14:paraId="2BA0A01E" w14:textId="77777777" w:rsidTr="00204588">
        <w:trPr>
          <w:trHeight w:val="24"/>
          <w:jc w:val="center"/>
        </w:trPr>
        <w:tc>
          <w:tcPr>
            <w:tcW w:w="1902" w:type="pct"/>
            <w:tcBorders>
              <w:top w:val="nil"/>
              <w:left w:val="nil"/>
              <w:bottom w:val="nil"/>
              <w:right w:val="nil"/>
            </w:tcBorders>
            <w:shd w:val="clear" w:color="000000" w:fill="FFFFFF"/>
            <w:vAlign w:val="center"/>
          </w:tcPr>
          <w:p w14:paraId="1C3C2B67"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EK</w:t>
            </w:r>
          </w:p>
        </w:tc>
        <w:tc>
          <w:tcPr>
            <w:tcW w:w="949" w:type="pct"/>
            <w:tcBorders>
              <w:top w:val="nil"/>
              <w:left w:val="nil"/>
              <w:bottom w:val="nil"/>
              <w:right w:val="nil"/>
            </w:tcBorders>
            <w:shd w:val="clear" w:color="000000" w:fill="FFFFFF"/>
            <w:vAlign w:val="center"/>
          </w:tcPr>
          <w:p w14:paraId="4B59C304" w14:textId="77777777" w:rsidR="00204588" w:rsidRPr="00887108" w:rsidRDefault="00204588" w:rsidP="00204588">
            <w:pPr>
              <w:jc w:val="center"/>
              <w:rPr>
                <w:rFonts w:cs="Times New Roman"/>
                <w:color w:val="000000"/>
                <w:sz w:val="20"/>
                <w:szCs w:val="20"/>
              </w:rPr>
            </w:pPr>
            <w:r w:rsidRPr="00887108">
              <w:rPr>
                <w:color w:val="000000"/>
                <w:sz w:val="18"/>
                <w:szCs w:val="18"/>
              </w:rPr>
              <w:t>2,3</w:t>
            </w:r>
          </w:p>
        </w:tc>
        <w:tc>
          <w:tcPr>
            <w:tcW w:w="945" w:type="pct"/>
            <w:tcBorders>
              <w:top w:val="nil"/>
              <w:left w:val="nil"/>
              <w:bottom w:val="nil"/>
              <w:right w:val="nil"/>
            </w:tcBorders>
            <w:shd w:val="clear" w:color="000000" w:fill="FFFFFF"/>
            <w:vAlign w:val="center"/>
          </w:tcPr>
          <w:p w14:paraId="4D9B5DEC" w14:textId="77777777" w:rsidR="00204588" w:rsidRPr="00887108" w:rsidRDefault="00204588" w:rsidP="00204588">
            <w:pPr>
              <w:jc w:val="center"/>
              <w:rPr>
                <w:rFonts w:cs="Times New Roman"/>
                <w:color w:val="000000"/>
                <w:sz w:val="20"/>
                <w:szCs w:val="20"/>
              </w:rPr>
            </w:pPr>
            <w:r w:rsidRPr="00887108">
              <w:rPr>
                <w:color w:val="000000"/>
                <w:sz w:val="18"/>
                <w:szCs w:val="18"/>
              </w:rPr>
              <w:t>-6,7</w:t>
            </w:r>
          </w:p>
        </w:tc>
        <w:tc>
          <w:tcPr>
            <w:tcW w:w="1205" w:type="pct"/>
            <w:tcBorders>
              <w:top w:val="nil"/>
              <w:left w:val="nil"/>
              <w:bottom w:val="nil"/>
              <w:right w:val="nil"/>
            </w:tcBorders>
            <w:shd w:val="clear" w:color="000000" w:fill="FFFFFF"/>
            <w:vAlign w:val="center"/>
          </w:tcPr>
          <w:p w14:paraId="5C6F0F08" w14:textId="77777777" w:rsidR="00204588" w:rsidRPr="00887108" w:rsidRDefault="00204588" w:rsidP="00204588">
            <w:pPr>
              <w:jc w:val="center"/>
              <w:rPr>
                <w:rFonts w:cs="Times New Roman"/>
                <w:color w:val="000000"/>
                <w:sz w:val="20"/>
                <w:szCs w:val="20"/>
              </w:rPr>
            </w:pPr>
            <w:r w:rsidRPr="00887108">
              <w:rPr>
                <w:color w:val="000000"/>
                <w:sz w:val="18"/>
                <w:szCs w:val="18"/>
              </w:rPr>
              <w:t>6,6</w:t>
            </w:r>
          </w:p>
        </w:tc>
      </w:tr>
      <w:tr w:rsidR="00204588" w:rsidRPr="00887108" w14:paraId="1E25646A" w14:textId="77777777" w:rsidTr="00204588">
        <w:trPr>
          <w:trHeight w:val="24"/>
          <w:jc w:val="center"/>
        </w:trPr>
        <w:tc>
          <w:tcPr>
            <w:tcW w:w="1902" w:type="pct"/>
            <w:tcBorders>
              <w:top w:val="nil"/>
              <w:left w:val="nil"/>
              <w:bottom w:val="single" w:sz="8" w:space="0" w:color="auto"/>
              <w:right w:val="nil"/>
            </w:tcBorders>
            <w:shd w:val="clear" w:color="auto" w:fill="auto"/>
            <w:vAlign w:val="center"/>
          </w:tcPr>
          <w:p w14:paraId="4C2B5C30"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MMF</w:t>
            </w:r>
          </w:p>
        </w:tc>
        <w:tc>
          <w:tcPr>
            <w:tcW w:w="949" w:type="pct"/>
            <w:tcBorders>
              <w:top w:val="nil"/>
              <w:left w:val="nil"/>
              <w:bottom w:val="single" w:sz="8" w:space="0" w:color="auto"/>
              <w:right w:val="nil"/>
            </w:tcBorders>
            <w:vAlign w:val="center"/>
          </w:tcPr>
          <w:p w14:paraId="367C8D9B" w14:textId="77777777" w:rsidR="00204588" w:rsidRPr="00887108" w:rsidRDefault="00204588" w:rsidP="00204588">
            <w:pPr>
              <w:jc w:val="center"/>
              <w:rPr>
                <w:rFonts w:cs="Times New Roman"/>
                <w:color w:val="000000"/>
                <w:sz w:val="20"/>
                <w:szCs w:val="20"/>
              </w:rPr>
            </w:pPr>
            <w:r w:rsidRPr="00887108">
              <w:rPr>
                <w:color w:val="000000"/>
                <w:sz w:val="18"/>
                <w:szCs w:val="18"/>
              </w:rPr>
              <w:t>2,3</w:t>
            </w:r>
          </w:p>
        </w:tc>
        <w:tc>
          <w:tcPr>
            <w:tcW w:w="945" w:type="pct"/>
            <w:tcBorders>
              <w:top w:val="nil"/>
              <w:left w:val="nil"/>
              <w:bottom w:val="single" w:sz="8" w:space="0" w:color="auto"/>
              <w:right w:val="nil"/>
            </w:tcBorders>
            <w:vAlign w:val="center"/>
          </w:tcPr>
          <w:p w14:paraId="635149ED" w14:textId="77777777" w:rsidR="00204588" w:rsidRPr="00887108" w:rsidRDefault="00204588" w:rsidP="00204588">
            <w:pPr>
              <w:jc w:val="center"/>
              <w:rPr>
                <w:rFonts w:cs="Times New Roman"/>
                <w:color w:val="000000"/>
                <w:sz w:val="20"/>
                <w:szCs w:val="20"/>
              </w:rPr>
            </w:pPr>
            <w:r w:rsidRPr="00887108">
              <w:rPr>
                <w:color w:val="000000"/>
                <w:sz w:val="18"/>
                <w:szCs w:val="18"/>
              </w:rPr>
              <w:t>-6,2</w:t>
            </w:r>
          </w:p>
        </w:tc>
        <w:tc>
          <w:tcPr>
            <w:tcW w:w="1205" w:type="pct"/>
            <w:tcBorders>
              <w:top w:val="nil"/>
              <w:left w:val="nil"/>
              <w:bottom w:val="single" w:sz="8" w:space="0" w:color="auto"/>
              <w:right w:val="nil"/>
            </w:tcBorders>
            <w:vAlign w:val="center"/>
          </w:tcPr>
          <w:p w14:paraId="408DE20A" w14:textId="77777777" w:rsidR="00204588" w:rsidRPr="00887108" w:rsidRDefault="00204588" w:rsidP="00204588">
            <w:pPr>
              <w:jc w:val="center"/>
              <w:rPr>
                <w:rFonts w:cs="Times New Roman"/>
                <w:color w:val="000000"/>
                <w:sz w:val="20"/>
                <w:szCs w:val="20"/>
              </w:rPr>
            </w:pPr>
            <w:r w:rsidRPr="00887108">
              <w:rPr>
                <w:color w:val="000000"/>
                <w:sz w:val="18"/>
                <w:szCs w:val="18"/>
              </w:rPr>
              <w:t>5,0</w:t>
            </w:r>
          </w:p>
        </w:tc>
      </w:tr>
      <w:tr w:rsidR="00204588" w:rsidRPr="00887108" w14:paraId="167A67DB" w14:textId="77777777" w:rsidTr="00204588">
        <w:trPr>
          <w:trHeight w:val="24"/>
          <w:jc w:val="center"/>
        </w:trPr>
        <w:tc>
          <w:tcPr>
            <w:tcW w:w="5000" w:type="pct"/>
            <w:gridSpan w:val="4"/>
            <w:tcBorders>
              <w:top w:val="single" w:sz="8" w:space="0" w:color="auto"/>
              <w:left w:val="nil"/>
              <w:bottom w:val="single" w:sz="8" w:space="0" w:color="auto"/>
              <w:right w:val="nil"/>
            </w:tcBorders>
            <w:shd w:val="clear" w:color="auto" w:fill="F2F2F2" w:themeFill="background1" w:themeFillShade="F2"/>
            <w:vAlign w:val="center"/>
          </w:tcPr>
          <w:p w14:paraId="1B89F4A0" w14:textId="77777777" w:rsidR="00204588" w:rsidRPr="00887108" w:rsidRDefault="00204588" w:rsidP="00204588">
            <w:pPr>
              <w:jc w:val="center"/>
              <w:rPr>
                <w:rFonts w:cs="Times New Roman"/>
                <w:b/>
                <w:bCs/>
                <w:color w:val="000000"/>
                <w:sz w:val="20"/>
                <w:szCs w:val="20"/>
              </w:rPr>
            </w:pPr>
            <w:r w:rsidRPr="00887108">
              <w:rPr>
                <w:rFonts w:cs="Times New Roman"/>
                <w:b/>
                <w:bCs/>
                <w:color w:val="000000"/>
                <w:sz w:val="20"/>
                <w:szCs w:val="20"/>
              </w:rPr>
              <w:t xml:space="preserve">                                                                         HICP (%)</w:t>
            </w:r>
          </w:p>
        </w:tc>
      </w:tr>
      <w:tr w:rsidR="00204588" w:rsidRPr="00887108" w14:paraId="6C630B91" w14:textId="77777777" w:rsidTr="00204588">
        <w:trPr>
          <w:trHeight w:val="24"/>
          <w:jc w:val="center"/>
        </w:trPr>
        <w:tc>
          <w:tcPr>
            <w:tcW w:w="1902" w:type="pct"/>
            <w:tcBorders>
              <w:top w:val="nil"/>
              <w:left w:val="nil"/>
              <w:bottom w:val="nil"/>
              <w:right w:val="nil"/>
            </w:tcBorders>
            <w:shd w:val="clear" w:color="000000" w:fill="FFFFFF"/>
            <w:vAlign w:val="center"/>
          </w:tcPr>
          <w:p w14:paraId="70EF0C34" w14:textId="77777777" w:rsidR="00204588" w:rsidRPr="00887108" w:rsidRDefault="00204588" w:rsidP="00204588">
            <w:pPr>
              <w:ind w:firstLineChars="100" w:firstLine="201"/>
              <w:rPr>
                <w:rFonts w:cs="Times New Roman"/>
                <w:b/>
                <w:bCs/>
                <w:color w:val="000000"/>
                <w:sz w:val="20"/>
                <w:szCs w:val="20"/>
              </w:rPr>
            </w:pPr>
            <w:r w:rsidRPr="00887108">
              <w:rPr>
                <w:rFonts w:cs="Times New Roman"/>
                <w:b/>
                <w:bCs/>
                <w:color w:val="000000"/>
                <w:sz w:val="20"/>
                <w:szCs w:val="20"/>
              </w:rPr>
              <w:t>MF SR</w:t>
            </w:r>
          </w:p>
        </w:tc>
        <w:tc>
          <w:tcPr>
            <w:tcW w:w="949" w:type="pct"/>
            <w:tcBorders>
              <w:top w:val="nil"/>
              <w:left w:val="nil"/>
              <w:bottom w:val="nil"/>
              <w:right w:val="nil"/>
            </w:tcBorders>
            <w:shd w:val="clear" w:color="000000" w:fill="FFFFFF"/>
            <w:vAlign w:val="center"/>
          </w:tcPr>
          <w:p w14:paraId="1DB42A51"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2,8</w:t>
            </w:r>
          </w:p>
        </w:tc>
        <w:tc>
          <w:tcPr>
            <w:tcW w:w="945" w:type="pct"/>
            <w:tcBorders>
              <w:top w:val="nil"/>
              <w:left w:val="nil"/>
              <w:bottom w:val="nil"/>
              <w:right w:val="nil"/>
            </w:tcBorders>
            <w:shd w:val="clear" w:color="000000" w:fill="FFFFFF"/>
            <w:vAlign w:val="center"/>
          </w:tcPr>
          <w:p w14:paraId="23C82FFB"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1,7</w:t>
            </w:r>
          </w:p>
        </w:tc>
        <w:tc>
          <w:tcPr>
            <w:tcW w:w="1205" w:type="pct"/>
            <w:tcBorders>
              <w:top w:val="nil"/>
              <w:left w:val="nil"/>
              <w:bottom w:val="nil"/>
              <w:right w:val="nil"/>
            </w:tcBorders>
            <w:shd w:val="clear" w:color="000000" w:fill="FFFFFF"/>
            <w:vAlign w:val="center"/>
          </w:tcPr>
          <w:p w14:paraId="51E57FC2" w14:textId="77777777" w:rsidR="00204588" w:rsidRPr="00887108" w:rsidRDefault="00204588" w:rsidP="00204588">
            <w:pPr>
              <w:jc w:val="center"/>
              <w:rPr>
                <w:rFonts w:cs="Times New Roman"/>
                <w:b/>
                <w:bCs/>
                <w:color w:val="000000"/>
                <w:sz w:val="20"/>
                <w:szCs w:val="20"/>
              </w:rPr>
            </w:pPr>
            <w:r w:rsidRPr="00887108">
              <w:rPr>
                <w:b/>
                <w:bCs/>
                <w:color w:val="000000"/>
                <w:sz w:val="18"/>
                <w:szCs w:val="18"/>
              </w:rPr>
              <w:t>0,2</w:t>
            </w:r>
          </w:p>
        </w:tc>
      </w:tr>
      <w:tr w:rsidR="00204588" w:rsidRPr="00887108" w14:paraId="4A658DAC" w14:textId="77777777" w:rsidTr="00204588">
        <w:trPr>
          <w:trHeight w:val="24"/>
          <w:jc w:val="center"/>
        </w:trPr>
        <w:tc>
          <w:tcPr>
            <w:tcW w:w="1902" w:type="pct"/>
            <w:tcBorders>
              <w:top w:val="nil"/>
              <w:left w:val="nil"/>
              <w:bottom w:val="nil"/>
              <w:right w:val="nil"/>
            </w:tcBorders>
            <w:shd w:val="clear" w:color="auto" w:fill="auto"/>
            <w:vAlign w:val="center"/>
          </w:tcPr>
          <w:p w14:paraId="2EBFAE91" w14:textId="77777777" w:rsidR="00204588" w:rsidRPr="00887108" w:rsidRDefault="00204588" w:rsidP="00204588">
            <w:pPr>
              <w:ind w:firstLineChars="100" w:firstLine="200"/>
              <w:rPr>
                <w:color w:val="000000"/>
                <w:sz w:val="20"/>
                <w:szCs w:val="20"/>
              </w:rPr>
            </w:pPr>
            <w:r w:rsidRPr="00887108">
              <w:rPr>
                <w:color w:val="000000"/>
                <w:sz w:val="20"/>
                <w:szCs w:val="20"/>
              </w:rPr>
              <w:t>Makrovýbor (medián)</w:t>
            </w:r>
          </w:p>
        </w:tc>
        <w:tc>
          <w:tcPr>
            <w:tcW w:w="949" w:type="pct"/>
            <w:tcBorders>
              <w:top w:val="nil"/>
              <w:left w:val="nil"/>
              <w:bottom w:val="nil"/>
              <w:right w:val="nil"/>
            </w:tcBorders>
            <w:shd w:val="clear" w:color="auto" w:fill="auto"/>
            <w:vAlign w:val="center"/>
          </w:tcPr>
          <w:p w14:paraId="0A98B1F1" w14:textId="77777777" w:rsidR="00204588" w:rsidRPr="00887108" w:rsidRDefault="00204588" w:rsidP="00204588">
            <w:pPr>
              <w:jc w:val="center"/>
              <w:rPr>
                <w:color w:val="000000"/>
                <w:sz w:val="20"/>
                <w:szCs w:val="20"/>
              </w:rPr>
            </w:pPr>
            <w:r w:rsidRPr="00887108">
              <w:rPr>
                <w:color w:val="000000"/>
                <w:sz w:val="18"/>
                <w:szCs w:val="18"/>
              </w:rPr>
              <w:t>2,7</w:t>
            </w:r>
          </w:p>
        </w:tc>
        <w:tc>
          <w:tcPr>
            <w:tcW w:w="945" w:type="pct"/>
            <w:tcBorders>
              <w:top w:val="nil"/>
              <w:left w:val="nil"/>
              <w:bottom w:val="nil"/>
              <w:right w:val="nil"/>
            </w:tcBorders>
            <w:shd w:val="clear" w:color="auto" w:fill="auto"/>
            <w:vAlign w:val="center"/>
          </w:tcPr>
          <w:p w14:paraId="1EEF260C" w14:textId="77777777" w:rsidR="00204588" w:rsidRPr="00887108" w:rsidRDefault="00204588" w:rsidP="00204588">
            <w:pPr>
              <w:jc w:val="center"/>
              <w:rPr>
                <w:color w:val="000000"/>
                <w:sz w:val="20"/>
                <w:szCs w:val="20"/>
              </w:rPr>
            </w:pPr>
            <w:r w:rsidRPr="00887108">
              <w:rPr>
                <w:color w:val="000000"/>
                <w:sz w:val="18"/>
                <w:szCs w:val="18"/>
              </w:rPr>
              <w:t>1,8</w:t>
            </w:r>
          </w:p>
        </w:tc>
        <w:tc>
          <w:tcPr>
            <w:tcW w:w="1205" w:type="pct"/>
            <w:tcBorders>
              <w:top w:val="nil"/>
              <w:left w:val="nil"/>
              <w:bottom w:val="nil"/>
              <w:right w:val="nil"/>
            </w:tcBorders>
            <w:shd w:val="clear" w:color="auto" w:fill="auto"/>
            <w:vAlign w:val="center"/>
          </w:tcPr>
          <w:p w14:paraId="57935660" w14:textId="77777777" w:rsidR="00204588" w:rsidRPr="00887108" w:rsidRDefault="00204588" w:rsidP="00204588">
            <w:pPr>
              <w:jc w:val="center"/>
              <w:rPr>
                <w:color w:val="000000"/>
                <w:sz w:val="20"/>
                <w:szCs w:val="20"/>
              </w:rPr>
            </w:pPr>
            <w:r w:rsidRPr="00887108">
              <w:rPr>
                <w:color w:val="000000"/>
                <w:sz w:val="18"/>
                <w:szCs w:val="18"/>
              </w:rPr>
              <w:t>1,6</w:t>
            </w:r>
          </w:p>
        </w:tc>
      </w:tr>
      <w:tr w:rsidR="00204588" w:rsidRPr="00887108" w14:paraId="2FDF13C1" w14:textId="77777777" w:rsidTr="00204588">
        <w:trPr>
          <w:trHeight w:val="24"/>
          <w:jc w:val="center"/>
        </w:trPr>
        <w:tc>
          <w:tcPr>
            <w:tcW w:w="1902" w:type="pct"/>
            <w:tcBorders>
              <w:top w:val="nil"/>
              <w:left w:val="nil"/>
              <w:bottom w:val="nil"/>
              <w:right w:val="nil"/>
            </w:tcBorders>
            <w:shd w:val="clear" w:color="000000" w:fill="FFFFFF"/>
            <w:vAlign w:val="center"/>
          </w:tcPr>
          <w:p w14:paraId="34F8CF6F"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NBS</w:t>
            </w:r>
          </w:p>
        </w:tc>
        <w:tc>
          <w:tcPr>
            <w:tcW w:w="949" w:type="pct"/>
            <w:tcBorders>
              <w:top w:val="nil"/>
              <w:left w:val="nil"/>
              <w:bottom w:val="nil"/>
              <w:right w:val="nil"/>
            </w:tcBorders>
            <w:shd w:val="clear" w:color="000000" w:fill="FFFFFF"/>
            <w:vAlign w:val="center"/>
          </w:tcPr>
          <w:p w14:paraId="483AA7E5" w14:textId="77777777" w:rsidR="00204588" w:rsidRPr="00887108" w:rsidRDefault="00204588" w:rsidP="00204588">
            <w:pPr>
              <w:jc w:val="center"/>
              <w:rPr>
                <w:rFonts w:cs="Times New Roman"/>
                <w:color w:val="000000"/>
                <w:sz w:val="20"/>
                <w:szCs w:val="20"/>
              </w:rPr>
            </w:pPr>
            <w:r w:rsidRPr="00887108">
              <w:rPr>
                <w:color w:val="000000"/>
                <w:sz w:val="18"/>
                <w:szCs w:val="18"/>
              </w:rPr>
              <w:t>2,8</w:t>
            </w:r>
          </w:p>
        </w:tc>
        <w:tc>
          <w:tcPr>
            <w:tcW w:w="945" w:type="pct"/>
            <w:tcBorders>
              <w:top w:val="nil"/>
              <w:left w:val="nil"/>
              <w:bottom w:val="nil"/>
              <w:right w:val="nil"/>
            </w:tcBorders>
            <w:shd w:val="clear" w:color="000000" w:fill="FFFFFF"/>
            <w:vAlign w:val="center"/>
          </w:tcPr>
          <w:p w14:paraId="0D47DC7A" w14:textId="77777777" w:rsidR="00204588" w:rsidRPr="00887108" w:rsidRDefault="00204588" w:rsidP="00204588">
            <w:pPr>
              <w:jc w:val="center"/>
              <w:rPr>
                <w:rFonts w:cs="Times New Roman"/>
                <w:color w:val="000000"/>
                <w:sz w:val="20"/>
                <w:szCs w:val="20"/>
              </w:rPr>
            </w:pPr>
            <w:r w:rsidRPr="00887108">
              <w:rPr>
                <w:color w:val="000000"/>
                <w:sz w:val="18"/>
                <w:szCs w:val="18"/>
              </w:rPr>
              <w:t>1,8</w:t>
            </w:r>
          </w:p>
        </w:tc>
        <w:tc>
          <w:tcPr>
            <w:tcW w:w="1205" w:type="pct"/>
            <w:tcBorders>
              <w:top w:val="nil"/>
              <w:left w:val="nil"/>
              <w:bottom w:val="nil"/>
              <w:right w:val="nil"/>
            </w:tcBorders>
            <w:shd w:val="clear" w:color="000000" w:fill="FFFFFF"/>
            <w:vAlign w:val="center"/>
          </w:tcPr>
          <w:p w14:paraId="18E1F775" w14:textId="77777777" w:rsidR="00204588" w:rsidRPr="00887108" w:rsidRDefault="00204588" w:rsidP="00204588">
            <w:pPr>
              <w:jc w:val="center"/>
              <w:rPr>
                <w:rFonts w:cs="Times New Roman"/>
                <w:color w:val="000000"/>
                <w:sz w:val="20"/>
                <w:szCs w:val="20"/>
              </w:rPr>
            </w:pPr>
            <w:r w:rsidRPr="00887108">
              <w:rPr>
                <w:color w:val="000000"/>
                <w:sz w:val="18"/>
                <w:szCs w:val="18"/>
              </w:rPr>
              <w:t>1,0</w:t>
            </w:r>
          </w:p>
        </w:tc>
      </w:tr>
      <w:tr w:rsidR="00204588" w:rsidRPr="00887108" w14:paraId="1F254B74" w14:textId="77777777" w:rsidTr="00204588">
        <w:trPr>
          <w:trHeight w:val="24"/>
          <w:jc w:val="center"/>
        </w:trPr>
        <w:tc>
          <w:tcPr>
            <w:tcW w:w="1902" w:type="pct"/>
            <w:tcBorders>
              <w:top w:val="nil"/>
              <w:left w:val="nil"/>
              <w:bottom w:val="nil"/>
              <w:right w:val="nil"/>
            </w:tcBorders>
            <w:shd w:val="clear" w:color="000000" w:fill="FFFFFF"/>
            <w:vAlign w:val="center"/>
          </w:tcPr>
          <w:p w14:paraId="1C059B32"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EK</w:t>
            </w:r>
          </w:p>
        </w:tc>
        <w:tc>
          <w:tcPr>
            <w:tcW w:w="949" w:type="pct"/>
            <w:tcBorders>
              <w:top w:val="nil"/>
              <w:left w:val="nil"/>
              <w:bottom w:val="nil"/>
              <w:right w:val="nil"/>
            </w:tcBorders>
            <w:shd w:val="clear" w:color="auto" w:fill="auto"/>
            <w:vAlign w:val="center"/>
          </w:tcPr>
          <w:p w14:paraId="1E1F9CF7" w14:textId="77777777" w:rsidR="00204588" w:rsidRPr="00887108" w:rsidRDefault="00204588" w:rsidP="00204588">
            <w:pPr>
              <w:jc w:val="center"/>
              <w:rPr>
                <w:rFonts w:cs="Times New Roman"/>
                <w:color w:val="000000"/>
                <w:sz w:val="20"/>
                <w:szCs w:val="20"/>
              </w:rPr>
            </w:pPr>
            <w:r w:rsidRPr="00887108">
              <w:rPr>
                <w:color w:val="000000"/>
                <w:sz w:val="18"/>
                <w:szCs w:val="18"/>
              </w:rPr>
              <w:t>2,8</w:t>
            </w:r>
          </w:p>
        </w:tc>
        <w:tc>
          <w:tcPr>
            <w:tcW w:w="945" w:type="pct"/>
            <w:tcBorders>
              <w:top w:val="nil"/>
              <w:left w:val="nil"/>
              <w:bottom w:val="nil"/>
              <w:right w:val="nil"/>
            </w:tcBorders>
            <w:shd w:val="clear" w:color="auto" w:fill="auto"/>
            <w:vAlign w:val="center"/>
          </w:tcPr>
          <w:p w14:paraId="3DD5745E" w14:textId="77777777" w:rsidR="00204588" w:rsidRPr="00887108" w:rsidRDefault="00204588" w:rsidP="00204588">
            <w:pPr>
              <w:jc w:val="center"/>
              <w:rPr>
                <w:rFonts w:cs="Times New Roman"/>
                <w:color w:val="000000"/>
                <w:sz w:val="20"/>
                <w:szCs w:val="20"/>
              </w:rPr>
            </w:pPr>
            <w:r w:rsidRPr="00887108">
              <w:rPr>
                <w:color w:val="000000"/>
                <w:sz w:val="18"/>
                <w:szCs w:val="18"/>
              </w:rPr>
              <w:t>1,9</w:t>
            </w:r>
          </w:p>
        </w:tc>
        <w:tc>
          <w:tcPr>
            <w:tcW w:w="1205" w:type="pct"/>
            <w:tcBorders>
              <w:top w:val="nil"/>
              <w:left w:val="nil"/>
              <w:bottom w:val="nil"/>
              <w:right w:val="nil"/>
            </w:tcBorders>
            <w:shd w:val="clear" w:color="auto" w:fill="auto"/>
            <w:vAlign w:val="center"/>
          </w:tcPr>
          <w:p w14:paraId="40DDFC4F" w14:textId="77777777" w:rsidR="00204588" w:rsidRPr="00887108" w:rsidRDefault="00204588" w:rsidP="00204588">
            <w:pPr>
              <w:jc w:val="center"/>
              <w:rPr>
                <w:rFonts w:cs="Times New Roman"/>
                <w:color w:val="000000"/>
                <w:sz w:val="20"/>
                <w:szCs w:val="20"/>
              </w:rPr>
            </w:pPr>
            <w:r w:rsidRPr="00887108">
              <w:rPr>
                <w:color w:val="000000"/>
                <w:sz w:val="18"/>
                <w:szCs w:val="18"/>
              </w:rPr>
              <w:t>1,1</w:t>
            </w:r>
          </w:p>
        </w:tc>
      </w:tr>
      <w:tr w:rsidR="00204588" w:rsidRPr="00887108" w14:paraId="02945B4C" w14:textId="77777777" w:rsidTr="00204588">
        <w:trPr>
          <w:trHeight w:val="24"/>
          <w:jc w:val="center"/>
        </w:trPr>
        <w:tc>
          <w:tcPr>
            <w:tcW w:w="1902" w:type="pct"/>
            <w:tcBorders>
              <w:top w:val="nil"/>
              <w:left w:val="nil"/>
              <w:bottom w:val="single" w:sz="8" w:space="0" w:color="auto"/>
              <w:right w:val="nil"/>
            </w:tcBorders>
            <w:shd w:val="clear" w:color="000000" w:fill="FFFFFF"/>
            <w:vAlign w:val="center"/>
          </w:tcPr>
          <w:p w14:paraId="74CC5211"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MMF</w:t>
            </w:r>
          </w:p>
        </w:tc>
        <w:tc>
          <w:tcPr>
            <w:tcW w:w="949" w:type="pct"/>
            <w:tcBorders>
              <w:top w:val="nil"/>
              <w:left w:val="nil"/>
              <w:bottom w:val="single" w:sz="8" w:space="0" w:color="auto"/>
              <w:right w:val="nil"/>
            </w:tcBorders>
            <w:shd w:val="clear" w:color="000000" w:fill="FFFFFF"/>
            <w:vAlign w:val="center"/>
          </w:tcPr>
          <w:p w14:paraId="5D754777" w14:textId="77777777" w:rsidR="00204588" w:rsidRPr="00887108" w:rsidRDefault="00204588" w:rsidP="00204588">
            <w:pPr>
              <w:jc w:val="center"/>
              <w:rPr>
                <w:rFonts w:cs="Times New Roman"/>
                <w:color w:val="000000"/>
                <w:sz w:val="20"/>
                <w:szCs w:val="20"/>
              </w:rPr>
            </w:pPr>
            <w:r w:rsidRPr="00887108">
              <w:rPr>
                <w:color w:val="000000"/>
                <w:sz w:val="18"/>
                <w:szCs w:val="18"/>
              </w:rPr>
              <w:t>2,8</w:t>
            </w:r>
          </w:p>
        </w:tc>
        <w:tc>
          <w:tcPr>
            <w:tcW w:w="945" w:type="pct"/>
            <w:tcBorders>
              <w:top w:val="nil"/>
              <w:left w:val="nil"/>
              <w:bottom w:val="single" w:sz="8" w:space="0" w:color="auto"/>
              <w:right w:val="nil"/>
            </w:tcBorders>
            <w:shd w:val="clear" w:color="000000" w:fill="FFFFFF"/>
            <w:vAlign w:val="center"/>
          </w:tcPr>
          <w:p w14:paraId="774392A5" w14:textId="77777777" w:rsidR="00204588" w:rsidRPr="00887108" w:rsidRDefault="00204588" w:rsidP="00204588">
            <w:pPr>
              <w:jc w:val="center"/>
              <w:rPr>
                <w:rFonts w:cs="Times New Roman"/>
                <w:color w:val="000000"/>
                <w:sz w:val="20"/>
                <w:szCs w:val="20"/>
              </w:rPr>
            </w:pPr>
            <w:r w:rsidRPr="00887108">
              <w:rPr>
                <w:color w:val="000000"/>
                <w:sz w:val="18"/>
                <w:szCs w:val="18"/>
              </w:rPr>
              <w:t>1,1</w:t>
            </w:r>
          </w:p>
        </w:tc>
        <w:tc>
          <w:tcPr>
            <w:tcW w:w="1205" w:type="pct"/>
            <w:tcBorders>
              <w:top w:val="nil"/>
              <w:left w:val="nil"/>
              <w:bottom w:val="single" w:sz="8" w:space="0" w:color="auto"/>
              <w:right w:val="nil"/>
            </w:tcBorders>
            <w:shd w:val="clear" w:color="000000" w:fill="FFFFFF"/>
            <w:vAlign w:val="center"/>
          </w:tcPr>
          <w:p w14:paraId="765DABCA" w14:textId="77777777" w:rsidR="00204588" w:rsidRPr="00887108" w:rsidRDefault="00204588" w:rsidP="00204588">
            <w:pPr>
              <w:jc w:val="center"/>
              <w:rPr>
                <w:rFonts w:cs="Times New Roman"/>
                <w:color w:val="000000"/>
                <w:sz w:val="20"/>
                <w:szCs w:val="20"/>
              </w:rPr>
            </w:pPr>
            <w:r w:rsidRPr="00887108">
              <w:rPr>
                <w:color w:val="000000"/>
                <w:sz w:val="18"/>
                <w:szCs w:val="18"/>
              </w:rPr>
              <w:t>1,4</w:t>
            </w:r>
          </w:p>
        </w:tc>
      </w:tr>
      <w:tr w:rsidR="00204588" w:rsidRPr="00887108" w14:paraId="7A6BDA13" w14:textId="77777777" w:rsidTr="00204588">
        <w:trPr>
          <w:trHeight w:val="24"/>
          <w:jc w:val="center"/>
        </w:trPr>
        <w:tc>
          <w:tcPr>
            <w:tcW w:w="5000" w:type="pct"/>
            <w:gridSpan w:val="4"/>
            <w:tcBorders>
              <w:top w:val="single" w:sz="8" w:space="0" w:color="auto"/>
              <w:left w:val="nil"/>
              <w:bottom w:val="single" w:sz="8" w:space="0" w:color="auto"/>
              <w:right w:val="nil"/>
            </w:tcBorders>
            <w:shd w:val="clear" w:color="auto" w:fill="F2F2F2" w:themeFill="background1" w:themeFillShade="F2"/>
            <w:vAlign w:val="center"/>
          </w:tcPr>
          <w:p w14:paraId="107F3047" w14:textId="77777777" w:rsidR="00204588" w:rsidRPr="00887108" w:rsidRDefault="00204588" w:rsidP="00204588">
            <w:pPr>
              <w:jc w:val="center"/>
              <w:rPr>
                <w:rFonts w:cs="Times New Roman"/>
                <w:b/>
                <w:bCs/>
                <w:color w:val="000000"/>
                <w:sz w:val="20"/>
                <w:szCs w:val="20"/>
              </w:rPr>
            </w:pPr>
            <w:r w:rsidRPr="00887108">
              <w:rPr>
                <w:rFonts w:cs="Times New Roman"/>
                <w:b/>
                <w:bCs/>
                <w:color w:val="000000"/>
                <w:sz w:val="20"/>
                <w:szCs w:val="20"/>
              </w:rPr>
              <w:t xml:space="preserve">                                                                           Bežný účet (% HDP)</w:t>
            </w:r>
          </w:p>
        </w:tc>
      </w:tr>
      <w:tr w:rsidR="00204588" w:rsidRPr="00887108" w14:paraId="3E85FBAF" w14:textId="77777777" w:rsidTr="00204588">
        <w:trPr>
          <w:trHeight w:val="24"/>
          <w:jc w:val="center"/>
        </w:trPr>
        <w:tc>
          <w:tcPr>
            <w:tcW w:w="1902" w:type="pct"/>
            <w:tcBorders>
              <w:top w:val="nil"/>
              <w:left w:val="nil"/>
              <w:bottom w:val="nil"/>
              <w:right w:val="nil"/>
            </w:tcBorders>
            <w:shd w:val="clear" w:color="000000" w:fill="FFFFFF"/>
            <w:vAlign w:val="center"/>
          </w:tcPr>
          <w:p w14:paraId="169A0A49" w14:textId="77777777" w:rsidR="00204588" w:rsidRPr="00887108" w:rsidRDefault="00204588" w:rsidP="00204588">
            <w:pPr>
              <w:ind w:firstLineChars="100" w:firstLine="201"/>
              <w:rPr>
                <w:rFonts w:cs="Times New Roman"/>
                <w:b/>
                <w:bCs/>
                <w:color w:val="000000"/>
                <w:sz w:val="20"/>
                <w:szCs w:val="20"/>
              </w:rPr>
            </w:pPr>
            <w:r w:rsidRPr="00887108">
              <w:rPr>
                <w:rFonts w:cs="Times New Roman"/>
                <w:b/>
                <w:bCs/>
                <w:color w:val="000000"/>
                <w:sz w:val="20"/>
                <w:szCs w:val="20"/>
              </w:rPr>
              <w:t>MF SR</w:t>
            </w:r>
          </w:p>
        </w:tc>
        <w:tc>
          <w:tcPr>
            <w:tcW w:w="949" w:type="pct"/>
            <w:tcBorders>
              <w:top w:val="nil"/>
              <w:left w:val="nil"/>
              <w:bottom w:val="nil"/>
              <w:right w:val="nil"/>
            </w:tcBorders>
            <w:shd w:val="clear" w:color="000000" w:fill="auto"/>
            <w:vAlign w:val="center"/>
          </w:tcPr>
          <w:p w14:paraId="2E893DE8" w14:textId="77777777" w:rsidR="00204588" w:rsidRPr="00887108" w:rsidRDefault="00204588" w:rsidP="00204588">
            <w:pPr>
              <w:jc w:val="center"/>
              <w:rPr>
                <w:b/>
                <w:color w:val="000000"/>
                <w:sz w:val="20"/>
                <w:szCs w:val="20"/>
              </w:rPr>
            </w:pPr>
            <w:r w:rsidRPr="00887108">
              <w:rPr>
                <w:b/>
                <w:bCs/>
                <w:color w:val="000000"/>
                <w:sz w:val="18"/>
                <w:szCs w:val="18"/>
              </w:rPr>
              <w:t>-2,9</w:t>
            </w:r>
          </w:p>
        </w:tc>
        <w:tc>
          <w:tcPr>
            <w:tcW w:w="945" w:type="pct"/>
            <w:tcBorders>
              <w:top w:val="nil"/>
              <w:left w:val="nil"/>
              <w:bottom w:val="nil"/>
              <w:right w:val="nil"/>
            </w:tcBorders>
            <w:shd w:val="clear" w:color="000000" w:fill="FFFFFF"/>
            <w:vAlign w:val="center"/>
          </w:tcPr>
          <w:p w14:paraId="6218A746" w14:textId="77777777" w:rsidR="00204588" w:rsidRPr="00887108" w:rsidRDefault="00204588" w:rsidP="00204588">
            <w:pPr>
              <w:jc w:val="center"/>
              <w:rPr>
                <w:b/>
                <w:color w:val="000000"/>
                <w:sz w:val="20"/>
                <w:szCs w:val="20"/>
              </w:rPr>
            </w:pPr>
            <w:r w:rsidRPr="00887108">
              <w:rPr>
                <w:b/>
                <w:bCs/>
                <w:color w:val="000000"/>
                <w:sz w:val="18"/>
                <w:szCs w:val="18"/>
              </w:rPr>
              <w:t>2,3</w:t>
            </w:r>
          </w:p>
        </w:tc>
        <w:tc>
          <w:tcPr>
            <w:tcW w:w="1205" w:type="pct"/>
            <w:tcBorders>
              <w:top w:val="nil"/>
              <w:left w:val="nil"/>
              <w:bottom w:val="nil"/>
              <w:right w:val="nil"/>
            </w:tcBorders>
            <w:shd w:val="clear" w:color="000000" w:fill="FFFFFF"/>
            <w:vAlign w:val="center"/>
          </w:tcPr>
          <w:p w14:paraId="66D618E5" w14:textId="77777777" w:rsidR="00204588" w:rsidRPr="00887108" w:rsidRDefault="00204588" w:rsidP="00204588">
            <w:pPr>
              <w:jc w:val="center"/>
              <w:rPr>
                <w:b/>
                <w:color w:val="000000"/>
                <w:sz w:val="20"/>
                <w:szCs w:val="20"/>
              </w:rPr>
            </w:pPr>
            <w:r w:rsidRPr="00887108">
              <w:rPr>
                <w:b/>
                <w:bCs/>
                <w:color w:val="000000"/>
                <w:sz w:val="18"/>
                <w:szCs w:val="18"/>
              </w:rPr>
              <w:t>0,3</w:t>
            </w:r>
          </w:p>
        </w:tc>
      </w:tr>
      <w:tr w:rsidR="00204588" w:rsidRPr="00887108" w14:paraId="74E4FFA1" w14:textId="77777777" w:rsidTr="00204588">
        <w:trPr>
          <w:trHeight w:val="24"/>
          <w:jc w:val="center"/>
        </w:trPr>
        <w:tc>
          <w:tcPr>
            <w:tcW w:w="1902" w:type="pct"/>
            <w:tcBorders>
              <w:top w:val="nil"/>
              <w:left w:val="nil"/>
              <w:bottom w:val="nil"/>
              <w:right w:val="nil"/>
            </w:tcBorders>
            <w:shd w:val="clear" w:color="000000" w:fill="FFFFFF"/>
            <w:vAlign w:val="center"/>
          </w:tcPr>
          <w:p w14:paraId="35153108" w14:textId="77777777" w:rsidR="00204588" w:rsidRPr="00887108" w:rsidRDefault="00204588" w:rsidP="00204588">
            <w:pPr>
              <w:ind w:firstLineChars="100" w:firstLine="200"/>
              <w:rPr>
                <w:color w:val="000000"/>
                <w:sz w:val="20"/>
                <w:szCs w:val="20"/>
              </w:rPr>
            </w:pPr>
            <w:r w:rsidRPr="00887108">
              <w:rPr>
                <w:color w:val="000000"/>
                <w:sz w:val="20"/>
                <w:szCs w:val="20"/>
              </w:rPr>
              <w:t>Makrovýbor (medián)</w:t>
            </w:r>
          </w:p>
        </w:tc>
        <w:tc>
          <w:tcPr>
            <w:tcW w:w="949" w:type="pct"/>
            <w:tcBorders>
              <w:top w:val="nil"/>
              <w:left w:val="nil"/>
              <w:bottom w:val="nil"/>
              <w:right w:val="nil"/>
            </w:tcBorders>
            <w:shd w:val="clear" w:color="000000" w:fill="FFFFFF"/>
            <w:vAlign w:val="center"/>
          </w:tcPr>
          <w:p w14:paraId="0906CC30" w14:textId="77777777" w:rsidR="00204588" w:rsidRPr="00887108" w:rsidRDefault="00204588" w:rsidP="00204588">
            <w:pPr>
              <w:jc w:val="center"/>
              <w:rPr>
                <w:color w:val="000000"/>
                <w:sz w:val="20"/>
                <w:szCs w:val="20"/>
              </w:rPr>
            </w:pPr>
            <w:r w:rsidRPr="00887108">
              <w:rPr>
                <w:color w:val="000000"/>
                <w:sz w:val="18"/>
                <w:szCs w:val="18"/>
              </w:rPr>
              <w:t>-2,9</w:t>
            </w:r>
          </w:p>
        </w:tc>
        <w:tc>
          <w:tcPr>
            <w:tcW w:w="945" w:type="pct"/>
            <w:tcBorders>
              <w:top w:val="nil"/>
              <w:left w:val="nil"/>
              <w:bottom w:val="nil"/>
              <w:right w:val="nil"/>
            </w:tcBorders>
            <w:shd w:val="clear" w:color="000000" w:fill="FFFFFF"/>
            <w:vAlign w:val="center"/>
          </w:tcPr>
          <w:p w14:paraId="64D3FD77" w14:textId="77777777" w:rsidR="00204588" w:rsidRPr="00887108" w:rsidRDefault="00204588" w:rsidP="00204588">
            <w:pPr>
              <w:jc w:val="center"/>
              <w:rPr>
                <w:color w:val="000000"/>
                <w:sz w:val="20"/>
                <w:szCs w:val="20"/>
              </w:rPr>
            </w:pPr>
            <w:r w:rsidRPr="00887108">
              <w:rPr>
                <w:color w:val="000000"/>
                <w:sz w:val="18"/>
                <w:szCs w:val="18"/>
              </w:rPr>
              <w:t>0,0</w:t>
            </w:r>
          </w:p>
        </w:tc>
        <w:tc>
          <w:tcPr>
            <w:tcW w:w="1205" w:type="pct"/>
            <w:tcBorders>
              <w:top w:val="nil"/>
              <w:left w:val="nil"/>
              <w:bottom w:val="nil"/>
              <w:right w:val="nil"/>
            </w:tcBorders>
            <w:shd w:val="clear" w:color="000000" w:fill="FFFFFF"/>
            <w:vAlign w:val="center"/>
          </w:tcPr>
          <w:p w14:paraId="33AFA8A1" w14:textId="77777777" w:rsidR="00204588" w:rsidRPr="00887108" w:rsidRDefault="00204588" w:rsidP="00204588">
            <w:pPr>
              <w:jc w:val="center"/>
              <w:rPr>
                <w:color w:val="000000"/>
                <w:sz w:val="20"/>
                <w:szCs w:val="20"/>
              </w:rPr>
            </w:pPr>
            <w:r w:rsidRPr="00887108">
              <w:rPr>
                <w:color w:val="000000"/>
                <w:sz w:val="18"/>
                <w:szCs w:val="18"/>
              </w:rPr>
              <w:t>0,0</w:t>
            </w:r>
          </w:p>
        </w:tc>
      </w:tr>
      <w:tr w:rsidR="00204588" w:rsidRPr="00887108" w14:paraId="0464049F" w14:textId="77777777" w:rsidTr="00204588">
        <w:trPr>
          <w:trHeight w:val="24"/>
          <w:jc w:val="center"/>
        </w:trPr>
        <w:tc>
          <w:tcPr>
            <w:tcW w:w="1902" w:type="pct"/>
            <w:tcBorders>
              <w:top w:val="nil"/>
              <w:left w:val="nil"/>
              <w:bottom w:val="nil"/>
              <w:right w:val="nil"/>
            </w:tcBorders>
            <w:shd w:val="clear" w:color="000000" w:fill="FFFFFF"/>
            <w:vAlign w:val="center"/>
          </w:tcPr>
          <w:p w14:paraId="102FA6D9"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NBS</w:t>
            </w:r>
          </w:p>
        </w:tc>
        <w:tc>
          <w:tcPr>
            <w:tcW w:w="949" w:type="pct"/>
            <w:tcBorders>
              <w:top w:val="nil"/>
              <w:left w:val="nil"/>
              <w:bottom w:val="nil"/>
              <w:right w:val="nil"/>
            </w:tcBorders>
            <w:shd w:val="clear" w:color="000000" w:fill="FFFFFF"/>
            <w:vAlign w:val="center"/>
          </w:tcPr>
          <w:p w14:paraId="0F2080EB" w14:textId="77777777" w:rsidR="00204588" w:rsidRPr="00887108" w:rsidRDefault="00204588" w:rsidP="00204588">
            <w:pPr>
              <w:jc w:val="center"/>
              <w:rPr>
                <w:rFonts w:cs="Times New Roman"/>
                <w:color w:val="000000"/>
                <w:sz w:val="20"/>
                <w:szCs w:val="20"/>
              </w:rPr>
            </w:pPr>
            <w:r w:rsidRPr="00887108">
              <w:rPr>
                <w:color w:val="000000"/>
                <w:sz w:val="18"/>
                <w:szCs w:val="18"/>
              </w:rPr>
              <w:t>-</w:t>
            </w:r>
          </w:p>
        </w:tc>
        <w:tc>
          <w:tcPr>
            <w:tcW w:w="945" w:type="pct"/>
            <w:tcBorders>
              <w:top w:val="nil"/>
              <w:left w:val="nil"/>
              <w:bottom w:val="nil"/>
              <w:right w:val="nil"/>
            </w:tcBorders>
            <w:shd w:val="clear" w:color="000000" w:fill="FFFFFF"/>
            <w:vAlign w:val="center"/>
          </w:tcPr>
          <w:p w14:paraId="6CFE5FAE" w14:textId="77777777" w:rsidR="00204588" w:rsidRPr="00887108" w:rsidRDefault="00204588" w:rsidP="00204588">
            <w:pPr>
              <w:jc w:val="center"/>
              <w:rPr>
                <w:rFonts w:cs="Times New Roman"/>
                <w:color w:val="000000"/>
                <w:sz w:val="20"/>
                <w:szCs w:val="20"/>
              </w:rPr>
            </w:pPr>
            <w:r w:rsidRPr="00887108">
              <w:rPr>
                <w:color w:val="000000"/>
                <w:sz w:val="18"/>
                <w:szCs w:val="18"/>
              </w:rPr>
              <w:t>-</w:t>
            </w:r>
          </w:p>
        </w:tc>
        <w:tc>
          <w:tcPr>
            <w:tcW w:w="1205" w:type="pct"/>
            <w:tcBorders>
              <w:top w:val="nil"/>
              <w:left w:val="nil"/>
              <w:bottom w:val="nil"/>
              <w:right w:val="nil"/>
            </w:tcBorders>
            <w:shd w:val="clear" w:color="000000" w:fill="FFFFFF"/>
            <w:vAlign w:val="center"/>
          </w:tcPr>
          <w:p w14:paraId="75A98BC5" w14:textId="77777777" w:rsidR="00204588" w:rsidRPr="00887108" w:rsidRDefault="00204588" w:rsidP="00204588">
            <w:pPr>
              <w:jc w:val="center"/>
              <w:rPr>
                <w:rFonts w:cs="Times New Roman"/>
                <w:color w:val="000000"/>
                <w:sz w:val="20"/>
                <w:szCs w:val="20"/>
              </w:rPr>
            </w:pPr>
            <w:r w:rsidRPr="00887108">
              <w:rPr>
                <w:color w:val="000000"/>
                <w:sz w:val="18"/>
                <w:szCs w:val="18"/>
              </w:rPr>
              <w:t>-</w:t>
            </w:r>
          </w:p>
        </w:tc>
      </w:tr>
      <w:tr w:rsidR="00204588" w:rsidRPr="00887108" w14:paraId="1A2F5CF1" w14:textId="77777777" w:rsidTr="00204588">
        <w:trPr>
          <w:trHeight w:val="24"/>
          <w:jc w:val="center"/>
        </w:trPr>
        <w:tc>
          <w:tcPr>
            <w:tcW w:w="1902" w:type="pct"/>
            <w:tcBorders>
              <w:top w:val="nil"/>
              <w:left w:val="nil"/>
              <w:bottom w:val="nil"/>
              <w:right w:val="nil"/>
            </w:tcBorders>
            <w:shd w:val="clear" w:color="000000" w:fill="FFFFFF"/>
            <w:vAlign w:val="center"/>
          </w:tcPr>
          <w:p w14:paraId="0C120B93"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EK</w:t>
            </w:r>
          </w:p>
        </w:tc>
        <w:tc>
          <w:tcPr>
            <w:tcW w:w="949" w:type="pct"/>
            <w:tcBorders>
              <w:top w:val="nil"/>
              <w:left w:val="nil"/>
              <w:bottom w:val="nil"/>
              <w:right w:val="nil"/>
            </w:tcBorders>
            <w:shd w:val="clear" w:color="000000" w:fill="FFFFFF"/>
            <w:vAlign w:val="center"/>
          </w:tcPr>
          <w:p w14:paraId="2B52C8A4" w14:textId="7D7DF77B" w:rsidR="00204588" w:rsidRPr="00887108" w:rsidRDefault="00204588" w:rsidP="00204588">
            <w:pPr>
              <w:jc w:val="center"/>
              <w:rPr>
                <w:rFonts w:cs="Times New Roman"/>
                <w:color w:val="000000"/>
                <w:sz w:val="20"/>
                <w:szCs w:val="20"/>
              </w:rPr>
            </w:pPr>
            <w:r w:rsidRPr="00887108">
              <w:rPr>
                <w:color w:val="000000"/>
                <w:sz w:val="18"/>
                <w:szCs w:val="18"/>
              </w:rPr>
              <w:t>-</w:t>
            </w:r>
            <w:r w:rsidR="008B707C" w:rsidRPr="00887108">
              <w:rPr>
                <w:color w:val="000000"/>
                <w:sz w:val="18"/>
                <w:szCs w:val="18"/>
              </w:rPr>
              <w:t>2,6</w:t>
            </w:r>
          </w:p>
        </w:tc>
        <w:tc>
          <w:tcPr>
            <w:tcW w:w="945" w:type="pct"/>
            <w:tcBorders>
              <w:top w:val="nil"/>
              <w:left w:val="nil"/>
              <w:bottom w:val="nil"/>
              <w:right w:val="nil"/>
            </w:tcBorders>
            <w:shd w:val="clear" w:color="000000" w:fill="FFFFFF"/>
            <w:vAlign w:val="center"/>
          </w:tcPr>
          <w:p w14:paraId="21E804EF" w14:textId="718EC522" w:rsidR="00204588" w:rsidRPr="00887108" w:rsidRDefault="00204588" w:rsidP="00204588">
            <w:pPr>
              <w:jc w:val="center"/>
              <w:rPr>
                <w:rFonts w:cs="Times New Roman"/>
                <w:color w:val="000000"/>
                <w:sz w:val="20"/>
                <w:szCs w:val="20"/>
              </w:rPr>
            </w:pPr>
            <w:r w:rsidRPr="00887108">
              <w:rPr>
                <w:color w:val="000000"/>
                <w:sz w:val="18"/>
                <w:szCs w:val="18"/>
              </w:rPr>
              <w:t>-</w:t>
            </w:r>
            <w:r w:rsidR="008B707C" w:rsidRPr="00887108">
              <w:rPr>
                <w:color w:val="000000"/>
                <w:sz w:val="18"/>
                <w:szCs w:val="18"/>
              </w:rPr>
              <w:t>2,9</w:t>
            </w:r>
          </w:p>
        </w:tc>
        <w:tc>
          <w:tcPr>
            <w:tcW w:w="1205" w:type="pct"/>
            <w:tcBorders>
              <w:top w:val="nil"/>
              <w:left w:val="nil"/>
              <w:bottom w:val="nil"/>
              <w:right w:val="nil"/>
            </w:tcBorders>
            <w:shd w:val="clear" w:color="000000" w:fill="FFFFFF"/>
            <w:vAlign w:val="center"/>
          </w:tcPr>
          <w:p w14:paraId="5D1217FE" w14:textId="6129D4DF" w:rsidR="00204588" w:rsidRPr="00887108" w:rsidRDefault="00204588" w:rsidP="00204588">
            <w:pPr>
              <w:jc w:val="center"/>
              <w:rPr>
                <w:rFonts w:cs="Times New Roman"/>
                <w:color w:val="000000"/>
                <w:sz w:val="20"/>
                <w:szCs w:val="20"/>
              </w:rPr>
            </w:pPr>
            <w:r w:rsidRPr="00887108">
              <w:rPr>
                <w:color w:val="000000"/>
                <w:sz w:val="18"/>
                <w:szCs w:val="18"/>
              </w:rPr>
              <w:t>-</w:t>
            </w:r>
            <w:r w:rsidR="008B707C" w:rsidRPr="00887108">
              <w:rPr>
                <w:color w:val="000000"/>
                <w:sz w:val="18"/>
                <w:szCs w:val="18"/>
              </w:rPr>
              <w:t>2,4</w:t>
            </w:r>
          </w:p>
        </w:tc>
      </w:tr>
      <w:tr w:rsidR="00204588" w:rsidRPr="00887108" w14:paraId="179D591A" w14:textId="77777777" w:rsidTr="00204588">
        <w:trPr>
          <w:trHeight w:val="24"/>
          <w:jc w:val="center"/>
        </w:trPr>
        <w:tc>
          <w:tcPr>
            <w:tcW w:w="1902" w:type="pct"/>
            <w:tcBorders>
              <w:top w:val="nil"/>
              <w:left w:val="nil"/>
              <w:bottom w:val="single" w:sz="8" w:space="0" w:color="auto"/>
              <w:right w:val="nil"/>
            </w:tcBorders>
            <w:shd w:val="clear" w:color="000000" w:fill="FFFFFF"/>
            <w:vAlign w:val="center"/>
          </w:tcPr>
          <w:p w14:paraId="260D5215" w14:textId="77777777" w:rsidR="00204588" w:rsidRPr="00887108" w:rsidRDefault="00204588" w:rsidP="00204588">
            <w:pPr>
              <w:ind w:firstLineChars="100" w:firstLine="200"/>
              <w:rPr>
                <w:rFonts w:cs="Times New Roman"/>
                <w:color w:val="000000"/>
                <w:sz w:val="20"/>
                <w:szCs w:val="20"/>
              </w:rPr>
            </w:pPr>
            <w:r w:rsidRPr="00887108">
              <w:rPr>
                <w:rFonts w:cs="Times New Roman"/>
                <w:color w:val="000000"/>
                <w:sz w:val="20"/>
                <w:szCs w:val="20"/>
              </w:rPr>
              <w:t>MMF</w:t>
            </w:r>
          </w:p>
        </w:tc>
        <w:tc>
          <w:tcPr>
            <w:tcW w:w="949" w:type="pct"/>
            <w:tcBorders>
              <w:top w:val="nil"/>
              <w:left w:val="nil"/>
              <w:bottom w:val="single" w:sz="8" w:space="0" w:color="auto"/>
              <w:right w:val="nil"/>
            </w:tcBorders>
            <w:shd w:val="clear" w:color="000000" w:fill="FFFFFF"/>
            <w:vAlign w:val="center"/>
          </w:tcPr>
          <w:p w14:paraId="6812C2DF" w14:textId="77777777" w:rsidR="00204588" w:rsidRPr="00887108" w:rsidRDefault="00204588" w:rsidP="00204588">
            <w:pPr>
              <w:jc w:val="center"/>
              <w:rPr>
                <w:rFonts w:cs="Times New Roman"/>
                <w:color w:val="000000"/>
                <w:sz w:val="20"/>
                <w:szCs w:val="20"/>
              </w:rPr>
            </w:pPr>
            <w:r w:rsidRPr="00887108">
              <w:rPr>
                <w:color w:val="000000"/>
                <w:sz w:val="18"/>
                <w:szCs w:val="18"/>
              </w:rPr>
              <w:t>-3,2</w:t>
            </w:r>
          </w:p>
        </w:tc>
        <w:tc>
          <w:tcPr>
            <w:tcW w:w="945" w:type="pct"/>
            <w:tcBorders>
              <w:top w:val="nil"/>
              <w:left w:val="nil"/>
              <w:bottom w:val="single" w:sz="8" w:space="0" w:color="auto"/>
              <w:right w:val="nil"/>
            </w:tcBorders>
            <w:shd w:val="clear" w:color="000000" w:fill="FFFFFF"/>
            <w:vAlign w:val="center"/>
          </w:tcPr>
          <w:p w14:paraId="32CADDA6" w14:textId="77777777" w:rsidR="00204588" w:rsidRPr="00887108" w:rsidRDefault="00204588" w:rsidP="00204588">
            <w:pPr>
              <w:jc w:val="center"/>
              <w:rPr>
                <w:rFonts w:cs="Times New Roman"/>
                <w:color w:val="000000"/>
                <w:sz w:val="20"/>
                <w:szCs w:val="20"/>
              </w:rPr>
            </w:pPr>
            <w:r w:rsidRPr="00887108">
              <w:rPr>
                <w:color w:val="000000"/>
                <w:sz w:val="18"/>
                <w:szCs w:val="18"/>
              </w:rPr>
              <w:t>-3,0</w:t>
            </w:r>
          </w:p>
        </w:tc>
        <w:tc>
          <w:tcPr>
            <w:tcW w:w="1205" w:type="pct"/>
            <w:tcBorders>
              <w:top w:val="nil"/>
              <w:left w:val="nil"/>
              <w:bottom w:val="single" w:sz="8" w:space="0" w:color="auto"/>
              <w:right w:val="nil"/>
            </w:tcBorders>
            <w:shd w:val="clear" w:color="000000" w:fill="FFFFFF"/>
            <w:vAlign w:val="center"/>
          </w:tcPr>
          <w:p w14:paraId="2BA5EDB7" w14:textId="77777777" w:rsidR="00204588" w:rsidRPr="00887108" w:rsidRDefault="00204588" w:rsidP="00204588">
            <w:pPr>
              <w:jc w:val="center"/>
              <w:rPr>
                <w:rFonts w:cs="Times New Roman"/>
                <w:color w:val="000000"/>
                <w:sz w:val="20"/>
                <w:szCs w:val="20"/>
              </w:rPr>
            </w:pPr>
            <w:r w:rsidRPr="00887108">
              <w:rPr>
                <w:color w:val="000000"/>
                <w:sz w:val="18"/>
                <w:szCs w:val="18"/>
              </w:rPr>
              <w:t>-2,5</w:t>
            </w:r>
          </w:p>
        </w:tc>
      </w:tr>
      <w:tr w:rsidR="00204588" w:rsidRPr="00887108" w14:paraId="071D9956" w14:textId="77777777" w:rsidTr="00204588">
        <w:trPr>
          <w:trHeight w:val="24"/>
          <w:jc w:val="center"/>
        </w:trPr>
        <w:tc>
          <w:tcPr>
            <w:tcW w:w="5000" w:type="pct"/>
            <w:gridSpan w:val="4"/>
            <w:tcBorders>
              <w:top w:val="single" w:sz="8" w:space="0" w:color="auto"/>
              <w:left w:val="nil"/>
              <w:bottom w:val="nil"/>
              <w:right w:val="nil"/>
            </w:tcBorders>
            <w:shd w:val="clear" w:color="000000" w:fill="FFFFFF"/>
            <w:noWrap/>
            <w:vAlign w:val="center"/>
          </w:tcPr>
          <w:p w14:paraId="0A700933" w14:textId="77777777" w:rsidR="00204588" w:rsidRPr="00887108" w:rsidRDefault="00204588" w:rsidP="00204588">
            <w:pPr>
              <w:pStyle w:val="poznmka"/>
              <w:jc w:val="both"/>
            </w:pPr>
            <w:r w:rsidRPr="00887108">
              <w:t>Zdroj: MF SR (apríl 2020), Výbor pre makroekonomické prognózy (apríl 2020), NBS (apríl 2020, stredný scenár), EK (február 2020) a MMF (apríl 2020).</w:t>
            </w:r>
          </w:p>
        </w:tc>
      </w:tr>
    </w:tbl>
    <w:p w14:paraId="15902760" w14:textId="77777777" w:rsidR="00204588" w:rsidRPr="00887108" w:rsidRDefault="00204588" w:rsidP="00204588">
      <w:pPr>
        <w:jc w:val="both"/>
        <w:rPr>
          <w:highlight w:val="yellow"/>
        </w:rPr>
      </w:pPr>
    </w:p>
    <w:p w14:paraId="56434B04" w14:textId="77777777" w:rsidR="00204588" w:rsidRPr="00887108" w:rsidRDefault="00204588" w:rsidP="00204588">
      <w:pPr>
        <w:pStyle w:val="Nadpis2"/>
        <w:keepLines/>
        <w:numPr>
          <w:ilvl w:val="1"/>
          <w:numId w:val="2"/>
        </w:numPr>
        <w:spacing w:before="240" w:after="120" w:line="276" w:lineRule="auto"/>
        <w:rPr>
          <w:b/>
          <w:color w:val="2C9ADC"/>
          <w:szCs w:val="28"/>
        </w:rPr>
      </w:pPr>
      <w:bookmarkStart w:id="84" w:name="_Toc40181046"/>
      <w:r w:rsidRPr="00887108">
        <w:rPr>
          <w:b/>
          <w:color w:val="2C9ADC"/>
          <w:szCs w:val="28"/>
        </w:rPr>
        <w:t>Rizikové scenáre</w:t>
      </w:r>
      <w:bookmarkEnd w:id="84"/>
      <w:r w:rsidRPr="00887108">
        <w:rPr>
          <w:b/>
          <w:color w:val="2C9ADC"/>
          <w:szCs w:val="28"/>
        </w:rPr>
        <w:t xml:space="preserve"> </w:t>
      </w:r>
    </w:p>
    <w:p w14:paraId="4D83AA6F" w14:textId="20C9B5C9" w:rsidR="00204588" w:rsidRPr="00887108" w:rsidRDefault="00204588" w:rsidP="003C301C">
      <w:pPr>
        <w:spacing w:after="120"/>
        <w:jc w:val="both"/>
      </w:pPr>
      <w:r w:rsidRPr="00887108">
        <w:rPr>
          <w:rFonts w:eastAsia="NeueHaasGroteskText W02" w:cs="Arial"/>
          <w:b/>
          <w:szCs w:val="20"/>
        </w:rPr>
        <w:t xml:space="preserve">Neistota ďalšieho vývoja je vysoká a riziká prognózy sú </w:t>
      </w:r>
      <w:r w:rsidR="00701785" w:rsidRPr="00887108">
        <w:rPr>
          <w:rFonts w:eastAsia="NeueHaasGroteskText W02" w:cs="Arial"/>
          <w:b/>
          <w:szCs w:val="20"/>
        </w:rPr>
        <w:t xml:space="preserve">na </w:t>
      </w:r>
      <w:r w:rsidRPr="00887108">
        <w:rPr>
          <w:rFonts w:eastAsia="NeueHaasGroteskText W02" w:cs="Arial"/>
          <w:b/>
          <w:szCs w:val="20"/>
        </w:rPr>
        <w:t>negatívne</w:t>
      </w:r>
      <w:r w:rsidR="00701785" w:rsidRPr="00887108">
        <w:rPr>
          <w:rFonts w:eastAsia="NeueHaasGroteskText W02" w:cs="Arial"/>
          <w:b/>
          <w:szCs w:val="20"/>
        </w:rPr>
        <w:t>j strane</w:t>
      </w:r>
      <w:r w:rsidRPr="00887108">
        <w:rPr>
          <w:rFonts w:eastAsia="NeueHaasGroteskText W02" w:cs="Arial"/>
          <w:b/>
          <w:szCs w:val="20"/>
        </w:rPr>
        <w:t>.</w:t>
      </w:r>
      <w:r w:rsidRPr="00887108">
        <w:rPr>
          <w:rFonts w:eastAsia="NeueHaasGroteskText W02" w:cs="Arial"/>
          <w:szCs w:val="20"/>
        </w:rPr>
        <w:t xml:space="preserve"> Neistá dĺžka pandémie aj opakované návraty ochorenia môže ekonomický prepad prehĺbiť. Globálne dodávateľské reťazce sa môžu narušiť a ich opätovné skoordinovanie môže trvať dlhšie, čo spomalí oživenie. V neposlednom rade budú firmy v rámci manažmentu rizík viac zohľadňovať </w:t>
      </w:r>
      <w:r w:rsidR="00F633D3" w:rsidRPr="00887108">
        <w:rPr>
          <w:rFonts w:eastAsia="NeueHaasGroteskText W02" w:cs="Arial"/>
          <w:szCs w:val="20"/>
        </w:rPr>
        <w:t xml:space="preserve">potrebu </w:t>
      </w:r>
      <w:r w:rsidRPr="00887108">
        <w:rPr>
          <w:rFonts w:eastAsia="NeueHaasGroteskText W02" w:cs="Arial"/>
          <w:szCs w:val="20"/>
        </w:rPr>
        <w:t xml:space="preserve">likviditnej rezervy na úkor tvorby investícií a väčší dôraz sa môže klásť na geografickú diverzifikáciu </w:t>
      </w:r>
      <w:r w:rsidR="00701785" w:rsidRPr="00887108">
        <w:rPr>
          <w:rFonts w:eastAsia="NeueHaasGroteskText W02" w:cs="Arial"/>
          <w:szCs w:val="20"/>
        </w:rPr>
        <w:t xml:space="preserve">a blízkosť </w:t>
      </w:r>
      <w:r w:rsidRPr="00887108">
        <w:rPr>
          <w:rFonts w:eastAsia="NeueHaasGroteskText W02" w:cs="Arial"/>
          <w:szCs w:val="20"/>
        </w:rPr>
        <w:t xml:space="preserve">dodávateľov. Možnosti vývoja analyzujeme v dvoch alternatívnych rizikových scenároch.  </w:t>
      </w:r>
    </w:p>
    <w:p w14:paraId="4F2E3CAA" w14:textId="4A2DCDA0" w:rsidR="00204588" w:rsidRPr="00887108" w:rsidRDefault="00204588" w:rsidP="00204588">
      <w:pPr>
        <w:pStyle w:val="Odsek"/>
        <w:rPr>
          <w:b/>
          <w:bCs/>
          <w:color w:val="2C9ADC" w:themeColor="accent1"/>
          <w:szCs w:val="20"/>
        </w:rPr>
      </w:pPr>
      <w:r w:rsidRPr="00887108">
        <w:rPr>
          <w:b/>
          <w:bCs/>
          <w:color w:val="2C9ADC" w:themeColor="accent1"/>
          <w:szCs w:val="20"/>
        </w:rPr>
        <w:t xml:space="preserve">Rizikový scenár 1: Dlhšia </w:t>
      </w:r>
      <w:r w:rsidR="00701785" w:rsidRPr="00887108">
        <w:rPr>
          <w:b/>
          <w:bCs/>
          <w:color w:val="2C9ADC" w:themeColor="accent1"/>
          <w:szCs w:val="20"/>
        </w:rPr>
        <w:t>pandémia</w:t>
      </w:r>
    </w:p>
    <w:p w14:paraId="3BDA2584" w14:textId="26696632" w:rsidR="00204588" w:rsidRPr="00887108" w:rsidRDefault="00204588" w:rsidP="00204588">
      <w:pPr>
        <w:pStyle w:val="Odsek"/>
        <w:rPr>
          <w:szCs w:val="20"/>
        </w:rPr>
      </w:pPr>
      <w:r w:rsidRPr="00887108">
        <w:rPr>
          <w:b/>
          <w:bCs/>
          <w:szCs w:val="20"/>
        </w:rPr>
        <w:t xml:space="preserve">Prvý rizikový scenár predpokladá dlhšiu </w:t>
      </w:r>
      <w:r w:rsidR="00701785" w:rsidRPr="00887108">
        <w:rPr>
          <w:b/>
          <w:bCs/>
          <w:szCs w:val="20"/>
        </w:rPr>
        <w:t xml:space="preserve">pandémiu </w:t>
      </w:r>
      <w:r w:rsidRPr="00887108">
        <w:rPr>
          <w:b/>
          <w:bCs/>
          <w:szCs w:val="20"/>
        </w:rPr>
        <w:t>v trvaní 3 mesiacov.</w:t>
      </w:r>
      <w:r w:rsidRPr="00887108">
        <w:rPr>
          <w:szCs w:val="20"/>
        </w:rPr>
        <w:t xml:space="preserve"> </w:t>
      </w:r>
      <w:r w:rsidR="00701785" w:rsidRPr="00887108">
        <w:rPr>
          <w:szCs w:val="20"/>
        </w:rPr>
        <w:t xml:space="preserve">Dlhší </w:t>
      </w:r>
      <w:r w:rsidR="00343B57" w:rsidRPr="00887108">
        <w:rPr>
          <w:szCs w:val="20"/>
        </w:rPr>
        <w:t>priebeh pandémie povedie k</w:t>
      </w:r>
      <w:r w:rsidRPr="00887108">
        <w:rPr>
          <w:szCs w:val="20"/>
        </w:rPr>
        <w:t xml:space="preserve"> výraznejš</w:t>
      </w:r>
      <w:r w:rsidR="00701785" w:rsidRPr="00887108">
        <w:rPr>
          <w:szCs w:val="20"/>
        </w:rPr>
        <w:t>iemu</w:t>
      </w:r>
      <w:r w:rsidRPr="00887108">
        <w:rPr>
          <w:szCs w:val="20"/>
        </w:rPr>
        <w:t xml:space="preserve"> prepad</w:t>
      </w:r>
      <w:r w:rsidR="00701785" w:rsidRPr="00887108">
        <w:rPr>
          <w:szCs w:val="20"/>
        </w:rPr>
        <w:t>u</w:t>
      </w:r>
      <w:r w:rsidRPr="00887108">
        <w:rPr>
          <w:szCs w:val="20"/>
        </w:rPr>
        <w:t xml:space="preserve"> produkcie. Nakoľko však nedôjde k hlbšiemu narušeniu </w:t>
      </w:r>
      <w:r w:rsidR="00701785" w:rsidRPr="00887108">
        <w:rPr>
          <w:szCs w:val="20"/>
        </w:rPr>
        <w:t xml:space="preserve">dodávateľských </w:t>
      </w:r>
      <w:r w:rsidRPr="00887108">
        <w:rPr>
          <w:szCs w:val="20"/>
        </w:rPr>
        <w:t>reťazcov, časť straty produkcie by sa po znovunaštartovaní ekonomiky mala dobehnúť podobne ako v základnom scenári.</w:t>
      </w:r>
    </w:p>
    <w:p w14:paraId="3ADE180A" w14:textId="60A581F4" w:rsidR="00204588" w:rsidRPr="00887108" w:rsidRDefault="00204588" w:rsidP="00204588">
      <w:pPr>
        <w:spacing w:after="120"/>
        <w:jc w:val="both"/>
      </w:pPr>
      <w:r w:rsidRPr="00887108">
        <w:rPr>
          <w:b/>
        </w:rPr>
        <w:t>V porovnaní so základnou prognózou by dlhšia karanténa spôsobila kumulatívnu stratu reálneho HDP Slovenska o 1,5 p. b. do roku 2023.</w:t>
      </w:r>
      <w:r w:rsidRPr="00887108">
        <w:t xml:space="preserve"> Karanténne opatrenia v kombinácii s nižším zahraničným dopytom sa odrazia v nižšej produkcii domácich podnikov a dôjde k okamžitému spomaleniu slovenských exportov. V dôsledku nižších tržieb budú podniky nútené výraznejšie znižovať mzdové náklady a zmierniť investičnú aktivitu oproti základnému scenáru. Práve investičná aktivita je najviac zasiahnutá v krátkodobom a strednodobom horizonte. Nižšie mzdy a zamestnanosť sa zároveň premietnu do nižšej spotreby domácností, ktorú čiastočne tlmí spotreba verejného sektora. Pokles produkčnej medzery následne zníži inflačné tlaky v ekonomike.</w:t>
      </w:r>
    </w:p>
    <w:p w14:paraId="175D912A" w14:textId="77777777" w:rsidR="00905528" w:rsidRPr="00887108" w:rsidRDefault="00905528" w:rsidP="00204588">
      <w:pPr>
        <w:spacing w:after="120"/>
        <w:jc w:val="both"/>
      </w:pPr>
    </w:p>
    <w:p w14:paraId="7B96C030" w14:textId="77777777" w:rsidR="00905528" w:rsidRPr="00887108" w:rsidRDefault="00905528" w:rsidP="00204588">
      <w:pPr>
        <w:spacing w:after="120"/>
        <w:jc w:val="both"/>
      </w:pPr>
    </w:p>
    <w:p w14:paraId="6157D9A9" w14:textId="77777777" w:rsidR="00905528" w:rsidRPr="00887108" w:rsidRDefault="00905528" w:rsidP="00204588">
      <w:pPr>
        <w:spacing w:after="120"/>
        <w:jc w:val="both"/>
      </w:pPr>
    </w:p>
    <w:tbl>
      <w:tblPr>
        <w:tblW w:w="8991" w:type="dxa"/>
        <w:tblCellMar>
          <w:left w:w="70" w:type="dxa"/>
          <w:right w:w="70" w:type="dxa"/>
        </w:tblCellMar>
        <w:tblLook w:val="04A0" w:firstRow="1" w:lastRow="0" w:firstColumn="1" w:lastColumn="0" w:noHBand="0" w:noVBand="1"/>
      </w:tblPr>
      <w:tblGrid>
        <w:gridCol w:w="1234"/>
        <w:gridCol w:w="625"/>
        <w:gridCol w:w="961"/>
        <w:gridCol w:w="1046"/>
        <w:gridCol w:w="991"/>
        <w:gridCol w:w="928"/>
        <w:gridCol w:w="822"/>
        <w:gridCol w:w="1263"/>
        <w:gridCol w:w="1121"/>
      </w:tblGrid>
      <w:tr w:rsidR="00204588" w:rsidRPr="00887108" w14:paraId="25C7219C" w14:textId="77777777" w:rsidTr="00905528">
        <w:trPr>
          <w:trHeight w:val="185"/>
        </w:trPr>
        <w:tc>
          <w:tcPr>
            <w:tcW w:w="8991" w:type="dxa"/>
            <w:gridSpan w:val="9"/>
            <w:tcBorders>
              <w:top w:val="nil"/>
              <w:left w:val="nil"/>
              <w:bottom w:val="single" w:sz="8" w:space="0" w:color="auto"/>
              <w:right w:val="nil"/>
            </w:tcBorders>
            <w:shd w:val="clear" w:color="auto" w:fill="auto"/>
            <w:noWrap/>
            <w:vAlign w:val="center"/>
            <w:hideMark/>
          </w:tcPr>
          <w:p w14:paraId="754CFE5D" w14:textId="31CE354E" w:rsidR="00204588" w:rsidRPr="00887108" w:rsidRDefault="00683A4A" w:rsidP="00204588">
            <w:pPr>
              <w:rPr>
                <w:rFonts w:cs="Times New Roman"/>
                <w:b/>
                <w:bCs/>
                <w:color w:val="2C9ADC"/>
                <w:sz w:val="20"/>
                <w:szCs w:val="20"/>
              </w:rPr>
            </w:pPr>
            <w:bookmarkStart w:id="85" w:name="_Toc40186682"/>
            <w:r w:rsidRPr="00887108">
              <w:rPr>
                <w:rFonts w:eastAsiaTheme="minorHAnsi"/>
                <w:b/>
                <w:color w:val="2C9ADC" w:themeColor="accent1"/>
                <w:sz w:val="20"/>
                <w:szCs w:val="20"/>
                <w:lang w:eastAsia="en-US"/>
              </w:rPr>
              <w:t xml:space="preserve">TABUĽKA </w:t>
            </w:r>
            <w:r w:rsidRPr="00887108">
              <w:rPr>
                <w:rFonts w:eastAsiaTheme="minorHAnsi"/>
                <w:b/>
                <w:color w:val="2C9ADC" w:themeColor="accent1"/>
                <w:sz w:val="20"/>
                <w:szCs w:val="20"/>
                <w:lang w:eastAsia="en-US"/>
              </w:rPr>
              <w:fldChar w:fldCharType="begin"/>
            </w:r>
            <w:r w:rsidRPr="00887108">
              <w:rPr>
                <w:rFonts w:eastAsiaTheme="minorHAnsi"/>
                <w:b/>
                <w:color w:val="2C9ADC" w:themeColor="accent1"/>
                <w:sz w:val="20"/>
                <w:szCs w:val="20"/>
                <w:lang w:eastAsia="en-US"/>
              </w:rPr>
              <w:instrText xml:space="preserve"> SEQ TABUĽKA \* ARABIC </w:instrText>
            </w:r>
            <w:r w:rsidRPr="00887108">
              <w:rPr>
                <w:rFonts w:eastAsiaTheme="minorHAnsi"/>
                <w:b/>
                <w:color w:val="2C9ADC" w:themeColor="accent1"/>
                <w:sz w:val="20"/>
                <w:szCs w:val="20"/>
                <w:lang w:eastAsia="en-US"/>
              </w:rPr>
              <w:fldChar w:fldCharType="separate"/>
            </w:r>
            <w:r w:rsidR="00D47A36">
              <w:rPr>
                <w:rFonts w:eastAsiaTheme="minorHAnsi"/>
                <w:b/>
                <w:noProof/>
                <w:color w:val="2C9ADC" w:themeColor="accent1"/>
                <w:sz w:val="20"/>
                <w:szCs w:val="20"/>
                <w:lang w:eastAsia="en-US"/>
              </w:rPr>
              <w:t>5</w:t>
            </w:r>
            <w:r w:rsidRPr="00887108">
              <w:rPr>
                <w:rFonts w:eastAsiaTheme="minorHAnsi"/>
                <w:b/>
                <w:color w:val="2C9ADC" w:themeColor="accent1"/>
                <w:sz w:val="20"/>
                <w:szCs w:val="20"/>
                <w:lang w:eastAsia="en-US"/>
              </w:rPr>
              <w:fldChar w:fldCharType="end"/>
            </w:r>
            <w:r w:rsidRPr="00887108">
              <w:rPr>
                <w:rFonts w:eastAsiaTheme="minorHAnsi"/>
                <w:b/>
                <w:color w:val="2C9ADC" w:themeColor="accent1"/>
                <w:sz w:val="20"/>
                <w:szCs w:val="20"/>
                <w:lang w:eastAsia="en-US"/>
              </w:rPr>
              <w:t xml:space="preserve"> </w:t>
            </w:r>
            <w:r w:rsidR="00204588" w:rsidRPr="00887108">
              <w:rPr>
                <w:rFonts w:cs="Times New Roman"/>
                <w:b/>
                <w:bCs/>
                <w:color w:val="2C9ADC"/>
                <w:sz w:val="20"/>
                <w:szCs w:val="20"/>
              </w:rPr>
              <w:t>- Scenár 1: Dlhšia karanténa</w:t>
            </w:r>
            <w:bookmarkEnd w:id="85"/>
          </w:p>
        </w:tc>
      </w:tr>
      <w:tr w:rsidR="00204588" w:rsidRPr="00887108" w14:paraId="200F1722" w14:textId="77777777" w:rsidTr="00905528">
        <w:trPr>
          <w:trHeight w:val="185"/>
        </w:trPr>
        <w:tc>
          <w:tcPr>
            <w:tcW w:w="8991" w:type="dxa"/>
            <w:gridSpan w:val="9"/>
            <w:tcBorders>
              <w:top w:val="single" w:sz="8" w:space="0" w:color="auto"/>
              <w:left w:val="nil"/>
              <w:bottom w:val="single" w:sz="8" w:space="0" w:color="auto"/>
              <w:right w:val="nil"/>
            </w:tcBorders>
            <w:shd w:val="clear" w:color="auto" w:fill="auto"/>
            <w:noWrap/>
            <w:vAlign w:val="center"/>
            <w:hideMark/>
          </w:tcPr>
          <w:p w14:paraId="63611FD5" w14:textId="77777777" w:rsidR="00204588" w:rsidRPr="00887108" w:rsidRDefault="00204588" w:rsidP="00204588">
            <w:pPr>
              <w:rPr>
                <w:rFonts w:cs="Times New Roman"/>
                <w:color w:val="000000"/>
                <w:sz w:val="18"/>
                <w:szCs w:val="18"/>
              </w:rPr>
            </w:pPr>
            <w:r w:rsidRPr="00887108">
              <w:rPr>
                <w:rFonts w:cs="Times New Roman"/>
                <w:color w:val="000000"/>
                <w:sz w:val="18"/>
                <w:szCs w:val="18"/>
              </w:rPr>
              <w:t>Kumulatívna zmena hodnoty jednotlivých premenných oproti základnej prognóze je v p. b.</w:t>
            </w:r>
          </w:p>
        </w:tc>
      </w:tr>
      <w:tr w:rsidR="00204588" w:rsidRPr="00887108" w14:paraId="29C50207" w14:textId="77777777" w:rsidTr="00905528">
        <w:trPr>
          <w:trHeight w:val="353"/>
        </w:trPr>
        <w:tc>
          <w:tcPr>
            <w:tcW w:w="1234" w:type="dxa"/>
            <w:vMerge w:val="restart"/>
            <w:tcBorders>
              <w:top w:val="nil"/>
              <w:left w:val="nil"/>
              <w:bottom w:val="single" w:sz="12" w:space="0" w:color="000000"/>
              <w:right w:val="nil"/>
            </w:tcBorders>
            <w:shd w:val="clear" w:color="auto" w:fill="auto"/>
            <w:noWrap/>
            <w:vAlign w:val="center"/>
            <w:hideMark/>
          </w:tcPr>
          <w:p w14:paraId="7DF72447" w14:textId="77777777" w:rsidR="00204588" w:rsidRPr="00887108" w:rsidRDefault="00204588" w:rsidP="00204588">
            <w:pPr>
              <w:rPr>
                <w:rFonts w:cs="Times New Roman"/>
                <w:color w:val="000000"/>
                <w:sz w:val="18"/>
                <w:szCs w:val="18"/>
              </w:rPr>
            </w:pPr>
            <w:r w:rsidRPr="00887108">
              <w:rPr>
                <w:rFonts w:cs="Times New Roman"/>
                <w:color w:val="000000"/>
                <w:sz w:val="18"/>
                <w:szCs w:val="18"/>
              </w:rPr>
              <w:t> </w:t>
            </w:r>
          </w:p>
        </w:tc>
        <w:tc>
          <w:tcPr>
            <w:tcW w:w="621" w:type="dxa"/>
            <w:vMerge w:val="restart"/>
            <w:tcBorders>
              <w:top w:val="nil"/>
              <w:left w:val="nil"/>
              <w:bottom w:val="single" w:sz="12" w:space="0" w:color="000000"/>
              <w:right w:val="nil"/>
            </w:tcBorders>
            <w:shd w:val="clear" w:color="auto" w:fill="auto"/>
            <w:vAlign w:val="center"/>
            <w:hideMark/>
          </w:tcPr>
          <w:p w14:paraId="0D37A917"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Reálne HDP</w:t>
            </w:r>
          </w:p>
        </w:tc>
        <w:tc>
          <w:tcPr>
            <w:tcW w:w="961" w:type="dxa"/>
            <w:vMerge w:val="restart"/>
            <w:tcBorders>
              <w:top w:val="nil"/>
              <w:left w:val="nil"/>
              <w:bottom w:val="single" w:sz="12" w:space="0" w:color="000000"/>
              <w:right w:val="nil"/>
            </w:tcBorders>
            <w:shd w:val="clear" w:color="auto" w:fill="auto"/>
            <w:vAlign w:val="center"/>
            <w:hideMark/>
          </w:tcPr>
          <w:p w14:paraId="2B5E7D0C"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Spotrebné ceny</w:t>
            </w:r>
          </w:p>
        </w:tc>
        <w:tc>
          <w:tcPr>
            <w:tcW w:w="1046" w:type="dxa"/>
            <w:vMerge w:val="restart"/>
            <w:tcBorders>
              <w:top w:val="nil"/>
              <w:left w:val="nil"/>
              <w:bottom w:val="single" w:sz="12" w:space="0" w:color="000000"/>
              <w:right w:val="nil"/>
            </w:tcBorders>
            <w:shd w:val="clear" w:color="auto" w:fill="auto"/>
            <w:vAlign w:val="center"/>
            <w:hideMark/>
          </w:tcPr>
          <w:p w14:paraId="62EFF6D8"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Súkromná spotreba</w:t>
            </w:r>
          </w:p>
        </w:tc>
        <w:tc>
          <w:tcPr>
            <w:tcW w:w="991" w:type="dxa"/>
            <w:vMerge w:val="restart"/>
            <w:tcBorders>
              <w:top w:val="nil"/>
              <w:left w:val="nil"/>
              <w:bottom w:val="single" w:sz="12" w:space="0" w:color="000000"/>
              <w:right w:val="nil"/>
            </w:tcBorders>
            <w:shd w:val="clear" w:color="auto" w:fill="auto"/>
            <w:vAlign w:val="center"/>
            <w:hideMark/>
          </w:tcPr>
          <w:p w14:paraId="2ADDB33B"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Vládna spotreba</w:t>
            </w:r>
          </w:p>
        </w:tc>
        <w:tc>
          <w:tcPr>
            <w:tcW w:w="928" w:type="dxa"/>
            <w:vMerge w:val="restart"/>
            <w:tcBorders>
              <w:top w:val="nil"/>
              <w:left w:val="nil"/>
              <w:bottom w:val="single" w:sz="12" w:space="0" w:color="000000"/>
              <w:right w:val="nil"/>
            </w:tcBorders>
            <w:shd w:val="clear" w:color="auto" w:fill="auto"/>
            <w:vAlign w:val="center"/>
            <w:hideMark/>
          </w:tcPr>
          <w:p w14:paraId="1631B474"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Reálne investície</w:t>
            </w:r>
          </w:p>
        </w:tc>
        <w:tc>
          <w:tcPr>
            <w:tcW w:w="822" w:type="dxa"/>
            <w:vMerge w:val="restart"/>
            <w:tcBorders>
              <w:top w:val="nil"/>
              <w:left w:val="nil"/>
              <w:bottom w:val="single" w:sz="12" w:space="0" w:color="000000"/>
              <w:right w:val="nil"/>
            </w:tcBorders>
            <w:shd w:val="clear" w:color="auto" w:fill="auto"/>
            <w:vAlign w:val="center"/>
            <w:hideMark/>
          </w:tcPr>
          <w:p w14:paraId="0BE48DB3"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Reálny export</w:t>
            </w:r>
          </w:p>
        </w:tc>
        <w:tc>
          <w:tcPr>
            <w:tcW w:w="1263" w:type="dxa"/>
            <w:vMerge w:val="restart"/>
            <w:tcBorders>
              <w:top w:val="nil"/>
              <w:left w:val="nil"/>
              <w:bottom w:val="single" w:sz="12" w:space="0" w:color="000000"/>
              <w:right w:val="nil"/>
            </w:tcBorders>
            <w:shd w:val="clear" w:color="auto" w:fill="auto"/>
            <w:vAlign w:val="center"/>
            <w:hideMark/>
          </w:tcPr>
          <w:p w14:paraId="5A1CD169"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Celková zamestnanosť</w:t>
            </w:r>
          </w:p>
        </w:tc>
        <w:tc>
          <w:tcPr>
            <w:tcW w:w="1121" w:type="dxa"/>
            <w:vMerge w:val="restart"/>
            <w:tcBorders>
              <w:top w:val="nil"/>
              <w:left w:val="nil"/>
              <w:bottom w:val="single" w:sz="12" w:space="0" w:color="000000"/>
              <w:right w:val="nil"/>
            </w:tcBorders>
            <w:shd w:val="clear" w:color="auto" w:fill="auto"/>
            <w:vAlign w:val="center"/>
            <w:hideMark/>
          </w:tcPr>
          <w:p w14:paraId="1E9A8AA1"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Nominálne mzdy</w:t>
            </w:r>
          </w:p>
        </w:tc>
      </w:tr>
      <w:tr w:rsidR="00204588" w:rsidRPr="00887108" w14:paraId="36D89C23" w14:textId="77777777" w:rsidTr="00905528">
        <w:trPr>
          <w:trHeight w:val="252"/>
        </w:trPr>
        <w:tc>
          <w:tcPr>
            <w:tcW w:w="1234" w:type="dxa"/>
            <w:vMerge/>
            <w:tcBorders>
              <w:top w:val="nil"/>
              <w:left w:val="nil"/>
              <w:bottom w:val="single" w:sz="12" w:space="0" w:color="000000"/>
              <w:right w:val="nil"/>
            </w:tcBorders>
            <w:vAlign w:val="center"/>
            <w:hideMark/>
          </w:tcPr>
          <w:p w14:paraId="05EBA196" w14:textId="77777777" w:rsidR="00204588" w:rsidRPr="00887108" w:rsidRDefault="00204588" w:rsidP="00204588">
            <w:pPr>
              <w:rPr>
                <w:rFonts w:cs="Times New Roman"/>
                <w:color w:val="000000"/>
                <w:sz w:val="18"/>
                <w:szCs w:val="18"/>
              </w:rPr>
            </w:pPr>
          </w:p>
        </w:tc>
        <w:tc>
          <w:tcPr>
            <w:tcW w:w="621" w:type="dxa"/>
            <w:vMerge/>
            <w:tcBorders>
              <w:top w:val="nil"/>
              <w:left w:val="nil"/>
              <w:bottom w:val="single" w:sz="12" w:space="0" w:color="000000"/>
              <w:right w:val="nil"/>
            </w:tcBorders>
            <w:vAlign w:val="center"/>
            <w:hideMark/>
          </w:tcPr>
          <w:p w14:paraId="3BA29F34" w14:textId="77777777" w:rsidR="00204588" w:rsidRPr="00887108" w:rsidRDefault="00204588" w:rsidP="00204588">
            <w:pPr>
              <w:rPr>
                <w:rFonts w:cs="Times New Roman"/>
                <w:b/>
                <w:bCs/>
                <w:color w:val="000000"/>
                <w:sz w:val="18"/>
                <w:szCs w:val="18"/>
              </w:rPr>
            </w:pPr>
          </w:p>
        </w:tc>
        <w:tc>
          <w:tcPr>
            <w:tcW w:w="961" w:type="dxa"/>
            <w:vMerge/>
            <w:tcBorders>
              <w:top w:val="nil"/>
              <w:left w:val="nil"/>
              <w:bottom w:val="single" w:sz="12" w:space="0" w:color="000000"/>
              <w:right w:val="nil"/>
            </w:tcBorders>
            <w:vAlign w:val="center"/>
            <w:hideMark/>
          </w:tcPr>
          <w:p w14:paraId="68C27211" w14:textId="77777777" w:rsidR="00204588" w:rsidRPr="00887108" w:rsidRDefault="00204588" w:rsidP="00204588">
            <w:pPr>
              <w:rPr>
                <w:rFonts w:cs="Times New Roman"/>
                <w:b/>
                <w:bCs/>
                <w:color w:val="000000"/>
                <w:sz w:val="18"/>
                <w:szCs w:val="18"/>
              </w:rPr>
            </w:pPr>
          </w:p>
        </w:tc>
        <w:tc>
          <w:tcPr>
            <w:tcW w:w="1046" w:type="dxa"/>
            <w:vMerge/>
            <w:tcBorders>
              <w:top w:val="nil"/>
              <w:left w:val="nil"/>
              <w:bottom w:val="single" w:sz="12" w:space="0" w:color="000000"/>
              <w:right w:val="nil"/>
            </w:tcBorders>
            <w:vAlign w:val="center"/>
            <w:hideMark/>
          </w:tcPr>
          <w:p w14:paraId="069EF0C3" w14:textId="77777777" w:rsidR="00204588" w:rsidRPr="00887108" w:rsidRDefault="00204588" w:rsidP="00204588">
            <w:pPr>
              <w:rPr>
                <w:rFonts w:cs="Times New Roman"/>
                <w:b/>
                <w:bCs/>
                <w:color w:val="000000"/>
                <w:sz w:val="18"/>
                <w:szCs w:val="18"/>
              </w:rPr>
            </w:pPr>
          </w:p>
        </w:tc>
        <w:tc>
          <w:tcPr>
            <w:tcW w:w="991" w:type="dxa"/>
            <w:vMerge/>
            <w:tcBorders>
              <w:top w:val="nil"/>
              <w:left w:val="nil"/>
              <w:bottom w:val="single" w:sz="12" w:space="0" w:color="000000"/>
              <w:right w:val="nil"/>
            </w:tcBorders>
            <w:vAlign w:val="center"/>
            <w:hideMark/>
          </w:tcPr>
          <w:p w14:paraId="1A87229D" w14:textId="77777777" w:rsidR="00204588" w:rsidRPr="00887108" w:rsidRDefault="00204588" w:rsidP="00204588">
            <w:pPr>
              <w:rPr>
                <w:rFonts w:cs="Times New Roman"/>
                <w:b/>
                <w:bCs/>
                <w:color w:val="000000"/>
                <w:sz w:val="18"/>
                <w:szCs w:val="18"/>
              </w:rPr>
            </w:pPr>
          </w:p>
        </w:tc>
        <w:tc>
          <w:tcPr>
            <w:tcW w:w="928" w:type="dxa"/>
            <w:vMerge/>
            <w:tcBorders>
              <w:top w:val="nil"/>
              <w:left w:val="nil"/>
              <w:bottom w:val="single" w:sz="12" w:space="0" w:color="000000"/>
              <w:right w:val="nil"/>
            </w:tcBorders>
            <w:vAlign w:val="center"/>
            <w:hideMark/>
          </w:tcPr>
          <w:p w14:paraId="4D47963C" w14:textId="77777777" w:rsidR="00204588" w:rsidRPr="00887108" w:rsidRDefault="00204588" w:rsidP="00204588">
            <w:pPr>
              <w:rPr>
                <w:rFonts w:cs="Times New Roman"/>
                <w:b/>
                <w:bCs/>
                <w:color w:val="000000"/>
                <w:sz w:val="18"/>
                <w:szCs w:val="18"/>
              </w:rPr>
            </w:pPr>
          </w:p>
        </w:tc>
        <w:tc>
          <w:tcPr>
            <w:tcW w:w="822" w:type="dxa"/>
            <w:vMerge/>
            <w:tcBorders>
              <w:top w:val="nil"/>
              <w:left w:val="nil"/>
              <w:bottom w:val="single" w:sz="12" w:space="0" w:color="000000"/>
              <w:right w:val="nil"/>
            </w:tcBorders>
            <w:vAlign w:val="center"/>
            <w:hideMark/>
          </w:tcPr>
          <w:p w14:paraId="4E5B5449" w14:textId="77777777" w:rsidR="00204588" w:rsidRPr="00887108" w:rsidRDefault="00204588" w:rsidP="00204588">
            <w:pPr>
              <w:rPr>
                <w:rFonts w:cs="Times New Roman"/>
                <w:b/>
                <w:bCs/>
                <w:color w:val="000000"/>
                <w:sz w:val="18"/>
                <w:szCs w:val="18"/>
              </w:rPr>
            </w:pPr>
          </w:p>
        </w:tc>
        <w:tc>
          <w:tcPr>
            <w:tcW w:w="1263" w:type="dxa"/>
            <w:vMerge/>
            <w:tcBorders>
              <w:top w:val="nil"/>
              <w:left w:val="nil"/>
              <w:bottom w:val="single" w:sz="12" w:space="0" w:color="000000"/>
              <w:right w:val="nil"/>
            </w:tcBorders>
            <w:vAlign w:val="center"/>
            <w:hideMark/>
          </w:tcPr>
          <w:p w14:paraId="20BD6237" w14:textId="77777777" w:rsidR="00204588" w:rsidRPr="00887108" w:rsidRDefault="00204588" w:rsidP="00204588">
            <w:pPr>
              <w:rPr>
                <w:rFonts w:cs="Times New Roman"/>
                <w:b/>
                <w:bCs/>
                <w:color w:val="000000"/>
                <w:sz w:val="18"/>
                <w:szCs w:val="18"/>
              </w:rPr>
            </w:pPr>
          </w:p>
        </w:tc>
        <w:tc>
          <w:tcPr>
            <w:tcW w:w="1121" w:type="dxa"/>
            <w:vMerge/>
            <w:tcBorders>
              <w:top w:val="nil"/>
              <w:left w:val="nil"/>
              <w:bottom w:val="single" w:sz="12" w:space="0" w:color="000000"/>
              <w:right w:val="nil"/>
            </w:tcBorders>
            <w:vAlign w:val="center"/>
            <w:hideMark/>
          </w:tcPr>
          <w:p w14:paraId="1C6DAED3" w14:textId="77777777" w:rsidR="00204588" w:rsidRPr="00887108" w:rsidRDefault="00204588" w:rsidP="00204588">
            <w:pPr>
              <w:rPr>
                <w:rFonts w:cs="Times New Roman"/>
                <w:b/>
                <w:bCs/>
                <w:color w:val="000000"/>
                <w:sz w:val="18"/>
                <w:szCs w:val="18"/>
              </w:rPr>
            </w:pPr>
          </w:p>
        </w:tc>
      </w:tr>
      <w:tr w:rsidR="00204588" w:rsidRPr="00887108" w14:paraId="2CE5082B" w14:textId="77777777" w:rsidTr="00905528">
        <w:trPr>
          <w:trHeight w:val="185"/>
        </w:trPr>
        <w:tc>
          <w:tcPr>
            <w:tcW w:w="1234" w:type="dxa"/>
            <w:tcBorders>
              <w:top w:val="nil"/>
              <w:left w:val="nil"/>
              <w:bottom w:val="nil"/>
              <w:right w:val="nil"/>
            </w:tcBorders>
            <w:shd w:val="clear" w:color="auto" w:fill="auto"/>
            <w:noWrap/>
            <w:vAlign w:val="center"/>
            <w:hideMark/>
          </w:tcPr>
          <w:p w14:paraId="2EEAA922" w14:textId="77777777" w:rsidR="00204588" w:rsidRPr="00887108" w:rsidRDefault="00204588" w:rsidP="00204588">
            <w:pPr>
              <w:jc w:val="center"/>
              <w:rPr>
                <w:rFonts w:cs="Times New Roman"/>
                <w:color w:val="000000"/>
                <w:sz w:val="18"/>
              </w:rPr>
            </w:pPr>
            <w:r w:rsidRPr="00887108">
              <w:rPr>
                <w:rFonts w:cs="Times New Roman"/>
                <w:color w:val="000000"/>
                <w:sz w:val="18"/>
              </w:rPr>
              <w:t>2020</w:t>
            </w:r>
          </w:p>
        </w:tc>
        <w:tc>
          <w:tcPr>
            <w:tcW w:w="621" w:type="dxa"/>
            <w:tcBorders>
              <w:top w:val="nil"/>
              <w:left w:val="nil"/>
              <w:bottom w:val="nil"/>
              <w:right w:val="nil"/>
            </w:tcBorders>
            <w:shd w:val="clear" w:color="auto" w:fill="auto"/>
            <w:noWrap/>
            <w:vAlign w:val="center"/>
            <w:hideMark/>
          </w:tcPr>
          <w:p w14:paraId="7B673C96" w14:textId="77777777" w:rsidR="00204588" w:rsidRPr="00887108" w:rsidRDefault="00204588" w:rsidP="00204588">
            <w:pPr>
              <w:jc w:val="center"/>
              <w:rPr>
                <w:rFonts w:cs="Times New Roman"/>
                <w:color w:val="000000"/>
                <w:sz w:val="18"/>
              </w:rPr>
            </w:pPr>
            <w:r w:rsidRPr="00887108">
              <w:rPr>
                <w:rFonts w:cs="Times New Roman"/>
                <w:color w:val="000000"/>
                <w:sz w:val="18"/>
              </w:rPr>
              <w:t>-5.7</w:t>
            </w:r>
          </w:p>
        </w:tc>
        <w:tc>
          <w:tcPr>
            <w:tcW w:w="961" w:type="dxa"/>
            <w:tcBorders>
              <w:top w:val="nil"/>
              <w:left w:val="nil"/>
              <w:bottom w:val="nil"/>
              <w:right w:val="nil"/>
            </w:tcBorders>
            <w:shd w:val="clear" w:color="auto" w:fill="auto"/>
            <w:noWrap/>
            <w:vAlign w:val="center"/>
            <w:hideMark/>
          </w:tcPr>
          <w:p w14:paraId="428C5262" w14:textId="77777777" w:rsidR="00204588" w:rsidRPr="00887108" w:rsidRDefault="00204588" w:rsidP="00204588">
            <w:pPr>
              <w:jc w:val="center"/>
              <w:rPr>
                <w:rFonts w:cs="Times New Roman"/>
                <w:color w:val="000000"/>
                <w:sz w:val="18"/>
              </w:rPr>
            </w:pPr>
            <w:r w:rsidRPr="00887108">
              <w:rPr>
                <w:rFonts w:cs="Times New Roman"/>
                <w:color w:val="000000"/>
                <w:sz w:val="18"/>
              </w:rPr>
              <w:t>-0.3</w:t>
            </w:r>
          </w:p>
        </w:tc>
        <w:tc>
          <w:tcPr>
            <w:tcW w:w="1046" w:type="dxa"/>
            <w:tcBorders>
              <w:top w:val="nil"/>
              <w:left w:val="nil"/>
              <w:bottom w:val="nil"/>
              <w:right w:val="nil"/>
            </w:tcBorders>
            <w:shd w:val="clear" w:color="auto" w:fill="auto"/>
            <w:noWrap/>
            <w:vAlign w:val="center"/>
            <w:hideMark/>
          </w:tcPr>
          <w:p w14:paraId="1C41583D" w14:textId="77777777" w:rsidR="00204588" w:rsidRPr="00887108" w:rsidRDefault="00204588" w:rsidP="00204588">
            <w:pPr>
              <w:jc w:val="center"/>
              <w:rPr>
                <w:rFonts w:cs="Times New Roman"/>
                <w:color w:val="000000"/>
                <w:sz w:val="18"/>
              </w:rPr>
            </w:pPr>
            <w:r w:rsidRPr="00887108">
              <w:rPr>
                <w:rFonts w:cs="Times New Roman"/>
                <w:color w:val="000000"/>
                <w:sz w:val="18"/>
              </w:rPr>
              <w:t>-5.0</w:t>
            </w:r>
          </w:p>
        </w:tc>
        <w:tc>
          <w:tcPr>
            <w:tcW w:w="991" w:type="dxa"/>
            <w:tcBorders>
              <w:top w:val="nil"/>
              <w:left w:val="nil"/>
              <w:bottom w:val="nil"/>
              <w:right w:val="nil"/>
            </w:tcBorders>
            <w:shd w:val="clear" w:color="auto" w:fill="auto"/>
            <w:noWrap/>
            <w:vAlign w:val="center"/>
            <w:hideMark/>
          </w:tcPr>
          <w:p w14:paraId="11E2DF73" w14:textId="77777777" w:rsidR="00204588" w:rsidRPr="00887108" w:rsidRDefault="00204588" w:rsidP="00204588">
            <w:pPr>
              <w:jc w:val="center"/>
              <w:rPr>
                <w:rFonts w:cs="Times New Roman"/>
                <w:color w:val="000000"/>
                <w:sz w:val="18"/>
              </w:rPr>
            </w:pPr>
            <w:r w:rsidRPr="00887108">
              <w:rPr>
                <w:rFonts w:cs="Times New Roman"/>
                <w:color w:val="000000"/>
                <w:sz w:val="18"/>
              </w:rPr>
              <w:t>0.6</w:t>
            </w:r>
          </w:p>
        </w:tc>
        <w:tc>
          <w:tcPr>
            <w:tcW w:w="928" w:type="dxa"/>
            <w:tcBorders>
              <w:top w:val="nil"/>
              <w:left w:val="nil"/>
              <w:bottom w:val="nil"/>
              <w:right w:val="nil"/>
            </w:tcBorders>
            <w:shd w:val="clear" w:color="auto" w:fill="auto"/>
            <w:noWrap/>
            <w:vAlign w:val="center"/>
            <w:hideMark/>
          </w:tcPr>
          <w:p w14:paraId="47A2F699" w14:textId="77777777" w:rsidR="00204588" w:rsidRPr="00887108" w:rsidRDefault="00204588" w:rsidP="00204588">
            <w:pPr>
              <w:jc w:val="center"/>
              <w:rPr>
                <w:rFonts w:cs="Times New Roman"/>
                <w:color w:val="000000"/>
                <w:sz w:val="18"/>
              </w:rPr>
            </w:pPr>
            <w:r w:rsidRPr="00887108">
              <w:rPr>
                <w:rFonts w:cs="Times New Roman"/>
                <w:color w:val="000000"/>
                <w:sz w:val="18"/>
              </w:rPr>
              <w:t>-27.3</w:t>
            </w:r>
          </w:p>
        </w:tc>
        <w:tc>
          <w:tcPr>
            <w:tcW w:w="822" w:type="dxa"/>
            <w:tcBorders>
              <w:top w:val="nil"/>
              <w:left w:val="nil"/>
              <w:bottom w:val="nil"/>
              <w:right w:val="nil"/>
            </w:tcBorders>
            <w:shd w:val="clear" w:color="auto" w:fill="auto"/>
            <w:noWrap/>
            <w:vAlign w:val="center"/>
            <w:hideMark/>
          </w:tcPr>
          <w:p w14:paraId="51DB31C9" w14:textId="77777777" w:rsidR="00204588" w:rsidRPr="00887108" w:rsidRDefault="00204588" w:rsidP="00204588">
            <w:pPr>
              <w:jc w:val="center"/>
              <w:rPr>
                <w:rFonts w:cs="Times New Roman"/>
                <w:color w:val="000000"/>
                <w:sz w:val="18"/>
              </w:rPr>
            </w:pPr>
            <w:r w:rsidRPr="00887108">
              <w:rPr>
                <w:rFonts w:cs="Times New Roman"/>
                <w:color w:val="000000"/>
                <w:sz w:val="18"/>
              </w:rPr>
              <w:t>-16.5</w:t>
            </w:r>
          </w:p>
        </w:tc>
        <w:tc>
          <w:tcPr>
            <w:tcW w:w="1263" w:type="dxa"/>
            <w:tcBorders>
              <w:top w:val="nil"/>
              <w:left w:val="nil"/>
              <w:bottom w:val="nil"/>
              <w:right w:val="nil"/>
            </w:tcBorders>
            <w:shd w:val="clear" w:color="auto" w:fill="auto"/>
            <w:noWrap/>
            <w:vAlign w:val="center"/>
            <w:hideMark/>
          </w:tcPr>
          <w:p w14:paraId="6111BC91" w14:textId="77777777" w:rsidR="00204588" w:rsidRPr="00887108" w:rsidRDefault="00204588" w:rsidP="00204588">
            <w:pPr>
              <w:jc w:val="center"/>
              <w:rPr>
                <w:rFonts w:cs="Times New Roman"/>
                <w:color w:val="000000"/>
                <w:sz w:val="18"/>
              </w:rPr>
            </w:pPr>
            <w:r w:rsidRPr="00887108">
              <w:rPr>
                <w:rFonts w:cs="Times New Roman"/>
                <w:color w:val="000000"/>
                <w:sz w:val="18"/>
              </w:rPr>
              <w:t>-1.3</w:t>
            </w:r>
          </w:p>
        </w:tc>
        <w:tc>
          <w:tcPr>
            <w:tcW w:w="1121" w:type="dxa"/>
            <w:tcBorders>
              <w:top w:val="nil"/>
              <w:left w:val="nil"/>
              <w:bottom w:val="nil"/>
              <w:right w:val="nil"/>
            </w:tcBorders>
            <w:shd w:val="clear" w:color="auto" w:fill="auto"/>
            <w:noWrap/>
            <w:vAlign w:val="center"/>
            <w:hideMark/>
          </w:tcPr>
          <w:p w14:paraId="007BEAA2" w14:textId="77777777" w:rsidR="00204588" w:rsidRPr="00887108" w:rsidRDefault="00204588" w:rsidP="00204588">
            <w:pPr>
              <w:jc w:val="center"/>
              <w:rPr>
                <w:rFonts w:cs="Times New Roman"/>
                <w:color w:val="000000"/>
                <w:sz w:val="18"/>
              </w:rPr>
            </w:pPr>
            <w:r w:rsidRPr="00887108">
              <w:rPr>
                <w:rFonts w:cs="Times New Roman"/>
                <w:color w:val="000000"/>
                <w:sz w:val="18"/>
              </w:rPr>
              <w:t>-1.9</w:t>
            </w:r>
          </w:p>
        </w:tc>
      </w:tr>
      <w:tr w:rsidR="00204588" w:rsidRPr="00887108" w14:paraId="32DF14B0" w14:textId="77777777" w:rsidTr="00905528">
        <w:trPr>
          <w:trHeight w:val="176"/>
        </w:trPr>
        <w:tc>
          <w:tcPr>
            <w:tcW w:w="1234" w:type="dxa"/>
            <w:tcBorders>
              <w:top w:val="nil"/>
              <w:left w:val="nil"/>
              <w:bottom w:val="nil"/>
              <w:right w:val="nil"/>
            </w:tcBorders>
            <w:shd w:val="clear" w:color="auto" w:fill="auto"/>
            <w:noWrap/>
            <w:vAlign w:val="center"/>
            <w:hideMark/>
          </w:tcPr>
          <w:p w14:paraId="69771FC1" w14:textId="77777777" w:rsidR="00204588" w:rsidRPr="00887108" w:rsidRDefault="00204588" w:rsidP="00204588">
            <w:pPr>
              <w:jc w:val="center"/>
              <w:rPr>
                <w:rFonts w:cs="Times New Roman"/>
                <w:color w:val="000000"/>
                <w:sz w:val="18"/>
              </w:rPr>
            </w:pPr>
            <w:r w:rsidRPr="00887108">
              <w:rPr>
                <w:rFonts w:cs="Times New Roman"/>
                <w:color w:val="000000"/>
                <w:sz w:val="18"/>
              </w:rPr>
              <w:t>2021</w:t>
            </w:r>
          </w:p>
        </w:tc>
        <w:tc>
          <w:tcPr>
            <w:tcW w:w="621" w:type="dxa"/>
            <w:tcBorders>
              <w:top w:val="nil"/>
              <w:left w:val="nil"/>
              <w:bottom w:val="nil"/>
              <w:right w:val="nil"/>
            </w:tcBorders>
            <w:shd w:val="clear" w:color="auto" w:fill="auto"/>
            <w:noWrap/>
            <w:vAlign w:val="center"/>
            <w:hideMark/>
          </w:tcPr>
          <w:p w14:paraId="1A0A150E" w14:textId="77777777" w:rsidR="00204588" w:rsidRPr="00887108" w:rsidRDefault="00204588" w:rsidP="00204588">
            <w:pPr>
              <w:jc w:val="center"/>
              <w:rPr>
                <w:rFonts w:cs="Times New Roman"/>
                <w:color w:val="000000"/>
                <w:sz w:val="18"/>
              </w:rPr>
            </w:pPr>
            <w:r w:rsidRPr="00887108">
              <w:rPr>
                <w:rFonts w:cs="Times New Roman"/>
                <w:color w:val="000000"/>
                <w:sz w:val="18"/>
              </w:rPr>
              <w:t>-1.8</w:t>
            </w:r>
          </w:p>
        </w:tc>
        <w:tc>
          <w:tcPr>
            <w:tcW w:w="961" w:type="dxa"/>
            <w:tcBorders>
              <w:top w:val="nil"/>
              <w:left w:val="nil"/>
              <w:bottom w:val="nil"/>
              <w:right w:val="nil"/>
            </w:tcBorders>
            <w:shd w:val="clear" w:color="auto" w:fill="auto"/>
            <w:noWrap/>
            <w:vAlign w:val="center"/>
            <w:hideMark/>
          </w:tcPr>
          <w:p w14:paraId="0FD68578" w14:textId="77777777" w:rsidR="00204588" w:rsidRPr="00887108" w:rsidRDefault="00204588" w:rsidP="00204588">
            <w:pPr>
              <w:jc w:val="center"/>
              <w:rPr>
                <w:rFonts w:cs="Times New Roman"/>
                <w:color w:val="000000"/>
                <w:sz w:val="18"/>
              </w:rPr>
            </w:pPr>
            <w:r w:rsidRPr="00887108">
              <w:rPr>
                <w:rFonts w:cs="Times New Roman"/>
                <w:color w:val="000000"/>
                <w:sz w:val="18"/>
              </w:rPr>
              <w:t>-0.5</w:t>
            </w:r>
          </w:p>
        </w:tc>
        <w:tc>
          <w:tcPr>
            <w:tcW w:w="1046" w:type="dxa"/>
            <w:tcBorders>
              <w:top w:val="nil"/>
              <w:left w:val="nil"/>
              <w:bottom w:val="nil"/>
              <w:right w:val="nil"/>
            </w:tcBorders>
            <w:shd w:val="clear" w:color="auto" w:fill="auto"/>
            <w:noWrap/>
            <w:vAlign w:val="center"/>
            <w:hideMark/>
          </w:tcPr>
          <w:p w14:paraId="33CAF5BB" w14:textId="77777777" w:rsidR="00204588" w:rsidRPr="00887108" w:rsidRDefault="00204588" w:rsidP="00204588">
            <w:pPr>
              <w:jc w:val="center"/>
              <w:rPr>
                <w:rFonts w:cs="Times New Roman"/>
                <w:color w:val="000000"/>
                <w:sz w:val="18"/>
              </w:rPr>
            </w:pPr>
            <w:r w:rsidRPr="00887108">
              <w:rPr>
                <w:rFonts w:cs="Times New Roman"/>
                <w:color w:val="000000"/>
                <w:sz w:val="18"/>
              </w:rPr>
              <w:t>-2.7</w:t>
            </w:r>
          </w:p>
        </w:tc>
        <w:tc>
          <w:tcPr>
            <w:tcW w:w="991" w:type="dxa"/>
            <w:tcBorders>
              <w:top w:val="nil"/>
              <w:left w:val="nil"/>
              <w:bottom w:val="nil"/>
              <w:right w:val="nil"/>
            </w:tcBorders>
            <w:shd w:val="clear" w:color="auto" w:fill="auto"/>
            <w:noWrap/>
            <w:vAlign w:val="center"/>
            <w:hideMark/>
          </w:tcPr>
          <w:p w14:paraId="0C41D610" w14:textId="77777777" w:rsidR="00204588" w:rsidRPr="00887108" w:rsidRDefault="00204588" w:rsidP="00204588">
            <w:pPr>
              <w:jc w:val="center"/>
              <w:rPr>
                <w:rFonts w:cs="Times New Roman"/>
                <w:color w:val="000000"/>
                <w:sz w:val="18"/>
              </w:rPr>
            </w:pPr>
            <w:r w:rsidRPr="00887108">
              <w:rPr>
                <w:rFonts w:cs="Times New Roman"/>
                <w:color w:val="000000"/>
                <w:sz w:val="18"/>
              </w:rPr>
              <w:t>-0.6</w:t>
            </w:r>
          </w:p>
        </w:tc>
        <w:tc>
          <w:tcPr>
            <w:tcW w:w="928" w:type="dxa"/>
            <w:tcBorders>
              <w:top w:val="nil"/>
              <w:left w:val="nil"/>
              <w:bottom w:val="nil"/>
              <w:right w:val="nil"/>
            </w:tcBorders>
            <w:shd w:val="clear" w:color="auto" w:fill="auto"/>
            <w:noWrap/>
            <w:vAlign w:val="center"/>
            <w:hideMark/>
          </w:tcPr>
          <w:p w14:paraId="54BDD018" w14:textId="77777777" w:rsidR="00204588" w:rsidRPr="00887108" w:rsidRDefault="00204588" w:rsidP="00204588">
            <w:pPr>
              <w:jc w:val="center"/>
              <w:rPr>
                <w:rFonts w:cs="Times New Roman"/>
                <w:color w:val="000000"/>
                <w:sz w:val="18"/>
              </w:rPr>
            </w:pPr>
            <w:r w:rsidRPr="00887108">
              <w:rPr>
                <w:rFonts w:cs="Times New Roman"/>
                <w:color w:val="000000"/>
                <w:sz w:val="18"/>
              </w:rPr>
              <w:t>-25.1</w:t>
            </w:r>
          </w:p>
        </w:tc>
        <w:tc>
          <w:tcPr>
            <w:tcW w:w="822" w:type="dxa"/>
            <w:tcBorders>
              <w:top w:val="nil"/>
              <w:left w:val="nil"/>
              <w:bottom w:val="nil"/>
              <w:right w:val="nil"/>
            </w:tcBorders>
            <w:shd w:val="clear" w:color="auto" w:fill="auto"/>
            <w:noWrap/>
            <w:vAlign w:val="center"/>
            <w:hideMark/>
          </w:tcPr>
          <w:p w14:paraId="10E50FF9" w14:textId="77777777" w:rsidR="00204588" w:rsidRPr="00887108" w:rsidRDefault="00204588" w:rsidP="00204588">
            <w:pPr>
              <w:jc w:val="center"/>
              <w:rPr>
                <w:rFonts w:cs="Times New Roman"/>
                <w:color w:val="000000"/>
                <w:sz w:val="18"/>
              </w:rPr>
            </w:pPr>
            <w:r w:rsidRPr="00887108">
              <w:rPr>
                <w:rFonts w:cs="Times New Roman"/>
                <w:color w:val="000000"/>
                <w:sz w:val="18"/>
              </w:rPr>
              <w:t>-14.8</w:t>
            </w:r>
          </w:p>
        </w:tc>
        <w:tc>
          <w:tcPr>
            <w:tcW w:w="1263" w:type="dxa"/>
            <w:tcBorders>
              <w:top w:val="nil"/>
              <w:left w:val="nil"/>
              <w:bottom w:val="nil"/>
              <w:right w:val="nil"/>
            </w:tcBorders>
            <w:shd w:val="clear" w:color="auto" w:fill="auto"/>
            <w:noWrap/>
            <w:vAlign w:val="center"/>
            <w:hideMark/>
          </w:tcPr>
          <w:p w14:paraId="3EA28279" w14:textId="77777777" w:rsidR="00204588" w:rsidRPr="00887108" w:rsidRDefault="00204588" w:rsidP="00204588">
            <w:pPr>
              <w:jc w:val="center"/>
              <w:rPr>
                <w:rFonts w:cs="Times New Roman"/>
                <w:color w:val="000000"/>
                <w:sz w:val="18"/>
              </w:rPr>
            </w:pPr>
            <w:r w:rsidRPr="00887108">
              <w:rPr>
                <w:rFonts w:cs="Times New Roman"/>
                <w:color w:val="000000"/>
                <w:sz w:val="18"/>
              </w:rPr>
              <w:t>-0.8</w:t>
            </w:r>
          </w:p>
        </w:tc>
        <w:tc>
          <w:tcPr>
            <w:tcW w:w="1121" w:type="dxa"/>
            <w:tcBorders>
              <w:top w:val="nil"/>
              <w:left w:val="nil"/>
              <w:bottom w:val="nil"/>
              <w:right w:val="nil"/>
            </w:tcBorders>
            <w:shd w:val="clear" w:color="auto" w:fill="auto"/>
            <w:noWrap/>
            <w:vAlign w:val="center"/>
            <w:hideMark/>
          </w:tcPr>
          <w:p w14:paraId="7B742C94" w14:textId="77777777" w:rsidR="00204588" w:rsidRPr="00887108" w:rsidRDefault="00204588" w:rsidP="00204588">
            <w:pPr>
              <w:jc w:val="center"/>
              <w:rPr>
                <w:rFonts w:cs="Times New Roman"/>
                <w:color w:val="000000"/>
                <w:sz w:val="18"/>
              </w:rPr>
            </w:pPr>
            <w:r w:rsidRPr="00887108">
              <w:rPr>
                <w:rFonts w:cs="Times New Roman"/>
                <w:color w:val="000000"/>
                <w:sz w:val="18"/>
              </w:rPr>
              <w:t>-2.4</w:t>
            </w:r>
          </w:p>
        </w:tc>
      </w:tr>
      <w:tr w:rsidR="00204588" w:rsidRPr="00887108" w14:paraId="6926F849" w14:textId="77777777" w:rsidTr="00905528">
        <w:trPr>
          <w:trHeight w:val="176"/>
        </w:trPr>
        <w:tc>
          <w:tcPr>
            <w:tcW w:w="1234" w:type="dxa"/>
            <w:tcBorders>
              <w:top w:val="nil"/>
              <w:left w:val="nil"/>
              <w:bottom w:val="nil"/>
              <w:right w:val="nil"/>
            </w:tcBorders>
            <w:shd w:val="clear" w:color="auto" w:fill="auto"/>
            <w:noWrap/>
            <w:vAlign w:val="center"/>
            <w:hideMark/>
          </w:tcPr>
          <w:p w14:paraId="33298592" w14:textId="77777777" w:rsidR="00204588" w:rsidRPr="00887108" w:rsidRDefault="00204588" w:rsidP="00204588">
            <w:pPr>
              <w:jc w:val="center"/>
              <w:rPr>
                <w:rFonts w:cs="Times New Roman"/>
                <w:color w:val="000000"/>
                <w:sz w:val="18"/>
              </w:rPr>
            </w:pPr>
            <w:r w:rsidRPr="00887108">
              <w:rPr>
                <w:rFonts w:cs="Times New Roman"/>
                <w:color w:val="000000"/>
                <w:sz w:val="18"/>
              </w:rPr>
              <w:t>2022</w:t>
            </w:r>
          </w:p>
        </w:tc>
        <w:tc>
          <w:tcPr>
            <w:tcW w:w="621" w:type="dxa"/>
            <w:tcBorders>
              <w:top w:val="nil"/>
              <w:left w:val="nil"/>
              <w:bottom w:val="nil"/>
              <w:right w:val="nil"/>
            </w:tcBorders>
            <w:shd w:val="clear" w:color="auto" w:fill="auto"/>
            <w:noWrap/>
            <w:vAlign w:val="center"/>
            <w:hideMark/>
          </w:tcPr>
          <w:p w14:paraId="5AF5FF83" w14:textId="77777777" w:rsidR="00204588" w:rsidRPr="00887108" w:rsidRDefault="00204588" w:rsidP="00204588">
            <w:pPr>
              <w:jc w:val="center"/>
              <w:rPr>
                <w:rFonts w:cs="Times New Roman"/>
                <w:color w:val="000000"/>
                <w:sz w:val="18"/>
              </w:rPr>
            </w:pPr>
            <w:r w:rsidRPr="00887108">
              <w:rPr>
                <w:rFonts w:cs="Times New Roman"/>
                <w:color w:val="000000"/>
                <w:sz w:val="18"/>
              </w:rPr>
              <w:t>-1.3</w:t>
            </w:r>
          </w:p>
        </w:tc>
        <w:tc>
          <w:tcPr>
            <w:tcW w:w="961" w:type="dxa"/>
            <w:tcBorders>
              <w:top w:val="nil"/>
              <w:left w:val="nil"/>
              <w:bottom w:val="nil"/>
              <w:right w:val="nil"/>
            </w:tcBorders>
            <w:shd w:val="clear" w:color="auto" w:fill="auto"/>
            <w:noWrap/>
            <w:vAlign w:val="center"/>
            <w:hideMark/>
          </w:tcPr>
          <w:p w14:paraId="2A583DC0" w14:textId="77777777" w:rsidR="00204588" w:rsidRPr="00887108" w:rsidRDefault="00204588" w:rsidP="00204588">
            <w:pPr>
              <w:jc w:val="center"/>
              <w:rPr>
                <w:rFonts w:cs="Times New Roman"/>
                <w:color w:val="000000"/>
                <w:sz w:val="18"/>
              </w:rPr>
            </w:pPr>
            <w:r w:rsidRPr="00887108">
              <w:rPr>
                <w:rFonts w:cs="Times New Roman"/>
                <w:color w:val="000000"/>
                <w:sz w:val="18"/>
              </w:rPr>
              <w:t>-0.6</w:t>
            </w:r>
          </w:p>
        </w:tc>
        <w:tc>
          <w:tcPr>
            <w:tcW w:w="1046" w:type="dxa"/>
            <w:tcBorders>
              <w:top w:val="nil"/>
              <w:left w:val="nil"/>
              <w:bottom w:val="nil"/>
              <w:right w:val="nil"/>
            </w:tcBorders>
            <w:shd w:val="clear" w:color="auto" w:fill="auto"/>
            <w:noWrap/>
            <w:vAlign w:val="center"/>
            <w:hideMark/>
          </w:tcPr>
          <w:p w14:paraId="1645BD94" w14:textId="77777777" w:rsidR="00204588" w:rsidRPr="00887108" w:rsidRDefault="00204588" w:rsidP="00204588">
            <w:pPr>
              <w:jc w:val="center"/>
              <w:rPr>
                <w:rFonts w:cs="Times New Roman"/>
                <w:color w:val="000000"/>
                <w:sz w:val="18"/>
              </w:rPr>
            </w:pPr>
            <w:r w:rsidRPr="00887108">
              <w:rPr>
                <w:rFonts w:cs="Times New Roman"/>
                <w:color w:val="000000"/>
                <w:sz w:val="18"/>
              </w:rPr>
              <w:t>-2.8</w:t>
            </w:r>
          </w:p>
        </w:tc>
        <w:tc>
          <w:tcPr>
            <w:tcW w:w="991" w:type="dxa"/>
            <w:tcBorders>
              <w:top w:val="nil"/>
              <w:left w:val="nil"/>
              <w:bottom w:val="nil"/>
              <w:right w:val="nil"/>
            </w:tcBorders>
            <w:shd w:val="clear" w:color="auto" w:fill="auto"/>
            <w:noWrap/>
            <w:vAlign w:val="center"/>
            <w:hideMark/>
          </w:tcPr>
          <w:p w14:paraId="0C868D8B" w14:textId="77777777" w:rsidR="00204588" w:rsidRPr="00887108" w:rsidRDefault="00204588" w:rsidP="00204588">
            <w:pPr>
              <w:jc w:val="center"/>
              <w:rPr>
                <w:rFonts w:cs="Times New Roman"/>
                <w:color w:val="000000"/>
                <w:sz w:val="18"/>
              </w:rPr>
            </w:pPr>
            <w:r w:rsidRPr="00887108">
              <w:rPr>
                <w:rFonts w:cs="Times New Roman"/>
                <w:color w:val="000000"/>
                <w:sz w:val="18"/>
              </w:rPr>
              <w:t>-0.9</w:t>
            </w:r>
          </w:p>
        </w:tc>
        <w:tc>
          <w:tcPr>
            <w:tcW w:w="928" w:type="dxa"/>
            <w:tcBorders>
              <w:top w:val="nil"/>
              <w:left w:val="nil"/>
              <w:bottom w:val="nil"/>
              <w:right w:val="nil"/>
            </w:tcBorders>
            <w:shd w:val="clear" w:color="auto" w:fill="auto"/>
            <w:noWrap/>
            <w:vAlign w:val="center"/>
            <w:hideMark/>
          </w:tcPr>
          <w:p w14:paraId="20F0B882" w14:textId="77777777" w:rsidR="00204588" w:rsidRPr="00887108" w:rsidRDefault="00204588" w:rsidP="00204588">
            <w:pPr>
              <w:jc w:val="center"/>
              <w:rPr>
                <w:rFonts w:cs="Times New Roman"/>
                <w:color w:val="000000"/>
                <w:sz w:val="18"/>
              </w:rPr>
            </w:pPr>
            <w:r w:rsidRPr="00887108">
              <w:rPr>
                <w:rFonts w:cs="Times New Roman"/>
                <w:color w:val="000000"/>
                <w:sz w:val="18"/>
              </w:rPr>
              <w:t>-23.3</w:t>
            </w:r>
          </w:p>
        </w:tc>
        <w:tc>
          <w:tcPr>
            <w:tcW w:w="822" w:type="dxa"/>
            <w:tcBorders>
              <w:top w:val="nil"/>
              <w:left w:val="nil"/>
              <w:bottom w:val="nil"/>
              <w:right w:val="nil"/>
            </w:tcBorders>
            <w:shd w:val="clear" w:color="auto" w:fill="auto"/>
            <w:noWrap/>
            <w:vAlign w:val="center"/>
            <w:hideMark/>
          </w:tcPr>
          <w:p w14:paraId="4DE310BE" w14:textId="77777777" w:rsidR="00204588" w:rsidRPr="00887108" w:rsidRDefault="00204588" w:rsidP="00204588">
            <w:pPr>
              <w:jc w:val="center"/>
              <w:rPr>
                <w:rFonts w:cs="Times New Roman"/>
                <w:color w:val="000000"/>
                <w:sz w:val="18"/>
              </w:rPr>
            </w:pPr>
            <w:r w:rsidRPr="00887108">
              <w:rPr>
                <w:rFonts w:cs="Times New Roman"/>
                <w:color w:val="000000"/>
                <w:sz w:val="18"/>
              </w:rPr>
              <w:t>-13.6</w:t>
            </w:r>
          </w:p>
        </w:tc>
        <w:tc>
          <w:tcPr>
            <w:tcW w:w="1263" w:type="dxa"/>
            <w:tcBorders>
              <w:top w:val="nil"/>
              <w:left w:val="nil"/>
              <w:bottom w:val="nil"/>
              <w:right w:val="nil"/>
            </w:tcBorders>
            <w:shd w:val="clear" w:color="auto" w:fill="auto"/>
            <w:noWrap/>
            <w:vAlign w:val="center"/>
            <w:hideMark/>
          </w:tcPr>
          <w:p w14:paraId="1B0627BC" w14:textId="77777777" w:rsidR="00204588" w:rsidRPr="00887108" w:rsidRDefault="00204588" w:rsidP="00204588">
            <w:pPr>
              <w:jc w:val="center"/>
              <w:rPr>
                <w:rFonts w:cs="Times New Roman"/>
                <w:color w:val="000000"/>
                <w:sz w:val="18"/>
              </w:rPr>
            </w:pPr>
            <w:r w:rsidRPr="00887108">
              <w:rPr>
                <w:rFonts w:cs="Times New Roman"/>
                <w:color w:val="000000"/>
                <w:sz w:val="18"/>
              </w:rPr>
              <w:t>-0.6</w:t>
            </w:r>
          </w:p>
        </w:tc>
        <w:tc>
          <w:tcPr>
            <w:tcW w:w="1121" w:type="dxa"/>
            <w:tcBorders>
              <w:top w:val="nil"/>
              <w:left w:val="nil"/>
              <w:bottom w:val="nil"/>
              <w:right w:val="nil"/>
            </w:tcBorders>
            <w:shd w:val="clear" w:color="auto" w:fill="auto"/>
            <w:noWrap/>
            <w:vAlign w:val="center"/>
            <w:hideMark/>
          </w:tcPr>
          <w:p w14:paraId="562F218D" w14:textId="77777777" w:rsidR="00204588" w:rsidRPr="00887108" w:rsidRDefault="00204588" w:rsidP="00204588">
            <w:pPr>
              <w:jc w:val="center"/>
              <w:rPr>
                <w:rFonts w:cs="Times New Roman"/>
                <w:color w:val="000000"/>
                <w:sz w:val="18"/>
              </w:rPr>
            </w:pPr>
            <w:r w:rsidRPr="00887108">
              <w:rPr>
                <w:rFonts w:cs="Times New Roman"/>
                <w:color w:val="000000"/>
                <w:sz w:val="18"/>
              </w:rPr>
              <w:t>-2.6</w:t>
            </w:r>
          </w:p>
        </w:tc>
      </w:tr>
      <w:tr w:rsidR="00204588" w:rsidRPr="00887108" w14:paraId="2A360429" w14:textId="77777777" w:rsidTr="00905528">
        <w:trPr>
          <w:trHeight w:val="185"/>
        </w:trPr>
        <w:tc>
          <w:tcPr>
            <w:tcW w:w="1234" w:type="dxa"/>
            <w:tcBorders>
              <w:top w:val="nil"/>
              <w:left w:val="nil"/>
              <w:bottom w:val="nil"/>
              <w:right w:val="nil"/>
            </w:tcBorders>
            <w:shd w:val="clear" w:color="auto" w:fill="auto"/>
            <w:noWrap/>
            <w:vAlign w:val="center"/>
            <w:hideMark/>
          </w:tcPr>
          <w:p w14:paraId="170FEF19" w14:textId="77777777" w:rsidR="00204588" w:rsidRPr="00887108" w:rsidRDefault="00204588" w:rsidP="00204588">
            <w:pPr>
              <w:jc w:val="center"/>
              <w:rPr>
                <w:rFonts w:cs="Times New Roman"/>
                <w:color w:val="000000"/>
                <w:sz w:val="18"/>
              </w:rPr>
            </w:pPr>
            <w:r w:rsidRPr="00887108">
              <w:rPr>
                <w:rFonts w:cs="Times New Roman"/>
                <w:color w:val="000000"/>
                <w:sz w:val="18"/>
              </w:rPr>
              <w:t>2023</w:t>
            </w:r>
          </w:p>
        </w:tc>
        <w:tc>
          <w:tcPr>
            <w:tcW w:w="621" w:type="dxa"/>
            <w:tcBorders>
              <w:top w:val="nil"/>
              <w:left w:val="nil"/>
              <w:bottom w:val="nil"/>
              <w:right w:val="nil"/>
            </w:tcBorders>
            <w:shd w:val="clear" w:color="auto" w:fill="auto"/>
            <w:noWrap/>
            <w:vAlign w:val="center"/>
            <w:hideMark/>
          </w:tcPr>
          <w:p w14:paraId="59545F1B" w14:textId="77777777" w:rsidR="00204588" w:rsidRPr="00887108" w:rsidRDefault="00204588" w:rsidP="00204588">
            <w:pPr>
              <w:jc w:val="center"/>
              <w:rPr>
                <w:rFonts w:cs="Times New Roman"/>
                <w:color w:val="000000"/>
                <w:sz w:val="18"/>
              </w:rPr>
            </w:pPr>
            <w:r w:rsidRPr="00887108">
              <w:rPr>
                <w:rFonts w:cs="Times New Roman"/>
                <w:color w:val="000000"/>
                <w:sz w:val="18"/>
              </w:rPr>
              <w:t>-1.5</w:t>
            </w:r>
          </w:p>
        </w:tc>
        <w:tc>
          <w:tcPr>
            <w:tcW w:w="961" w:type="dxa"/>
            <w:tcBorders>
              <w:top w:val="nil"/>
              <w:left w:val="nil"/>
              <w:bottom w:val="nil"/>
              <w:right w:val="nil"/>
            </w:tcBorders>
            <w:shd w:val="clear" w:color="auto" w:fill="auto"/>
            <w:noWrap/>
            <w:vAlign w:val="center"/>
            <w:hideMark/>
          </w:tcPr>
          <w:p w14:paraId="14D18486" w14:textId="77777777" w:rsidR="00204588" w:rsidRPr="00887108" w:rsidRDefault="00204588" w:rsidP="00204588">
            <w:pPr>
              <w:jc w:val="center"/>
              <w:rPr>
                <w:rFonts w:cs="Times New Roman"/>
                <w:color w:val="000000"/>
                <w:sz w:val="18"/>
              </w:rPr>
            </w:pPr>
            <w:r w:rsidRPr="00887108">
              <w:rPr>
                <w:rFonts w:cs="Times New Roman"/>
                <w:color w:val="000000"/>
                <w:sz w:val="18"/>
              </w:rPr>
              <w:t>-0.6</w:t>
            </w:r>
          </w:p>
        </w:tc>
        <w:tc>
          <w:tcPr>
            <w:tcW w:w="1046" w:type="dxa"/>
            <w:tcBorders>
              <w:top w:val="nil"/>
              <w:left w:val="nil"/>
              <w:bottom w:val="nil"/>
              <w:right w:val="nil"/>
            </w:tcBorders>
            <w:shd w:val="clear" w:color="auto" w:fill="auto"/>
            <w:noWrap/>
            <w:vAlign w:val="center"/>
            <w:hideMark/>
          </w:tcPr>
          <w:p w14:paraId="44D5C9DE" w14:textId="77777777" w:rsidR="00204588" w:rsidRPr="00887108" w:rsidRDefault="00204588" w:rsidP="00204588">
            <w:pPr>
              <w:jc w:val="center"/>
              <w:rPr>
                <w:rFonts w:cs="Times New Roman"/>
                <w:color w:val="000000"/>
                <w:sz w:val="18"/>
              </w:rPr>
            </w:pPr>
            <w:r w:rsidRPr="00887108">
              <w:rPr>
                <w:rFonts w:cs="Times New Roman"/>
                <w:color w:val="000000"/>
                <w:sz w:val="18"/>
              </w:rPr>
              <w:t>-2.8</w:t>
            </w:r>
          </w:p>
        </w:tc>
        <w:tc>
          <w:tcPr>
            <w:tcW w:w="991" w:type="dxa"/>
            <w:tcBorders>
              <w:top w:val="nil"/>
              <w:left w:val="nil"/>
              <w:bottom w:val="nil"/>
              <w:right w:val="nil"/>
            </w:tcBorders>
            <w:shd w:val="clear" w:color="auto" w:fill="auto"/>
            <w:noWrap/>
            <w:vAlign w:val="center"/>
            <w:hideMark/>
          </w:tcPr>
          <w:p w14:paraId="58AE2489" w14:textId="77777777" w:rsidR="00204588" w:rsidRPr="00887108" w:rsidRDefault="00204588" w:rsidP="00204588">
            <w:pPr>
              <w:jc w:val="center"/>
              <w:rPr>
                <w:rFonts w:cs="Times New Roman"/>
                <w:color w:val="000000"/>
                <w:sz w:val="18"/>
              </w:rPr>
            </w:pPr>
            <w:r w:rsidRPr="00887108">
              <w:rPr>
                <w:rFonts w:cs="Times New Roman"/>
                <w:color w:val="000000"/>
                <w:sz w:val="18"/>
              </w:rPr>
              <w:t>-1.2</w:t>
            </w:r>
          </w:p>
        </w:tc>
        <w:tc>
          <w:tcPr>
            <w:tcW w:w="928" w:type="dxa"/>
            <w:tcBorders>
              <w:top w:val="nil"/>
              <w:left w:val="nil"/>
              <w:bottom w:val="nil"/>
              <w:right w:val="nil"/>
            </w:tcBorders>
            <w:shd w:val="clear" w:color="auto" w:fill="auto"/>
            <w:noWrap/>
            <w:vAlign w:val="center"/>
            <w:hideMark/>
          </w:tcPr>
          <w:p w14:paraId="2BBC8246" w14:textId="77777777" w:rsidR="00204588" w:rsidRPr="00887108" w:rsidRDefault="00204588" w:rsidP="00204588">
            <w:pPr>
              <w:jc w:val="center"/>
              <w:rPr>
                <w:rFonts w:cs="Times New Roman"/>
                <w:color w:val="000000"/>
                <w:sz w:val="18"/>
              </w:rPr>
            </w:pPr>
            <w:r w:rsidRPr="00887108">
              <w:rPr>
                <w:rFonts w:cs="Times New Roman"/>
                <w:color w:val="000000"/>
                <w:sz w:val="18"/>
              </w:rPr>
              <w:t>-22.6</w:t>
            </w:r>
          </w:p>
        </w:tc>
        <w:tc>
          <w:tcPr>
            <w:tcW w:w="822" w:type="dxa"/>
            <w:tcBorders>
              <w:top w:val="nil"/>
              <w:left w:val="nil"/>
              <w:bottom w:val="nil"/>
              <w:right w:val="nil"/>
            </w:tcBorders>
            <w:shd w:val="clear" w:color="auto" w:fill="auto"/>
            <w:noWrap/>
            <w:vAlign w:val="center"/>
            <w:hideMark/>
          </w:tcPr>
          <w:p w14:paraId="79DE7D7C" w14:textId="77777777" w:rsidR="00204588" w:rsidRPr="00887108" w:rsidRDefault="00204588" w:rsidP="00204588">
            <w:pPr>
              <w:jc w:val="center"/>
              <w:rPr>
                <w:rFonts w:cs="Times New Roman"/>
                <w:color w:val="000000"/>
                <w:sz w:val="18"/>
              </w:rPr>
            </w:pPr>
            <w:r w:rsidRPr="00887108">
              <w:rPr>
                <w:rFonts w:cs="Times New Roman"/>
                <w:color w:val="000000"/>
                <w:sz w:val="18"/>
              </w:rPr>
              <w:t>-12.2</w:t>
            </w:r>
          </w:p>
        </w:tc>
        <w:tc>
          <w:tcPr>
            <w:tcW w:w="1263" w:type="dxa"/>
            <w:tcBorders>
              <w:top w:val="nil"/>
              <w:left w:val="nil"/>
              <w:bottom w:val="nil"/>
              <w:right w:val="nil"/>
            </w:tcBorders>
            <w:shd w:val="clear" w:color="auto" w:fill="auto"/>
            <w:noWrap/>
            <w:vAlign w:val="center"/>
            <w:hideMark/>
          </w:tcPr>
          <w:p w14:paraId="6780F7E1" w14:textId="77777777" w:rsidR="00204588" w:rsidRPr="00887108" w:rsidRDefault="00204588" w:rsidP="00204588">
            <w:pPr>
              <w:jc w:val="center"/>
              <w:rPr>
                <w:rFonts w:cs="Times New Roman"/>
                <w:color w:val="000000"/>
                <w:sz w:val="18"/>
              </w:rPr>
            </w:pPr>
            <w:r w:rsidRPr="00887108">
              <w:rPr>
                <w:rFonts w:cs="Times New Roman"/>
                <w:color w:val="000000"/>
                <w:sz w:val="18"/>
              </w:rPr>
              <w:t>-0.4</w:t>
            </w:r>
          </w:p>
        </w:tc>
        <w:tc>
          <w:tcPr>
            <w:tcW w:w="1121" w:type="dxa"/>
            <w:tcBorders>
              <w:top w:val="nil"/>
              <w:left w:val="nil"/>
              <w:bottom w:val="nil"/>
              <w:right w:val="nil"/>
            </w:tcBorders>
            <w:shd w:val="clear" w:color="auto" w:fill="auto"/>
            <w:noWrap/>
            <w:vAlign w:val="center"/>
            <w:hideMark/>
          </w:tcPr>
          <w:p w14:paraId="59B25A10" w14:textId="77777777" w:rsidR="00204588" w:rsidRPr="00887108" w:rsidRDefault="00204588" w:rsidP="00204588">
            <w:pPr>
              <w:jc w:val="center"/>
              <w:rPr>
                <w:rFonts w:cs="Times New Roman"/>
                <w:color w:val="000000"/>
                <w:sz w:val="18"/>
              </w:rPr>
            </w:pPr>
            <w:r w:rsidRPr="00887108">
              <w:rPr>
                <w:rFonts w:cs="Times New Roman"/>
                <w:color w:val="000000"/>
                <w:sz w:val="18"/>
              </w:rPr>
              <w:t>-2.8</w:t>
            </w:r>
          </w:p>
        </w:tc>
      </w:tr>
      <w:tr w:rsidR="00877951" w:rsidRPr="00887108" w14:paraId="22CC3AD6" w14:textId="77777777" w:rsidTr="00905528">
        <w:trPr>
          <w:trHeight w:val="205"/>
        </w:trPr>
        <w:tc>
          <w:tcPr>
            <w:tcW w:w="7870" w:type="dxa"/>
            <w:gridSpan w:val="8"/>
            <w:tcBorders>
              <w:top w:val="single" w:sz="12" w:space="0" w:color="auto"/>
              <w:left w:val="nil"/>
              <w:bottom w:val="nil"/>
              <w:right w:val="nil"/>
            </w:tcBorders>
            <w:shd w:val="clear" w:color="auto" w:fill="auto"/>
            <w:noWrap/>
            <w:vAlign w:val="center"/>
            <w:hideMark/>
          </w:tcPr>
          <w:p w14:paraId="4225FEEC" w14:textId="4FDAE1B7" w:rsidR="00877951" w:rsidRPr="00887108" w:rsidRDefault="00877951" w:rsidP="00204588">
            <w:pPr>
              <w:rPr>
                <w:rFonts w:ascii="Calibri" w:hAnsi="Calibri" w:cs="Times New Roman"/>
              </w:rPr>
            </w:pPr>
            <w:r w:rsidRPr="00887108">
              <w:rPr>
                <w:rFonts w:cs="Times New Roman"/>
                <w:i/>
                <w:iCs/>
                <w:sz w:val="18"/>
                <w:szCs w:val="18"/>
              </w:rPr>
              <w:t>* V scenári 1 by bola úroveň HDP v roku 2020 ešte o 5,7 % nižšie (a v roku 2023 o 1,5 % nižšie) v porovnaní so základnou prognózou</w:t>
            </w:r>
          </w:p>
        </w:tc>
        <w:tc>
          <w:tcPr>
            <w:tcW w:w="1121" w:type="dxa"/>
            <w:tcBorders>
              <w:top w:val="single" w:sz="12" w:space="0" w:color="auto"/>
              <w:left w:val="nil"/>
              <w:bottom w:val="nil"/>
              <w:right w:val="nil"/>
            </w:tcBorders>
            <w:shd w:val="clear" w:color="auto" w:fill="auto"/>
            <w:hideMark/>
          </w:tcPr>
          <w:p w14:paraId="46B181C5" w14:textId="77777777" w:rsidR="00877951" w:rsidRPr="00887108" w:rsidRDefault="00877951" w:rsidP="00877951">
            <w:pPr>
              <w:jc w:val="right"/>
              <w:rPr>
                <w:rFonts w:cs="Times New Roman"/>
                <w:i/>
                <w:iCs/>
                <w:color w:val="000000"/>
                <w:sz w:val="18"/>
                <w:szCs w:val="18"/>
              </w:rPr>
            </w:pPr>
            <w:r w:rsidRPr="00887108">
              <w:rPr>
                <w:rFonts w:cs="Times New Roman"/>
                <w:i/>
                <w:iCs/>
                <w:color w:val="000000"/>
                <w:sz w:val="18"/>
                <w:szCs w:val="18"/>
              </w:rPr>
              <w:t>Zdroj: MF SR</w:t>
            </w:r>
          </w:p>
        </w:tc>
      </w:tr>
    </w:tbl>
    <w:p w14:paraId="7E9A12D3" w14:textId="13B775EE" w:rsidR="00204588" w:rsidRPr="00887108" w:rsidRDefault="00204588" w:rsidP="00905528">
      <w:pPr>
        <w:pStyle w:val="Odsek"/>
        <w:spacing w:before="240" w:after="120"/>
        <w:rPr>
          <w:b/>
          <w:bCs/>
          <w:color w:val="2C9ADC" w:themeColor="accent1"/>
          <w:szCs w:val="20"/>
        </w:rPr>
      </w:pPr>
      <w:r w:rsidRPr="00887108">
        <w:rPr>
          <w:b/>
          <w:bCs/>
          <w:color w:val="2C9ADC" w:themeColor="accent1"/>
          <w:szCs w:val="20"/>
        </w:rPr>
        <w:t xml:space="preserve">Rizikový scenár </w:t>
      </w:r>
      <w:r w:rsidR="00701785" w:rsidRPr="00887108">
        <w:rPr>
          <w:b/>
          <w:bCs/>
          <w:color w:val="2C9ADC" w:themeColor="accent1"/>
          <w:szCs w:val="20"/>
        </w:rPr>
        <w:t>2</w:t>
      </w:r>
      <w:r w:rsidRPr="00887108">
        <w:rPr>
          <w:b/>
          <w:bCs/>
          <w:color w:val="2C9ADC" w:themeColor="accent1"/>
          <w:szCs w:val="20"/>
        </w:rPr>
        <w:t>: Pomalšie oživenie</w:t>
      </w:r>
    </w:p>
    <w:p w14:paraId="77D1155F" w14:textId="754FA6D3" w:rsidR="00204588" w:rsidRPr="00887108" w:rsidRDefault="00204588" w:rsidP="00204588">
      <w:pPr>
        <w:pStyle w:val="Odsek"/>
        <w:rPr>
          <w:szCs w:val="20"/>
        </w:rPr>
      </w:pPr>
      <w:r w:rsidRPr="00887108">
        <w:rPr>
          <w:b/>
          <w:bCs/>
          <w:szCs w:val="20"/>
        </w:rPr>
        <w:t xml:space="preserve">V druhom rizikovom scenári predpokladáme pomalšie oživenie ekonomiky. </w:t>
      </w:r>
      <w:r w:rsidRPr="00887108">
        <w:rPr>
          <w:szCs w:val="20"/>
        </w:rPr>
        <w:t xml:space="preserve">Oživenie môže byť pomalšie napr. z dôvodu </w:t>
      </w:r>
      <w:r w:rsidR="00701785" w:rsidRPr="00887108">
        <w:rPr>
          <w:szCs w:val="20"/>
        </w:rPr>
        <w:t xml:space="preserve">opakovaných vĺn </w:t>
      </w:r>
      <w:r w:rsidRPr="00887108">
        <w:rPr>
          <w:szCs w:val="20"/>
        </w:rPr>
        <w:t xml:space="preserve">pandémie alebo nesynchrónneho reštartu zahraničného obchodu, keďže epidémia zasiahla krajiny v rôznych časoch rôznou silou. Dodávateľské reťazce sú hlbšie narušené a trvá dlhšie, </w:t>
      </w:r>
      <w:r w:rsidR="008F25F4" w:rsidRPr="00887108">
        <w:rPr>
          <w:szCs w:val="20"/>
        </w:rPr>
        <w:t>kým</w:t>
      </w:r>
      <w:r w:rsidRPr="00887108">
        <w:rPr>
          <w:szCs w:val="20"/>
        </w:rPr>
        <w:t xml:space="preserve"> sa zosúladia. Oslabenie medzinárodných ekonomických väzieb, obmedzenie investícií firiem, či vyššie preferencie domácností sporiť môžu spôsobiť rastový profil podobný vývoju po globálnej finančnej kríze. V tomto scenári by ekonomiky obchodných partnerov Slovenska nedosiahli úroveň spred vypuknutia koronavírusu na celom horizonte prognózy.</w:t>
      </w:r>
    </w:p>
    <w:p w14:paraId="2B2DCCEF" w14:textId="0BBFDF72" w:rsidR="00204588" w:rsidRPr="00887108" w:rsidRDefault="00204588" w:rsidP="00204588">
      <w:pPr>
        <w:autoSpaceDE w:val="0"/>
        <w:autoSpaceDN w:val="0"/>
        <w:adjustRightInd w:val="0"/>
        <w:spacing w:after="120"/>
        <w:jc w:val="both"/>
      </w:pPr>
      <w:r w:rsidRPr="00887108">
        <w:rPr>
          <w:rFonts w:cs="Arial Narrow"/>
          <w:b/>
        </w:rPr>
        <w:t xml:space="preserve">V porovnaní so základnou prognózou by pomalšie oživenie </w:t>
      </w:r>
      <w:r w:rsidR="00701785" w:rsidRPr="00887108">
        <w:rPr>
          <w:rFonts w:cs="Arial Narrow"/>
          <w:b/>
        </w:rPr>
        <w:t xml:space="preserve">globálnej </w:t>
      </w:r>
      <w:r w:rsidRPr="00887108">
        <w:rPr>
          <w:rFonts w:cs="Arial Narrow"/>
          <w:b/>
        </w:rPr>
        <w:t>ekonomiky viedlo ku kumulatívnemu zníženiu reálneho HDP Slovenska o dodatočných 8,5 p. b. do roku 2023.</w:t>
      </w:r>
      <w:r w:rsidRPr="00887108">
        <w:rPr>
          <w:rFonts w:cs="Arial Narrow"/>
        </w:rPr>
        <w:t xml:space="preserve"> </w:t>
      </w:r>
      <w:r w:rsidR="008F25F4" w:rsidRPr="00887108">
        <w:rPr>
          <w:rFonts w:cs="Arial Narrow"/>
        </w:rPr>
        <w:t xml:space="preserve">Nižšie </w:t>
      </w:r>
      <w:r w:rsidRPr="00887108">
        <w:rPr>
          <w:rFonts w:cs="Arial Narrow"/>
        </w:rPr>
        <w:t>výrobné kapacity sa premietnu do nižších investícií a exportov slovenských firiem spoločne so zhoršeným výhľadom na trhu práce. Vzhľadom k narušeniu globálnych dodávateľských reťazcov pozorujeme výraznú stratu v zahraničnom obchode. Súkromná a vládna spotreba klesnú v súlade s nižším agregátnym výkonom ekonomiky. Spotrebné ceny sú negatívne ovplyvnené poklesom mzdových nákladov a otvorením produkčnej medzery.</w:t>
      </w:r>
    </w:p>
    <w:tbl>
      <w:tblPr>
        <w:tblW w:w="9073" w:type="dxa"/>
        <w:tblCellMar>
          <w:left w:w="70" w:type="dxa"/>
          <w:right w:w="70" w:type="dxa"/>
        </w:tblCellMar>
        <w:tblLook w:val="04A0" w:firstRow="1" w:lastRow="0" w:firstColumn="1" w:lastColumn="0" w:noHBand="0" w:noVBand="1"/>
      </w:tblPr>
      <w:tblGrid>
        <w:gridCol w:w="975"/>
        <w:gridCol w:w="847"/>
        <w:gridCol w:w="976"/>
        <w:gridCol w:w="1064"/>
        <w:gridCol w:w="1007"/>
        <w:gridCol w:w="943"/>
        <w:gridCol w:w="835"/>
        <w:gridCol w:w="1283"/>
        <w:gridCol w:w="1143"/>
      </w:tblGrid>
      <w:tr w:rsidR="00204588" w:rsidRPr="00887108" w14:paraId="1A76F4EC" w14:textId="77777777" w:rsidTr="00683A4A">
        <w:trPr>
          <w:trHeight w:val="173"/>
        </w:trPr>
        <w:tc>
          <w:tcPr>
            <w:tcW w:w="9073" w:type="dxa"/>
            <w:gridSpan w:val="9"/>
            <w:tcBorders>
              <w:top w:val="nil"/>
              <w:left w:val="nil"/>
              <w:bottom w:val="single" w:sz="8" w:space="0" w:color="auto"/>
              <w:right w:val="nil"/>
            </w:tcBorders>
            <w:shd w:val="clear" w:color="auto" w:fill="auto"/>
            <w:noWrap/>
            <w:vAlign w:val="center"/>
            <w:hideMark/>
          </w:tcPr>
          <w:p w14:paraId="171BA433" w14:textId="6E94B1C9" w:rsidR="00204588" w:rsidRPr="00887108" w:rsidRDefault="00683A4A" w:rsidP="00204588">
            <w:pPr>
              <w:rPr>
                <w:rFonts w:cs="Times New Roman"/>
                <w:b/>
                <w:bCs/>
                <w:color w:val="2C9ADC"/>
                <w:sz w:val="20"/>
                <w:szCs w:val="20"/>
              </w:rPr>
            </w:pPr>
            <w:bookmarkStart w:id="86" w:name="_Toc40186683"/>
            <w:r w:rsidRPr="00887108">
              <w:rPr>
                <w:rFonts w:eastAsiaTheme="minorHAnsi"/>
                <w:b/>
                <w:color w:val="2C9ADC" w:themeColor="accent1"/>
                <w:sz w:val="20"/>
                <w:szCs w:val="20"/>
                <w:lang w:eastAsia="en-US"/>
              </w:rPr>
              <w:t xml:space="preserve">TABUĽKA </w:t>
            </w:r>
            <w:r w:rsidRPr="00887108">
              <w:rPr>
                <w:rFonts w:eastAsiaTheme="minorHAnsi"/>
                <w:b/>
                <w:color w:val="2C9ADC" w:themeColor="accent1"/>
                <w:sz w:val="20"/>
                <w:szCs w:val="20"/>
                <w:lang w:eastAsia="en-US"/>
              </w:rPr>
              <w:fldChar w:fldCharType="begin"/>
            </w:r>
            <w:r w:rsidRPr="00887108">
              <w:rPr>
                <w:rFonts w:eastAsiaTheme="minorHAnsi"/>
                <w:b/>
                <w:color w:val="2C9ADC" w:themeColor="accent1"/>
                <w:sz w:val="20"/>
                <w:szCs w:val="20"/>
                <w:lang w:eastAsia="en-US"/>
              </w:rPr>
              <w:instrText xml:space="preserve"> SEQ TABUĽKA \* ARABIC </w:instrText>
            </w:r>
            <w:r w:rsidRPr="00887108">
              <w:rPr>
                <w:rFonts w:eastAsiaTheme="minorHAnsi"/>
                <w:b/>
                <w:color w:val="2C9ADC" w:themeColor="accent1"/>
                <w:sz w:val="20"/>
                <w:szCs w:val="20"/>
                <w:lang w:eastAsia="en-US"/>
              </w:rPr>
              <w:fldChar w:fldCharType="separate"/>
            </w:r>
            <w:r w:rsidR="00D47A36">
              <w:rPr>
                <w:rFonts w:eastAsiaTheme="minorHAnsi"/>
                <w:b/>
                <w:noProof/>
                <w:color w:val="2C9ADC" w:themeColor="accent1"/>
                <w:sz w:val="20"/>
                <w:szCs w:val="20"/>
                <w:lang w:eastAsia="en-US"/>
              </w:rPr>
              <w:t>6</w:t>
            </w:r>
            <w:r w:rsidRPr="00887108">
              <w:rPr>
                <w:rFonts w:eastAsiaTheme="minorHAnsi"/>
                <w:b/>
                <w:color w:val="2C9ADC" w:themeColor="accent1"/>
                <w:sz w:val="20"/>
                <w:szCs w:val="20"/>
                <w:lang w:eastAsia="en-US"/>
              </w:rPr>
              <w:fldChar w:fldCharType="end"/>
            </w:r>
            <w:r w:rsidRPr="00887108">
              <w:rPr>
                <w:rFonts w:eastAsiaTheme="minorHAnsi"/>
                <w:b/>
                <w:color w:val="2C9ADC" w:themeColor="accent1"/>
                <w:sz w:val="20"/>
                <w:szCs w:val="20"/>
                <w:lang w:eastAsia="en-US"/>
              </w:rPr>
              <w:t xml:space="preserve"> </w:t>
            </w:r>
            <w:r w:rsidRPr="00887108">
              <w:rPr>
                <w:rFonts w:cs="Times New Roman"/>
                <w:b/>
                <w:bCs/>
                <w:color w:val="2C9ADC"/>
                <w:sz w:val="20"/>
                <w:szCs w:val="20"/>
              </w:rPr>
              <w:t xml:space="preserve">- </w:t>
            </w:r>
            <w:r w:rsidR="00204588" w:rsidRPr="00887108">
              <w:rPr>
                <w:rFonts w:cs="Times New Roman"/>
                <w:b/>
                <w:bCs/>
                <w:color w:val="2C9ADC"/>
                <w:sz w:val="20"/>
                <w:szCs w:val="20"/>
              </w:rPr>
              <w:t>Scenár 2: Pomalšie oživenie</w:t>
            </w:r>
            <w:bookmarkEnd w:id="86"/>
          </w:p>
        </w:tc>
      </w:tr>
      <w:tr w:rsidR="00204588" w:rsidRPr="00887108" w14:paraId="45EACFA6" w14:textId="77777777" w:rsidTr="00683A4A">
        <w:trPr>
          <w:trHeight w:val="264"/>
        </w:trPr>
        <w:tc>
          <w:tcPr>
            <w:tcW w:w="9073" w:type="dxa"/>
            <w:gridSpan w:val="9"/>
            <w:tcBorders>
              <w:top w:val="single" w:sz="8" w:space="0" w:color="auto"/>
              <w:left w:val="nil"/>
              <w:bottom w:val="single" w:sz="8" w:space="0" w:color="auto"/>
              <w:right w:val="nil"/>
            </w:tcBorders>
            <w:shd w:val="clear" w:color="auto" w:fill="auto"/>
            <w:noWrap/>
            <w:vAlign w:val="center"/>
            <w:hideMark/>
          </w:tcPr>
          <w:p w14:paraId="609EC4A5" w14:textId="77777777" w:rsidR="00204588" w:rsidRPr="00887108" w:rsidRDefault="00204588" w:rsidP="00204588">
            <w:pPr>
              <w:rPr>
                <w:rFonts w:cs="Times New Roman"/>
                <w:color w:val="000000"/>
                <w:sz w:val="18"/>
                <w:szCs w:val="18"/>
              </w:rPr>
            </w:pPr>
            <w:r w:rsidRPr="00887108">
              <w:rPr>
                <w:rFonts w:cs="Times New Roman"/>
                <w:color w:val="000000"/>
                <w:sz w:val="18"/>
                <w:szCs w:val="18"/>
              </w:rPr>
              <w:t>Kumulatívna zmena hodnoty jednotlivých premenných oproti základnej prognóze je v p. b.</w:t>
            </w:r>
          </w:p>
        </w:tc>
      </w:tr>
      <w:tr w:rsidR="00204588" w:rsidRPr="00887108" w14:paraId="099DBC73" w14:textId="77777777" w:rsidTr="00683A4A">
        <w:trPr>
          <w:trHeight w:val="207"/>
        </w:trPr>
        <w:tc>
          <w:tcPr>
            <w:tcW w:w="975" w:type="dxa"/>
            <w:vMerge w:val="restart"/>
            <w:tcBorders>
              <w:top w:val="nil"/>
              <w:left w:val="nil"/>
              <w:bottom w:val="single" w:sz="12" w:space="0" w:color="000000"/>
              <w:right w:val="nil"/>
            </w:tcBorders>
            <w:shd w:val="clear" w:color="auto" w:fill="auto"/>
            <w:noWrap/>
            <w:vAlign w:val="center"/>
            <w:hideMark/>
          </w:tcPr>
          <w:p w14:paraId="5C2CE7BF" w14:textId="77777777" w:rsidR="00204588" w:rsidRPr="00887108" w:rsidRDefault="00204588" w:rsidP="00204588">
            <w:pPr>
              <w:rPr>
                <w:rFonts w:cs="Times New Roman"/>
                <w:color w:val="000000"/>
                <w:sz w:val="18"/>
                <w:szCs w:val="18"/>
              </w:rPr>
            </w:pPr>
            <w:r w:rsidRPr="00887108">
              <w:rPr>
                <w:rFonts w:cs="Times New Roman"/>
                <w:color w:val="000000"/>
                <w:sz w:val="18"/>
                <w:szCs w:val="18"/>
              </w:rPr>
              <w:t> </w:t>
            </w:r>
          </w:p>
        </w:tc>
        <w:tc>
          <w:tcPr>
            <w:tcW w:w="847" w:type="dxa"/>
            <w:vMerge w:val="restart"/>
            <w:tcBorders>
              <w:top w:val="nil"/>
              <w:left w:val="nil"/>
              <w:bottom w:val="single" w:sz="12" w:space="0" w:color="000000"/>
              <w:right w:val="nil"/>
            </w:tcBorders>
            <w:shd w:val="clear" w:color="auto" w:fill="auto"/>
            <w:vAlign w:val="center"/>
            <w:hideMark/>
          </w:tcPr>
          <w:p w14:paraId="41C37F6D" w14:textId="508E2316"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Reálne HDP</w:t>
            </w:r>
            <w:r w:rsidR="0057162B" w:rsidRPr="00887108">
              <w:rPr>
                <w:rFonts w:cs="Times New Roman"/>
                <w:b/>
                <w:bCs/>
                <w:color w:val="000000"/>
                <w:sz w:val="18"/>
                <w:szCs w:val="18"/>
              </w:rPr>
              <w:t>*</w:t>
            </w:r>
          </w:p>
        </w:tc>
        <w:tc>
          <w:tcPr>
            <w:tcW w:w="976" w:type="dxa"/>
            <w:vMerge w:val="restart"/>
            <w:tcBorders>
              <w:top w:val="nil"/>
              <w:left w:val="nil"/>
              <w:bottom w:val="single" w:sz="12" w:space="0" w:color="000000"/>
              <w:right w:val="nil"/>
            </w:tcBorders>
            <w:shd w:val="clear" w:color="auto" w:fill="auto"/>
            <w:vAlign w:val="center"/>
            <w:hideMark/>
          </w:tcPr>
          <w:p w14:paraId="03FC47CD"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Spotrebné ceny</w:t>
            </w:r>
          </w:p>
        </w:tc>
        <w:tc>
          <w:tcPr>
            <w:tcW w:w="1064" w:type="dxa"/>
            <w:vMerge w:val="restart"/>
            <w:tcBorders>
              <w:top w:val="nil"/>
              <w:left w:val="nil"/>
              <w:bottom w:val="single" w:sz="12" w:space="0" w:color="000000"/>
              <w:right w:val="nil"/>
            </w:tcBorders>
            <w:shd w:val="clear" w:color="auto" w:fill="auto"/>
            <w:vAlign w:val="center"/>
            <w:hideMark/>
          </w:tcPr>
          <w:p w14:paraId="005B36BA"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Súkromná spotreba</w:t>
            </w:r>
          </w:p>
        </w:tc>
        <w:tc>
          <w:tcPr>
            <w:tcW w:w="1007" w:type="dxa"/>
            <w:vMerge w:val="restart"/>
            <w:tcBorders>
              <w:top w:val="nil"/>
              <w:left w:val="nil"/>
              <w:bottom w:val="single" w:sz="12" w:space="0" w:color="000000"/>
              <w:right w:val="nil"/>
            </w:tcBorders>
            <w:shd w:val="clear" w:color="auto" w:fill="auto"/>
            <w:vAlign w:val="center"/>
            <w:hideMark/>
          </w:tcPr>
          <w:p w14:paraId="464F3A56"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Vládna spotreba</w:t>
            </w:r>
          </w:p>
        </w:tc>
        <w:tc>
          <w:tcPr>
            <w:tcW w:w="943" w:type="dxa"/>
            <w:vMerge w:val="restart"/>
            <w:tcBorders>
              <w:top w:val="nil"/>
              <w:left w:val="nil"/>
              <w:bottom w:val="single" w:sz="12" w:space="0" w:color="000000"/>
              <w:right w:val="nil"/>
            </w:tcBorders>
            <w:shd w:val="clear" w:color="auto" w:fill="auto"/>
            <w:vAlign w:val="center"/>
            <w:hideMark/>
          </w:tcPr>
          <w:p w14:paraId="687DDAFE"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Reálne investície</w:t>
            </w:r>
          </w:p>
        </w:tc>
        <w:tc>
          <w:tcPr>
            <w:tcW w:w="835" w:type="dxa"/>
            <w:vMerge w:val="restart"/>
            <w:tcBorders>
              <w:top w:val="nil"/>
              <w:left w:val="nil"/>
              <w:bottom w:val="single" w:sz="12" w:space="0" w:color="000000"/>
              <w:right w:val="nil"/>
            </w:tcBorders>
            <w:shd w:val="clear" w:color="auto" w:fill="auto"/>
            <w:vAlign w:val="center"/>
            <w:hideMark/>
          </w:tcPr>
          <w:p w14:paraId="3F474420"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Reálny export</w:t>
            </w:r>
          </w:p>
        </w:tc>
        <w:tc>
          <w:tcPr>
            <w:tcW w:w="1283" w:type="dxa"/>
            <w:vMerge w:val="restart"/>
            <w:tcBorders>
              <w:top w:val="nil"/>
              <w:left w:val="nil"/>
              <w:bottom w:val="single" w:sz="12" w:space="0" w:color="000000"/>
              <w:right w:val="nil"/>
            </w:tcBorders>
            <w:shd w:val="clear" w:color="auto" w:fill="auto"/>
            <w:vAlign w:val="center"/>
            <w:hideMark/>
          </w:tcPr>
          <w:p w14:paraId="2C0D5126"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Celková zamestnanosť</w:t>
            </w:r>
          </w:p>
        </w:tc>
        <w:tc>
          <w:tcPr>
            <w:tcW w:w="1141" w:type="dxa"/>
            <w:vMerge w:val="restart"/>
            <w:tcBorders>
              <w:top w:val="nil"/>
              <w:left w:val="nil"/>
              <w:bottom w:val="single" w:sz="12" w:space="0" w:color="000000"/>
              <w:right w:val="nil"/>
            </w:tcBorders>
            <w:shd w:val="clear" w:color="auto" w:fill="auto"/>
            <w:vAlign w:val="center"/>
            <w:hideMark/>
          </w:tcPr>
          <w:p w14:paraId="15EEEA43"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Nominálne mzdy</w:t>
            </w:r>
          </w:p>
        </w:tc>
      </w:tr>
      <w:tr w:rsidR="00204588" w:rsidRPr="00887108" w14:paraId="0C610493" w14:textId="77777777" w:rsidTr="00683A4A">
        <w:trPr>
          <w:trHeight w:val="252"/>
        </w:trPr>
        <w:tc>
          <w:tcPr>
            <w:tcW w:w="975" w:type="dxa"/>
            <w:vMerge/>
            <w:tcBorders>
              <w:top w:val="nil"/>
              <w:left w:val="nil"/>
              <w:bottom w:val="single" w:sz="12" w:space="0" w:color="000000"/>
              <w:right w:val="nil"/>
            </w:tcBorders>
            <w:vAlign w:val="center"/>
            <w:hideMark/>
          </w:tcPr>
          <w:p w14:paraId="03532C6C" w14:textId="77777777" w:rsidR="00204588" w:rsidRPr="00887108" w:rsidRDefault="00204588" w:rsidP="00204588">
            <w:pPr>
              <w:rPr>
                <w:rFonts w:cs="Times New Roman"/>
                <w:color w:val="000000"/>
                <w:sz w:val="18"/>
                <w:szCs w:val="18"/>
              </w:rPr>
            </w:pPr>
          </w:p>
        </w:tc>
        <w:tc>
          <w:tcPr>
            <w:tcW w:w="847" w:type="dxa"/>
            <w:vMerge/>
            <w:tcBorders>
              <w:top w:val="nil"/>
              <w:left w:val="nil"/>
              <w:bottom w:val="single" w:sz="12" w:space="0" w:color="000000"/>
              <w:right w:val="nil"/>
            </w:tcBorders>
            <w:vAlign w:val="center"/>
            <w:hideMark/>
          </w:tcPr>
          <w:p w14:paraId="28DBD7E5" w14:textId="77777777" w:rsidR="00204588" w:rsidRPr="00887108" w:rsidRDefault="00204588" w:rsidP="00204588">
            <w:pPr>
              <w:rPr>
                <w:rFonts w:cs="Times New Roman"/>
                <w:b/>
                <w:bCs/>
                <w:color w:val="000000"/>
                <w:sz w:val="18"/>
                <w:szCs w:val="18"/>
              </w:rPr>
            </w:pPr>
          </w:p>
        </w:tc>
        <w:tc>
          <w:tcPr>
            <w:tcW w:w="976" w:type="dxa"/>
            <w:vMerge/>
            <w:tcBorders>
              <w:top w:val="nil"/>
              <w:left w:val="nil"/>
              <w:bottom w:val="single" w:sz="12" w:space="0" w:color="000000"/>
              <w:right w:val="nil"/>
            </w:tcBorders>
            <w:vAlign w:val="center"/>
            <w:hideMark/>
          </w:tcPr>
          <w:p w14:paraId="14F62990" w14:textId="77777777" w:rsidR="00204588" w:rsidRPr="00887108" w:rsidRDefault="00204588" w:rsidP="00204588">
            <w:pPr>
              <w:rPr>
                <w:rFonts w:cs="Times New Roman"/>
                <w:b/>
                <w:bCs/>
                <w:color w:val="000000"/>
                <w:sz w:val="18"/>
                <w:szCs w:val="18"/>
              </w:rPr>
            </w:pPr>
          </w:p>
        </w:tc>
        <w:tc>
          <w:tcPr>
            <w:tcW w:w="1064" w:type="dxa"/>
            <w:vMerge/>
            <w:tcBorders>
              <w:top w:val="nil"/>
              <w:left w:val="nil"/>
              <w:bottom w:val="single" w:sz="12" w:space="0" w:color="000000"/>
              <w:right w:val="nil"/>
            </w:tcBorders>
            <w:vAlign w:val="center"/>
            <w:hideMark/>
          </w:tcPr>
          <w:p w14:paraId="42A53ABA" w14:textId="77777777" w:rsidR="00204588" w:rsidRPr="00887108" w:rsidRDefault="00204588" w:rsidP="00204588">
            <w:pPr>
              <w:rPr>
                <w:rFonts w:cs="Times New Roman"/>
                <w:b/>
                <w:bCs/>
                <w:color w:val="000000"/>
                <w:sz w:val="18"/>
                <w:szCs w:val="18"/>
              </w:rPr>
            </w:pPr>
          </w:p>
        </w:tc>
        <w:tc>
          <w:tcPr>
            <w:tcW w:w="1007" w:type="dxa"/>
            <w:vMerge/>
            <w:tcBorders>
              <w:top w:val="nil"/>
              <w:left w:val="nil"/>
              <w:bottom w:val="single" w:sz="12" w:space="0" w:color="000000"/>
              <w:right w:val="nil"/>
            </w:tcBorders>
            <w:vAlign w:val="center"/>
            <w:hideMark/>
          </w:tcPr>
          <w:p w14:paraId="57CABB00" w14:textId="77777777" w:rsidR="00204588" w:rsidRPr="00887108" w:rsidRDefault="00204588" w:rsidP="00204588">
            <w:pPr>
              <w:rPr>
                <w:rFonts w:cs="Times New Roman"/>
                <w:b/>
                <w:bCs/>
                <w:color w:val="000000"/>
                <w:sz w:val="18"/>
                <w:szCs w:val="18"/>
              </w:rPr>
            </w:pPr>
          </w:p>
        </w:tc>
        <w:tc>
          <w:tcPr>
            <w:tcW w:w="943" w:type="dxa"/>
            <w:vMerge/>
            <w:tcBorders>
              <w:top w:val="nil"/>
              <w:left w:val="nil"/>
              <w:bottom w:val="single" w:sz="12" w:space="0" w:color="000000"/>
              <w:right w:val="nil"/>
            </w:tcBorders>
            <w:vAlign w:val="center"/>
            <w:hideMark/>
          </w:tcPr>
          <w:p w14:paraId="1774C924" w14:textId="77777777" w:rsidR="00204588" w:rsidRPr="00887108" w:rsidRDefault="00204588" w:rsidP="00204588">
            <w:pPr>
              <w:rPr>
                <w:rFonts w:cs="Times New Roman"/>
                <w:b/>
                <w:bCs/>
                <w:color w:val="000000"/>
                <w:sz w:val="18"/>
                <w:szCs w:val="18"/>
              </w:rPr>
            </w:pPr>
          </w:p>
        </w:tc>
        <w:tc>
          <w:tcPr>
            <w:tcW w:w="835" w:type="dxa"/>
            <w:vMerge/>
            <w:tcBorders>
              <w:top w:val="nil"/>
              <w:left w:val="nil"/>
              <w:bottom w:val="single" w:sz="12" w:space="0" w:color="000000"/>
              <w:right w:val="nil"/>
            </w:tcBorders>
            <w:vAlign w:val="center"/>
            <w:hideMark/>
          </w:tcPr>
          <w:p w14:paraId="76553142" w14:textId="77777777" w:rsidR="00204588" w:rsidRPr="00887108" w:rsidRDefault="00204588" w:rsidP="00204588">
            <w:pPr>
              <w:rPr>
                <w:rFonts w:cs="Times New Roman"/>
                <w:b/>
                <w:bCs/>
                <w:color w:val="000000"/>
                <w:sz w:val="18"/>
                <w:szCs w:val="18"/>
              </w:rPr>
            </w:pPr>
          </w:p>
        </w:tc>
        <w:tc>
          <w:tcPr>
            <w:tcW w:w="1283" w:type="dxa"/>
            <w:vMerge/>
            <w:tcBorders>
              <w:top w:val="nil"/>
              <w:left w:val="nil"/>
              <w:bottom w:val="single" w:sz="12" w:space="0" w:color="000000"/>
              <w:right w:val="nil"/>
            </w:tcBorders>
            <w:vAlign w:val="center"/>
            <w:hideMark/>
          </w:tcPr>
          <w:p w14:paraId="3D4FA03F" w14:textId="77777777" w:rsidR="00204588" w:rsidRPr="00887108" w:rsidRDefault="00204588" w:rsidP="00204588">
            <w:pPr>
              <w:rPr>
                <w:rFonts w:cs="Times New Roman"/>
                <w:b/>
                <w:bCs/>
                <w:color w:val="000000"/>
                <w:sz w:val="18"/>
                <w:szCs w:val="18"/>
              </w:rPr>
            </w:pPr>
          </w:p>
        </w:tc>
        <w:tc>
          <w:tcPr>
            <w:tcW w:w="1141" w:type="dxa"/>
            <w:vMerge/>
            <w:tcBorders>
              <w:top w:val="nil"/>
              <w:left w:val="nil"/>
              <w:bottom w:val="single" w:sz="12" w:space="0" w:color="000000"/>
              <w:right w:val="nil"/>
            </w:tcBorders>
            <w:vAlign w:val="center"/>
            <w:hideMark/>
          </w:tcPr>
          <w:p w14:paraId="32C360B0" w14:textId="77777777" w:rsidR="00204588" w:rsidRPr="00887108" w:rsidRDefault="00204588" w:rsidP="00204588">
            <w:pPr>
              <w:rPr>
                <w:rFonts w:cs="Times New Roman"/>
                <w:b/>
                <w:bCs/>
                <w:color w:val="000000"/>
                <w:sz w:val="18"/>
                <w:szCs w:val="18"/>
              </w:rPr>
            </w:pPr>
          </w:p>
        </w:tc>
      </w:tr>
      <w:tr w:rsidR="00204588" w:rsidRPr="00887108" w14:paraId="5AE3B5A9" w14:textId="77777777" w:rsidTr="00683A4A">
        <w:trPr>
          <w:trHeight w:val="173"/>
        </w:trPr>
        <w:tc>
          <w:tcPr>
            <w:tcW w:w="975" w:type="dxa"/>
            <w:tcBorders>
              <w:top w:val="nil"/>
              <w:left w:val="nil"/>
              <w:bottom w:val="nil"/>
              <w:right w:val="nil"/>
            </w:tcBorders>
            <w:shd w:val="clear" w:color="auto" w:fill="auto"/>
            <w:noWrap/>
            <w:vAlign w:val="center"/>
            <w:hideMark/>
          </w:tcPr>
          <w:p w14:paraId="00F93D91"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2020</w:t>
            </w:r>
          </w:p>
        </w:tc>
        <w:tc>
          <w:tcPr>
            <w:tcW w:w="847" w:type="dxa"/>
            <w:tcBorders>
              <w:top w:val="nil"/>
              <w:left w:val="nil"/>
              <w:bottom w:val="nil"/>
              <w:right w:val="nil"/>
            </w:tcBorders>
            <w:shd w:val="clear" w:color="auto" w:fill="auto"/>
            <w:noWrap/>
            <w:vAlign w:val="center"/>
            <w:hideMark/>
          </w:tcPr>
          <w:p w14:paraId="74BBA60F"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-4.5</w:t>
            </w:r>
          </w:p>
        </w:tc>
        <w:tc>
          <w:tcPr>
            <w:tcW w:w="976" w:type="dxa"/>
            <w:tcBorders>
              <w:top w:val="nil"/>
              <w:left w:val="nil"/>
              <w:bottom w:val="nil"/>
              <w:right w:val="nil"/>
            </w:tcBorders>
            <w:shd w:val="clear" w:color="auto" w:fill="auto"/>
            <w:noWrap/>
            <w:vAlign w:val="center"/>
            <w:hideMark/>
          </w:tcPr>
          <w:p w14:paraId="5DDE8B1B"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-0.1</w:t>
            </w:r>
          </w:p>
        </w:tc>
        <w:tc>
          <w:tcPr>
            <w:tcW w:w="1064" w:type="dxa"/>
            <w:tcBorders>
              <w:top w:val="nil"/>
              <w:left w:val="nil"/>
              <w:bottom w:val="nil"/>
              <w:right w:val="nil"/>
            </w:tcBorders>
            <w:shd w:val="clear" w:color="auto" w:fill="auto"/>
            <w:noWrap/>
            <w:vAlign w:val="center"/>
            <w:hideMark/>
          </w:tcPr>
          <w:p w14:paraId="3D8B615A"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-3.8</w:t>
            </w:r>
          </w:p>
        </w:tc>
        <w:tc>
          <w:tcPr>
            <w:tcW w:w="1007" w:type="dxa"/>
            <w:tcBorders>
              <w:top w:val="nil"/>
              <w:left w:val="nil"/>
              <w:bottom w:val="nil"/>
              <w:right w:val="nil"/>
            </w:tcBorders>
            <w:shd w:val="clear" w:color="auto" w:fill="auto"/>
            <w:noWrap/>
            <w:vAlign w:val="center"/>
            <w:hideMark/>
          </w:tcPr>
          <w:p w14:paraId="27228BAB"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-0.5</w:t>
            </w:r>
          </w:p>
        </w:tc>
        <w:tc>
          <w:tcPr>
            <w:tcW w:w="943" w:type="dxa"/>
            <w:tcBorders>
              <w:top w:val="nil"/>
              <w:left w:val="nil"/>
              <w:bottom w:val="nil"/>
              <w:right w:val="nil"/>
            </w:tcBorders>
            <w:shd w:val="clear" w:color="auto" w:fill="auto"/>
            <w:noWrap/>
            <w:vAlign w:val="center"/>
            <w:hideMark/>
          </w:tcPr>
          <w:p w14:paraId="7354EE05"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-10.2</w:t>
            </w:r>
          </w:p>
        </w:tc>
        <w:tc>
          <w:tcPr>
            <w:tcW w:w="835" w:type="dxa"/>
            <w:tcBorders>
              <w:top w:val="nil"/>
              <w:left w:val="nil"/>
              <w:bottom w:val="nil"/>
              <w:right w:val="nil"/>
            </w:tcBorders>
            <w:shd w:val="clear" w:color="auto" w:fill="auto"/>
            <w:noWrap/>
            <w:vAlign w:val="center"/>
            <w:hideMark/>
          </w:tcPr>
          <w:p w14:paraId="1C3C19EC"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-13.0</w:t>
            </w:r>
          </w:p>
        </w:tc>
        <w:tc>
          <w:tcPr>
            <w:tcW w:w="1283" w:type="dxa"/>
            <w:tcBorders>
              <w:top w:val="nil"/>
              <w:left w:val="nil"/>
              <w:bottom w:val="nil"/>
              <w:right w:val="nil"/>
            </w:tcBorders>
            <w:shd w:val="clear" w:color="auto" w:fill="auto"/>
            <w:noWrap/>
            <w:vAlign w:val="center"/>
            <w:hideMark/>
          </w:tcPr>
          <w:p w14:paraId="48BB3FFC"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-0.6</w:t>
            </w:r>
          </w:p>
        </w:tc>
        <w:tc>
          <w:tcPr>
            <w:tcW w:w="1141" w:type="dxa"/>
            <w:tcBorders>
              <w:top w:val="nil"/>
              <w:left w:val="nil"/>
              <w:bottom w:val="nil"/>
              <w:right w:val="nil"/>
            </w:tcBorders>
            <w:shd w:val="clear" w:color="auto" w:fill="auto"/>
            <w:noWrap/>
            <w:vAlign w:val="center"/>
            <w:hideMark/>
          </w:tcPr>
          <w:p w14:paraId="52928ACD"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-0.3</w:t>
            </w:r>
          </w:p>
        </w:tc>
      </w:tr>
      <w:tr w:rsidR="00204588" w:rsidRPr="00887108" w14:paraId="145C1EB0" w14:textId="77777777" w:rsidTr="00683A4A">
        <w:trPr>
          <w:trHeight w:val="164"/>
        </w:trPr>
        <w:tc>
          <w:tcPr>
            <w:tcW w:w="975" w:type="dxa"/>
            <w:tcBorders>
              <w:top w:val="nil"/>
              <w:left w:val="nil"/>
              <w:bottom w:val="nil"/>
              <w:right w:val="nil"/>
            </w:tcBorders>
            <w:shd w:val="clear" w:color="auto" w:fill="auto"/>
            <w:noWrap/>
            <w:vAlign w:val="center"/>
            <w:hideMark/>
          </w:tcPr>
          <w:p w14:paraId="6CBCF067"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2021</w:t>
            </w:r>
          </w:p>
        </w:tc>
        <w:tc>
          <w:tcPr>
            <w:tcW w:w="847" w:type="dxa"/>
            <w:tcBorders>
              <w:top w:val="nil"/>
              <w:left w:val="nil"/>
              <w:bottom w:val="nil"/>
              <w:right w:val="nil"/>
            </w:tcBorders>
            <w:shd w:val="clear" w:color="auto" w:fill="auto"/>
            <w:noWrap/>
            <w:vAlign w:val="center"/>
            <w:hideMark/>
          </w:tcPr>
          <w:p w14:paraId="275FA1B8"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-10.6</w:t>
            </w:r>
          </w:p>
        </w:tc>
        <w:tc>
          <w:tcPr>
            <w:tcW w:w="976" w:type="dxa"/>
            <w:tcBorders>
              <w:top w:val="nil"/>
              <w:left w:val="nil"/>
              <w:bottom w:val="nil"/>
              <w:right w:val="nil"/>
            </w:tcBorders>
            <w:shd w:val="clear" w:color="auto" w:fill="auto"/>
            <w:noWrap/>
            <w:vAlign w:val="center"/>
            <w:hideMark/>
          </w:tcPr>
          <w:p w14:paraId="1ACBE4E4"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-0.7</w:t>
            </w:r>
          </w:p>
        </w:tc>
        <w:tc>
          <w:tcPr>
            <w:tcW w:w="1064" w:type="dxa"/>
            <w:tcBorders>
              <w:top w:val="nil"/>
              <w:left w:val="nil"/>
              <w:bottom w:val="nil"/>
              <w:right w:val="nil"/>
            </w:tcBorders>
            <w:shd w:val="clear" w:color="auto" w:fill="auto"/>
            <w:noWrap/>
            <w:vAlign w:val="center"/>
            <w:hideMark/>
          </w:tcPr>
          <w:p w14:paraId="1B18B887"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-9.2</w:t>
            </w:r>
          </w:p>
        </w:tc>
        <w:tc>
          <w:tcPr>
            <w:tcW w:w="1007" w:type="dxa"/>
            <w:tcBorders>
              <w:top w:val="nil"/>
              <w:left w:val="nil"/>
              <w:bottom w:val="nil"/>
              <w:right w:val="nil"/>
            </w:tcBorders>
            <w:shd w:val="clear" w:color="auto" w:fill="auto"/>
            <w:noWrap/>
            <w:vAlign w:val="center"/>
            <w:hideMark/>
          </w:tcPr>
          <w:p w14:paraId="1E6BC147"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-3.0</w:t>
            </w:r>
          </w:p>
        </w:tc>
        <w:tc>
          <w:tcPr>
            <w:tcW w:w="943" w:type="dxa"/>
            <w:tcBorders>
              <w:top w:val="nil"/>
              <w:left w:val="nil"/>
              <w:bottom w:val="nil"/>
              <w:right w:val="nil"/>
            </w:tcBorders>
            <w:shd w:val="clear" w:color="auto" w:fill="auto"/>
            <w:noWrap/>
            <w:vAlign w:val="center"/>
            <w:hideMark/>
          </w:tcPr>
          <w:p w14:paraId="26E2770B"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-19.5</w:t>
            </w:r>
          </w:p>
        </w:tc>
        <w:tc>
          <w:tcPr>
            <w:tcW w:w="835" w:type="dxa"/>
            <w:tcBorders>
              <w:top w:val="nil"/>
              <w:left w:val="nil"/>
              <w:bottom w:val="nil"/>
              <w:right w:val="nil"/>
            </w:tcBorders>
            <w:shd w:val="clear" w:color="auto" w:fill="auto"/>
            <w:noWrap/>
            <w:vAlign w:val="center"/>
            <w:hideMark/>
          </w:tcPr>
          <w:p w14:paraId="58FDA7F4"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-27.0</w:t>
            </w:r>
          </w:p>
        </w:tc>
        <w:tc>
          <w:tcPr>
            <w:tcW w:w="1283" w:type="dxa"/>
            <w:tcBorders>
              <w:top w:val="nil"/>
              <w:left w:val="nil"/>
              <w:bottom w:val="nil"/>
              <w:right w:val="nil"/>
            </w:tcBorders>
            <w:shd w:val="clear" w:color="auto" w:fill="auto"/>
            <w:noWrap/>
            <w:vAlign w:val="center"/>
            <w:hideMark/>
          </w:tcPr>
          <w:p w14:paraId="16211602"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-2.2</w:t>
            </w:r>
          </w:p>
        </w:tc>
        <w:tc>
          <w:tcPr>
            <w:tcW w:w="1141" w:type="dxa"/>
            <w:tcBorders>
              <w:top w:val="nil"/>
              <w:left w:val="nil"/>
              <w:bottom w:val="nil"/>
              <w:right w:val="nil"/>
            </w:tcBorders>
            <w:shd w:val="clear" w:color="auto" w:fill="auto"/>
            <w:noWrap/>
            <w:vAlign w:val="center"/>
            <w:hideMark/>
          </w:tcPr>
          <w:p w14:paraId="0E560074"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-3.3</w:t>
            </w:r>
          </w:p>
        </w:tc>
      </w:tr>
      <w:tr w:rsidR="00204588" w:rsidRPr="00887108" w14:paraId="6E023462" w14:textId="77777777" w:rsidTr="00683A4A">
        <w:trPr>
          <w:trHeight w:val="164"/>
        </w:trPr>
        <w:tc>
          <w:tcPr>
            <w:tcW w:w="975" w:type="dxa"/>
            <w:tcBorders>
              <w:top w:val="nil"/>
              <w:left w:val="nil"/>
              <w:bottom w:val="nil"/>
              <w:right w:val="nil"/>
            </w:tcBorders>
            <w:shd w:val="clear" w:color="auto" w:fill="auto"/>
            <w:noWrap/>
            <w:vAlign w:val="center"/>
            <w:hideMark/>
          </w:tcPr>
          <w:p w14:paraId="2D11F06C"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2022</w:t>
            </w:r>
          </w:p>
        </w:tc>
        <w:tc>
          <w:tcPr>
            <w:tcW w:w="847" w:type="dxa"/>
            <w:tcBorders>
              <w:top w:val="nil"/>
              <w:left w:val="nil"/>
              <w:bottom w:val="nil"/>
              <w:right w:val="nil"/>
            </w:tcBorders>
            <w:shd w:val="clear" w:color="auto" w:fill="auto"/>
            <w:noWrap/>
            <w:vAlign w:val="center"/>
            <w:hideMark/>
          </w:tcPr>
          <w:p w14:paraId="244138B3"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-9.7</w:t>
            </w:r>
          </w:p>
        </w:tc>
        <w:tc>
          <w:tcPr>
            <w:tcW w:w="976" w:type="dxa"/>
            <w:tcBorders>
              <w:top w:val="nil"/>
              <w:left w:val="nil"/>
              <w:bottom w:val="nil"/>
              <w:right w:val="nil"/>
            </w:tcBorders>
            <w:shd w:val="clear" w:color="auto" w:fill="auto"/>
            <w:noWrap/>
            <w:vAlign w:val="center"/>
            <w:hideMark/>
          </w:tcPr>
          <w:p w14:paraId="75290038"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-1.3</w:t>
            </w:r>
          </w:p>
        </w:tc>
        <w:tc>
          <w:tcPr>
            <w:tcW w:w="1064" w:type="dxa"/>
            <w:tcBorders>
              <w:top w:val="nil"/>
              <w:left w:val="nil"/>
              <w:bottom w:val="nil"/>
              <w:right w:val="nil"/>
            </w:tcBorders>
            <w:shd w:val="clear" w:color="auto" w:fill="auto"/>
            <w:noWrap/>
            <w:vAlign w:val="center"/>
            <w:hideMark/>
          </w:tcPr>
          <w:p w14:paraId="40FA5257"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-8.8</w:t>
            </w:r>
          </w:p>
        </w:tc>
        <w:tc>
          <w:tcPr>
            <w:tcW w:w="1007" w:type="dxa"/>
            <w:tcBorders>
              <w:top w:val="nil"/>
              <w:left w:val="nil"/>
              <w:bottom w:val="nil"/>
              <w:right w:val="nil"/>
            </w:tcBorders>
            <w:shd w:val="clear" w:color="auto" w:fill="auto"/>
            <w:noWrap/>
            <w:vAlign w:val="center"/>
            <w:hideMark/>
          </w:tcPr>
          <w:p w14:paraId="5E359FF5"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-2.3</w:t>
            </w:r>
          </w:p>
        </w:tc>
        <w:tc>
          <w:tcPr>
            <w:tcW w:w="943" w:type="dxa"/>
            <w:tcBorders>
              <w:top w:val="nil"/>
              <w:left w:val="nil"/>
              <w:bottom w:val="nil"/>
              <w:right w:val="nil"/>
            </w:tcBorders>
            <w:shd w:val="clear" w:color="auto" w:fill="auto"/>
            <w:noWrap/>
            <w:vAlign w:val="center"/>
            <w:hideMark/>
          </w:tcPr>
          <w:p w14:paraId="4A46575D"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-18.6</w:t>
            </w:r>
          </w:p>
        </w:tc>
        <w:tc>
          <w:tcPr>
            <w:tcW w:w="835" w:type="dxa"/>
            <w:tcBorders>
              <w:top w:val="nil"/>
              <w:left w:val="nil"/>
              <w:bottom w:val="nil"/>
              <w:right w:val="nil"/>
            </w:tcBorders>
            <w:shd w:val="clear" w:color="auto" w:fill="auto"/>
            <w:noWrap/>
            <w:vAlign w:val="center"/>
            <w:hideMark/>
          </w:tcPr>
          <w:p w14:paraId="07927111"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-23.5</w:t>
            </w:r>
          </w:p>
        </w:tc>
        <w:tc>
          <w:tcPr>
            <w:tcW w:w="1283" w:type="dxa"/>
            <w:tcBorders>
              <w:top w:val="nil"/>
              <w:left w:val="nil"/>
              <w:bottom w:val="nil"/>
              <w:right w:val="nil"/>
            </w:tcBorders>
            <w:shd w:val="clear" w:color="auto" w:fill="auto"/>
            <w:noWrap/>
            <w:vAlign w:val="center"/>
            <w:hideMark/>
          </w:tcPr>
          <w:p w14:paraId="18084A55"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w:t>
            </w:r>
          </w:p>
        </w:tc>
        <w:tc>
          <w:tcPr>
            <w:tcW w:w="1141" w:type="dxa"/>
            <w:tcBorders>
              <w:top w:val="nil"/>
              <w:left w:val="nil"/>
              <w:bottom w:val="nil"/>
              <w:right w:val="nil"/>
            </w:tcBorders>
            <w:shd w:val="clear" w:color="auto" w:fill="auto"/>
            <w:noWrap/>
            <w:vAlign w:val="center"/>
            <w:hideMark/>
          </w:tcPr>
          <w:p w14:paraId="1118585A"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-4.5</w:t>
            </w:r>
          </w:p>
        </w:tc>
      </w:tr>
      <w:tr w:rsidR="00204588" w:rsidRPr="00887108" w14:paraId="1A82C77B" w14:textId="77777777" w:rsidTr="00683A4A">
        <w:trPr>
          <w:trHeight w:val="173"/>
        </w:trPr>
        <w:tc>
          <w:tcPr>
            <w:tcW w:w="975" w:type="dxa"/>
            <w:tcBorders>
              <w:top w:val="nil"/>
              <w:left w:val="nil"/>
              <w:bottom w:val="nil"/>
              <w:right w:val="nil"/>
            </w:tcBorders>
            <w:shd w:val="clear" w:color="auto" w:fill="auto"/>
            <w:noWrap/>
            <w:vAlign w:val="center"/>
            <w:hideMark/>
          </w:tcPr>
          <w:p w14:paraId="65A07C93"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2023</w:t>
            </w:r>
          </w:p>
        </w:tc>
        <w:tc>
          <w:tcPr>
            <w:tcW w:w="847" w:type="dxa"/>
            <w:tcBorders>
              <w:top w:val="nil"/>
              <w:left w:val="nil"/>
              <w:bottom w:val="nil"/>
              <w:right w:val="nil"/>
            </w:tcBorders>
            <w:shd w:val="clear" w:color="auto" w:fill="auto"/>
            <w:noWrap/>
            <w:vAlign w:val="center"/>
            <w:hideMark/>
          </w:tcPr>
          <w:p w14:paraId="58D7FFAC"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-8.5</w:t>
            </w:r>
          </w:p>
        </w:tc>
        <w:tc>
          <w:tcPr>
            <w:tcW w:w="976" w:type="dxa"/>
            <w:tcBorders>
              <w:top w:val="nil"/>
              <w:left w:val="nil"/>
              <w:bottom w:val="nil"/>
              <w:right w:val="nil"/>
            </w:tcBorders>
            <w:shd w:val="clear" w:color="auto" w:fill="auto"/>
            <w:noWrap/>
            <w:vAlign w:val="center"/>
            <w:hideMark/>
          </w:tcPr>
          <w:p w14:paraId="71785561"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-1.4</w:t>
            </w:r>
          </w:p>
        </w:tc>
        <w:tc>
          <w:tcPr>
            <w:tcW w:w="1064" w:type="dxa"/>
            <w:tcBorders>
              <w:top w:val="nil"/>
              <w:left w:val="nil"/>
              <w:bottom w:val="nil"/>
              <w:right w:val="nil"/>
            </w:tcBorders>
            <w:shd w:val="clear" w:color="auto" w:fill="auto"/>
            <w:noWrap/>
            <w:vAlign w:val="center"/>
            <w:hideMark/>
          </w:tcPr>
          <w:p w14:paraId="307059A8"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-7.1</w:t>
            </w:r>
          </w:p>
        </w:tc>
        <w:tc>
          <w:tcPr>
            <w:tcW w:w="1007" w:type="dxa"/>
            <w:tcBorders>
              <w:top w:val="nil"/>
              <w:left w:val="nil"/>
              <w:bottom w:val="nil"/>
              <w:right w:val="nil"/>
            </w:tcBorders>
            <w:shd w:val="clear" w:color="auto" w:fill="auto"/>
            <w:noWrap/>
            <w:vAlign w:val="center"/>
            <w:hideMark/>
          </w:tcPr>
          <w:p w14:paraId="612C5FC4"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-1.5</w:t>
            </w:r>
          </w:p>
        </w:tc>
        <w:tc>
          <w:tcPr>
            <w:tcW w:w="943" w:type="dxa"/>
            <w:tcBorders>
              <w:top w:val="nil"/>
              <w:left w:val="nil"/>
              <w:bottom w:val="nil"/>
              <w:right w:val="nil"/>
            </w:tcBorders>
            <w:shd w:val="clear" w:color="auto" w:fill="auto"/>
            <w:noWrap/>
            <w:vAlign w:val="center"/>
            <w:hideMark/>
          </w:tcPr>
          <w:p w14:paraId="7E62C4F5"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-16.0</w:t>
            </w:r>
          </w:p>
        </w:tc>
        <w:tc>
          <w:tcPr>
            <w:tcW w:w="835" w:type="dxa"/>
            <w:tcBorders>
              <w:top w:val="nil"/>
              <w:left w:val="nil"/>
              <w:bottom w:val="nil"/>
              <w:right w:val="nil"/>
            </w:tcBorders>
            <w:shd w:val="clear" w:color="auto" w:fill="auto"/>
            <w:noWrap/>
            <w:vAlign w:val="center"/>
            <w:hideMark/>
          </w:tcPr>
          <w:p w14:paraId="2E2AD448"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-22.2</w:t>
            </w:r>
          </w:p>
        </w:tc>
        <w:tc>
          <w:tcPr>
            <w:tcW w:w="1283" w:type="dxa"/>
            <w:tcBorders>
              <w:top w:val="nil"/>
              <w:left w:val="nil"/>
              <w:bottom w:val="nil"/>
              <w:right w:val="nil"/>
            </w:tcBorders>
            <w:shd w:val="clear" w:color="auto" w:fill="auto"/>
            <w:noWrap/>
            <w:vAlign w:val="center"/>
            <w:hideMark/>
          </w:tcPr>
          <w:p w14:paraId="3C1E8993"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-1.3</w:t>
            </w:r>
          </w:p>
        </w:tc>
        <w:tc>
          <w:tcPr>
            <w:tcW w:w="1141" w:type="dxa"/>
            <w:tcBorders>
              <w:top w:val="nil"/>
              <w:left w:val="nil"/>
              <w:bottom w:val="nil"/>
              <w:right w:val="nil"/>
            </w:tcBorders>
            <w:shd w:val="clear" w:color="auto" w:fill="auto"/>
            <w:noWrap/>
            <w:vAlign w:val="center"/>
            <w:hideMark/>
          </w:tcPr>
          <w:p w14:paraId="7A90A7D0"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-4.5</w:t>
            </w:r>
          </w:p>
        </w:tc>
      </w:tr>
      <w:tr w:rsidR="0057162B" w:rsidRPr="00887108" w14:paraId="4D1BE063" w14:textId="77777777" w:rsidTr="00683A4A">
        <w:trPr>
          <w:trHeight w:val="200"/>
        </w:trPr>
        <w:tc>
          <w:tcPr>
            <w:tcW w:w="3862" w:type="dxa"/>
            <w:gridSpan w:val="4"/>
            <w:tcBorders>
              <w:top w:val="single" w:sz="12" w:space="0" w:color="auto"/>
              <w:left w:val="nil"/>
              <w:bottom w:val="nil"/>
              <w:right w:val="nil"/>
            </w:tcBorders>
            <w:shd w:val="clear" w:color="auto" w:fill="auto"/>
            <w:noWrap/>
            <w:vAlign w:val="center"/>
            <w:hideMark/>
          </w:tcPr>
          <w:p w14:paraId="3F2F31B7" w14:textId="68BEB4F3" w:rsidR="0057162B" w:rsidRPr="00887108" w:rsidRDefault="0057162B" w:rsidP="00683A4A">
            <w:pPr>
              <w:rPr>
                <w:rFonts w:cs="Times New Roman"/>
                <w:i/>
                <w:iCs/>
                <w:color w:val="000000"/>
                <w:sz w:val="18"/>
                <w:szCs w:val="18"/>
              </w:rPr>
            </w:pPr>
            <w:r w:rsidRPr="00887108">
              <w:rPr>
                <w:rFonts w:cs="Times New Roman"/>
                <w:i/>
                <w:iCs/>
                <w:sz w:val="18"/>
                <w:szCs w:val="18"/>
              </w:rPr>
              <w:t xml:space="preserve">* </w:t>
            </w:r>
            <w:r w:rsidRPr="00887108">
              <w:rPr>
                <w:sz w:val="16"/>
                <w:szCs w:val="16"/>
              </w:rPr>
              <w:t xml:space="preserve">V scenári 1 by bola úroveň HDP v roku 2020 ešte o 5,7 % nižšie (a v roku 2023 o 1,5 %) nižšie v porovnaní so základnou prognózou. </w:t>
            </w:r>
          </w:p>
        </w:tc>
        <w:tc>
          <w:tcPr>
            <w:tcW w:w="1007" w:type="dxa"/>
            <w:tcBorders>
              <w:top w:val="single" w:sz="12" w:space="0" w:color="auto"/>
              <w:left w:val="nil"/>
              <w:bottom w:val="nil"/>
              <w:right w:val="nil"/>
            </w:tcBorders>
            <w:shd w:val="clear" w:color="auto" w:fill="auto"/>
            <w:noWrap/>
            <w:vAlign w:val="center"/>
            <w:hideMark/>
          </w:tcPr>
          <w:p w14:paraId="10931EC9" w14:textId="77777777" w:rsidR="0057162B" w:rsidRPr="00887108" w:rsidRDefault="0057162B" w:rsidP="00204588">
            <w:pPr>
              <w:rPr>
                <w:rFonts w:cs="Times New Roman"/>
                <w:i/>
                <w:iCs/>
                <w:color w:val="000000"/>
                <w:sz w:val="18"/>
                <w:szCs w:val="18"/>
              </w:rPr>
            </w:pPr>
            <w:r w:rsidRPr="00887108">
              <w:rPr>
                <w:rFonts w:cs="Times New Roman"/>
                <w:i/>
                <w:iCs/>
                <w:color w:val="000000"/>
                <w:sz w:val="18"/>
                <w:szCs w:val="18"/>
              </w:rPr>
              <w:t> </w:t>
            </w:r>
          </w:p>
        </w:tc>
        <w:tc>
          <w:tcPr>
            <w:tcW w:w="943" w:type="dxa"/>
            <w:tcBorders>
              <w:top w:val="single" w:sz="12" w:space="0" w:color="auto"/>
              <w:left w:val="nil"/>
              <w:bottom w:val="nil"/>
              <w:right w:val="nil"/>
            </w:tcBorders>
            <w:shd w:val="clear" w:color="auto" w:fill="auto"/>
            <w:noWrap/>
            <w:vAlign w:val="center"/>
            <w:hideMark/>
          </w:tcPr>
          <w:p w14:paraId="7710CEAC" w14:textId="77777777" w:rsidR="0057162B" w:rsidRPr="00887108" w:rsidRDefault="0057162B" w:rsidP="00204588">
            <w:pPr>
              <w:rPr>
                <w:rFonts w:cs="Times New Roman"/>
                <w:i/>
                <w:iCs/>
                <w:color w:val="000000"/>
                <w:sz w:val="18"/>
                <w:szCs w:val="18"/>
              </w:rPr>
            </w:pPr>
            <w:r w:rsidRPr="00887108">
              <w:rPr>
                <w:rFonts w:cs="Times New Roman"/>
                <w:i/>
                <w:iCs/>
                <w:color w:val="000000"/>
                <w:sz w:val="18"/>
                <w:szCs w:val="18"/>
              </w:rPr>
              <w:t> </w:t>
            </w:r>
          </w:p>
        </w:tc>
        <w:tc>
          <w:tcPr>
            <w:tcW w:w="835" w:type="dxa"/>
            <w:tcBorders>
              <w:top w:val="single" w:sz="12" w:space="0" w:color="auto"/>
              <w:left w:val="nil"/>
              <w:bottom w:val="nil"/>
              <w:right w:val="nil"/>
            </w:tcBorders>
            <w:shd w:val="clear" w:color="auto" w:fill="auto"/>
            <w:noWrap/>
            <w:vAlign w:val="center"/>
            <w:hideMark/>
          </w:tcPr>
          <w:p w14:paraId="5AD58B87" w14:textId="77777777" w:rsidR="0057162B" w:rsidRPr="00887108" w:rsidRDefault="0057162B" w:rsidP="00204588">
            <w:pPr>
              <w:rPr>
                <w:rFonts w:cs="Times New Roman"/>
                <w:i/>
                <w:iCs/>
                <w:color w:val="000000"/>
                <w:sz w:val="18"/>
                <w:szCs w:val="18"/>
              </w:rPr>
            </w:pPr>
            <w:r w:rsidRPr="00887108">
              <w:rPr>
                <w:rFonts w:cs="Times New Roman"/>
                <w:i/>
                <w:iCs/>
                <w:color w:val="000000"/>
                <w:sz w:val="18"/>
                <w:szCs w:val="18"/>
              </w:rPr>
              <w:t> </w:t>
            </w:r>
          </w:p>
        </w:tc>
        <w:tc>
          <w:tcPr>
            <w:tcW w:w="1283" w:type="dxa"/>
            <w:tcBorders>
              <w:top w:val="single" w:sz="12" w:space="0" w:color="auto"/>
              <w:left w:val="nil"/>
              <w:bottom w:val="nil"/>
              <w:right w:val="nil"/>
            </w:tcBorders>
            <w:shd w:val="clear" w:color="auto" w:fill="auto"/>
            <w:noWrap/>
            <w:vAlign w:val="center"/>
            <w:hideMark/>
          </w:tcPr>
          <w:p w14:paraId="4D569B60" w14:textId="77777777" w:rsidR="0057162B" w:rsidRPr="00887108" w:rsidRDefault="0057162B" w:rsidP="00204588">
            <w:pPr>
              <w:rPr>
                <w:rFonts w:cs="Times New Roman"/>
                <w:i/>
                <w:iCs/>
                <w:color w:val="000000"/>
                <w:sz w:val="18"/>
                <w:szCs w:val="18"/>
              </w:rPr>
            </w:pPr>
            <w:r w:rsidRPr="00887108">
              <w:rPr>
                <w:rFonts w:cs="Times New Roman"/>
                <w:i/>
                <w:iCs/>
                <w:color w:val="000000"/>
                <w:sz w:val="18"/>
                <w:szCs w:val="18"/>
              </w:rPr>
              <w:t> </w:t>
            </w:r>
          </w:p>
        </w:tc>
        <w:tc>
          <w:tcPr>
            <w:tcW w:w="1141" w:type="dxa"/>
            <w:tcBorders>
              <w:top w:val="single" w:sz="12" w:space="0" w:color="auto"/>
              <w:left w:val="nil"/>
              <w:bottom w:val="nil"/>
              <w:right w:val="nil"/>
            </w:tcBorders>
            <w:shd w:val="clear" w:color="auto" w:fill="auto"/>
            <w:vAlign w:val="center"/>
            <w:hideMark/>
          </w:tcPr>
          <w:p w14:paraId="0E9389D8" w14:textId="77777777" w:rsidR="0057162B" w:rsidRPr="00887108" w:rsidRDefault="0057162B" w:rsidP="00204588">
            <w:pPr>
              <w:jc w:val="right"/>
              <w:rPr>
                <w:rFonts w:cs="Times New Roman"/>
                <w:i/>
                <w:iCs/>
                <w:color w:val="000000"/>
                <w:sz w:val="18"/>
                <w:szCs w:val="18"/>
              </w:rPr>
            </w:pPr>
            <w:r w:rsidRPr="00887108">
              <w:rPr>
                <w:rFonts w:cs="Times New Roman"/>
                <w:i/>
                <w:iCs/>
                <w:color w:val="000000"/>
                <w:sz w:val="18"/>
                <w:szCs w:val="18"/>
              </w:rPr>
              <w:t>Zdroj: MF SR</w:t>
            </w:r>
          </w:p>
        </w:tc>
      </w:tr>
    </w:tbl>
    <w:p w14:paraId="417C034B" w14:textId="77777777" w:rsidR="00204588" w:rsidRPr="00887108" w:rsidRDefault="00204588" w:rsidP="00204588"/>
    <w:tbl>
      <w:tblPr>
        <w:tblpPr w:leftFromText="141" w:rightFromText="141" w:vertAnchor="text" w:horzAnchor="margin" w:tblpY="61"/>
        <w:tblOverlap w:val="never"/>
        <w:tblW w:w="92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436"/>
        <w:gridCol w:w="187"/>
        <w:gridCol w:w="4616"/>
      </w:tblGrid>
      <w:tr w:rsidR="00204588" w:rsidRPr="00887108" w14:paraId="5ECC9941" w14:textId="77777777" w:rsidTr="00683A4A">
        <w:trPr>
          <w:trHeight w:val="298"/>
        </w:trPr>
        <w:tc>
          <w:tcPr>
            <w:tcW w:w="2401" w:type="pct"/>
            <w:tcBorders>
              <w:top w:val="nil"/>
              <w:left w:val="nil"/>
              <w:bottom w:val="single" w:sz="4" w:space="0" w:color="auto"/>
              <w:right w:val="nil"/>
            </w:tcBorders>
            <w:shd w:val="clear" w:color="auto" w:fill="auto"/>
            <w:vAlign w:val="center"/>
          </w:tcPr>
          <w:p w14:paraId="4D97191B" w14:textId="3F4D43F1" w:rsidR="00204588" w:rsidRPr="00887108" w:rsidRDefault="009B6CDF" w:rsidP="00204588">
            <w:pPr>
              <w:jc w:val="both"/>
              <w:rPr>
                <w:rFonts w:cs="Arial"/>
                <w:b/>
                <w:color w:val="2C9ADC"/>
                <w:sz w:val="20"/>
                <w:szCs w:val="20"/>
              </w:rPr>
            </w:pPr>
            <w:bookmarkStart w:id="87" w:name="_Toc40181260"/>
            <w:r w:rsidRPr="00887108">
              <w:rPr>
                <w:rFonts w:eastAsiaTheme="minorHAnsi"/>
                <w:b/>
                <w:color w:val="2C9ADC"/>
                <w:sz w:val="20"/>
                <w:szCs w:val="20"/>
                <w:lang w:eastAsia="en-US"/>
              </w:rPr>
              <w:t xml:space="preserve">GRAF </w:t>
            </w:r>
            <w:r w:rsidRPr="00887108">
              <w:rPr>
                <w:rFonts w:eastAsiaTheme="minorHAnsi"/>
                <w:b/>
                <w:color w:val="2C9ADC"/>
                <w:sz w:val="20"/>
                <w:szCs w:val="20"/>
                <w:lang w:eastAsia="en-US"/>
              </w:rPr>
              <w:fldChar w:fldCharType="begin"/>
            </w:r>
            <w:r w:rsidRPr="00887108">
              <w:rPr>
                <w:rFonts w:eastAsiaTheme="minorHAnsi"/>
                <w:b/>
                <w:color w:val="2C9ADC"/>
                <w:sz w:val="20"/>
                <w:szCs w:val="20"/>
                <w:lang w:eastAsia="en-US"/>
              </w:rPr>
              <w:instrText xml:space="preserve"> SEQ GRAF \* ARABIC </w:instrText>
            </w:r>
            <w:r w:rsidRPr="00887108">
              <w:rPr>
                <w:rFonts w:eastAsiaTheme="minorHAnsi"/>
                <w:b/>
                <w:color w:val="2C9ADC"/>
                <w:sz w:val="20"/>
                <w:szCs w:val="20"/>
                <w:lang w:eastAsia="en-US"/>
              </w:rPr>
              <w:fldChar w:fldCharType="separate"/>
            </w:r>
            <w:r w:rsidR="00D47A36">
              <w:rPr>
                <w:rFonts w:eastAsiaTheme="minorHAnsi"/>
                <w:b/>
                <w:noProof/>
                <w:color w:val="2C9ADC"/>
                <w:sz w:val="20"/>
                <w:szCs w:val="20"/>
                <w:lang w:eastAsia="en-US"/>
              </w:rPr>
              <w:t>9</w:t>
            </w:r>
            <w:r w:rsidRPr="00887108">
              <w:rPr>
                <w:rFonts w:eastAsiaTheme="minorHAnsi"/>
                <w:b/>
                <w:color w:val="2C9ADC"/>
                <w:sz w:val="20"/>
                <w:szCs w:val="20"/>
                <w:lang w:eastAsia="en-US"/>
              </w:rPr>
              <w:fldChar w:fldCharType="end"/>
            </w:r>
            <w:r w:rsidRPr="00887108">
              <w:rPr>
                <w:rFonts w:eastAsiaTheme="minorHAnsi"/>
                <w:b/>
                <w:color w:val="2C9ADC"/>
                <w:sz w:val="20"/>
                <w:szCs w:val="20"/>
                <w:lang w:eastAsia="en-US"/>
              </w:rPr>
              <w:t xml:space="preserve"> - </w:t>
            </w:r>
            <w:r w:rsidR="00204588" w:rsidRPr="00887108">
              <w:rPr>
                <w:rFonts w:eastAsia="NeueHaasGroteskText W02" w:cs="Arial"/>
                <w:b/>
                <w:bCs/>
                <w:color w:val="2C9ADC"/>
                <w:sz w:val="20"/>
                <w:szCs w:val="20"/>
                <w:u w:color="2C9ADC"/>
              </w:rPr>
              <w:t>HDP v základnej prognóze a scenároch (index, 2019=100)</w:t>
            </w:r>
            <w:bookmarkEnd w:id="87"/>
          </w:p>
        </w:tc>
        <w:tc>
          <w:tcPr>
            <w:tcW w:w="101" w:type="pct"/>
            <w:tcBorders>
              <w:top w:val="nil"/>
              <w:left w:val="nil"/>
              <w:bottom w:val="nil"/>
              <w:right w:val="nil"/>
            </w:tcBorders>
            <w:shd w:val="clear" w:color="auto" w:fill="auto"/>
            <w:vAlign w:val="center"/>
          </w:tcPr>
          <w:p w14:paraId="38AAF7E0" w14:textId="77777777" w:rsidR="00204588" w:rsidRPr="00887108" w:rsidRDefault="00204588" w:rsidP="00204588">
            <w:pPr>
              <w:spacing w:before="60" w:after="60"/>
              <w:rPr>
                <w:rFonts w:cs="Arial"/>
                <w:b/>
                <w:color w:val="2C9ADC"/>
                <w:sz w:val="20"/>
                <w:szCs w:val="20"/>
              </w:rPr>
            </w:pPr>
          </w:p>
        </w:tc>
        <w:tc>
          <w:tcPr>
            <w:tcW w:w="2498" w:type="pct"/>
            <w:tcBorders>
              <w:top w:val="nil"/>
              <w:left w:val="nil"/>
              <w:bottom w:val="single" w:sz="4" w:space="0" w:color="auto"/>
              <w:right w:val="nil"/>
            </w:tcBorders>
            <w:shd w:val="clear" w:color="auto" w:fill="auto"/>
            <w:vAlign w:val="center"/>
          </w:tcPr>
          <w:p w14:paraId="11F428C4" w14:textId="44F8F97D" w:rsidR="00204588" w:rsidRPr="00887108" w:rsidRDefault="009B6CDF" w:rsidP="00204588">
            <w:pPr>
              <w:spacing w:before="40" w:after="40"/>
              <w:rPr>
                <w:rFonts w:cs="Arial"/>
                <w:b/>
                <w:color w:val="2C9ADC"/>
                <w:sz w:val="20"/>
                <w:szCs w:val="20"/>
              </w:rPr>
            </w:pPr>
            <w:bookmarkStart w:id="88" w:name="_Toc40181261"/>
            <w:r w:rsidRPr="00887108">
              <w:rPr>
                <w:rFonts w:eastAsiaTheme="minorHAnsi"/>
                <w:b/>
                <w:color w:val="2C9ADC"/>
                <w:sz w:val="20"/>
                <w:szCs w:val="20"/>
                <w:lang w:eastAsia="en-US"/>
              </w:rPr>
              <w:t xml:space="preserve">GRAF </w:t>
            </w:r>
            <w:r w:rsidRPr="00887108">
              <w:rPr>
                <w:rFonts w:eastAsiaTheme="minorHAnsi"/>
                <w:b/>
                <w:color w:val="2C9ADC"/>
                <w:sz w:val="20"/>
                <w:szCs w:val="20"/>
                <w:lang w:eastAsia="en-US"/>
              </w:rPr>
              <w:fldChar w:fldCharType="begin"/>
            </w:r>
            <w:r w:rsidRPr="00887108">
              <w:rPr>
                <w:rFonts w:eastAsiaTheme="minorHAnsi"/>
                <w:b/>
                <w:color w:val="2C9ADC"/>
                <w:sz w:val="20"/>
                <w:szCs w:val="20"/>
                <w:lang w:eastAsia="en-US"/>
              </w:rPr>
              <w:instrText xml:space="preserve"> SEQ GRAF \* ARABIC </w:instrText>
            </w:r>
            <w:r w:rsidRPr="00887108">
              <w:rPr>
                <w:rFonts w:eastAsiaTheme="minorHAnsi"/>
                <w:b/>
                <w:color w:val="2C9ADC"/>
                <w:sz w:val="20"/>
                <w:szCs w:val="20"/>
                <w:lang w:eastAsia="en-US"/>
              </w:rPr>
              <w:fldChar w:fldCharType="separate"/>
            </w:r>
            <w:r w:rsidR="00D47A36">
              <w:rPr>
                <w:rFonts w:eastAsiaTheme="minorHAnsi"/>
                <w:b/>
                <w:noProof/>
                <w:color w:val="2C9ADC"/>
                <w:sz w:val="20"/>
                <w:szCs w:val="20"/>
                <w:lang w:eastAsia="en-US"/>
              </w:rPr>
              <w:t>10</w:t>
            </w:r>
            <w:r w:rsidRPr="00887108">
              <w:rPr>
                <w:rFonts w:eastAsiaTheme="minorHAnsi"/>
                <w:b/>
                <w:color w:val="2C9ADC"/>
                <w:sz w:val="20"/>
                <w:szCs w:val="20"/>
                <w:lang w:eastAsia="en-US"/>
              </w:rPr>
              <w:fldChar w:fldCharType="end"/>
            </w:r>
            <w:r w:rsidRPr="00887108">
              <w:rPr>
                <w:rFonts w:eastAsiaTheme="minorHAnsi"/>
                <w:b/>
                <w:color w:val="2C9ADC"/>
                <w:sz w:val="20"/>
                <w:szCs w:val="20"/>
                <w:lang w:eastAsia="en-US"/>
              </w:rPr>
              <w:t xml:space="preserve"> - </w:t>
            </w:r>
            <w:r w:rsidR="00204588" w:rsidRPr="00887108">
              <w:rPr>
                <w:rFonts w:eastAsia="NeueHaasGroteskText W02" w:cs="Arial"/>
                <w:b/>
                <w:bCs/>
                <w:color w:val="2C9ADC"/>
                <w:sz w:val="20"/>
                <w:szCs w:val="20"/>
                <w:u w:color="2C9ADC"/>
              </w:rPr>
              <w:t>Zamestnanosť v základnej prognóze a scenároch (index, 2019=100)</w:t>
            </w:r>
            <w:bookmarkEnd w:id="88"/>
          </w:p>
        </w:tc>
      </w:tr>
      <w:tr w:rsidR="00204588" w:rsidRPr="00887108" w14:paraId="566A9CD1" w14:textId="77777777" w:rsidTr="00683A4A">
        <w:trPr>
          <w:trHeight w:val="2291"/>
        </w:trPr>
        <w:tc>
          <w:tcPr>
            <w:tcW w:w="2401" w:type="pct"/>
            <w:tcBorders>
              <w:top w:val="single" w:sz="4" w:space="0" w:color="auto"/>
              <w:left w:val="nil"/>
              <w:bottom w:val="single" w:sz="4" w:space="0" w:color="auto"/>
              <w:right w:val="nil"/>
            </w:tcBorders>
            <w:shd w:val="clear" w:color="auto" w:fill="auto"/>
            <w:vAlign w:val="center"/>
          </w:tcPr>
          <w:p w14:paraId="6A203956" w14:textId="77777777" w:rsidR="00204588" w:rsidRPr="00887108" w:rsidRDefault="00204588" w:rsidP="00204588">
            <w:pPr>
              <w:spacing w:before="40" w:after="40"/>
              <w:jc w:val="center"/>
              <w:rPr>
                <w:rFonts w:cs="Arial"/>
                <w:b/>
                <w:sz w:val="20"/>
                <w:szCs w:val="20"/>
              </w:rPr>
            </w:pPr>
            <w:r w:rsidRPr="00887108">
              <w:drawing>
                <wp:inline distT="0" distB="0" distL="0" distR="0" wp14:anchorId="0513D081" wp14:editId="44FE01CD">
                  <wp:extent cx="2560320" cy="1682496"/>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101" w:type="pct"/>
            <w:tcBorders>
              <w:top w:val="nil"/>
              <w:left w:val="nil"/>
              <w:bottom w:val="nil"/>
              <w:right w:val="nil"/>
            </w:tcBorders>
            <w:shd w:val="clear" w:color="auto" w:fill="auto"/>
            <w:vAlign w:val="center"/>
          </w:tcPr>
          <w:p w14:paraId="71449991" w14:textId="77777777" w:rsidR="00204588" w:rsidRPr="00887108" w:rsidRDefault="00204588" w:rsidP="00204588">
            <w:pPr>
              <w:spacing w:before="40" w:after="40"/>
              <w:jc w:val="center"/>
              <w:rPr>
                <w:rFonts w:cs="Arial"/>
                <w:b/>
                <w:sz w:val="20"/>
                <w:szCs w:val="20"/>
              </w:rPr>
            </w:pPr>
          </w:p>
        </w:tc>
        <w:tc>
          <w:tcPr>
            <w:tcW w:w="2498" w:type="pct"/>
            <w:tcBorders>
              <w:top w:val="single" w:sz="4" w:space="0" w:color="auto"/>
              <w:left w:val="nil"/>
              <w:bottom w:val="single" w:sz="4" w:space="0" w:color="auto"/>
              <w:right w:val="nil"/>
            </w:tcBorders>
            <w:shd w:val="clear" w:color="auto" w:fill="auto"/>
            <w:vAlign w:val="center"/>
          </w:tcPr>
          <w:p w14:paraId="6FC43D25" w14:textId="77777777" w:rsidR="00204588" w:rsidRPr="00887108" w:rsidRDefault="00204588" w:rsidP="00204588">
            <w:pPr>
              <w:spacing w:before="40" w:after="40"/>
              <w:rPr>
                <w:rFonts w:cs="Arial"/>
                <w:b/>
                <w:sz w:val="20"/>
                <w:szCs w:val="20"/>
              </w:rPr>
            </w:pPr>
            <w:r w:rsidRPr="00887108">
              <w:drawing>
                <wp:inline distT="0" distB="0" distL="0" distR="0" wp14:anchorId="0547450E" wp14:editId="5F97FD3F">
                  <wp:extent cx="2662733" cy="1616659"/>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204588" w:rsidRPr="00887108" w14:paraId="42C0F558" w14:textId="77777777" w:rsidTr="00683A4A">
        <w:trPr>
          <w:trHeight w:val="58"/>
        </w:trPr>
        <w:tc>
          <w:tcPr>
            <w:tcW w:w="2401" w:type="pct"/>
            <w:tcBorders>
              <w:top w:val="single" w:sz="4" w:space="0" w:color="auto"/>
              <w:left w:val="nil"/>
              <w:bottom w:val="nil"/>
              <w:right w:val="nil"/>
            </w:tcBorders>
            <w:shd w:val="clear" w:color="auto" w:fill="auto"/>
          </w:tcPr>
          <w:p w14:paraId="530ED8D0" w14:textId="77777777" w:rsidR="00204588" w:rsidRPr="00887108" w:rsidRDefault="00204588" w:rsidP="00204588">
            <w:pPr>
              <w:spacing w:before="40" w:after="40"/>
              <w:jc w:val="right"/>
              <w:rPr>
                <w:rFonts w:cs="Arial"/>
                <w:i/>
                <w:sz w:val="14"/>
                <w:szCs w:val="14"/>
              </w:rPr>
            </w:pPr>
            <w:r w:rsidRPr="00887108">
              <w:rPr>
                <w:rFonts w:cs="Arial"/>
                <w:i/>
                <w:sz w:val="14"/>
                <w:szCs w:val="14"/>
              </w:rPr>
              <w:t>Zdroj:   IFP</w:t>
            </w:r>
          </w:p>
        </w:tc>
        <w:tc>
          <w:tcPr>
            <w:tcW w:w="101" w:type="pct"/>
            <w:tcBorders>
              <w:top w:val="nil"/>
              <w:left w:val="nil"/>
              <w:bottom w:val="nil"/>
              <w:right w:val="nil"/>
            </w:tcBorders>
            <w:shd w:val="clear" w:color="auto" w:fill="auto"/>
          </w:tcPr>
          <w:p w14:paraId="7BA08A10" w14:textId="77777777" w:rsidR="00204588" w:rsidRPr="00887108" w:rsidRDefault="00204588" w:rsidP="00204588">
            <w:pPr>
              <w:jc w:val="right"/>
              <w:rPr>
                <w:rFonts w:cs="Arial"/>
                <w:i/>
                <w:sz w:val="14"/>
                <w:szCs w:val="14"/>
              </w:rPr>
            </w:pPr>
          </w:p>
        </w:tc>
        <w:tc>
          <w:tcPr>
            <w:tcW w:w="2498" w:type="pct"/>
            <w:tcBorders>
              <w:top w:val="single" w:sz="4" w:space="0" w:color="auto"/>
              <w:left w:val="nil"/>
              <w:bottom w:val="nil"/>
              <w:right w:val="nil"/>
            </w:tcBorders>
            <w:shd w:val="clear" w:color="auto" w:fill="auto"/>
          </w:tcPr>
          <w:p w14:paraId="58DD743C" w14:textId="77777777" w:rsidR="00204588" w:rsidRPr="00887108" w:rsidRDefault="00204588" w:rsidP="00204588">
            <w:pPr>
              <w:spacing w:before="40"/>
              <w:jc w:val="right"/>
              <w:rPr>
                <w:rFonts w:cs="Arial"/>
                <w:i/>
                <w:sz w:val="14"/>
                <w:szCs w:val="14"/>
              </w:rPr>
            </w:pPr>
            <w:r w:rsidRPr="00887108">
              <w:rPr>
                <w:rFonts w:cs="Arial"/>
                <w:i/>
                <w:sz w:val="14"/>
                <w:szCs w:val="14"/>
              </w:rPr>
              <w:t>Zdroj:  IFP</w:t>
            </w:r>
          </w:p>
        </w:tc>
      </w:tr>
    </w:tbl>
    <w:p w14:paraId="1D90FBBD" w14:textId="77777777" w:rsidR="00204588" w:rsidRPr="00887108" w:rsidRDefault="00204588" w:rsidP="00204588">
      <w:pPr>
        <w:pStyle w:val="Nadpis1"/>
        <w:keepLines/>
        <w:numPr>
          <w:ilvl w:val="0"/>
          <w:numId w:val="2"/>
        </w:numPr>
        <w:spacing w:before="240" w:after="240"/>
        <w:rPr>
          <w:color w:val="2C9ADC"/>
          <w:szCs w:val="28"/>
        </w:rPr>
      </w:pPr>
      <w:bookmarkStart w:id="89" w:name="_Toc40181047"/>
      <w:bookmarkEnd w:id="0"/>
      <w:bookmarkEnd w:id="2"/>
      <w:bookmarkEnd w:id="3"/>
      <w:bookmarkEnd w:id="4"/>
      <w:bookmarkEnd w:id="5"/>
      <w:bookmarkEnd w:id="6"/>
      <w:bookmarkEnd w:id="7"/>
      <w:bookmarkEnd w:id="8"/>
      <w:bookmarkEnd w:id="9"/>
      <w:bookmarkEnd w:id="10"/>
      <w:bookmarkEnd w:id="11"/>
      <w:bookmarkEnd w:id="12"/>
      <w:bookmarkEnd w:id="13"/>
      <w:bookmarkEnd w:id="23"/>
      <w:r w:rsidRPr="00887108">
        <w:rPr>
          <w:color w:val="2C9ADC"/>
          <w:szCs w:val="28"/>
        </w:rPr>
        <w:t>POZÍCIA VEREJNÝCH FINANCIÍ</w:t>
      </w:r>
      <w:bookmarkEnd w:id="89"/>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7"/>
      </w:tblGrid>
      <w:tr w:rsidR="00204588" w:rsidRPr="00887108" w14:paraId="19CF9A0A" w14:textId="77777777" w:rsidTr="003C301C">
        <w:trPr>
          <w:trHeight w:val="3255"/>
        </w:trPr>
        <w:tc>
          <w:tcPr>
            <w:tcW w:w="9057" w:type="dxa"/>
          </w:tcPr>
          <w:p w14:paraId="5E165534" w14:textId="2A65D5D5" w:rsidR="00204588" w:rsidRPr="00887108" w:rsidRDefault="005A3FE8" w:rsidP="00EB427B">
            <w:pPr>
              <w:pStyle w:val="odsekzatabukou"/>
              <w:spacing w:before="120" w:after="120"/>
              <w:rPr>
                <w:i/>
                <w:highlight w:val="yellow"/>
              </w:rPr>
            </w:pPr>
            <w:r w:rsidRPr="00887108">
              <w:rPr>
                <w:i/>
              </w:rPr>
              <w:t xml:space="preserve">Pandémia znásobí riziká vo verejných financiách. Deficit v hospodárení verejnej správy v roku 2019 dosiahol 1,3 % HDP, výrazne nad cieľom vyrovnaného rozpočtu, a opatrenia v daňovej a sociálnej oblasti, vrátane v tomto roku </w:t>
            </w:r>
            <w:r w:rsidR="002F626B" w:rsidRPr="00887108">
              <w:rPr>
                <w:i/>
              </w:rPr>
              <w:t xml:space="preserve">schválených </w:t>
            </w:r>
            <w:r w:rsidRPr="00887108">
              <w:rPr>
                <w:i/>
              </w:rPr>
              <w:t xml:space="preserve">13. </w:t>
            </w:r>
            <w:r w:rsidR="002F626B" w:rsidRPr="00887108">
              <w:rPr>
                <w:i/>
              </w:rPr>
              <w:t>dôchodkov</w:t>
            </w:r>
            <w:r w:rsidRPr="00887108">
              <w:rPr>
                <w:i/>
              </w:rPr>
              <w:t xml:space="preserve">, ešte zvýšili rozpočtové riziká pre rok 2020. </w:t>
            </w:r>
            <w:r w:rsidR="00204588" w:rsidRPr="00887108">
              <w:rPr>
                <w:i/>
              </w:rPr>
              <w:t xml:space="preserve">Schodok však najvýznamnejšie porastie vplyvom aktuálnej pandémie spôsobenej výskytom </w:t>
            </w:r>
            <w:r w:rsidR="006747E4" w:rsidRPr="00887108">
              <w:rPr>
                <w:i/>
              </w:rPr>
              <w:t>k</w:t>
            </w:r>
            <w:r w:rsidR="00204588" w:rsidRPr="00887108">
              <w:rPr>
                <w:i/>
              </w:rPr>
              <w:t xml:space="preserve">oronavírusu. Opatrenia vlády proti šíreniu koronavírusu a stabilizáciu ekonomiky </w:t>
            </w:r>
            <w:r w:rsidRPr="00887108">
              <w:rPr>
                <w:i/>
              </w:rPr>
              <w:t xml:space="preserve">dimenzované </w:t>
            </w:r>
            <w:r w:rsidR="00204588" w:rsidRPr="00887108">
              <w:rPr>
                <w:i/>
              </w:rPr>
              <w:t xml:space="preserve">v objeme 2,5 % HDP a </w:t>
            </w:r>
            <w:r w:rsidR="00824364" w:rsidRPr="00887108">
              <w:rPr>
                <w:i/>
              </w:rPr>
              <w:t>dôsledky</w:t>
            </w:r>
            <w:r w:rsidR="00B67956" w:rsidRPr="00887108">
              <w:rPr>
                <w:i/>
              </w:rPr>
              <w:t xml:space="preserve"> poklesu ekonomiky na verejné financie</w:t>
            </w:r>
            <w:r w:rsidR="00204588" w:rsidRPr="00887108">
              <w:rPr>
                <w:i/>
              </w:rPr>
              <w:t xml:space="preserve"> môžu spôsobiť nárast deficitu v roku 2020 až na 8,4 % HDP. Hrubý verejný dlh</w:t>
            </w:r>
            <w:r w:rsidR="00EC7029" w:rsidRPr="00887108">
              <w:rPr>
                <w:i/>
              </w:rPr>
              <w:t xml:space="preserve">, ktorého nárast sa odhaduje na 61,2 % HDP, </w:t>
            </w:r>
            <w:r w:rsidR="00204588" w:rsidRPr="00887108">
              <w:rPr>
                <w:i/>
              </w:rPr>
              <w:t xml:space="preserve"> tak v tomto roku zrejme prekoná najvyššie sankčné pásmo dlhovej brzdy. Vláda plánuje v súlade so svojím programovým vyhlásením zvrátenie ďalšieho nárastu dlhu, znížením deficitu na 2,9 % HDP do roku 2023. Hrubý dlh sa tak </w:t>
            </w:r>
            <w:r w:rsidRPr="00887108">
              <w:rPr>
                <w:i/>
              </w:rPr>
              <w:t xml:space="preserve">už </w:t>
            </w:r>
            <w:r w:rsidR="00204588" w:rsidRPr="00887108">
              <w:rPr>
                <w:i/>
              </w:rPr>
              <w:t xml:space="preserve">do roku 2023 stabilizuje okolo úrovne 60 % HDP. Na dosiahnutie strednodobých cieľov 2021 až 2023 bude </w:t>
            </w:r>
            <w:r w:rsidR="002F626B" w:rsidRPr="00887108">
              <w:rPr>
                <w:i/>
              </w:rPr>
              <w:t>opro</w:t>
            </w:r>
            <w:r w:rsidR="00343B57" w:rsidRPr="00887108">
              <w:rPr>
                <w:i/>
              </w:rPr>
              <w:t xml:space="preserve">ti scenáru nezmenených politík </w:t>
            </w:r>
            <w:r w:rsidR="00204588" w:rsidRPr="00887108">
              <w:rPr>
                <w:i/>
              </w:rPr>
              <w:t xml:space="preserve">potrebné prijatie konsolidačných opatrení vo výške </w:t>
            </w:r>
            <w:r w:rsidR="00E55CB7" w:rsidRPr="00887108">
              <w:rPr>
                <w:i/>
              </w:rPr>
              <w:t>1</w:t>
            </w:r>
            <w:r w:rsidR="00204588" w:rsidRPr="00887108">
              <w:rPr>
                <w:i/>
              </w:rPr>
              <w:t>,</w:t>
            </w:r>
            <w:r w:rsidR="00E55CB7" w:rsidRPr="00887108">
              <w:rPr>
                <w:i/>
              </w:rPr>
              <w:t>1</w:t>
            </w:r>
            <w:r w:rsidR="00204588" w:rsidRPr="00887108">
              <w:rPr>
                <w:i/>
              </w:rPr>
              <w:t xml:space="preserve"> miliardy v roku 2020 až 3,4 miliardy v roku 2023. </w:t>
            </w:r>
            <w:r w:rsidRPr="00887108">
              <w:rPr>
                <w:i/>
              </w:rPr>
              <w:t>Vzhľadom na výraznú neistotu ohľadom budúceho ekonomického</w:t>
            </w:r>
            <w:r w:rsidR="003D3D6A" w:rsidRPr="00887108">
              <w:rPr>
                <w:i/>
              </w:rPr>
              <w:t xml:space="preserve"> vývoja</w:t>
            </w:r>
            <w:r w:rsidRPr="00887108">
              <w:rPr>
                <w:i/>
              </w:rPr>
              <w:t xml:space="preserve"> budú tieto ciele v prípade </w:t>
            </w:r>
            <w:r w:rsidR="00EB427B" w:rsidRPr="00887108">
              <w:rPr>
                <w:i/>
              </w:rPr>
              <w:t xml:space="preserve">zmien </w:t>
            </w:r>
            <w:r w:rsidRPr="00887108">
              <w:rPr>
                <w:i/>
              </w:rPr>
              <w:t>aktualizované</w:t>
            </w:r>
            <w:r w:rsidR="003D3D6A" w:rsidRPr="00887108">
              <w:rPr>
                <w:i/>
              </w:rPr>
              <w:t>.</w:t>
            </w:r>
            <w:r w:rsidRPr="00887108">
              <w:rPr>
                <w:i/>
              </w:rPr>
              <w:t xml:space="preserve"> </w:t>
            </w:r>
            <w:r w:rsidR="00EB427B" w:rsidRPr="00887108">
              <w:rPr>
                <w:i/>
              </w:rPr>
              <w:t xml:space="preserve">Preferované budú </w:t>
            </w:r>
            <w:r w:rsidR="00226705" w:rsidRPr="00887108">
              <w:rPr>
                <w:i/>
              </w:rPr>
              <w:t>opatrenia zvyšujúce efektívnosť verejných financií.</w:t>
            </w:r>
          </w:p>
        </w:tc>
      </w:tr>
    </w:tbl>
    <w:p w14:paraId="4C55258F" w14:textId="77777777" w:rsidR="00204588" w:rsidRPr="00887108" w:rsidRDefault="00204588" w:rsidP="00204588">
      <w:pPr>
        <w:pStyle w:val="Nadpis2"/>
        <w:keepLines/>
        <w:numPr>
          <w:ilvl w:val="1"/>
          <w:numId w:val="2"/>
        </w:numPr>
        <w:spacing w:after="120"/>
        <w:rPr>
          <w:b/>
          <w:color w:val="2C9ADC"/>
          <w:szCs w:val="24"/>
        </w:rPr>
      </w:pPr>
      <w:bookmarkStart w:id="90" w:name="_Toc40181048"/>
      <w:r w:rsidRPr="00887108">
        <w:rPr>
          <w:b/>
          <w:color w:val="2C9ADC"/>
          <w:szCs w:val="24"/>
        </w:rPr>
        <w:t>Saldo verejnej správy v roku 2019</w:t>
      </w:r>
      <w:bookmarkEnd w:id="90"/>
    </w:p>
    <w:p w14:paraId="798EB411" w14:textId="1FC9259F" w:rsidR="00204588" w:rsidRPr="00887108" w:rsidRDefault="00204588" w:rsidP="00204588">
      <w:pPr>
        <w:pStyle w:val="Popis"/>
        <w:keepNext/>
        <w:spacing w:after="0"/>
        <w:jc w:val="both"/>
        <w:rPr>
          <w:rFonts w:cs="Arial Narrow"/>
          <w:b w:val="0"/>
          <w:color w:val="000000" w:themeColor="text1"/>
          <w:sz w:val="22"/>
          <w:szCs w:val="22"/>
        </w:rPr>
      </w:pPr>
      <w:r w:rsidRPr="00887108">
        <w:rPr>
          <w:color w:val="000000" w:themeColor="text1"/>
          <w:sz w:val="22"/>
          <w:szCs w:val="22"/>
        </w:rPr>
        <w:t>Deficit verejnej správy dosiahol v roku 2019 podľa notifikácie Eurostatu 1,30 % HDP</w:t>
      </w:r>
      <w:r w:rsidRPr="00887108">
        <w:rPr>
          <w:rStyle w:val="Odkaznapoznmkupodiarou"/>
          <w:color w:val="000000" w:themeColor="text1"/>
          <w:sz w:val="22"/>
          <w:szCs w:val="22"/>
          <w:lang w:val="sk-SK"/>
        </w:rPr>
        <w:footnoteReference w:id="5"/>
      </w:r>
      <w:r w:rsidRPr="00887108">
        <w:rPr>
          <w:rFonts w:cs="Arial Narrow"/>
          <w:color w:val="000000" w:themeColor="text1"/>
          <w:sz w:val="22"/>
          <w:szCs w:val="22"/>
        </w:rPr>
        <w:t>.</w:t>
      </w:r>
      <w:r w:rsidRPr="00887108">
        <w:rPr>
          <w:rFonts w:cs="Arial Narrow"/>
          <w:b w:val="0"/>
          <w:color w:val="000000" w:themeColor="text1"/>
          <w:sz w:val="22"/>
          <w:szCs w:val="22"/>
        </w:rPr>
        <w:t xml:space="preserve"> Cieľ vyrovnaného rozpočtu tak nebol dosiahnutý. K deficitnému hospodáreniu prispeli najmä vyššie výdavky štátneho rozpočtu a sociálnej poisťovne, výpadok daňových a nedaňových príjmov štátneho rozpočtu a nižší prebytok samospráv</w:t>
      </w:r>
      <w:r w:rsidR="00515D42" w:rsidRPr="00887108">
        <w:rPr>
          <w:rFonts w:cs="Arial Narrow"/>
          <w:b w:val="0"/>
          <w:color w:val="000000" w:themeColor="text1"/>
          <w:sz w:val="22"/>
          <w:szCs w:val="22"/>
        </w:rPr>
        <w:t>,</w:t>
      </w:r>
      <w:r w:rsidRPr="00887108">
        <w:rPr>
          <w:rFonts w:cs="Arial Narrow"/>
          <w:b w:val="0"/>
          <w:color w:val="000000" w:themeColor="text1"/>
          <w:sz w:val="22"/>
          <w:szCs w:val="22"/>
        </w:rPr>
        <w:t xml:space="preserve"> než </w:t>
      </w:r>
      <w:r w:rsidR="00515D42" w:rsidRPr="00887108">
        <w:rPr>
          <w:rFonts w:cs="Arial Narrow"/>
          <w:b w:val="0"/>
          <w:color w:val="000000" w:themeColor="text1"/>
          <w:sz w:val="22"/>
          <w:szCs w:val="22"/>
        </w:rPr>
        <w:t xml:space="preserve">predpokladal </w:t>
      </w:r>
      <w:r w:rsidRPr="00887108">
        <w:rPr>
          <w:rFonts w:cs="Arial Narrow"/>
          <w:b w:val="0"/>
          <w:color w:val="000000" w:themeColor="text1"/>
          <w:sz w:val="22"/>
          <w:szCs w:val="22"/>
        </w:rPr>
        <w:t>schválený rozpočet.</w:t>
      </w:r>
      <w:r w:rsidR="002C54D8" w:rsidRPr="00887108">
        <w:rPr>
          <w:rFonts w:cs="Arial Narrow"/>
          <w:b w:val="0"/>
          <w:color w:val="000000" w:themeColor="text1"/>
          <w:sz w:val="22"/>
          <w:szCs w:val="22"/>
        </w:rPr>
        <w:t xml:space="preserve"> </w:t>
      </w:r>
    </w:p>
    <w:tbl>
      <w:tblPr>
        <w:tblW w:w="9070" w:type="dxa"/>
        <w:tblCellMar>
          <w:left w:w="70" w:type="dxa"/>
          <w:right w:w="70" w:type="dxa"/>
        </w:tblCellMar>
        <w:tblLook w:val="04A0" w:firstRow="1" w:lastRow="0" w:firstColumn="1" w:lastColumn="0" w:noHBand="0" w:noVBand="1"/>
      </w:tblPr>
      <w:tblGrid>
        <w:gridCol w:w="8070"/>
        <w:gridCol w:w="1000"/>
      </w:tblGrid>
      <w:tr w:rsidR="00204588" w:rsidRPr="00887108" w14:paraId="2D0DCAB8" w14:textId="77777777" w:rsidTr="00204588">
        <w:trPr>
          <w:trHeight w:val="199"/>
        </w:trPr>
        <w:tc>
          <w:tcPr>
            <w:tcW w:w="9070" w:type="dxa"/>
            <w:gridSpan w:val="2"/>
            <w:tcBorders>
              <w:top w:val="nil"/>
              <w:left w:val="nil"/>
              <w:bottom w:val="single" w:sz="8" w:space="0" w:color="auto"/>
              <w:right w:val="nil"/>
            </w:tcBorders>
            <w:shd w:val="clear" w:color="auto" w:fill="auto"/>
            <w:noWrap/>
            <w:vAlign w:val="bottom"/>
            <w:hideMark/>
          </w:tcPr>
          <w:p w14:paraId="729ED733" w14:textId="77777777" w:rsidR="00204588" w:rsidRPr="00887108" w:rsidRDefault="00204588" w:rsidP="00204588">
            <w:pPr>
              <w:pStyle w:val="Nadpis3"/>
              <w:rPr>
                <w:rFonts w:eastAsiaTheme="minorHAnsi"/>
                <w:color w:val="2C9ADC"/>
                <w:szCs w:val="20"/>
                <w:lang w:eastAsia="en-US"/>
              </w:rPr>
            </w:pPr>
          </w:p>
          <w:p w14:paraId="52B2B670" w14:textId="46D4015B" w:rsidR="00204588" w:rsidRPr="00887108" w:rsidRDefault="00204588" w:rsidP="00204588">
            <w:pPr>
              <w:pStyle w:val="Nadpis3"/>
              <w:rPr>
                <w:rFonts w:eastAsiaTheme="minorHAnsi"/>
                <w:color w:val="2C9ADC"/>
                <w:szCs w:val="20"/>
                <w:lang w:eastAsia="en-US"/>
              </w:rPr>
            </w:pPr>
            <w:bookmarkStart w:id="91" w:name="_Toc40181262"/>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11</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 Plnenie schváleného rozpočtu 2019 - rozdiely na hlavných položkách (ESA 2010)</w:t>
            </w:r>
            <w:bookmarkEnd w:id="91"/>
            <w:r w:rsidRPr="00887108">
              <w:rPr>
                <w:rFonts w:eastAsiaTheme="minorHAnsi"/>
                <w:color w:val="2C9ADC"/>
                <w:szCs w:val="20"/>
                <w:lang w:eastAsia="en-US"/>
              </w:rPr>
              <w:t xml:space="preserve"> </w:t>
            </w:r>
          </w:p>
        </w:tc>
      </w:tr>
      <w:tr w:rsidR="00204588" w:rsidRPr="00887108" w14:paraId="39E5A300" w14:textId="77777777" w:rsidTr="00DC03E9">
        <w:trPr>
          <w:trHeight w:val="1221"/>
        </w:trPr>
        <w:tc>
          <w:tcPr>
            <w:tcW w:w="9070" w:type="dxa"/>
            <w:gridSpan w:val="2"/>
            <w:tcBorders>
              <w:top w:val="single" w:sz="8" w:space="0" w:color="auto"/>
              <w:left w:val="nil"/>
              <w:bottom w:val="single" w:sz="4" w:space="0" w:color="auto"/>
              <w:right w:val="nil"/>
            </w:tcBorders>
            <w:shd w:val="clear" w:color="auto" w:fill="auto"/>
            <w:noWrap/>
          </w:tcPr>
          <w:p w14:paraId="0526BB21" w14:textId="2D4AECFE" w:rsidR="00204588" w:rsidRPr="00887108" w:rsidRDefault="00DC03E9" w:rsidP="00204588">
            <w:pPr>
              <w:jc w:val="center"/>
              <w:rPr>
                <w:rFonts w:cs="Arial"/>
                <w:b/>
                <w:bCs/>
                <w:color w:val="000000"/>
                <w:sz w:val="16"/>
                <w:szCs w:val="16"/>
                <w:highlight w:val="yellow"/>
              </w:rPr>
            </w:pPr>
            <w:r w:rsidRPr="00887108">
              <w:drawing>
                <wp:inline distT="0" distB="0" distL="0" distR="0" wp14:anchorId="2E729D7F" wp14:editId="1AD01B00">
                  <wp:extent cx="5759450" cy="2396490"/>
                  <wp:effectExtent l="0" t="0" r="12700" b="381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04588" w:rsidRPr="00887108">
              <w:t xml:space="preserve"> </w:t>
            </w:r>
            <w:r w:rsidR="0027770C" w:rsidRPr="00887108">
              <w:t xml:space="preserve"> </w:t>
            </w:r>
          </w:p>
        </w:tc>
      </w:tr>
      <w:tr w:rsidR="00204588" w:rsidRPr="00887108" w14:paraId="458FE143" w14:textId="77777777" w:rsidTr="0027770C">
        <w:trPr>
          <w:trHeight w:val="172"/>
        </w:trPr>
        <w:tc>
          <w:tcPr>
            <w:tcW w:w="8072" w:type="dxa"/>
            <w:tcBorders>
              <w:top w:val="nil"/>
              <w:left w:val="nil"/>
              <w:bottom w:val="nil"/>
              <w:right w:val="nil"/>
            </w:tcBorders>
            <w:shd w:val="clear" w:color="auto" w:fill="auto"/>
            <w:noWrap/>
            <w:vAlign w:val="center"/>
          </w:tcPr>
          <w:p w14:paraId="39AB11D0" w14:textId="77777777" w:rsidR="00204588" w:rsidRPr="00887108" w:rsidRDefault="00204588" w:rsidP="00204588">
            <w:pPr>
              <w:spacing w:before="40"/>
              <w:rPr>
                <w:i/>
                <w:sz w:val="16"/>
                <w:szCs w:val="18"/>
                <w:lang w:eastAsia="en-US"/>
              </w:rPr>
            </w:pPr>
            <w:r w:rsidRPr="00887108">
              <w:rPr>
                <w:i/>
                <w:sz w:val="16"/>
                <w:szCs w:val="18"/>
                <w:lang w:eastAsia="en-US"/>
              </w:rPr>
              <w:t>(+) / (-) znamená pozitívny / negatívny vplyv na saldo VS</w:t>
            </w:r>
            <w:r w:rsidRPr="00887108">
              <w:rPr>
                <w:i/>
                <w:sz w:val="16"/>
                <w:szCs w:val="16"/>
                <w:lang w:eastAsia="en-US"/>
              </w:rPr>
              <w:t>.</w:t>
            </w:r>
          </w:p>
        </w:tc>
        <w:tc>
          <w:tcPr>
            <w:tcW w:w="998" w:type="dxa"/>
            <w:tcBorders>
              <w:top w:val="nil"/>
              <w:left w:val="nil"/>
              <w:bottom w:val="nil"/>
              <w:right w:val="nil"/>
            </w:tcBorders>
            <w:shd w:val="clear" w:color="auto" w:fill="auto"/>
            <w:vAlign w:val="center"/>
          </w:tcPr>
          <w:p w14:paraId="72D73818" w14:textId="77777777" w:rsidR="00204588" w:rsidRPr="00887108" w:rsidRDefault="00204588" w:rsidP="00204588">
            <w:pPr>
              <w:spacing w:before="40"/>
              <w:jc w:val="right"/>
              <w:rPr>
                <w:rFonts w:cs="Arial"/>
                <w:i/>
                <w:sz w:val="16"/>
                <w:szCs w:val="16"/>
              </w:rPr>
            </w:pPr>
            <w:r w:rsidRPr="00887108">
              <w:rPr>
                <w:rFonts w:cs="Arial"/>
                <w:i/>
                <w:sz w:val="16"/>
                <w:szCs w:val="16"/>
              </w:rPr>
              <w:t>Zdroj: MF SR</w:t>
            </w:r>
          </w:p>
        </w:tc>
      </w:tr>
    </w:tbl>
    <w:p w14:paraId="3BC19A96" w14:textId="77777777" w:rsidR="00204588" w:rsidRPr="00887108" w:rsidRDefault="00204588" w:rsidP="00204588">
      <w:pPr>
        <w:pStyle w:val="Odsekzoznamu"/>
        <w:jc w:val="both"/>
        <w:rPr>
          <w:highlight w:val="yellow"/>
        </w:rPr>
      </w:pPr>
    </w:p>
    <w:p w14:paraId="0D543EC4" w14:textId="02B5050E" w:rsidR="00204588" w:rsidRPr="00887108" w:rsidRDefault="00204588" w:rsidP="00204588">
      <w:pPr>
        <w:spacing w:before="120" w:after="120"/>
        <w:jc w:val="both"/>
      </w:pPr>
      <w:r w:rsidRPr="00887108">
        <w:rPr>
          <w:b/>
        </w:rPr>
        <w:t>Hospodárenie samospráv skončilo s </w:t>
      </w:r>
      <w:r w:rsidR="00453600" w:rsidRPr="00887108">
        <w:rPr>
          <w:b/>
        </w:rPr>
        <w:t>niž</w:t>
      </w:r>
      <w:r w:rsidRPr="00887108">
        <w:rPr>
          <w:b/>
        </w:rPr>
        <w:t>ším prebytkom, o 256 mil. eur</w:t>
      </w:r>
      <w:r w:rsidRPr="00887108">
        <w:t xml:space="preserve">. Samosprávy mali vyššie ako rozpočtované výdavky najmä na </w:t>
      </w:r>
      <w:r w:rsidR="00810D7A" w:rsidRPr="00887108">
        <w:t xml:space="preserve">kompenzácie </w:t>
      </w:r>
      <w:r w:rsidRPr="00887108">
        <w:t>(</w:t>
      </w:r>
      <w:r w:rsidR="00810D7A" w:rsidRPr="00887108">
        <w:t xml:space="preserve">206 </w:t>
      </w:r>
      <w:r w:rsidRPr="00887108">
        <w:t>mil. eur), na bežné transfery (188 mil. eur),</w:t>
      </w:r>
      <w:r w:rsidR="008B707C" w:rsidRPr="00887108">
        <w:t xml:space="preserve"> </w:t>
      </w:r>
      <w:r w:rsidRPr="00887108">
        <w:t xml:space="preserve">ako aj investície (540 mil. eur). Zvýšené výdavky boli </w:t>
      </w:r>
      <w:r w:rsidR="00515D42" w:rsidRPr="00887108">
        <w:t xml:space="preserve">čiastočne </w:t>
      </w:r>
      <w:r w:rsidRPr="00887108">
        <w:t>spôsobené novými povinnosťami (napr. poskytovať „obedy zadarmo“ na základných a materských školách). Časť nárastu výdavkov však nebola krytá dodatočnými príjmovými transfermi zo štátneho ani EÚ rozpočtu, ani vlastnými príjmami</w:t>
      </w:r>
      <w:r w:rsidR="008B707C" w:rsidRPr="00887108">
        <w:t>,</w:t>
      </w:r>
      <w:r w:rsidRPr="00887108">
        <w:t xml:space="preserve"> čo vyústilo v nižší než v rozpočte plánovaný prebytok samospráv.</w:t>
      </w:r>
    </w:p>
    <w:p w14:paraId="73F8A99C" w14:textId="700E8D61" w:rsidR="00204588" w:rsidRPr="00887108" w:rsidRDefault="00204588" w:rsidP="00204588">
      <w:pPr>
        <w:spacing w:before="120" w:after="120"/>
        <w:jc w:val="both"/>
      </w:pPr>
      <w:r w:rsidRPr="00887108">
        <w:rPr>
          <w:b/>
        </w:rPr>
        <w:t>Rozpočet prekročili výrazne aj ostatné výdavky štátneho rozpočtu</w:t>
      </w:r>
      <w:r w:rsidRPr="00887108">
        <w:rPr>
          <w:rStyle w:val="Odkaznapoznmkupodiarou"/>
          <w:b/>
          <w:lang w:val="sk-SK"/>
        </w:rPr>
        <w:footnoteReference w:id="6"/>
      </w:r>
      <w:r w:rsidRPr="00887108">
        <w:rPr>
          <w:b/>
        </w:rPr>
        <w:t xml:space="preserve">. </w:t>
      </w:r>
      <w:r w:rsidRPr="00887108">
        <w:t>Dôvodom</w:t>
      </w:r>
      <w:r w:rsidRPr="00887108">
        <w:rPr>
          <w:b/>
        </w:rPr>
        <w:t xml:space="preserve"> </w:t>
      </w:r>
      <w:r w:rsidRPr="00887108">
        <w:t>je najmä dofinancovanie zdra</w:t>
      </w:r>
      <w:r w:rsidR="00343B57" w:rsidRPr="00887108">
        <w:t>votníctva vo výške 173 mil. eur</w:t>
      </w:r>
      <w:r w:rsidRPr="00887108">
        <w:t xml:space="preserve"> na pokrytie nerozpočtovaného rastu výdavkov zdravotného poistenia.</w:t>
      </w:r>
      <w:r w:rsidR="00A70BD1" w:rsidRPr="00887108">
        <w:t xml:space="preserve"> </w:t>
      </w:r>
      <w:r w:rsidR="00257822" w:rsidRPr="00887108">
        <w:t xml:space="preserve">Dofinancovanie sa udialo </w:t>
      </w:r>
      <w:r w:rsidR="00C273C0" w:rsidRPr="00887108">
        <w:t>najmä</w:t>
      </w:r>
      <w:r w:rsidR="00257822" w:rsidRPr="00887108">
        <w:t xml:space="preserve"> pre</w:t>
      </w:r>
      <w:r w:rsidR="00A70BD1" w:rsidRPr="00887108">
        <w:t xml:space="preserve"> nerealizovanie</w:t>
      </w:r>
      <w:r w:rsidR="00C273C0" w:rsidRPr="00887108">
        <w:t xml:space="preserve"> časti</w:t>
      </w:r>
      <w:r w:rsidR="00A70BD1" w:rsidRPr="00887108">
        <w:t xml:space="preserve"> úsporných opatrení vychádzajúcich z revízie Útvaru hodnoty za peniaze ako aj</w:t>
      </w:r>
      <w:r w:rsidR="00C273C0" w:rsidRPr="00887108">
        <w:t xml:space="preserve"> zazmluvňovanie zdravotnými poisťovňami nad rámec rozpočtovaných úkonov</w:t>
      </w:r>
      <w:r w:rsidR="007348EF" w:rsidRPr="00887108">
        <w:rPr>
          <w:rStyle w:val="Odkaznapoznmkupodiarou"/>
          <w:lang w:val="sk-SK"/>
        </w:rPr>
        <w:footnoteReference w:id="7"/>
      </w:r>
      <w:r w:rsidR="00C273C0" w:rsidRPr="00887108">
        <w:t>.</w:t>
      </w:r>
      <w:r w:rsidRPr="00887108">
        <w:t xml:space="preserve"> K prekročeniu rozpočtu prispelo aj podhodnotenie výdavkov na nákup vojenskej techniky v zaznamenaní podľa európskej metodiky (196 mil. eur)</w:t>
      </w:r>
      <w:r w:rsidRPr="00887108">
        <w:rPr>
          <w:rStyle w:val="Odkaznapoznmkupodiarou"/>
          <w:lang w:val="sk-SK"/>
        </w:rPr>
        <w:footnoteReference w:id="8"/>
      </w:r>
      <w:r w:rsidRPr="00887108">
        <w:t>. V závere roka došlo prostredníctvom transferu zo štátneho rozpočtu aj k zrýchleniu čerpania prostriedkov určených na modernizáciu nemocníc a investičnú činnosť národnej diaľničnej spoločnosti (NDS). Rýchlejšie čerpanie investícii je dôsledkom najmä presunu nevyčerpaných prostriedkov z minulých rokov</w:t>
      </w:r>
      <w:r w:rsidRPr="00887108">
        <w:rPr>
          <w:rStyle w:val="Odkaznapoznmkupodiarou"/>
          <w:lang w:val="sk-SK"/>
        </w:rPr>
        <w:footnoteReference w:id="9"/>
      </w:r>
      <w:r w:rsidRPr="00887108">
        <w:t>.</w:t>
      </w:r>
    </w:p>
    <w:p w14:paraId="258FBFA8" w14:textId="758F97B7" w:rsidR="00204588" w:rsidRPr="00887108" w:rsidRDefault="00E921BF" w:rsidP="00204588">
      <w:pPr>
        <w:spacing w:before="120" w:after="120"/>
        <w:jc w:val="both"/>
      </w:pPr>
      <w:r w:rsidRPr="00887108">
        <w:rPr>
          <w:b/>
        </w:rPr>
        <w:t>Z</w:t>
      </w:r>
      <w:r w:rsidR="00204588" w:rsidRPr="00887108">
        <w:rPr>
          <w:b/>
        </w:rPr>
        <w:t>ároveň došlo k výpadku viacerých nedaňových príjmov</w:t>
      </w:r>
      <w:r w:rsidR="00204588" w:rsidRPr="00887108">
        <w:t xml:space="preserve">. Dividenda vyplatená zo Slovenského plynárenského priemyslu bola oproti predpokladom rozpočtu nižšia o 133 mil. eur. Výraznejší výpadok </w:t>
      </w:r>
      <w:r w:rsidRPr="00887108">
        <w:t xml:space="preserve">príjmov </w:t>
      </w:r>
      <w:r w:rsidR="00204588" w:rsidRPr="00887108">
        <w:t>zaznamenal Národný jadrový fond, neuznaním väčšiny jeho príjmov v metodike ESA 2010</w:t>
      </w:r>
      <w:r w:rsidR="00204588" w:rsidRPr="00887108">
        <w:rPr>
          <w:rStyle w:val="Odkaznapoznmkupodiarou"/>
          <w:lang w:val="sk-SK"/>
        </w:rPr>
        <w:footnoteReference w:id="10"/>
      </w:r>
      <w:r w:rsidR="00204588" w:rsidRPr="00887108">
        <w:t xml:space="preserve"> (</w:t>
      </w:r>
      <w:r w:rsidR="00A41CD9" w:rsidRPr="00887108">
        <w:t xml:space="preserve">123 </w:t>
      </w:r>
      <w:r w:rsidR="00204588" w:rsidRPr="00887108">
        <w:t>mil. eur) a ďalším posunom v dostavbe jadrovej elektrárne v Mochovciach (24 mil. eur).</w:t>
      </w:r>
      <w:r w:rsidR="00204588" w:rsidRPr="00887108" w:rsidDel="00C97828">
        <w:rPr>
          <w:rStyle w:val="Odkaznapoznmkupodiarou"/>
          <w:lang w:val="sk-SK"/>
        </w:rPr>
        <w:t xml:space="preserve"> </w:t>
      </w:r>
      <w:r w:rsidR="00204588" w:rsidRPr="00887108">
        <w:t xml:space="preserve">Nižšie príjmy dosiahla aj Agentúra pre núdzové zásoby ropy a ropných výrobkov (EOSA) z dôvodu opakovaného nezrealizovania plánovaného zvýšenia poplatkov za správu ropy a ropných produktov (35 mil. eur). </w:t>
      </w:r>
    </w:p>
    <w:p w14:paraId="16B85EC9" w14:textId="0DE35BC0" w:rsidR="00204588" w:rsidRPr="00887108" w:rsidRDefault="00204588" w:rsidP="00204588">
      <w:pPr>
        <w:spacing w:before="120" w:after="120"/>
        <w:jc w:val="both"/>
      </w:pPr>
      <w:r w:rsidRPr="00887108">
        <w:rPr>
          <w:b/>
        </w:rPr>
        <w:t xml:space="preserve">V porovnaní so schváleným rozpočtom rástli výraznejšie aj výdavky Sociálnej poisťovne. </w:t>
      </w:r>
      <w:r w:rsidRPr="00887108">
        <w:t>Vyššie než rozpočtované výdavky o 140 mil. eur súvisia so zreálnením plnenia nemocenských dávok a dáv</w:t>
      </w:r>
      <w:r w:rsidR="00E921BF" w:rsidRPr="00887108">
        <w:t>o</w:t>
      </w:r>
      <w:r w:rsidRPr="00887108">
        <w:t>k v</w:t>
      </w:r>
      <w:r w:rsidR="00113273">
        <w:t> </w:t>
      </w:r>
      <w:r w:rsidRPr="00887108">
        <w:t>nezamestnanosti</w:t>
      </w:r>
      <w:r w:rsidR="00113273">
        <w:t xml:space="preserve">. </w:t>
      </w:r>
      <w:r w:rsidRPr="00887108">
        <w:t>Rozpočtové hodnoty týchto položiek neodrážali výraznejší rast dávok z posledných rokov. Nemocenské dávky rástli výraznejšie najmä kvôli vyššiemu než očakávanému počtu otcov na materskej dovolenke ako aj vyšším rastom nominálnych miezd, z ktorých je materská dávka vypočítavaná. Dávky v nezamestnanosti mohli rásť z dôvodu dočasnej dobrovoľnej nezamestnanosti, keď si ľudia počas priaznivej časti ekonomického cyklu hľadali lepšiu prácu.</w:t>
      </w:r>
      <w:r w:rsidRPr="00887108" w:rsidDel="001B0009">
        <w:t xml:space="preserve"> </w:t>
      </w:r>
      <w:r w:rsidRPr="00887108">
        <w:t xml:space="preserve">Sociálna poisťovňa oproti predpokladom rozpočtu zaznamenala aj vyššie náklady na prevádzku, ktoré boli v rozpočte podhodnotené v kontexte trendov </w:t>
      </w:r>
      <w:r w:rsidR="00E840CF" w:rsidRPr="00887108">
        <w:t xml:space="preserve">z predchádzajúcich </w:t>
      </w:r>
      <w:r w:rsidR="00E840CF" w:rsidRPr="00887108">
        <w:t xml:space="preserve">rokov </w:t>
      </w:r>
      <w:r w:rsidRPr="00887108">
        <w:t>(6</w:t>
      </w:r>
      <w:r w:rsidR="00113273">
        <w:t>2</w:t>
      </w:r>
      <w:r w:rsidRPr="00887108">
        <w:t xml:space="preserve"> mil. eur).</w:t>
      </w:r>
    </w:p>
    <w:p w14:paraId="3A18F4D3" w14:textId="0A7F43F5" w:rsidR="00204588" w:rsidRPr="00887108" w:rsidRDefault="00204588" w:rsidP="00204588">
      <w:pPr>
        <w:spacing w:before="120" w:after="120"/>
        <w:jc w:val="both"/>
      </w:pPr>
      <w:r w:rsidRPr="00887108">
        <w:rPr>
          <w:b/>
        </w:rPr>
        <w:t>K výsledku deficitného hospodárenia prispeli aj nižšie daňové príjmy štátneho rozpočtu</w:t>
      </w:r>
      <w:r w:rsidRPr="00887108">
        <w:rPr>
          <w:rStyle w:val="Odkaznapoznmkupodiarou"/>
          <w:b/>
          <w:lang w:val="sk-SK"/>
        </w:rPr>
        <w:footnoteReference w:id="11"/>
      </w:r>
      <w:r w:rsidRPr="00887108">
        <w:rPr>
          <w:b/>
        </w:rPr>
        <w:t>.</w:t>
      </w:r>
      <w:r w:rsidRPr="00887108">
        <w:t xml:space="preserve"> Oproti schválenému rozpočtu sú daňové príjmy nižšie hlavne z dôvodu nenaplnenia viacerých legislatívnych opatrení určených na boj proti daňovým únikom. </w:t>
      </w:r>
      <w:r w:rsidR="00E840CF" w:rsidRPr="00887108">
        <w:t>E</w:t>
      </w:r>
      <w:r w:rsidRPr="00887108">
        <w:t>lektronick</w:t>
      </w:r>
      <w:r w:rsidR="00E840CF" w:rsidRPr="00887108">
        <w:t>é</w:t>
      </w:r>
      <w:r w:rsidRPr="00887108">
        <w:t xml:space="preserve"> pokladn</w:t>
      </w:r>
      <w:r w:rsidR="00E840CF" w:rsidRPr="00887108">
        <w:t>i</w:t>
      </w:r>
      <w:r w:rsidRPr="00887108">
        <w:t>c</w:t>
      </w:r>
      <w:r w:rsidR="00E840CF" w:rsidRPr="00887108">
        <w:t>e</w:t>
      </w:r>
      <w:r w:rsidRPr="00887108">
        <w:t xml:space="preserve"> (eKasy</w:t>
      </w:r>
      <w:r w:rsidRPr="00887108">
        <w:rPr>
          <w:rStyle w:val="Odkaznapoznmkupodiarou"/>
          <w:lang w:val="sk-SK"/>
        </w:rPr>
        <w:footnoteReference w:id="12"/>
      </w:r>
      <w:r w:rsidRPr="00887108">
        <w:t xml:space="preserve">) </w:t>
      </w:r>
      <w:r w:rsidR="00E840CF" w:rsidRPr="00887108">
        <w:t xml:space="preserve">boli zavedené neskôr </w:t>
      </w:r>
      <w:r w:rsidRPr="00887108">
        <w:t>a</w:t>
      </w:r>
      <w:r w:rsidR="00E840CF" w:rsidRPr="00887108">
        <w:t> </w:t>
      </w:r>
      <w:r w:rsidR="00E840CF" w:rsidRPr="00887108" w:rsidDel="00E840CF">
        <w:t xml:space="preserve"> </w:t>
      </w:r>
      <w:r w:rsidRPr="00887108">
        <w:t>identifikačn</w:t>
      </w:r>
      <w:r w:rsidR="00E840CF" w:rsidRPr="00887108">
        <w:t>é</w:t>
      </w:r>
      <w:r w:rsidRPr="00887108">
        <w:t xml:space="preserve"> látky do pohonných hmôt (nanomarkerov)</w:t>
      </w:r>
      <w:r w:rsidR="00E840CF" w:rsidRPr="00887108">
        <w:t xml:space="preserve"> doteraz neboli zavedené. Ich </w:t>
      </w:r>
      <w:r w:rsidR="00EF7822" w:rsidRPr="00887108">
        <w:t xml:space="preserve">predpokladaný </w:t>
      </w:r>
      <w:r w:rsidR="00E840CF" w:rsidRPr="00887108">
        <w:t xml:space="preserve">vplyv (spolu 90 mil. eur) bol v rozpočte zahrnutý </w:t>
      </w:r>
      <w:r w:rsidRPr="00887108">
        <w:t xml:space="preserve">nad rámec </w:t>
      </w:r>
      <w:r w:rsidR="00E840CF" w:rsidRPr="00887108">
        <w:t xml:space="preserve">odhadov </w:t>
      </w:r>
      <w:r w:rsidRPr="00887108">
        <w:t xml:space="preserve">Výboru pre daňové prognózy. Výpadok daňových príjmov súvisí aj so zrušením osobitného odvodu z obchodných reťazcov (112 mil. eur čistý vplyv vrátane DPPO). </w:t>
      </w:r>
    </w:p>
    <w:p w14:paraId="4C0C1E4B" w14:textId="586F8898" w:rsidR="003B14B8" w:rsidRPr="00887108" w:rsidRDefault="003B14B8" w:rsidP="00204588">
      <w:pPr>
        <w:spacing w:before="120" w:after="120"/>
        <w:jc w:val="both"/>
        <w:rPr>
          <w:color w:val="000000" w:themeColor="text1"/>
        </w:rPr>
      </w:pPr>
      <w:r w:rsidRPr="00887108">
        <w:rPr>
          <w:b/>
        </w:rPr>
        <w:t xml:space="preserve">Naopak pozitívne prekvapili odvodové príjmy z trhu práce, s vplyvom 70 mil. eur. </w:t>
      </w:r>
      <w:r w:rsidR="00040E0F" w:rsidRPr="00887108">
        <w:t>Aj pri pomalšom raste ekonomiky r</w:t>
      </w:r>
      <w:r w:rsidRPr="00887108">
        <w:t xml:space="preserve">ast nominálnych miezd prekonal očakávania rozpočtu. Detaily k </w:t>
      </w:r>
      <w:r w:rsidR="00040E0F" w:rsidRPr="00887108">
        <w:t>vyhodnoteniu</w:t>
      </w:r>
      <w:r w:rsidRPr="00887108">
        <w:t xml:space="preserve"> daňovo-odvodových príjmov celej verejnej správy oproti predpokladom schváleného rozpočtu sú opísané v </w:t>
      </w:r>
      <w:r w:rsidRPr="00887108">
        <w:rPr>
          <w:color w:val="2C9ADC" w:themeColor="accent1"/>
        </w:rPr>
        <w:t xml:space="preserve">Prílohe </w:t>
      </w:r>
      <w:r w:rsidR="001D7FBD" w:rsidRPr="00887108">
        <w:rPr>
          <w:color w:val="2C9ADC" w:themeColor="accent1"/>
        </w:rPr>
        <w:t>3</w:t>
      </w:r>
      <w:r w:rsidR="001D7FBD" w:rsidRPr="00887108">
        <w:rPr>
          <w:color w:val="000000" w:themeColor="text1"/>
        </w:rPr>
        <w:t>.</w:t>
      </w:r>
    </w:p>
    <w:p w14:paraId="79C2A316" w14:textId="41006E88" w:rsidR="00431E43" w:rsidRPr="00887108" w:rsidRDefault="00204588" w:rsidP="00843CB5">
      <w:pPr>
        <w:spacing w:before="120" w:after="120"/>
        <w:jc w:val="both"/>
      </w:pPr>
      <w:r w:rsidRPr="00887108">
        <w:rPr>
          <w:b/>
        </w:rPr>
        <w:t>Zrýchlenie čerpania eurofondov zvýšilo</w:t>
      </w:r>
      <w:r w:rsidR="00877951" w:rsidRPr="00887108">
        <w:rPr>
          <w:b/>
        </w:rPr>
        <w:t xml:space="preserve"> výdavky na spolufinancovanie</w:t>
      </w:r>
      <w:r w:rsidR="003B14B8" w:rsidRPr="00887108">
        <w:rPr>
          <w:b/>
        </w:rPr>
        <w:t xml:space="preserve">, čo </w:t>
      </w:r>
      <w:r w:rsidR="00CC1874" w:rsidRPr="00887108">
        <w:rPr>
          <w:b/>
        </w:rPr>
        <w:t>v plnej</w:t>
      </w:r>
      <w:r w:rsidR="003B14B8" w:rsidRPr="00887108">
        <w:rPr>
          <w:b/>
        </w:rPr>
        <w:t xml:space="preserve"> mier</w:t>
      </w:r>
      <w:r w:rsidR="00CC1874" w:rsidRPr="00887108">
        <w:rPr>
          <w:b/>
        </w:rPr>
        <w:t>e</w:t>
      </w:r>
      <w:r w:rsidR="003B14B8" w:rsidRPr="00887108">
        <w:rPr>
          <w:b/>
        </w:rPr>
        <w:t xml:space="preserve"> vykompenzoval nižší odvod do rozpočtu EÚ</w:t>
      </w:r>
      <w:r w:rsidRPr="00887108">
        <w:rPr>
          <w:b/>
        </w:rPr>
        <w:t>.</w:t>
      </w:r>
      <w:r w:rsidRPr="00887108">
        <w:t xml:space="preserve"> </w:t>
      </w:r>
      <w:r w:rsidR="003B14B8" w:rsidRPr="00887108">
        <w:t xml:space="preserve">Výraznejšie čerpanie </w:t>
      </w:r>
      <w:r w:rsidRPr="00887108">
        <w:t xml:space="preserve">európskych peňazí </w:t>
      </w:r>
      <w:r w:rsidR="003B14B8" w:rsidRPr="00887108">
        <w:t>o 70 mil</w:t>
      </w:r>
      <w:r w:rsidR="0057162B" w:rsidRPr="00887108">
        <w:t>.</w:t>
      </w:r>
      <w:r w:rsidR="003B14B8" w:rsidRPr="00887108">
        <w:t xml:space="preserve"> eur </w:t>
      </w:r>
      <w:r w:rsidRPr="00887108">
        <w:t>sa uskutočnilo najmä v sektore dopravnej infraštruktúry. Negatívny vplyv však bol plne kompenzovaný</w:t>
      </w:r>
      <w:r w:rsidR="00F9539C" w:rsidRPr="00887108">
        <w:t xml:space="preserve"> odvodom do EÚ rozpočtu, ktorý </w:t>
      </w:r>
      <w:r w:rsidRPr="00887108">
        <w:t>bol oproti predpokladom rozpočtu nižší o 89 mil. eur.</w:t>
      </w:r>
      <w:bookmarkStart w:id="92" w:name="_Ref5284931"/>
    </w:p>
    <w:p w14:paraId="5F5D7618" w14:textId="77777777" w:rsidR="001D7FBD" w:rsidRPr="00887108" w:rsidRDefault="001D7FBD" w:rsidP="00843CB5">
      <w:pPr>
        <w:spacing w:before="120" w:after="120"/>
        <w:jc w:val="both"/>
        <w:rPr>
          <w:highlight w:val="yellow"/>
        </w:rPr>
      </w:pPr>
    </w:p>
    <w:p w14:paraId="5925DFF2" w14:textId="7DBB15F5" w:rsidR="00204588" w:rsidRPr="00887108" w:rsidRDefault="00204588" w:rsidP="00905528">
      <w:pPr>
        <w:pStyle w:val="Nadpis2"/>
        <w:keepLines/>
        <w:numPr>
          <w:ilvl w:val="1"/>
          <w:numId w:val="2"/>
        </w:numPr>
        <w:spacing w:before="240" w:after="240"/>
        <w:rPr>
          <w:b/>
          <w:color w:val="2C9ADC"/>
          <w:szCs w:val="24"/>
        </w:rPr>
      </w:pPr>
      <w:bookmarkStart w:id="93" w:name="_Toc40181049"/>
      <w:bookmarkEnd w:id="92"/>
      <w:r w:rsidRPr="00887108">
        <w:rPr>
          <w:b/>
          <w:color w:val="2C9ADC"/>
          <w:szCs w:val="24"/>
        </w:rPr>
        <w:t>Aktuálny vývoj v roku 2020</w:t>
      </w:r>
      <w:bookmarkEnd w:id="93"/>
    </w:p>
    <w:p w14:paraId="1D0D23E7" w14:textId="75739A2A" w:rsidR="00204588" w:rsidRPr="00887108" w:rsidRDefault="00204588" w:rsidP="00204588">
      <w:pPr>
        <w:jc w:val="both"/>
      </w:pPr>
      <w:r w:rsidRPr="00887108">
        <w:rPr>
          <w:b/>
        </w:rPr>
        <w:t xml:space="preserve">Na základe aktuálneho vývoja narastie schodok VS v roku 2020 medziročne o vyše 7 p. b. HDP, až na 8,4 % HDP. </w:t>
      </w:r>
      <w:r w:rsidRPr="00887108">
        <w:t xml:space="preserve">Oproti predpokladom schváleného rozpočtu, ktorý uvažoval s deficitom na úrovni 0,49 % HDP, vplývajú na aktuálny vývoj </w:t>
      </w:r>
      <w:r w:rsidR="00E61F35" w:rsidRPr="00887108">
        <w:t xml:space="preserve">najmä </w:t>
      </w:r>
      <w:r w:rsidRPr="00887108">
        <w:t>opatrenia vlády proti šíreniu koronavírusu a dočasné prerušenie ekonomickej aktivity časti firiem (celkovo s vplyvom 5,</w:t>
      </w:r>
      <w:r w:rsidR="00922580" w:rsidRPr="00887108">
        <w:t>6</w:t>
      </w:r>
      <w:r w:rsidRPr="00887108">
        <w:t xml:space="preserve"> % HDP). Zároveň, mimo vplyvov spôsobených prepuknutím pandémie COVID19, dochádza najmä k zapracovaniu schválenia 13. dôchodkov začiatkom tohto roka, zreálneniu vývoja nedaňových príjmov a hospodárenia Sociálnej poisťovne a samospráv, ako aj materializácii ďalších rizík prenesených najmä z roku 2019 (s vplyvom spolu 2,</w:t>
      </w:r>
      <w:r w:rsidR="009C15AA" w:rsidRPr="00887108">
        <w:t>3</w:t>
      </w:r>
      <w:r w:rsidRPr="00887108">
        <w:t xml:space="preserve"> % HDP).</w:t>
      </w:r>
      <w:r w:rsidRPr="00887108" w:rsidDel="00AB0FD2">
        <w:t xml:space="preserve"> </w:t>
      </w:r>
    </w:p>
    <w:p w14:paraId="1C27185B" w14:textId="77777777" w:rsidR="00204588" w:rsidRPr="00887108" w:rsidRDefault="00204588" w:rsidP="00204588">
      <w:pPr>
        <w:jc w:val="both"/>
        <w:rPr>
          <w:highlight w:val="yellow"/>
        </w:rPr>
      </w:pPr>
    </w:p>
    <w:tbl>
      <w:tblPr>
        <w:tblW w:w="8985" w:type="dxa"/>
        <w:tblLayout w:type="fixed"/>
        <w:tblLook w:val="04A0" w:firstRow="1" w:lastRow="0" w:firstColumn="1" w:lastColumn="0" w:noHBand="0" w:noVBand="1"/>
      </w:tblPr>
      <w:tblGrid>
        <w:gridCol w:w="8985"/>
      </w:tblGrid>
      <w:tr w:rsidR="00204588" w:rsidRPr="00887108" w14:paraId="3E9DCFE3" w14:textId="77777777" w:rsidTr="00204588">
        <w:trPr>
          <w:trHeight w:val="121"/>
        </w:trPr>
        <w:tc>
          <w:tcPr>
            <w:tcW w:w="8985" w:type="dxa"/>
            <w:tcBorders>
              <w:left w:val="nil"/>
              <w:bottom w:val="single" w:sz="8" w:space="0" w:color="auto"/>
              <w:right w:val="nil"/>
            </w:tcBorders>
            <w:noWrap/>
            <w:vAlign w:val="center"/>
          </w:tcPr>
          <w:p w14:paraId="22DE20D2" w14:textId="1365E0D0" w:rsidR="00204588" w:rsidRPr="00887108" w:rsidRDefault="00204588" w:rsidP="00204588">
            <w:pPr>
              <w:pStyle w:val="Nadpis3"/>
              <w:rPr>
                <w:rFonts w:eastAsiaTheme="minorHAnsi"/>
                <w:color w:val="2C9ADC"/>
                <w:lang w:eastAsia="en-US"/>
              </w:rPr>
            </w:pPr>
            <w:bookmarkStart w:id="94" w:name="_Toc40181263"/>
            <w:r w:rsidRPr="00887108">
              <w:rPr>
                <w:rFonts w:eastAsiaTheme="minorHAnsi"/>
                <w:color w:val="2C9ADC"/>
                <w:lang w:eastAsia="en-US"/>
              </w:rPr>
              <w:t xml:space="preserve">GRAF </w:t>
            </w:r>
            <w:r w:rsidRPr="00887108">
              <w:rPr>
                <w:rFonts w:eastAsiaTheme="minorHAnsi"/>
                <w:color w:val="2C9ADC"/>
                <w:lang w:eastAsia="en-US"/>
              </w:rPr>
              <w:fldChar w:fldCharType="begin"/>
            </w:r>
            <w:r w:rsidRPr="00887108">
              <w:rPr>
                <w:rFonts w:eastAsiaTheme="minorHAnsi"/>
                <w:color w:val="2C9ADC"/>
                <w:lang w:eastAsia="en-US"/>
              </w:rPr>
              <w:instrText xml:space="preserve"> SEQ GRAF \* ARABIC </w:instrText>
            </w:r>
            <w:r w:rsidRPr="00887108">
              <w:rPr>
                <w:rFonts w:eastAsiaTheme="minorHAnsi"/>
                <w:color w:val="2C9ADC"/>
                <w:lang w:eastAsia="en-US"/>
              </w:rPr>
              <w:fldChar w:fldCharType="separate"/>
            </w:r>
            <w:r w:rsidR="00D47A36">
              <w:rPr>
                <w:rFonts w:eastAsiaTheme="minorHAnsi"/>
                <w:noProof/>
                <w:color w:val="2C9ADC"/>
                <w:lang w:eastAsia="en-US"/>
              </w:rPr>
              <w:t>12</w:t>
            </w:r>
            <w:r w:rsidRPr="00887108">
              <w:rPr>
                <w:rFonts w:eastAsiaTheme="minorHAnsi"/>
                <w:color w:val="2C9ADC"/>
                <w:lang w:eastAsia="en-US"/>
              </w:rPr>
              <w:fldChar w:fldCharType="end"/>
            </w:r>
            <w:r w:rsidRPr="00887108">
              <w:rPr>
                <w:rFonts w:eastAsiaTheme="minorHAnsi"/>
                <w:color w:val="2C9ADC"/>
                <w:lang w:eastAsia="en-US"/>
              </w:rPr>
              <w:t xml:space="preserve"> - Plnenie schváleného rozpočtu - rozdiely na hlavných položkách (ESA 2010), príspevky v mil. eur</w:t>
            </w:r>
            <w:bookmarkEnd w:id="94"/>
          </w:p>
        </w:tc>
      </w:tr>
      <w:tr w:rsidR="00204588" w:rsidRPr="00887108" w14:paraId="0B85FDC1" w14:textId="77777777" w:rsidTr="00E34F73">
        <w:tblPrEx>
          <w:tblCellMar>
            <w:left w:w="70" w:type="dxa"/>
            <w:right w:w="70" w:type="dxa"/>
          </w:tblCellMar>
        </w:tblPrEx>
        <w:trPr>
          <w:trHeight w:val="3132"/>
        </w:trPr>
        <w:tc>
          <w:tcPr>
            <w:tcW w:w="8985" w:type="dxa"/>
            <w:tcBorders>
              <w:top w:val="single" w:sz="8" w:space="0" w:color="auto"/>
              <w:left w:val="nil"/>
              <w:bottom w:val="single" w:sz="4" w:space="0" w:color="auto"/>
              <w:right w:val="nil"/>
            </w:tcBorders>
            <w:noWrap/>
          </w:tcPr>
          <w:p w14:paraId="473D08C3" w14:textId="18182A26" w:rsidR="00204588" w:rsidRPr="00887108" w:rsidRDefault="00204588" w:rsidP="00204588">
            <w:pPr>
              <w:spacing w:line="256" w:lineRule="auto"/>
              <w:jc w:val="center"/>
              <w:rPr>
                <w:rFonts w:cs="Times New Roman"/>
                <w:b/>
                <w:bCs/>
                <w:color w:val="000000" w:themeColor="text1"/>
                <w:highlight w:val="yellow"/>
                <w:lang w:eastAsia="en-US"/>
              </w:rPr>
            </w:pPr>
            <w:r w:rsidRPr="00887108">
              <w:t xml:space="preserve"> </w:t>
            </w:r>
            <w:r w:rsidR="008C6817" w:rsidRPr="00887108">
              <w:t xml:space="preserve"> </w:t>
            </w:r>
            <w:r w:rsidR="00E34F73" w:rsidRPr="00887108">
              <w:drawing>
                <wp:inline distT="0" distB="0" distL="0" distR="0" wp14:anchorId="7215C15A" wp14:editId="5ED2B47C">
                  <wp:extent cx="5616575" cy="2802255"/>
                  <wp:effectExtent l="0" t="0" r="3175" b="1714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04588" w:rsidRPr="00887108" w14:paraId="6331CB02" w14:textId="77777777" w:rsidTr="00204588">
        <w:tblPrEx>
          <w:tblCellMar>
            <w:left w:w="70" w:type="dxa"/>
            <w:right w:w="70" w:type="dxa"/>
          </w:tblCellMar>
        </w:tblPrEx>
        <w:trPr>
          <w:trHeight w:val="112"/>
        </w:trPr>
        <w:tc>
          <w:tcPr>
            <w:tcW w:w="8985" w:type="dxa"/>
            <w:tcBorders>
              <w:top w:val="single" w:sz="8" w:space="0" w:color="auto"/>
              <w:left w:val="nil"/>
              <w:right w:val="nil"/>
            </w:tcBorders>
            <w:shd w:val="clear" w:color="auto" w:fill="auto"/>
            <w:noWrap/>
            <w:vAlign w:val="center"/>
          </w:tcPr>
          <w:p w14:paraId="2E649195" w14:textId="77777777" w:rsidR="00204588" w:rsidRPr="00887108" w:rsidRDefault="00204588" w:rsidP="00204588">
            <w:pPr>
              <w:spacing w:before="40"/>
              <w:rPr>
                <w:i/>
                <w:sz w:val="16"/>
                <w:szCs w:val="16"/>
                <w:lang w:eastAsia="en-US"/>
              </w:rPr>
            </w:pPr>
            <w:r w:rsidRPr="00887108">
              <w:rPr>
                <w:i/>
                <w:sz w:val="16"/>
                <w:szCs w:val="16"/>
                <w:lang w:eastAsia="en-US"/>
              </w:rPr>
              <w:t>(+) / (-) znamená pozitívny / negatívny vplyv na saldo VS                                                                                                                                  Zdroj: MF SR</w:t>
            </w:r>
          </w:p>
        </w:tc>
      </w:tr>
      <w:tr w:rsidR="00204588" w:rsidRPr="00887108" w14:paraId="7D1476E1" w14:textId="77777777" w:rsidTr="00204588">
        <w:tblPrEx>
          <w:tblCellMar>
            <w:left w:w="70" w:type="dxa"/>
            <w:right w:w="70" w:type="dxa"/>
          </w:tblCellMar>
        </w:tblPrEx>
        <w:trPr>
          <w:trHeight w:val="112"/>
        </w:trPr>
        <w:tc>
          <w:tcPr>
            <w:tcW w:w="8985" w:type="dxa"/>
            <w:tcBorders>
              <w:left w:val="nil"/>
              <w:right w:val="nil"/>
            </w:tcBorders>
            <w:shd w:val="clear" w:color="auto" w:fill="auto"/>
            <w:noWrap/>
            <w:vAlign w:val="center"/>
          </w:tcPr>
          <w:p w14:paraId="0845E951" w14:textId="77777777" w:rsidR="00204588" w:rsidRPr="00887108" w:rsidRDefault="00204588" w:rsidP="00204588">
            <w:pPr>
              <w:rPr>
                <w:i/>
                <w:sz w:val="16"/>
                <w:szCs w:val="16"/>
                <w:lang w:eastAsia="en-US"/>
              </w:rPr>
            </w:pPr>
          </w:p>
        </w:tc>
      </w:tr>
    </w:tbl>
    <w:p w14:paraId="15218742" w14:textId="77777777" w:rsidR="00204588" w:rsidRPr="00887108" w:rsidRDefault="00204588" w:rsidP="00204588">
      <w:pPr>
        <w:jc w:val="both"/>
        <w:rPr>
          <w:b/>
          <w:highlight w:val="yellow"/>
        </w:rPr>
      </w:pPr>
    </w:p>
    <w:p w14:paraId="424EA9A5" w14:textId="77777777" w:rsidR="00204588" w:rsidRPr="00887108" w:rsidRDefault="00204588" w:rsidP="00204588">
      <w:pPr>
        <w:spacing w:after="120"/>
        <w:jc w:val="both"/>
        <w:rPr>
          <w:b/>
        </w:rPr>
      </w:pPr>
      <w:r w:rsidRPr="00887108">
        <w:rPr>
          <w:b/>
        </w:rPr>
        <w:t>Vývoj verejných financií spôsobený koronavírusom</w:t>
      </w:r>
    </w:p>
    <w:p w14:paraId="5ECF0165" w14:textId="756154F7" w:rsidR="00204588" w:rsidRPr="00887108" w:rsidRDefault="00204588" w:rsidP="00204588">
      <w:pPr>
        <w:spacing w:after="120"/>
        <w:jc w:val="both"/>
      </w:pPr>
      <w:r w:rsidRPr="00887108">
        <w:rPr>
          <w:b/>
        </w:rPr>
        <w:t>Deficit verejnej správy sa v dôsledku nástupu korona krízy zvyšuje o</w:t>
      </w:r>
      <w:r w:rsidR="00EB26B1" w:rsidRPr="00887108" w:rsidDel="00EB26B1">
        <w:rPr>
          <w:b/>
        </w:rPr>
        <w:t xml:space="preserve"> </w:t>
      </w:r>
      <w:r w:rsidRPr="00887108">
        <w:rPr>
          <w:b/>
        </w:rPr>
        <w:t>5 miliárd eur (5,</w:t>
      </w:r>
      <w:r w:rsidR="00EB26B1" w:rsidRPr="00887108">
        <w:rPr>
          <w:b/>
        </w:rPr>
        <w:t xml:space="preserve">6 </w:t>
      </w:r>
      <w:r w:rsidRPr="00887108">
        <w:rPr>
          <w:b/>
        </w:rPr>
        <w:t>% HDP)</w:t>
      </w:r>
      <w:r w:rsidRPr="00887108">
        <w:rPr>
          <w:rStyle w:val="Odkaznapoznmkupodiarou"/>
          <w:b/>
          <w:lang w:val="sk-SK"/>
        </w:rPr>
        <w:footnoteReference w:id="13"/>
      </w:r>
      <w:r w:rsidRPr="00887108">
        <w:t xml:space="preserve">. Výpadok </w:t>
      </w:r>
      <w:r w:rsidR="00960B30" w:rsidRPr="00887108">
        <w:t xml:space="preserve">celkových </w:t>
      </w:r>
      <w:r w:rsidRPr="00887108">
        <w:t xml:space="preserve">daňovo odvodových príjmov </w:t>
      </w:r>
      <w:r w:rsidR="00AF0629" w:rsidRPr="00887108">
        <w:t>spôsobený krízou</w:t>
      </w:r>
      <w:r w:rsidRPr="00887108">
        <w:t xml:space="preserve"> </w:t>
      </w:r>
      <w:r w:rsidR="00960B30" w:rsidRPr="00887108">
        <w:t xml:space="preserve">sa očakáva </w:t>
      </w:r>
      <w:r w:rsidR="00EC7029" w:rsidRPr="00887108">
        <w:t xml:space="preserve">na úrovni </w:t>
      </w:r>
      <w:r w:rsidR="00303FB9" w:rsidRPr="00887108">
        <w:t>2</w:t>
      </w:r>
      <w:r w:rsidRPr="00887108">
        <w:t>,</w:t>
      </w:r>
      <w:r w:rsidR="00290E4B" w:rsidRPr="00887108">
        <w:t>4</w:t>
      </w:r>
      <w:r w:rsidR="00303FB9" w:rsidRPr="00887108">
        <w:t xml:space="preserve"> </w:t>
      </w:r>
      <w:r w:rsidRPr="00887108">
        <w:t>mld. eur (</w:t>
      </w:r>
      <w:r w:rsidR="00303FB9" w:rsidRPr="00887108">
        <w:t>2</w:t>
      </w:r>
      <w:r w:rsidRPr="00887108">
        <w:t>,</w:t>
      </w:r>
      <w:r w:rsidR="00290E4B" w:rsidRPr="00887108">
        <w:t>7</w:t>
      </w:r>
      <w:r w:rsidR="00303FB9" w:rsidRPr="00887108">
        <w:t xml:space="preserve"> </w:t>
      </w:r>
      <w:r w:rsidRPr="00887108">
        <w:t>% HDP).</w:t>
      </w:r>
      <w:r w:rsidR="002A1DCB" w:rsidRPr="00887108">
        <w:t xml:space="preserve"> </w:t>
      </w:r>
      <w:r w:rsidR="00AF0629" w:rsidRPr="00887108">
        <w:t>O</w:t>
      </w:r>
      <w:r w:rsidR="002A1DCB" w:rsidRPr="00887108">
        <w:t xml:space="preserve">patrenia vlády </w:t>
      </w:r>
      <w:r w:rsidR="00BA46EB" w:rsidRPr="00887108">
        <w:t>prispievajú</w:t>
      </w:r>
      <w:r w:rsidR="002A1DCB" w:rsidRPr="00887108">
        <w:t xml:space="preserve"> k </w:t>
      </w:r>
      <w:r w:rsidR="00AF0629" w:rsidRPr="00887108">
        <w:t>poklesu príjmov</w:t>
      </w:r>
      <w:r w:rsidR="002A1DCB" w:rsidRPr="00887108">
        <w:t xml:space="preserve"> o 0,7 mld</w:t>
      </w:r>
      <w:r w:rsidR="00BA46EB" w:rsidRPr="00887108">
        <w:t>.</w:t>
      </w:r>
      <w:r w:rsidR="002A1DCB" w:rsidRPr="00887108">
        <w:t xml:space="preserve"> eur (0,8 % HDP).</w:t>
      </w:r>
      <w:r w:rsidRPr="00887108">
        <w:t xml:space="preserve"> Výdavkové diskrečné opatrenia, ktoré zaviedla vláda v reakcii na korona vírus zvyšujú deficit o </w:t>
      </w:r>
      <w:r w:rsidR="00290E4B" w:rsidRPr="00887108">
        <w:t>1</w:t>
      </w:r>
      <w:r w:rsidRPr="00887108">
        <w:t>,</w:t>
      </w:r>
      <w:r w:rsidR="00290E4B" w:rsidRPr="00887108">
        <w:t>6</w:t>
      </w:r>
      <w:r w:rsidR="00303FB9" w:rsidRPr="00887108">
        <w:t xml:space="preserve"> </w:t>
      </w:r>
      <w:r w:rsidRPr="00887108">
        <w:t>mld. eur (</w:t>
      </w:r>
      <w:r w:rsidR="002A1DCB" w:rsidRPr="00887108">
        <w:t>1,8</w:t>
      </w:r>
      <w:r w:rsidR="00303FB9" w:rsidRPr="00887108">
        <w:t xml:space="preserve"> </w:t>
      </w:r>
      <w:r w:rsidR="00905528" w:rsidRPr="00887108">
        <w:t>% HDP) (</w:t>
      </w:r>
      <w:r w:rsidRPr="00887108">
        <w:rPr>
          <w:color w:val="2C9ADC" w:themeColor="accent1"/>
        </w:rPr>
        <w:t xml:space="preserve">BOX </w:t>
      </w:r>
      <w:r w:rsidR="00905528" w:rsidRPr="00887108">
        <w:rPr>
          <w:color w:val="2C9ADC" w:themeColor="accent1"/>
        </w:rPr>
        <w:t>2</w:t>
      </w:r>
      <w:r w:rsidR="00905528" w:rsidRPr="00887108">
        <w:t>).</w:t>
      </w:r>
      <w:r w:rsidR="00303FB9" w:rsidRPr="00887108">
        <w:t xml:space="preserve"> K očakávanému nárastu deficitu prispe</w:t>
      </w:r>
      <w:r w:rsidR="00AF0629" w:rsidRPr="00887108">
        <w:t>je</w:t>
      </w:r>
      <w:r w:rsidR="00303FB9" w:rsidRPr="00887108">
        <w:t xml:space="preserve"> aj nárast </w:t>
      </w:r>
      <w:r w:rsidR="00BA46EB" w:rsidRPr="00887108">
        <w:t>dávok</w:t>
      </w:r>
      <w:r w:rsidR="00303FB9" w:rsidRPr="00887108">
        <w:t xml:space="preserve"> v nezamestnanosti o 173 mil</w:t>
      </w:r>
      <w:r w:rsidR="00BA46EB" w:rsidRPr="00887108">
        <w:t>.</w:t>
      </w:r>
      <w:r w:rsidR="00303FB9" w:rsidRPr="00887108">
        <w:t xml:space="preserve"> eur (0,2 % HDP) </w:t>
      </w:r>
      <w:r w:rsidR="00AF0629" w:rsidRPr="00887108">
        <w:t>s ohľadom na očakávaný nárast nezamestnanosti</w:t>
      </w:r>
      <w:r w:rsidR="00303FB9" w:rsidRPr="00887108">
        <w:t>.</w:t>
      </w:r>
      <w:r w:rsidR="008928C8" w:rsidRPr="00887108">
        <w:t xml:space="preserve"> Vplyv koronakrízy sa prejaví na viacerých subjektoch verejnej správy</w:t>
      </w:r>
      <w:r w:rsidR="00960B30" w:rsidRPr="00887108">
        <w:t>, najmä štátnom rozpočte,</w:t>
      </w:r>
      <w:r w:rsidR="002456FC" w:rsidRPr="00887108">
        <w:t xml:space="preserve"> sociálnej poisťovni, </w:t>
      </w:r>
      <w:r w:rsidR="00960B30" w:rsidRPr="00887108">
        <w:t>s</w:t>
      </w:r>
      <w:r w:rsidR="002456FC" w:rsidRPr="00887108">
        <w:t xml:space="preserve">amosprávach, či niektorých </w:t>
      </w:r>
      <w:r w:rsidR="00BA46EB" w:rsidRPr="00887108">
        <w:t>štátnych</w:t>
      </w:r>
      <w:r w:rsidR="002456FC" w:rsidRPr="00887108">
        <w:t xml:space="preserve"> podnikoch.</w:t>
      </w:r>
    </w:p>
    <w:tbl>
      <w:tblPr>
        <w:tblpPr w:leftFromText="141" w:rightFromText="141" w:bottomFromText="160" w:vertAnchor="text" w:tblpXSpec="center" w:tblpY="1"/>
        <w:tblOverlap w:val="never"/>
        <w:tblW w:w="9075" w:type="dxa"/>
        <w:shd w:val="clear" w:color="auto" w:fill="AAD3F2"/>
        <w:tblLayout w:type="fixed"/>
        <w:tblCellMar>
          <w:left w:w="70" w:type="dxa"/>
          <w:right w:w="70" w:type="dxa"/>
        </w:tblCellMar>
        <w:tblLook w:val="01E0" w:firstRow="1" w:lastRow="1" w:firstColumn="1" w:lastColumn="1" w:noHBand="0" w:noVBand="0"/>
      </w:tblPr>
      <w:tblGrid>
        <w:gridCol w:w="9075"/>
      </w:tblGrid>
      <w:tr w:rsidR="00204588" w:rsidRPr="00887108" w14:paraId="2DE85C00" w14:textId="77777777" w:rsidTr="00407483">
        <w:trPr>
          <w:trHeight w:val="576"/>
        </w:trPr>
        <w:tc>
          <w:tcPr>
            <w:tcW w:w="9075" w:type="dxa"/>
            <w:shd w:val="clear" w:color="auto" w:fill="AAD3F2"/>
          </w:tcPr>
          <w:p w14:paraId="46757375" w14:textId="1373B1F1" w:rsidR="00204588" w:rsidRPr="00887108" w:rsidRDefault="006546DD" w:rsidP="00204588">
            <w:pPr>
              <w:pStyle w:val="Nadpis3"/>
              <w:spacing w:before="120" w:after="120"/>
              <w:rPr>
                <w:rFonts w:eastAsiaTheme="minorHAnsi" w:cstheme="minorBidi"/>
                <w:szCs w:val="20"/>
                <w:highlight w:val="yellow"/>
                <w:lang w:eastAsia="en-US"/>
              </w:rPr>
            </w:pPr>
            <w:bookmarkStart w:id="95" w:name="_Toc40181289"/>
            <w:r w:rsidRPr="00887108">
              <w:rPr>
                <w:color w:val="2C9ADC" w:themeColor="accent1"/>
                <w:sz w:val="22"/>
                <w:szCs w:val="22"/>
              </w:rPr>
              <w:t xml:space="preserve">BOX </w:t>
            </w:r>
            <w:r w:rsidRPr="00887108">
              <w:rPr>
                <w:color w:val="2C9ADC" w:themeColor="accent1"/>
                <w:sz w:val="22"/>
                <w:szCs w:val="22"/>
              </w:rPr>
              <w:fldChar w:fldCharType="begin"/>
            </w:r>
            <w:r w:rsidRPr="00887108">
              <w:rPr>
                <w:color w:val="2C9ADC" w:themeColor="accent1"/>
                <w:sz w:val="22"/>
                <w:szCs w:val="22"/>
              </w:rPr>
              <w:instrText xml:space="preserve"> SEQ BOX \* ARABIC </w:instrText>
            </w:r>
            <w:r w:rsidRPr="00887108">
              <w:rPr>
                <w:color w:val="2C9ADC" w:themeColor="accent1"/>
                <w:sz w:val="22"/>
                <w:szCs w:val="22"/>
              </w:rPr>
              <w:fldChar w:fldCharType="separate"/>
            </w:r>
            <w:r w:rsidR="00D47A36">
              <w:rPr>
                <w:noProof/>
                <w:color w:val="2C9ADC" w:themeColor="accent1"/>
                <w:sz w:val="22"/>
                <w:szCs w:val="22"/>
              </w:rPr>
              <w:t>2</w:t>
            </w:r>
            <w:r w:rsidRPr="00887108">
              <w:rPr>
                <w:color w:val="2C9ADC" w:themeColor="accent1"/>
                <w:sz w:val="22"/>
                <w:szCs w:val="22"/>
              </w:rPr>
              <w:fldChar w:fldCharType="end"/>
            </w:r>
            <w:r w:rsidR="00D76DCF" w:rsidRPr="00887108">
              <w:rPr>
                <w:color w:val="2C9ADC" w:themeColor="accent1"/>
                <w:sz w:val="22"/>
                <w:szCs w:val="22"/>
              </w:rPr>
              <w:t xml:space="preserve"> -</w:t>
            </w:r>
            <w:r w:rsidR="00204588" w:rsidRPr="00887108">
              <w:rPr>
                <w:color w:val="2C9ADC" w:themeColor="accent1"/>
                <w:sz w:val="22"/>
                <w:szCs w:val="22"/>
              </w:rPr>
              <w:t xml:space="preserve"> Opatrenia prijaté v boji proti korona vírusu</w:t>
            </w:r>
            <w:bookmarkEnd w:id="95"/>
          </w:p>
          <w:p w14:paraId="22DB1B55" w14:textId="48E1DE54" w:rsidR="00204588" w:rsidRPr="00887108" w:rsidRDefault="00204588" w:rsidP="00905528">
            <w:pPr>
              <w:spacing w:after="240"/>
              <w:ind w:right="74"/>
              <w:jc w:val="both"/>
              <w:rPr>
                <w:rFonts w:eastAsiaTheme="minorHAnsi" w:cstheme="minorBidi"/>
                <w:lang w:eastAsia="en-US"/>
              </w:rPr>
            </w:pPr>
            <w:r w:rsidRPr="00887108">
              <w:rPr>
                <w:rFonts w:eastAsiaTheme="minorHAnsi" w:cstheme="minorBidi"/>
                <w:b/>
                <w:lang w:eastAsia="en-US"/>
              </w:rPr>
              <w:t>Opatrenia prijaté</w:t>
            </w:r>
            <w:r w:rsidR="002456FC" w:rsidRPr="00887108">
              <w:rPr>
                <w:rStyle w:val="Odkaznapoznmkupodiarou"/>
                <w:rFonts w:eastAsiaTheme="minorHAnsi"/>
                <w:b/>
                <w:lang w:val="sk-SK"/>
              </w:rPr>
              <w:footnoteReference w:id="14"/>
            </w:r>
            <w:r w:rsidRPr="00887108">
              <w:rPr>
                <w:rFonts w:eastAsiaTheme="minorHAnsi" w:cstheme="minorBidi"/>
                <w:b/>
                <w:lang w:eastAsia="en-US"/>
              </w:rPr>
              <w:t xml:space="preserve"> v boji proti koronavírusu majú charakter priamej pomoci, odkladov daňových a odvodových povinností a bankových záruk pre podnikateľské úvery. </w:t>
            </w:r>
            <w:r w:rsidRPr="00887108">
              <w:rPr>
                <w:rFonts w:eastAsiaTheme="minorHAnsi" w:cstheme="minorBidi"/>
                <w:lang w:eastAsia="en-US"/>
              </w:rPr>
              <w:t>Odklad daní a odvodov má pomôcť firmám s likviditou a nebude mať vplyv na akruálny deficit a v strednodobom horizonte ani dlh verejnej správy</w:t>
            </w:r>
            <w:r w:rsidRPr="00887108">
              <w:rPr>
                <w:rStyle w:val="Odkaznapoznmkupodiarou"/>
                <w:rFonts w:eastAsiaTheme="minorHAnsi"/>
                <w:lang w:val="sk-SK"/>
              </w:rPr>
              <w:footnoteReference w:id="15"/>
            </w:r>
            <w:r w:rsidRPr="00887108">
              <w:rPr>
                <w:rFonts w:eastAsiaTheme="minorHAnsi" w:cstheme="minorBidi"/>
                <w:lang w:eastAsia="en-US"/>
              </w:rPr>
              <w:t>. Garancie, ktoré tiež pomáhajú preklenúť nepriaznivé obdobie budú mať vplyv na deficit a dlh iba v prípade, ak časť dlžníkov prestane splácať poskytnuté úvery (ide o</w:t>
            </w:r>
            <w:r w:rsidR="00BF59B1" w:rsidRPr="00887108">
              <w:rPr>
                <w:rFonts w:eastAsiaTheme="minorHAnsi" w:cstheme="minorBidi"/>
                <w:lang w:eastAsia="en-US"/>
              </w:rPr>
              <w:t> </w:t>
            </w:r>
            <w:r w:rsidRPr="00887108">
              <w:rPr>
                <w:rFonts w:eastAsiaTheme="minorHAnsi" w:cstheme="minorBidi"/>
                <w:lang w:eastAsia="en-US"/>
              </w:rPr>
              <w:t>tzv</w:t>
            </w:r>
            <w:r w:rsidR="00BF59B1" w:rsidRPr="00887108">
              <w:rPr>
                <w:rFonts w:eastAsiaTheme="minorHAnsi" w:cstheme="minorBidi"/>
                <w:lang w:eastAsia="en-US"/>
              </w:rPr>
              <w:t>.</w:t>
            </w:r>
            <w:r w:rsidRPr="00887108">
              <w:rPr>
                <w:rFonts w:eastAsiaTheme="minorHAnsi" w:cstheme="minorBidi"/>
                <w:lang w:eastAsia="en-US"/>
              </w:rPr>
              <w:t xml:space="preserve"> podmienený záväzok). Na akruálne výsledky hospodárenia tak majú vplyv len opatrenia priamej pomoci, vrátane </w:t>
            </w:r>
            <w:r w:rsidR="00301F57" w:rsidRPr="00887108">
              <w:rPr>
                <w:rFonts w:eastAsiaTheme="minorHAnsi" w:cstheme="minorBidi"/>
                <w:lang w:eastAsia="en-US"/>
              </w:rPr>
              <w:t xml:space="preserve">súvisiacich </w:t>
            </w:r>
            <w:r w:rsidRPr="00887108">
              <w:rPr>
                <w:rFonts w:eastAsiaTheme="minorHAnsi" w:cstheme="minorBidi"/>
                <w:lang w:eastAsia="en-US"/>
              </w:rPr>
              <w:t>negatívnych efektov na príjmovej strane.</w:t>
            </w:r>
            <w:r w:rsidRPr="00887108">
              <w:t xml:space="preserve"> V kategóri</w:t>
            </w:r>
            <w:r w:rsidR="0012371B" w:rsidRPr="00887108">
              <w:t>i</w:t>
            </w:r>
            <w:r w:rsidRPr="00887108">
              <w:t xml:space="preserve"> priama pomoc je cieľom uviesť celkový vplyv opatrení, preto s</w:t>
            </w:r>
            <w:r w:rsidRPr="00887108">
              <w:rPr>
                <w:rFonts w:eastAsiaTheme="minorHAnsi" w:cstheme="minorBidi"/>
                <w:lang w:eastAsia="en-US"/>
              </w:rPr>
              <w:t>ú</w:t>
            </w:r>
            <w:r w:rsidR="008A3A49" w:rsidRPr="00887108">
              <w:rPr>
                <w:rFonts w:eastAsiaTheme="minorHAnsi" w:cstheme="minorBidi"/>
                <w:lang w:eastAsia="en-US"/>
              </w:rPr>
              <w:t xml:space="preserve"> </w:t>
            </w:r>
            <w:r w:rsidR="00113273">
              <w:rPr>
                <w:rFonts w:eastAsiaTheme="minorHAnsi" w:cstheme="minorBidi"/>
                <w:lang w:eastAsia="en-US"/>
              </w:rPr>
              <w:t>uvedené</w:t>
            </w:r>
            <w:r w:rsidRPr="00887108">
              <w:rPr>
                <w:rFonts w:eastAsiaTheme="minorHAnsi" w:cstheme="minorBidi"/>
                <w:lang w:eastAsia="en-US"/>
              </w:rPr>
              <w:t xml:space="preserve"> príjmové aj výdavkové vplyvy.</w:t>
            </w:r>
          </w:p>
          <w:tbl>
            <w:tblPr>
              <w:tblW w:w="0" w:type="auto"/>
              <w:tblLayout w:type="fixed"/>
              <w:tblCellMar>
                <w:left w:w="0" w:type="dxa"/>
                <w:right w:w="0" w:type="dxa"/>
              </w:tblCellMar>
              <w:tblLook w:val="04A0" w:firstRow="1" w:lastRow="0" w:firstColumn="1" w:lastColumn="0" w:noHBand="0" w:noVBand="1"/>
            </w:tblPr>
            <w:tblGrid>
              <w:gridCol w:w="189"/>
              <w:gridCol w:w="4600"/>
              <w:gridCol w:w="735"/>
              <w:gridCol w:w="736"/>
              <w:gridCol w:w="870"/>
              <w:gridCol w:w="870"/>
              <w:gridCol w:w="871"/>
            </w:tblGrid>
            <w:tr w:rsidR="00407483" w:rsidRPr="00887108" w14:paraId="31A26DCD" w14:textId="77777777" w:rsidTr="009637BB">
              <w:trPr>
                <w:trHeight w:val="283"/>
              </w:trPr>
              <w:tc>
                <w:tcPr>
                  <w:tcW w:w="8871" w:type="dxa"/>
                  <w:gridSpan w:val="7"/>
                  <w:tcBorders>
                    <w:top w:val="nil"/>
                    <w:left w:val="nil"/>
                    <w:bottom w:val="single" w:sz="4" w:space="0" w:color="auto"/>
                    <w:right w:val="nil"/>
                  </w:tcBorders>
                  <w:shd w:val="clear" w:color="auto" w:fill="auto"/>
                  <w:noWrap/>
                  <w:vAlign w:val="bottom"/>
                  <w:hideMark/>
                </w:tcPr>
                <w:p w14:paraId="5FB4AECA" w14:textId="52F0BFF7" w:rsidR="00407483" w:rsidRPr="00887108" w:rsidRDefault="00683A4A" w:rsidP="00062F86">
                  <w:pPr>
                    <w:framePr w:hSpace="141" w:wrap="around" w:vAnchor="text" w:hAnchor="text" w:xAlign="center" w:y="1"/>
                    <w:ind w:right="74"/>
                    <w:suppressOverlap/>
                    <w:rPr>
                      <w:rFonts w:cs="Times New Roman"/>
                      <w:b/>
                      <w:bCs/>
                      <w:color w:val="2C9ADC"/>
                      <w:sz w:val="20"/>
                      <w:szCs w:val="18"/>
                    </w:rPr>
                  </w:pPr>
                  <w:bookmarkStart w:id="96" w:name="_Toc40186684"/>
                  <w:r w:rsidRPr="00887108">
                    <w:rPr>
                      <w:rFonts w:eastAsiaTheme="minorHAnsi"/>
                      <w:b/>
                      <w:color w:val="2C9ADC" w:themeColor="accent1"/>
                      <w:sz w:val="20"/>
                      <w:szCs w:val="18"/>
                      <w:lang w:eastAsia="en-US"/>
                    </w:rPr>
                    <w:t xml:space="preserve">TABUĽKA </w:t>
                  </w:r>
                  <w:r w:rsidRPr="00887108">
                    <w:rPr>
                      <w:rFonts w:eastAsiaTheme="minorHAnsi"/>
                      <w:b/>
                      <w:color w:val="2C9ADC" w:themeColor="accent1"/>
                      <w:sz w:val="20"/>
                      <w:szCs w:val="18"/>
                      <w:lang w:eastAsia="en-US"/>
                    </w:rPr>
                    <w:fldChar w:fldCharType="begin"/>
                  </w:r>
                  <w:r w:rsidRPr="00887108">
                    <w:rPr>
                      <w:rFonts w:eastAsiaTheme="minorHAnsi"/>
                      <w:b/>
                      <w:color w:val="2C9ADC" w:themeColor="accent1"/>
                      <w:sz w:val="20"/>
                      <w:szCs w:val="18"/>
                      <w:lang w:eastAsia="en-US"/>
                    </w:rPr>
                    <w:instrText xml:space="preserve"> SEQ TABUĽKA \* ARABIC </w:instrText>
                  </w:r>
                  <w:r w:rsidRPr="00887108">
                    <w:rPr>
                      <w:rFonts w:eastAsiaTheme="minorHAnsi"/>
                      <w:b/>
                      <w:color w:val="2C9ADC" w:themeColor="accent1"/>
                      <w:sz w:val="20"/>
                      <w:szCs w:val="18"/>
                      <w:lang w:eastAsia="en-US"/>
                    </w:rPr>
                    <w:fldChar w:fldCharType="separate"/>
                  </w:r>
                  <w:r w:rsidR="00D47A36">
                    <w:rPr>
                      <w:rFonts w:eastAsiaTheme="minorHAnsi"/>
                      <w:b/>
                      <w:noProof/>
                      <w:color w:val="2C9ADC" w:themeColor="accent1"/>
                      <w:sz w:val="20"/>
                      <w:szCs w:val="18"/>
                      <w:lang w:eastAsia="en-US"/>
                    </w:rPr>
                    <w:t>7</w:t>
                  </w:r>
                  <w:r w:rsidRPr="00887108">
                    <w:rPr>
                      <w:rFonts w:eastAsiaTheme="minorHAnsi"/>
                      <w:b/>
                      <w:color w:val="2C9ADC" w:themeColor="accent1"/>
                      <w:sz w:val="20"/>
                      <w:szCs w:val="18"/>
                      <w:lang w:eastAsia="en-US"/>
                    </w:rPr>
                    <w:fldChar w:fldCharType="end"/>
                  </w:r>
                  <w:r w:rsidR="00D76DCF" w:rsidRPr="00887108">
                    <w:rPr>
                      <w:b/>
                      <w:bCs/>
                      <w:color w:val="2C9ADC"/>
                      <w:sz w:val="20"/>
                      <w:szCs w:val="18"/>
                    </w:rPr>
                    <w:t xml:space="preserve"> -</w:t>
                  </w:r>
                  <w:r w:rsidR="00407483" w:rsidRPr="00887108">
                    <w:rPr>
                      <w:b/>
                      <w:bCs/>
                      <w:color w:val="2C9ADC"/>
                      <w:sz w:val="20"/>
                      <w:szCs w:val="18"/>
                    </w:rPr>
                    <w:t xml:space="preserve"> Zoznam opatrení prijatých v boji </w:t>
                  </w:r>
                  <w:r w:rsidR="00BA46EB" w:rsidRPr="00887108">
                    <w:rPr>
                      <w:b/>
                      <w:bCs/>
                      <w:color w:val="2C9ADC"/>
                      <w:sz w:val="20"/>
                      <w:szCs w:val="18"/>
                    </w:rPr>
                    <w:t>proti</w:t>
                  </w:r>
                  <w:r w:rsidR="00407483" w:rsidRPr="00887108">
                    <w:rPr>
                      <w:b/>
                      <w:bCs/>
                      <w:color w:val="2C9ADC"/>
                      <w:sz w:val="20"/>
                      <w:szCs w:val="18"/>
                    </w:rPr>
                    <w:t xml:space="preserve"> koronavírusu (v mil. eur ak nie je uvedené inak)</w:t>
                  </w:r>
                  <w:bookmarkEnd w:id="96"/>
                </w:p>
              </w:tc>
            </w:tr>
            <w:tr w:rsidR="00407483" w:rsidRPr="00887108" w14:paraId="6E2350DB" w14:textId="77777777" w:rsidTr="00EB0847">
              <w:trPr>
                <w:trHeight w:val="554"/>
              </w:trPr>
              <w:tc>
                <w:tcPr>
                  <w:tcW w:w="189" w:type="dxa"/>
                  <w:tcBorders>
                    <w:top w:val="single" w:sz="4" w:space="0" w:color="auto"/>
                    <w:left w:val="nil"/>
                    <w:bottom w:val="single" w:sz="4" w:space="0" w:color="auto"/>
                    <w:right w:val="nil"/>
                  </w:tcBorders>
                  <w:shd w:val="clear" w:color="auto" w:fill="auto"/>
                  <w:noWrap/>
                  <w:vAlign w:val="bottom"/>
                  <w:hideMark/>
                </w:tcPr>
                <w:p w14:paraId="3F5B12F6" w14:textId="77777777" w:rsidR="00407483" w:rsidRPr="00887108" w:rsidRDefault="00407483" w:rsidP="00062F86">
                  <w:pPr>
                    <w:framePr w:hSpace="141" w:wrap="around" w:vAnchor="text" w:hAnchor="text" w:xAlign="center" w:y="1"/>
                    <w:ind w:right="74"/>
                    <w:suppressOverlap/>
                    <w:rPr>
                      <w:rFonts w:ascii="Calibri" w:hAnsi="Calibri"/>
                      <w:color w:val="000000"/>
                    </w:rPr>
                  </w:pPr>
                  <w:r w:rsidRPr="00887108">
                    <w:rPr>
                      <w:rFonts w:ascii="Calibri" w:hAnsi="Calibri"/>
                      <w:color w:val="000000"/>
                    </w:rPr>
                    <w:t> </w:t>
                  </w:r>
                </w:p>
              </w:tc>
              <w:tc>
                <w:tcPr>
                  <w:tcW w:w="4600" w:type="dxa"/>
                  <w:tcBorders>
                    <w:top w:val="single" w:sz="4" w:space="0" w:color="auto"/>
                    <w:left w:val="nil"/>
                    <w:bottom w:val="single" w:sz="4" w:space="0" w:color="auto"/>
                    <w:right w:val="nil"/>
                  </w:tcBorders>
                  <w:shd w:val="clear" w:color="auto" w:fill="auto"/>
                  <w:noWrap/>
                  <w:vAlign w:val="center"/>
                  <w:hideMark/>
                </w:tcPr>
                <w:p w14:paraId="23F337C4" w14:textId="77777777" w:rsidR="00407483" w:rsidRPr="00887108" w:rsidRDefault="00407483" w:rsidP="00062F86">
                  <w:pPr>
                    <w:framePr w:hSpace="141" w:wrap="around" w:vAnchor="text" w:hAnchor="text" w:xAlign="center" w:y="1"/>
                    <w:ind w:right="74"/>
                    <w:suppressOverlap/>
                    <w:rPr>
                      <w:b/>
                      <w:bCs/>
                      <w:color w:val="000000"/>
                      <w:sz w:val="18"/>
                      <w:szCs w:val="20"/>
                    </w:rPr>
                  </w:pPr>
                  <w:r w:rsidRPr="00887108">
                    <w:rPr>
                      <w:b/>
                      <w:bCs/>
                      <w:color w:val="000000"/>
                      <w:sz w:val="18"/>
                      <w:szCs w:val="20"/>
                    </w:rPr>
                    <w:t>Názov opatrenia</w:t>
                  </w:r>
                </w:p>
              </w:tc>
              <w:tc>
                <w:tcPr>
                  <w:tcW w:w="1471" w:type="dxa"/>
                  <w:gridSpan w:val="2"/>
                  <w:tcBorders>
                    <w:top w:val="single" w:sz="4" w:space="0" w:color="auto"/>
                    <w:left w:val="nil"/>
                    <w:bottom w:val="single" w:sz="4" w:space="0" w:color="auto"/>
                    <w:right w:val="nil"/>
                  </w:tcBorders>
                  <w:shd w:val="clear" w:color="auto" w:fill="auto"/>
                  <w:vAlign w:val="center"/>
                  <w:hideMark/>
                </w:tcPr>
                <w:p w14:paraId="44AF3039" w14:textId="77777777" w:rsidR="00407483" w:rsidRPr="00887108" w:rsidRDefault="00407483" w:rsidP="00062F86">
                  <w:pPr>
                    <w:framePr w:hSpace="141" w:wrap="around" w:vAnchor="text" w:hAnchor="text" w:xAlign="center" w:y="1"/>
                    <w:ind w:right="74"/>
                    <w:suppressOverlap/>
                    <w:jc w:val="center"/>
                    <w:rPr>
                      <w:b/>
                      <w:bCs/>
                      <w:color w:val="000000"/>
                      <w:sz w:val="18"/>
                      <w:szCs w:val="20"/>
                    </w:rPr>
                  </w:pPr>
                  <w:r w:rsidRPr="00887108">
                    <w:rPr>
                      <w:b/>
                      <w:bCs/>
                      <w:color w:val="000000"/>
                      <w:sz w:val="18"/>
                      <w:szCs w:val="20"/>
                    </w:rPr>
                    <w:t>Priama pomoc</w:t>
                  </w:r>
                </w:p>
              </w:tc>
              <w:tc>
                <w:tcPr>
                  <w:tcW w:w="870" w:type="dxa"/>
                  <w:tcBorders>
                    <w:top w:val="single" w:sz="4" w:space="0" w:color="auto"/>
                    <w:left w:val="nil"/>
                    <w:bottom w:val="single" w:sz="4" w:space="0" w:color="auto"/>
                    <w:right w:val="nil"/>
                  </w:tcBorders>
                  <w:shd w:val="clear" w:color="auto" w:fill="auto"/>
                  <w:vAlign w:val="center"/>
                  <w:hideMark/>
                </w:tcPr>
                <w:p w14:paraId="592D0BFC" w14:textId="77777777" w:rsidR="002456FC" w:rsidRPr="00887108" w:rsidRDefault="00407483" w:rsidP="00062F86">
                  <w:pPr>
                    <w:framePr w:hSpace="141" w:wrap="around" w:vAnchor="text" w:hAnchor="text" w:xAlign="center" w:y="1"/>
                    <w:ind w:right="74"/>
                    <w:suppressOverlap/>
                    <w:jc w:val="center"/>
                    <w:rPr>
                      <w:b/>
                      <w:bCs/>
                      <w:color w:val="000000"/>
                      <w:sz w:val="18"/>
                      <w:szCs w:val="20"/>
                    </w:rPr>
                  </w:pPr>
                  <w:r w:rsidRPr="00887108">
                    <w:rPr>
                      <w:b/>
                      <w:bCs/>
                      <w:color w:val="000000"/>
                      <w:sz w:val="18"/>
                      <w:szCs w:val="20"/>
                    </w:rPr>
                    <w:t xml:space="preserve">Odklad daní </w:t>
                  </w:r>
                </w:p>
                <w:p w14:paraId="0FD9C244" w14:textId="476718BE" w:rsidR="00407483" w:rsidRPr="00887108" w:rsidRDefault="00407483" w:rsidP="00062F86">
                  <w:pPr>
                    <w:framePr w:hSpace="141" w:wrap="around" w:vAnchor="text" w:hAnchor="text" w:xAlign="center" w:y="1"/>
                    <w:ind w:right="74"/>
                    <w:suppressOverlap/>
                    <w:jc w:val="center"/>
                    <w:rPr>
                      <w:b/>
                      <w:bCs/>
                      <w:color w:val="000000"/>
                      <w:sz w:val="18"/>
                      <w:szCs w:val="20"/>
                    </w:rPr>
                  </w:pPr>
                  <w:r w:rsidRPr="00887108">
                    <w:rPr>
                      <w:b/>
                      <w:bCs/>
                      <w:color w:val="000000"/>
                      <w:sz w:val="18"/>
                      <w:szCs w:val="20"/>
                    </w:rPr>
                    <w:t>a odvodov</w:t>
                  </w:r>
                </w:p>
              </w:tc>
              <w:tc>
                <w:tcPr>
                  <w:tcW w:w="870" w:type="dxa"/>
                  <w:tcBorders>
                    <w:top w:val="single" w:sz="4" w:space="0" w:color="auto"/>
                    <w:left w:val="nil"/>
                    <w:bottom w:val="single" w:sz="4" w:space="0" w:color="auto"/>
                    <w:right w:val="nil"/>
                  </w:tcBorders>
                  <w:shd w:val="clear" w:color="auto" w:fill="auto"/>
                  <w:noWrap/>
                  <w:vAlign w:val="center"/>
                  <w:hideMark/>
                </w:tcPr>
                <w:p w14:paraId="2FFE7017" w14:textId="77777777" w:rsidR="00407483" w:rsidRPr="00887108" w:rsidRDefault="00407483" w:rsidP="00062F86">
                  <w:pPr>
                    <w:framePr w:hSpace="141" w:wrap="around" w:vAnchor="text" w:hAnchor="text" w:xAlign="center" w:y="1"/>
                    <w:ind w:right="74"/>
                    <w:suppressOverlap/>
                    <w:rPr>
                      <w:b/>
                      <w:bCs/>
                      <w:color w:val="000000"/>
                      <w:sz w:val="18"/>
                      <w:szCs w:val="20"/>
                    </w:rPr>
                  </w:pPr>
                  <w:r w:rsidRPr="00887108">
                    <w:rPr>
                      <w:b/>
                      <w:bCs/>
                      <w:color w:val="000000"/>
                      <w:sz w:val="18"/>
                      <w:szCs w:val="20"/>
                    </w:rPr>
                    <w:t>Garancie</w:t>
                  </w:r>
                </w:p>
              </w:tc>
              <w:tc>
                <w:tcPr>
                  <w:tcW w:w="871" w:type="dxa"/>
                  <w:tcBorders>
                    <w:top w:val="single" w:sz="4" w:space="0" w:color="auto"/>
                    <w:left w:val="nil"/>
                    <w:bottom w:val="single" w:sz="4" w:space="0" w:color="auto"/>
                    <w:right w:val="nil"/>
                  </w:tcBorders>
                  <w:shd w:val="clear" w:color="auto" w:fill="auto"/>
                  <w:noWrap/>
                  <w:vAlign w:val="center"/>
                  <w:hideMark/>
                </w:tcPr>
                <w:p w14:paraId="4F1EDD79" w14:textId="77777777" w:rsidR="00407483" w:rsidRPr="00887108" w:rsidRDefault="00407483" w:rsidP="00062F86">
                  <w:pPr>
                    <w:framePr w:hSpace="141" w:wrap="around" w:vAnchor="text" w:hAnchor="text" w:xAlign="center" w:y="1"/>
                    <w:ind w:right="74"/>
                    <w:suppressOverlap/>
                    <w:jc w:val="center"/>
                    <w:rPr>
                      <w:b/>
                      <w:bCs/>
                      <w:color w:val="000000"/>
                      <w:sz w:val="18"/>
                      <w:szCs w:val="20"/>
                    </w:rPr>
                  </w:pPr>
                  <w:r w:rsidRPr="00887108">
                    <w:rPr>
                      <w:b/>
                      <w:bCs/>
                      <w:color w:val="000000"/>
                      <w:sz w:val="18"/>
                      <w:szCs w:val="20"/>
                    </w:rPr>
                    <w:t>% HDP</w:t>
                  </w:r>
                </w:p>
              </w:tc>
            </w:tr>
            <w:tr w:rsidR="00407483" w:rsidRPr="00887108" w14:paraId="60B26E53" w14:textId="77777777" w:rsidTr="00EB0847">
              <w:trPr>
                <w:trHeight w:val="295"/>
              </w:trPr>
              <w:tc>
                <w:tcPr>
                  <w:tcW w:w="189" w:type="dxa"/>
                  <w:tcBorders>
                    <w:top w:val="nil"/>
                    <w:left w:val="nil"/>
                    <w:bottom w:val="single" w:sz="8" w:space="0" w:color="auto"/>
                    <w:right w:val="nil"/>
                  </w:tcBorders>
                  <w:shd w:val="clear" w:color="auto" w:fill="auto"/>
                  <w:noWrap/>
                  <w:vAlign w:val="center"/>
                  <w:hideMark/>
                </w:tcPr>
                <w:p w14:paraId="5BE1E2F5" w14:textId="77777777" w:rsidR="00407483" w:rsidRPr="00887108" w:rsidRDefault="00407483"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 </w:t>
                  </w:r>
                </w:p>
              </w:tc>
              <w:tc>
                <w:tcPr>
                  <w:tcW w:w="4600" w:type="dxa"/>
                  <w:tcBorders>
                    <w:top w:val="nil"/>
                    <w:left w:val="nil"/>
                    <w:bottom w:val="single" w:sz="8" w:space="0" w:color="auto"/>
                    <w:right w:val="nil"/>
                  </w:tcBorders>
                  <w:shd w:val="clear" w:color="auto" w:fill="auto"/>
                  <w:noWrap/>
                  <w:vAlign w:val="bottom"/>
                  <w:hideMark/>
                </w:tcPr>
                <w:p w14:paraId="03CCC585" w14:textId="77777777" w:rsidR="00407483" w:rsidRPr="00887108" w:rsidRDefault="00407483" w:rsidP="00062F86">
                  <w:pPr>
                    <w:framePr w:hSpace="141" w:wrap="around" w:vAnchor="text" w:hAnchor="text" w:xAlign="center" w:y="1"/>
                    <w:ind w:right="74"/>
                    <w:suppressOverlap/>
                    <w:rPr>
                      <w:rFonts w:ascii="Calibri" w:hAnsi="Calibri"/>
                      <w:color w:val="000000"/>
                    </w:rPr>
                  </w:pPr>
                  <w:r w:rsidRPr="00887108">
                    <w:rPr>
                      <w:rFonts w:ascii="Calibri" w:hAnsi="Calibri"/>
                      <w:color w:val="000000"/>
                    </w:rPr>
                    <w:t> </w:t>
                  </w:r>
                </w:p>
              </w:tc>
              <w:tc>
                <w:tcPr>
                  <w:tcW w:w="735" w:type="dxa"/>
                  <w:tcBorders>
                    <w:top w:val="nil"/>
                    <w:left w:val="nil"/>
                    <w:bottom w:val="single" w:sz="8" w:space="0" w:color="auto"/>
                    <w:right w:val="nil"/>
                  </w:tcBorders>
                  <w:shd w:val="clear" w:color="auto" w:fill="auto"/>
                  <w:noWrap/>
                  <w:vAlign w:val="bottom"/>
                  <w:hideMark/>
                </w:tcPr>
                <w:p w14:paraId="61C24419" w14:textId="50617C9C" w:rsidR="00407483" w:rsidRPr="00887108" w:rsidRDefault="00407483" w:rsidP="00062F86">
                  <w:pPr>
                    <w:framePr w:hSpace="141" w:wrap="around" w:vAnchor="text" w:hAnchor="text" w:xAlign="center" w:y="1"/>
                    <w:ind w:right="74"/>
                    <w:suppressOverlap/>
                    <w:jc w:val="center"/>
                    <w:rPr>
                      <w:color w:val="000000"/>
                      <w:sz w:val="20"/>
                      <w:szCs w:val="16"/>
                    </w:rPr>
                  </w:pPr>
                  <w:r w:rsidRPr="00887108">
                    <w:rPr>
                      <w:color w:val="000000"/>
                      <w:sz w:val="20"/>
                      <w:szCs w:val="16"/>
                    </w:rPr>
                    <w:t>Príjmy</w:t>
                  </w:r>
                </w:p>
              </w:tc>
              <w:tc>
                <w:tcPr>
                  <w:tcW w:w="736" w:type="dxa"/>
                  <w:tcBorders>
                    <w:top w:val="nil"/>
                    <w:left w:val="nil"/>
                    <w:bottom w:val="single" w:sz="8" w:space="0" w:color="auto"/>
                    <w:right w:val="nil"/>
                  </w:tcBorders>
                  <w:shd w:val="clear" w:color="auto" w:fill="auto"/>
                  <w:noWrap/>
                  <w:vAlign w:val="bottom"/>
                  <w:hideMark/>
                </w:tcPr>
                <w:p w14:paraId="74BB698A" w14:textId="77777777" w:rsidR="00407483" w:rsidRPr="00887108" w:rsidRDefault="00407483" w:rsidP="00062F86">
                  <w:pPr>
                    <w:framePr w:hSpace="141" w:wrap="around" w:vAnchor="text" w:hAnchor="text" w:xAlign="center" w:y="1"/>
                    <w:ind w:right="74"/>
                    <w:suppressOverlap/>
                    <w:jc w:val="center"/>
                    <w:rPr>
                      <w:color w:val="000000"/>
                      <w:sz w:val="20"/>
                      <w:szCs w:val="16"/>
                    </w:rPr>
                  </w:pPr>
                  <w:r w:rsidRPr="00887108">
                    <w:rPr>
                      <w:color w:val="000000"/>
                      <w:sz w:val="20"/>
                      <w:szCs w:val="16"/>
                    </w:rPr>
                    <w:t>Výdavky</w:t>
                  </w:r>
                </w:p>
              </w:tc>
              <w:tc>
                <w:tcPr>
                  <w:tcW w:w="870" w:type="dxa"/>
                  <w:tcBorders>
                    <w:top w:val="nil"/>
                    <w:left w:val="nil"/>
                    <w:bottom w:val="single" w:sz="8" w:space="0" w:color="auto"/>
                    <w:right w:val="nil"/>
                  </w:tcBorders>
                  <w:shd w:val="clear" w:color="auto" w:fill="auto"/>
                  <w:noWrap/>
                  <w:vAlign w:val="bottom"/>
                  <w:hideMark/>
                </w:tcPr>
                <w:p w14:paraId="54CCDA01" w14:textId="77777777" w:rsidR="00407483" w:rsidRPr="00887108" w:rsidRDefault="00407483" w:rsidP="00062F86">
                  <w:pPr>
                    <w:framePr w:hSpace="141" w:wrap="around" w:vAnchor="text" w:hAnchor="text" w:xAlign="center" w:y="1"/>
                    <w:ind w:right="74"/>
                    <w:suppressOverlap/>
                    <w:rPr>
                      <w:rFonts w:ascii="Calibri" w:hAnsi="Calibri"/>
                      <w:color w:val="000000"/>
                    </w:rPr>
                  </w:pPr>
                  <w:r w:rsidRPr="00887108">
                    <w:rPr>
                      <w:rFonts w:ascii="Calibri" w:hAnsi="Calibri"/>
                      <w:color w:val="000000"/>
                    </w:rPr>
                    <w:t> </w:t>
                  </w:r>
                </w:p>
              </w:tc>
              <w:tc>
                <w:tcPr>
                  <w:tcW w:w="870" w:type="dxa"/>
                  <w:tcBorders>
                    <w:top w:val="nil"/>
                    <w:left w:val="nil"/>
                    <w:bottom w:val="single" w:sz="8" w:space="0" w:color="auto"/>
                    <w:right w:val="nil"/>
                  </w:tcBorders>
                  <w:shd w:val="clear" w:color="auto" w:fill="auto"/>
                  <w:noWrap/>
                  <w:vAlign w:val="bottom"/>
                  <w:hideMark/>
                </w:tcPr>
                <w:p w14:paraId="51D43067" w14:textId="77777777" w:rsidR="00407483" w:rsidRPr="00887108" w:rsidRDefault="00407483" w:rsidP="00062F86">
                  <w:pPr>
                    <w:framePr w:hSpace="141" w:wrap="around" w:vAnchor="text" w:hAnchor="text" w:xAlign="center" w:y="1"/>
                    <w:ind w:right="74"/>
                    <w:suppressOverlap/>
                    <w:rPr>
                      <w:rFonts w:ascii="Calibri" w:hAnsi="Calibri"/>
                      <w:color w:val="000000"/>
                    </w:rPr>
                  </w:pPr>
                  <w:r w:rsidRPr="00887108">
                    <w:rPr>
                      <w:rFonts w:ascii="Calibri" w:hAnsi="Calibri"/>
                      <w:color w:val="000000"/>
                    </w:rPr>
                    <w:t> </w:t>
                  </w:r>
                </w:p>
              </w:tc>
              <w:tc>
                <w:tcPr>
                  <w:tcW w:w="871" w:type="dxa"/>
                  <w:tcBorders>
                    <w:top w:val="nil"/>
                    <w:left w:val="nil"/>
                    <w:bottom w:val="single" w:sz="8" w:space="0" w:color="auto"/>
                    <w:right w:val="nil"/>
                  </w:tcBorders>
                  <w:shd w:val="clear" w:color="auto" w:fill="auto"/>
                  <w:noWrap/>
                  <w:vAlign w:val="bottom"/>
                  <w:hideMark/>
                </w:tcPr>
                <w:p w14:paraId="5451C9AA" w14:textId="77777777" w:rsidR="00407483" w:rsidRPr="00887108" w:rsidRDefault="00407483" w:rsidP="00062F86">
                  <w:pPr>
                    <w:framePr w:hSpace="141" w:wrap="around" w:vAnchor="text" w:hAnchor="text" w:xAlign="center" w:y="1"/>
                    <w:ind w:right="74"/>
                    <w:suppressOverlap/>
                    <w:rPr>
                      <w:rFonts w:ascii="Calibri" w:hAnsi="Calibri"/>
                      <w:color w:val="000000"/>
                    </w:rPr>
                  </w:pPr>
                  <w:r w:rsidRPr="00887108">
                    <w:rPr>
                      <w:rFonts w:ascii="Calibri" w:hAnsi="Calibri"/>
                      <w:color w:val="000000"/>
                    </w:rPr>
                    <w:t> </w:t>
                  </w:r>
                </w:p>
              </w:tc>
            </w:tr>
            <w:tr w:rsidR="00E720A4" w:rsidRPr="00887108" w14:paraId="36F6A4B3" w14:textId="77777777" w:rsidTr="00EB0847">
              <w:trPr>
                <w:trHeight w:val="519"/>
              </w:trPr>
              <w:tc>
                <w:tcPr>
                  <w:tcW w:w="189" w:type="dxa"/>
                  <w:tcBorders>
                    <w:top w:val="nil"/>
                    <w:left w:val="nil"/>
                    <w:bottom w:val="nil"/>
                    <w:right w:val="nil"/>
                  </w:tcBorders>
                  <w:shd w:val="clear" w:color="auto" w:fill="auto"/>
                  <w:noWrap/>
                  <w:vAlign w:val="bottom"/>
                </w:tcPr>
                <w:p w14:paraId="383F51C0" w14:textId="75ACC9CC"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vAlign w:val="center"/>
                  <w:hideMark/>
                </w:tcPr>
                <w:p w14:paraId="7030064B"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Úhrada PN v karanténe alebo domácej izolácii a OČR pre zamestnancov vo výške 55 % ich hrubej mzdy</w:t>
                  </w:r>
                </w:p>
              </w:tc>
              <w:tc>
                <w:tcPr>
                  <w:tcW w:w="735" w:type="dxa"/>
                  <w:tcBorders>
                    <w:top w:val="nil"/>
                    <w:left w:val="nil"/>
                    <w:bottom w:val="nil"/>
                    <w:right w:val="nil"/>
                  </w:tcBorders>
                  <w:shd w:val="clear" w:color="auto" w:fill="auto"/>
                  <w:noWrap/>
                  <w:vAlign w:val="bottom"/>
                  <w:hideMark/>
                </w:tcPr>
                <w:p w14:paraId="7D6E5963"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371</w:t>
                  </w:r>
                </w:p>
              </w:tc>
              <w:tc>
                <w:tcPr>
                  <w:tcW w:w="736" w:type="dxa"/>
                  <w:tcBorders>
                    <w:top w:val="nil"/>
                    <w:left w:val="nil"/>
                    <w:bottom w:val="nil"/>
                    <w:right w:val="nil"/>
                  </w:tcBorders>
                  <w:shd w:val="clear" w:color="auto" w:fill="auto"/>
                  <w:noWrap/>
                  <w:vAlign w:val="bottom"/>
                  <w:hideMark/>
                </w:tcPr>
                <w:p w14:paraId="0D682BC5"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308</w:t>
                  </w:r>
                </w:p>
              </w:tc>
              <w:tc>
                <w:tcPr>
                  <w:tcW w:w="870" w:type="dxa"/>
                  <w:tcBorders>
                    <w:top w:val="nil"/>
                    <w:left w:val="nil"/>
                    <w:bottom w:val="nil"/>
                    <w:right w:val="nil"/>
                  </w:tcBorders>
                  <w:shd w:val="clear" w:color="auto" w:fill="auto"/>
                  <w:noWrap/>
                  <w:vAlign w:val="bottom"/>
                  <w:hideMark/>
                </w:tcPr>
                <w:p w14:paraId="7063E155"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0" w:type="dxa"/>
                  <w:tcBorders>
                    <w:top w:val="nil"/>
                    <w:left w:val="nil"/>
                    <w:bottom w:val="nil"/>
                    <w:right w:val="nil"/>
                  </w:tcBorders>
                  <w:shd w:val="clear" w:color="auto" w:fill="auto"/>
                  <w:noWrap/>
                  <w:vAlign w:val="bottom"/>
                  <w:hideMark/>
                </w:tcPr>
                <w:p w14:paraId="42C85FA2"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1" w:type="dxa"/>
                  <w:tcBorders>
                    <w:top w:val="nil"/>
                    <w:left w:val="nil"/>
                    <w:bottom w:val="nil"/>
                    <w:right w:val="nil"/>
                  </w:tcBorders>
                  <w:shd w:val="clear" w:color="auto" w:fill="auto"/>
                  <w:noWrap/>
                  <w:vAlign w:val="bottom"/>
                  <w:hideMark/>
                </w:tcPr>
                <w:p w14:paraId="1C09971B" w14:textId="19A196A1"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0,76</w:t>
                  </w:r>
                </w:p>
              </w:tc>
            </w:tr>
            <w:tr w:rsidR="00E720A4" w:rsidRPr="00887108" w14:paraId="500E51E1" w14:textId="77777777" w:rsidTr="00EB0847">
              <w:trPr>
                <w:trHeight w:val="519"/>
              </w:trPr>
              <w:tc>
                <w:tcPr>
                  <w:tcW w:w="189" w:type="dxa"/>
                  <w:tcBorders>
                    <w:top w:val="nil"/>
                    <w:left w:val="nil"/>
                    <w:bottom w:val="nil"/>
                    <w:right w:val="nil"/>
                  </w:tcBorders>
                  <w:shd w:val="clear" w:color="auto" w:fill="auto"/>
                  <w:noWrap/>
                  <w:vAlign w:val="bottom"/>
                </w:tcPr>
                <w:p w14:paraId="2F194237" w14:textId="00C6893B"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vAlign w:val="center"/>
                  <w:hideMark/>
                </w:tcPr>
                <w:p w14:paraId="770E13FD"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Príspevok na udržania zamestnanosti pre podniky zasiahnuté krízou (80 % hrubej mzdy, max. 880 eur, alebo paušálny príspevok podľa poklesu tržieb)</w:t>
                  </w:r>
                </w:p>
              </w:tc>
              <w:tc>
                <w:tcPr>
                  <w:tcW w:w="735" w:type="dxa"/>
                  <w:tcBorders>
                    <w:top w:val="nil"/>
                    <w:left w:val="nil"/>
                    <w:bottom w:val="nil"/>
                    <w:right w:val="nil"/>
                  </w:tcBorders>
                  <w:shd w:val="clear" w:color="auto" w:fill="auto"/>
                  <w:noWrap/>
                  <w:vAlign w:val="bottom"/>
                  <w:hideMark/>
                </w:tcPr>
                <w:p w14:paraId="7221D335"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193</w:t>
                  </w:r>
                </w:p>
              </w:tc>
              <w:tc>
                <w:tcPr>
                  <w:tcW w:w="736" w:type="dxa"/>
                  <w:tcBorders>
                    <w:top w:val="nil"/>
                    <w:left w:val="nil"/>
                    <w:bottom w:val="nil"/>
                    <w:right w:val="nil"/>
                  </w:tcBorders>
                  <w:shd w:val="clear" w:color="auto" w:fill="auto"/>
                  <w:noWrap/>
                  <w:vAlign w:val="bottom"/>
                  <w:hideMark/>
                </w:tcPr>
                <w:p w14:paraId="16B093AA"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628</w:t>
                  </w:r>
                </w:p>
              </w:tc>
              <w:tc>
                <w:tcPr>
                  <w:tcW w:w="870" w:type="dxa"/>
                  <w:tcBorders>
                    <w:top w:val="nil"/>
                    <w:left w:val="nil"/>
                    <w:bottom w:val="nil"/>
                    <w:right w:val="nil"/>
                  </w:tcBorders>
                  <w:shd w:val="clear" w:color="auto" w:fill="auto"/>
                  <w:noWrap/>
                  <w:vAlign w:val="bottom"/>
                  <w:hideMark/>
                </w:tcPr>
                <w:p w14:paraId="0F1D9A88"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0" w:type="dxa"/>
                  <w:tcBorders>
                    <w:top w:val="nil"/>
                    <w:left w:val="nil"/>
                    <w:bottom w:val="nil"/>
                    <w:right w:val="nil"/>
                  </w:tcBorders>
                  <w:shd w:val="clear" w:color="auto" w:fill="auto"/>
                  <w:noWrap/>
                  <w:vAlign w:val="bottom"/>
                  <w:hideMark/>
                </w:tcPr>
                <w:p w14:paraId="7DBE089A"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1" w:type="dxa"/>
                  <w:tcBorders>
                    <w:top w:val="nil"/>
                    <w:left w:val="nil"/>
                    <w:bottom w:val="nil"/>
                    <w:right w:val="nil"/>
                  </w:tcBorders>
                  <w:shd w:val="clear" w:color="auto" w:fill="auto"/>
                  <w:noWrap/>
                  <w:vAlign w:val="bottom"/>
                  <w:hideMark/>
                </w:tcPr>
                <w:p w14:paraId="7E5CFACC" w14:textId="458116E4"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0,92</w:t>
                  </w:r>
                </w:p>
              </w:tc>
            </w:tr>
            <w:tr w:rsidR="00E720A4" w:rsidRPr="00887108" w14:paraId="5D563564" w14:textId="77777777" w:rsidTr="00EB0847">
              <w:trPr>
                <w:trHeight w:val="519"/>
              </w:trPr>
              <w:tc>
                <w:tcPr>
                  <w:tcW w:w="189" w:type="dxa"/>
                  <w:tcBorders>
                    <w:top w:val="nil"/>
                    <w:left w:val="nil"/>
                    <w:bottom w:val="nil"/>
                    <w:right w:val="nil"/>
                  </w:tcBorders>
                  <w:shd w:val="clear" w:color="auto" w:fill="auto"/>
                  <w:noWrap/>
                  <w:vAlign w:val="bottom"/>
                </w:tcPr>
                <w:p w14:paraId="5068029F" w14:textId="5B8B421F"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vAlign w:val="center"/>
                  <w:hideMark/>
                </w:tcPr>
                <w:p w14:paraId="41397E74" w14:textId="5B30B86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Príspevok na udržanie zamestnanosti pre zavreté podniky (80 % hrubej mzdy, max. 1100 eur)</w:t>
                  </w:r>
                </w:p>
              </w:tc>
              <w:tc>
                <w:tcPr>
                  <w:tcW w:w="735" w:type="dxa"/>
                  <w:tcBorders>
                    <w:top w:val="nil"/>
                    <w:left w:val="nil"/>
                    <w:bottom w:val="nil"/>
                    <w:right w:val="nil"/>
                  </w:tcBorders>
                  <w:shd w:val="clear" w:color="auto" w:fill="auto"/>
                  <w:noWrap/>
                  <w:vAlign w:val="bottom"/>
                  <w:hideMark/>
                </w:tcPr>
                <w:p w14:paraId="55B5092C"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48</w:t>
                  </w:r>
                </w:p>
              </w:tc>
              <w:tc>
                <w:tcPr>
                  <w:tcW w:w="736" w:type="dxa"/>
                  <w:tcBorders>
                    <w:top w:val="nil"/>
                    <w:left w:val="nil"/>
                    <w:bottom w:val="nil"/>
                    <w:right w:val="nil"/>
                  </w:tcBorders>
                  <w:shd w:val="clear" w:color="auto" w:fill="auto"/>
                  <w:noWrap/>
                  <w:vAlign w:val="bottom"/>
                  <w:hideMark/>
                </w:tcPr>
                <w:p w14:paraId="1D2DBF71"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262</w:t>
                  </w:r>
                </w:p>
              </w:tc>
              <w:tc>
                <w:tcPr>
                  <w:tcW w:w="870" w:type="dxa"/>
                  <w:tcBorders>
                    <w:top w:val="nil"/>
                    <w:left w:val="nil"/>
                    <w:bottom w:val="nil"/>
                    <w:right w:val="nil"/>
                  </w:tcBorders>
                  <w:shd w:val="clear" w:color="auto" w:fill="auto"/>
                  <w:noWrap/>
                  <w:vAlign w:val="bottom"/>
                  <w:hideMark/>
                </w:tcPr>
                <w:p w14:paraId="7F161F73"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0" w:type="dxa"/>
                  <w:tcBorders>
                    <w:top w:val="nil"/>
                    <w:left w:val="nil"/>
                    <w:bottom w:val="nil"/>
                    <w:right w:val="nil"/>
                  </w:tcBorders>
                  <w:shd w:val="clear" w:color="auto" w:fill="auto"/>
                  <w:noWrap/>
                  <w:vAlign w:val="bottom"/>
                  <w:hideMark/>
                </w:tcPr>
                <w:p w14:paraId="0EC170F9"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1" w:type="dxa"/>
                  <w:tcBorders>
                    <w:top w:val="nil"/>
                    <w:left w:val="nil"/>
                    <w:bottom w:val="nil"/>
                    <w:right w:val="nil"/>
                  </w:tcBorders>
                  <w:shd w:val="clear" w:color="auto" w:fill="auto"/>
                  <w:noWrap/>
                  <w:vAlign w:val="bottom"/>
                  <w:hideMark/>
                </w:tcPr>
                <w:p w14:paraId="2E17AD0A" w14:textId="41E0AF79"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0,35</w:t>
                  </w:r>
                </w:p>
              </w:tc>
            </w:tr>
            <w:tr w:rsidR="00E720A4" w:rsidRPr="00887108" w14:paraId="450E9CA3" w14:textId="77777777" w:rsidTr="00EB0847">
              <w:trPr>
                <w:trHeight w:val="283"/>
              </w:trPr>
              <w:tc>
                <w:tcPr>
                  <w:tcW w:w="189" w:type="dxa"/>
                  <w:tcBorders>
                    <w:top w:val="nil"/>
                    <w:left w:val="nil"/>
                    <w:bottom w:val="nil"/>
                    <w:right w:val="nil"/>
                  </w:tcBorders>
                  <w:shd w:val="clear" w:color="auto" w:fill="auto"/>
                  <w:noWrap/>
                  <w:vAlign w:val="bottom"/>
                </w:tcPr>
                <w:p w14:paraId="4F4B3896" w14:textId="0874871E"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noWrap/>
                  <w:vAlign w:val="bottom"/>
                  <w:hideMark/>
                </w:tcPr>
                <w:p w14:paraId="13C6A49E"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Príspevok pre SZČO, dohodári a mikro firmy</w:t>
                  </w:r>
                </w:p>
              </w:tc>
              <w:tc>
                <w:tcPr>
                  <w:tcW w:w="735" w:type="dxa"/>
                  <w:tcBorders>
                    <w:top w:val="nil"/>
                    <w:left w:val="nil"/>
                    <w:bottom w:val="nil"/>
                    <w:right w:val="nil"/>
                  </w:tcBorders>
                  <w:shd w:val="clear" w:color="auto" w:fill="auto"/>
                  <w:noWrap/>
                  <w:vAlign w:val="bottom"/>
                  <w:hideMark/>
                </w:tcPr>
                <w:p w14:paraId="46A5F7DF"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w:t>
                  </w:r>
                </w:p>
              </w:tc>
              <w:tc>
                <w:tcPr>
                  <w:tcW w:w="736" w:type="dxa"/>
                  <w:tcBorders>
                    <w:top w:val="nil"/>
                    <w:left w:val="nil"/>
                    <w:bottom w:val="nil"/>
                    <w:right w:val="nil"/>
                  </w:tcBorders>
                  <w:shd w:val="clear" w:color="auto" w:fill="auto"/>
                  <w:noWrap/>
                  <w:vAlign w:val="bottom"/>
                  <w:hideMark/>
                </w:tcPr>
                <w:p w14:paraId="682301DF"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219</w:t>
                  </w:r>
                </w:p>
              </w:tc>
              <w:tc>
                <w:tcPr>
                  <w:tcW w:w="870" w:type="dxa"/>
                  <w:tcBorders>
                    <w:top w:val="nil"/>
                    <w:left w:val="nil"/>
                    <w:bottom w:val="nil"/>
                    <w:right w:val="nil"/>
                  </w:tcBorders>
                  <w:shd w:val="clear" w:color="auto" w:fill="auto"/>
                  <w:noWrap/>
                  <w:vAlign w:val="bottom"/>
                  <w:hideMark/>
                </w:tcPr>
                <w:p w14:paraId="220BBC61"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0" w:type="dxa"/>
                  <w:tcBorders>
                    <w:top w:val="nil"/>
                    <w:left w:val="nil"/>
                    <w:bottom w:val="nil"/>
                    <w:right w:val="nil"/>
                  </w:tcBorders>
                  <w:shd w:val="clear" w:color="auto" w:fill="auto"/>
                  <w:noWrap/>
                  <w:vAlign w:val="bottom"/>
                  <w:hideMark/>
                </w:tcPr>
                <w:p w14:paraId="37468C16"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1" w:type="dxa"/>
                  <w:tcBorders>
                    <w:top w:val="nil"/>
                    <w:left w:val="nil"/>
                    <w:bottom w:val="nil"/>
                    <w:right w:val="nil"/>
                  </w:tcBorders>
                  <w:shd w:val="clear" w:color="auto" w:fill="auto"/>
                  <w:noWrap/>
                  <w:vAlign w:val="bottom"/>
                  <w:hideMark/>
                </w:tcPr>
                <w:p w14:paraId="28790056" w14:textId="37347D59"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0,25</w:t>
                  </w:r>
                </w:p>
              </w:tc>
            </w:tr>
            <w:tr w:rsidR="00E720A4" w:rsidRPr="00887108" w14:paraId="649E6F94" w14:textId="77777777" w:rsidTr="00EB0847">
              <w:trPr>
                <w:trHeight w:val="283"/>
              </w:trPr>
              <w:tc>
                <w:tcPr>
                  <w:tcW w:w="189" w:type="dxa"/>
                  <w:tcBorders>
                    <w:top w:val="nil"/>
                    <w:left w:val="nil"/>
                    <w:bottom w:val="nil"/>
                    <w:right w:val="nil"/>
                  </w:tcBorders>
                  <w:shd w:val="clear" w:color="auto" w:fill="auto"/>
                  <w:noWrap/>
                  <w:vAlign w:val="bottom"/>
                </w:tcPr>
                <w:p w14:paraId="5C9BF84C" w14:textId="79703F65"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noWrap/>
                  <w:vAlign w:val="bottom"/>
                  <w:hideMark/>
                </w:tcPr>
                <w:p w14:paraId="669168B4" w14:textId="367B56A4"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Nákupy zdravotníckeho materiálu spojené s COVID 19</w:t>
                  </w:r>
                </w:p>
              </w:tc>
              <w:tc>
                <w:tcPr>
                  <w:tcW w:w="735" w:type="dxa"/>
                  <w:tcBorders>
                    <w:top w:val="nil"/>
                    <w:left w:val="nil"/>
                    <w:bottom w:val="nil"/>
                    <w:right w:val="nil"/>
                  </w:tcBorders>
                  <w:shd w:val="clear" w:color="auto" w:fill="auto"/>
                  <w:noWrap/>
                  <w:vAlign w:val="bottom"/>
                  <w:hideMark/>
                </w:tcPr>
                <w:p w14:paraId="736AAD36"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w:t>
                  </w:r>
                </w:p>
              </w:tc>
              <w:tc>
                <w:tcPr>
                  <w:tcW w:w="736" w:type="dxa"/>
                  <w:tcBorders>
                    <w:top w:val="nil"/>
                    <w:left w:val="nil"/>
                    <w:bottom w:val="nil"/>
                    <w:right w:val="nil"/>
                  </w:tcBorders>
                  <w:shd w:val="clear" w:color="auto" w:fill="auto"/>
                  <w:noWrap/>
                  <w:vAlign w:val="bottom"/>
                  <w:hideMark/>
                </w:tcPr>
                <w:p w14:paraId="5E83D911"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160</w:t>
                  </w:r>
                </w:p>
              </w:tc>
              <w:tc>
                <w:tcPr>
                  <w:tcW w:w="870" w:type="dxa"/>
                  <w:tcBorders>
                    <w:top w:val="nil"/>
                    <w:left w:val="nil"/>
                    <w:bottom w:val="nil"/>
                    <w:right w:val="nil"/>
                  </w:tcBorders>
                  <w:shd w:val="clear" w:color="auto" w:fill="auto"/>
                  <w:noWrap/>
                  <w:vAlign w:val="bottom"/>
                  <w:hideMark/>
                </w:tcPr>
                <w:p w14:paraId="032B431C"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0" w:type="dxa"/>
                  <w:tcBorders>
                    <w:top w:val="nil"/>
                    <w:left w:val="nil"/>
                    <w:bottom w:val="nil"/>
                    <w:right w:val="nil"/>
                  </w:tcBorders>
                  <w:shd w:val="clear" w:color="auto" w:fill="auto"/>
                  <w:noWrap/>
                  <w:vAlign w:val="bottom"/>
                  <w:hideMark/>
                </w:tcPr>
                <w:p w14:paraId="2DBA4C29"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1" w:type="dxa"/>
                  <w:tcBorders>
                    <w:top w:val="nil"/>
                    <w:left w:val="nil"/>
                    <w:bottom w:val="nil"/>
                    <w:right w:val="nil"/>
                  </w:tcBorders>
                  <w:shd w:val="clear" w:color="auto" w:fill="auto"/>
                  <w:noWrap/>
                  <w:vAlign w:val="bottom"/>
                  <w:hideMark/>
                </w:tcPr>
                <w:p w14:paraId="5F088335" w14:textId="2F813DD3"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0,18</w:t>
                  </w:r>
                </w:p>
              </w:tc>
            </w:tr>
            <w:tr w:rsidR="00E720A4" w:rsidRPr="00887108" w14:paraId="7C145783" w14:textId="77777777" w:rsidTr="00EB0847">
              <w:trPr>
                <w:trHeight w:val="283"/>
              </w:trPr>
              <w:tc>
                <w:tcPr>
                  <w:tcW w:w="189" w:type="dxa"/>
                  <w:tcBorders>
                    <w:top w:val="nil"/>
                    <w:left w:val="nil"/>
                    <w:bottom w:val="nil"/>
                    <w:right w:val="nil"/>
                  </w:tcBorders>
                  <w:shd w:val="clear" w:color="auto" w:fill="auto"/>
                  <w:noWrap/>
                  <w:vAlign w:val="bottom"/>
                </w:tcPr>
                <w:p w14:paraId="2D2B6D1D" w14:textId="623CFA0E"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vAlign w:val="bottom"/>
                  <w:hideMark/>
                </w:tcPr>
                <w:p w14:paraId="7605BE09"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Odpustenie platby odvodov pre zavreté prevádzky</w:t>
                  </w:r>
                </w:p>
              </w:tc>
              <w:tc>
                <w:tcPr>
                  <w:tcW w:w="735" w:type="dxa"/>
                  <w:tcBorders>
                    <w:top w:val="nil"/>
                    <w:left w:val="nil"/>
                    <w:bottom w:val="nil"/>
                    <w:right w:val="nil"/>
                  </w:tcBorders>
                  <w:shd w:val="clear" w:color="auto" w:fill="auto"/>
                  <w:noWrap/>
                  <w:vAlign w:val="bottom"/>
                  <w:hideMark/>
                </w:tcPr>
                <w:p w14:paraId="55584A91"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44</w:t>
                  </w:r>
                </w:p>
              </w:tc>
              <w:tc>
                <w:tcPr>
                  <w:tcW w:w="736" w:type="dxa"/>
                  <w:tcBorders>
                    <w:top w:val="nil"/>
                    <w:left w:val="nil"/>
                    <w:bottom w:val="nil"/>
                    <w:right w:val="nil"/>
                  </w:tcBorders>
                  <w:shd w:val="clear" w:color="auto" w:fill="auto"/>
                  <w:noWrap/>
                  <w:vAlign w:val="bottom"/>
                  <w:hideMark/>
                </w:tcPr>
                <w:p w14:paraId="37317AB6"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w:t>
                  </w:r>
                </w:p>
              </w:tc>
              <w:tc>
                <w:tcPr>
                  <w:tcW w:w="870" w:type="dxa"/>
                  <w:tcBorders>
                    <w:top w:val="nil"/>
                    <w:left w:val="nil"/>
                    <w:bottom w:val="nil"/>
                    <w:right w:val="nil"/>
                  </w:tcBorders>
                  <w:shd w:val="clear" w:color="auto" w:fill="auto"/>
                  <w:noWrap/>
                  <w:vAlign w:val="bottom"/>
                  <w:hideMark/>
                </w:tcPr>
                <w:p w14:paraId="003D7063"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0" w:type="dxa"/>
                  <w:tcBorders>
                    <w:top w:val="nil"/>
                    <w:left w:val="nil"/>
                    <w:bottom w:val="nil"/>
                    <w:right w:val="nil"/>
                  </w:tcBorders>
                  <w:shd w:val="clear" w:color="auto" w:fill="auto"/>
                  <w:noWrap/>
                  <w:vAlign w:val="bottom"/>
                  <w:hideMark/>
                </w:tcPr>
                <w:p w14:paraId="500D3864"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1" w:type="dxa"/>
                  <w:tcBorders>
                    <w:top w:val="nil"/>
                    <w:left w:val="nil"/>
                    <w:bottom w:val="nil"/>
                    <w:right w:val="nil"/>
                  </w:tcBorders>
                  <w:shd w:val="clear" w:color="auto" w:fill="auto"/>
                  <w:noWrap/>
                  <w:vAlign w:val="bottom"/>
                  <w:hideMark/>
                </w:tcPr>
                <w:p w14:paraId="26393789" w14:textId="4CE6F8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0,05</w:t>
                  </w:r>
                </w:p>
              </w:tc>
            </w:tr>
            <w:tr w:rsidR="00E720A4" w:rsidRPr="00887108" w14:paraId="3C0168CB" w14:textId="77777777" w:rsidTr="00EB0847">
              <w:trPr>
                <w:trHeight w:val="283"/>
              </w:trPr>
              <w:tc>
                <w:tcPr>
                  <w:tcW w:w="189" w:type="dxa"/>
                  <w:tcBorders>
                    <w:top w:val="nil"/>
                    <w:left w:val="nil"/>
                    <w:bottom w:val="single" w:sz="4" w:space="0" w:color="auto"/>
                    <w:right w:val="nil"/>
                  </w:tcBorders>
                  <w:shd w:val="clear" w:color="auto" w:fill="auto"/>
                  <w:noWrap/>
                  <w:vAlign w:val="bottom"/>
                </w:tcPr>
                <w:p w14:paraId="336E2724" w14:textId="5851C85F"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single" w:sz="4" w:space="0" w:color="auto"/>
                    <w:right w:val="nil"/>
                  </w:tcBorders>
                  <w:shd w:val="clear" w:color="auto" w:fill="auto"/>
                  <w:noWrap/>
                  <w:vAlign w:val="bottom"/>
                  <w:hideMark/>
                </w:tcPr>
                <w:p w14:paraId="23E04EF2"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Ostatná priama pomoc</w:t>
                  </w:r>
                </w:p>
              </w:tc>
              <w:tc>
                <w:tcPr>
                  <w:tcW w:w="735" w:type="dxa"/>
                  <w:tcBorders>
                    <w:top w:val="nil"/>
                    <w:left w:val="nil"/>
                    <w:bottom w:val="single" w:sz="4" w:space="0" w:color="auto"/>
                    <w:right w:val="nil"/>
                  </w:tcBorders>
                  <w:shd w:val="clear" w:color="auto" w:fill="auto"/>
                  <w:noWrap/>
                  <w:vAlign w:val="bottom"/>
                  <w:hideMark/>
                </w:tcPr>
                <w:p w14:paraId="6F415C99"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51</w:t>
                  </w:r>
                </w:p>
              </w:tc>
              <w:tc>
                <w:tcPr>
                  <w:tcW w:w="736" w:type="dxa"/>
                  <w:tcBorders>
                    <w:top w:val="nil"/>
                    <w:left w:val="nil"/>
                    <w:bottom w:val="single" w:sz="4" w:space="0" w:color="auto"/>
                    <w:right w:val="nil"/>
                  </w:tcBorders>
                  <w:shd w:val="clear" w:color="auto" w:fill="auto"/>
                  <w:noWrap/>
                  <w:vAlign w:val="bottom"/>
                  <w:hideMark/>
                </w:tcPr>
                <w:p w14:paraId="398A4CBF"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31</w:t>
                  </w:r>
                </w:p>
              </w:tc>
              <w:tc>
                <w:tcPr>
                  <w:tcW w:w="870" w:type="dxa"/>
                  <w:tcBorders>
                    <w:top w:val="nil"/>
                    <w:left w:val="nil"/>
                    <w:bottom w:val="single" w:sz="4" w:space="0" w:color="auto"/>
                    <w:right w:val="nil"/>
                  </w:tcBorders>
                  <w:shd w:val="clear" w:color="auto" w:fill="auto"/>
                  <w:noWrap/>
                  <w:vAlign w:val="bottom"/>
                  <w:hideMark/>
                </w:tcPr>
                <w:p w14:paraId="09AF1C46"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870" w:type="dxa"/>
                  <w:tcBorders>
                    <w:top w:val="nil"/>
                    <w:left w:val="nil"/>
                    <w:bottom w:val="single" w:sz="4" w:space="0" w:color="auto"/>
                    <w:right w:val="nil"/>
                  </w:tcBorders>
                  <w:shd w:val="clear" w:color="auto" w:fill="auto"/>
                  <w:noWrap/>
                  <w:vAlign w:val="bottom"/>
                  <w:hideMark/>
                </w:tcPr>
                <w:p w14:paraId="1DDC5797"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871" w:type="dxa"/>
                  <w:tcBorders>
                    <w:top w:val="nil"/>
                    <w:left w:val="nil"/>
                    <w:bottom w:val="single" w:sz="4" w:space="0" w:color="auto"/>
                    <w:right w:val="nil"/>
                  </w:tcBorders>
                  <w:shd w:val="clear" w:color="auto" w:fill="auto"/>
                  <w:noWrap/>
                  <w:vAlign w:val="bottom"/>
                  <w:hideMark/>
                </w:tcPr>
                <w:p w14:paraId="2918EB23" w14:textId="6F9A667D"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0,09</w:t>
                  </w:r>
                </w:p>
              </w:tc>
            </w:tr>
            <w:tr w:rsidR="00E720A4" w:rsidRPr="00887108" w14:paraId="6AB7EE8E" w14:textId="77777777" w:rsidTr="00EB0847">
              <w:trPr>
                <w:trHeight w:val="283"/>
              </w:trPr>
              <w:tc>
                <w:tcPr>
                  <w:tcW w:w="189" w:type="dxa"/>
                  <w:tcBorders>
                    <w:top w:val="nil"/>
                    <w:left w:val="nil"/>
                    <w:bottom w:val="nil"/>
                    <w:right w:val="nil"/>
                  </w:tcBorders>
                  <w:shd w:val="clear" w:color="auto" w:fill="auto"/>
                  <w:noWrap/>
                  <w:vAlign w:val="bottom"/>
                </w:tcPr>
                <w:p w14:paraId="1D1E0DBD" w14:textId="5480C3D2"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vAlign w:val="bottom"/>
                  <w:hideMark/>
                </w:tcPr>
                <w:p w14:paraId="2501C4E8" w14:textId="5F3D2611"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Odklad platby odvodov za zamestnávateľa pri poklese tržieb o viac ako 40 %</w:t>
                  </w:r>
                </w:p>
              </w:tc>
              <w:tc>
                <w:tcPr>
                  <w:tcW w:w="735" w:type="dxa"/>
                  <w:tcBorders>
                    <w:top w:val="nil"/>
                    <w:left w:val="nil"/>
                    <w:bottom w:val="nil"/>
                    <w:right w:val="nil"/>
                  </w:tcBorders>
                  <w:shd w:val="clear" w:color="auto" w:fill="auto"/>
                  <w:noWrap/>
                  <w:vAlign w:val="bottom"/>
                  <w:hideMark/>
                </w:tcPr>
                <w:p w14:paraId="4FEBC96E" w14:textId="77777777" w:rsidR="00E720A4" w:rsidRPr="00887108" w:rsidRDefault="00E720A4" w:rsidP="00062F86">
                  <w:pPr>
                    <w:framePr w:hSpace="141" w:wrap="around" w:vAnchor="text" w:hAnchor="text" w:xAlign="center" w:y="1"/>
                    <w:ind w:right="74"/>
                    <w:suppressOverlap/>
                    <w:rPr>
                      <w:color w:val="000000"/>
                      <w:sz w:val="18"/>
                      <w:szCs w:val="18"/>
                    </w:rPr>
                  </w:pPr>
                </w:p>
              </w:tc>
              <w:tc>
                <w:tcPr>
                  <w:tcW w:w="736" w:type="dxa"/>
                  <w:tcBorders>
                    <w:top w:val="nil"/>
                    <w:left w:val="nil"/>
                    <w:bottom w:val="nil"/>
                    <w:right w:val="nil"/>
                  </w:tcBorders>
                  <w:shd w:val="clear" w:color="auto" w:fill="auto"/>
                  <w:noWrap/>
                  <w:vAlign w:val="bottom"/>
                  <w:hideMark/>
                </w:tcPr>
                <w:p w14:paraId="239B4FF0"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0" w:type="dxa"/>
                  <w:tcBorders>
                    <w:top w:val="nil"/>
                    <w:left w:val="nil"/>
                    <w:bottom w:val="nil"/>
                    <w:right w:val="nil"/>
                  </w:tcBorders>
                  <w:shd w:val="clear" w:color="auto" w:fill="auto"/>
                  <w:noWrap/>
                  <w:vAlign w:val="bottom"/>
                  <w:hideMark/>
                </w:tcPr>
                <w:p w14:paraId="18566EE6"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759</w:t>
                  </w:r>
                </w:p>
              </w:tc>
              <w:tc>
                <w:tcPr>
                  <w:tcW w:w="870" w:type="dxa"/>
                  <w:tcBorders>
                    <w:top w:val="nil"/>
                    <w:left w:val="nil"/>
                    <w:bottom w:val="nil"/>
                    <w:right w:val="nil"/>
                  </w:tcBorders>
                  <w:shd w:val="clear" w:color="auto" w:fill="auto"/>
                  <w:noWrap/>
                  <w:vAlign w:val="bottom"/>
                  <w:hideMark/>
                </w:tcPr>
                <w:p w14:paraId="46E936AF"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1" w:type="dxa"/>
                  <w:tcBorders>
                    <w:top w:val="nil"/>
                    <w:left w:val="nil"/>
                    <w:bottom w:val="nil"/>
                    <w:right w:val="nil"/>
                  </w:tcBorders>
                  <w:shd w:val="clear" w:color="auto" w:fill="auto"/>
                  <w:noWrap/>
                  <w:vAlign w:val="bottom"/>
                  <w:hideMark/>
                </w:tcPr>
                <w:p w14:paraId="7BE3BC33" w14:textId="5F12CA8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0,85</w:t>
                  </w:r>
                </w:p>
              </w:tc>
            </w:tr>
            <w:tr w:rsidR="00E720A4" w:rsidRPr="00887108" w14:paraId="687343BD" w14:textId="77777777" w:rsidTr="00EB0847">
              <w:trPr>
                <w:trHeight w:val="283"/>
              </w:trPr>
              <w:tc>
                <w:tcPr>
                  <w:tcW w:w="189" w:type="dxa"/>
                  <w:tcBorders>
                    <w:top w:val="nil"/>
                    <w:left w:val="nil"/>
                    <w:bottom w:val="nil"/>
                    <w:right w:val="nil"/>
                  </w:tcBorders>
                  <w:shd w:val="clear" w:color="auto" w:fill="auto"/>
                  <w:noWrap/>
                  <w:vAlign w:val="bottom"/>
                </w:tcPr>
                <w:p w14:paraId="2D47AB82" w14:textId="6AE52AED"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noWrap/>
                  <w:vAlign w:val="bottom"/>
                  <w:hideMark/>
                </w:tcPr>
                <w:p w14:paraId="318B5F9D"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Odklad preddavkov dane z príjmu pri poklese tržieb o viac ako 40 %</w:t>
                  </w:r>
                </w:p>
              </w:tc>
              <w:tc>
                <w:tcPr>
                  <w:tcW w:w="735" w:type="dxa"/>
                  <w:tcBorders>
                    <w:top w:val="nil"/>
                    <w:left w:val="nil"/>
                    <w:bottom w:val="nil"/>
                    <w:right w:val="nil"/>
                  </w:tcBorders>
                  <w:shd w:val="clear" w:color="auto" w:fill="auto"/>
                  <w:noWrap/>
                  <w:vAlign w:val="bottom"/>
                  <w:hideMark/>
                </w:tcPr>
                <w:p w14:paraId="4ADFC527" w14:textId="77777777" w:rsidR="00E720A4" w:rsidRPr="00887108" w:rsidRDefault="00E720A4" w:rsidP="00062F86">
                  <w:pPr>
                    <w:framePr w:hSpace="141" w:wrap="around" w:vAnchor="text" w:hAnchor="text" w:xAlign="center" w:y="1"/>
                    <w:ind w:right="74"/>
                    <w:suppressOverlap/>
                    <w:rPr>
                      <w:color w:val="000000"/>
                      <w:sz w:val="18"/>
                      <w:szCs w:val="18"/>
                    </w:rPr>
                  </w:pPr>
                </w:p>
              </w:tc>
              <w:tc>
                <w:tcPr>
                  <w:tcW w:w="736" w:type="dxa"/>
                  <w:tcBorders>
                    <w:top w:val="nil"/>
                    <w:left w:val="nil"/>
                    <w:bottom w:val="nil"/>
                    <w:right w:val="nil"/>
                  </w:tcBorders>
                  <w:shd w:val="clear" w:color="auto" w:fill="auto"/>
                  <w:noWrap/>
                  <w:vAlign w:val="bottom"/>
                  <w:hideMark/>
                </w:tcPr>
                <w:p w14:paraId="059B4F13" w14:textId="77777777" w:rsidR="00E720A4" w:rsidRPr="00887108" w:rsidRDefault="00E720A4" w:rsidP="00062F86">
                  <w:pPr>
                    <w:framePr w:hSpace="141" w:wrap="around" w:vAnchor="text" w:hAnchor="text" w:xAlign="center" w:y="1"/>
                    <w:ind w:right="74"/>
                    <w:suppressOverlap/>
                    <w:jc w:val="center"/>
                    <w:rPr>
                      <w:sz w:val="20"/>
                      <w:szCs w:val="20"/>
                    </w:rPr>
                  </w:pPr>
                </w:p>
              </w:tc>
              <w:tc>
                <w:tcPr>
                  <w:tcW w:w="870" w:type="dxa"/>
                  <w:tcBorders>
                    <w:top w:val="nil"/>
                    <w:left w:val="nil"/>
                    <w:bottom w:val="nil"/>
                    <w:right w:val="nil"/>
                  </w:tcBorders>
                  <w:shd w:val="clear" w:color="auto" w:fill="auto"/>
                  <w:noWrap/>
                  <w:vAlign w:val="bottom"/>
                  <w:hideMark/>
                </w:tcPr>
                <w:p w14:paraId="32354094"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346</w:t>
                  </w:r>
                </w:p>
              </w:tc>
              <w:tc>
                <w:tcPr>
                  <w:tcW w:w="870" w:type="dxa"/>
                  <w:tcBorders>
                    <w:top w:val="nil"/>
                    <w:left w:val="nil"/>
                    <w:bottom w:val="nil"/>
                    <w:right w:val="nil"/>
                  </w:tcBorders>
                  <w:shd w:val="clear" w:color="auto" w:fill="auto"/>
                  <w:noWrap/>
                  <w:vAlign w:val="bottom"/>
                  <w:hideMark/>
                </w:tcPr>
                <w:p w14:paraId="3FFB3BD7" w14:textId="77777777" w:rsidR="00E720A4" w:rsidRPr="00887108" w:rsidRDefault="00E720A4" w:rsidP="00062F86">
                  <w:pPr>
                    <w:framePr w:hSpace="141" w:wrap="around" w:vAnchor="text" w:hAnchor="text" w:xAlign="center" w:y="1"/>
                    <w:ind w:right="74"/>
                    <w:suppressOverlap/>
                    <w:jc w:val="center"/>
                    <w:rPr>
                      <w:color w:val="000000"/>
                      <w:sz w:val="20"/>
                      <w:szCs w:val="20"/>
                    </w:rPr>
                  </w:pPr>
                </w:p>
              </w:tc>
              <w:tc>
                <w:tcPr>
                  <w:tcW w:w="871" w:type="dxa"/>
                  <w:tcBorders>
                    <w:top w:val="nil"/>
                    <w:left w:val="nil"/>
                    <w:bottom w:val="nil"/>
                    <w:right w:val="nil"/>
                  </w:tcBorders>
                  <w:shd w:val="clear" w:color="auto" w:fill="auto"/>
                  <w:noWrap/>
                  <w:vAlign w:val="bottom"/>
                  <w:hideMark/>
                </w:tcPr>
                <w:p w14:paraId="24338B49" w14:textId="1BFED76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0,39</w:t>
                  </w:r>
                </w:p>
              </w:tc>
            </w:tr>
            <w:tr w:rsidR="00BF2943" w:rsidRPr="00887108" w14:paraId="2E38A2D4" w14:textId="77777777" w:rsidTr="00EB0847">
              <w:trPr>
                <w:trHeight w:val="283"/>
              </w:trPr>
              <w:tc>
                <w:tcPr>
                  <w:tcW w:w="189" w:type="dxa"/>
                  <w:tcBorders>
                    <w:top w:val="nil"/>
                    <w:left w:val="nil"/>
                    <w:bottom w:val="nil"/>
                    <w:right w:val="nil"/>
                  </w:tcBorders>
                  <w:shd w:val="clear" w:color="auto" w:fill="auto"/>
                  <w:noWrap/>
                  <w:vAlign w:val="bottom"/>
                </w:tcPr>
                <w:p w14:paraId="6893A2F0" w14:textId="77777777" w:rsidR="00BF2943" w:rsidRPr="00887108" w:rsidRDefault="00BF2943"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nil"/>
                    <w:right w:val="nil"/>
                  </w:tcBorders>
                  <w:shd w:val="clear" w:color="auto" w:fill="auto"/>
                  <w:noWrap/>
                  <w:vAlign w:val="bottom"/>
                </w:tcPr>
                <w:p w14:paraId="02DEAF3A" w14:textId="5E980E75" w:rsidR="00BF2943" w:rsidRPr="00887108" w:rsidRDefault="00BF2943" w:rsidP="00062F86">
                  <w:pPr>
                    <w:framePr w:hSpace="141" w:wrap="around" w:vAnchor="text" w:hAnchor="text" w:xAlign="center" w:y="1"/>
                    <w:ind w:right="74"/>
                    <w:suppressOverlap/>
                    <w:rPr>
                      <w:color w:val="000000"/>
                      <w:sz w:val="18"/>
                      <w:szCs w:val="18"/>
                    </w:rPr>
                  </w:pPr>
                  <w:r w:rsidRPr="00887108">
                    <w:rPr>
                      <w:color w:val="000000"/>
                      <w:sz w:val="18"/>
                      <w:szCs w:val="18"/>
                    </w:rPr>
                    <w:t>Posunutie daňových priznaní</w:t>
                  </w:r>
                  <w:r w:rsidR="008823D3" w:rsidRPr="00887108">
                    <w:rPr>
                      <w:color w:val="000000"/>
                      <w:sz w:val="18"/>
                      <w:szCs w:val="18"/>
                    </w:rPr>
                    <w:t xml:space="preserve"> na dani z príjmov</w:t>
                  </w:r>
                </w:p>
              </w:tc>
              <w:tc>
                <w:tcPr>
                  <w:tcW w:w="735" w:type="dxa"/>
                  <w:tcBorders>
                    <w:top w:val="nil"/>
                    <w:left w:val="nil"/>
                    <w:bottom w:val="nil"/>
                    <w:right w:val="nil"/>
                  </w:tcBorders>
                  <w:shd w:val="clear" w:color="auto" w:fill="auto"/>
                  <w:noWrap/>
                  <w:vAlign w:val="bottom"/>
                </w:tcPr>
                <w:p w14:paraId="33F4F5F9" w14:textId="77777777" w:rsidR="00BF2943" w:rsidRPr="00887108" w:rsidRDefault="00BF2943" w:rsidP="00062F86">
                  <w:pPr>
                    <w:framePr w:hSpace="141" w:wrap="around" w:vAnchor="text" w:hAnchor="text" w:xAlign="center" w:y="1"/>
                    <w:ind w:right="74"/>
                    <w:suppressOverlap/>
                    <w:rPr>
                      <w:color w:val="000000"/>
                      <w:sz w:val="18"/>
                      <w:szCs w:val="18"/>
                    </w:rPr>
                  </w:pPr>
                </w:p>
              </w:tc>
              <w:tc>
                <w:tcPr>
                  <w:tcW w:w="736" w:type="dxa"/>
                  <w:tcBorders>
                    <w:top w:val="nil"/>
                    <w:left w:val="nil"/>
                    <w:bottom w:val="nil"/>
                    <w:right w:val="nil"/>
                  </w:tcBorders>
                  <w:shd w:val="clear" w:color="auto" w:fill="auto"/>
                  <w:noWrap/>
                  <w:vAlign w:val="bottom"/>
                </w:tcPr>
                <w:p w14:paraId="578D2A40" w14:textId="77777777" w:rsidR="00BF2943" w:rsidRPr="00887108" w:rsidRDefault="00BF2943" w:rsidP="00062F86">
                  <w:pPr>
                    <w:framePr w:hSpace="141" w:wrap="around" w:vAnchor="text" w:hAnchor="text" w:xAlign="center" w:y="1"/>
                    <w:ind w:right="74"/>
                    <w:suppressOverlap/>
                    <w:jc w:val="center"/>
                    <w:rPr>
                      <w:sz w:val="20"/>
                      <w:szCs w:val="20"/>
                    </w:rPr>
                  </w:pPr>
                </w:p>
              </w:tc>
              <w:tc>
                <w:tcPr>
                  <w:tcW w:w="870" w:type="dxa"/>
                  <w:tcBorders>
                    <w:top w:val="nil"/>
                    <w:left w:val="nil"/>
                    <w:bottom w:val="nil"/>
                    <w:right w:val="nil"/>
                  </w:tcBorders>
                  <w:shd w:val="clear" w:color="auto" w:fill="auto"/>
                  <w:noWrap/>
                  <w:vAlign w:val="bottom"/>
                </w:tcPr>
                <w:p w14:paraId="5D9AAD18" w14:textId="62F8B7A3" w:rsidR="00BF2943" w:rsidRPr="00887108" w:rsidRDefault="00BF2943" w:rsidP="00062F86">
                  <w:pPr>
                    <w:framePr w:hSpace="141" w:wrap="around" w:vAnchor="text" w:hAnchor="text" w:xAlign="center" w:y="1"/>
                    <w:ind w:right="74"/>
                    <w:suppressOverlap/>
                    <w:jc w:val="center"/>
                    <w:rPr>
                      <w:color w:val="000000"/>
                      <w:sz w:val="20"/>
                      <w:szCs w:val="20"/>
                    </w:rPr>
                  </w:pPr>
                  <w:r w:rsidRPr="00887108">
                    <w:rPr>
                      <w:color w:val="000000"/>
                      <w:sz w:val="20"/>
                      <w:szCs w:val="20"/>
                    </w:rPr>
                    <w:t>114</w:t>
                  </w:r>
                </w:p>
              </w:tc>
              <w:tc>
                <w:tcPr>
                  <w:tcW w:w="870" w:type="dxa"/>
                  <w:tcBorders>
                    <w:top w:val="nil"/>
                    <w:left w:val="nil"/>
                    <w:bottom w:val="nil"/>
                    <w:right w:val="nil"/>
                  </w:tcBorders>
                  <w:shd w:val="clear" w:color="auto" w:fill="auto"/>
                  <w:noWrap/>
                  <w:vAlign w:val="bottom"/>
                </w:tcPr>
                <w:p w14:paraId="11EF5560" w14:textId="77777777" w:rsidR="00BF2943" w:rsidRPr="00887108" w:rsidRDefault="00BF2943" w:rsidP="00062F86">
                  <w:pPr>
                    <w:framePr w:hSpace="141" w:wrap="around" w:vAnchor="text" w:hAnchor="text" w:xAlign="center" w:y="1"/>
                    <w:ind w:right="74"/>
                    <w:suppressOverlap/>
                    <w:jc w:val="center"/>
                    <w:rPr>
                      <w:color w:val="000000"/>
                      <w:sz w:val="20"/>
                      <w:szCs w:val="20"/>
                    </w:rPr>
                  </w:pPr>
                </w:p>
              </w:tc>
              <w:tc>
                <w:tcPr>
                  <w:tcW w:w="871" w:type="dxa"/>
                  <w:tcBorders>
                    <w:top w:val="nil"/>
                    <w:left w:val="nil"/>
                    <w:bottom w:val="nil"/>
                    <w:right w:val="nil"/>
                  </w:tcBorders>
                  <w:shd w:val="clear" w:color="auto" w:fill="auto"/>
                  <w:noWrap/>
                  <w:vAlign w:val="bottom"/>
                </w:tcPr>
                <w:p w14:paraId="25AB0DAE" w14:textId="68FAC3AE" w:rsidR="00BF2943" w:rsidRPr="00887108" w:rsidRDefault="008823D3" w:rsidP="00062F86">
                  <w:pPr>
                    <w:framePr w:hSpace="141" w:wrap="around" w:vAnchor="text" w:hAnchor="text" w:xAlign="center" w:y="1"/>
                    <w:ind w:right="74"/>
                    <w:suppressOverlap/>
                    <w:jc w:val="center"/>
                    <w:rPr>
                      <w:color w:val="000000"/>
                      <w:sz w:val="20"/>
                      <w:szCs w:val="20"/>
                    </w:rPr>
                  </w:pPr>
                  <w:r w:rsidRPr="00887108">
                    <w:rPr>
                      <w:color w:val="000000"/>
                      <w:sz w:val="20"/>
                      <w:szCs w:val="20"/>
                    </w:rPr>
                    <w:t>0</w:t>
                  </w:r>
                  <w:r w:rsidR="00BF2943" w:rsidRPr="00887108">
                    <w:rPr>
                      <w:color w:val="000000"/>
                      <w:sz w:val="20"/>
                      <w:szCs w:val="20"/>
                    </w:rPr>
                    <w:t>,</w:t>
                  </w:r>
                  <w:r w:rsidRPr="00887108">
                    <w:rPr>
                      <w:color w:val="000000"/>
                      <w:sz w:val="20"/>
                      <w:szCs w:val="20"/>
                    </w:rPr>
                    <w:t>13</w:t>
                  </w:r>
                </w:p>
              </w:tc>
            </w:tr>
            <w:tr w:rsidR="00E720A4" w:rsidRPr="00887108" w14:paraId="66363472" w14:textId="77777777" w:rsidTr="00EB0847">
              <w:trPr>
                <w:trHeight w:val="283"/>
              </w:trPr>
              <w:tc>
                <w:tcPr>
                  <w:tcW w:w="189" w:type="dxa"/>
                  <w:tcBorders>
                    <w:top w:val="nil"/>
                    <w:left w:val="nil"/>
                    <w:bottom w:val="single" w:sz="4" w:space="0" w:color="auto"/>
                    <w:right w:val="nil"/>
                  </w:tcBorders>
                  <w:shd w:val="clear" w:color="auto" w:fill="auto"/>
                  <w:noWrap/>
                  <w:vAlign w:val="bottom"/>
                </w:tcPr>
                <w:p w14:paraId="28FA89CB" w14:textId="74ACA58E"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single" w:sz="4" w:space="0" w:color="auto"/>
                    <w:right w:val="nil"/>
                  </w:tcBorders>
                  <w:shd w:val="clear" w:color="auto" w:fill="auto"/>
                  <w:noWrap/>
                  <w:vAlign w:val="bottom"/>
                  <w:hideMark/>
                </w:tcPr>
                <w:p w14:paraId="2E850C4F"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Ostatné opatrenia odkladu daní a odvodov</w:t>
                  </w:r>
                </w:p>
              </w:tc>
              <w:tc>
                <w:tcPr>
                  <w:tcW w:w="735" w:type="dxa"/>
                  <w:tcBorders>
                    <w:top w:val="nil"/>
                    <w:left w:val="nil"/>
                    <w:bottom w:val="single" w:sz="4" w:space="0" w:color="auto"/>
                    <w:right w:val="nil"/>
                  </w:tcBorders>
                  <w:shd w:val="clear" w:color="auto" w:fill="auto"/>
                  <w:noWrap/>
                  <w:vAlign w:val="bottom"/>
                  <w:hideMark/>
                </w:tcPr>
                <w:p w14:paraId="41360B31"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736" w:type="dxa"/>
                  <w:tcBorders>
                    <w:top w:val="nil"/>
                    <w:left w:val="nil"/>
                    <w:bottom w:val="single" w:sz="4" w:space="0" w:color="auto"/>
                    <w:right w:val="nil"/>
                  </w:tcBorders>
                  <w:shd w:val="clear" w:color="auto" w:fill="auto"/>
                  <w:noWrap/>
                  <w:vAlign w:val="bottom"/>
                  <w:hideMark/>
                </w:tcPr>
                <w:p w14:paraId="51581E22"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870" w:type="dxa"/>
                  <w:tcBorders>
                    <w:top w:val="nil"/>
                    <w:left w:val="nil"/>
                    <w:bottom w:val="single" w:sz="4" w:space="0" w:color="auto"/>
                    <w:right w:val="nil"/>
                  </w:tcBorders>
                  <w:shd w:val="clear" w:color="auto" w:fill="auto"/>
                  <w:noWrap/>
                  <w:vAlign w:val="bottom"/>
                  <w:hideMark/>
                </w:tcPr>
                <w:p w14:paraId="3C88D532"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10</w:t>
                  </w:r>
                </w:p>
              </w:tc>
              <w:tc>
                <w:tcPr>
                  <w:tcW w:w="870" w:type="dxa"/>
                  <w:tcBorders>
                    <w:top w:val="nil"/>
                    <w:left w:val="nil"/>
                    <w:bottom w:val="single" w:sz="4" w:space="0" w:color="auto"/>
                    <w:right w:val="nil"/>
                  </w:tcBorders>
                  <w:shd w:val="clear" w:color="auto" w:fill="auto"/>
                  <w:noWrap/>
                  <w:vAlign w:val="bottom"/>
                  <w:hideMark/>
                </w:tcPr>
                <w:p w14:paraId="6867A6A5"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871" w:type="dxa"/>
                  <w:tcBorders>
                    <w:top w:val="nil"/>
                    <w:left w:val="nil"/>
                    <w:bottom w:val="single" w:sz="4" w:space="0" w:color="auto"/>
                    <w:right w:val="nil"/>
                  </w:tcBorders>
                  <w:shd w:val="clear" w:color="auto" w:fill="auto"/>
                  <w:noWrap/>
                  <w:vAlign w:val="bottom"/>
                  <w:hideMark/>
                </w:tcPr>
                <w:p w14:paraId="6B70ECB8" w14:textId="2C9B30F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0,01</w:t>
                  </w:r>
                </w:p>
              </w:tc>
            </w:tr>
            <w:tr w:rsidR="00E720A4" w:rsidRPr="00887108" w14:paraId="35DEC81D" w14:textId="77777777" w:rsidTr="00EB0847">
              <w:trPr>
                <w:trHeight w:val="283"/>
              </w:trPr>
              <w:tc>
                <w:tcPr>
                  <w:tcW w:w="189" w:type="dxa"/>
                  <w:tcBorders>
                    <w:top w:val="nil"/>
                    <w:left w:val="nil"/>
                    <w:bottom w:val="single" w:sz="4" w:space="0" w:color="auto"/>
                    <w:right w:val="nil"/>
                  </w:tcBorders>
                  <w:shd w:val="clear" w:color="auto" w:fill="auto"/>
                  <w:noWrap/>
                  <w:vAlign w:val="bottom"/>
                </w:tcPr>
                <w:p w14:paraId="4886DEF1" w14:textId="1E582250" w:rsidR="00E720A4" w:rsidRPr="00887108" w:rsidRDefault="00E720A4" w:rsidP="00062F86">
                  <w:pPr>
                    <w:framePr w:hSpace="141" w:wrap="around" w:vAnchor="text" w:hAnchor="text" w:xAlign="center" w:y="1"/>
                    <w:ind w:right="74"/>
                    <w:suppressOverlap/>
                    <w:jc w:val="center"/>
                    <w:rPr>
                      <w:color w:val="000000"/>
                      <w:sz w:val="18"/>
                      <w:szCs w:val="18"/>
                    </w:rPr>
                  </w:pPr>
                </w:p>
              </w:tc>
              <w:tc>
                <w:tcPr>
                  <w:tcW w:w="4600" w:type="dxa"/>
                  <w:tcBorders>
                    <w:top w:val="nil"/>
                    <w:left w:val="nil"/>
                    <w:bottom w:val="single" w:sz="4" w:space="0" w:color="auto"/>
                    <w:right w:val="nil"/>
                  </w:tcBorders>
                  <w:shd w:val="clear" w:color="auto" w:fill="auto"/>
                  <w:noWrap/>
                  <w:vAlign w:val="bottom"/>
                  <w:hideMark/>
                </w:tcPr>
                <w:p w14:paraId="7923A21B" w14:textId="77777777" w:rsidR="00E720A4" w:rsidRPr="00887108" w:rsidRDefault="00E720A4" w:rsidP="00062F86">
                  <w:pPr>
                    <w:framePr w:hSpace="141" w:wrap="around" w:vAnchor="text" w:hAnchor="text" w:xAlign="center" w:y="1"/>
                    <w:ind w:right="74"/>
                    <w:suppressOverlap/>
                    <w:rPr>
                      <w:color w:val="000000"/>
                      <w:sz w:val="18"/>
                      <w:szCs w:val="18"/>
                    </w:rPr>
                  </w:pPr>
                  <w:r w:rsidRPr="00887108">
                    <w:rPr>
                      <w:color w:val="000000"/>
                      <w:sz w:val="18"/>
                      <w:szCs w:val="18"/>
                    </w:rPr>
                    <w:t>Poskytnutie bankových záruk na pôžičky</w:t>
                  </w:r>
                </w:p>
              </w:tc>
              <w:tc>
                <w:tcPr>
                  <w:tcW w:w="735" w:type="dxa"/>
                  <w:tcBorders>
                    <w:top w:val="nil"/>
                    <w:left w:val="nil"/>
                    <w:bottom w:val="single" w:sz="4" w:space="0" w:color="auto"/>
                    <w:right w:val="nil"/>
                  </w:tcBorders>
                  <w:shd w:val="clear" w:color="auto" w:fill="auto"/>
                  <w:noWrap/>
                  <w:vAlign w:val="bottom"/>
                  <w:hideMark/>
                </w:tcPr>
                <w:p w14:paraId="670EEEDA"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736" w:type="dxa"/>
                  <w:tcBorders>
                    <w:top w:val="nil"/>
                    <w:left w:val="nil"/>
                    <w:bottom w:val="single" w:sz="4" w:space="0" w:color="auto"/>
                    <w:right w:val="nil"/>
                  </w:tcBorders>
                  <w:shd w:val="clear" w:color="auto" w:fill="auto"/>
                  <w:noWrap/>
                  <w:vAlign w:val="bottom"/>
                  <w:hideMark/>
                </w:tcPr>
                <w:p w14:paraId="42EE0394"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870" w:type="dxa"/>
                  <w:tcBorders>
                    <w:top w:val="nil"/>
                    <w:left w:val="nil"/>
                    <w:bottom w:val="single" w:sz="4" w:space="0" w:color="auto"/>
                    <w:right w:val="nil"/>
                  </w:tcBorders>
                  <w:shd w:val="clear" w:color="auto" w:fill="auto"/>
                  <w:noWrap/>
                  <w:vAlign w:val="bottom"/>
                  <w:hideMark/>
                </w:tcPr>
                <w:p w14:paraId="400C0B33" w14:textId="77777777"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 </w:t>
                  </w:r>
                </w:p>
              </w:tc>
              <w:tc>
                <w:tcPr>
                  <w:tcW w:w="870" w:type="dxa"/>
                  <w:tcBorders>
                    <w:top w:val="nil"/>
                    <w:left w:val="nil"/>
                    <w:bottom w:val="single" w:sz="4" w:space="0" w:color="auto"/>
                    <w:right w:val="nil"/>
                  </w:tcBorders>
                  <w:shd w:val="clear" w:color="auto" w:fill="auto"/>
                  <w:noWrap/>
                  <w:vAlign w:val="bottom"/>
                  <w:hideMark/>
                </w:tcPr>
                <w:p w14:paraId="2916737A" w14:textId="3B3D2921"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1</w:t>
                  </w:r>
                  <w:r w:rsidR="00D63A34" w:rsidRPr="00887108">
                    <w:rPr>
                      <w:color w:val="000000"/>
                      <w:sz w:val="20"/>
                      <w:szCs w:val="20"/>
                    </w:rPr>
                    <w:t> </w:t>
                  </w:r>
                  <w:r w:rsidRPr="00887108">
                    <w:rPr>
                      <w:color w:val="000000"/>
                      <w:sz w:val="20"/>
                      <w:szCs w:val="20"/>
                    </w:rPr>
                    <w:t>500</w:t>
                  </w:r>
                  <w:r w:rsidR="00D63A34" w:rsidRPr="00887108">
                    <w:rPr>
                      <w:color w:val="000000"/>
                      <w:sz w:val="20"/>
                      <w:szCs w:val="20"/>
                    </w:rPr>
                    <w:t>*</w:t>
                  </w:r>
                </w:p>
              </w:tc>
              <w:tc>
                <w:tcPr>
                  <w:tcW w:w="871" w:type="dxa"/>
                  <w:tcBorders>
                    <w:top w:val="nil"/>
                    <w:left w:val="nil"/>
                    <w:bottom w:val="single" w:sz="4" w:space="0" w:color="auto"/>
                    <w:right w:val="nil"/>
                  </w:tcBorders>
                  <w:shd w:val="clear" w:color="auto" w:fill="auto"/>
                  <w:noWrap/>
                  <w:vAlign w:val="bottom"/>
                  <w:hideMark/>
                </w:tcPr>
                <w:p w14:paraId="5D58E1E4" w14:textId="494B833F" w:rsidR="00E720A4" w:rsidRPr="00887108" w:rsidRDefault="00E720A4" w:rsidP="00062F86">
                  <w:pPr>
                    <w:framePr w:hSpace="141" w:wrap="around" w:vAnchor="text" w:hAnchor="text" w:xAlign="center" w:y="1"/>
                    <w:ind w:right="74"/>
                    <w:suppressOverlap/>
                    <w:jc w:val="center"/>
                    <w:rPr>
                      <w:color w:val="000000"/>
                      <w:sz w:val="20"/>
                      <w:szCs w:val="20"/>
                    </w:rPr>
                  </w:pPr>
                  <w:r w:rsidRPr="00887108">
                    <w:rPr>
                      <w:color w:val="000000"/>
                      <w:sz w:val="20"/>
                      <w:szCs w:val="20"/>
                    </w:rPr>
                    <w:t>1,59</w:t>
                  </w:r>
                </w:p>
              </w:tc>
            </w:tr>
            <w:tr w:rsidR="00407483" w:rsidRPr="00887108" w14:paraId="0874BA53" w14:textId="77777777" w:rsidTr="00EB0847">
              <w:trPr>
                <w:trHeight w:val="295"/>
              </w:trPr>
              <w:tc>
                <w:tcPr>
                  <w:tcW w:w="189" w:type="dxa"/>
                  <w:tcBorders>
                    <w:top w:val="nil"/>
                    <w:left w:val="nil"/>
                    <w:bottom w:val="nil"/>
                    <w:right w:val="nil"/>
                  </w:tcBorders>
                  <w:shd w:val="clear" w:color="auto" w:fill="auto"/>
                  <w:noWrap/>
                  <w:vAlign w:val="bottom"/>
                  <w:hideMark/>
                </w:tcPr>
                <w:p w14:paraId="3EAFC3AC" w14:textId="77777777" w:rsidR="00407483" w:rsidRPr="00887108" w:rsidRDefault="00407483" w:rsidP="00062F86">
                  <w:pPr>
                    <w:framePr w:hSpace="141" w:wrap="around" w:vAnchor="text" w:hAnchor="text" w:xAlign="center" w:y="1"/>
                    <w:ind w:right="74"/>
                    <w:suppressOverlap/>
                    <w:jc w:val="center"/>
                    <w:rPr>
                      <w:color w:val="000000"/>
                      <w:sz w:val="20"/>
                      <w:szCs w:val="20"/>
                    </w:rPr>
                  </w:pPr>
                </w:p>
              </w:tc>
              <w:tc>
                <w:tcPr>
                  <w:tcW w:w="4600" w:type="dxa"/>
                  <w:tcBorders>
                    <w:top w:val="nil"/>
                    <w:left w:val="nil"/>
                    <w:bottom w:val="nil"/>
                    <w:right w:val="nil"/>
                  </w:tcBorders>
                  <w:shd w:val="clear" w:color="auto" w:fill="auto"/>
                  <w:noWrap/>
                  <w:vAlign w:val="bottom"/>
                  <w:hideMark/>
                </w:tcPr>
                <w:p w14:paraId="77F26DBB" w14:textId="77777777" w:rsidR="00407483" w:rsidRPr="00887108" w:rsidRDefault="00407483" w:rsidP="00062F86">
                  <w:pPr>
                    <w:framePr w:hSpace="141" w:wrap="around" w:vAnchor="text" w:hAnchor="text" w:xAlign="center" w:y="1"/>
                    <w:ind w:right="74"/>
                    <w:suppressOverlap/>
                    <w:rPr>
                      <w:b/>
                      <w:bCs/>
                      <w:color w:val="000000"/>
                      <w:sz w:val="20"/>
                      <w:szCs w:val="20"/>
                    </w:rPr>
                  </w:pPr>
                  <w:r w:rsidRPr="00887108">
                    <w:rPr>
                      <w:b/>
                      <w:bCs/>
                      <w:color w:val="000000"/>
                      <w:sz w:val="20"/>
                      <w:szCs w:val="20"/>
                    </w:rPr>
                    <w:t>Spolu v mil.</w:t>
                  </w:r>
                </w:p>
              </w:tc>
              <w:tc>
                <w:tcPr>
                  <w:tcW w:w="735" w:type="dxa"/>
                  <w:tcBorders>
                    <w:top w:val="nil"/>
                    <w:left w:val="nil"/>
                    <w:bottom w:val="nil"/>
                    <w:right w:val="nil"/>
                  </w:tcBorders>
                  <w:shd w:val="clear" w:color="auto" w:fill="auto"/>
                  <w:noWrap/>
                  <w:vAlign w:val="bottom"/>
                  <w:hideMark/>
                </w:tcPr>
                <w:p w14:paraId="2A688D61" w14:textId="77777777" w:rsidR="00407483" w:rsidRPr="00887108" w:rsidRDefault="00407483"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707</w:t>
                  </w:r>
                </w:p>
              </w:tc>
              <w:tc>
                <w:tcPr>
                  <w:tcW w:w="736" w:type="dxa"/>
                  <w:tcBorders>
                    <w:top w:val="nil"/>
                    <w:left w:val="nil"/>
                    <w:bottom w:val="nil"/>
                    <w:right w:val="nil"/>
                  </w:tcBorders>
                  <w:shd w:val="clear" w:color="auto" w:fill="auto"/>
                  <w:noWrap/>
                  <w:vAlign w:val="bottom"/>
                  <w:hideMark/>
                </w:tcPr>
                <w:p w14:paraId="08049231" w14:textId="77777777" w:rsidR="00407483" w:rsidRPr="00887108" w:rsidRDefault="00407483"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1 607</w:t>
                  </w:r>
                </w:p>
              </w:tc>
              <w:tc>
                <w:tcPr>
                  <w:tcW w:w="870" w:type="dxa"/>
                  <w:tcBorders>
                    <w:top w:val="nil"/>
                    <w:left w:val="nil"/>
                    <w:bottom w:val="nil"/>
                    <w:right w:val="nil"/>
                  </w:tcBorders>
                  <w:shd w:val="clear" w:color="auto" w:fill="auto"/>
                  <w:noWrap/>
                  <w:vAlign w:val="bottom"/>
                  <w:hideMark/>
                </w:tcPr>
                <w:p w14:paraId="32690E02" w14:textId="172BC55F" w:rsidR="00407483" w:rsidRPr="00887108" w:rsidRDefault="00407483"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 xml:space="preserve">1 </w:t>
                  </w:r>
                  <w:r w:rsidR="00226705" w:rsidRPr="00887108">
                    <w:rPr>
                      <w:b/>
                      <w:bCs/>
                      <w:color w:val="000000"/>
                      <w:sz w:val="20"/>
                      <w:szCs w:val="20"/>
                    </w:rPr>
                    <w:t>229</w:t>
                  </w:r>
                </w:p>
              </w:tc>
              <w:tc>
                <w:tcPr>
                  <w:tcW w:w="870" w:type="dxa"/>
                  <w:tcBorders>
                    <w:top w:val="nil"/>
                    <w:left w:val="nil"/>
                    <w:bottom w:val="nil"/>
                    <w:right w:val="nil"/>
                  </w:tcBorders>
                  <w:shd w:val="clear" w:color="auto" w:fill="auto"/>
                  <w:noWrap/>
                  <w:vAlign w:val="bottom"/>
                  <w:hideMark/>
                </w:tcPr>
                <w:p w14:paraId="034B4303" w14:textId="77777777" w:rsidR="00407483" w:rsidRPr="00887108" w:rsidRDefault="00407483"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1 500</w:t>
                  </w:r>
                </w:p>
              </w:tc>
              <w:tc>
                <w:tcPr>
                  <w:tcW w:w="871" w:type="dxa"/>
                  <w:tcBorders>
                    <w:top w:val="nil"/>
                    <w:left w:val="nil"/>
                    <w:bottom w:val="nil"/>
                    <w:right w:val="nil"/>
                  </w:tcBorders>
                  <w:shd w:val="clear" w:color="auto" w:fill="auto"/>
                  <w:noWrap/>
                  <w:vAlign w:val="bottom"/>
                  <w:hideMark/>
                </w:tcPr>
                <w:p w14:paraId="79568D39" w14:textId="77777777" w:rsidR="00407483" w:rsidRPr="00887108" w:rsidRDefault="00407483" w:rsidP="00062F86">
                  <w:pPr>
                    <w:framePr w:hSpace="141" w:wrap="around" w:vAnchor="text" w:hAnchor="text" w:xAlign="center" w:y="1"/>
                    <w:ind w:right="74"/>
                    <w:suppressOverlap/>
                    <w:jc w:val="center"/>
                    <w:rPr>
                      <w:b/>
                      <w:bCs/>
                      <w:color w:val="000000"/>
                      <w:sz w:val="20"/>
                      <w:szCs w:val="20"/>
                    </w:rPr>
                  </w:pPr>
                </w:p>
              </w:tc>
            </w:tr>
            <w:tr w:rsidR="00073EB4" w:rsidRPr="00887108" w14:paraId="3FCE9678" w14:textId="77777777" w:rsidTr="00EB0847">
              <w:trPr>
                <w:trHeight w:val="295"/>
              </w:trPr>
              <w:tc>
                <w:tcPr>
                  <w:tcW w:w="189" w:type="dxa"/>
                  <w:tcBorders>
                    <w:top w:val="nil"/>
                    <w:left w:val="nil"/>
                    <w:bottom w:val="single" w:sz="8" w:space="0" w:color="auto"/>
                    <w:right w:val="nil"/>
                  </w:tcBorders>
                  <w:shd w:val="clear" w:color="auto" w:fill="auto"/>
                  <w:noWrap/>
                  <w:vAlign w:val="bottom"/>
                  <w:hideMark/>
                </w:tcPr>
                <w:p w14:paraId="011CBAE1" w14:textId="77777777" w:rsidR="00073EB4" w:rsidRPr="00887108" w:rsidRDefault="00073EB4" w:rsidP="00062F86">
                  <w:pPr>
                    <w:framePr w:hSpace="141" w:wrap="around" w:vAnchor="text" w:hAnchor="text" w:xAlign="center" w:y="1"/>
                    <w:ind w:right="74"/>
                    <w:suppressOverlap/>
                    <w:rPr>
                      <w:rFonts w:ascii="Calibri" w:hAnsi="Calibri"/>
                      <w:color w:val="000000"/>
                    </w:rPr>
                  </w:pPr>
                  <w:r w:rsidRPr="00887108">
                    <w:rPr>
                      <w:rFonts w:ascii="Calibri" w:hAnsi="Calibri"/>
                      <w:color w:val="000000"/>
                    </w:rPr>
                    <w:t> </w:t>
                  </w:r>
                </w:p>
              </w:tc>
              <w:tc>
                <w:tcPr>
                  <w:tcW w:w="4600" w:type="dxa"/>
                  <w:tcBorders>
                    <w:top w:val="nil"/>
                    <w:left w:val="nil"/>
                    <w:bottom w:val="single" w:sz="8" w:space="0" w:color="auto"/>
                    <w:right w:val="nil"/>
                  </w:tcBorders>
                  <w:shd w:val="clear" w:color="auto" w:fill="auto"/>
                  <w:noWrap/>
                  <w:vAlign w:val="bottom"/>
                  <w:hideMark/>
                </w:tcPr>
                <w:p w14:paraId="4639EA1B" w14:textId="77777777" w:rsidR="00073EB4" w:rsidRPr="00887108" w:rsidRDefault="00073EB4" w:rsidP="00062F86">
                  <w:pPr>
                    <w:framePr w:hSpace="141" w:wrap="around" w:vAnchor="text" w:hAnchor="text" w:xAlign="center" w:y="1"/>
                    <w:ind w:right="74"/>
                    <w:suppressOverlap/>
                    <w:rPr>
                      <w:b/>
                      <w:bCs/>
                      <w:color w:val="000000"/>
                      <w:sz w:val="20"/>
                      <w:szCs w:val="20"/>
                    </w:rPr>
                  </w:pPr>
                  <w:r w:rsidRPr="00887108">
                    <w:rPr>
                      <w:b/>
                      <w:bCs/>
                      <w:color w:val="000000"/>
                      <w:sz w:val="20"/>
                      <w:szCs w:val="20"/>
                    </w:rPr>
                    <w:t>Spolu v % HDP</w:t>
                  </w:r>
                </w:p>
              </w:tc>
              <w:tc>
                <w:tcPr>
                  <w:tcW w:w="735" w:type="dxa"/>
                  <w:tcBorders>
                    <w:top w:val="nil"/>
                    <w:left w:val="nil"/>
                    <w:bottom w:val="single" w:sz="8" w:space="0" w:color="auto"/>
                    <w:right w:val="nil"/>
                  </w:tcBorders>
                  <w:shd w:val="clear" w:color="auto" w:fill="auto"/>
                  <w:noWrap/>
                  <w:vAlign w:val="bottom"/>
                  <w:hideMark/>
                </w:tcPr>
                <w:p w14:paraId="36D6F9A2" w14:textId="6759DC9C" w:rsidR="00073EB4" w:rsidRPr="00887108" w:rsidRDefault="00073EB4"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0,79</w:t>
                  </w:r>
                </w:p>
              </w:tc>
              <w:tc>
                <w:tcPr>
                  <w:tcW w:w="736" w:type="dxa"/>
                  <w:tcBorders>
                    <w:top w:val="nil"/>
                    <w:left w:val="nil"/>
                    <w:bottom w:val="single" w:sz="8" w:space="0" w:color="auto"/>
                    <w:right w:val="nil"/>
                  </w:tcBorders>
                  <w:shd w:val="clear" w:color="auto" w:fill="auto"/>
                  <w:noWrap/>
                  <w:vAlign w:val="bottom"/>
                  <w:hideMark/>
                </w:tcPr>
                <w:p w14:paraId="70338966" w14:textId="7A3831BD" w:rsidR="00073EB4" w:rsidRPr="00887108" w:rsidRDefault="00073EB4"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1,81</w:t>
                  </w:r>
                </w:p>
              </w:tc>
              <w:tc>
                <w:tcPr>
                  <w:tcW w:w="870" w:type="dxa"/>
                  <w:tcBorders>
                    <w:top w:val="nil"/>
                    <w:left w:val="nil"/>
                    <w:bottom w:val="single" w:sz="8" w:space="0" w:color="auto"/>
                    <w:right w:val="nil"/>
                  </w:tcBorders>
                  <w:shd w:val="clear" w:color="auto" w:fill="auto"/>
                  <w:noWrap/>
                  <w:vAlign w:val="bottom"/>
                  <w:hideMark/>
                </w:tcPr>
                <w:p w14:paraId="042B0E30" w14:textId="6FE55FD9" w:rsidR="00073EB4" w:rsidRPr="00887108" w:rsidRDefault="008823D3"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1</w:t>
                  </w:r>
                  <w:r w:rsidR="00073EB4" w:rsidRPr="00887108">
                    <w:rPr>
                      <w:b/>
                      <w:bCs/>
                      <w:color w:val="000000"/>
                      <w:sz w:val="20"/>
                      <w:szCs w:val="20"/>
                    </w:rPr>
                    <w:t>,</w:t>
                  </w:r>
                  <w:r w:rsidRPr="00887108">
                    <w:rPr>
                      <w:b/>
                      <w:bCs/>
                      <w:color w:val="000000"/>
                      <w:sz w:val="20"/>
                      <w:szCs w:val="20"/>
                    </w:rPr>
                    <w:t>38</w:t>
                  </w:r>
                </w:p>
              </w:tc>
              <w:tc>
                <w:tcPr>
                  <w:tcW w:w="870" w:type="dxa"/>
                  <w:tcBorders>
                    <w:top w:val="nil"/>
                    <w:left w:val="nil"/>
                    <w:bottom w:val="single" w:sz="8" w:space="0" w:color="auto"/>
                    <w:right w:val="nil"/>
                  </w:tcBorders>
                  <w:shd w:val="clear" w:color="auto" w:fill="auto"/>
                  <w:noWrap/>
                  <w:vAlign w:val="bottom"/>
                  <w:hideMark/>
                </w:tcPr>
                <w:p w14:paraId="02CBEBEF" w14:textId="6C3D3759" w:rsidR="00073EB4" w:rsidRPr="00887108" w:rsidRDefault="00073EB4"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1,59</w:t>
                  </w:r>
                </w:p>
              </w:tc>
              <w:tc>
                <w:tcPr>
                  <w:tcW w:w="871" w:type="dxa"/>
                  <w:tcBorders>
                    <w:top w:val="nil"/>
                    <w:left w:val="nil"/>
                    <w:bottom w:val="single" w:sz="8" w:space="0" w:color="auto"/>
                    <w:right w:val="nil"/>
                  </w:tcBorders>
                  <w:shd w:val="clear" w:color="auto" w:fill="auto"/>
                  <w:noWrap/>
                  <w:vAlign w:val="bottom"/>
                  <w:hideMark/>
                </w:tcPr>
                <w:p w14:paraId="6426CE8B" w14:textId="7176A512" w:rsidR="00073EB4" w:rsidRPr="00887108" w:rsidRDefault="008823D3" w:rsidP="00062F86">
                  <w:pPr>
                    <w:framePr w:hSpace="141" w:wrap="around" w:vAnchor="text" w:hAnchor="text" w:xAlign="center" w:y="1"/>
                    <w:ind w:right="74"/>
                    <w:suppressOverlap/>
                    <w:jc w:val="center"/>
                    <w:rPr>
                      <w:b/>
                      <w:bCs/>
                      <w:color w:val="000000"/>
                      <w:sz w:val="20"/>
                      <w:szCs w:val="20"/>
                    </w:rPr>
                  </w:pPr>
                  <w:r w:rsidRPr="00887108">
                    <w:rPr>
                      <w:b/>
                      <w:bCs/>
                      <w:color w:val="000000"/>
                      <w:sz w:val="20"/>
                      <w:szCs w:val="20"/>
                    </w:rPr>
                    <w:t>5,57</w:t>
                  </w:r>
                </w:p>
              </w:tc>
            </w:tr>
          </w:tbl>
          <w:p w14:paraId="332B2C38" w14:textId="188DB6E4" w:rsidR="00D63A34" w:rsidRPr="00887108" w:rsidRDefault="00887108" w:rsidP="00D63A34">
            <w:pPr>
              <w:spacing w:after="240"/>
              <w:ind w:right="74"/>
              <w:rPr>
                <w:rFonts w:eastAsiaTheme="minorHAnsi" w:cstheme="minorBidi"/>
                <w:sz w:val="16"/>
                <w:szCs w:val="16"/>
                <w:lang w:eastAsia="en-US"/>
              </w:rPr>
            </w:pPr>
            <w:r w:rsidRPr="00887108">
              <w:rPr>
                <w:rFonts w:eastAsiaTheme="minorHAnsi" w:cstheme="minorBidi"/>
                <w:sz w:val="16"/>
                <w:szCs w:val="16"/>
                <w:lang w:eastAsia="en-US"/>
              </w:rPr>
              <w:t>*o</w:t>
            </w:r>
            <w:r w:rsidR="00D63A34" w:rsidRPr="00887108">
              <w:rPr>
                <w:rFonts w:eastAsiaTheme="minorHAnsi" w:cstheme="minorBidi"/>
                <w:sz w:val="16"/>
                <w:szCs w:val="16"/>
                <w:lang w:eastAsia="en-US"/>
              </w:rPr>
              <w:t>dhadovaná výška poskytnutých úverov</w:t>
            </w:r>
          </w:p>
          <w:p w14:paraId="5DC8D61B" w14:textId="00756833" w:rsidR="00204588" w:rsidRPr="00887108" w:rsidRDefault="00407483" w:rsidP="00905528">
            <w:pPr>
              <w:spacing w:after="240"/>
              <w:ind w:right="74"/>
              <w:jc w:val="right"/>
              <w:rPr>
                <w:rFonts w:eastAsiaTheme="minorHAnsi" w:cstheme="minorBidi"/>
                <w:i/>
                <w:sz w:val="16"/>
                <w:szCs w:val="16"/>
                <w:lang w:eastAsia="en-US"/>
              </w:rPr>
            </w:pPr>
            <w:r w:rsidRPr="00887108">
              <w:rPr>
                <w:rFonts w:eastAsiaTheme="minorHAnsi" w:cstheme="minorBidi"/>
                <w:sz w:val="16"/>
                <w:szCs w:val="16"/>
                <w:lang w:eastAsia="en-US"/>
              </w:rPr>
              <w:t xml:space="preserve"> </w:t>
            </w:r>
            <w:r w:rsidR="00204588" w:rsidRPr="00887108">
              <w:rPr>
                <w:rFonts w:eastAsiaTheme="minorHAnsi" w:cstheme="minorBidi"/>
                <w:i/>
                <w:sz w:val="16"/>
                <w:szCs w:val="16"/>
                <w:lang w:eastAsia="en-US"/>
              </w:rPr>
              <w:t>Zdroj: MF SR</w:t>
            </w:r>
          </w:p>
          <w:p w14:paraId="7CCAC476" w14:textId="77777777" w:rsidR="00204588" w:rsidRPr="00887108" w:rsidRDefault="00204588" w:rsidP="00905528">
            <w:pPr>
              <w:spacing w:after="200"/>
              <w:ind w:right="74"/>
              <w:jc w:val="both"/>
              <w:rPr>
                <w:rFonts w:eastAsiaTheme="minorHAnsi" w:cstheme="minorBidi"/>
                <w:b/>
                <w:lang w:eastAsia="en-US"/>
              </w:rPr>
            </w:pPr>
            <w:r w:rsidRPr="00887108">
              <w:rPr>
                <w:rFonts w:eastAsiaTheme="minorHAnsi" w:cstheme="minorBidi"/>
                <w:b/>
                <w:lang w:eastAsia="en-US"/>
              </w:rPr>
              <w:t xml:space="preserve">Opatrenia týkajúce sa priamej pomoci </w:t>
            </w:r>
          </w:p>
          <w:p w14:paraId="09DFF056" w14:textId="7F388BF2" w:rsidR="00204588" w:rsidRPr="00887108" w:rsidRDefault="00204588" w:rsidP="00905528">
            <w:pPr>
              <w:pStyle w:val="Odsekzoznamu"/>
              <w:numPr>
                <w:ilvl w:val="3"/>
                <w:numId w:val="19"/>
              </w:numPr>
              <w:spacing w:after="200"/>
              <w:ind w:left="743" w:right="74"/>
              <w:jc w:val="both"/>
              <w:rPr>
                <w:b/>
              </w:rPr>
            </w:pPr>
            <w:r w:rsidRPr="00887108">
              <w:rPr>
                <w:b/>
              </w:rPr>
              <w:t>Úhrada práceneschopným zamestnancom v karanténe alebo domácej izolácii, resp. zamestnancom starajúcich sa o člena domácnosti 55 % ich hrubej mzdy</w:t>
            </w:r>
            <w:r w:rsidR="00A667E0" w:rsidRPr="00887108">
              <w:rPr>
                <w:rStyle w:val="Odkaznapoznmkupodiarou"/>
                <w:b/>
                <w:lang w:val="sk-SK"/>
              </w:rPr>
              <w:footnoteReference w:id="16"/>
            </w:r>
            <w:r w:rsidRPr="00887108">
              <w:rPr>
                <w:b/>
              </w:rPr>
              <w:t>.</w:t>
            </w:r>
            <w:r w:rsidRPr="00887108">
              <w:rPr>
                <w:rFonts w:cs="Arial Narrow"/>
              </w:rPr>
              <w:t xml:space="preserve"> Pre nemocenské sa zaviedla možnosť čerpania kvôli karanténe alebo domácej izolácii. Štát dočasne prepláca nemocenské od prvého dňa</w:t>
            </w:r>
            <w:r w:rsidRPr="00887108">
              <w:rPr>
                <w:rStyle w:val="Odkaznapoznmkupodiarou"/>
                <w:lang w:val="sk-SK"/>
              </w:rPr>
              <w:footnoteReference w:id="17"/>
            </w:r>
            <w:r w:rsidRPr="00887108">
              <w:rPr>
                <w:rFonts w:cs="Arial Narrow"/>
              </w:rPr>
              <w:t xml:space="preserve"> vo výške 55 % predošlého príjmu. Pracujúci rodič s dieťaťom vo veku do 11 rokov môže čerpať ošetrovné počas celého obdobia zavretých škôl a škôlok</w:t>
            </w:r>
            <w:r w:rsidRPr="00887108">
              <w:rPr>
                <w:rStyle w:val="Odkaznapoznmkupodiarou"/>
                <w:lang w:val="sk-SK"/>
              </w:rPr>
              <w:footnoteReference w:id="18"/>
            </w:r>
            <w:r w:rsidRPr="00887108">
              <w:rPr>
                <w:rFonts w:cs="Arial Narrow"/>
              </w:rPr>
              <w:t>.</w:t>
            </w:r>
            <w:r w:rsidR="00301F57" w:rsidRPr="00887108">
              <w:rPr>
                <w:rFonts w:cs="Arial Narrow"/>
              </w:rPr>
              <w:t xml:space="preserve"> Pri poberaní dávok zároveň poklesnú príjmy </w:t>
            </w:r>
            <w:r w:rsidR="00A667E0" w:rsidRPr="00887108">
              <w:rPr>
                <w:rFonts w:cs="Arial Narrow"/>
              </w:rPr>
              <w:t>verejných financií z dane z príjmov fyzických osôb a odvodov.</w:t>
            </w:r>
          </w:p>
          <w:p w14:paraId="6F13C451" w14:textId="77777777" w:rsidR="00204588" w:rsidRPr="00887108" w:rsidRDefault="00204588" w:rsidP="00905528">
            <w:pPr>
              <w:pStyle w:val="Odsekzoznamu"/>
              <w:spacing w:after="200"/>
              <w:ind w:left="743" w:right="74"/>
              <w:jc w:val="both"/>
              <w:rPr>
                <w:b/>
              </w:rPr>
            </w:pPr>
          </w:p>
          <w:p w14:paraId="645F56A7" w14:textId="548CCDB9" w:rsidR="00204588" w:rsidRPr="00887108" w:rsidRDefault="00204588" w:rsidP="00905528">
            <w:pPr>
              <w:pStyle w:val="Odsekzoznamu"/>
              <w:numPr>
                <w:ilvl w:val="3"/>
                <w:numId w:val="19"/>
              </w:numPr>
              <w:spacing w:after="200"/>
              <w:ind w:left="743" w:right="74"/>
              <w:jc w:val="both"/>
              <w:rPr>
                <w:b/>
              </w:rPr>
            </w:pPr>
            <w:r w:rsidRPr="00887108">
              <w:rPr>
                <w:rFonts w:cs="Times New Roman"/>
                <w:b/>
                <w:color w:val="000000"/>
                <w:szCs w:val="18"/>
              </w:rPr>
              <w:t>Príspevok na udržani</w:t>
            </w:r>
            <w:r w:rsidR="005F7F0E" w:rsidRPr="00887108">
              <w:rPr>
                <w:rFonts w:cs="Times New Roman"/>
                <w:b/>
                <w:color w:val="000000"/>
                <w:szCs w:val="18"/>
              </w:rPr>
              <w:t>e</w:t>
            </w:r>
            <w:r w:rsidRPr="00887108">
              <w:rPr>
                <w:rFonts w:cs="Times New Roman"/>
                <w:b/>
                <w:color w:val="000000"/>
                <w:szCs w:val="18"/>
              </w:rPr>
              <w:t xml:space="preserve"> zamestnanosti pre podniky zasiahnuté krízou.</w:t>
            </w:r>
            <w:r w:rsidRPr="00887108">
              <w:rPr>
                <w:rFonts w:cs="Arial Narrow"/>
              </w:rPr>
              <w:t xml:space="preserve"> V polovici apríla sa zamestnávateľom zaviedol príspevok na preplatenie 80 % </w:t>
            </w:r>
            <w:r w:rsidR="005F7F0E" w:rsidRPr="00887108">
              <w:rPr>
                <w:rFonts w:cs="Arial Narrow"/>
              </w:rPr>
              <w:t>hrubej mzdy</w:t>
            </w:r>
            <w:r w:rsidRPr="00887108">
              <w:rPr>
                <w:rFonts w:cs="Arial Narrow"/>
              </w:rPr>
              <w:t xml:space="preserve"> zamestnanca na prekážke pri práci</w:t>
            </w:r>
            <w:r w:rsidRPr="00887108">
              <w:rPr>
                <w:rStyle w:val="Odkaznapoznmkupodiarou"/>
                <w:lang w:val="sk-SK"/>
              </w:rPr>
              <w:footnoteReference w:id="19"/>
            </w:r>
            <w:r w:rsidRPr="00887108">
              <w:rPr>
                <w:rFonts w:cs="Arial Narrow"/>
              </w:rPr>
              <w:t xml:space="preserve"> (maximálne do výšky 880 eur) alebo paušálny príspevok pri poklese tržieb najmenej 20 % na každého zamestnanca (mesačná podpora predstavuje 180 až 540 eur podľa poklesu tržieb). Je na voľbe zamestnávateľa,</w:t>
            </w:r>
            <w:r w:rsidR="00FA1885" w:rsidRPr="00887108">
              <w:rPr>
                <w:rFonts w:cs="Arial Narrow"/>
              </w:rPr>
              <w:t xml:space="preserve"> o</w:t>
            </w:r>
            <w:r w:rsidRPr="00887108">
              <w:rPr>
                <w:rFonts w:cs="Arial Narrow"/>
              </w:rPr>
              <w:t xml:space="preserve"> ktorý typ podpory </w:t>
            </w:r>
            <w:r w:rsidR="00FA1885" w:rsidRPr="00887108">
              <w:rPr>
                <w:rFonts w:cs="Arial Narrow"/>
              </w:rPr>
              <w:t>požiada.</w:t>
            </w:r>
          </w:p>
          <w:p w14:paraId="388C2EFE" w14:textId="77777777" w:rsidR="00204588" w:rsidRPr="00887108" w:rsidRDefault="00204588" w:rsidP="00905528">
            <w:pPr>
              <w:pStyle w:val="Odsekzoznamu"/>
              <w:spacing w:after="200"/>
              <w:ind w:left="743" w:right="74"/>
              <w:jc w:val="both"/>
              <w:rPr>
                <w:b/>
              </w:rPr>
            </w:pPr>
          </w:p>
          <w:p w14:paraId="74F39672" w14:textId="38BD0C1F" w:rsidR="00204588" w:rsidRPr="00887108" w:rsidRDefault="00204588" w:rsidP="00905528">
            <w:pPr>
              <w:pStyle w:val="Odsekzoznamu"/>
              <w:numPr>
                <w:ilvl w:val="3"/>
                <w:numId w:val="19"/>
              </w:numPr>
              <w:spacing w:after="200"/>
              <w:ind w:left="743" w:right="74"/>
              <w:jc w:val="both"/>
              <w:rPr>
                <w:b/>
              </w:rPr>
            </w:pPr>
            <w:r w:rsidRPr="00887108">
              <w:rPr>
                <w:b/>
              </w:rPr>
              <w:t xml:space="preserve">Príspevok na udržanie zamestnanosti pre zatvorené prevádzky. </w:t>
            </w:r>
            <w:r w:rsidRPr="00887108">
              <w:rPr>
                <w:rFonts w:cs="Arial Narrow"/>
              </w:rPr>
              <w:t xml:space="preserve">Od apríla sa zamestnávateľom bez ohľadu na veľkosť prepláca 80 % </w:t>
            </w:r>
            <w:r w:rsidR="005F7F0E" w:rsidRPr="00887108">
              <w:rPr>
                <w:rFonts w:cs="Arial Narrow"/>
              </w:rPr>
              <w:t>hrubej mzdy</w:t>
            </w:r>
            <w:r w:rsidRPr="00887108">
              <w:rPr>
                <w:rFonts w:cs="Arial Narrow"/>
              </w:rPr>
              <w:t xml:space="preserve"> zamestnanca na prekážke pri práci (maximálne do výšky 1 100 eur)</w:t>
            </w:r>
            <w:r w:rsidR="007F2E02" w:rsidRPr="00887108">
              <w:rPr>
                <w:rFonts w:cs="Arial Narrow"/>
              </w:rPr>
              <w:t>.</w:t>
            </w:r>
          </w:p>
          <w:p w14:paraId="3FDF7AE4" w14:textId="77777777" w:rsidR="00204588" w:rsidRPr="00887108" w:rsidRDefault="00204588" w:rsidP="00905528">
            <w:pPr>
              <w:pStyle w:val="Odsekzoznamu"/>
              <w:spacing w:after="200"/>
              <w:ind w:left="743" w:right="74"/>
              <w:jc w:val="both"/>
              <w:rPr>
                <w:b/>
              </w:rPr>
            </w:pPr>
          </w:p>
          <w:p w14:paraId="7B7A50D2" w14:textId="4A5F834B" w:rsidR="00204588" w:rsidRPr="00887108" w:rsidRDefault="00204588" w:rsidP="00905528">
            <w:pPr>
              <w:pStyle w:val="Odsekzoznamu"/>
              <w:numPr>
                <w:ilvl w:val="3"/>
                <w:numId w:val="19"/>
              </w:numPr>
              <w:spacing w:after="200"/>
              <w:ind w:left="743" w:right="74"/>
              <w:jc w:val="both"/>
              <w:rPr>
                <w:b/>
              </w:rPr>
            </w:pPr>
            <w:r w:rsidRPr="00887108">
              <w:rPr>
                <w:b/>
              </w:rPr>
              <w:t>Podpora pre ľudí pracujúcich na dohodu, jednoosobové spoločnosti a samostatne zárobkové osoby dosiahne výšku</w:t>
            </w:r>
            <w:r w:rsidR="002176AE" w:rsidRPr="00887108">
              <w:rPr>
                <w:b/>
              </w:rPr>
              <w:t xml:space="preserve"> 210 eur</w:t>
            </w:r>
            <w:r w:rsidRPr="00887108">
              <w:rPr>
                <w:b/>
              </w:rPr>
              <w:t>.</w:t>
            </w:r>
            <w:r w:rsidRPr="00887108">
              <w:t xml:space="preserve"> V apríli sa zaviedli paušálne </w:t>
            </w:r>
            <w:r w:rsidR="00960B30" w:rsidRPr="00887108">
              <w:t xml:space="preserve">príspevky </w:t>
            </w:r>
            <w:r w:rsidRPr="00887108">
              <w:t>pre nízkopríjmové SZČO a jednoosobové s.r.o. Zároveň sa zaviedol tzv. SOS príspevok pre ľudí, ktorí sa počas pandémie koronavírusu ocitli v krízovej situácii bez príjmu. Cieľová skupina sú napríklad zamestnanci pracujúci na dohodu.</w:t>
            </w:r>
          </w:p>
          <w:p w14:paraId="1E7B79E2" w14:textId="77777777" w:rsidR="00204588" w:rsidRPr="00887108" w:rsidRDefault="00204588" w:rsidP="00905528">
            <w:pPr>
              <w:pStyle w:val="Odsekzoznamu"/>
              <w:spacing w:after="200"/>
              <w:ind w:left="743" w:right="74"/>
              <w:jc w:val="both"/>
              <w:rPr>
                <w:b/>
              </w:rPr>
            </w:pPr>
          </w:p>
          <w:p w14:paraId="01FF94AB" w14:textId="4EDCAF33" w:rsidR="00204588" w:rsidRPr="00887108" w:rsidRDefault="00204588" w:rsidP="00905528">
            <w:pPr>
              <w:pStyle w:val="Odsekzoznamu"/>
              <w:numPr>
                <w:ilvl w:val="3"/>
                <w:numId w:val="19"/>
              </w:numPr>
              <w:spacing w:after="200"/>
              <w:ind w:left="743" w:right="74"/>
              <w:jc w:val="both"/>
            </w:pPr>
            <w:r w:rsidRPr="00887108">
              <w:rPr>
                <w:b/>
              </w:rPr>
              <w:t xml:space="preserve">Nákupy zdravotníckeho materiálu na boj proti koronavírusu. </w:t>
            </w:r>
            <w:r w:rsidRPr="00887108">
              <w:t>V tomto roku sa očakáva navýšenie rozpočtu kvôli nákupom zdravotníckych pomôcok a materiálu súvisiacich s vybavením zdravotníckych zariadení</w:t>
            </w:r>
            <w:r w:rsidR="007136F6" w:rsidRPr="00887108">
              <w:rPr>
                <w:rStyle w:val="Odkaznapoznmkupodiarou"/>
                <w:lang w:val="sk-SK"/>
              </w:rPr>
              <w:footnoteReference w:id="20"/>
            </w:r>
            <w:r w:rsidRPr="00887108">
              <w:t xml:space="preserve">. </w:t>
            </w:r>
          </w:p>
          <w:p w14:paraId="44F71520" w14:textId="77777777" w:rsidR="00204588" w:rsidRPr="00887108" w:rsidRDefault="00204588" w:rsidP="00905528">
            <w:pPr>
              <w:pStyle w:val="Odsekzoznamu"/>
              <w:ind w:right="74"/>
            </w:pPr>
          </w:p>
          <w:p w14:paraId="55F23E86" w14:textId="33E359B6" w:rsidR="00204588" w:rsidRPr="00887108" w:rsidRDefault="00204588" w:rsidP="00905528">
            <w:pPr>
              <w:pStyle w:val="Odsekzoznamu"/>
              <w:numPr>
                <w:ilvl w:val="3"/>
                <w:numId w:val="19"/>
              </w:numPr>
              <w:ind w:left="743" w:right="74"/>
              <w:jc w:val="both"/>
            </w:pPr>
            <w:r w:rsidRPr="00887108">
              <w:rPr>
                <w:b/>
              </w:rPr>
              <w:t xml:space="preserve">Úplné odpustenie sociálnych odvodov zamestnávateľov </w:t>
            </w:r>
            <w:r w:rsidR="00643D39" w:rsidRPr="00887108">
              <w:rPr>
                <w:b/>
              </w:rPr>
              <w:t xml:space="preserve">a živnostníkov </w:t>
            </w:r>
            <w:r w:rsidRPr="00887108">
              <w:rPr>
                <w:b/>
              </w:rPr>
              <w:t>pre zatvorené prevádzky</w:t>
            </w:r>
            <w:r w:rsidRPr="00887108">
              <w:t xml:space="preserve"> za mesiac apríl. </w:t>
            </w:r>
            <w:r w:rsidR="00643D39" w:rsidRPr="00887108">
              <w:t xml:space="preserve">Opatrenie sa dá uplatniť v prípade, ak bola prevádzka zavretá najmenej 15 dní. </w:t>
            </w:r>
            <w:r w:rsidRPr="00887108">
              <w:t>Vláda má možnosť opatrenie predĺžiť nariaden</w:t>
            </w:r>
            <w:r w:rsidR="00EF23DC" w:rsidRPr="00887108">
              <w:t>í</w:t>
            </w:r>
            <w:r w:rsidRPr="00887108">
              <w:t xml:space="preserve">m aj na </w:t>
            </w:r>
            <w:r w:rsidR="00BA46EB" w:rsidRPr="00887108">
              <w:t>ďalšie</w:t>
            </w:r>
            <w:r w:rsidRPr="00887108">
              <w:t xml:space="preserve"> mesiace. </w:t>
            </w:r>
          </w:p>
          <w:p w14:paraId="4955799D" w14:textId="77777777" w:rsidR="00204588" w:rsidRPr="00887108" w:rsidRDefault="00204588" w:rsidP="00905528">
            <w:pPr>
              <w:ind w:right="74"/>
            </w:pPr>
          </w:p>
          <w:p w14:paraId="6F275B31" w14:textId="33F569A5" w:rsidR="00204588" w:rsidRPr="00887108" w:rsidRDefault="00204588" w:rsidP="00905528">
            <w:pPr>
              <w:pStyle w:val="Odsekzoznamu"/>
              <w:numPr>
                <w:ilvl w:val="0"/>
                <w:numId w:val="19"/>
              </w:numPr>
              <w:spacing w:after="240"/>
              <w:ind w:left="743" w:right="74"/>
              <w:jc w:val="both"/>
              <w:rPr>
                <w:rFonts w:cs="Times New Roman"/>
                <w:color w:val="000000"/>
              </w:rPr>
            </w:pPr>
            <w:r w:rsidRPr="00887108">
              <w:rPr>
                <w:b/>
              </w:rPr>
              <w:t>Ostatné opatrenia</w:t>
            </w:r>
            <w:r w:rsidRPr="00887108">
              <w:t>: 1. Započítani</w:t>
            </w:r>
            <w:r w:rsidR="007F2E02" w:rsidRPr="00887108">
              <w:t>e</w:t>
            </w:r>
            <w:r w:rsidRPr="00887108">
              <w:t xml:space="preserve"> doteraz neuplatnenej daňovej straty za roky 2015 až 2018 v daňovom priznaní za rok 2019</w:t>
            </w:r>
            <w:r w:rsidR="00EF23DC" w:rsidRPr="00887108">
              <w:t>,</w:t>
            </w:r>
            <w:r w:rsidRPr="00887108">
              <w:t xml:space="preserve"> 2. </w:t>
            </w:r>
            <w:r w:rsidR="00BC1077" w:rsidRPr="00887108">
              <w:t>Prerušenie daňových kontrol a daňových konaní na žiadosť daňového subjektu</w:t>
            </w:r>
            <w:r w:rsidR="00EF23DC" w:rsidRPr="00887108">
              <w:t>,</w:t>
            </w:r>
            <w:r w:rsidR="00BC1077" w:rsidRPr="00887108">
              <w:rPr>
                <w:rFonts w:cs="Times New Roman"/>
                <w:color w:val="000000"/>
              </w:rPr>
              <w:t xml:space="preserve"> </w:t>
            </w:r>
            <w:r w:rsidRPr="00887108">
              <w:rPr>
                <w:rFonts w:cs="Times New Roman"/>
                <w:color w:val="000000"/>
              </w:rPr>
              <w:t>3. Posun lehoty na podanie daňového priznania dani z motorových vozidiel (za hospodársky rok 2019). 4.</w:t>
            </w:r>
            <w:r w:rsidRPr="00887108">
              <w:t xml:space="preserve"> </w:t>
            </w:r>
            <w:r w:rsidRPr="00887108">
              <w:rPr>
                <w:rFonts w:cs="Times New Roman"/>
                <w:color w:val="000000"/>
              </w:rPr>
              <w:t xml:space="preserve">Predĺženie poberania dávky v nezamestnanosti </w:t>
            </w:r>
          </w:p>
          <w:p w14:paraId="53E25ADD" w14:textId="77777777" w:rsidR="00204588" w:rsidRPr="00887108" w:rsidRDefault="00204588" w:rsidP="00905528">
            <w:pPr>
              <w:spacing w:after="240"/>
              <w:ind w:right="74"/>
              <w:jc w:val="both"/>
              <w:rPr>
                <w:rFonts w:eastAsiaTheme="minorHAnsi" w:cstheme="minorBidi"/>
                <w:b/>
                <w:lang w:eastAsia="en-US"/>
              </w:rPr>
            </w:pPr>
            <w:r w:rsidRPr="00887108">
              <w:rPr>
                <w:rFonts w:eastAsiaTheme="minorHAnsi" w:cstheme="minorBidi"/>
                <w:b/>
                <w:lang w:eastAsia="en-US"/>
              </w:rPr>
              <w:t>Opatrenia týkajúce sa odkladu splatnosti daní a odvodov</w:t>
            </w:r>
          </w:p>
          <w:p w14:paraId="2DC4B810" w14:textId="5FBF9898" w:rsidR="00204588" w:rsidRPr="00887108" w:rsidRDefault="00204588" w:rsidP="00905528">
            <w:pPr>
              <w:pStyle w:val="Odsekzoznamu"/>
              <w:numPr>
                <w:ilvl w:val="0"/>
                <w:numId w:val="20"/>
              </w:numPr>
              <w:ind w:right="74"/>
              <w:jc w:val="both"/>
            </w:pPr>
            <w:r w:rsidRPr="00887108">
              <w:rPr>
                <w:b/>
              </w:rPr>
              <w:t>Odklad platby odvodov pri poklese tržieb o viac ako 40 %.</w:t>
            </w:r>
            <w:r w:rsidRPr="00887108">
              <w:t xml:space="preserve"> Posunutie sa týka soc. a zdrav. odvodov zamestnávateľa a živnostníkov pri poklese</w:t>
            </w:r>
            <w:r w:rsidR="00B2561A" w:rsidRPr="00887108">
              <w:t xml:space="preserve"> tržieb</w:t>
            </w:r>
            <w:r w:rsidRPr="00887108">
              <w:t xml:space="preserve"> oproti rovnakému mesiacu z minulého roku. Postupné doplatenie by malo nabiehať od júla.</w:t>
            </w:r>
            <w:r w:rsidRPr="00887108">
              <w:rPr>
                <w:rStyle w:val="Odkaznapoznmkupodiarou"/>
                <w:lang w:val="sk-SK"/>
              </w:rPr>
              <w:footnoteReference w:id="21"/>
            </w:r>
            <w:r w:rsidRPr="00887108">
              <w:t xml:space="preserve"> </w:t>
            </w:r>
          </w:p>
          <w:p w14:paraId="6ED6073D" w14:textId="77777777" w:rsidR="00204588" w:rsidRPr="00887108" w:rsidRDefault="00204588" w:rsidP="00905528">
            <w:pPr>
              <w:pStyle w:val="Odsekzoznamu"/>
              <w:ind w:right="74"/>
              <w:jc w:val="both"/>
            </w:pPr>
          </w:p>
          <w:p w14:paraId="23E0AFAA" w14:textId="2A0DD048" w:rsidR="00204588" w:rsidRPr="00887108" w:rsidRDefault="00204588" w:rsidP="00905528">
            <w:pPr>
              <w:pStyle w:val="Odsekzoznamu"/>
              <w:numPr>
                <w:ilvl w:val="0"/>
                <w:numId w:val="20"/>
              </w:numPr>
              <w:ind w:right="74"/>
              <w:jc w:val="both"/>
            </w:pPr>
            <w:r w:rsidRPr="00887108">
              <w:rPr>
                <w:b/>
              </w:rPr>
              <w:t>Odklad preddavkov dane z príjmu pri poklese tržieb o viac ako 40 %.</w:t>
            </w:r>
            <w:r w:rsidRPr="00887108">
              <w:t xml:space="preserve"> Ide o hotovostný vplyv, akruálne by malo dôjsť k zúčtovaniu dane v rámci ročného vyrovnania (v roku 2021).</w:t>
            </w:r>
          </w:p>
          <w:p w14:paraId="7DBFD403" w14:textId="77777777" w:rsidR="00204588" w:rsidRPr="00887108" w:rsidRDefault="00204588" w:rsidP="00905528">
            <w:pPr>
              <w:pStyle w:val="Odsekzoznamu"/>
              <w:ind w:right="74"/>
              <w:jc w:val="both"/>
            </w:pPr>
          </w:p>
          <w:p w14:paraId="43356D54" w14:textId="0D439DC5" w:rsidR="00204588" w:rsidRPr="00887108" w:rsidRDefault="00204588" w:rsidP="00905528">
            <w:pPr>
              <w:pStyle w:val="Odsekzoznamu"/>
              <w:numPr>
                <w:ilvl w:val="0"/>
                <w:numId w:val="20"/>
              </w:numPr>
              <w:ind w:right="74"/>
              <w:jc w:val="both"/>
            </w:pPr>
            <w:r w:rsidRPr="00887108">
              <w:rPr>
                <w:b/>
              </w:rPr>
              <w:t>Ostatné opatrenia:</w:t>
            </w:r>
            <w:r w:rsidRPr="00887108">
              <w:t xml:space="preserve"> 1. </w:t>
            </w:r>
            <w:r w:rsidR="0089251F" w:rsidRPr="00887108">
              <w:t>P</w:t>
            </w:r>
            <w:r w:rsidRPr="00887108">
              <w:t>osun preddavkov na dani z motorových vozidiel od apríla do skončenia pandémi</w:t>
            </w:r>
            <w:r w:rsidR="00C23AD6" w:rsidRPr="00887108">
              <w:t>e</w:t>
            </w:r>
            <w:r w:rsidRPr="00887108">
              <w:t xml:space="preserve"> (</w:t>
            </w:r>
            <w:r w:rsidR="00EF23DC" w:rsidRPr="00887108">
              <w:t> s vyrovnaním pri podaní</w:t>
            </w:r>
            <w:r w:rsidRPr="00887108">
              <w:t xml:space="preserve"> daňového priznania). 2. </w:t>
            </w:r>
            <w:r w:rsidRPr="00887108">
              <w:rPr>
                <w:rFonts w:cs="Times New Roman"/>
                <w:bCs/>
                <w:color w:val="000000"/>
              </w:rPr>
              <w:t>Voliteľný odklad povinnosti podať daňové priznanie pre fyzické a právnické osoby</w:t>
            </w:r>
            <w:r w:rsidR="00BC1077" w:rsidRPr="00887108">
              <w:rPr>
                <w:rFonts w:cs="Times New Roman"/>
                <w:bCs/>
                <w:color w:val="000000"/>
              </w:rPr>
              <w:t xml:space="preserve"> (na dani z príjmov)</w:t>
            </w:r>
            <w:r w:rsidRPr="00887108">
              <w:rPr>
                <w:rFonts w:cs="Times New Roman"/>
                <w:color w:val="000000"/>
              </w:rPr>
              <w:t xml:space="preserve">. 3. Predĺženie lehoty pre zamestnávateľov na vyplatenie preplatku na dani z príjmov, daňového bonusu na dieťa a daňového bonusu na zaplatené úroky po vykonaní ročného zúčtovania po skončení obdobia pandémie. </w:t>
            </w:r>
          </w:p>
          <w:p w14:paraId="73AFFB44" w14:textId="77777777" w:rsidR="00204588" w:rsidRPr="00887108" w:rsidRDefault="00204588" w:rsidP="00905528">
            <w:pPr>
              <w:pStyle w:val="Odsekzoznamu"/>
              <w:ind w:right="74"/>
              <w:jc w:val="both"/>
            </w:pPr>
          </w:p>
          <w:p w14:paraId="6D9F6376" w14:textId="54584833" w:rsidR="00646DC7" w:rsidRPr="00887108" w:rsidRDefault="00646DC7" w:rsidP="00646DC7">
            <w:pPr>
              <w:spacing w:after="120"/>
              <w:jc w:val="both"/>
              <w:rPr>
                <w:rFonts w:cs="Times New Roman"/>
                <w:b/>
                <w:bCs/>
                <w:color w:val="000000"/>
              </w:rPr>
            </w:pPr>
            <w:r w:rsidRPr="00887108">
              <w:rPr>
                <w:b/>
                <w:bCs/>
                <w:color w:val="000000"/>
              </w:rPr>
              <w:t xml:space="preserve">Ďalším bankovým opatrením sú nové úvery so zárukou, ktoré majú byť realizované prostredníctvom piatich programov. </w:t>
            </w:r>
            <w:r w:rsidRPr="00887108">
              <w:rPr>
                <w:color w:val="000000"/>
              </w:rPr>
              <w:t xml:space="preserve">Prvé tri sú spustené na základe </w:t>
            </w:r>
            <w:r w:rsidRPr="00887108">
              <w:rPr>
                <w:b/>
                <w:bCs/>
                <w:color w:val="000000"/>
              </w:rPr>
              <w:t>de minimis schémy</w:t>
            </w:r>
            <w:r w:rsidRPr="00887108">
              <w:rPr>
                <w:color w:val="000000"/>
              </w:rPr>
              <w:t xml:space="preserve">, v rámci ktorej majú podniky od mája možnosť čerpať pomoc cez tri inštitúcie. Prvou možnosťou je poskytnutie úveru so zárukou od štátnej akciovej spoločnosti Slovak Investment Holdingu (SIH). Objem poskytnutých záruk bol avizovaný vo výške 38 mil. eur s možnosťou rozšírenie o ďalších 57 mil. eur. Samotné úvery budú podnikom poskytovať komerčné banky. Druhou inštitúciou je EXIMBANKA SR, ktorá podporí aj veľké podniky formou úverov, záruk a odpustenia poplatkov za záruky. Pomoc poskytne aj  Slovenská záručná a rozvojová banka (SZRB) formou úverov od 10 tisíc do 350 tisíc eur pre malé a stredné podniky a pre SZČO. Eximbanka a SZRB plánujú poskytnúť spolu úvery v celkovej hodnote približne 50 mil. eur s možnosťou ďalšieho zvýšenia </w:t>
            </w:r>
            <w:r w:rsidR="00113273">
              <w:rPr>
                <w:color w:val="000000"/>
              </w:rPr>
              <w:t>objemu. Zvyšné dva programy tzv.</w:t>
            </w:r>
            <w:r w:rsidRPr="00887108">
              <w:rPr>
                <w:color w:val="000000"/>
              </w:rPr>
              <w:t xml:space="preserve"> </w:t>
            </w:r>
            <w:r w:rsidRPr="00887108">
              <w:rPr>
                <w:b/>
                <w:bCs/>
                <w:color w:val="000000"/>
              </w:rPr>
              <w:t>veľkej schémy pomoci</w:t>
            </w:r>
            <w:r w:rsidRPr="00887108">
              <w:rPr>
                <w:color w:val="000000"/>
              </w:rPr>
              <w:t xml:space="preserve"> od štátu sú podľa nových pravidiel dočasného rámca, ktorý vydala Európska komisia. Veľká </w:t>
            </w:r>
            <w:r w:rsidR="00887108" w:rsidRPr="00887108">
              <w:rPr>
                <w:color w:val="000000"/>
              </w:rPr>
              <w:t>schéma</w:t>
            </w:r>
            <w:r w:rsidRPr="00887108">
              <w:rPr>
                <w:color w:val="000000"/>
              </w:rPr>
              <w:t xml:space="preserve"> pomoci má pro</w:t>
            </w:r>
            <w:r w:rsidR="00BC05EE" w:rsidRPr="00887108">
              <w:rPr>
                <w:color w:val="000000"/>
              </w:rPr>
              <w:t>stredníctvom SIH a Eximbanky po</w:t>
            </w:r>
            <w:r w:rsidRPr="00887108">
              <w:rPr>
                <w:color w:val="000000"/>
              </w:rPr>
              <w:t>s</w:t>
            </w:r>
            <w:r w:rsidR="00BC05EE" w:rsidRPr="00887108">
              <w:rPr>
                <w:color w:val="000000"/>
              </w:rPr>
              <w:t>k</w:t>
            </w:r>
            <w:r w:rsidRPr="00887108">
              <w:rPr>
                <w:color w:val="000000"/>
              </w:rPr>
              <w:t>ytnúť prostriedky malým, stredným aj veľkým podnikom</w:t>
            </w:r>
            <w:r w:rsidR="00BC05EE" w:rsidRPr="00887108">
              <w:rPr>
                <w:color w:val="000000"/>
              </w:rPr>
              <w:t>. Garancie sa odhadujú rámcovo</w:t>
            </w:r>
            <w:r w:rsidRPr="00887108">
              <w:rPr>
                <w:color w:val="000000"/>
              </w:rPr>
              <w:t xml:space="preserve"> v </w:t>
            </w:r>
            <w:r w:rsidR="00BC05EE" w:rsidRPr="00887108">
              <w:rPr>
                <w:color w:val="000000"/>
              </w:rPr>
              <w:t xml:space="preserve">celkovom </w:t>
            </w:r>
            <w:r w:rsidRPr="00887108">
              <w:rPr>
                <w:color w:val="000000"/>
              </w:rPr>
              <w:t>objeme 500 mil. eur mesačne.</w:t>
            </w:r>
          </w:p>
          <w:p w14:paraId="216D9052" w14:textId="77777777" w:rsidR="00646DC7" w:rsidRPr="00887108" w:rsidRDefault="00646DC7" w:rsidP="00905528">
            <w:pPr>
              <w:spacing w:after="240"/>
              <w:ind w:right="74"/>
              <w:jc w:val="both"/>
              <w:rPr>
                <w:b/>
                <w:sz w:val="2"/>
                <w:szCs w:val="2"/>
              </w:rPr>
            </w:pPr>
          </w:p>
          <w:p w14:paraId="4147520B" w14:textId="698E8CAB" w:rsidR="00204588" w:rsidRPr="00887108" w:rsidRDefault="00204588" w:rsidP="00905528">
            <w:pPr>
              <w:spacing w:after="240"/>
              <w:ind w:right="74"/>
              <w:jc w:val="both"/>
              <w:rPr>
                <w:sz w:val="2"/>
                <w:szCs w:val="2"/>
                <w:highlight w:val="yellow"/>
              </w:rPr>
            </w:pPr>
          </w:p>
          <w:p w14:paraId="68235107" w14:textId="19BFE8ED" w:rsidR="00204588" w:rsidRPr="00887108" w:rsidRDefault="00204588" w:rsidP="008823D3">
            <w:pPr>
              <w:spacing w:after="240"/>
              <w:ind w:right="74"/>
              <w:jc w:val="both"/>
            </w:pPr>
            <w:r w:rsidRPr="00887108">
              <w:rPr>
                <w:b/>
              </w:rPr>
              <w:t xml:space="preserve">Vláda sa dohodla s finančnými </w:t>
            </w:r>
            <w:r w:rsidR="00BA46EB" w:rsidRPr="00887108">
              <w:rPr>
                <w:b/>
              </w:rPr>
              <w:t>inštitúci</w:t>
            </w:r>
            <w:r w:rsidR="00170E3B" w:rsidRPr="00887108">
              <w:rPr>
                <w:b/>
              </w:rPr>
              <w:t>a</w:t>
            </w:r>
            <w:r w:rsidR="00BA46EB" w:rsidRPr="00887108">
              <w:rPr>
                <w:b/>
              </w:rPr>
              <w:t>m</w:t>
            </w:r>
            <w:r w:rsidR="00170E3B" w:rsidRPr="00887108">
              <w:rPr>
                <w:b/>
              </w:rPr>
              <w:t>i</w:t>
            </w:r>
            <w:r w:rsidRPr="00887108">
              <w:rPr>
                <w:b/>
              </w:rPr>
              <w:t xml:space="preserve"> aj na odklade splátok úveru po dobu max 9 mesiacov</w:t>
            </w:r>
            <w:r w:rsidR="008823D3" w:rsidRPr="00887108">
              <w:rPr>
                <w:rStyle w:val="Odkaznapoznmkupodiarou"/>
                <w:b/>
                <w:lang w:val="sk-SK"/>
              </w:rPr>
              <w:footnoteReference w:id="22"/>
            </w:r>
            <w:r w:rsidRPr="00887108">
              <w:t>. Týka sa to ľudí, ktorí boli poškodení aktuálnou pandémiou a požiadajú o odklad. Odklad je bez poplatku, neznamená však odpustenie časti dlhu alebo úroku. Klienti, ktorí požiadajú o odklad nebudú mať záznam v úverovom registri.</w:t>
            </w:r>
          </w:p>
        </w:tc>
      </w:tr>
    </w:tbl>
    <w:p w14:paraId="108CF040" w14:textId="1ECFAC3A" w:rsidR="00204588" w:rsidRPr="00887108" w:rsidRDefault="00A0185C" w:rsidP="00204588">
      <w:pPr>
        <w:spacing w:after="120"/>
        <w:jc w:val="both"/>
        <w:rPr>
          <w:b/>
        </w:rPr>
      </w:pPr>
      <w:r w:rsidRPr="00887108">
        <w:rPr>
          <w:b/>
        </w:rPr>
        <w:t>Ďalšie faktory</w:t>
      </w:r>
      <w:r w:rsidR="00204588" w:rsidRPr="00887108">
        <w:rPr>
          <w:b/>
        </w:rPr>
        <w:t xml:space="preserve"> mimo koronavírusu</w:t>
      </w:r>
    </w:p>
    <w:p w14:paraId="200EF4C7" w14:textId="72579CB8" w:rsidR="0089251F" w:rsidRPr="00887108" w:rsidRDefault="0089251F" w:rsidP="00204588">
      <w:pPr>
        <w:spacing w:after="120"/>
        <w:jc w:val="both"/>
      </w:pPr>
      <w:r w:rsidRPr="00887108">
        <w:t xml:space="preserve">Oproti rozpočtu došlo k viacerým </w:t>
      </w:r>
      <w:r w:rsidR="00BA46EB" w:rsidRPr="00887108">
        <w:t>aktualizáciám</w:t>
      </w:r>
      <w:r w:rsidRPr="00887108">
        <w:t>, ktoré nemali súvis s pandémiou. Vzhľadom na ambíciu analyticky oddeliť vplyv pandémie od iných vplyv</w:t>
      </w:r>
      <w:r w:rsidR="0046725F" w:rsidRPr="00887108">
        <w:t>ov</w:t>
      </w:r>
      <w:r w:rsidRPr="00887108">
        <w:t xml:space="preserve"> vývoja verejných financií </w:t>
      </w:r>
      <w:r w:rsidR="0047370A" w:rsidRPr="00887108">
        <w:t>sú uvedené</w:t>
      </w:r>
      <w:r w:rsidRPr="00887108">
        <w:t xml:space="preserve"> v tejto časti samostatne. </w:t>
      </w:r>
    </w:p>
    <w:p w14:paraId="09E973D6" w14:textId="557A7159" w:rsidR="00204588" w:rsidRPr="00887108" w:rsidRDefault="00204588" w:rsidP="00204588">
      <w:pPr>
        <w:tabs>
          <w:tab w:val="left" w:pos="426"/>
        </w:tabs>
        <w:spacing w:after="240"/>
        <w:jc w:val="both"/>
        <w:rPr>
          <w:b/>
        </w:rPr>
      </w:pPr>
      <w:r w:rsidRPr="00887108">
        <w:rPr>
          <w:rFonts w:cs="Arial Narrow"/>
          <w:b/>
        </w:rPr>
        <w:t xml:space="preserve">Výdavky Sociálnej poisťovne oproti rozpočtu budú </w:t>
      </w:r>
      <w:r w:rsidR="008928C8" w:rsidRPr="00887108">
        <w:rPr>
          <w:rFonts w:cs="Arial Narrow"/>
          <w:b/>
        </w:rPr>
        <w:t xml:space="preserve">aj </w:t>
      </w:r>
      <w:r w:rsidRPr="00887108">
        <w:rPr>
          <w:rFonts w:cs="Arial Narrow"/>
          <w:b/>
        </w:rPr>
        <w:t xml:space="preserve">mimo vplyvov pandémie </w:t>
      </w:r>
      <w:r w:rsidR="008928C8" w:rsidRPr="00887108">
        <w:rPr>
          <w:rFonts w:cs="Arial Narrow"/>
          <w:b/>
        </w:rPr>
        <w:t xml:space="preserve">výrazne </w:t>
      </w:r>
      <w:r w:rsidRPr="00887108">
        <w:rPr>
          <w:rFonts w:cs="Arial Narrow"/>
          <w:b/>
        </w:rPr>
        <w:t xml:space="preserve">vyššie. </w:t>
      </w:r>
      <w:r w:rsidRPr="00887108">
        <w:rPr>
          <w:rFonts w:cs="Arial Narrow"/>
        </w:rPr>
        <w:t>Schválenie 13. dôchodku pre všetkých dôchodcov začiatkom tohto roka prispelo</w:t>
      </w:r>
      <w:r w:rsidR="0047370A" w:rsidRPr="00887108">
        <w:rPr>
          <w:rFonts w:cs="Arial Narrow"/>
        </w:rPr>
        <w:t xml:space="preserve"> k zvýšeniu výdavkov</w:t>
      </w:r>
      <w:r w:rsidRPr="00887108">
        <w:rPr>
          <w:rFonts w:cs="Arial Narrow"/>
        </w:rPr>
        <w:t xml:space="preserve"> v objeme </w:t>
      </w:r>
      <w:r w:rsidR="005D5765" w:rsidRPr="00887108">
        <w:rPr>
          <w:rFonts w:cs="Arial Narrow"/>
        </w:rPr>
        <w:t>4</w:t>
      </w:r>
      <w:r w:rsidR="00A704D2" w:rsidRPr="00887108">
        <w:rPr>
          <w:rFonts w:cs="Arial Narrow"/>
        </w:rPr>
        <w:t>42</w:t>
      </w:r>
      <w:r w:rsidR="005D5765" w:rsidRPr="00887108">
        <w:rPr>
          <w:rFonts w:cs="Arial Narrow"/>
        </w:rPr>
        <w:t xml:space="preserve"> </w:t>
      </w:r>
      <w:r w:rsidRPr="00887108">
        <w:rPr>
          <w:rFonts w:cs="Arial Narrow"/>
        </w:rPr>
        <w:t>mil. eur</w:t>
      </w:r>
      <w:r w:rsidRPr="00887108">
        <w:rPr>
          <w:rStyle w:val="Odkaznapoznmkupodiarou"/>
          <w:lang w:val="sk-SK"/>
        </w:rPr>
        <w:footnoteReference w:id="23"/>
      </w:r>
      <w:r w:rsidRPr="00887108">
        <w:rPr>
          <w:rFonts w:cs="Arial Narrow"/>
        </w:rPr>
        <w:t>. Zreálnenie výdavkov na dávky v nezamestnanosti, nemocenské a materské dávky na základe skutočného vývoja z roka 2019 sa pretavuj</w:t>
      </w:r>
      <w:r w:rsidR="0047370A" w:rsidRPr="00887108">
        <w:rPr>
          <w:rFonts w:cs="Arial Narrow"/>
        </w:rPr>
        <w:t>e</w:t>
      </w:r>
      <w:r w:rsidRPr="00887108">
        <w:rPr>
          <w:rFonts w:cs="Arial Narrow"/>
        </w:rPr>
        <w:t xml:space="preserve"> do rastu výdavkov o 160 mil. eur v tomto roku.</w:t>
      </w:r>
      <w:r w:rsidRPr="00887108">
        <w:rPr>
          <w:rFonts w:cs="Arial Narrow"/>
          <w:b/>
        </w:rPr>
        <w:t xml:space="preserve"> </w:t>
      </w:r>
      <w:r w:rsidRPr="00887108">
        <w:rPr>
          <w:rFonts w:cs="Arial Narrow"/>
        </w:rPr>
        <w:t xml:space="preserve">Sociálna poisťovňa očakáva podobne ako v roku </w:t>
      </w:r>
      <w:r w:rsidR="00535E37" w:rsidRPr="00887108">
        <w:rPr>
          <w:rFonts w:cs="Arial Narrow"/>
        </w:rPr>
        <w:t xml:space="preserve">2019 aj </w:t>
      </w:r>
      <w:r w:rsidR="0047370A" w:rsidRPr="00887108">
        <w:rPr>
          <w:rFonts w:cs="Arial Narrow"/>
        </w:rPr>
        <w:t xml:space="preserve">vyššie </w:t>
      </w:r>
      <w:r w:rsidR="00535E37" w:rsidRPr="00887108">
        <w:rPr>
          <w:rFonts w:cs="Arial Narrow"/>
        </w:rPr>
        <w:t>prevádzkov</w:t>
      </w:r>
      <w:r w:rsidR="0047370A" w:rsidRPr="00887108">
        <w:rPr>
          <w:rFonts w:cs="Arial Narrow"/>
        </w:rPr>
        <w:t>é</w:t>
      </w:r>
      <w:r w:rsidRPr="00887108">
        <w:rPr>
          <w:rFonts w:cs="Arial Narrow"/>
        </w:rPr>
        <w:t xml:space="preserve"> výdavk</w:t>
      </w:r>
      <w:r w:rsidR="0047370A" w:rsidRPr="00887108">
        <w:rPr>
          <w:rFonts w:cs="Arial Narrow"/>
        </w:rPr>
        <w:t>y</w:t>
      </w:r>
      <w:r w:rsidRPr="00887108">
        <w:rPr>
          <w:rFonts w:cs="Arial Narrow"/>
        </w:rPr>
        <w:t xml:space="preserve"> správneho fondu v objeme 74 mil. eur.</w:t>
      </w:r>
    </w:p>
    <w:p w14:paraId="5C0D8F24" w14:textId="555B4796" w:rsidR="00204588" w:rsidRPr="00887108" w:rsidRDefault="00204588" w:rsidP="00204588">
      <w:pPr>
        <w:jc w:val="both"/>
        <w:rPr>
          <w:rFonts w:cs="Arial Narrow"/>
        </w:rPr>
      </w:pPr>
      <w:r w:rsidRPr="00887108">
        <w:rPr>
          <w:rFonts w:cs="Arial Narrow"/>
          <w:b/>
        </w:rPr>
        <w:t>Ostatné subjekty verejnej správy sa podieľajú na vyššom než rozpočtovanom def</w:t>
      </w:r>
      <w:r w:rsidR="00343B57" w:rsidRPr="00887108">
        <w:rPr>
          <w:rFonts w:cs="Arial Narrow"/>
          <w:b/>
        </w:rPr>
        <w:t xml:space="preserve">icite zhoršením hospodárenia o </w:t>
      </w:r>
      <w:r w:rsidRPr="00887108">
        <w:rPr>
          <w:rFonts w:cs="Arial Narrow"/>
          <w:b/>
        </w:rPr>
        <w:t>292 mil. eur</w:t>
      </w:r>
      <w:r w:rsidRPr="00887108">
        <w:rPr>
          <w:rStyle w:val="Odkaznapoznmkupodiarou"/>
          <w:b/>
          <w:lang w:val="sk-SK"/>
        </w:rPr>
        <w:footnoteReference w:id="24"/>
      </w:r>
      <w:r w:rsidRPr="00887108">
        <w:rPr>
          <w:rFonts w:cs="Arial Narrow"/>
          <w:b/>
        </w:rPr>
        <w:t>.</w:t>
      </w:r>
      <w:r w:rsidRPr="00887108">
        <w:t xml:space="preserve"> </w:t>
      </w:r>
      <w:r w:rsidRPr="00887108">
        <w:rPr>
          <w:rFonts w:cs="Arial Narrow"/>
        </w:rPr>
        <w:t xml:space="preserve">Železničná spoločnosť Slovensko </w:t>
      </w:r>
      <w:r w:rsidR="0047370A" w:rsidRPr="00887108">
        <w:rPr>
          <w:rFonts w:cs="Arial Narrow"/>
        </w:rPr>
        <w:t xml:space="preserve">k </w:t>
      </w:r>
      <w:r w:rsidRPr="00887108">
        <w:rPr>
          <w:rFonts w:cs="Arial Narrow"/>
        </w:rPr>
        <w:t>nárastom výdavkov na prevádzku, investície a zvýšen</w:t>
      </w:r>
      <w:r w:rsidR="0047370A" w:rsidRPr="00887108">
        <w:rPr>
          <w:rFonts w:cs="Arial Narrow"/>
        </w:rPr>
        <w:t>iu</w:t>
      </w:r>
      <w:r w:rsidRPr="00887108">
        <w:rPr>
          <w:rFonts w:cs="Arial Narrow"/>
        </w:rPr>
        <w:t xml:space="preserve"> záväzkov prispieva 125 mil. eur. Zdravotnícke zariadenia zhoršujú svoju bilanciu o 78 mil. eur, čo je spôsobené najmä pokračujúcou modernizáciou týchto zariadení začatou koncom roka 2019. Čerpanie zdrojov z minulých období verejných vysokých škôl a rozhlasu a televízie zvyšuje deficit oproti rozpočtu o 57 mil. eur. </w:t>
      </w:r>
    </w:p>
    <w:p w14:paraId="0F392CFA" w14:textId="77777777" w:rsidR="00204588" w:rsidRPr="00887108" w:rsidRDefault="00204588" w:rsidP="00204588">
      <w:pPr>
        <w:jc w:val="both"/>
        <w:rPr>
          <w:rFonts w:cs="Arial Narrow"/>
          <w:b/>
        </w:rPr>
      </w:pPr>
    </w:p>
    <w:p w14:paraId="1F7F1E95" w14:textId="79E6F353" w:rsidR="00204588" w:rsidRPr="00887108" w:rsidRDefault="005D39E1" w:rsidP="00204588">
      <w:pPr>
        <w:tabs>
          <w:tab w:val="left" w:pos="426"/>
        </w:tabs>
        <w:jc w:val="both"/>
        <w:rPr>
          <w:rFonts w:cs="Arial Narrow"/>
          <w:b/>
          <w:highlight w:val="yellow"/>
        </w:rPr>
      </w:pPr>
      <w:r w:rsidRPr="00887108">
        <w:rPr>
          <w:b/>
        </w:rPr>
        <w:t>Vplyvom p</w:t>
      </w:r>
      <w:r w:rsidR="00204588" w:rsidRPr="00887108">
        <w:rPr>
          <w:b/>
        </w:rPr>
        <w:t>osun</w:t>
      </w:r>
      <w:r w:rsidR="008928C8" w:rsidRPr="00887108">
        <w:rPr>
          <w:b/>
        </w:rPr>
        <w:t>u</w:t>
      </w:r>
      <w:r w:rsidR="00204588" w:rsidRPr="00887108">
        <w:rPr>
          <w:b/>
        </w:rPr>
        <w:t xml:space="preserve"> v časovom rozlíšení dodania nákupu vojenskej techniky (289 mil</w:t>
      </w:r>
      <w:r w:rsidR="00BA46EB" w:rsidRPr="00887108">
        <w:rPr>
          <w:b/>
        </w:rPr>
        <w:t>.</w:t>
      </w:r>
      <w:r w:rsidR="00204588" w:rsidRPr="00887108">
        <w:rPr>
          <w:b/>
        </w:rPr>
        <w:t xml:space="preserve"> eur)</w:t>
      </w:r>
      <w:r w:rsidRPr="00887108">
        <w:rPr>
          <w:b/>
        </w:rPr>
        <w:t xml:space="preserve"> sa zvýšia aj výdavky </w:t>
      </w:r>
      <w:r w:rsidR="0089251F" w:rsidRPr="00887108">
        <w:rPr>
          <w:b/>
        </w:rPr>
        <w:t>štátneho rozpočtu</w:t>
      </w:r>
      <w:r w:rsidR="00204588" w:rsidRPr="00887108">
        <w:rPr>
          <w:b/>
        </w:rPr>
        <w:t>.</w:t>
      </w:r>
      <w:r w:rsidR="00204588" w:rsidRPr="00887108">
        <w:t xml:space="preserve"> Táto transakcia sa tak v menšej miere prejaví v</w:t>
      </w:r>
      <w:r w:rsidR="002456FC" w:rsidRPr="00887108">
        <w:t xml:space="preserve"> nižších </w:t>
      </w:r>
      <w:r w:rsidR="00F67337" w:rsidRPr="00887108">
        <w:t>výdavk</w:t>
      </w:r>
      <w:r w:rsidR="00204588" w:rsidRPr="00887108">
        <w:t>och v ďalších rokoch</w:t>
      </w:r>
      <w:r w:rsidR="008C14C8" w:rsidRPr="00887108">
        <w:rPr>
          <w:rStyle w:val="Odkaznapoznmkupodiarou"/>
          <w:lang w:val="sk-SK"/>
        </w:rPr>
        <w:footnoteReference w:id="25"/>
      </w:r>
      <w:r w:rsidR="00204588" w:rsidRPr="00887108">
        <w:t xml:space="preserve">. </w:t>
      </w:r>
    </w:p>
    <w:p w14:paraId="6AC4F099" w14:textId="77777777" w:rsidR="00204588" w:rsidRPr="00887108" w:rsidRDefault="00204588" w:rsidP="00204588">
      <w:pPr>
        <w:tabs>
          <w:tab w:val="left" w:pos="426"/>
        </w:tabs>
        <w:jc w:val="both"/>
        <w:rPr>
          <w:rFonts w:cs="Arial Narrow"/>
          <w:highlight w:val="yellow"/>
        </w:rPr>
      </w:pPr>
    </w:p>
    <w:p w14:paraId="204F1FCF" w14:textId="5CD267A4" w:rsidR="00204588" w:rsidRPr="00887108" w:rsidRDefault="008928C8" w:rsidP="00204588">
      <w:pPr>
        <w:jc w:val="both"/>
        <w:rPr>
          <w:b/>
          <w:i/>
        </w:rPr>
      </w:pPr>
      <w:r w:rsidRPr="00887108">
        <w:rPr>
          <w:b/>
        </w:rPr>
        <w:t xml:space="preserve">Aj hospodárenie </w:t>
      </w:r>
      <w:r w:rsidR="00204588" w:rsidRPr="00887108">
        <w:rPr>
          <w:b/>
        </w:rPr>
        <w:t>samospráv prispieva</w:t>
      </w:r>
      <w:r w:rsidR="003B14B8" w:rsidRPr="00887108">
        <w:rPr>
          <w:b/>
        </w:rPr>
        <w:t xml:space="preserve"> bez započítania vplyvov pandé</w:t>
      </w:r>
      <w:r w:rsidRPr="00887108">
        <w:rPr>
          <w:b/>
        </w:rPr>
        <w:t>mie</w:t>
      </w:r>
      <w:r w:rsidR="00204588" w:rsidRPr="00887108">
        <w:rPr>
          <w:b/>
        </w:rPr>
        <w:t xml:space="preserve"> k zvýšeniu deficitu o 189 mil. eur.</w:t>
      </w:r>
      <w:r w:rsidR="00204588" w:rsidRPr="00887108">
        <w:t xml:space="preserve"> Obce prispeli </w:t>
      </w:r>
      <w:r w:rsidR="00343B57" w:rsidRPr="00887108">
        <w:t>vo výške</w:t>
      </w:r>
      <w:r w:rsidR="00204588" w:rsidRPr="00887108">
        <w:t xml:space="preserve"> 134 mil. eur a vyššie územné celky o 55 mil. eur.</w:t>
      </w:r>
      <w:r w:rsidR="00204588" w:rsidRPr="00887108">
        <w:rPr>
          <w:b/>
          <w:i/>
        </w:rPr>
        <w:t xml:space="preserve"> </w:t>
      </w:r>
      <w:r w:rsidR="00204588" w:rsidRPr="00887108">
        <w:t>Vyššie výdavky samospráv oproti rozpočtu sa prenášajú ešte z podhodnotených výdavkov v roku 2019.</w:t>
      </w:r>
    </w:p>
    <w:p w14:paraId="1684165A" w14:textId="77777777" w:rsidR="00204588" w:rsidRPr="00887108" w:rsidRDefault="00204588" w:rsidP="00204588">
      <w:pPr>
        <w:jc w:val="both"/>
        <w:rPr>
          <w:b/>
        </w:rPr>
      </w:pPr>
    </w:p>
    <w:p w14:paraId="645A3F7A" w14:textId="79691B78" w:rsidR="00204588" w:rsidRPr="00887108" w:rsidRDefault="00204588" w:rsidP="00204588">
      <w:pPr>
        <w:spacing w:after="160" w:line="259" w:lineRule="auto"/>
        <w:jc w:val="both"/>
      </w:pPr>
      <w:r w:rsidRPr="00887108">
        <w:rPr>
          <w:rFonts w:cs="Arial Narrow"/>
          <w:b/>
        </w:rPr>
        <w:t>Výdavky súvisiace s európskym rozpočtom</w:t>
      </w:r>
      <w:r w:rsidR="009C75DB" w:rsidRPr="00887108">
        <w:rPr>
          <w:rFonts w:cs="Arial Narrow"/>
          <w:b/>
        </w:rPr>
        <w:t xml:space="preserve"> výrazne</w:t>
      </w:r>
      <w:r w:rsidRPr="00887108">
        <w:rPr>
          <w:rFonts w:cs="Arial Narrow"/>
          <w:b/>
        </w:rPr>
        <w:t xml:space="preserve"> zvyšujú očakávaný deficit oproti rozpočtu. </w:t>
      </w:r>
      <w:r w:rsidRPr="00887108">
        <w:t>Vyššie čerpanie prostriedkov spolufinancovania európskych projektov prispieva 14</w:t>
      </w:r>
      <w:r w:rsidR="009C75DB" w:rsidRPr="00887108">
        <w:t>6</w:t>
      </w:r>
      <w:r w:rsidRPr="00887108">
        <w:t xml:space="preserve"> mil. eur. Očistené korekcie</w:t>
      </w:r>
      <w:r w:rsidR="001955D8" w:rsidRPr="00887108">
        <w:rPr>
          <w:rStyle w:val="Odkaznapoznmkupodiarou"/>
          <w:lang w:val="sk-SK"/>
        </w:rPr>
        <w:footnoteReference w:id="26"/>
      </w:r>
      <w:r w:rsidRPr="00887108">
        <w:t xml:space="preserve"> z nezrovnalostí pri čerpaní EÚ fondov sa predpokladajú na úrovni </w:t>
      </w:r>
      <w:r w:rsidR="009C75DB" w:rsidRPr="00887108">
        <w:t xml:space="preserve">180 </w:t>
      </w:r>
      <w:r w:rsidRPr="00887108">
        <w:t xml:space="preserve">mil. eur. </w:t>
      </w:r>
    </w:p>
    <w:p w14:paraId="754221C7" w14:textId="590F6CC1" w:rsidR="00204588" w:rsidRPr="00887108" w:rsidRDefault="00593BD3" w:rsidP="00204588">
      <w:pPr>
        <w:spacing w:after="240"/>
        <w:jc w:val="both"/>
      </w:pPr>
      <w:r w:rsidRPr="00887108">
        <w:rPr>
          <w:b/>
        </w:rPr>
        <w:t>Príjmy štátneho rozpočtu sú zosúladené s odhadom Výboru pre daňové prognózy</w:t>
      </w:r>
      <w:r w:rsidR="00204588" w:rsidRPr="00887108">
        <w:rPr>
          <w:b/>
        </w:rPr>
        <w:t xml:space="preserve">. </w:t>
      </w:r>
      <w:r w:rsidR="00204588" w:rsidRPr="00887108">
        <w:t>Schválený</w:t>
      </w:r>
      <w:r w:rsidR="00B67470" w:rsidRPr="00887108">
        <w:t xml:space="preserve"> štátny</w:t>
      </w:r>
      <w:r w:rsidR="00204588" w:rsidRPr="00887108">
        <w:t xml:space="preserve"> rozpočet obsahoval príjem z elektronických pokladníc (eKasy) a identifikačnej látky do pohonných hmôt (nanomarkerov) vo výške 180 mil. eur</w:t>
      </w:r>
      <w:r w:rsidR="0047370A" w:rsidRPr="00887108">
        <w:t>,</w:t>
      </w:r>
      <w:r w:rsidR="00204588" w:rsidRPr="00887108">
        <w:t xml:space="preserve"> </w:t>
      </w:r>
      <w:r w:rsidRPr="00887108">
        <w:t>ktorý bol nad rámec prognózy Výboru pre daňové prognózy</w:t>
      </w:r>
      <w:r w:rsidR="00204588" w:rsidRPr="00887108">
        <w:t>. Z</w:t>
      </w:r>
      <w:r w:rsidRPr="00887108">
        <w:t>ároveň z</w:t>
      </w:r>
      <w:r w:rsidR="00204588" w:rsidRPr="00887108">
        <w:t xml:space="preserve">avedenie identifikačnej látky do pohonných hmôt nebolo </w:t>
      </w:r>
      <w:r w:rsidRPr="00887108">
        <w:t xml:space="preserve">implementované </w:t>
      </w:r>
      <w:r w:rsidR="00204588" w:rsidRPr="00887108">
        <w:t>do praxe</w:t>
      </w:r>
      <w:r w:rsidR="00204588" w:rsidRPr="00887108">
        <w:rPr>
          <w:rStyle w:val="Odkaznapoznmkupodiarou"/>
          <w:lang w:val="sk-SK"/>
        </w:rPr>
        <w:footnoteReference w:id="27"/>
      </w:r>
      <w:r w:rsidR="00204588" w:rsidRPr="00887108">
        <w:t xml:space="preserve">. </w:t>
      </w:r>
    </w:p>
    <w:p w14:paraId="60EF6320" w14:textId="46996452" w:rsidR="00204588" w:rsidRPr="00887108" w:rsidRDefault="00204588" w:rsidP="003C301C">
      <w:pPr>
        <w:tabs>
          <w:tab w:val="left" w:pos="426"/>
        </w:tabs>
        <w:spacing w:before="240" w:after="240"/>
        <w:jc w:val="both"/>
        <w:rPr>
          <w:rFonts w:cs="Arial Narrow"/>
        </w:rPr>
      </w:pPr>
      <w:r w:rsidRPr="00887108">
        <w:rPr>
          <w:rFonts w:cs="Arial Narrow"/>
          <w:b/>
        </w:rPr>
        <w:t xml:space="preserve">Spolu s daňovými príjmami sa aj </w:t>
      </w:r>
      <w:r w:rsidR="00535E37" w:rsidRPr="00887108">
        <w:rPr>
          <w:rFonts w:cs="Arial Narrow"/>
          <w:b/>
        </w:rPr>
        <w:t>viaceré</w:t>
      </w:r>
      <w:r w:rsidRPr="00887108">
        <w:rPr>
          <w:rFonts w:cs="Arial Narrow"/>
          <w:b/>
        </w:rPr>
        <w:t xml:space="preserve"> nedaňové príjmy </w:t>
      </w:r>
      <w:r w:rsidR="008928C8" w:rsidRPr="00887108">
        <w:rPr>
          <w:rFonts w:cs="Arial Narrow"/>
          <w:b/>
        </w:rPr>
        <w:t xml:space="preserve">odhadovali už pred vypuknutím pandémie </w:t>
      </w:r>
      <w:r w:rsidRPr="00887108">
        <w:rPr>
          <w:rFonts w:cs="Arial Narrow"/>
          <w:b/>
        </w:rPr>
        <w:t>nižšie</w:t>
      </w:r>
      <w:r w:rsidR="000F24B7" w:rsidRPr="00887108">
        <w:rPr>
          <w:rFonts w:cs="Arial Narrow"/>
          <w:b/>
        </w:rPr>
        <w:t>,</w:t>
      </w:r>
      <w:r w:rsidRPr="00887108">
        <w:rPr>
          <w:rFonts w:cs="Arial Narrow"/>
          <w:b/>
        </w:rPr>
        <w:t xml:space="preserve"> ako boli rozpočtované</w:t>
      </w:r>
      <w:r w:rsidRPr="00887108">
        <w:rPr>
          <w:rFonts w:cs="Arial Narrow"/>
        </w:rPr>
        <w:t xml:space="preserve">. </w:t>
      </w:r>
      <w:r w:rsidR="008928C8" w:rsidRPr="00887108">
        <w:rPr>
          <w:rFonts w:cs="Arial Narrow"/>
        </w:rPr>
        <w:t xml:space="preserve">Pri environmentálnom </w:t>
      </w:r>
      <w:r w:rsidRPr="00887108">
        <w:rPr>
          <w:rFonts w:cs="Arial Narrow"/>
        </w:rPr>
        <w:t>fond</w:t>
      </w:r>
      <w:r w:rsidR="008928C8" w:rsidRPr="00887108">
        <w:rPr>
          <w:rFonts w:cs="Arial Narrow"/>
        </w:rPr>
        <w:t>e sa</w:t>
      </w:r>
      <w:r w:rsidRPr="00887108">
        <w:rPr>
          <w:rFonts w:cs="Arial Narrow"/>
        </w:rPr>
        <w:t xml:space="preserve"> očakáva výpadok príjmov o 128 mil. eur </w:t>
      </w:r>
      <w:r w:rsidR="00343B57" w:rsidRPr="00887108">
        <w:rPr>
          <w:rFonts w:cs="Arial Narrow"/>
        </w:rPr>
        <w:t>po</w:t>
      </w:r>
      <w:r w:rsidRPr="00887108">
        <w:rPr>
          <w:rFonts w:cs="Arial Narrow"/>
        </w:rPr>
        <w:t xml:space="preserve"> </w:t>
      </w:r>
      <w:r w:rsidR="00264D04" w:rsidRPr="00887108">
        <w:rPr>
          <w:rFonts w:cs="Arial Narrow"/>
        </w:rPr>
        <w:t>zreálnen</w:t>
      </w:r>
      <w:r w:rsidR="008928C8" w:rsidRPr="00887108">
        <w:rPr>
          <w:rFonts w:cs="Arial Narrow"/>
        </w:rPr>
        <w:t>í</w:t>
      </w:r>
      <w:r w:rsidR="00264D04" w:rsidRPr="00887108">
        <w:rPr>
          <w:rFonts w:cs="Arial Narrow"/>
        </w:rPr>
        <w:t xml:space="preserve"> nadhodnotených</w:t>
      </w:r>
      <w:r w:rsidRPr="00887108">
        <w:rPr>
          <w:rFonts w:cs="Arial Narrow"/>
        </w:rPr>
        <w:t xml:space="preserve"> </w:t>
      </w:r>
      <w:r w:rsidR="00264D04" w:rsidRPr="00887108">
        <w:rPr>
          <w:rFonts w:cs="Arial Narrow"/>
        </w:rPr>
        <w:t>p</w:t>
      </w:r>
      <w:r w:rsidRPr="00887108">
        <w:rPr>
          <w:rFonts w:cs="Arial Narrow"/>
        </w:rPr>
        <w:t>ríjm</w:t>
      </w:r>
      <w:r w:rsidR="00264D04" w:rsidRPr="00887108">
        <w:rPr>
          <w:rFonts w:cs="Arial Narrow"/>
        </w:rPr>
        <w:t>ov</w:t>
      </w:r>
      <w:r w:rsidRPr="00887108">
        <w:rPr>
          <w:rFonts w:cs="Arial Narrow"/>
        </w:rPr>
        <w:t xml:space="preserve"> z emisných kvót </w:t>
      </w:r>
      <w:r w:rsidR="008928C8" w:rsidRPr="00887108">
        <w:rPr>
          <w:rFonts w:cs="Arial Narrow"/>
        </w:rPr>
        <w:t xml:space="preserve">(uplatnením metodiky ESA2010 </w:t>
      </w:r>
      <w:r w:rsidRPr="00887108">
        <w:rPr>
          <w:rFonts w:cs="Arial Narrow"/>
        </w:rPr>
        <w:t>v plnom rozsahu</w:t>
      </w:r>
      <w:r w:rsidR="008928C8" w:rsidRPr="00887108">
        <w:rPr>
          <w:rFonts w:cs="Arial Narrow"/>
        </w:rPr>
        <w:t>)</w:t>
      </w:r>
      <w:r w:rsidRPr="00887108">
        <w:rPr>
          <w:rFonts w:cs="Arial Narrow"/>
        </w:rPr>
        <w:t xml:space="preserve">. Agentúra pre núdzové zásoby ropy a ropných výrobkov (EOSA) </w:t>
      </w:r>
      <w:r w:rsidR="008928C8" w:rsidRPr="00887108">
        <w:rPr>
          <w:rFonts w:cs="Arial Narrow"/>
        </w:rPr>
        <w:t>bude mať nižšie než</w:t>
      </w:r>
      <w:r w:rsidRPr="00887108">
        <w:rPr>
          <w:rFonts w:cs="Arial Narrow"/>
        </w:rPr>
        <w:t xml:space="preserve"> </w:t>
      </w:r>
      <w:r w:rsidR="008928C8" w:rsidRPr="00887108">
        <w:rPr>
          <w:rFonts w:cs="Arial Narrow"/>
        </w:rPr>
        <w:t xml:space="preserve">rozpočtované príjmy </w:t>
      </w:r>
      <w:r w:rsidRPr="00887108">
        <w:rPr>
          <w:rFonts w:cs="Arial Narrow"/>
        </w:rPr>
        <w:t xml:space="preserve">z dôvodu opätovného nezrealizovania plánovaného zvýšenia poplatkov za správu ropy a ropných produktov (32 mil. eur). Tieto negatívne vplyvy sú čiastočne kompenzované </w:t>
      </w:r>
      <w:r w:rsidR="00960B30" w:rsidRPr="00887108">
        <w:rPr>
          <w:rFonts w:cs="Arial Narrow"/>
        </w:rPr>
        <w:t xml:space="preserve">odhadom vyšších </w:t>
      </w:r>
      <w:r w:rsidRPr="00887108">
        <w:rPr>
          <w:rFonts w:cs="Arial Narrow"/>
        </w:rPr>
        <w:t>dividend zo štátnych podnikov o 33 mil</w:t>
      </w:r>
      <w:r w:rsidR="00BA46EB" w:rsidRPr="00887108">
        <w:rPr>
          <w:rFonts w:cs="Arial Narrow"/>
        </w:rPr>
        <w:t>.</w:t>
      </w:r>
      <w:r w:rsidRPr="00887108">
        <w:rPr>
          <w:rFonts w:cs="Arial Narrow"/>
        </w:rPr>
        <w:t xml:space="preserve"> eur</w:t>
      </w:r>
      <w:r w:rsidRPr="00887108">
        <w:rPr>
          <w:rStyle w:val="Odkaznapoznmkupodiarou"/>
          <w:lang w:val="sk-SK"/>
        </w:rPr>
        <w:footnoteReference w:id="28"/>
      </w:r>
      <w:r w:rsidRPr="00887108">
        <w:rPr>
          <w:rFonts w:cs="Arial Narrow"/>
        </w:rPr>
        <w:t>.</w:t>
      </w:r>
    </w:p>
    <w:p w14:paraId="0389EC77" w14:textId="77777777" w:rsidR="000570B1" w:rsidRPr="00887108" w:rsidRDefault="000570B1" w:rsidP="003C301C">
      <w:pPr>
        <w:tabs>
          <w:tab w:val="left" w:pos="426"/>
        </w:tabs>
        <w:spacing w:before="240" w:after="240"/>
        <w:jc w:val="both"/>
        <w:rPr>
          <w:rFonts w:eastAsiaTheme="minorHAnsi" w:cstheme="minorBidi"/>
          <w:lang w:eastAsia="en-US"/>
        </w:rPr>
      </w:pPr>
    </w:p>
    <w:p w14:paraId="79077B6F" w14:textId="77777777" w:rsidR="00204588" w:rsidRPr="00887108" w:rsidRDefault="00204588" w:rsidP="00204588">
      <w:pPr>
        <w:pStyle w:val="Nadpis2"/>
        <w:keepLines/>
        <w:numPr>
          <w:ilvl w:val="1"/>
          <w:numId w:val="2"/>
        </w:numPr>
        <w:spacing w:before="240" w:after="120" w:line="276" w:lineRule="auto"/>
        <w:rPr>
          <w:b/>
          <w:color w:val="2C9ADC"/>
          <w:szCs w:val="24"/>
        </w:rPr>
      </w:pPr>
      <w:bookmarkStart w:id="97" w:name="_Toc449429141"/>
      <w:bookmarkStart w:id="98" w:name="_Toc449430144"/>
      <w:bookmarkStart w:id="99" w:name="_Toc40181050"/>
      <w:r w:rsidRPr="00887108">
        <w:rPr>
          <w:b/>
          <w:color w:val="2C9ADC"/>
          <w:szCs w:val="24"/>
        </w:rPr>
        <w:t>Strednodobý rozpočtový výhľad na roky 2021 až 20</w:t>
      </w:r>
      <w:bookmarkEnd w:id="97"/>
      <w:bookmarkEnd w:id="98"/>
      <w:r w:rsidRPr="00887108">
        <w:rPr>
          <w:b/>
          <w:color w:val="2C9ADC"/>
          <w:szCs w:val="24"/>
        </w:rPr>
        <w:t>23</w:t>
      </w:r>
      <w:bookmarkEnd w:id="99"/>
    </w:p>
    <w:p w14:paraId="2F174D1B" w14:textId="64FCB60C" w:rsidR="00204588" w:rsidRPr="00887108" w:rsidRDefault="00204588" w:rsidP="00204588">
      <w:pPr>
        <w:jc w:val="both"/>
      </w:pPr>
      <w:r w:rsidRPr="00887108">
        <w:rPr>
          <w:b/>
        </w:rPr>
        <w:t xml:space="preserve">Po očakávanom náraste deficitu na 8,4 % HDP v roku 2020 plánuje vláda od roku 2021 každoročnú štrukturálnu konsolidáciu v súlade s pravidlami Paktu, s cieľom </w:t>
      </w:r>
      <w:r w:rsidR="00F42087" w:rsidRPr="00887108">
        <w:rPr>
          <w:b/>
        </w:rPr>
        <w:t>stabilizovať dlh</w:t>
      </w:r>
      <w:r w:rsidRPr="00887108">
        <w:rPr>
          <w:b/>
        </w:rPr>
        <w:t xml:space="preserve">. </w:t>
      </w:r>
      <w:r w:rsidR="00F42087" w:rsidRPr="00887108">
        <w:t xml:space="preserve">Pri aktuálnych predpokladoch o ekonomickom vývoji je na plnenie štrukturálnej konsolidácie v súlade s Paktom potrebné dosiahnuť </w:t>
      </w:r>
      <w:r w:rsidR="00E61277" w:rsidRPr="00887108">
        <w:t>rozpočtové ciele vo forme</w:t>
      </w:r>
      <w:r w:rsidR="00F42087" w:rsidRPr="00887108">
        <w:t> deficit</w:t>
      </w:r>
      <w:r w:rsidR="00E61277" w:rsidRPr="00887108">
        <w:t>u</w:t>
      </w:r>
      <w:r w:rsidR="00F42087" w:rsidRPr="00887108">
        <w:t xml:space="preserve"> vo výške</w:t>
      </w:r>
      <w:r w:rsidRPr="00887108">
        <w:t xml:space="preserve"> 4,88 %</w:t>
      </w:r>
      <w:r w:rsidR="00F42087" w:rsidRPr="00887108">
        <w:t xml:space="preserve"> HDP v 2021</w:t>
      </w:r>
      <w:r w:rsidRPr="00887108">
        <w:t>, 3,72 % HDP</w:t>
      </w:r>
      <w:r w:rsidR="00343B57" w:rsidRPr="00887108">
        <w:t xml:space="preserve"> </w:t>
      </w:r>
      <w:r w:rsidR="00F42087" w:rsidRPr="00887108">
        <w:t xml:space="preserve">v 2022 a </w:t>
      </w:r>
      <w:r w:rsidRPr="00887108">
        <w:t>2,89 % HDP</w:t>
      </w:r>
      <w:r w:rsidR="00F42087" w:rsidRPr="00887108">
        <w:t xml:space="preserve"> v 2023</w:t>
      </w:r>
      <w:r w:rsidRPr="00887108">
        <w:t>.</w:t>
      </w:r>
      <w:r w:rsidR="003E0076" w:rsidRPr="00887108">
        <w:t xml:space="preserve"> S týmito rozpočtovými cieľmi počíta Program stability na svojom strednodobom horizonte.</w:t>
      </w:r>
    </w:p>
    <w:p w14:paraId="2BF5E159" w14:textId="77777777" w:rsidR="00204588" w:rsidRPr="00887108" w:rsidRDefault="00204588" w:rsidP="00204588">
      <w:pPr>
        <w:jc w:val="both"/>
      </w:pPr>
    </w:p>
    <w:p w14:paraId="12D2D353" w14:textId="2EBC02C2" w:rsidR="00204588" w:rsidRPr="00887108" w:rsidRDefault="00204588" w:rsidP="004C787A">
      <w:pPr>
        <w:pStyle w:val="Graf"/>
        <w:pBdr>
          <w:bottom w:val="single" w:sz="4" w:space="1" w:color="auto"/>
        </w:pBdr>
        <w:spacing w:before="120" w:after="0"/>
      </w:pPr>
      <w:bookmarkStart w:id="100" w:name="_Toc40181264"/>
      <w:r w:rsidRPr="00887108">
        <w:rPr>
          <w:szCs w:val="20"/>
        </w:rPr>
        <w:t xml:space="preserve">GRAF </w:t>
      </w:r>
      <w:r w:rsidRPr="00887108">
        <w:rPr>
          <w:szCs w:val="20"/>
        </w:rPr>
        <w:fldChar w:fldCharType="begin"/>
      </w:r>
      <w:r w:rsidRPr="00887108">
        <w:rPr>
          <w:szCs w:val="20"/>
        </w:rPr>
        <w:instrText xml:space="preserve"> SEQ GRAF \* ARABIC </w:instrText>
      </w:r>
      <w:r w:rsidRPr="00887108">
        <w:rPr>
          <w:szCs w:val="20"/>
        </w:rPr>
        <w:fldChar w:fldCharType="separate"/>
      </w:r>
      <w:r w:rsidR="00D47A36">
        <w:rPr>
          <w:noProof/>
          <w:szCs w:val="20"/>
        </w:rPr>
        <w:t>13</w:t>
      </w:r>
      <w:r w:rsidRPr="00887108">
        <w:rPr>
          <w:szCs w:val="20"/>
        </w:rPr>
        <w:fldChar w:fldCharType="end"/>
      </w:r>
      <w:r w:rsidRPr="00887108">
        <w:rPr>
          <w:szCs w:val="20"/>
        </w:rPr>
        <w:t xml:space="preserve"> -</w:t>
      </w:r>
      <w:r w:rsidRPr="00887108">
        <w:t xml:space="preserve"> Nominálne saldá podľa subsektorov (v % HDP)</w:t>
      </w:r>
      <w:bookmarkEnd w:id="100"/>
    </w:p>
    <w:p w14:paraId="21A70FA3" w14:textId="3595CA5F" w:rsidR="00617B65" w:rsidRPr="00887108" w:rsidRDefault="00617B65" w:rsidP="008A6662">
      <w:pPr>
        <w:pStyle w:val="Graf"/>
        <w:spacing w:after="0"/>
      </w:pPr>
      <w:r w:rsidRPr="00887108">
        <w:rPr>
          <w:sz w:val="16"/>
          <w:szCs w:val="16"/>
          <w:lang w:eastAsia="sk-SK"/>
        </w:rPr>
        <w:drawing>
          <wp:inline distT="0" distB="0" distL="0" distR="0" wp14:anchorId="4E817F78" wp14:editId="72A29878">
            <wp:extent cx="5732891" cy="2107096"/>
            <wp:effectExtent l="0" t="0" r="1270" b="762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04588" w:rsidRPr="00887108">
        <w:t xml:space="preserve"> </w:t>
      </w:r>
    </w:p>
    <w:p w14:paraId="17022782" w14:textId="1B403B73" w:rsidR="00204588" w:rsidRPr="00887108" w:rsidRDefault="00204588" w:rsidP="00F51401">
      <w:pPr>
        <w:pStyle w:val="Graf"/>
        <w:pBdr>
          <w:top w:val="single" w:sz="4" w:space="1" w:color="auto"/>
        </w:pBdr>
        <w:jc w:val="right"/>
      </w:pPr>
      <w:r w:rsidRPr="00887108">
        <w:rPr>
          <w:rFonts w:cs="Times New Roman"/>
          <w:b w:val="0"/>
          <w:i/>
          <w:iCs/>
          <w:color w:val="000000"/>
          <w:sz w:val="16"/>
          <w:szCs w:val="18"/>
        </w:rPr>
        <w:t>Zdroj: MF SR</w:t>
      </w:r>
    </w:p>
    <w:p w14:paraId="48B26551" w14:textId="5C2706A3" w:rsidR="00204588" w:rsidRPr="00887108" w:rsidRDefault="003E0076" w:rsidP="00204588">
      <w:pPr>
        <w:jc w:val="both"/>
      </w:pPr>
      <w:bookmarkStart w:id="101" w:name="_Toc322707654"/>
      <w:bookmarkStart w:id="102" w:name="_Toc322708278"/>
      <w:bookmarkStart w:id="103" w:name="_Toc323117588"/>
      <w:bookmarkStart w:id="104" w:name="_Toc353466998"/>
      <w:bookmarkStart w:id="105" w:name="_Toc353468541"/>
      <w:bookmarkStart w:id="106" w:name="_Toc353804720"/>
      <w:bookmarkStart w:id="107" w:name="_Toc354476880"/>
      <w:bookmarkStart w:id="108" w:name="_Toc354476994"/>
      <w:bookmarkStart w:id="109" w:name="_Toc354477176"/>
      <w:bookmarkStart w:id="110" w:name="_Toc216573750"/>
      <w:bookmarkStart w:id="111" w:name="_Toc385764209"/>
      <w:bookmarkStart w:id="112" w:name="_Toc449429149"/>
      <w:bookmarkStart w:id="113" w:name="_Toc449430158"/>
      <w:bookmarkEnd w:id="101"/>
      <w:bookmarkEnd w:id="102"/>
      <w:bookmarkEnd w:id="103"/>
      <w:bookmarkEnd w:id="104"/>
      <w:bookmarkEnd w:id="105"/>
      <w:bookmarkEnd w:id="106"/>
      <w:bookmarkEnd w:id="107"/>
      <w:bookmarkEnd w:id="108"/>
      <w:bookmarkEnd w:id="109"/>
      <w:r w:rsidRPr="00887108">
        <w:rPr>
          <w:b/>
        </w:rPr>
        <w:t xml:space="preserve">Naopak, bez </w:t>
      </w:r>
      <w:r w:rsidR="00204588" w:rsidRPr="00887108">
        <w:rPr>
          <w:b/>
        </w:rPr>
        <w:t>nových konsolidačných opatrení by sa deficit verejnej správy nedostal ani do roku 2023 pod hranicu 6 % HDP.</w:t>
      </w:r>
      <w:r w:rsidR="00204588" w:rsidRPr="00887108">
        <w:t xml:space="preserve"> Scenár nezmenených politík (NPC) prezentuje referenčný vývoj príjmov aj výdavkov podľa </w:t>
      </w:r>
      <w:r w:rsidR="00266D6E" w:rsidRPr="00887108">
        <w:t>v súlade s najnovšou makroekonomickou a daňovou prognózou</w:t>
      </w:r>
      <w:r w:rsidR="00204588" w:rsidRPr="00887108">
        <w:rPr>
          <w:rStyle w:val="Odkaznapoznmkupodiarou"/>
          <w:lang w:val="sk-SK"/>
        </w:rPr>
        <w:footnoteReference w:id="29"/>
      </w:r>
      <w:r w:rsidR="00204588" w:rsidRPr="00887108">
        <w:t xml:space="preserve"> a pri pôsobení opatrení prijatých pred rokom 2020</w:t>
      </w:r>
      <w:r w:rsidR="00204588" w:rsidRPr="00887108">
        <w:rPr>
          <w:rStyle w:val="Odkaznapoznmkupodiarou"/>
          <w:lang w:val="sk-SK"/>
        </w:rPr>
        <w:footnoteReference w:id="30"/>
      </w:r>
      <w:r w:rsidR="00204588" w:rsidRPr="00887108">
        <w:t>.</w:t>
      </w:r>
      <w:r w:rsidR="00186286" w:rsidRPr="00887108">
        <w:t xml:space="preserve"> </w:t>
      </w:r>
      <w:r w:rsidR="00204588" w:rsidRPr="00887108">
        <w:t xml:space="preserve">Podľa NPC scenára by bol v roku 2021 dosiahnutý schodok na úrovni </w:t>
      </w:r>
      <w:r w:rsidR="00162CDF" w:rsidRPr="00887108">
        <w:t>6</w:t>
      </w:r>
      <w:r w:rsidR="00204588" w:rsidRPr="00887108">
        <w:t>,</w:t>
      </w:r>
      <w:r w:rsidR="00162CDF" w:rsidRPr="00887108">
        <w:t>0 </w:t>
      </w:r>
      <w:r w:rsidR="00204588" w:rsidRPr="00887108">
        <w:t>% HDP</w:t>
      </w:r>
      <w:r w:rsidR="00162CDF" w:rsidRPr="00887108">
        <w:t>,</w:t>
      </w:r>
      <w:r w:rsidR="003B14B8" w:rsidRPr="00887108">
        <w:t xml:space="preserve"> čo zohľadňuje aj </w:t>
      </w:r>
      <w:r w:rsidR="00B24903" w:rsidRPr="00887108">
        <w:t xml:space="preserve">rezervu na </w:t>
      </w:r>
      <w:r w:rsidR="00170E3B" w:rsidRPr="00887108">
        <w:t xml:space="preserve">prípadný </w:t>
      </w:r>
      <w:r w:rsidR="00C62EE3" w:rsidRPr="00887108">
        <w:t>odvod do všeobecného rozpočtu</w:t>
      </w:r>
      <w:r w:rsidR="00343B57" w:rsidRPr="00887108">
        <w:t xml:space="preserve"> EÚ (okolo úrovne 300 mil</w:t>
      </w:r>
      <w:r w:rsidR="00BA46EB" w:rsidRPr="00887108">
        <w:t>.</w:t>
      </w:r>
      <w:r w:rsidR="00343B57" w:rsidRPr="00887108">
        <w:t xml:space="preserve"> eur) </w:t>
      </w:r>
      <w:r w:rsidR="00C62EE3" w:rsidRPr="00887108">
        <w:t>v súvislosti s nálezom Európskeho úradu pre boj proti podvodom (OLAF)</w:t>
      </w:r>
      <w:r w:rsidR="00C62EE3" w:rsidRPr="00887108">
        <w:rPr>
          <w:rStyle w:val="Odkaznapoznmkupodiarou"/>
          <w:lang w:val="sk-SK"/>
        </w:rPr>
        <w:footnoteReference w:id="31"/>
      </w:r>
      <w:r w:rsidR="00C62EE3" w:rsidRPr="00887108">
        <w:t xml:space="preserve">. </w:t>
      </w:r>
      <w:r w:rsidR="00162CDF" w:rsidRPr="00887108">
        <w:t xml:space="preserve">V </w:t>
      </w:r>
      <w:r w:rsidR="00204588" w:rsidRPr="00887108">
        <w:t xml:space="preserve">rokoch 2022 a 2023 by deficit </w:t>
      </w:r>
      <w:r w:rsidR="00C62EE3" w:rsidRPr="00887108">
        <w:t xml:space="preserve">v NPC scenári </w:t>
      </w:r>
      <w:r w:rsidR="00162CDF" w:rsidRPr="00887108">
        <w:t xml:space="preserve">dodatočne mierne </w:t>
      </w:r>
      <w:r w:rsidR="00204588" w:rsidRPr="00887108">
        <w:t>stúpol</w:t>
      </w:r>
      <w:r w:rsidR="00343B57" w:rsidRPr="00887108">
        <w:t>,</w:t>
      </w:r>
      <w:r w:rsidR="00204588" w:rsidRPr="00887108">
        <w:t xml:space="preserve"> na 6,1 % HDP. Dôvodom je najmä to, že príjmy sa nedostanú na svoju úroveň z roku 2019 ani na konci horizontu. Daňovo-odvodové príjmy </w:t>
      </w:r>
      <w:r w:rsidR="00C62EE3" w:rsidRPr="00887108">
        <w:t xml:space="preserve">sa </w:t>
      </w:r>
      <w:r w:rsidR="00204588" w:rsidRPr="00887108">
        <w:t xml:space="preserve">oproti roku 2019 do konca horizontu </w:t>
      </w:r>
      <w:r w:rsidR="00BA46EB" w:rsidRPr="00887108">
        <w:t>znížia</w:t>
      </w:r>
      <w:r w:rsidR="00C62EE3" w:rsidRPr="00887108">
        <w:t xml:space="preserve"> </w:t>
      </w:r>
      <w:r w:rsidR="00204588" w:rsidRPr="00887108">
        <w:t>o 0,6 p. b. HDP a nedaňové príjmy, ktoré štandardne rastú pomalšie ako ekonomika, klesnú o 0,5 p.b. Naopak, verejné výdavky bez zmeny politík ostanú vplyvom len postupného oživenia v pomere k ekonomike výrazne nad úrovňou roka 2019, najmä v prípade bežných výdavkov.</w:t>
      </w:r>
      <w:r w:rsidR="00204588" w:rsidRPr="00887108" w:rsidDel="006D7F73">
        <w:t xml:space="preserve"> </w:t>
      </w:r>
      <w:r w:rsidR="00204588" w:rsidRPr="00887108">
        <w:t xml:space="preserve">Sociálne dávky vzrastú medzi rokmi 2019 a 2023 o 1,3 p. b. HDP, čo je spôsobené najmä </w:t>
      </w:r>
      <w:r w:rsidR="00821600" w:rsidRPr="00887108">
        <w:t xml:space="preserve">nárastom výdavkov </w:t>
      </w:r>
      <w:r w:rsidR="00204588" w:rsidRPr="00887108">
        <w:t>na dôchodky</w:t>
      </w:r>
      <w:r w:rsidR="00204588" w:rsidRPr="00887108">
        <w:rPr>
          <w:rStyle w:val="Odkaznapoznmkupodiarou"/>
          <w:lang w:val="sk-SK"/>
        </w:rPr>
        <w:footnoteReference w:id="32"/>
      </w:r>
      <w:r w:rsidR="00E007F5" w:rsidRPr="00887108">
        <w:t>.</w:t>
      </w:r>
      <w:r w:rsidR="00204588" w:rsidRPr="00887108">
        <w:t xml:space="preserve"> </w:t>
      </w:r>
    </w:p>
    <w:p w14:paraId="764E2B8B" w14:textId="77777777" w:rsidR="00204588" w:rsidRPr="00887108" w:rsidRDefault="00204588" w:rsidP="00204588">
      <w:pPr>
        <w:jc w:val="both"/>
        <w:rPr>
          <w:highlight w:val="yellow"/>
        </w:rPr>
      </w:pPr>
    </w:p>
    <w:tbl>
      <w:tblPr>
        <w:tblW w:w="9070" w:type="dxa"/>
        <w:tblCellMar>
          <w:left w:w="70" w:type="dxa"/>
          <w:right w:w="70" w:type="dxa"/>
        </w:tblCellMar>
        <w:tblLook w:val="04A0" w:firstRow="1" w:lastRow="0" w:firstColumn="1" w:lastColumn="0" w:noHBand="0" w:noVBand="1"/>
      </w:tblPr>
      <w:tblGrid>
        <w:gridCol w:w="5245"/>
        <w:gridCol w:w="1069"/>
        <w:gridCol w:w="689"/>
        <w:gridCol w:w="689"/>
        <w:gridCol w:w="689"/>
        <w:gridCol w:w="689"/>
      </w:tblGrid>
      <w:tr w:rsidR="00204588" w:rsidRPr="00887108" w14:paraId="269BB34C" w14:textId="77777777" w:rsidTr="00204588">
        <w:trPr>
          <w:trHeight w:val="276"/>
        </w:trPr>
        <w:tc>
          <w:tcPr>
            <w:tcW w:w="9070" w:type="dxa"/>
            <w:gridSpan w:val="6"/>
            <w:tcBorders>
              <w:top w:val="nil"/>
              <w:left w:val="nil"/>
              <w:bottom w:val="single" w:sz="8" w:space="0" w:color="auto"/>
              <w:right w:val="nil"/>
            </w:tcBorders>
          </w:tcPr>
          <w:p w14:paraId="2FE95CD9" w14:textId="07352981" w:rsidR="00204588" w:rsidRPr="00887108" w:rsidRDefault="00683A4A" w:rsidP="00204588">
            <w:pPr>
              <w:rPr>
                <w:rFonts w:cs="Times New Roman"/>
                <w:b/>
                <w:bCs/>
                <w:color w:val="2C9ADC"/>
                <w:sz w:val="20"/>
                <w:szCs w:val="20"/>
              </w:rPr>
            </w:pPr>
            <w:bookmarkStart w:id="114" w:name="_Toc40186685"/>
            <w:r w:rsidRPr="00887108">
              <w:rPr>
                <w:rFonts w:eastAsiaTheme="minorHAnsi"/>
                <w:b/>
                <w:color w:val="2C9ADC" w:themeColor="accent1"/>
                <w:sz w:val="20"/>
                <w:szCs w:val="20"/>
                <w:lang w:eastAsia="en-US"/>
              </w:rPr>
              <w:t xml:space="preserve">TABUĽKA </w:t>
            </w:r>
            <w:r w:rsidRPr="00887108">
              <w:rPr>
                <w:rFonts w:eastAsiaTheme="minorHAnsi"/>
                <w:b/>
                <w:color w:val="2C9ADC" w:themeColor="accent1"/>
                <w:sz w:val="20"/>
                <w:szCs w:val="20"/>
                <w:lang w:eastAsia="en-US"/>
              </w:rPr>
              <w:fldChar w:fldCharType="begin"/>
            </w:r>
            <w:r w:rsidRPr="00887108">
              <w:rPr>
                <w:rFonts w:eastAsiaTheme="minorHAnsi"/>
                <w:b/>
                <w:color w:val="2C9ADC" w:themeColor="accent1"/>
                <w:sz w:val="20"/>
                <w:szCs w:val="20"/>
                <w:lang w:eastAsia="en-US"/>
              </w:rPr>
              <w:instrText xml:space="preserve"> SEQ TABUĽKA \* ARABIC </w:instrText>
            </w:r>
            <w:r w:rsidRPr="00887108">
              <w:rPr>
                <w:rFonts w:eastAsiaTheme="minorHAnsi"/>
                <w:b/>
                <w:color w:val="2C9ADC" w:themeColor="accent1"/>
                <w:sz w:val="20"/>
                <w:szCs w:val="20"/>
                <w:lang w:eastAsia="en-US"/>
              </w:rPr>
              <w:fldChar w:fldCharType="separate"/>
            </w:r>
            <w:r w:rsidR="00D47A36">
              <w:rPr>
                <w:rFonts w:eastAsiaTheme="minorHAnsi"/>
                <w:b/>
                <w:noProof/>
                <w:color w:val="2C9ADC" w:themeColor="accent1"/>
                <w:sz w:val="20"/>
                <w:szCs w:val="20"/>
                <w:lang w:eastAsia="en-US"/>
              </w:rPr>
              <w:t>8</w:t>
            </w:r>
            <w:r w:rsidRPr="00887108">
              <w:rPr>
                <w:rFonts w:eastAsiaTheme="minorHAnsi"/>
                <w:b/>
                <w:color w:val="2C9ADC" w:themeColor="accent1"/>
                <w:sz w:val="20"/>
                <w:szCs w:val="20"/>
                <w:lang w:eastAsia="en-US"/>
              </w:rPr>
              <w:fldChar w:fldCharType="end"/>
            </w:r>
            <w:r w:rsidRPr="00887108">
              <w:rPr>
                <w:rFonts w:eastAsiaTheme="minorHAnsi"/>
                <w:b/>
                <w:color w:val="2C9ADC" w:themeColor="accent1"/>
                <w:sz w:val="20"/>
                <w:szCs w:val="20"/>
                <w:lang w:eastAsia="en-US"/>
              </w:rPr>
              <w:t xml:space="preserve"> </w:t>
            </w:r>
            <w:r w:rsidR="00204588" w:rsidRPr="00887108">
              <w:rPr>
                <w:rFonts w:cs="Times New Roman"/>
                <w:b/>
                <w:bCs/>
                <w:color w:val="2C9ADC"/>
                <w:sz w:val="20"/>
                <w:szCs w:val="20"/>
              </w:rPr>
              <w:t xml:space="preserve">- Scenár nezmenených politík </w:t>
            </w:r>
            <w:r w:rsidR="00204588" w:rsidRPr="00887108">
              <w:rPr>
                <w:rFonts w:cs="Times New Roman"/>
                <w:b/>
                <w:color w:val="2C9ADC"/>
                <w:sz w:val="20"/>
                <w:szCs w:val="20"/>
              </w:rPr>
              <w:t>(ESA2010, % HDP)</w:t>
            </w:r>
            <w:bookmarkEnd w:id="114"/>
          </w:p>
        </w:tc>
      </w:tr>
      <w:tr w:rsidR="00204588" w:rsidRPr="00887108" w14:paraId="34B35B6E" w14:textId="77777777" w:rsidTr="00204588">
        <w:trPr>
          <w:trHeight w:val="315"/>
        </w:trPr>
        <w:tc>
          <w:tcPr>
            <w:tcW w:w="5245" w:type="dxa"/>
            <w:tcBorders>
              <w:top w:val="nil"/>
              <w:left w:val="nil"/>
              <w:bottom w:val="nil"/>
              <w:right w:val="nil"/>
            </w:tcBorders>
            <w:shd w:val="clear" w:color="auto" w:fill="auto"/>
            <w:noWrap/>
            <w:vAlign w:val="center"/>
            <w:hideMark/>
          </w:tcPr>
          <w:p w14:paraId="3E3A2282" w14:textId="77777777" w:rsidR="00204588" w:rsidRPr="00887108" w:rsidRDefault="00204588" w:rsidP="00204588">
            <w:pPr>
              <w:rPr>
                <w:rFonts w:cs="Times New Roman"/>
                <w:b/>
                <w:bCs/>
                <w:color w:val="2C9ADC"/>
                <w:sz w:val="18"/>
                <w:szCs w:val="18"/>
              </w:rPr>
            </w:pPr>
            <w:bookmarkStart w:id="115" w:name="RANGE!A5:E28"/>
            <w:bookmarkEnd w:id="115"/>
          </w:p>
        </w:tc>
        <w:tc>
          <w:tcPr>
            <w:tcW w:w="1069" w:type="dxa"/>
            <w:tcBorders>
              <w:top w:val="nil"/>
              <w:left w:val="nil"/>
              <w:bottom w:val="nil"/>
              <w:right w:val="nil"/>
            </w:tcBorders>
            <w:vAlign w:val="center"/>
          </w:tcPr>
          <w:p w14:paraId="574A9C08" w14:textId="77777777" w:rsidR="00204588" w:rsidRPr="00887108" w:rsidRDefault="00204588" w:rsidP="00204588">
            <w:pPr>
              <w:jc w:val="center"/>
              <w:rPr>
                <w:rFonts w:cs="Times New Roman"/>
                <w:color w:val="000000"/>
                <w:sz w:val="18"/>
                <w:szCs w:val="18"/>
              </w:rPr>
            </w:pPr>
            <w:r w:rsidRPr="00887108">
              <w:rPr>
                <w:color w:val="000000"/>
                <w:sz w:val="18"/>
                <w:szCs w:val="18"/>
              </w:rPr>
              <w:t>Skutočnosť</w:t>
            </w:r>
          </w:p>
        </w:tc>
        <w:tc>
          <w:tcPr>
            <w:tcW w:w="689" w:type="dxa"/>
            <w:tcBorders>
              <w:top w:val="nil"/>
              <w:left w:val="nil"/>
              <w:bottom w:val="nil"/>
              <w:right w:val="nil"/>
            </w:tcBorders>
            <w:shd w:val="clear" w:color="auto" w:fill="auto"/>
            <w:noWrap/>
            <w:vAlign w:val="center"/>
            <w:hideMark/>
          </w:tcPr>
          <w:p w14:paraId="6450D1B2"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OS</w:t>
            </w:r>
          </w:p>
        </w:tc>
        <w:tc>
          <w:tcPr>
            <w:tcW w:w="2067" w:type="dxa"/>
            <w:gridSpan w:val="3"/>
            <w:tcBorders>
              <w:top w:val="nil"/>
              <w:left w:val="nil"/>
              <w:bottom w:val="nil"/>
              <w:right w:val="nil"/>
            </w:tcBorders>
            <w:shd w:val="clear" w:color="auto" w:fill="auto"/>
            <w:noWrap/>
            <w:vAlign w:val="bottom"/>
            <w:hideMark/>
          </w:tcPr>
          <w:p w14:paraId="0B897DFF"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NPC scenár</w:t>
            </w:r>
          </w:p>
        </w:tc>
      </w:tr>
      <w:tr w:rsidR="00204588" w:rsidRPr="00887108" w14:paraId="45E43C74" w14:textId="77777777" w:rsidTr="00204588">
        <w:trPr>
          <w:trHeight w:val="276"/>
        </w:trPr>
        <w:tc>
          <w:tcPr>
            <w:tcW w:w="5245" w:type="dxa"/>
            <w:tcBorders>
              <w:top w:val="nil"/>
              <w:left w:val="nil"/>
              <w:bottom w:val="nil"/>
              <w:right w:val="nil"/>
            </w:tcBorders>
            <w:shd w:val="clear" w:color="auto" w:fill="auto"/>
            <w:noWrap/>
            <w:vAlign w:val="center"/>
            <w:hideMark/>
          </w:tcPr>
          <w:p w14:paraId="5FC762DA" w14:textId="77777777" w:rsidR="00204588" w:rsidRPr="00887108" w:rsidRDefault="00204588" w:rsidP="00204588">
            <w:pPr>
              <w:jc w:val="center"/>
              <w:rPr>
                <w:rFonts w:cs="Times New Roman"/>
                <w:color w:val="000000"/>
                <w:sz w:val="18"/>
                <w:szCs w:val="18"/>
              </w:rPr>
            </w:pPr>
          </w:p>
        </w:tc>
        <w:tc>
          <w:tcPr>
            <w:tcW w:w="1069" w:type="dxa"/>
            <w:tcBorders>
              <w:top w:val="nil"/>
              <w:left w:val="nil"/>
              <w:bottom w:val="single" w:sz="8" w:space="0" w:color="auto"/>
              <w:right w:val="nil"/>
            </w:tcBorders>
            <w:vAlign w:val="center"/>
          </w:tcPr>
          <w:p w14:paraId="7F282181" w14:textId="77777777" w:rsidR="00204588" w:rsidRPr="00887108" w:rsidRDefault="00204588" w:rsidP="00204588">
            <w:pPr>
              <w:jc w:val="center"/>
              <w:rPr>
                <w:rFonts w:cs="Times New Roman"/>
                <w:color w:val="000000"/>
                <w:sz w:val="18"/>
                <w:szCs w:val="18"/>
              </w:rPr>
            </w:pPr>
            <w:r w:rsidRPr="00887108">
              <w:rPr>
                <w:color w:val="000000"/>
                <w:sz w:val="18"/>
                <w:szCs w:val="18"/>
              </w:rPr>
              <w:t>2019</w:t>
            </w:r>
          </w:p>
        </w:tc>
        <w:tc>
          <w:tcPr>
            <w:tcW w:w="689" w:type="dxa"/>
            <w:tcBorders>
              <w:top w:val="nil"/>
              <w:left w:val="nil"/>
              <w:bottom w:val="nil"/>
              <w:right w:val="nil"/>
            </w:tcBorders>
            <w:shd w:val="clear" w:color="auto" w:fill="auto"/>
            <w:noWrap/>
            <w:vAlign w:val="center"/>
            <w:hideMark/>
          </w:tcPr>
          <w:p w14:paraId="419A49AD"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2020</w:t>
            </w:r>
          </w:p>
        </w:tc>
        <w:tc>
          <w:tcPr>
            <w:tcW w:w="689" w:type="dxa"/>
            <w:tcBorders>
              <w:top w:val="nil"/>
              <w:left w:val="nil"/>
              <w:bottom w:val="nil"/>
              <w:right w:val="nil"/>
            </w:tcBorders>
            <w:shd w:val="clear" w:color="auto" w:fill="auto"/>
            <w:noWrap/>
            <w:vAlign w:val="bottom"/>
            <w:hideMark/>
          </w:tcPr>
          <w:p w14:paraId="57093668"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2021</w:t>
            </w:r>
          </w:p>
        </w:tc>
        <w:tc>
          <w:tcPr>
            <w:tcW w:w="689" w:type="dxa"/>
            <w:tcBorders>
              <w:top w:val="nil"/>
              <w:left w:val="nil"/>
              <w:bottom w:val="nil"/>
              <w:right w:val="nil"/>
            </w:tcBorders>
            <w:shd w:val="clear" w:color="auto" w:fill="auto"/>
            <w:noWrap/>
            <w:vAlign w:val="bottom"/>
            <w:hideMark/>
          </w:tcPr>
          <w:p w14:paraId="17791557"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2022</w:t>
            </w:r>
          </w:p>
        </w:tc>
        <w:tc>
          <w:tcPr>
            <w:tcW w:w="689" w:type="dxa"/>
            <w:tcBorders>
              <w:top w:val="nil"/>
              <w:left w:val="nil"/>
              <w:bottom w:val="nil"/>
              <w:right w:val="nil"/>
            </w:tcBorders>
            <w:shd w:val="clear" w:color="auto" w:fill="auto"/>
            <w:noWrap/>
            <w:vAlign w:val="bottom"/>
            <w:hideMark/>
          </w:tcPr>
          <w:p w14:paraId="1B34711E" w14:textId="77777777" w:rsidR="00204588" w:rsidRPr="00887108" w:rsidRDefault="00204588" w:rsidP="00204588">
            <w:pPr>
              <w:jc w:val="center"/>
              <w:rPr>
                <w:rFonts w:cs="Times New Roman"/>
                <w:color w:val="000000"/>
                <w:sz w:val="18"/>
                <w:szCs w:val="18"/>
              </w:rPr>
            </w:pPr>
            <w:r w:rsidRPr="00887108">
              <w:rPr>
                <w:rFonts w:cs="Times New Roman"/>
                <w:color w:val="000000"/>
                <w:sz w:val="18"/>
                <w:szCs w:val="18"/>
              </w:rPr>
              <w:t>2023</w:t>
            </w:r>
          </w:p>
        </w:tc>
      </w:tr>
      <w:tr w:rsidR="00204588" w:rsidRPr="00887108" w14:paraId="25D4A848" w14:textId="77777777" w:rsidTr="00204588">
        <w:trPr>
          <w:trHeight w:val="264"/>
        </w:trPr>
        <w:tc>
          <w:tcPr>
            <w:tcW w:w="5245" w:type="dxa"/>
            <w:tcBorders>
              <w:top w:val="single" w:sz="8" w:space="0" w:color="auto"/>
              <w:left w:val="nil"/>
              <w:bottom w:val="nil"/>
              <w:right w:val="single" w:sz="8" w:space="0" w:color="auto"/>
            </w:tcBorders>
            <w:shd w:val="clear" w:color="auto" w:fill="auto"/>
            <w:vAlign w:val="center"/>
            <w:hideMark/>
          </w:tcPr>
          <w:p w14:paraId="5FEFFC97" w14:textId="77777777" w:rsidR="00204588" w:rsidRPr="00887108" w:rsidRDefault="00204588" w:rsidP="00204588">
            <w:pPr>
              <w:rPr>
                <w:rFonts w:cs="Times New Roman"/>
                <w:b/>
                <w:bCs/>
                <w:color w:val="000000"/>
                <w:sz w:val="18"/>
                <w:szCs w:val="18"/>
              </w:rPr>
            </w:pPr>
            <w:r w:rsidRPr="00887108">
              <w:rPr>
                <w:b/>
                <w:bCs/>
                <w:color w:val="000000"/>
                <w:sz w:val="18"/>
                <w:szCs w:val="18"/>
              </w:rPr>
              <w:t>1.Príjmy spolu</w:t>
            </w:r>
          </w:p>
        </w:tc>
        <w:tc>
          <w:tcPr>
            <w:tcW w:w="1069" w:type="dxa"/>
            <w:tcBorders>
              <w:top w:val="single" w:sz="8" w:space="0" w:color="auto"/>
              <w:left w:val="nil"/>
              <w:bottom w:val="nil"/>
              <w:right w:val="single" w:sz="4" w:space="0" w:color="auto"/>
            </w:tcBorders>
            <w:vAlign w:val="center"/>
          </w:tcPr>
          <w:p w14:paraId="14BA0D84" w14:textId="09E78628" w:rsidR="00204588" w:rsidRPr="00887108" w:rsidRDefault="00204588" w:rsidP="00204588">
            <w:pPr>
              <w:jc w:val="center"/>
              <w:rPr>
                <w:b/>
                <w:bCs/>
                <w:color w:val="000000"/>
                <w:sz w:val="18"/>
                <w:szCs w:val="18"/>
              </w:rPr>
            </w:pPr>
            <w:r w:rsidRPr="00887108">
              <w:rPr>
                <w:b/>
                <w:bCs/>
                <w:color w:val="000000"/>
                <w:sz w:val="18"/>
                <w:szCs w:val="18"/>
              </w:rPr>
              <w:t>41,</w:t>
            </w:r>
            <w:r w:rsidR="00D063AD" w:rsidRPr="00887108">
              <w:rPr>
                <w:b/>
                <w:bCs/>
                <w:color w:val="000000"/>
                <w:sz w:val="18"/>
                <w:szCs w:val="18"/>
              </w:rPr>
              <w:t>5</w:t>
            </w:r>
          </w:p>
        </w:tc>
        <w:tc>
          <w:tcPr>
            <w:tcW w:w="689" w:type="dxa"/>
            <w:tcBorders>
              <w:top w:val="single" w:sz="8" w:space="0" w:color="auto"/>
              <w:left w:val="single" w:sz="4" w:space="0" w:color="auto"/>
              <w:bottom w:val="nil"/>
              <w:right w:val="nil"/>
            </w:tcBorders>
            <w:shd w:val="clear" w:color="auto" w:fill="auto"/>
            <w:noWrap/>
            <w:vAlign w:val="center"/>
            <w:hideMark/>
          </w:tcPr>
          <w:p w14:paraId="40A54091"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41,4</w:t>
            </w:r>
          </w:p>
        </w:tc>
        <w:tc>
          <w:tcPr>
            <w:tcW w:w="689" w:type="dxa"/>
            <w:tcBorders>
              <w:top w:val="single" w:sz="8" w:space="0" w:color="auto"/>
              <w:left w:val="single" w:sz="8" w:space="0" w:color="auto"/>
              <w:bottom w:val="nil"/>
              <w:right w:val="nil"/>
            </w:tcBorders>
            <w:shd w:val="clear" w:color="auto" w:fill="auto"/>
            <w:noWrap/>
            <w:vAlign w:val="center"/>
            <w:hideMark/>
          </w:tcPr>
          <w:p w14:paraId="1EAADCAF"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40,3</w:t>
            </w:r>
          </w:p>
        </w:tc>
        <w:tc>
          <w:tcPr>
            <w:tcW w:w="689" w:type="dxa"/>
            <w:tcBorders>
              <w:top w:val="single" w:sz="8" w:space="0" w:color="auto"/>
              <w:left w:val="nil"/>
              <w:bottom w:val="nil"/>
              <w:right w:val="nil"/>
            </w:tcBorders>
            <w:shd w:val="clear" w:color="auto" w:fill="auto"/>
            <w:noWrap/>
            <w:vAlign w:val="center"/>
            <w:hideMark/>
          </w:tcPr>
          <w:p w14:paraId="1BE0EF88"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40,8</w:t>
            </w:r>
          </w:p>
        </w:tc>
        <w:tc>
          <w:tcPr>
            <w:tcW w:w="689" w:type="dxa"/>
            <w:tcBorders>
              <w:top w:val="single" w:sz="8" w:space="0" w:color="auto"/>
              <w:left w:val="nil"/>
              <w:bottom w:val="nil"/>
              <w:right w:val="nil"/>
            </w:tcBorders>
            <w:shd w:val="clear" w:color="auto" w:fill="auto"/>
            <w:noWrap/>
            <w:vAlign w:val="center"/>
            <w:hideMark/>
          </w:tcPr>
          <w:p w14:paraId="1F51F299"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40,9</w:t>
            </w:r>
          </w:p>
        </w:tc>
      </w:tr>
      <w:tr w:rsidR="00204588" w:rsidRPr="00887108" w14:paraId="488C90D0" w14:textId="77777777" w:rsidTr="00204588">
        <w:trPr>
          <w:trHeight w:val="264"/>
        </w:trPr>
        <w:tc>
          <w:tcPr>
            <w:tcW w:w="5245" w:type="dxa"/>
            <w:tcBorders>
              <w:top w:val="nil"/>
              <w:left w:val="nil"/>
              <w:bottom w:val="nil"/>
              <w:right w:val="single" w:sz="8" w:space="0" w:color="auto"/>
            </w:tcBorders>
            <w:shd w:val="clear" w:color="auto" w:fill="auto"/>
            <w:vAlign w:val="center"/>
            <w:hideMark/>
          </w:tcPr>
          <w:p w14:paraId="6A489DAF" w14:textId="77777777" w:rsidR="00204588" w:rsidRPr="00887108" w:rsidRDefault="00204588" w:rsidP="00204588">
            <w:pPr>
              <w:rPr>
                <w:rFonts w:cs="Times New Roman"/>
                <w:color w:val="000000"/>
                <w:sz w:val="18"/>
                <w:szCs w:val="18"/>
              </w:rPr>
            </w:pPr>
            <w:r w:rsidRPr="00887108">
              <w:rPr>
                <w:color w:val="000000"/>
                <w:sz w:val="18"/>
                <w:szCs w:val="18"/>
              </w:rPr>
              <w:t>Daňové príjmy</w:t>
            </w:r>
          </w:p>
        </w:tc>
        <w:tc>
          <w:tcPr>
            <w:tcW w:w="1069" w:type="dxa"/>
            <w:tcBorders>
              <w:top w:val="nil"/>
              <w:left w:val="nil"/>
              <w:bottom w:val="nil"/>
              <w:right w:val="single" w:sz="4" w:space="0" w:color="auto"/>
            </w:tcBorders>
            <w:vAlign w:val="center"/>
          </w:tcPr>
          <w:p w14:paraId="7ED62002" w14:textId="77777777" w:rsidR="00204588" w:rsidRPr="00887108" w:rsidRDefault="00204588" w:rsidP="00204588">
            <w:pPr>
              <w:jc w:val="center"/>
              <w:rPr>
                <w:color w:val="000000"/>
                <w:sz w:val="18"/>
                <w:szCs w:val="18"/>
              </w:rPr>
            </w:pPr>
            <w:r w:rsidRPr="00887108">
              <w:rPr>
                <w:color w:val="000000"/>
                <w:sz w:val="18"/>
                <w:szCs w:val="18"/>
              </w:rPr>
              <w:t>19,4</w:t>
            </w:r>
          </w:p>
        </w:tc>
        <w:tc>
          <w:tcPr>
            <w:tcW w:w="689" w:type="dxa"/>
            <w:tcBorders>
              <w:top w:val="nil"/>
              <w:left w:val="single" w:sz="4" w:space="0" w:color="auto"/>
              <w:bottom w:val="nil"/>
              <w:right w:val="nil"/>
            </w:tcBorders>
            <w:shd w:val="clear" w:color="auto" w:fill="auto"/>
            <w:noWrap/>
            <w:vAlign w:val="center"/>
            <w:hideMark/>
          </w:tcPr>
          <w:p w14:paraId="7796D9F8" w14:textId="77777777" w:rsidR="00204588" w:rsidRPr="00887108" w:rsidRDefault="00204588" w:rsidP="00204588">
            <w:pPr>
              <w:jc w:val="center"/>
              <w:rPr>
                <w:rFonts w:cs="Times New Roman"/>
                <w:color w:val="000000"/>
                <w:sz w:val="18"/>
                <w:szCs w:val="18"/>
              </w:rPr>
            </w:pPr>
            <w:r w:rsidRPr="00887108">
              <w:rPr>
                <w:color w:val="000000"/>
                <w:sz w:val="18"/>
                <w:szCs w:val="18"/>
              </w:rPr>
              <w:t>18,6</w:t>
            </w:r>
          </w:p>
        </w:tc>
        <w:tc>
          <w:tcPr>
            <w:tcW w:w="689" w:type="dxa"/>
            <w:tcBorders>
              <w:top w:val="nil"/>
              <w:left w:val="single" w:sz="8" w:space="0" w:color="auto"/>
              <w:bottom w:val="nil"/>
              <w:right w:val="nil"/>
            </w:tcBorders>
            <w:shd w:val="clear" w:color="auto" w:fill="auto"/>
            <w:noWrap/>
            <w:vAlign w:val="center"/>
            <w:hideMark/>
          </w:tcPr>
          <w:p w14:paraId="7134F900" w14:textId="77777777" w:rsidR="00204588" w:rsidRPr="00887108" w:rsidRDefault="00204588" w:rsidP="00204588">
            <w:pPr>
              <w:jc w:val="center"/>
              <w:rPr>
                <w:rFonts w:cs="Times New Roman"/>
                <w:color w:val="000000"/>
                <w:sz w:val="18"/>
                <w:szCs w:val="18"/>
              </w:rPr>
            </w:pPr>
            <w:r w:rsidRPr="00887108">
              <w:rPr>
                <w:color w:val="000000"/>
                <w:sz w:val="18"/>
                <w:szCs w:val="18"/>
              </w:rPr>
              <w:t>18,3</w:t>
            </w:r>
          </w:p>
        </w:tc>
        <w:tc>
          <w:tcPr>
            <w:tcW w:w="689" w:type="dxa"/>
            <w:tcBorders>
              <w:top w:val="nil"/>
              <w:left w:val="nil"/>
              <w:bottom w:val="nil"/>
              <w:right w:val="nil"/>
            </w:tcBorders>
            <w:shd w:val="clear" w:color="auto" w:fill="auto"/>
            <w:noWrap/>
            <w:vAlign w:val="center"/>
            <w:hideMark/>
          </w:tcPr>
          <w:p w14:paraId="18416339" w14:textId="77777777" w:rsidR="00204588" w:rsidRPr="00887108" w:rsidRDefault="00204588" w:rsidP="00204588">
            <w:pPr>
              <w:jc w:val="center"/>
              <w:rPr>
                <w:rFonts w:cs="Times New Roman"/>
                <w:color w:val="000000"/>
                <w:sz w:val="18"/>
                <w:szCs w:val="18"/>
              </w:rPr>
            </w:pPr>
            <w:r w:rsidRPr="00887108">
              <w:rPr>
                <w:color w:val="000000"/>
                <w:sz w:val="18"/>
                <w:szCs w:val="18"/>
              </w:rPr>
              <w:t>18,4</w:t>
            </w:r>
          </w:p>
        </w:tc>
        <w:tc>
          <w:tcPr>
            <w:tcW w:w="689" w:type="dxa"/>
            <w:tcBorders>
              <w:top w:val="nil"/>
              <w:left w:val="nil"/>
              <w:bottom w:val="nil"/>
              <w:right w:val="nil"/>
            </w:tcBorders>
            <w:shd w:val="clear" w:color="auto" w:fill="auto"/>
            <w:noWrap/>
            <w:vAlign w:val="center"/>
            <w:hideMark/>
          </w:tcPr>
          <w:p w14:paraId="1F883CAE" w14:textId="77777777" w:rsidR="00204588" w:rsidRPr="00887108" w:rsidRDefault="00204588" w:rsidP="00204588">
            <w:pPr>
              <w:jc w:val="center"/>
              <w:rPr>
                <w:rFonts w:cs="Times New Roman"/>
                <w:color w:val="000000"/>
                <w:sz w:val="18"/>
                <w:szCs w:val="18"/>
              </w:rPr>
            </w:pPr>
            <w:r w:rsidRPr="00887108">
              <w:rPr>
                <w:color w:val="000000"/>
                <w:sz w:val="18"/>
                <w:szCs w:val="18"/>
              </w:rPr>
              <w:t>18,6</w:t>
            </w:r>
          </w:p>
        </w:tc>
      </w:tr>
      <w:tr w:rsidR="00204588" w:rsidRPr="00887108" w14:paraId="623782A2" w14:textId="77777777" w:rsidTr="00204588">
        <w:trPr>
          <w:trHeight w:val="264"/>
        </w:trPr>
        <w:tc>
          <w:tcPr>
            <w:tcW w:w="5245" w:type="dxa"/>
            <w:tcBorders>
              <w:top w:val="nil"/>
              <w:left w:val="nil"/>
              <w:bottom w:val="nil"/>
              <w:right w:val="single" w:sz="8" w:space="0" w:color="auto"/>
            </w:tcBorders>
            <w:shd w:val="clear" w:color="auto" w:fill="auto"/>
            <w:vAlign w:val="center"/>
            <w:hideMark/>
          </w:tcPr>
          <w:p w14:paraId="539C5ED7" w14:textId="77777777" w:rsidR="00204588" w:rsidRPr="00887108" w:rsidRDefault="00204588" w:rsidP="00204588">
            <w:pPr>
              <w:rPr>
                <w:rFonts w:cs="Times New Roman"/>
                <w:color w:val="000000"/>
                <w:sz w:val="18"/>
                <w:szCs w:val="18"/>
              </w:rPr>
            </w:pPr>
            <w:r w:rsidRPr="00887108">
              <w:rPr>
                <w:color w:val="000000"/>
                <w:sz w:val="18"/>
                <w:szCs w:val="18"/>
              </w:rPr>
              <w:t>Príspevky na sociálne zabezpečenie</w:t>
            </w:r>
          </w:p>
        </w:tc>
        <w:tc>
          <w:tcPr>
            <w:tcW w:w="1069" w:type="dxa"/>
            <w:tcBorders>
              <w:top w:val="nil"/>
              <w:left w:val="nil"/>
              <w:bottom w:val="nil"/>
              <w:right w:val="single" w:sz="4" w:space="0" w:color="auto"/>
            </w:tcBorders>
            <w:vAlign w:val="center"/>
          </w:tcPr>
          <w:p w14:paraId="30EF51CC" w14:textId="77777777" w:rsidR="00204588" w:rsidRPr="00887108" w:rsidRDefault="00204588" w:rsidP="00204588">
            <w:pPr>
              <w:jc w:val="center"/>
              <w:rPr>
                <w:color w:val="000000"/>
                <w:sz w:val="18"/>
                <w:szCs w:val="18"/>
              </w:rPr>
            </w:pPr>
            <w:r w:rsidRPr="00887108">
              <w:rPr>
                <w:color w:val="000000"/>
                <w:sz w:val="18"/>
                <w:szCs w:val="18"/>
              </w:rPr>
              <w:t>15,2</w:t>
            </w:r>
          </w:p>
        </w:tc>
        <w:tc>
          <w:tcPr>
            <w:tcW w:w="689" w:type="dxa"/>
            <w:tcBorders>
              <w:top w:val="nil"/>
              <w:left w:val="single" w:sz="4" w:space="0" w:color="auto"/>
              <w:bottom w:val="nil"/>
              <w:right w:val="nil"/>
            </w:tcBorders>
            <w:shd w:val="clear" w:color="auto" w:fill="auto"/>
            <w:noWrap/>
            <w:vAlign w:val="center"/>
            <w:hideMark/>
          </w:tcPr>
          <w:p w14:paraId="6821C3F7" w14:textId="77777777" w:rsidR="00204588" w:rsidRPr="00887108" w:rsidRDefault="00204588" w:rsidP="00204588">
            <w:pPr>
              <w:jc w:val="center"/>
              <w:rPr>
                <w:rFonts w:cs="Times New Roman"/>
                <w:color w:val="000000"/>
                <w:sz w:val="18"/>
                <w:szCs w:val="18"/>
              </w:rPr>
            </w:pPr>
            <w:r w:rsidRPr="00887108">
              <w:rPr>
                <w:color w:val="000000"/>
                <w:sz w:val="18"/>
                <w:szCs w:val="18"/>
              </w:rPr>
              <w:t>16,1</w:t>
            </w:r>
          </w:p>
        </w:tc>
        <w:tc>
          <w:tcPr>
            <w:tcW w:w="689" w:type="dxa"/>
            <w:tcBorders>
              <w:top w:val="nil"/>
              <w:left w:val="single" w:sz="8" w:space="0" w:color="auto"/>
              <w:bottom w:val="nil"/>
              <w:right w:val="nil"/>
            </w:tcBorders>
            <w:shd w:val="clear" w:color="auto" w:fill="auto"/>
            <w:noWrap/>
            <w:vAlign w:val="center"/>
            <w:hideMark/>
          </w:tcPr>
          <w:p w14:paraId="7267D828" w14:textId="77777777" w:rsidR="00204588" w:rsidRPr="00887108" w:rsidRDefault="00204588" w:rsidP="00204588">
            <w:pPr>
              <w:jc w:val="center"/>
              <w:rPr>
                <w:rFonts w:cs="Times New Roman"/>
                <w:color w:val="000000"/>
                <w:sz w:val="18"/>
                <w:szCs w:val="18"/>
              </w:rPr>
            </w:pPr>
            <w:r w:rsidRPr="00887108">
              <w:rPr>
                <w:color w:val="000000"/>
                <w:sz w:val="18"/>
                <w:szCs w:val="18"/>
              </w:rPr>
              <w:t>15,7</w:t>
            </w:r>
          </w:p>
        </w:tc>
        <w:tc>
          <w:tcPr>
            <w:tcW w:w="689" w:type="dxa"/>
            <w:tcBorders>
              <w:top w:val="nil"/>
              <w:left w:val="nil"/>
              <w:bottom w:val="nil"/>
              <w:right w:val="nil"/>
            </w:tcBorders>
            <w:shd w:val="clear" w:color="auto" w:fill="auto"/>
            <w:noWrap/>
            <w:vAlign w:val="center"/>
            <w:hideMark/>
          </w:tcPr>
          <w:p w14:paraId="14DC7949" w14:textId="77777777" w:rsidR="00204588" w:rsidRPr="00887108" w:rsidRDefault="00204588" w:rsidP="00204588">
            <w:pPr>
              <w:jc w:val="center"/>
              <w:rPr>
                <w:rFonts w:cs="Times New Roman"/>
                <w:color w:val="000000"/>
                <w:sz w:val="18"/>
                <w:szCs w:val="18"/>
              </w:rPr>
            </w:pPr>
            <w:r w:rsidRPr="00887108">
              <w:rPr>
                <w:color w:val="000000"/>
                <w:sz w:val="18"/>
                <w:szCs w:val="18"/>
              </w:rPr>
              <w:t>15,5</w:t>
            </w:r>
          </w:p>
        </w:tc>
        <w:tc>
          <w:tcPr>
            <w:tcW w:w="689" w:type="dxa"/>
            <w:tcBorders>
              <w:top w:val="nil"/>
              <w:left w:val="nil"/>
              <w:bottom w:val="nil"/>
              <w:right w:val="nil"/>
            </w:tcBorders>
            <w:shd w:val="clear" w:color="auto" w:fill="auto"/>
            <w:noWrap/>
            <w:vAlign w:val="center"/>
            <w:hideMark/>
          </w:tcPr>
          <w:p w14:paraId="692597A5" w14:textId="77777777" w:rsidR="00204588" w:rsidRPr="00887108" w:rsidRDefault="00204588" w:rsidP="00204588">
            <w:pPr>
              <w:jc w:val="center"/>
              <w:rPr>
                <w:rFonts w:cs="Times New Roman"/>
                <w:color w:val="000000"/>
                <w:sz w:val="18"/>
                <w:szCs w:val="18"/>
              </w:rPr>
            </w:pPr>
            <w:r w:rsidRPr="00887108">
              <w:rPr>
                <w:color w:val="000000"/>
                <w:sz w:val="18"/>
                <w:szCs w:val="18"/>
              </w:rPr>
              <w:t>15,4</w:t>
            </w:r>
          </w:p>
        </w:tc>
      </w:tr>
      <w:tr w:rsidR="00204588" w:rsidRPr="00887108" w14:paraId="22E8DC4F" w14:textId="77777777" w:rsidTr="00204588">
        <w:trPr>
          <w:trHeight w:val="264"/>
        </w:trPr>
        <w:tc>
          <w:tcPr>
            <w:tcW w:w="5245" w:type="dxa"/>
            <w:tcBorders>
              <w:top w:val="nil"/>
              <w:left w:val="nil"/>
              <w:right w:val="single" w:sz="8" w:space="0" w:color="auto"/>
            </w:tcBorders>
            <w:shd w:val="clear" w:color="auto" w:fill="auto"/>
            <w:vAlign w:val="center"/>
            <w:hideMark/>
          </w:tcPr>
          <w:p w14:paraId="069B7E10" w14:textId="77777777" w:rsidR="00204588" w:rsidRPr="00887108" w:rsidRDefault="00204588" w:rsidP="00204588">
            <w:pPr>
              <w:rPr>
                <w:rFonts w:cs="Times New Roman"/>
                <w:color w:val="000000"/>
                <w:sz w:val="18"/>
                <w:szCs w:val="18"/>
              </w:rPr>
            </w:pPr>
            <w:r w:rsidRPr="00887108">
              <w:rPr>
                <w:color w:val="000000"/>
                <w:sz w:val="18"/>
                <w:szCs w:val="18"/>
              </w:rPr>
              <w:t>Nedaňové príjmy</w:t>
            </w:r>
          </w:p>
        </w:tc>
        <w:tc>
          <w:tcPr>
            <w:tcW w:w="1069" w:type="dxa"/>
            <w:tcBorders>
              <w:top w:val="nil"/>
              <w:left w:val="nil"/>
              <w:right w:val="single" w:sz="4" w:space="0" w:color="auto"/>
            </w:tcBorders>
            <w:vAlign w:val="center"/>
          </w:tcPr>
          <w:p w14:paraId="163FCCEF" w14:textId="77777777" w:rsidR="00204588" w:rsidRPr="00887108" w:rsidRDefault="00204588" w:rsidP="00204588">
            <w:pPr>
              <w:jc w:val="center"/>
              <w:rPr>
                <w:color w:val="000000"/>
                <w:sz w:val="18"/>
                <w:szCs w:val="18"/>
              </w:rPr>
            </w:pPr>
            <w:r w:rsidRPr="00887108">
              <w:rPr>
                <w:color w:val="000000"/>
                <w:sz w:val="18"/>
                <w:szCs w:val="18"/>
              </w:rPr>
              <w:t>5,1</w:t>
            </w:r>
          </w:p>
        </w:tc>
        <w:tc>
          <w:tcPr>
            <w:tcW w:w="689" w:type="dxa"/>
            <w:tcBorders>
              <w:top w:val="nil"/>
              <w:left w:val="single" w:sz="4" w:space="0" w:color="auto"/>
              <w:right w:val="nil"/>
            </w:tcBorders>
            <w:shd w:val="clear" w:color="auto" w:fill="auto"/>
            <w:noWrap/>
            <w:vAlign w:val="center"/>
            <w:hideMark/>
          </w:tcPr>
          <w:p w14:paraId="28A5AB3E" w14:textId="77777777" w:rsidR="00204588" w:rsidRPr="00887108" w:rsidRDefault="00204588" w:rsidP="00204588">
            <w:pPr>
              <w:jc w:val="center"/>
              <w:rPr>
                <w:rFonts w:cs="Times New Roman"/>
                <w:color w:val="000000"/>
                <w:sz w:val="18"/>
                <w:szCs w:val="18"/>
              </w:rPr>
            </w:pPr>
            <w:r w:rsidRPr="00887108">
              <w:rPr>
                <w:color w:val="000000"/>
                <w:sz w:val="18"/>
                <w:szCs w:val="18"/>
              </w:rPr>
              <w:t>5,2</w:t>
            </w:r>
          </w:p>
        </w:tc>
        <w:tc>
          <w:tcPr>
            <w:tcW w:w="689" w:type="dxa"/>
            <w:tcBorders>
              <w:top w:val="nil"/>
              <w:left w:val="single" w:sz="8" w:space="0" w:color="auto"/>
              <w:right w:val="nil"/>
            </w:tcBorders>
            <w:shd w:val="clear" w:color="auto" w:fill="auto"/>
            <w:noWrap/>
            <w:vAlign w:val="center"/>
            <w:hideMark/>
          </w:tcPr>
          <w:p w14:paraId="76A728C3" w14:textId="77777777" w:rsidR="00204588" w:rsidRPr="00887108" w:rsidRDefault="00204588" w:rsidP="00204588">
            <w:pPr>
              <w:jc w:val="center"/>
              <w:rPr>
                <w:rFonts w:cs="Times New Roman"/>
                <w:color w:val="000000"/>
                <w:sz w:val="18"/>
                <w:szCs w:val="18"/>
              </w:rPr>
            </w:pPr>
            <w:r w:rsidRPr="00887108">
              <w:rPr>
                <w:color w:val="000000"/>
                <w:sz w:val="18"/>
                <w:szCs w:val="18"/>
              </w:rPr>
              <w:t>5,0</w:t>
            </w:r>
          </w:p>
        </w:tc>
        <w:tc>
          <w:tcPr>
            <w:tcW w:w="689" w:type="dxa"/>
            <w:tcBorders>
              <w:top w:val="nil"/>
              <w:left w:val="nil"/>
              <w:right w:val="nil"/>
            </w:tcBorders>
            <w:shd w:val="clear" w:color="auto" w:fill="auto"/>
            <w:noWrap/>
            <w:vAlign w:val="center"/>
            <w:hideMark/>
          </w:tcPr>
          <w:p w14:paraId="05D3A65F" w14:textId="77777777" w:rsidR="00204588" w:rsidRPr="00887108" w:rsidRDefault="00204588" w:rsidP="00204588">
            <w:pPr>
              <w:jc w:val="center"/>
              <w:rPr>
                <w:rFonts w:cs="Times New Roman"/>
                <w:color w:val="000000"/>
                <w:sz w:val="18"/>
                <w:szCs w:val="18"/>
              </w:rPr>
            </w:pPr>
            <w:r w:rsidRPr="00887108">
              <w:rPr>
                <w:color w:val="000000"/>
                <w:sz w:val="18"/>
                <w:szCs w:val="18"/>
              </w:rPr>
              <w:t>4,8</w:t>
            </w:r>
          </w:p>
        </w:tc>
        <w:tc>
          <w:tcPr>
            <w:tcW w:w="689" w:type="dxa"/>
            <w:tcBorders>
              <w:top w:val="nil"/>
              <w:left w:val="nil"/>
              <w:right w:val="nil"/>
            </w:tcBorders>
            <w:shd w:val="clear" w:color="auto" w:fill="auto"/>
            <w:noWrap/>
            <w:vAlign w:val="center"/>
            <w:hideMark/>
          </w:tcPr>
          <w:p w14:paraId="23A242C9" w14:textId="77777777" w:rsidR="00204588" w:rsidRPr="00887108" w:rsidRDefault="00204588" w:rsidP="00204588">
            <w:pPr>
              <w:jc w:val="center"/>
              <w:rPr>
                <w:rFonts w:cs="Times New Roman"/>
                <w:color w:val="000000"/>
                <w:sz w:val="18"/>
                <w:szCs w:val="18"/>
              </w:rPr>
            </w:pPr>
            <w:r w:rsidRPr="00887108">
              <w:rPr>
                <w:color w:val="000000"/>
                <w:sz w:val="18"/>
                <w:szCs w:val="18"/>
              </w:rPr>
              <w:t>4,6</w:t>
            </w:r>
          </w:p>
        </w:tc>
      </w:tr>
      <w:tr w:rsidR="00204588" w:rsidRPr="00887108" w14:paraId="02928B79" w14:textId="77777777" w:rsidTr="00204588">
        <w:trPr>
          <w:trHeight w:val="276"/>
        </w:trPr>
        <w:tc>
          <w:tcPr>
            <w:tcW w:w="5245" w:type="dxa"/>
            <w:tcBorders>
              <w:top w:val="nil"/>
              <w:left w:val="nil"/>
              <w:right w:val="single" w:sz="4" w:space="0" w:color="auto"/>
            </w:tcBorders>
            <w:shd w:val="clear" w:color="auto" w:fill="auto"/>
            <w:vAlign w:val="center"/>
            <w:hideMark/>
          </w:tcPr>
          <w:p w14:paraId="5A587A85" w14:textId="77777777" w:rsidR="00204588" w:rsidRPr="00887108" w:rsidRDefault="00204588" w:rsidP="00204588">
            <w:pPr>
              <w:rPr>
                <w:rFonts w:cs="Times New Roman"/>
                <w:color w:val="000000"/>
                <w:sz w:val="18"/>
                <w:szCs w:val="18"/>
              </w:rPr>
            </w:pPr>
            <w:r w:rsidRPr="00887108">
              <w:rPr>
                <w:color w:val="000000"/>
                <w:sz w:val="18"/>
                <w:szCs w:val="18"/>
              </w:rPr>
              <w:t>Granty a transfery</w:t>
            </w:r>
          </w:p>
        </w:tc>
        <w:tc>
          <w:tcPr>
            <w:tcW w:w="1069" w:type="dxa"/>
            <w:tcBorders>
              <w:top w:val="nil"/>
              <w:left w:val="single" w:sz="4" w:space="0" w:color="auto"/>
              <w:right w:val="single" w:sz="4" w:space="0" w:color="auto"/>
            </w:tcBorders>
            <w:vAlign w:val="center"/>
          </w:tcPr>
          <w:p w14:paraId="0F612686" w14:textId="77777777" w:rsidR="00204588" w:rsidRPr="00887108" w:rsidRDefault="00204588" w:rsidP="00204588">
            <w:pPr>
              <w:jc w:val="center"/>
              <w:rPr>
                <w:color w:val="000000"/>
                <w:sz w:val="18"/>
                <w:szCs w:val="18"/>
              </w:rPr>
            </w:pPr>
            <w:r w:rsidRPr="00887108">
              <w:rPr>
                <w:color w:val="000000"/>
                <w:sz w:val="18"/>
                <w:szCs w:val="18"/>
              </w:rPr>
              <w:t>1,7</w:t>
            </w:r>
          </w:p>
        </w:tc>
        <w:tc>
          <w:tcPr>
            <w:tcW w:w="689" w:type="dxa"/>
            <w:tcBorders>
              <w:top w:val="nil"/>
              <w:left w:val="single" w:sz="4" w:space="0" w:color="auto"/>
              <w:right w:val="single" w:sz="4" w:space="0" w:color="auto"/>
            </w:tcBorders>
            <w:shd w:val="clear" w:color="auto" w:fill="auto"/>
            <w:noWrap/>
            <w:vAlign w:val="center"/>
            <w:hideMark/>
          </w:tcPr>
          <w:p w14:paraId="1D0F8CDE" w14:textId="77777777" w:rsidR="00204588" w:rsidRPr="00887108" w:rsidRDefault="00204588" w:rsidP="00204588">
            <w:pPr>
              <w:jc w:val="center"/>
              <w:rPr>
                <w:rFonts w:cs="Times New Roman"/>
                <w:color w:val="000000"/>
                <w:sz w:val="18"/>
                <w:szCs w:val="18"/>
              </w:rPr>
            </w:pPr>
            <w:r w:rsidRPr="00887108">
              <w:rPr>
                <w:color w:val="000000"/>
                <w:sz w:val="18"/>
                <w:szCs w:val="18"/>
              </w:rPr>
              <w:t>1,5</w:t>
            </w:r>
          </w:p>
        </w:tc>
        <w:tc>
          <w:tcPr>
            <w:tcW w:w="689" w:type="dxa"/>
            <w:tcBorders>
              <w:top w:val="nil"/>
              <w:left w:val="single" w:sz="4" w:space="0" w:color="auto"/>
            </w:tcBorders>
            <w:shd w:val="clear" w:color="auto" w:fill="auto"/>
            <w:noWrap/>
            <w:vAlign w:val="center"/>
            <w:hideMark/>
          </w:tcPr>
          <w:p w14:paraId="789BDE3D" w14:textId="77777777" w:rsidR="00204588" w:rsidRPr="00887108" w:rsidRDefault="00204588" w:rsidP="00204588">
            <w:pPr>
              <w:jc w:val="center"/>
              <w:rPr>
                <w:rFonts w:cs="Times New Roman"/>
                <w:color w:val="000000"/>
                <w:sz w:val="18"/>
                <w:szCs w:val="18"/>
              </w:rPr>
            </w:pPr>
            <w:r w:rsidRPr="00887108">
              <w:rPr>
                <w:color w:val="000000"/>
                <w:sz w:val="18"/>
                <w:szCs w:val="18"/>
              </w:rPr>
              <w:t>1,3</w:t>
            </w:r>
          </w:p>
        </w:tc>
        <w:tc>
          <w:tcPr>
            <w:tcW w:w="689" w:type="dxa"/>
            <w:tcBorders>
              <w:top w:val="nil"/>
            </w:tcBorders>
            <w:shd w:val="clear" w:color="auto" w:fill="auto"/>
            <w:noWrap/>
            <w:vAlign w:val="center"/>
            <w:hideMark/>
          </w:tcPr>
          <w:p w14:paraId="0EA9AFD7" w14:textId="77777777" w:rsidR="00204588" w:rsidRPr="00887108" w:rsidRDefault="00204588" w:rsidP="00204588">
            <w:pPr>
              <w:jc w:val="center"/>
              <w:rPr>
                <w:rFonts w:cs="Times New Roman"/>
                <w:color w:val="000000"/>
                <w:sz w:val="18"/>
                <w:szCs w:val="18"/>
              </w:rPr>
            </w:pPr>
            <w:r w:rsidRPr="00887108">
              <w:rPr>
                <w:color w:val="000000"/>
                <w:sz w:val="18"/>
                <w:szCs w:val="18"/>
              </w:rPr>
              <w:t>2,1</w:t>
            </w:r>
          </w:p>
        </w:tc>
        <w:tc>
          <w:tcPr>
            <w:tcW w:w="689" w:type="dxa"/>
            <w:tcBorders>
              <w:top w:val="nil"/>
              <w:right w:val="nil"/>
            </w:tcBorders>
            <w:shd w:val="clear" w:color="auto" w:fill="auto"/>
            <w:noWrap/>
            <w:vAlign w:val="center"/>
            <w:hideMark/>
          </w:tcPr>
          <w:p w14:paraId="1ECB9151" w14:textId="77777777" w:rsidR="00204588" w:rsidRPr="00887108" w:rsidRDefault="00204588" w:rsidP="00204588">
            <w:pPr>
              <w:jc w:val="center"/>
              <w:rPr>
                <w:rFonts w:cs="Times New Roman"/>
                <w:color w:val="000000"/>
                <w:sz w:val="18"/>
                <w:szCs w:val="18"/>
              </w:rPr>
            </w:pPr>
            <w:r w:rsidRPr="00887108">
              <w:rPr>
                <w:color w:val="000000"/>
                <w:sz w:val="18"/>
                <w:szCs w:val="18"/>
              </w:rPr>
              <w:t>2,3</w:t>
            </w:r>
          </w:p>
        </w:tc>
      </w:tr>
      <w:tr w:rsidR="00204588" w:rsidRPr="00887108" w14:paraId="493AC7F2" w14:textId="77777777" w:rsidTr="00204588">
        <w:trPr>
          <w:trHeight w:val="264"/>
        </w:trPr>
        <w:tc>
          <w:tcPr>
            <w:tcW w:w="5245" w:type="dxa"/>
            <w:tcBorders>
              <w:left w:val="nil"/>
              <w:bottom w:val="single" w:sz="4" w:space="0" w:color="auto"/>
              <w:right w:val="single" w:sz="8" w:space="0" w:color="auto"/>
            </w:tcBorders>
            <w:shd w:val="clear" w:color="auto" w:fill="auto"/>
            <w:noWrap/>
            <w:vAlign w:val="bottom"/>
            <w:hideMark/>
          </w:tcPr>
          <w:p w14:paraId="4AFD5987" w14:textId="77777777" w:rsidR="00204588" w:rsidRPr="00887108" w:rsidRDefault="00204588" w:rsidP="00204588">
            <w:pPr>
              <w:rPr>
                <w:rFonts w:cs="Times New Roman"/>
                <w:b/>
                <w:bCs/>
                <w:color w:val="000000"/>
                <w:sz w:val="18"/>
                <w:szCs w:val="18"/>
              </w:rPr>
            </w:pPr>
            <w:r w:rsidRPr="00887108">
              <w:rPr>
                <w:color w:val="000000"/>
                <w:sz w:val="18"/>
                <w:szCs w:val="18"/>
              </w:rPr>
              <w:t xml:space="preserve"> - toho EU fondy</w:t>
            </w:r>
          </w:p>
        </w:tc>
        <w:tc>
          <w:tcPr>
            <w:tcW w:w="1069" w:type="dxa"/>
            <w:tcBorders>
              <w:left w:val="nil"/>
              <w:bottom w:val="single" w:sz="4" w:space="0" w:color="auto"/>
              <w:right w:val="single" w:sz="4" w:space="0" w:color="auto"/>
            </w:tcBorders>
            <w:vAlign w:val="bottom"/>
          </w:tcPr>
          <w:p w14:paraId="74606F34" w14:textId="77777777" w:rsidR="00204588" w:rsidRPr="00887108" w:rsidRDefault="00204588" w:rsidP="00204588">
            <w:pPr>
              <w:jc w:val="center"/>
              <w:rPr>
                <w:color w:val="000000"/>
                <w:sz w:val="18"/>
                <w:szCs w:val="18"/>
              </w:rPr>
            </w:pPr>
            <w:r w:rsidRPr="00887108">
              <w:rPr>
                <w:color w:val="000000"/>
                <w:sz w:val="18"/>
                <w:szCs w:val="18"/>
              </w:rPr>
              <w:t>1,0</w:t>
            </w:r>
          </w:p>
        </w:tc>
        <w:tc>
          <w:tcPr>
            <w:tcW w:w="689" w:type="dxa"/>
            <w:tcBorders>
              <w:left w:val="single" w:sz="4" w:space="0" w:color="auto"/>
              <w:bottom w:val="single" w:sz="4" w:space="0" w:color="auto"/>
              <w:right w:val="nil"/>
            </w:tcBorders>
            <w:shd w:val="clear" w:color="auto" w:fill="auto"/>
            <w:noWrap/>
            <w:vAlign w:val="center"/>
            <w:hideMark/>
          </w:tcPr>
          <w:p w14:paraId="32970298" w14:textId="77777777" w:rsidR="00204588" w:rsidRPr="00887108" w:rsidRDefault="00204588" w:rsidP="00204588">
            <w:pPr>
              <w:jc w:val="center"/>
              <w:rPr>
                <w:rFonts w:cs="Times New Roman"/>
                <w:b/>
                <w:bCs/>
                <w:color w:val="000000"/>
                <w:sz w:val="18"/>
                <w:szCs w:val="18"/>
              </w:rPr>
            </w:pPr>
            <w:r w:rsidRPr="00887108">
              <w:rPr>
                <w:color w:val="000000"/>
                <w:sz w:val="18"/>
                <w:szCs w:val="18"/>
              </w:rPr>
              <w:t>1,0</w:t>
            </w:r>
          </w:p>
        </w:tc>
        <w:tc>
          <w:tcPr>
            <w:tcW w:w="689" w:type="dxa"/>
            <w:tcBorders>
              <w:left w:val="single" w:sz="8" w:space="0" w:color="auto"/>
              <w:bottom w:val="single" w:sz="4" w:space="0" w:color="auto"/>
              <w:right w:val="nil"/>
            </w:tcBorders>
            <w:shd w:val="clear" w:color="auto" w:fill="auto"/>
            <w:noWrap/>
            <w:vAlign w:val="center"/>
            <w:hideMark/>
          </w:tcPr>
          <w:p w14:paraId="664B5FDA" w14:textId="77777777" w:rsidR="00204588" w:rsidRPr="00887108" w:rsidRDefault="00204588" w:rsidP="00204588">
            <w:pPr>
              <w:jc w:val="center"/>
              <w:rPr>
                <w:rFonts w:cs="Times New Roman"/>
                <w:b/>
                <w:bCs/>
                <w:color w:val="000000"/>
                <w:sz w:val="18"/>
                <w:szCs w:val="18"/>
              </w:rPr>
            </w:pPr>
            <w:r w:rsidRPr="00887108">
              <w:rPr>
                <w:color w:val="000000"/>
                <w:sz w:val="18"/>
                <w:szCs w:val="18"/>
              </w:rPr>
              <w:t>0,8</w:t>
            </w:r>
          </w:p>
        </w:tc>
        <w:tc>
          <w:tcPr>
            <w:tcW w:w="689" w:type="dxa"/>
            <w:tcBorders>
              <w:left w:val="nil"/>
              <w:bottom w:val="single" w:sz="4" w:space="0" w:color="auto"/>
              <w:right w:val="nil"/>
            </w:tcBorders>
            <w:shd w:val="clear" w:color="auto" w:fill="auto"/>
            <w:noWrap/>
            <w:vAlign w:val="center"/>
            <w:hideMark/>
          </w:tcPr>
          <w:p w14:paraId="74A917D7" w14:textId="77777777" w:rsidR="00204588" w:rsidRPr="00887108" w:rsidRDefault="00204588" w:rsidP="00204588">
            <w:pPr>
              <w:jc w:val="center"/>
              <w:rPr>
                <w:rFonts w:cs="Times New Roman"/>
                <w:b/>
                <w:bCs/>
                <w:color w:val="000000"/>
                <w:sz w:val="18"/>
                <w:szCs w:val="18"/>
              </w:rPr>
            </w:pPr>
            <w:r w:rsidRPr="00887108">
              <w:rPr>
                <w:color w:val="000000"/>
                <w:sz w:val="18"/>
                <w:szCs w:val="18"/>
              </w:rPr>
              <w:t>1,6</w:t>
            </w:r>
          </w:p>
        </w:tc>
        <w:tc>
          <w:tcPr>
            <w:tcW w:w="689" w:type="dxa"/>
            <w:tcBorders>
              <w:left w:val="nil"/>
              <w:bottom w:val="single" w:sz="4" w:space="0" w:color="auto"/>
              <w:right w:val="nil"/>
            </w:tcBorders>
            <w:shd w:val="clear" w:color="auto" w:fill="auto"/>
            <w:noWrap/>
            <w:vAlign w:val="center"/>
            <w:hideMark/>
          </w:tcPr>
          <w:p w14:paraId="160497A8" w14:textId="77777777" w:rsidR="00204588" w:rsidRPr="00887108" w:rsidRDefault="00204588" w:rsidP="00204588">
            <w:pPr>
              <w:jc w:val="center"/>
              <w:rPr>
                <w:rFonts w:cs="Times New Roman"/>
                <w:b/>
                <w:bCs/>
                <w:color w:val="000000"/>
                <w:sz w:val="18"/>
                <w:szCs w:val="18"/>
              </w:rPr>
            </w:pPr>
            <w:r w:rsidRPr="00887108">
              <w:rPr>
                <w:color w:val="000000"/>
                <w:sz w:val="18"/>
                <w:szCs w:val="18"/>
              </w:rPr>
              <w:t>1,8</w:t>
            </w:r>
          </w:p>
        </w:tc>
      </w:tr>
      <w:tr w:rsidR="00204588" w:rsidRPr="00887108" w14:paraId="1DF67975" w14:textId="77777777" w:rsidTr="00204588">
        <w:trPr>
          <w:trHeight w:val="264"/>
        </w:trPr>
        <w:tc>
          <w:tcPr>
            <w:tcW w:w="5245" w:type="dxa"/>
            <w:tcBorders>
              <w:top w:val="single" w:sz="4" w:space="0" w:color="auto"/>
              <w:left w:val="nil"/>
              <w:bottom w:val="nil"/>
              <w:right w:val="single" w:sz="8" w:space="0" w:color="auto"/>
            </w:tcBorders>
            <w:shd w:val="clear" w:color="auto" w:fill="auto"/>
            <w:noWrap/>
            <w:vAlign w:val="center"/>
            <w:hideMark/>
          </w:tcPr>
          <w:p w14:paraId="6F15666E" w14:textId="77777777" w:rsidR="00204588" w:rsidRPr="00887108" w:rsidRDefault="00204588" w:rsidP="00204588">
            <w:pPr>
              <w:rPr>
                <w:rFonts w:cs="Times New Roman"/>
                <w:b/>
                <w:bCs/>
                <w:color w:val="000000"/>
                <w:sz w:val="18"/>
                <w:szCs w:val="18"/>
              </w:rPr>
            </w:pPr>
            <w:r w:rsidRPr="00887108">
              <w:rPr>
                <w:b/>
                <w:bCs/>
                <w:color w:val="000000"/>
                <w:sz w:val="18"/>
                <w:szCs w:val="18"/>
              </w:rPr>
              <w:t>2. Výdavky spolu</w:t>
            </w:r>
          </w:p>
        </w:tc>
        <w:tc>
          <w:tcPr>
            <w:tcW w:w="1069" w:type="dxa"/>
            <w:tcBorders>
              <w:top w:val="single" w:sz="4" w:space="0" w:color="auto"/>
              <w:left w:val="nil"/>
              <w:bottom w:val="nil"/>
              <w:right w:val="single" w:sz="4" w:space="0" w:color="auto"/>
            </w:tcBorders>
            <w:vAlign w:val="center"/>
          </w:tcPr>
          <w:p w14:paraId="230769CC" w14:textId="22CDBC25" w:rsidR="00204588" w:rsidRPr="00887108" w:rsidRDefault="00204588" w:rsidP="00204588">
            <w:pPr>
              <w:jc w:val="center"/>
              <w:rPr>
                <w:b/>
                <w:bCs/>
                <w:color w:val="000000"/>
                <w:sz w:val="18"/>
                <w:szCs w:val="18"/>
              </w:rPr>
            </w:pPr>
            <w:r w:rsidRPr="00887108">
              <w:rPr>
                <w:b/>
                <w:bCs/>
                <w:color w:val="000000"/>
                <w:sz w:val="18"/>
                <w:szCs w:val="18"/>
              </w:rPr>
              <w:t>42,</w:t>
            </w:r>
            <w:r w:rsidR="00D063AD" w:rsidRPr="00887108">
              <w:rPr>
                <w:b/>
                <w:bCs/>
                <w:color w:val="000000"/>
                <w:sz w:val="18"/>
                <w:szCs w:val="18"/>
              </w:rPr>
              <w:t>8</w:t>
            </w:r>
          </w:p>
        </w:tc>
        <w:tc>
          <w:tcPr>
            <w:tcW w:w="689" w:type="dxa"/>
            <w:tcBorders>
              <w:top w:val="single" w:sz="4" w:space="0" w:color="auto"/>
              <w:left w:val="single" w:sz="4" w:space="0" w:color="auto"/>
              <w:bottom w:val="nil"/>
              <w:right w:val="nil"/>
            </w:tcBorders>
            <w:shd w:val="clear" w:color="auto" w:fill="auto"/>
            <w:noWrap/>
            <w:vAlign w:val="center"/>
            <w:hideMark/>
          </w:tcPr>
          <w:p w14:paraId="6E7276DF" w14:textId="77777777" w:rsidR="00204588" w:rsidRPr="00887108" w:rsidRDefault="00204588" w:rsidP="00204588">
            <w:pPr>
              <w:jc w:val="center"/>
              <w:rPr>
                <w:rFonts w:cs="Times New Roman"/>
                <w:color w:val="000000"/>
                <w:sz w:val="18"/>
                <w:szCs w:val="18"/>
              </w:rPr>
            </w:pPr>
            <w:r w:rsidRPr="00887108">
              <w:rPr>
                <w:b/>
                <w:bCs/>
                <w:color w:val="000000"/>
                <w:sz w:val="18"/>
                <w:szCs w:val="18"/>
              </w:rPr>
              <w:t>49,8</w:t>
            </w:r>
          </w:p>
        </w:tc>
        <w:tc>
          <w:tcPr>
            <w:tcW w:w="689" w:type="dxa"/>
            <w:tcBorders>
              <w:top w:val="single" w:sz="4" w:space="0" w:color="auto"/>
              <w:left w:val="single" w:sz="8" w:space="0" w:color="auto"/>
              <w:bottom w:val="nil"/>
              <w:right w:val="nil"/>
            </w:tcBorders>
            <w:shd w:val="clear" w:color="auto" w:fill="auto"/>
            <w:noWrap/>
            <w:vAlign w:val="center"/>
            <w:hideMark/>
          </w:tcPr>
          <w:p w14:paraId="384738F5" w14:textId="2AB651C5" w:rsidR="00204588" w:rsidRPr="00887108" w:rsidRDefault="00204588" w:rsidP="00204588">
            <w:pPr>
              <w:jc w:val="center"/>
              <w:rPr>
                <w:rFonts w:cs="Times New Roman"/>
                <w:color w:val="000000"/>
                <w:sz w:val="18"/>
                <w:szCs w:val="18"/>
              </w:rPr>
            </w:pPr>
            <w:r w:rsidRPr="00887108">
              <w:rPr>
                <w:b/>
                <w:bCs/>
                <w:color w:val="000000"/>
                <w:sz w:val="18"/>
                <w:szCs w:val="18"/>
              </w:rPr>
              <w:t>46,</w:t>
            </w:r>
            <w:r w:rsidR="00FB1CBD" w:rsidRPr="00887108">
              <w:rPr>
                <w:b/>
                <w:bCs/>
                <w:color w:val="000000"/>
                <w:sz w:val="18"/>
                <w:szCs w:val="18"/>
              </w:rPr>
              <w:t>4</w:t>
            </w:r>
          </w:p>
        </w:tc>
        <w:tc>
          <w:tcPr>
            <w:tcW w:w="689" w:type="dxa"/>
            <w:tcBorders>
              <w:top w:val="single" w:sz="4" w:space="0" w:color="auto"/>
              <w:left w:val="nil"/>
              <w:bottom w:val="nil"/>
              <w:right w:val="nil"/>
            </w:tcBorders>
            <w:shd w:val="clear" w:color="auto" w:fill="auto"/>
            <w:noWrap/>
            <w:vAlign w:val="center"/>
            <w:hideMark/>
          </w:tcPr>
          <w:p w14:paraId="1F60D0DE" w14:textId="77777777" w:rsidR="00204588" w:rsidRPr="00887108" w:rsidRDefault="00204588" w:rsidP="00204588">
            <w:pPr>
              <w:jc w:val="center"/>
              <w:rPr>
                <w:rFonts w:cs="Times New Roman"/>
                <w:color w:val="000000"/>
                <w:sz w:val="18"/>
                <w:szCs w:val="18"/>
              </w:rPr>
            </w:pPr>
            <w:r w:rsidRPr="00887108">
              <w:rPr>
                <w:b/>
                <w:bCs/>
                <w:color w:val="000000"/>
                <w:sz w:val="18"/>
                <w:szCs w:val="18"/>
              </w:rPr>
              <w:t>46,9</w:t>
            </w:r>
          </w:p>
        </w:tc>
        <w:tc>
          <w:tcPr>
            <w:tcW w:w="689" w:type="dxa"/>
            <w:tcBorders>
              <w:top w:val="single" w:sz="4" w:space="0" w:color="auto"/>
              <w:left w:val="nil"/>
              <w:bottom w:val="nil"/>
              <w:right w:val="nil"/>
            </w:tcBorders>
            <w:shd w:val="clear" w:color="auto" w:fill="auto"/>
            <w:noWrap/>
            <w:vAlign w:val="center"/>
            <w:hideMark/>
          </w:tcPr>
          <w:p w14:paraId="6039A186" w14:textId="77777777" w:rsidR="00204588" w:rsidRPr="00887108" w:rsidRDefault="00204588" w:rsidP="00204588">
            <w:pPr>
              <w:jc w:val="center"/>
              <w:rPr>
                <w:rFonts w:cs="Times New Roman"/>
                <w:color w:val="000000"/>
                <w:sz w:val="18"/>
                <w:szCs w:val="18"/>
              </w:rPr>
            </w:pPr>
            <w:r w:rsidRPr="00887108">
              <w:rPr>
                <w:b/>
                <w:bCs/>
                <w:color w:val="000000"/>
                <w:sz w:val="18"/>
                <w:szCs w:val="18"/>
              </w:rPr>
              <w:t>47,0</w:t>
            </w:r>
          </w:p>
        </w:tc>
      </w:tr>
      <w:tr w:rsidR="00204588" w:rsidRPr="00887108" w14:paraId="7338AE03" w14:textId="77777777" w:rsidTr="00204588">
        <w:trPr>
          <w:trHeight w:val="264"/>
        </w:trPr>
        <w:tc>
          <w:tcPr>
            <w:tcW w:w="5245" w:type="dxa"/>
            <w:tcBorders>
              <w:top w:val="nil"/>
              <w:left w:val="nil"/>
              <w:bottom w:val="nil"/>
              <w:right w:val="single" w:sz="8" w:space="0" w:color="auto"/>
            </w:tcBorders>
            <w:shd w:val="clear" w:color="auto" w:fill="auto"/>
            <w:noWrap/>
            <w:vAlign w:val="center"/>
            <w:hideMark/>
          </w:tcPr>
          <w:p w14:paraId="139E46F0" w14:textId="77777777" w:rsidR="00204588" w:rsidRPr="00887108" w:rsidRDefault="00204588" w:rsidP="00204588">
            <w:pPr>
              <w:rPr>
                <w:rFonts w:cs="Times New Roman"/>
                <w:color w:val="000000"/>
                <w:sz w:val="18"/>
                <w:szCs w:val="18"/>
              </w:rPr>
            </w:pPr>
            <w:r w:rsidRPr="00887108">
              <w:rPr>
                <w:b/>
                <w:bCs/>
                <w:color w:val="000000"/>
                <w:sz w:val="18"/>
                <w:szCs w:val="18"/>
              </w:rPr>
              <w:t xml:space="preserve">  Bežné výdavky</w:t>
            </w:r>
          </w:p>
        </w:tc>
        <w:tc>
          <w:tcPr>
            <w:tcW w:w="1069" w:type="dxa"/>
            <w:tcBorders>
              <w:top w:val="nil"/>
              <w:left w:val="nil"/>
              <w:bottom w:val="nil"/>
              <w:right w:val="single" w:sz="4" w:space="0" w:color="auto"/>
            </w:tcBorders>
            <w:vAlign w:val="center"/>
          </w:tcPr>
          <w:p w14:paraId="3A1418F7" w14:textId="77777777" w:rsidR="00204588" w:rsidRPr="00887108" w:rsidRDefault="00204588" w:rsidP="00204588">
            <w:pPr>
              <w:jc w:val="center"/>
              <w:rPr>
                <w:color w:val="000000"/>
                <w:sz w:val="18"/>
                <w:szCs w:val="18"/>
              </w:rPr>
            </w:pPr>
            <w:r w:rsidRPr="00887108">
              <w:rPr>
                <w:bCs/>
                <w:color w:val="000000"/>
                <w:sz w:val="18"/>
                <w:szCs w:val="18"/>
              </w:rPr>
              <w:t>38,7</w:t>
            </w:r>
          </w:p>
        </w:tc>
        <w:tc>
          <w:tcPr>
            <w:tcW w:w="689" w:type="dxa"/>
            <w:tcBorders>
              <w:top w:val="nil"/>
              <w:left w:val="single" w:sz="4" w:space="0" w:color="auto"/>
              <w:bottom w:val="nil"/>
              <w:right w:val="nil"/>
            </w:tcBorders>
            <w:shd w:val="clear" w:color="auto" w:fill="auto"/>
            <w:noWrap/>
            <w:vAlign w:val="center"/>
            <w:hideMark/>
          </w:tcPr>
          <w:p w14:paraId="300E82EA" w14:textId="77777777" w:rsidR="00204588" w:rsidRPr="00887108" w:rsidRDefault="00204588" w:rsidP="00204588">
            <w:pPr>
              <w:jc w:val="center"/>
              <w:rPr>
                <w:rFonts w:cs="Times New Roman"/>
                <w:color w:val="000000"/>
                <w:sz w:val="18"/>
                <w:szCs w:val="18"/>
              </w:rPr>
            </w:pPr>
            <w:r w:rsidRPr="00887108">
              <w:rPr>
                <w:color w:val="000000"/>
                <w:sz w:val="18"/>
                <w:szCs w:val="18"/>
              </w:rPr>
              <w:t>45,8</w:t>
            </w:r>
          </w:p>
        </w:tc>
        <w:tc>
          <w:tcPr>
            <w:tcW w:w="689" w:type="dxa"/>
            <w:tcBorders>
              <w:top w:val="nil"/>
              <w:left w:val="single" w:sz="8" w:space="0" w:color="auto"/>
              <w:bottom w:val="nil"/>
              <w:right w:val="nil"/>
            </w:tcBorders>
            <w:shd w:val="clear" w:color="auto" w:fill="auto"/>
            <w:noWrap/>
            <w:vAlign w:val="center"/>
            <w:hideMark/>
          </w:tcPr>
          <w:p w14:paraId="37C113EA" w14:textId="79B87C45" w:rsidR="00204588" w:rsidRPr="00887108" w:rsidRDefault="00204588" w:rsidP="00204588">
            <w:pPr>
              <w:jc w:val="center"/>
              <w:rPr>
                <w:rFonts w:cs="Times New Roman"/>
                <w:color w:val="000000"/>
                <w:sz w:val="18"/>
                <w:szCs w:val="18"/>
              </w:rPr>
            </w:pPr>
            <w:r w:rsidRPr="00887108">
              <w:rPr>
                <w:color w:val="000000"/>
                <w:sz w:val="18"/>
                <w:szCs w:val="18"/>
              </w:rPr>
              <w:t>43,</w:t>
            </w:r>
            <w:r w:rsidR="00FB1CBD" w:rsidRPr="00887108">
              <w:rPr>
                <w:color w:val="000000"/>
                <w:sz w:val="18"/>
                <w:szCs w:val="18"/>
              </w:rPr>
              <w:t>7</w:t>
            </w:r>
          </w:p>
        </w:tc>
        <w:tc>
          <w:tcPr>
            <w:tcW w:w="689" w:type="dxa"/>
            <w:tcBorders>
              <w:top w:val="nil"/>
              <w:left w:val="nil"/>
              <w:bottom w:val="nil"/>
              <w:right w:val="nil"/>
            </w:tcBorders>
            <w:shd w:val="clear" w:color="auto" w:fill="auto"/>
            <w:noWrap/>
            <w:vAlign w:val="center"/>
            <w:hideMark/>
          </w:tcPr>
          <w:p w14:paraId="0525C7BC" w14:textId="77777777" w:rsidR="00204588" w:rsidRPr="00887108" w:rsidRDefault="00204588" w:rsidP="00204588">
            <w:pPr>
              <w:jc w:val="center"/>
              <w:rPr>
                <w:rFonts w:cs="Times New Roman"/>
                <w:color w:val="000000"/>
                <w:sz w:val="18"/>
                <w:szCs w:val="18"/>
              </w:rPr>
            </w:pPr>
            <w:r w:rsidRPr="00887108">
              <w:rPr>
                <w:color w:val="000000"/>
                <w:sz w:val="18"/>
                <w:szCs w:val="18"/>
              </w:rPr>
              <w:t>43,2</w:t>
            </w:r>
          </w:p>
        </w:tc>
        <w:tc>
          <w:tcPr>
            <w:tcW w:w="689" w:type="dxa"/>
            <w:tcBorders>
              <w:top w:val="nil"/>
              <w:left w:val="nil"/>
              <w:bottom w:val="nil"/>
              <w:right w:val="nil"/>
            </w:tcBorders>
            <w:shd w:val="clear" w:color="auto" w:fill="auto"/>
            <w:noWrap/>
            <w:vAlign w:val="center"/>
            <w:hideMark/>
          </w:tcPr>
          <w:p w14:paraId="156C34F7" w14:textId="77777777" w:rsidR="00204588" w:rsidRPr="00887108" w:rsidRDefault="00204588" w:rsidP="00204588">
            <w:pPr>
              <w:jc w:val="center"/>
              <w:rPr>
                <w:rFonts w:cs="Times New Roman"/>
                <w:color w:val="000000"/>
                <w:sz w:val="18"/>
                <w:szCs w:val="18"/>
              </w:rPr>
            </w:pPr>
            <w:r w:rsidRPr="00887108">
              <w:rPr>
                <w:color w:val="000000"/>
                <w:sz w:val="18"/>
                <w:szCs w:val="18"/>
              </w:rPr>
              <w:t>43,2</w:t>
            </w:r>
          </w:p>
        </w:tc>
      </w:tr>
      <w:tr w:rsidR="00204588" w:rsidRPr="00887108" w14:paraId="2C057C40" w14:textId="77777777" w:rsidTr="00204588">
        <w:trPr>
          <w:trHeight w:val="264"/>
        </w:trPr>
        <w:tc>
          <w:tcPr>
            <w:tcW w:w="5245" w:type="dxa"/>
            <w:tcBorders>
              <w:top w:val="nil"/>
              <w:left w:val="nil"/>
              <w:bottom w:val="nil"/>
              <w:right w:val="single" w:sz="8" w:space="0" w:color="auto"/>
            </w:tcBorders>
            <w:shd w:val="clear" w:color="auto" w:fill="auto"/>
            <w:noWrap/>
            <w:vAlign w:val="center"/>
            <w:hideMark/>
          </w:tcPr>
          <w:p w14:paraId="60789177" w14:textId="77777777" w:rsidR="00204588" w:rsidRPr="00887108" w:rsidRDefault="00204588" w:rsidP="00204588">
            <w:pPr>
              <w:rPr>
                <w:rFonts w:cs="Times New Roman"/>
                <w:color w:val="000000"/>
                <w:sz w:val="18"/>
                <w:szCs w:val="18"/>
              </w:rPr>
            </w:pPr>
            <w:r w:rsidRPr="00887108">
              <w:rPr>
                <w:color w:val="000000"/>
                <w:sz w:val="18"/>
                <w:szCs w:val="18"/>
              </w:rPr>
              <w:t xml:space="preserve">    Kompenzácie zamestnancov</w:t>
            </w:r>
          </w:p>
        </w:tc>
        <w:tc>
          <w:tcPr>
            <w:tcW w:w="1069" w:type="dxa"/>
            <w:tcBorders>
              <w:top w:val="nil"/>
              <w:left w:val="nil"/>
              <w:bottom w:val="nil"/>
              <w:right w:val="single" w:sz="4" w:space="0" w:color="auto"/>
            </w:tcBorders>
            <w:vAlign w:val="center"/>
          </w:tcPr>
          <w:p w14:paraId="0C715D1F" w14:textId="77777777" w:rsidR="00204588" w:rsidRPr="00887108" w:rsidRDefault="00204588" w:rsidP="00204588">
            <w:pPr>
              <w:jc w:val="center"/>
              <w:rPr>
                <w:color w:val="000000"/>
                <w:sz w:val="18"/>
                <w:szCs w:val="18"/>
              </w:rPr>
            </w:pPr>
            <w:r w:rsidRPr="00887108">
              <w:rPr>
                <w:color w:val="000000"/>
                <w:sz w:val="18"/>
                <w:szCs w:val="18"/>
              </w:rPr>
              <w:t>10,2</w:t>
            </w:r>
          </w:p>
        </w:tc>
        <w:tc>
          <w:tcPr>
            <w:tcW w:w="689" w:type="dxa"/>
            <w:tcBorders>
              <w:top w:val="nil"/>
              <w:left w:val="single" w:sz="4" w:space="0" w:color="auto"/>
              <w:bottom w:val="nil"/>
              <w:right w:val="nil"/>
            </w:tcBorders>
            <w:shd w:val="clear" w:color="auto" w:fill="auto"/>
            <w:noWrap/>
            <w:vAlign w:val="center"/>
            <w:hideMark/>
          </w:tcPr>
          <w:p w14:paraId="740E2E66" w14:textId="77777777" w:rsidR="00204588" w:rsidRPr="00887108" w:rsidRDefault="00204588" w:rsidP="00204588">
            <w:pPr>
              <w:jc w:val="center"/>
              <w:rPr>
                <w:rFonts w:cs="Times New Roman"/>
                <w:color w:val="000000"/>
                <w:sz w:val="18"/>
                <w:szCs w:val="18"/>
              </w:rPr>
            </w:pPr>
            <w:r w:rsidRPr="00887108">
              <w:rPr>
                <w:color w:val="000000"/>
                <w:sz w:val="18"/>
                <w:szCs w:val="18"/>
              </w:rPr>
              <w:t>11,3</w:t>
            </w:r>
          </w:p>
        </w:tc>
        <w:tc>
          <w:tcPr>
            <w:tcW w:w="689" w:type="dxa"/>
            <w:tcBorders>
              <w:top w:val="nil"/>
              <w:left w:val="single" w:sz="8" w:space="0" w:color="auto"/>
              <w:bottom w:val="nil"/>
              <w:right w:val="nil"/>
            </w:tcBorders>
            <w:shd w:val="clear" w:color="auto" w:fill="auto"/>
            <w:noWrap/>
            <w:vAlign w:val="center"/>
            <w:hideMark/>
          </w:tcPr>
          <w:p w14:paraId="5F16EB79" w14:textId="77777777" w:rsidR="00204588" w:rsidRPr="00887108" w:rsidRDefault="00204588" w:rsidP="00204588">
            <w:pPr>
              <w:jc w:val="center"/>
              <w:rPr>
                <w:rFonts w:cs="Times New Roman"/>
                <w:color w:val="000000"/>
                <w:sz w:val="18"/>
                <w:szCs w:val="18"/>
              </w:rPr>
            </w:pPr>
            <w:r w:rsidRPr="00887108">
              <w:rPr>
                <w:color w:val="000000"/>
                <w:sz w:val="18"/>
                <w:szCs w:val="18"/>
              </w:rPr>
              <w:t>10,9</w:t>
            </w:r>
          </w:p>
        </w:tc>
        <w:tc>
          <w:tcPr>
            <w:tcW w:w="689" w:type="dxa"/>
            <w:tcBorders>
              <w:top w:val="nil"/>
              <w:left w:val="nil"/>
              <w:bottom w:val="nil"/>
              <w:right w:val="nil"/>
            </w:tcBorders>
            <w:shd w:val="clear" w:color="auto" w:fill="auto"/>
            <w:noWrap/>
            <w:vAlign w:val="center"/>
            <w:hideMark/>
          </w:tcPr>
          <w:p w14:paraId="0D547ADE" w14:textId="77777777" w:rsidR="00204588" w:rsidRPr="00887108" w:rsidRDefault="00204588" w:rsidP="00204588">
            <w:pPr>
              <w:jc w:val="center"/>
              <w:rPr>
                <w:rFonts w:cs="Times New Roman"/>
                <w:color w:val="000000"/>
                <w:sz w:val="18"/>
                <w:szCs w:val="18"/>
              </w:rPr>
            </w:pPr>
            <w:r w:rsidRPr="00887108">
              <w:rPr>
                <w:color w:val="000000"/>
                <w:sz w:val="18"/>
                <w:szCs w:val="18"/>
              </w:rPr>
              <w:t>10,8</w:t>
            </w:r>
          </w:p>
        </w:tc>
        <w:tc>
          <w:tcPr>
            <w:tcW w:w="689" w:type="dxa"/>
            <w:tcBorders>
              <w:top w:val="nil"/>
              <w:left w:val="nil"/>
              <w:bottom w:val="nil"/>
              <w:right w:val="nil"/>
            </w:tcBorders>
            <w:shd w:val="clear" w:color="auto" w:fill="auto"/>
            <w:noWrap/>
            <w:vAlign w:val="center"/>
            <w:hideMark/>
          </w:tcPr>
          <w:p w14:paraId="7CFA5E6D" w14:textId="77777777" w:rsidR="00204588" w:rsidRPr="00887108" w:rsidRDefault="00204588" w:rsidP="00204588">
            <w:pPr>
              <w:jc w:val="center"/>
              <w:rPr>
                <w:rFonts w:cs="Times New Roman"/>
                <w:color w:val="000000"/>
                <w:sz w:val="18"/>
                <w:szCs w:val="18"/>
              </w:rPr>
            </w:pPr>
            <w:r w:rsidRPr="00887108">
              <w:rPr>
                <w:color w:val="000000"/>
                <w:sz w:val="18"/>
                <w:szCs w:val="18"/>
              </w:rPr>
              <w:t>10,7</w:t>
            </w:r>
          </w:p>
        </w:tc>
      </w:tr>
      <w:tr w:rsidR="00204588" w:rsidRPr="00887108" w14:paraId="208A65EB" w14:textId="77777777" w:rsidTr="00204588">
        <w:trPr>
          <w:trHeight w:val="264"/>
        </w:trPr>
        <w:tc>
          <w:tcPr>
            <w:tcW w:w="5245" w:type="dxa"/>
            <w:tcBorders>
              <w:top w:val="nil"/>
              <w:left w:val="nil"/>
              <w:bottom w:val="nil"/>
              <w:right w:val="single" w:sz="8" w:space="0" w:color="auto"/>
            </w:tcBorders>
            <w:shd w:val="clear" w:color="auto" w:fill="auto"/>
            <w:noWrap/>
            <w:vAlign w:val="center"/>
            <w:hideMark/>
          </w:tcPr>
          <w:p w14:paraId="697C7871" w14:textId="77777777" w:rsidR="00204588" w:rsidRPr="00887108" w:rsidRDefault="00204588" w:rsidP="00204588">
            <w:pPr>
              <w:rPr>
                <w:rFonts w:cs="Times New Roman"/>
                <w:color w:val="000000"/>
                <w:sz w:val="18"/>
                <w:szCs w:val="18"/>
              </w:rPr>
            </w:pPr>
            <w:r w:rsidRPr="00887108">
              <w:rPr>
                <w:color w:val="000000"/>
                <w:sz w:val="18"/>
                <w:szCs w:val="18"/>
              </w:rPr>
              <w:t xml:space="preserve">    Medzispotreba</w:t>
            </w:r>
          </w:p>
        </w:tc>
        <w:tc>
          <w:tcPr>
            <w:tcW w:w="1069" w:type="dxa"/>
            <w:tcBorders>
              <w:top w:val="nil"/>
              <w:left w:val="nil"/>
              <w:bottom w:val="nil"/>
              <w:right w:val="single" w:sz="4" w:space="0" w:color="auto"/>
            </w:tcBorders>
            <w:vAlign w:val="center"/>
          </w:tcPr>
          <w:p w14:paraId="6725750B" w14:textId="77777777" w:rsidR="00204588" w:rsidRPr="00887108" w:rsidRDefault="00204588" w:rsidP="00204588">
            <w:pPr>
              <w:jc w:val="center"/>
              <w:rPr>
                <w:color w:val="000000"/>
                <w:sz w:val="18"/>
                <w:szCs w:val="18"/>
              </w:rPr>
            </w:pPr>
            <w:r w:rsidRPr="00887108">
              <w:rPr>
                <w:color w:val="000000"/>
                <w:sz w:val="18"/>
                <w:szCs w:val="18"/>
              </w:rPr>
              <w:t>5,6</w:t>
            </w:r>
          </w:p>
        </w:tc>
        <w:tc>
          <w:tcPr>
            <w:tcW w:w="689" w:type="dxa"/>
            <w:tcBorders>
              <w:top w:val="nil"/>
              <w:left w:val="single" w:sz="4" w:space="0" w:color="auto"/>
              <w:bottom w:val="nil"/>
              <w:right w:val="nil"/>
            </w:tcBorders>
            <w:shd w:val="clear" w:color="auto" w:fill="auto"/>
            <w:noWrap/>
            <w:vAlign w:val="center"/>
            <w:hideMark/>
          </w:tcPr>
          <w:p w14:paraId="230819B7" w14:textId="77777777" w:rsidR="00204588" w:rsidRPr="00887108" w:rsidRDefault="00204588" w:rsidP="00204588">
            <w:pPr>
              <w:jc w:val="center"/>
              <w:rPr>
                <w:rFonts w:cs="Times New Roman"/>
                <w:color w:val="000000"/>
                <w:sz w:val="18"/>
                <w:szCs w:val="18"/>
              </w:rPr>
            </w:pPr>
            <w:r w:rsidRPr="00887108">
              <w:rPr>
                <w:color w:val="000000"/>
                <w:sz w:val="18"/>
                <w:szCs w:val="18"/>
              </w:rPr>
              <w:t>6,4</w:t>
            </w:r>
          </w:p>
        </w:tc>
        <w:tc>
          <w:tcPr>
            <w:tcW w:w="689" w:type="dxa"/>
            <w:tcBorders>
              <w:top w:val="nil"/>
              <w:left w:val="single" w:sz="8" w:space="0" w:color="auto"/>
              <w:bottom w:val="nil"/>
              <w:right w:val="nil"/>
            </w:tcBorders>
            <w:shd w:val="clear" w:color="auto" w:fill="auto"/>
            <w:noWrap/>
            <w:vAlign w:val="center"/>
            <w:hideMark/>
          </w:tcPr>
          <w:p w14:paraId="08CF387B" w14:textId="77777777" w:rsidR="00204588" w:rsidRPr="00887108" w:rsidRDefault="00204588" w:rsidP="00204588">
            <w:pPr>
              <w:jc w:val="center"/>
              <w:rPr>
                <w:rFonts w:cs="Times New Roman"/>
                <w:color w:val="000000"/>
                <w:sz w:val="18"/>
                <w:szCs w:val="18"/>
              </w:rPr>
            </w:pPr>
            <w:r w:rsidRPr="00887108">
              <w:rPr>
                <w:color w:val="000000"/>
                <w:sz w:val="18"/>
                <w:szCs w:val="18"/>
              </w:rPr>
              <w:t>6,3</w:t>
            </w:r>
          </w:p>
        </w:tc>
        <w:tc>
          <w:tcPr>
            <w:tcW w:w="689" w:type="dxa"/>
            <w:tcBorders>
              <w:top w:val="nil"/>
              <w:left w:val="nil"/>
              <w:bottom w:val="nil"/>
              <w:right w:val="nil"/>
            </w:tcBorders>
            <w:shd w:val="clear" w:color="auto" w:fill="auto"/>
            <w:noWrap/>
            <w:vAlign w:val="center"/>
            <w:hideMark/>
          </w:tcPr>
          <w:p w14:paraId="10B6869A" w14:textId="77777777" w:rsidR="00204588" w:rsidRPr="00887108" w:rsidRDefault="00204588" w:rsidP="00204588">
            <w:pPr>
              <w:jc w:val="center"/>
              <w:rPr>
                <w:rFonts w:cs="Times New Roman"/>
                <w:color w:val="000000"/>
                <w:sz w:val="18"/>
                <w:szCs w:val="18"/>
              </w:rPr>
            </w:pPr>
            <w:r w:rsidRPr="00887108">
              <w:rPr>
                <w:color w:val="000000"/>
                <w:sz w:val="18"/>
                <w:szCs w:val="18"/>
              </w:rPr>
              <w:t>6,6</w:t>
            </w:r>
          </w:p>
        </w:tc>
        <w:tc>
          <w:tcPr>
            <w:tcW w:w="689" w:type="dxa"/>
            <w:tcBorders>
              <w:top w:val="nil"/>
              <w:left w:val="nil"/>
              <w:bottom w:val="nil"/>
              <w:right w:val="nil"/>
            </w:tcBorders>
            <w:shd w:val="clear" w:color="auto" w:fill="auto"/>
            <w:noWrap/>
            <w:vAlign w:val="center"/>
            <w:hideMark/>
          </w:tcPr>
          <w:p w14:paraId="45567319" w14:textId="77777777" w:rsidR="00204588" w:rsidRPr="00887108" w:rsidRDefault="00204588" w:rsidP="00204588">
            <w:pPr>
              <w:jc w:val="center"/>
              <w:rPr>
                <w:rFonts w:cs="Times New Roman"/>
                <w:color w:val="000000"/>
                <w:sz w:val="18"/>
                <w:szCs w:val="18"/>
              </w:rPr>
            </w:pPr>
            <w:r w:rsidRPr="00887108">
              <w:rPr>
                <w:color w:val="000000"/>
                <w:sz w:val="18"/>
                <w:szCs w:val="18"/>
              </w:rPr>
              <w:t>6,9</w:t>
            </w:r>
          </w:p>
        </w:tc>
      </w:tr>
      <w:tr w:rsidR="00204588" w:rsidRPr="00887108" w14:paraId="766AC0FB" w14:textId="77777777" w:rsidTr="00204588">
        <w:trPr>
          <w:trHeight w:val="264"/>
        </w:trPr>
        <w:tc>
          <w:tcPr>
            <w:tcW w:w="5245" w:type="dxa"/>
            <w:tcBorders>
              <w:top w:val="nil"/>
              <w:left w:val="nil"/>
              <w:bottom w:val="nil"/>
              <w:right w:val="single" w:sz="8" w:space="0" w:color="auto"/>
            </w:tcBorders>
            <w:shd w:val="clear" w:color="auto" w:fill="auto"/>
            <w:noWrap/>
            <w:vAlign w:val="center"/>
            <w:hideMark/>
          </w:tcPr>
          <w:p w14:paraId="7874A80F" w14:textId="77777777" w:rsidR="00204588" w:rsidRPr="00887108" w:rsidRDefault="00204588" w:rsidP="00204588">
            <w:pPr>
              <w:rPr>
                <w:rFonts w:cs="Times New Roman"/>
                <w:color w:val="000000"/>
                <w:sz w:val="18"/>
                <w:szCs w:val="18"/>
              </w:rPr>
            </w:pPr>
            <w:r w:rsidRPr="00887108">
              <w:rPr>
                <w:color w:val="000000"/>
                <w:sz w:val="18"/>
                <w:szCs w:val="18"/>
              </w:rPr>
              <w:t xml:space="preserve">    Subvencie</w:t>
            </w:r>
          </w:p>
        </w:tc>
        <w:tc>
          <w:tcPr>
            <w:tcW w:w="1069" w:type="dxa"/>
            <w:tcBorders>
              <w:top w:val="nil"/>
              <w:left w:val="nil"/>
              <w:bottom w:val="nil"/>
              <w:right w:val="single" w:sz="4" w:space="0" w:color="auto"/>
            </w:tcBorders>
            <w:vAlign w:val="center"/>
          </w:tcPr>
          <w:p w14:paraId="2E60306D" w14:textId="77777777" w:rsidR="00204588" w:rsidRPr="00887108" w:rsidRDefault="00204588" w:rsidP="00204588">
            <w:pPr>
              <w:jc w:val="center"/>
              <w:rPr>
                <w:color w:val="000000"/>
                <w:sz w:val="18"/>
                <w:szCs w:val="18"/>
              </w:rPr>
            </w:pPr>
            <w:r w:rsidRPr="00887108">
              <w:rPr>
                <w:color w:val="000000"/>
                <w:sz w:val="18"/>
                <w:szCs w:val="18"/>
              </w:rPr>
              <w:t>1,3</w:t>
            </w:r>
          </w:p>
        </w:tc>
        <w:tc>
          <w:tcPr>
            <w:tcW w:w="689" w:type="dxa"/>
            <w:tcBorders>
              <w:top w:val="nil"/>
              <w:left w:val="single" w:sz="4" w:space="0" w:color="auto"/>
              <w:bottom w:val="nil"/>
              <w:right w:val="nil"/>
            </w:tcBorders>
            <w:shd w:val="clear" w:color="auto" w:fill="auto"/>
            <w:noWrap/>
            <w:vAlign w:val="center"/>
            <w:hideMark/>
          </w:tcPr>
          <w:p w14:paraId="3B2E8B82" w14:textId="77777777" w:rsidR="00204588" w:rsidRPr="00887108" w:rsidRDefault="00204588" w:rsidP="00204588">
            <w:pPr>
              <w:jc w:val="center"/>
              <w:rPr>
                <w:rFonts w:cs="Times New Roman"/>
                <w:color w:val="000000"/>
                <w:sz w:val="18"/>
                <w:szCs w:val="18"/>
              </w:rPr>
            </w:pPr>
            <w:r w:rsidRPr="00887108">
              <w:rPr>
                <w:color w:val="000000"/>
                <w:sz w:val="18"/>
                <w:szCs w:val="18"/>
              </w:rPr>
              <w:t>1,2</w:t>
            </w:r>
          </w:p>
        </w:tc>
        <w:tc>
          <w:tcPr>
            <w:tcW w:w="689" w:type="dxa"/>
            <w:tcBorders>
              <w:top w:val="nil"/>
              <w:left w:val="single" w:sz="8" w:space="0" w:color="auto"/>
              <w:bottom w:val="nil"/>
              <w:right w:val="nil"/>
            </w:tcBorders>
            <w:shd w:val="clear" w:color="auto" w:fill="auto"/>
            <w:noWrap/>
            <w:vAlign w:val="center"/>
            <w:hideMark/>
          </w:tcPr>
          <w:p w14:paraId="03AABFC4" w14:textId="77777777" w:rsidR="00204588" w:rsidRPr="00887108" w:rsidRDefault="00204588" w:rsidP="00204588">
            <w:pPr>
              <w:jc w:val="center"/>
              <w:rPr>
                <w:rFonts w:cs="Times New Roman"/>
                <w:color w:val="000000"/>
                <w:sz w:val="18"/>
                <w:szCs w:val="18"/>
              </w:rPr>
            </w:pPr>
            <w:r w:rsidRPr="00887108">
              <w:rPr>
                <w:color w:val="000000"/>
                <w:sz w:val="18"/>
                <w:szCs w:val="18"/>
              </w:rPr>
              <w:t>1,3</w:t>
            </w:r>
          </w:p>
        </w:tc>
        <w:tc>
          <w:tcPr>
            <w:tcW w:w="689" w:type="dxa"/>
            <w:tcBorders>
              <w:top w:val="nil"/>
              <w:left w:val="nil"/>
              <w:bottom w:val="nil"/>
              <w:right w:val="nil"/>
            </w:tcBorders>
            <w:shd w:val="clear" w:color="auto" w:fill="auto"/>
            <w:noWrap/>
            <w:vAlign w:val="center"/>
            <w:hideMark/>
          </w:tcPr>
          <w:p w14:paraId="488B64E5" w14:textId="77777777" w:rsidR="00204588" w:rsidRPr="00887108" w:rsidRDefault="00204588" w:rsidP="00204588">
            <w:pPr>
              <w:jc w:val="center"/>
              <w:rPr>
                <w:rFonts w:cs="Times New Roman"/>
                <w:color w:val="000000"/>
                <w:sz w:val="18"/>
                <w:szCs w:val="18"/>
              </w:rPr>
            </w:pPr>
            <w:r w:rsidRPr="00887108">
              <w:rPr>
                <w:color w:val="000000"/>
                <w:sz w:val="18"/>
                <w:szCs w:val="18"/>
              </w:rPr>
              <w:t>1,2</w:t>
            </w:r>
          </w:p>
        </w:tc>
        <w:tc>
          <w:tcPr>
            <w:tcW w:w="689" w:type="dxa"/>
            <w:tcBorders>
              <w:top w:val="nil"/>
              <w:left w:val="nil"/>
              <w:bottom w:val="nil"/>
              <w:right w:val="nil"/>
            </w:tcBorders>
            <w:shd w:val="clear" w:color="auto" w:fill="auto"/>
            <w:noWrap/>
            <w:vAlign w:val="center"/>
            <w:hideMark/>
          </w:tcPr>
          <w:p w14:paraId="26AA82DB" w14:textId="77777777" w:rsidR="00204588" w:rsidRPr="00887108" w:rsidRDefault="00204588" w:rsidP="00204588">
            <w:pPr>
              <w:jc w:val="center"/>
              <w:rPr>
                <w:rFonts w:cs="Times New Roman"/>
                <w:color w:val="000000"/>
                <w:sz w:val="18"/>
                <w:szCs w:val="18"/>
              </w:rPr>
            </w:pPr>
            <w:r w:rsidRPr="00887108">
              <w:rPr>
                <w:color w:val="000000"/>
                <w:sz w:val="18"/>
                <w:szCs w:val="18"/>
              </w:rPr>
              <w:t>1,2</w:t>
            </w:r>
          </w:p>
        </w:tc>
      </w:tr>
      <w:tr w:rsidR="00204588" w:rsidRPr="00887108" w14:paraId="1D5E0784" w14:textId="77777777" w:rsidTr="00204588">
        <w:trPr>
          <w:trHeight w:val="264"/>
        </w:trPr>
        <w:tc>
          <w:tcPr>
            <w:tcW w:w="5245" w:type="dxa"/>
            <w:tcBorders>
              <w:top w:val="nil"/>
              <w:left w:val="nil"/>
              <w:bottom w:val="nil"/>
              <w:right w:val="single" w:sz="8" w:space="0" w:color="auto"/>
            </w:tcBorders>
            <w:shd w:val="clear" w:color="auto" w:fill="auto"/>
            <w:noWrap/>
            <w:vAlign w:val="center"/>
            <w:hideMark/>
          </w:tcPr>
          <w:p w14:paraId="787A4A93" w14:textId="77777777" w:rsidR="00204588" w:rsidRPr="00887108" w:rsidRDefault="00204588" w:rsidP="00204588">
            <w:pPr>
              <w:rPr>
                <w:rFonts w:cs="Times New Roman"/>
                <w:color w:val="000000"/>
                <w:sz w:val="18"/>
                <w:szCs w:val="18"/>
              </w:rPr>
            </w:pPr>
            <w:r w:rsidRPr="00887108">
              <w:rPr>
                <w:color w:val="000000"/>
                <w:sz w:val="18"/>
                <w:szCs w:val="18"/>
              </w:rPr>
              <w:t xml:space="preserve">    Úrokové náklady</w:t>
            </w:r>
          </w:p>
        </w:tc>
        <w:tc>
          <w:tcPr>
            <w:tcW w:w="1069" w:type="dxa"/>
            <w:tcBorders>
              <w:top w:val="nil"/>
              <w:left w:val="nil"/>
              <w:bottom w:val="nil"/>
              <w:right w:val="single" w:sz="4" w:space="0" w:color="auto"/>
            </w:tcBorders>
            <w:vAlign w:val="center"/>
          </w:tcPr>
          <w:p w14:paraId="068BF11A" w14:textId="77777777" w:rsidR="00204588" w:rsidRPr="00887108" w:rsidRDefault="00204588" w:rsidP="00204588">
            <w:pPr>
              <w:jc w:val="center"/>
              <w:rPr>
                <w:color w:val="000000"/>
                <w:sz w:val="18"/>
                <w:szCs w:val="18"/>
              </w:rPr>
            </w:pPr>
            <w:r w:rsidRPr="00887108">
              <w:rPr>
                <w:color w:val="000000"/>
                <w:sz w:val="18"/>
                <w:szCs w:val="18"/>
              </w:rPr>
              <w:t>1,2</w:t>
            </w:r>
          </w:p>
        </w:tc>
        <w:tc>
          <w:tcPr>
            <w:tcW w:w="689" w:type="dxa"/>
            <w:tcBorders>
              <w:top w:val="nil"/>
              <w:left w:val="single" w:sz="4" w:space="0" w:color="auto"/>
              <w:bottom w:val="nil"/>
              <w:right w:val="nil"/>
            </w:tcBorders>
            <w:shd w:val="clear" w:color="auto" w:fill="auto"/>
            <w:noWrap/>
            <w:vAlign w:val="center"/>
            <w:hideMark/>
          </w:tcPr>
          <w:p w14:paraId="41AD241F" w14:textId="77777777" w:rsidR="00204588" w:rsidRPr="00887108" w:rsidRDefault="00204588" w:rsidP="00204588">
            <w:pPr>
              <w:jc w:val="center"/>
              <w:rPr>
                <w:rFonts w:cs="Times New Roman"/>
                <w:color w:val="000000"/>
                <w:sz w:val="18"/>
                <w:szCs w:val="18"/>
              </w:rPr>
            </w:pPr>
            <w:r w:rsidRPr="00887108">
              <w:rPr>
                <w:color w:val="000000"/>
                <w:sz w:val="18"/>
                <w:szCs w:val="18"/>
              </w:rPr>
              <w:t>1,2</w:t>
            </w:r>
          </w:p>
        </w:tc>
        <w:tc>
          <w:tcPr>
            <w:tcW w:w="689" w:type="dxa"/>
            <w:tcBorders>
              <w:top w:val="nil"/>
              <w:left w:val="single" w:sz="8" w:space="0" w:color="auto"/>
              <w:bottom w:val="nil"/>
              <w:right w:val="nil"/>
            </w:tcBorders>
            <w:shd w:val="clear" w:color="auto" w:fill="auto"/>
            <w:noWrap/>
            <w:vAlign w:val="center"/>
            <w:hideMark/>
          </w:tcPr>
          <w:p w14:paraId="2A4FA383" w14:textId="77777777" w:rsidR="00204588" w:rsidRPr="00887108" w:rsidRDefault="00204588" w:rsidP="00204588">
            <w:pPr>
              <w:jc w:val="center"/>
              <w:rPr>
                <w:rFonts w:cs="Times New Roman"/>
                <w:color w:val="000000"/>
                <w:sz w:val="18"/>
                <w:szCs w:val="18"/>
              </w:rPr>
            </w:pPr>
            <w:r w:rsidRPr="00887108">
              <w:rPr>
                <w:color w:val="000000"/>
                <w:sz w:val="18"/>
                <w:szCs w:val="18"/>
              </w:rPr>
              <w:t>1,1</w:t>
            </w:r>
          </w:p>
        </w:tc>
        <w:tc>
          <w:tcPr>
            <w:tcW w:w="689" w:type="dxa"/>
            <w:tcBorders>
              <w:top w:val="nil"/>
              <w:left w:val="nil"/>
              <w:bottom w:val="nil"/>
              <w:right w:val="nil"/>
            </w:tcBorders>
            <w:shd w:val="clear" w:color="auto" w:fill="auto"/>
            <w:noWrap/>
            <w:vAlign w:val="center"/>
            <w:hideMark/>
          </w:tcPr>
          <w:p w14:paraId="4C40A1CB" w14:textId="77777777" w:rsidR="00204588" w:rsidRPr="00887108" w:rsidRDefault="00204588" w:rsidP="00204588">
            <w:pPr>
              <w:jc w:val="center"/>
              <w:rPr>
                <w:rFonts w:cs="Times New Roman"/>
                <w:color w:val="000000"/>
                <w:sz w:val="18"/>
                <w:szCs w:val="18"/>
              </w:rPr>
            </w:pPr>
            <w:r w:rsidRPr="00887108">
              <w:rPr>
                <w:color w:val="000000"/>
                <w:sz w:val="18"/>
                <w:szCs w:val="18"/>
              </w:rPr>
              <w:t>1,1</w:t>
            </w:r>
          </w:p>
        </w:tc>
        <w:tc>
          <w:tcPr>
            <w:tcW w:w="689" w:type="dxa"/>
            <w:tcBorders>
              <w:top w:val="nil"/>
              <w:left w:val="nil"/>
              <w:bottom w:val="nil"/>
              <w:right w:val="nil"/>
            </w:tcBorders>
            <w:shd w:val="clear" w:color="auto" w:fill="auto"/>
            <w:noWrap/>
            <w:vAlign w:val="center"/>
            <w:hideMark/>
          </w:tcPr>
          <w:p w14:paraId="668BD457" w14:textId="77777777" w:rsidR="00204588" w:rsidRPr="00887108" w:rsidRDefault="00204588" w:rsidP="00204588">
            <w:pPr>
              <w:jc w:val="center"/>
              <w:rPr>
                <w:rFonts w:cs="Times New Roman"/>
                <w:color w:val="000000"/>
                <w:sz w:val="18"/>
                <w:szCs w:val="18"/>
              </w:rPr>
            </w:pPr>
            <w:r w:rsidRPr="00887108">
              <w:rPr>
                <w:color w:val="000000"/>
                <w:sz w:val="18"/>
                <w:szCs w:val="18"/>
              </w:rPr>
              <w:t>1,1</w:t>
            </w:r>
          </w:p>
        </w:tc>
      </w:tr>
      <w:tr w:rsidR="00204588" w:rsidRPr="00887108" w14:paraId="364572D9" w14:textId="77777777" w:rsidTr="00204588">
        <w:trPr>
          <w:trHeight w:val="330"/>
        </w:trPr>
        <w:tc>
          <w:tcPr>
            <w:tcW w:w="5245" w:type="dxa"/>
            <w:tcBorders>
              <w:top w:val="nil"/>
              <w:left w:val="nil"/>
              <w:bottom w:val="nil"/>
              <w:right w:val="single" w:sz="8" w:space="0" w:color="auto"/>
            </w:tcBorders>
            <w:shd w:val="clear" w:color="auto" w:fill="auto"/>
            <w:noWrap/>
            <w:vAlign w:val="center"/>
            <w:hideMark/>
          </w:tcPr>
          <w:p w14:paraId="3B531ABC" w14:textId="77777777" w:rsidR="00204588" w:rsidRPr="00887108" w:rsidRDefault="00204588" w:rsidP="00204588">
            <w:pPr>
              <w:rPr>
                <w:rFonts w:cs="Times New Roman"/>
                <w:color w:val="000000"/>
                <w:sz w:val="18"/>
                <w:szCs w:val="18"/>
              </w:rPr>
            </w:pPr>
            <w:r w:rsidRPr="00887108">
              <w:rPr>
                <w:color w:val="000000"/>
                <w:sz w:val="18"/>
                <w:szCs w:val="18"/>
              </w:rPr>
              <w:t xml:space="preserve">    Celkové sociálne transfery</w:t>
            </w:r>
          </w:p>
        </w:tc>
        <w:tc>
          <w:tcPr>
            <w:tcW w:w="1069" w:type="dxa"/>
            <w:tcBorders>
              <w:top w:val="nil"/>
              <w:left w:val="nil"/>
              <w:bottom w:val="nil"/>
              <w:right w:val="single" w:sz="4" w:space="0" w:color="auto"/>
            </w:tcBorders>
            <w:vAlign w:val="center"/>
          </w:tcPr>
          <w:p w14:paraId="7E357895" w14:textId="77777777" w:rsidR="00204588" w:rsidRPr="00887108" w:rsidRDefault="00204588" w:rsidP="00204588">
            <w:pPr>
              <w:jc w:val="center"/>
              <w:rPr>
                <w:color w:val="000000"/>
                <w:sz w:val="18"/>
                <w:szCs w:val="18"/>
              </w:rPr>
            </w:pPr>
            <w:r w:rsidRPr="00887108">
              <w:rPr>
                <w:color w:val="000000"/>
                <w:sz w:val="18"/>
                <w:szCs w:val="18"/>
              </w:rPr>
              <w:t>18,5</w:t>
            </w:r>
          </w:p>
        </w:tc>
        <w:tc>
          <w:tcPr>
            <w:tcW w:w="689" w:type="dxa"/>
            <w:tcBorders>
              <w:top w:val="nil"/>
              <w:left w:val="single" w:sz="4" w:space="0" w:color="auto"/>
              <w:bottom w:val="nil"/>
              <w:right w:val="nil"/>
            </w:tcBorders>
            <w:shd w:val="clear" w:color="auto" w:fill="auto"/>
            <w:noWrap/>
            <w:vAlign w:val="center"/>
            <w:hideMark/>
          </w:tcPr>
          <w:p w14:paraId="645FE79C" w14:textId="77777777" w:rsidR="00204588" w:rsidRPr="00887108" w:rsidRDefault="00204588" w:rsidP="00204588">
            <w:pPr>
              <w:jc w:val="center"/>
              <w:rPr>
                <w:rFonts w:cs="Times New Roman"/>
                <w:color w:val="000000"/>
                <w:sz w:val="18"/>
                <w:szCs w:val="18"/>
              </w:rPr>
            </w:pPr>
            <w:r w:rsidRPr="00887108">
              <w:rPr>
                <w:color w:val="000000"/>
                <w:sz w:val="18"/>
                <w:szCs w:val="18"/>
              </w:rPr>
              <w:t>23,4</w:t>
            </w:r>
          </w:p>
        </w:tc>
        <w:tc>
          <w:tcPr>
            <w:tcW w:w="689" w:type="dxa"/>
            <w:tcBorders>
              <w:top w:val="nil"/>
              <w:left w:val="single" w:sz="8" w:space="0" w:color="auto"/>
              <w:bottom w:val="nil"/>
              <w:right w:val="nil"/>
            </w:tcBorders>
            <w:shd w:val="clear" w:color="auto" w:fill="auto"/>
            <w:noWrap/>
            <w:vAlign w:val="center"/>
            <w:hideMark/>
          </w:tcPr>
          <w:p w14:paraId="4E4532B3" w14:textId="77777777" w:rsidR="00204588" w:rsidRPr="00887108" w:rsidRDefault="00204588" w:rsidP="00204588">
            <w:pPr>
              <w:jc w:val="center"/>
              <w:rPr>
                <w:rFonts w:cs="Times New Roman"/>
                <w:color w:val="000000"/>
                <w:sz w:val="18"/>
                <w:szCs w:val="18"/>
              </w:rPr>
            </w:pPr>
            <w:r w:rsidRPr="00887108">
              <w:rPr>
                <w:color w:val="000000"/>
                <w:sz w:val="18"/>
                <w:szCs w:val="18"/>
              </w:rPr>
              <w:t>21,3</w:t>
            </w:r>
          </w:p>
        </w:tc>
        <w:tc>
          <w:tcPr>
            <w:tcW w:w="689" w:type="dxa"/>
            <w:tcBorders>
              <w:top w:val="nil"/>
              <w:left w:val="nil"/>
              <w:bottom w:val="nil"/>
              <w:right w:val="nil"/>
            </w:tcBorders>
            <w:shd w:val="clear" w:color="auto" w:fill="auto"/>
            <w:noWrap/>
            <w:vAlign w:val="center"/>
            <w:hideMark/>
          </w:tcPr>
          <w:p w14:paraId="4FB6CD80" w14:textId="77777777" w:rsidR="00204588" w:rsidRPr="00887108" w:rsidRDefault="00204588" w:rsidP="00204588">
            <w:pPr>
              <w:jc w:val="center"/>
              <w:rPr>
                <w:rFonts w:cs="Times New Roman"/>
                <w:color w:val="000000"/>
                <w:sz w:val="18"/>
                <w:szCs w:val="18"/>
              </w:rPr>
            </w:pPr>
            <w:r w:rsidRPr="00887108">
              <w:rPr>
                <w:color w:val="000000"/>
                <w:sz w:val="18"/>
                <w:szCs w:val="18"/>
              </w:rPr>
              <w:t>20,7</w:t>
            </w:r>
          </w:p>
        </w:tc>
        <w:tc>
          <w:tcPr>
            <w:tcW w:w="689" w:type="dxa"/>
            <w:tcBorders>
              <w:top w:val="nil"/>
              <w:left w:val="nil"/>
              <w:bottom w:val="nil"/>
              <w:right w:val="nil"/>
            </w:tcBorders>
            <w:shd w:val="clear" w:color="auto" w:fill="auto"/>
            <w:noWrap/>
            <w:vAlign w:val="center"/>
            <w:hideMark/>
          </w:tcPr>
          <w:p w14:paraId="32F6847D" w14:textId="77777777" w:rsidR="00204588" w:rsidRPr="00887108" w:rsidRDefault="00204588" w:rsidP="00204588">
            <w:pPr>
              <w:jc w:val="center"/>
              <w:rPr>
                <w:rFonts w:cs="Times New Roman"/>
                <w:color w:val="000000"/>
                <w:sz w:val="18"/>
                <w:szCs w:val="18"/>
              </w:rPr>
            </w:pPr>
            <w:r w:rsidRPr="00887108">
              <w:rPr>
                <w:color w:val="000000"/>
                <w:sz w:val="18"/>
                <w:szCs w:val="18"/>
              </w:rPr>
              <w:t>20,3</w:t>
            </w:r>
          </w:p>
        </w:tc>
      </w:tr>
      <w:tr w:rsidR="00204588" w:rsidRPr="00887108" w14:paraId="77B31784" w14:textId="77777777" w:rsidTr="005E78A1">
        <w:trPr>
          <w:trHeight w:val="264"/>
        </w:trPr>
        <w:tc>
          <w:tcPr>
            <w:tcW w:w="5245" w:type="dxa"/>
            <w:tcBorders>
              <w:top w:val="nil"/>
              <w:left w:val="nil"/>
              <w:right w:val="single" w:sz="8" w:space="0" w:color="auto"/>
            </w:tcBorders>
            <w:shd w:val="clear" w:color="auto" w:fill="auto"/>
            <w:noWrap/>
            <w:vAlign w:val="center"/>
            <w:hideMark/>
          </w:tcPr>
          <w:p w14:paraId="2153B498" w14:textId="77777777" w:rsidR="00204588" w:rsidRPr="00887108" w:rsidRDefault="00204588" w:rsidP="00204588">
            <w:pPr>
              <w:rPr>
                <w:rFonts w:cs="Times New Roman"/>
                <w:color w:val="000000"/>
                <w:sz w:val="18"/>
                <w:szCs w:val="18"/>
              </w:rPr>
            </w:pPr>
            <w:r w:rsidRPr="00887108">
              <w:rPr>
                <w:color w:val="000000"/>
                <w:sz w:val="18"/>
                <w:szCs w:val="18"/>
              </w:rPr>
              <w:t xml:space="preserve">     - Sociálne dávky okrem naturálnych soc. transferov</w:t>
            </w:r>
          </w:p>
        </w:tc>
        <w:tc>
          <w:tcPr>
            <w:tcW w:w="1069" w:type="dxa"/>
            <w:tcBorders>
              <w:top w:val="nil"/>
              <w:left w:val="nil"/>
              <w:right w:val="single" w:sz="4" w:space="0" w:color="auto"/>
            </w:tcBorders>
            <w:vAlign w:val="center"/>
          </w:tcPr>
          <w:p w14:paraId="2343E2D1" w14:textId="77777777" w:rsidR="00204588" w:rsidRPr="00887108" w:rsidRDefault="00204588" w:rsidP="00204588">
            <w:pPr>
              <w:jc w:val="center"/>
              <w:rPr>
                <w:color w:val="000000"/>
                <w:sz w:val="18"/>
                <w:szCs w:val="18"/>
              </w:rPr>
            </w:pPr>
            <w:r w:rsidRPr="00887108">
              <w:rPr>
                <w:color w:val="000000"/>
                <w:sz w:val="18"/>
                <w:szCs w:val="18"/>
              </w:rPr>
              <w:t>13,4</w:t>
            </w:r>
          </w:p>
        </w:tc>
        <w:tc>
          <w:tcPr>
            <w:tcW w:w="689" w:type="dxa"/>
            <w:tcBorders>
              <w:top w:val="nil"/>
              <w:left w:val="single" w:sz="4" w:space="0" w:color="auto"/>
              <w:right w:val="nil"/>
            </w:tcBorders>
            <w:shd w:val="clear" w:color="auto" w:fill="auto"/>
            <w:noWrap/>
            <w:vAlign w:val="center"/>
            <w:hideMark/>
          </w:tcPr>
          <w:p w14:paraId="7E613D38" w14:textId="77777777" w:rsidR="00204588" w:rsidRPr="00887108" w:rsidRDefault="00204588" w:rsidP="00204588">
            <w:pPr>
              <w:jc w:val="center"/>
              <w:rPr>
                <w:rFonts w:cs="Times New Roman"/>
                <w:color w:val="000000"/>
                <w:sz w:val="18"/>
                <w:szCs w:val="18"/>
              </w:rPr>
            </w:pPr>
            <w:r w:rsidRPr="00887108">
              <w:rPr>
                <w:color w:val="000000"/>
                <w:sz w:val="18"/>
                <w:szCs w:val="18"/>
              </w:rPr>
              <w:t>17,6</w:t>
            </w:r>
          </w:p>
        </w:tc>
        <w:tc>
          <w:tcPr>
            <w:tcW w:w="689" w:type="dxa"/>
            <w:tcBorders>
              <w:top w:val="nil"/>
              <w:left w:val="single" w:sz="8" w:space="0" w:color="auto"/>
              <w:right w:val="nil"/>
            </w:tcBorders>
            <w:shd w:val="clear" w:color="auto" w:fill="auto"/>
            <w:noWrap/>
            <w:vAlign w:val="center"/>
            <w:hideMark/>
          </w:tcPr>
          <w:p w14:paraId="7376909E" w14:textId="77777777" w:rsidR="00204588" w:rsidRPr="00887108" w:rsidRDefault="00204588" w:rsidP="00204588">
            <w:pPr>
              <w:jc w:val="center"/>
              <w:rPr>
                <w:rFonts w:cs="Times New Roman"/>
                <w:color w:val="000000"/>
                <w:sz w:val="18"/>
                <w:szCs w:val="18"/>
              </w:rPr>
            </w:pPr>
            <w:r w:rsidRPr="00887108">
              <w:rPr>
                <w:color w:val="000000"/>
                <w:sz w:val="18"/>
                <w:szCs w:val="18"/>
              </w:rPr>
              <w:t>15,6</w:t>
            </w:r>
          </w:p>
        </w:tc>
        <w:tc>
          <w:tcPr>
            <w:tcW w:w="689" w:type="dxa"/>
            <w:tcBorders>
              <w:top w:val="nil"/>
              <w:left w:val="nil"/>
              <w:right w:val="nil"/>
            </w:tcBorders>
            <w:shd w:val="clear" w:color="auto" w:fill="auto"/>
            <w:noWrap/>
            <w:vAlign w:val="center"/>
            <w:hideMark/>
          </w:tcPr>
          <w:p w14:paraId="2696E03B" w14:textId="77777777" w:rsidR="00204588" w:rsidRPr="00887108" w:rsidRDefault="00204588" w:rsidP="00204588">
            <w:pPr>
              <w:jc w:val="center"/>
              <w:rPr>
                <w:rFonts w:cs="Times New Roman"/>
                <w:color w:val="000000"/>
                <w:sz w:val="18"/>
                <w:szCs w:val="18"/>
              </w:rPr>
            </w:pPr>
            <w:r w:rsidRPr="00887108">
              <w:rPr>
                <w:color w:val="000000"/>
                <w:sz w:val="18"/>
                <w:szCs w:val="18"/>
              </w:rPr>
              <w:t>15,1</w:t>
            </w:r>
          </w:p>
        </w:tc>
        <w:tc>
          <w:tcPr>
            <w:tcW w:w="689" w:type="dxa"/>
            <w:tcBorders>
              <w:top w:val="nil"/>
              <w:left w:val="nil"/>
              <w:right w:val="nil"/>
            </w:tcBorders>
            <w:shd w:val="clear" w:color="auto" w:fill="auto"/>
            <w:noWrap/>
            <w:vAlign w:val="center"/>
            <w:hideMark/>
          </w:tcPr>
          <w:p w14:paraId="05250164" w14:textId="77777777" w:rsidR="00204588" w:rsidRPr="00887108" w:rsidRDefault="00204588" w:rsidP="00204588">
            <w:pPr>
              <w:jc w:val="center"/>
              <w:rPr>
                <w:rFonts w:cs="Times New Roman"/>
                <w:color w:val="000000"/>
                <w:sz w:val="18"/>
                <w:szCs w:val="18"/>
              </w:rPr>
            </w:pPr>
            <w:r w:rsidRPr="00887108">
              <w:rPr>
                <w:color w:val="000000"/>
                <w:sz w:val="18"/>
                <w:szCs w:val="18"/>
              </w:rPr>
              <w:t>14,7</w:t>
            </w:r>
          </w:p>
        </w:tc>
      </w:tr>
      <w:tr w:rsidR="00204588" w:rsidRPr="00887108" w14:paraId="07BBA738" w14:textId="77777777" w:rsidTr="005E78A1">
        <w:trPr>
          <w:trHeight w:val="276"/>
        </w:trPr>
        <w:tc>
          <w:tcPr>
            <w:tcW w:w="5245" w:type="dxa"/>
            <w:tcBorders>
              <w:top w:val="nil"/>
              <w:left w:val="nil"/>
              <w:right w:val="single" w:sz="4" w:space="0" w:color="auto"/>
            </w:tcBorders>
            <w:shd w:val="clear" w:color="auto" w:fill="auto"/>
            <w:noWrap/>
            <w:vAlign w:val="center"/>
            <w:hideMark/>
          </w:tcPr>
          <w:p w14:paraId="2C9A1A04" w14:textId="77777777" w:rsidR="00204588" w:rsidRPr="00887108" w:rsidRDefault="00204588" w:rsidP="00204588">
            <w:pPr>
              <w:rPr>
                <w:rFonts w:cs="Times New Roman"/>
                <w:color w:val="000000"/>
                <w:sz w:val="18"/>
                <w:szCs w:val="18"/>
              </w:rPr>
            </w:pPr>
            <w:r w:rsidRPr="00887108">
              <w:rPr>
                <w:color w:val="000000"/>
                <w:sz w:val="18"/>
                <w:szCs w:val="18"/>
              </w:rPr>
              <w:t xml:space="preserve">     - Naturálne sociálne transfery</w:t>
            </w:r>
          </w:p>
        </w:tc>
        <w:tc>
          <w:tcPr>
            <w:tcW w:w="1069" w:type="dxa"/>
            <w:tcBorders>
              <w:top w:val="nil"/>
              <w:left w:val="single" w:sz="4" w:space="0" w:color="auto"/>
              <w:right w:val="single" w:sz="4" w:space="0" w:color="auto"/>
            </w:tcBorders>
            <w:vAlign w:val="center"/>
          </w:tcPr>
          <w:p w14:paraId="2EE4D70F" w14:textId="77777777" w:rsidR="00204588" w:rsidRPr="00887108" w:rsidRDefault="00204588" w:rsidP="00204588">
            <w:pPr>
              <w:jc w:val="center"/>
              <w:rPr>
                <w:color w:val="000000"/>
                <w:sz w:val="18"/>
                <w:szCs w:val="18"/>
              </w:rPr>
            </w:pPr>
            <w:r w:rsidRPr="00887108">
              <w:rPr>
                <w:color w:val="000000"/>
                <w:sz w:val="18"/>
                <w:szCs w:val="18"/>
              </w:rPr>
              <w:t>5,1</w:t>
            </w:r>
          </w:p>
        </w:tc>
        <w:tc>
          <w:tcPr>
            <w:tcW w:w="689" w:type="dxa"/>
            <w:tcBorders>
              <w:top w:val="nil"/>
              <w:left w:val="single" w:sz="4" w:space="0" w:color="auto"/>
              <w:right w:val="single" w:sz="4" w:space="0" w:color="auto"/>
            </w:tcBorders>
            <w:shd w:val="clear" w:color="auto" w:fill="auto"/>
            <w:noWrap/>
            <w:vAlign w:val="center"/>
            <w:hideMark/>
          </w:tcPr>
          <w:p w14:paraId="1C1B187E" w14:textId="77777777" w:rsidR="00204588" w:rsidRPr="00887108" w:rsidRDefault="00204588" w:rsidP="00204588">
            <w:pPr>
              <w:jc w:val="center"/>
              <w:rPr>
                <w:rFonts w:cs="Times New Roman"/>
                <w:color w:val="000000"/>
                <w:sz w:val="18"/>
                <w:szCs w:val="18"/>
              </w:rPr>
            </w:pPr>
            <w:r w:rsidRPr="00887108">
              <w:rPr>
                <w:color w:val="000000"/>
                <w:sz w:val="18"/>
                <w:szCs w:val="18"/>
              </w:rPr>
              <w:t>5,8</w:t>
            </w:r>
          </w:p>
        </w:tc>
        <w:tc>
          <w:tcPr>
            <w:tcW w:w="689" w:type="dxa"/>
            <w:tcBorders>
              <w:top w:val="nil"/>
              <w:left w:val="single" w:sz="4" w:space="0" w:color="auto"/>
            </w:tcBorders>
            <w:shd w:val="clear" w:color="auto" w:fill="auto"/>
            <w:noWrap/>
            <w:vAlign w:val="center"/>
            <w:hideMark/>
          </w:tcPr>
          <w:p w14:paraId="56875C89" w14:textId="77777777" w:rsidR="00204588" w:rsidRPr="00887108" w:rsidRDefault="00204588" w:rsidP="00204588">
            <w:pPr>
              <w:jc w:val="center"/>
              <w:rPr>
                <w:rFonts w:cs="Times New Roman"/>
                <w:color w:val="000000"/>
                <w:sz w:val="18"/>
                <w:szCs w:val="18"/>
              </w:rPr>
            </w:pPr>
            <w:r w:rsidRPr="00887108">
              <w:rPr>
                <w:color w:val="000000"/>
                <w:sz w:val="18"/>
                <w:szCs w:val="18"/>
              </w:rPr>
              <w:t>5,7</w:t>
            </w:r>
          </w:p>
        </w:tc>
        <w:tc>
          <w:tcPr>
            <w:tcW w:w="689" w:type="dxa"/>
            <w:tcBorders>
              <w:top w:val="nil"/>
            </w:tcBorders>
            <w:shd w:val="clear" w:color="auto" w:fill="auto"/>
            <w:noWrap/>
            <w:vAlign w:val="center"/>
            <w:hideMark/>
          </w:tcPr>
          <w:p w14:paraId="21F5C78B" w14:textId="77777777" w:rsidR="00204588" w:rsidRPr="00887108" w:rsidRDefault="00204588" w:rsidP="00204588">
            <w:pPr>
              <w:jc w:val="center"/>
              <w:rPr>
                <w:rFonts w:cs="Times New Roman"/>
                <w:color w:val="000000"/>
                <w:sz w:val="18"/>
                <w:szCs w:val="18"/>
              </w:rPr>
            </w:pPr>
            <w:r w:rsidRPr="00887108">
              <w:rPr>
                <w:color w:val="000000"/>
                <w:sz w:val="18"/>
                <w:szCs w:val="18"/>
              </w:rPr>
              <w:t>5,7</w:t>
            </w:r>
          </w:p>
        </w:tc>
        <w:tc>
          <w:tcPr>
            <w:tcW w:w="689" w:type="dxa"/>
            <w:tcBorders>
              <w:top w:val="nil"/>
              <w:right w:val="nil"/>
            </w:tcBorders>
            <w:shd w:val="clear" w:color="auto" w:fill="auto"/>
            <w:noWrap/>
            <w:vAlign w:val="center"/>
            <w:hideMark/>
          </w:tcPr>
          <w:p w14:paraId="6CF4D5D1" w14:textId="77777777" w:rsidR="00204588" w:rsidRPr="00887108" w:rsidRDefault="00204588" w:rsidP="00204588">
            <w:pPr>
              <w:jc w:val="center"/>
              <w:rPr>
                <w:rFonts w:cs="Times New Roman"/>
                <w:color w:val="000000"/>
                <w:sz w:val="18"/>
                <w:szCs w:val="18"/>
              </w:rPr>
            </w:pPr>
            <w:r w:rsidRPr="00887108">
              <w:rPr>
                <w:color w:val="000000"/>
                <w:sz w:val="18"/>
                <w:szCs w:val="18"/>
              </w:rPr>
              <w:t>5,6</w:t>
            </w:r>
          </w:p>
        </w:tc>
      </w:tr>
      <w:tr w:rsidR="00204588" w:rsidRPr="00887108" w14:paraId="2360A757" w14:textId="77777777" w:rsidTr="00204588">
        <w:trPr>
          <w:trHeight w:val="264"/>
        </w:trPr>
        <w:tc>
          <w:tcPr>
            <w:tcW w:w="5245" w:type="dxa"/>
            <w:tcBorders>
              <w:left w:val="nil"/>
              <w:bottom w:val="nil"/>
              <w:right w:val="single" w:sz="8" w:space="0" w:color="auto"/>
            </w:tcBorders>
            <w:shd w:val="clear" w:color="auto" w:fill="auto"/>
            <w:noWrap/>
            <w:vAlign w:val="center"/>
            <w:hideMark/>
          </w:tcPr>
          <w:p w14:paraId="450ABF39" w14:textId="77777777" w:rsidR="00204588" w:rsidRPr="00887108" w:rsidRDefault="00204588" w:rsidP="00204588">
            <w:pPr>
              <w:rPr>
                <w:rFonts w:cs="Times New Roman"/>
                <w:b/>
                <w:bCs/>
                <w:color w:val="000000"/>
                <w:sz w:val="18"/>
                <w:szCs w:val="18"/>
              </w:rPr>
            </w:pPr>
            <w:r w:rsidRPr="00887108">
              <w:rPr>
                <w:color w:val="000000"/>
                <w:sz w:val="18"/>
                <w:szCs w:val="18"/>
              </w:rPr>
              <w:t xml:space="preserve">    Ostatné bežné transfery</w:t>
            </w:r>
          </w:p>
        </w:tc>
        <w:tc>
          <w:tcPr>
            <w:tcW w:w="1069" w:type="dxa"/>
            <w:tcBorders>
              <w:left w:val="nil"/>
              <w:bottom w:val="nil"/>
              <w:right w:val="single" w:sz="4" w:space="0" w:color="auto"/>
            </w:tcBorders>
            <w:vAlign w:val="center"/>
          </w:tcPr>
          <w:p w14:paraId="4856CA2B" w14:textId="77777777" w:rsidR="00204588" w:rsidRPr="00887108" w:rsidRDefault="00204588" w:rsidP="00204588">
            <w:pPr>
              <w:jc w:val="center"/>
              <w:rPr>
                <w:color w:val="000000"/>
                <w:sz w:val="18"/>
                <w:szCs w:val="18"/>
              </w:rPr>
            </w:pPr>
            <w:r w:rsidRPr="00887108">
              <w:rPr>
                <w:color w:val="000000"/>
                <w:sz w:val="18"/>
                <w:szCs w:val="18"/>
              </w:rPr>
              <w:t>1,7</w:t>
            </w:r>
          </w:p>
        </w:tc>
        <w:tc>
          <w:tcPr>
            <w:tcW w:w="689" w:type="dxa"/>
            <w:tcBorders>
              <w:left w:val="single" w:sz="4" w:space="0" w:color="auto"/>
              <w:bottom w:val="nil"/>
              <w:right w:val="nil"/>
            </w:tcBorders>
            <w:shd w:val="clear" w:color="auto" w:fill="auto"/>
            <w:noWrap/>
            <w:vAlign w:val="center"/>
            <w:hideMark/>
          </w:tcPr>
          <w:p w14:paraId="4496B301" w14:textId="77777777" w:rsidR="00204588" w:rsidRPr="00887108" w:rsidRDefault="00204588" w:rsidP="00204588">
            <w:pPr>
              <w:jc w:val="center"/>
              <w:rPr>
                <w:rFonts w:cs="Times New Roman"/>
                <w:color w:val="000000"/>
                <w:sz w:val="18"/>
                <w:szCs w:val="18"/>
              </w:rPr>
            </w:pPr>
            <w:r w:rsidRPr="00887108">
              <w:rPr>
                <w:color w:val="000000"/>
                <w:sz w:val="18"/>
                <w:szCs w:val="18"/>
              </w:rPr>
              <w:t>2,2</w:t>
            </w:r>
          </w:p>
        </w:tc>
        <w:tc>
          <w:tcPr>
            <w:tcW w:w="689" w:type="dxa"/>
            <w:tcBorders>
              <w:left w:val="single" w:sz="8" w:space="0" w:color="auto"/>
              <w:bottom w:val="nil"/>
              <w:right w:val="nil"/>
            </w:tcBorders>
            <w:shd w:val="clear" w:color="auto" w:fill="auto"/>
            <w:noWrap/>
            <w:vAlign w:val="center"/>
            <w:hideMark/>
          </w:tcPr>
          <w:p w14:paraId="645E0FF8" w14:textId="77777777" w:rsidR="00204588" w:rsidRPr="00887108" w:rsidRDefault="00204588" w:rsidP="00204588">
            <w:pPr>
              <w:jc w:val="center"/>
              <w:rPr>
                <w:rFonts w:cs="Times New Roman"/>
                <w:color w:val="000000"/>
                <w:sz w:val="18"/>
                <w:szCs w:val="18"/>
              </w:rPr>
            </w:pPr>
            <w:r w:rsidRPr="00887108">
              <w:rPr>
                <w:color w:val="000000"/>
                <w:sz w:val="18"/>
                <w:szCs w:val="18"/>
              </w:rPr>
              <w:t>2,7</w:t>
            </w:r>
          </w:p>
        </w:tc>
        <w:tc>
          <w:tcPr>
            <w:tcW w:w="689" w:type="dxa"/>
            <w:tcBorders>
              <w:left w:val="nil"/>
              <w:bottom w:val="nil"/>
              <w:right w:val="nil"/>
            </w:tcBorders>
            <w:shd w:val="clear" w:color="auto" w:fill="auto"/>
            <w:noWrap/>
            <w:vAlign w:val="center"/>
            <w:hideMark/>
          </w:tcPr>
          <w:p w14:paraId="0797786F" w14:textId="77777777" w:rsidR="00204588" w:rsidRPr="00887108" w:rsidRDefault="00204588" w:rsidP="00204588">
            <w:pPr>
              <w:jc w:val="center"/>
              <w:rPr>
                <w:rFonts w:cs="Times New Roman"/>
                <w:color w:val="000000"/>
                <w:sz w:val="18"/>
                <w:szCs w:val="18"/>
              </w:rPr>
            </w:pPr>
            <w:r w:rsidRPr="00887108">
              <w:rPr>
                <w:color w:val="000000"/>
                <w:sz w:val="18"/>
                <w:szCs w:val="18"/>
              </w:rPr>
              <w:t>2,7</w:t>
            </w:r>
          </w:p>
        </w:tc>
        <w:tc>
          <w:tcPr>
            <w:tcW w:w="689" w:type="dxa"/>
            <w:tcBorders>
              <w:left w:val="nil"/>
              <w:bottom w:val="nil"/>
              <w:right w:val="nil"/>
            </w:tcBorders>
            <w:shd w:val="clear" w:color="auto" w:fill="auto"/>
            <w:noWrap/>
            <w:vAlign w:val="center"/>
            <w:hideMark/>
          </w:tcPr>
          <w:p w14:paraId="58F3FDE9" w14:textId="77777777" w:rsidR="00204588" w:rsidRPr="00887108" w:rsidRDefault="00204588" w:rsidP="00204588">
            <w:pPr>
              <w:jc w:val="center"/>
              <w:rPr>
                <w:rFonts w:cs="Times New Roman"/>
                <w:color w:val="000000"/>
                <w:sz w:val="18"/>
                <w:szCs w:val="18"/>
              </w:rPr>
            </w:pPr>
            <w:r w:rsidRPr="00887108">
              <w:rPr>
                <w:color w:val="000000"/>
                <w:sz w:val="18"/>
                <w:szCs w:val="18"/>
              </w:rPr>
              <w:t>3,0</w:t>
            </w:r>
          </w:p>
        </w:tc>
      </w:tr>
      <w:tr w:rsidR="00204588" w:rsidRPr="00887108" w14:paraId="256248E3" w14:textId="77777777" w:rsidTr="00204588">
        <w:trPr>
          <w:trHeight w:val="264"/>
        </w:trPr>
        <w:tc>
          <w:tcPr>
            <w:tcW w:w="5245" w:type="dxa"/>
            <w:tcBorders>
              <w:top w:val="nil"/>
              <w:left w:val="nil"/>
              <w:bottom w:val="nil"/>
              <w:right w:val="single" w:sz="8" w:space="0" w:color="auto"/>
            </w:tcBorders>
            <w:shd w:val="clear" w:color="auto" w:fill="auto"/>
            <w:noWrap/>
            <w:vAlign w:val="center"/>
            <w:hideMark/>
          </w:tcPr>
          <w:p w14:paraId="4E008A53" w14:textId="77777777" w:rsidR="00204588" w:rsidRPr="00887108" w:rsidRDefault="00204588" w:rsidP="00204588">
            <w:pPr>
              <w:rPr>
                <w:rFonts w:cs="Times New Roman"/>
                <w:color w:val="000000"/>
                <w:sz w:val="18"/>
                <w:szCs w:val="18"/>
              </w:rPr>
            </w:pPr>
            <w:r w:rsidRPr="00887108">
              <w:rPr>
                <w:b/>
                <w:bCs/>
                <w:color w:val="000000"/>
                <w:sz w:val="18"/>
                <w:szCs w:val="18"/>
              </w:rPr>
              <w:t xml:space="preserve"> Kapitálové výdavky</w:t>
            </w:r>
          </w:p>
        </w:tc>
        <w:tc>
          <w:tcPr>
            <w:tcW w:w="1069" w:type="dxa"/>
            <w:tcBorders>
              <w:top w:val="nil"/>
              <w:left w:val="nil"/>
              <w:bottom w:val="nil"/>
              <w:right w:val="single" w:sz="4" w:space="0" w:color="auto"/>
            </w:tcBorders>
            <w:vAlign w:val="center"/>
          </w:tcPr>
          <w:p w14:paraId="05C76434" w14:textId="77777777" w:rsidR="00204588" w:rsidRPr="00887108" w:rsidRDefault="00204588" w:rsidP="00204588">
            <w:pPr>
              <w:jc w:val="center"/>
              <w:rPr>
                <w:color w:val="000000"/>
                <w:sz w:val="18"/>
                <w:szCs w:val="18"/>
              </w:rPr>
            </w:pPr>
            <w:r w:rsidRPr="00887108">
              <w:rPr>
                <w:b/>
                <w:bCs/>
                <w:color w:val="000000"/>
                <w:sz w:val="18"/>
                <w:szCs w:val="18"/>
              </w:rPr>
              <w:t>4,0</w:t>
            </w:r>
          </w:p>
        </w:tc>
        <w:tc>
          <w:tcPr>
            <w:tcW w:w="689" w:type="dxa"/>
            <w:tcBorders>
              <w:top w:val="nil"/>
              <w:left w:val="single" w:sz="4" w:space="0" w:color="auto"/>
              <w:bottom w:val="nil"/>
              <w:right w:val="nil"/>
            </w:tcBorders>
            <w:shd w:val="clear" w:color="auto" w:fill="auto"/>
            <w:noWrap/>
            <w:vAlign w:val="center"/>
            <w:hideMark/>
          </w:tcPr>
          <w:p w14:paraId="4D5BCE65" w14:textId="77777777" w:rsidR="00204588" w:rsidRPr="00887108" w:rsidRDefault="00204588" w:rsidP="00204588">
            <w:pPr>
              <w:jc w:val="center"/>
              <w:rPr>
                <w:rFonts w:cs="Times New Roman"/>
                <w:b/>
                <w:color w:val="000000"/>
                <w:sz w:val="18"/>
                <w:szCs w:val="18"/>
              </w:rPr>
            </w:pPr>
            <w:r w:rsidRPr="00887108">
              <w:rPr>
                <w:b/>
                <w:color w:val="000000"/>
                <w:sz w:val="18"/>
                <w:szCs w:val="18"/>
              </w:rPr>
              <w:t>4,0</w:t>
            </w:r>
          </w:p>
        </w:tc>
        <w:tc>
          <w:tcPr>
            <w:tcW w:w="689" w:type="dxa"/>
            <w:tcBorders>
              <w:top w:val="nil"/>
              <w:left w:val="single" w:sz="8" w:space="0" w:color="auto"/>
              <w:bottom w:val="nil"/>
              <w:right w:val="nil"/>
            </w:tcBorders>
            <w:shd w:val="clear" w:color="auto" w:fill="auto"/>
            <w:noWrap/>
            <w:vAlign w:val="center"/>
            <w:hideMark/>
          </w:tcPr>
          <w:p w14:paraId="5609D8AC" w14:textId="77777777" w:rsidR="00204588" w:rsidRPr="00887108" w:rsidRDefault="00204588" w:rsidP="00204588">
            <w:pPr>
              <w:jc w:val="center"/>
              <w:rPr>
                <w:rFonts w:cs="Times New Roman"/>
                <w:b/>
                <w:color w:val="000000"/>
                <w:sz w:val="18"/>
                <w:szCs w:val="18"/>
              </w:rPr>
            </w:pPr>
            <w:r w:rsidRPr="00887108">
              <w:rPr>
                <w:b/>
                <w:color w:val="000000"/>
                <w:sz w:val="18"/>
                <w:szCs w:val="18"/>
              </w:rPr>
              <w:t>2,6</w:t>
            </w:r>
          </w:p>
        </w:tc>
        <w:tc>
          <w:tcPr>
            <w:tcW w:w="689" w:type="dxa"/>
            <w:tcBorders>
              <w:top w:val="nil"/>
              <w:left w:val="nil"/>
              <w:bottom w:val="nil"/>
              <w:right w:val="nil"/>
            </w:tcBorders>
            <w:shd w:val="clear" w:color="auto" w:fill="auto"/>
            <w:noWrap/>
            <w:vAlign w:val="center"/>
            <w:hideMark/>
          </w:tcPr>
          <w:p w14:paraId="52CA3279" w14:textId="77777777" w:rsidR="00204588" w:rsidRPr="00887108" w:rsidRDefault="00204588" w:rsidP="00204588">
            <w:pPr>
              <w:jc w:val="center"/>
              <w:rPr>
                <w:rFonts w:cs="Times New Roman"/>
                <w:b/>
                <w:color w:val="000000"/>
                <w:sz w:val="18"/>
                <w:szCs w:val="18"/>
              </w:rPr>
            </w:pPr>
            <w:r w:rsidRPr="00887108">
              <w:rPr>
                <w:b/>
                <w:color w:val="000000"/>
                <w:sz w:val="18"/>
                <w:szCs w:val="18"/>
              </w:rPr>
              <w:t>3,7</w:t>
            </w:r>
          </w:p>
        </w:tc>
        <w:tc>
          <w:tcPr>
            <w:tcW w:w="689" w:type="dxa"/>
            <w:tcBorders>
              <w:top w:val="nil"/>
              <w:left w:val="nil"/>
              <w:bottom w:val="nil"/>
              <w:right w:val="nil"/>
            </w:tcBorders>
            <w:shd w:val="clear" w:color="auto" w:fill="auto"/>
            <w:noWrap/>
            <w:vAlign w:val="center"/>
            <w:hideMark/>
          </w:tcPr>
          <w:p w14:paraId="31FF2CB1" w14:textId="77777777" w:rsidR="00204588" w:rsidRPr="00887108" w:rsidRDefault="00204588" w:rsidP="00204588">
            <w:pPr>
              <w:jc w:val="center"/>
              <w:rPr>
                <w:rFonts w:cs="Times New Roman"/>
                <w:b/>
                <w:color w:val="000000"/>
                <w:sz w:val="18"/>
                <w:szCs w:val="18"/>
              </w:rPr>
            </w:pPr>
            <w:r w:rsidRPr="00887108">
              <w:rPr>
                <w:b/>
                <w:color w:val="000000"/>
                <w:sz w:val="18"/>
                <w:szCs w:val="18"/>
              </w:rPr>
              <w:t>3,8</w:t>
            </w:r>
          </w:p>
        </w:tc>
      </w:tr>
      <w:tr w:rsidR="00204588" w:rsidRPr="00887108" w14:paraId="40B43F1F" w14:textId="77777777" w:rsidTr="00204588">
        <w:trPr>
          <w:trHeight w:val="264"/>
        </w:trPr>
        <w:tc>
          <w:tcPr>
            <w:tcW w:w="5245" w:type="dxa"/>
            <w:tcBorders>
              <w:top w:val="nil"/>
              <w:left w:val="nil"/>
              <w:bottom w:val="nil"/>
              <w:right w:val="single" w:sz="8" w:space="0" w:color="auto"/>
            </w:tcBorders>
            <w:shd w:val="clear" w:color="auto" w:fill="auto"/>
            <w:noWrap/>
            <w:vAlign w:val="center"/>
            <w:hideMark/>
          </w:tcPr>
          <w:p w14:paraId="4692E3FD" w14:textId="77777777" w:rsidR="00204588" w:rsidRPr="00887108" w:rsidRDefault="00204588" w:rsidP="00204588">
            <w:pPr>
              <w:rPr>
                <w:rFonts w:cs="Times New Roman"/>
                <w:color w:val="000000"/>
                <w:sz w:val="18"/>
                <w:szCs w:val="18"/>
              </w:rPr>
            </w:pPr>
            <w:r w:rsidRPr="00887108">
              <w:rPr>
                <w:color w:val="000000"/>
                <w:sz w:val="18"/>
                <w:szCs w:val="18"/>
              </w:rPr>
              <w:t xml:space="preserve">    Kapitálové investície</w:t>
            </w:r>
          </w:p>
        </w:tc>
        <w:tc>
          <w:tcPr>
            <w:tcW w:w="1069" w:type="dxa"/>
            <w:tcBorders>
              <w:top w:val="nil"/>
              <w:left w:val="nil"/>
              <w:bottom w:val="nil"/>
              <w:right w:val="single" w:sz="4" w:space="0" w:color="auto"/>
            </w:tcBorders>
            <w:vAlign w:val="center"/>
          </w:tcPr>
          <w:p w14:paraId="0C412B3E" w14:textId="77777777" w:rsidR="00204588" w:rsidRPr="00887108" w:rsidRDefault="00204588" w:rsidP="00204588">
            <w:pPr>
              <w:jc w:val="center"/>
              <w:rPr>
                <w:color w:val="000000"/>
                <w:sz w:val="18"/>
                <w:szCs w:val="18"/>
              </w:rPr>
            </w:pPr>
            <w:r w:rsidRPr="00887108">
              <w:rPr>
                <w:color w:val="000000"/>
                <w:sz w:val="18"/>
                <w:szCs w:val="18"/>
              </w:rPr>
              <w:t>3,7</w:t>
            </w:r>
          </w:p>
        </w:tc>
        <w:tc>
          <w:tcPr>
            <w:tcW w:w="689" w:type="dxa"/>
            <w:tcBorders>
              <w:top w:val="nil"/>
              <w:left w:val="single" w:sz="4" w:space="0" w:color="auto"/>
              <w:bottom w:val="nil"/>
              <w:right w:val="nil"/>
            </w:tcBorders>
            <w:shd w:val="clear" w:color="auto" w:fill="auto"/>
            <w:noWrap/>
            <w:vAlign w:val="center"/>
            <w:hideMark/>
          </w:tcPr>
          <w:p w14:paraId="3B24A431" w14:textId="77777777" w:rsidR="00204588" w:rsidRPr="00887108" w:rsidRDefault="00204588" w:rsidP="00204588">
            <w:pPr>
              <w:jc w:val="center"/>
              <w:rPr>
                <w:rFonts w:cs="Times New Roman"/>
                <w:color w:val="000000"/>
                <w:sz w:val="18"/>
                <w:szCs w:val="18"/>
              </w:rPr>
            </w:pPr>
            <w:r w:rsidRPr="00887108">
              <w:rPr>
                <w:color w:val="000000"/>
                <w:sz w:val="18"/>
                <w:szCs w:val="18"/>
              </w:rPr>
              <w:t>3,2</w:t>
            </w:r>
          </w:p>
        </w:tc>
        <w:tc>
          <w:tcPr>
            <w:tcW w:w="689" w:type="dxa"/>
            <w:tcBorders>
              <w:top w:val="nil"/>
              <w:left w:val="single" w:sz="8" w:space="0" w:color="auto"/>
              <w:bottom w:val="nil"/>
              <w:right w:val="nil"/>
            </w:tcBorders>
            <w:shd w:val="clear" w:color="auto" w:fill="auto"/>
            <w:noWrap/>
            <w:vAlign w:val="center"/>
            <w:hideMark/>
          </w:tcPr>
          <w:p w14:paraId="07BBCE43" w14:textId="77777777" w:rsidR="00204588" w:rsidRPr="00887108" w:rsidRDefault="00204588" w:rsidP="00204588">
            <w:pPr>
              <w:jc w:val="center"/>
              <w:rPr>
                <w:rFonts w:cs="Times New Roman"/>
                <w:color w:val="000000"/>
                <w:sz w:val="18"/>
                <w:szCs w:val="18"/>
              </w:rPr>
            </w:pPr>
            <w:r w:rsidRPr="00887108">
              <w:rPr>
                <w:color w:val="000000"/>
                <w:sz w:val="18"/>
                <w:szCs w:val="18"/>
              </w:rPr>
              <w:t>2,5</w:t>
            </w:r>
          </w:p>
        </w:tc>
        <w:tc>
          <w:tcPr>
            <w:tcW w:w="689" w:type="dxa"/>
            <w:tcBorders>
              <w:top w:val="nil"/>
              <w:left w:val="nil"/>
              <w:bottom w:val="nil"/>
              <w:right w:val="nil"/>
            </w:tcBorders>
            <w:shd w:val="clear" w:color="auto" w:fill="auto"/>
            <w:noWrap/>
            <w:vAlign w:val="center"/>
            <w:hideMark/>
          </w:tcPr>
          <w:p w14:paraId="4AE48761" w14:textId="77777777" w:rsidR="00204588" w:rsidRPr="00887108" w:rsidRDefault="00204588" w:rsidP="00204588">
            <w:pPr>
              <w:jc w:val="center"/>
              <w:rPr>
                <w:rFonts w:cs="Times New Roman"/>
                <w:color w:val="000000"/>
                <w:sz w:val="18"/>
                <w:szCs w:val="18"/>
              </w:rPr>
            </w:pPr>
            <w:r w:rsidRPr="00887108">
              <w:rPr>
                <w:color w:val="000000"/>
                <w:sz w:val="18"/>
                <w:szCs w:val="18"/>
              </w:rPr>
              <w:t>3,5</w:t>
            </w:r>
          </w:p>
        </w:tc>
        <w:tc>
          <w:tcPr>
            <w:tcW w:w="689" w:type="dxa"/>
            <w:tcBorders>
              <w:top w:val="nil"/>
              <w:left w:val="nil"/>
              <w:bottom w:val="nil"/>
              <w:right w:val="nil"/>
            </w:tcBorders>
            <w:shd w:val="clear" w:color="auto" w:fill="auto"/>
            <w:noWrap/>
            <w:vAlign w:val="center"/>
            <w:hideMark/>
          </w:tcPr>
          <w:p w14:paraId="3C2A6011" w14:textId="77777777" w:rsidR="00204588" w:rsidRPr="00887108" w:rsidRDefault="00204588" w:rsidP="00204588">
            <w:pPr>
              <w:jc w:val="center"/>
              <w:rPr>
                <w:rFonts w:cs="Times New Roman"/>
                <w:color w:val="000000"/>
                <w:sz w:val="18"/>
                <w:szCs w:val="18"/>
              </w:rPr>
            </w:pPr>
            <w:r w:rsidRPr="00887108">
              <w:rPr>
                <w:color w:val="000000"/>
                <w:sz w:val="18"/>
                <w:szCs w:val="18"/>
              </w:rPr>
              <w:t>3,6</w:t>
            </w:r>
          </w:p>
        </w:tc>
      </w:tr>
      <w:tr w:rsidR="00204588" w:rsidRPr="00887108" w14:paraId="76B302CE" w14:textId="77777777" w:rsidTr="005E78A1">
        <w:trPr>
          <w:trHeight w:val="276"/>
        </w:trPr>
        <w:tc>
          <w:tcPr>
            <w:tcW w:w="5245" w:type="dxa"/>
            <w:tcBorders>
              <w:top w:val="nil"/>
              <w:left w:val="nil"/>
              <w:right w:val="single" w:sz="8" w:space="0" w:color="auto"/>
            </w:tcBorders>
            <w:shd w:val="clear" w:color="auto" w:fill="auto"/>
            <w:noWrap/>
            <w:vAlign w:val="center"/>
            <w:hideMark/>
          </w:tcPr>
          <w:p w14:paraId="5DE66505" w14:textId="77777777" w:rsidR="00204588" w:rsidRPr="00887108" w:rsidRDefault="00204588" w:rsidP="00204588">
            <w:pPr>
              <w:rPr>
                <w:rFonts w:cs="Times New Roman"/>
                <w:color w:val="000000"/>
                <w:sz w:val="18"/>
                <w:szCs w:val="18"/>
              </w:rPr>
            </w:pPr>
            <w:r w:rsidRPr="00887108">
              <w:rPr>
                <w:color w:val="000000"/>
                <w:sz w:val="18"/>
                <w:szCs w:val="18"/>
              </w:rPr>
              <w:t xml:space="preserve">      - Tvorba hrubého fixného kapitálu</w:t>
            </w:r>
          </w:p>
        </w:tc>
        <w:tc>
          <w:tcPr>
            <w:tcW w:w="1069" w:type="dxa"/>
            <w:tcBorders>
              <w:top w:val="nil"/>
              <w:left w:val="nil"/>
              <w:right w:val="single" w:sz="4" w:space="0" w:color="auto"/>
            </w:tcBorders>
            <w:vAlign w:val="center"/>
          </w:tcPr>
          <w:p w14:paraId="6ABE6C12" w14:textId="77777777" w:rsidR="00204588" w:rsidRPr="00887108" w:rsidRDefault="00204588" w:rsidP="00204588">
            <w:pPr>
              <w:jc w:val="center"/>
              <w:rPr>
                <w:color w:val="000000"/>
                <w:sz w:val="18"/>
                <w:szCs w:val="18"/>
              </w:rPr>
            </w:pPr>
            <w:r w:rsidRPr="00887108">
              <w:rPr>
                <w:color w:val="000000"/>
                <w:sz w:val="18"/>
                <w:szCs w:val="18"/>
              </w:rPr>
              <w:t>3,6</w:t>
            </w:r>
          </w:p>
        </w:tc>
        <w:tc>
          <w:tcPr>
            <w:tcW w:w="689" w:type="dxa"/>
            <w:tcBorders>
              <w:top w:val="nil"/>
              <w:left w:val="single" w:sz="4" w:space="0" w:color="auto"/>
              <w:right w:val="nil"/>
            </w:tcBorders>
            <w:shd w:val="clear" w:color="auto" w:fill="auto"/>
            <w:noWrap/>
            <w:vAlign w:val="center"/>
            <w:hideMark/>
          </w:tcPr>
          <w:p w14:paraId="2644E707" w14:textId="77777777" w:rsidR="00204588" w:rsidRPr="00887108" w:rsidRDefault="00204588" w:rsidP="00204588">
            <w:pPr>
              <w:jc w:val="center"/>
              <w:rPr>
                <w:rFonts w:cs="Times New Roman"/>
                <w:color w:val="000000"/>
                <w:sz w:val="18"/>
                <w:szCs w:val="18"/>
              </w:rPr>
            </w:pPr>
            <w:r w:rsidRPr="00887108">
              <w:rPr>
                <w:color w:val="000000"/>
                <w:sz w:val="18"/>
                <w:szCs w:val="18"/>
              </w:rPr>
              <w:t>3,2</w:t>
            </w:r>
          </w:p>
        </w:tc>
        <w:tc>
          <w:tcPr>
            <w:tcW w:w="689" w:type="dxa"/>
            <w:tcBorders>
              <w:top w:val="nil"/>
              <w:left w:val="single" w:sz="8" w:space="0" w:color="auto"/>
              <w:right w:val="nil"/>
            </w:tcBorders>
            <w:shd w:val="clear" w:color="auto" w:fill="auto"/>
            <w:noWrap/>
            <w:vAlign w:val="center"/>
            <w:hideMark/>
          </w:tcPr>
          <w:p w14:paraId="3C5FAE04" w14:textId="77777777" w:rsidR="00204588" w:rsidRPr="00887108" w:rsidRDefault="00204588" w:rsidP="00204588">
            <w:pPr>
              <w:jc w:val="center"/>
              <w:rPr>
                <w:rFonts w:cs="Times New Roman"/>
                <w:color w:val="000000"/>
                <w:sz w:val="18"/>
                <w:szCs w:val="18"/>
              </w:rPr>
            </w:pPr>
            <w:r w:rsidRPr="00887108">
              <w:rPr>
                <w:color w:val="000000"/>
                <w:sz w:val="18"/>
                <w:szCs w:val="18"/>
              </w:rPr>
              <w:t>2,4</w:t>
            </w:r>
          </w:p>
        </w:tc>
        <w:tc>
          <w:tcPr>
            <w:tcW w:w="689" w:type="dxa"/>
            <w:tcBorders>
              <w:top w:val="nil"/>
              <w:left w:val="nil"/>
              <w:right w:val="nil"/>
            </w:tcBorders>
            <w:shd w:val="clear" w:color="auto" w:fill="auto"/>
            <w:noWrap/>
            <w:vAlign w:val="center"/>
            <w:hideMark/>
          </w:tcPr>
          <w:p w14:paraId="3DA3AB51" w14:textId="77777777" w:rsidR="00204588" w:rsidRPr="00887108" w:rsidRDefault="00204588" w:rsidP="00204588">
            <w:pPr>
              <w:jc w:val="center"/>
              <w:rPr>
                <w:rFonts w:cs="Times New Roman"/>
                <w:color w:val="000000"/>
                <w:sz w:val="18"/>
                <w:szCs w:val="18"/>
              </w:rPr>
            </w:pPr>
            <w:r w:rsidRPr="00887108">
              <w:rPr>
                <w:color w:val="000000"/>
                <w:sz w:val="18"/>
                <w:szCs w:val="18"/>
              </w:rPr>
              <w:t>3,4</w:t>
            </w:r>
          </w:p>
        </w:tc>
        <w:tc>
          <w:tcPr>
            <w:tcW w:w="689" w:type="dxa"/>
            <w:tcBorders>
              <w:top w:val="nil"/>
              <w:left w:val="nil"/>
              <w:right w:val="nil"/>
            </w:tcBorders>
            <w:shd w:val="clear" w:color="auto" w:fill="auto"/>
            <w:noWrap/>
            <w:vAlign w:val="center"/>
            <w:hideMark/>
          </w:tcPr>
          <w:p w14:paraId="4AF0106D" w14:textId="77777777" w:rsidR="00204588" w:rsidRPr="00887108" w:rsidRDefault="00204588" w:rsidP="00204588">
            <w:pPr>
              <w:jc w:val="center"/>
              <w:rPr>
                <w:rFonts w:cs="Times New Roman"/>
                <w:color w:val="000000"/>
                <w:sz w:val="18"/>
                <w:szCs w:val="18"/>
              </w:rPr>
            </w:pPr>
            <w:r w:rsidRPr="00887108">
              <w:rPr>
                <w:color w:val="000000"/>
                <w:sz w:val="18"/>
                <w:szCs w:val="18"/>
              </w:rPr>
              <w:t>3,6</w:t>
            </w:r>
          </w:p>
        </w:tc>
      </w:tr>
      <w:tr w:rsidR="00204588" w:rsidRPr="00887108" w14:paraId="759A5A0A" w14:textId="77777777" w:rsidTr="005E78A1">
        <w:trPr>
          <w:trHeight w:val="276"/>
        </w:trPr>
        <w:tc>
          <w:tcPr>
            <w:tcW w:w="5245" w:type="dxa"/>
            <w:tcBorders>
              <w:top w:val="nil"/>
              <w:left w:val="nil"/>
              <w:bottom w:val="single" w:sz="4" w:space="0" w:color="auto"/>
              <w:right w:val="single" w:sz="4" w:space="0" w:color="auto"/>
            </w:tcBorders>
            <w:shd w:val="clear" w:color="auto" w:fill="auto"/>
            <w:noWrap/>
            <w:vAlign w:val="center"/>
            <w:hideMark/>
          </w:tcPr>
          <w:p w14:paraId="4C7F978A" w14:textId="77777777" w:rsidR="00204588" w:rsidRPr="00887108" w:rsidRDefault="00204588" w:rsidP="00204588">
            <w:pPr>
              <w:rPr>
                <w:rFonts w:cs="Times New Roman"/>
                <w:b/>
                <w:bCs/>
                <w:color w:val="000000"/>
                <w:sz w:val="18"/>
                <w:szCs w:val="18"/>
              </w:rPr>
            </w:pPr>
            <w:r w:rsidRPr="00887108">
              <w:rPr>
                <w:color w:val="000000"/>
                <w:sz w:val="18"/>
                <w:szCs w:val="18"/>
              </w:rPr>
              <w:t xml:space="preserve">    Kapitálové transfery</w:t>
            </w:r>
          </w:p>
        </w:tc>
        <w:tc>
          <w:tcPr>
            <w:tcW w:w="1069" w:type="dxa"/>
            <w:tcBorders>
              <w:top w:val="nil"/>
              <w:left w:val="single" w:sz="4" w:space="0" w:color="auto"/>
              <w:bottom w:val="single" w:sz="4" w:space="0" w:color="auto"/>
              <w:right w:val="single" w:sz="4" w:space="0" w:color="auto"/>
            </w:tcBorders>
            <w:vAlign w:val="center"/>
          </w:tcPr>
          <w:p w14:paraId="55E568F7" w14:textId="77777777" w:rsidR="00204588" w:rsidRPr="00887108" w:rsidRDefault="00204588" w:rsidP="00204588">
            <w:pPr>
              <w:jc w:val="center"/>
              <w:rPr>
                <w:color w:val="000000"/>
                <w:sz w:val="18"/>
                <w:szCs w:val="18"/>
              </w:rPr>
            </w:pPr>
            <w:r w:rsidRPr="00887108">
              <w:rPr>
                <w:color w:val="000000"/>
                <w:sz w:val="18"/>
                <w:szCs w:val="18"/>
              </w:rPr>
              <w:t>0,4</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CF8B1C8" w14:textId="77777777" w:rsidR="00204588" w:rsidRPr="00887108" w:rsidRDefault="00204588" w:rsidP="00204588">
            <w:pPr>
              <w:jc w:val="center"/>
              <w:rPr>
                <w:rFonts w:cs="Times New Roman"/>
                <w:b/>
                <w:bCs/>
                <w:color w:val="000000"/>
                <w:sz w:val="18"/>
                <w:szCs w:val="18"/>
              </w:rPr>
            </w:pPr>
            <w:r w:rsidRPr="00887108">
              <w:rPr>
                <w:color w:val="000000"/>
                <w:sz w:val="18"/>
                <w:szCs w:val="18"/>
              </w:rPr>
              <w:t>0,7</w:t>
            </w:r>
          </w:p>
        </w:tc>
        <w:tc>
          <w:tcPr>
            <w:tcW w:w="689" w:type="dxa"/>
            <w:tcBorders>
              <w:top w:val="nil"/>
              <w:left w:val="single" w:sz="4" w:space="0" w:color="auto"/>
              <w:bottom w:val="single" w:sz="4" w:space="0" w:color="auto"/>
            </w:tcBorders>
            <w:shd w:val="clear" w:color="auto" w:fill="auto"/>
            <w:noWrap/>
            <w:vAlign w:val="center"/>
            <w:hideMark/>
          </w:tcPr>
          <w:p w14:paraId="4BC92EA1" w14:textId="77777777" w:rsidR="00204588" w:rsidRPr="00887108" w:rsidRDefault="00204588" w:rsidP="00204588">
            <w:pPr>
              <w:jc w:val="center"/>
              <w:rPr>
                <w:rFonts w:cs="Times New Roman"/>
                <w:b/>
                <w:bCs/>
                <w:color w:val="000000"/>
                <w:sz w:val="18"/>
                <w:szCs w:val="18"/>
              </w:rPr>
            </w:pPr>
            <w:r w:rsidRPr="00887108">
              <w:rPr>
                <w:color w:val="000000"/>
                <w:sz w:val="18"/>
                <w:szCs w:val="18"/>
              </w:rPr>
              <w:t>0,2</w:t>
            </w:r>
          </w:p>
        </w:tc>
        <w:tc>
          <w:tcPr>
            <w:tcW w:w="689" w:type="dxa"/>
            <w:tcBorders>
              <w:top w:val="nil"/>
              <w:bottom w:val="single" w:sz="4" w:space="0" w:color="auto"/>
            </w:tcBorders>
            <w:shd w:val="clear" w:color="auto" w:fill="auto"/>
            <w:noWrap/>
            <w:vAlign w:val="center"/>
            <w:hideMark/>
          </w:tcPr>
          <w:p w14:paraId="000EC2B0" w14:textId="77777777" w:rsidR="00204588" w:rsidRPr="00887108" w:rsidRDefault="00204588" w:rsidP="00204588">
            <w:pPr>
              <w:jc w:val="center"/>
              <w:rPr>
                <w:rFonts w:cs="Times New Roman"/>
                <w:b/>
                <w:bCs/>
                <w:color w:val="000000"/>
                <w:sz w:val="18"/>
                <w:szCs w:val="18"/>
              </w:rPr>
            </w:pPr>
            <w:r w:rsidRPr="00887108">
              <w:rPr>
                <w:color w:val="000000"/>
                <w:sz w:val="18"/>
                <w:szCs w:val="18"/>
              </w:rPr>
              <w:t>0,2</w:t>
            </w:r>
          </w:p>
        </w:tc>
        <w:tc>
          <w:tcPr>
            <w:tcW w:w="689" w:type="dxa"/>
            <w:tcBorders>
              <w:top w:val="nil"/>
              <w:bottom w:val="single" w:sz="4" w:space="0" w:color="auto"/>
              <w:right w:val="nil"/>
            </w:tcBorders>
            <w:shd w:val="clear" w:color="auto" w:fill="auto"/>
            <w:noWrap/>
            <w:vAlign w:val="center"/>
            <w:hideMark/>
          </w:tcPr>
          <w:p w14:paraId="514F9880" w14:textId="77777777" w:rsidR="00204588" w:rsidRPr="00887108" w:rsidRDefault="00204588" w:rsidP="00204588">
            <w:pPr>
              <w:jc w:val="center"/>
              <w:rPr>
                <w:rFonts w:cs="Times New Roman"/>
                <w:b/>
                <w:bCs/>
                <w:color w:val="000000"/>
                <w:sz w:val="18"/>
                <w:szCs w:val="18"/>
              </w:rPr>
            </w:pPr>
            <w:r w:rsidRPr="00887108">
              <w:rPr>
                <w:color w:val="000000"/>
                <w:sz w:val="18"/>
                <w:szCs w:val="18"/>
              </w:rPr>
              <w:t>0,2</w:t>
            </w:r>
          </w:p>
        </w:tc>
      </w:tr>
      <w:tr w:rsidR="00204588" w:rsidRPr="00887108" w14:paraId="0F19DD30" w14:textId="77777777" w:rsidTr="00204588">
        <w:trPr>
          <w:trHeight w:val="276"/>
        </w:trPr>
        <w:tc>
          <w:tcPr>
            <w:tcW w:w="5245" w:type="dxa"/>
            <w:tcBorders>
              <w:top w:val="single" w:sz="4" w:space="0" w:color="auto"/>
              <w:left w:val="nil"/>
              <w:bottom w:val="nil"/>
              <w:right w:val="single" w:sz="8" w:space="0" w:color="auto"/>
            </w:tcBorders>
            <w:shd w:val="clear" w:color="auto" w:fill="auto"/>
            <w:noWrap/>
            <w:vAlign w:val="center"/>
            <w:hideMark/>
          </w:tcPr>
          <w:p w14:paraId="3D7D1C8E" w14:textId="2906C224" w:rsidR="00204588" w:rsidRPr="00887108" w:rsidRDefault="00204588" w:rsidP="00204588">
            <w:pPr>
              <w:rPr>
                <w:rFonts w:cs="Times New Roman"/>
                <w:b/>
                <w:bCs/>
                <w:color w:val="000000"/>
                <w:sz w:val="18"/>
                <w:szCs w:val="18"/>
              </w:rPr>
            </w:pPr>
            <w:r w:rsidRPr="00887108">
              <w:rPr>
                <w:b/>
                <w:bCs/>
                <w:color w:val="000000"/>
                <w:sz w:val="18"/>
                <w:szCs w:val="18"/>
              </w:rPr>
              <w:t xml:space="preserve">3. Dodatočné opatrenia vlády na dosiahnutie </w:t>
            </w:r>
            <w:r w:rsidR="0024659C" w:rsidRPr="00887108">
              <w:rPr>
                <w:b/>
                <w:bCs/>
                <w:color w:val="000000"/>
                <w:sz w:val="18"/>
                <w:szCs w:val="18"/>
              </w:rPr>
              <w:t xml:space="preserve">rozpočtových </w:t>
            </w:r>
            <w:r w:rsidRPr="00887108">
              <w:rPr>
                <w:b/>
                <w:bCs/>
                <w:color w:val="000000"/>
                <w:sz w:val="18"/>
                <w:szCs w:val="18"/>
              </w:rPr>
              <w:t>cieľov (4-5)</w:t>
            </w:r>
          </w:p>
        </w:tc>
        <w:tc>
          <w:tcPr>
            <w:tcW w:w="1069" w:type="dxa"/>
            <w:tcBorders>
              <w:top w:val="single" w:sz="4" w:space="0" w:color="auto"/>
              <w:left w:val="nil"/>
              <w:bottom w:val="single" w:sz="8" w:space="0" w:color="auto"/>
              <w:right w:val="single" w:sz="4" w:space="0" w:color="auto"/>
            </w:tcBorders>
            <w:vAlign w:val="center"/>
          </w:tcPr>
          <w:p w14:paraId="03BD5539" w14:textId="77777777" w:rsidR="00204588" w:rsidRPr="00887108" w:rsidRDefault="00204588" w:rsidP="00204588">
            <w:pPr>
              <w:jc w:val="center"/>
              <w:rPr>
                <w:color w:val="000000"/>
                <w:sz w:val="18"/>
                <w:szCs w:val="18"/>
              </w:rPr>
            </w:pPr>
            <w:r w:rsidRPr="00887108">
              <w:rPr>
                <w:b/>
                <w:bCs/>
                <w:color w:val="000000"/>
                <w:sz w:val="18"/>
                <w:szCs w:val="18"/>
              </w:rPr>
              <w:t> </w:t>
            </w:r>
          </w:p>
        </w:tc>
        <w:tc>
          <w:tcPr>
            <w:tcW w:w="68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17B12D3" w14:textId="77777777" w:rsidR="00204588" w:rsidRPr="00887108" w:rsidRDefault="00204588" w:rsidP="00204588">
            <w:pPr>
              <w:jc w:val="center"/>
              <w:rPr>
                <w:rFonts w:cs="Times New Roman"/>
                <w:color w:val="000000"/>
                <w:sz w:val="18"/>
                <w:szCs w:val="18"/>
              </w:rPr>
            </w:pPr>
          </w:p>
        </w:tc>
        <w:tc>
          <w:tcPr>
            <w:tcW w:w="689" w:type="dxa"/>
            <w:tcBorders>
              <w:top w:val="single" w:sz="4" w:space="0" w:color="auto"/>
              <w:left w:val="nil"/>
              <w:bottom w:val="single" w:sz="8" w:space="0" w:color="auto"/>
              <w:right w:val="nil"/>
            </w:tcBorders>
            <w:shd w:val="clear" w:color="auto" w:fill="auto"/>
            <w:noWrap/>
            <w:vAlign w:val="center"/>
            <w:hideMark/>
          </w:tcPr>
          <w:p w14:paraId="398DD516" w14:textId="77777777" w:rsidR="00204588" w:rsidRPr="00887108" w:rsidRDefault="00204588" w:rsidP="00204588">
            <w:pPr>
              <w:jc w:val="center"/>
              <w:rPr>
                <w:rFonts w:cs="Times New Roman"/>
                <w:color w:val="000000"/>
                <w:sz w:val="18"/>
                <w:szCs w:val="18"/>
              </w:rPr>
            </w:pPr>
            <w:r w:rsidRPr="00887108">
              <w:rPr>
                <w:color w:val="000000"/>
                <w:sz w:val="18"/>
                <w:szCs w:val="18"/>
              </w:rPr>
              <w:t>1,1</w:t>
            </w:r>
          </w:p>
        </w:tc>
        <w:tc>
          <w:tcPr>
            <w:tcW w:w="689" w:type="dxa"/>
            <w:tcBorders>
              <w:top w:val="single" w:sz="4" w:space="0" w:color="auto"/>
              <w:left w:val="nil"/>
              <w:bottom w:val="single" w:sz="8" w:space="0" w:color="auto"/>
              <w:right w:val="nil"/>
            </w:tcBorders>
            <w:shd w:val="clear" w:color="auto" w:fill="auto"/>
            <w:noWrap/>
            <w:vAlign w:val="center"/>
            <w:hideMark/>
          </w:tcPr>
          <w:p w14:paraId="11347BD2" w14:textId="77777777" w:rsidR="00204588" w:rsidRPr="00887108" w:rsidRDefault="00204588" w:rsidP="00204588">
            <w:pPr>
              <w:jc w:val="center"/>
              <w:rPr>
                <w:rFonts w:cs="Times New Roman"/>
                <w:color w:val="000000"/>
                <w:sz w:val="18"/>
                <w:szCs w:val="18"/>
              </w:rPr>
            </w:pPr>
            <w:r w:rsidRPr="00887108">
              <w:rPr>
                <w:color w:val="000000"/>
                <w:sz w:val="18"/>
                <w:szCs w:val="18"/>
              </w:rPr>
              <w:t>2,4</w:t>
            </w:r>
          </w:p>
        </w:tc>
        <w:tc>
          <w:tcPr>
            <w:tcW w:w="689" w:type="dxa"/>
            <w:tcBorders>
              <w:top w:val="single" w:sz="4" w:space="0" w:color="auto"/>
              <w:left w:val="nil"/>
              <w:bottom w:val="single" w:sz="8" w:space="0" w:color="auto"/>
              <w:right w:val="nil"/>
            </w:tcBorders>
            <w:shd w:val="clear" w:color="auto" w:fill="auto"/>
            <w:noWrap/>
            <w:vAlign w:val="center"/>
            <w:hideMark/>
          </w:tcPr>
          <w:p w14:paraId="257EDE10" w14:textId="77777777" w:rsidR="00204588" w:rsidRPr="00887108" w:rsidRDefault="00204588" w:rsidP="00204588">
            <w:pPr>
              <w:jc w:val="center"/>
              <w:rPr>
                <w:rFonts w:cs="Times New Roman"/>
                <w:color w:val="000000"/>
                <w:sz w:val="18"/>
                <w:szCs w:val="18"/>
              </w:rPr>
            </w:pPr>
            <w:r w:rsidRPr="00887108">
              <w:rPr>
                <w:color w:val="000000"/>
                <w:sz w:val="18"/>
                <w:szCs w:val="18"/>
              </w:rPr>
              <w:t>3,2</w:t>
            </w:r>
          </w:p>
        </w:tc>
      </w:tr>
      <w:tr w:rsidR="00204588" w:rsidRPr="00887108" w14:paraId="058338CC" w14:textId="77777777" w:rsidTr="00204588">
        <w:trPr>
          <w:trHeight w:val="276"/>
        </w:trPr>
        <w:tc>
          <w:tcPr>
            <w:tcW w:w="5245" w:type="dxa"/>
            <w:tcBorders>
              <w:top w:val="single" w:sz="8" w:space="0" w:color="auto"/>
              <w:left w:val="nil"/>
              <w:bottom w:val="single" w:sz="8" w:space="0" w:color="auto"/>
              <w:right w:val="single" w:sz="8" w:space="0" w:color="auto"/>
            </w:tcBorders>
            <w:shd w:val="clear" w:color="auto" w:fill="auto"/>
            <w:noWrap/>
            <w:vAlign w:val="center"/>
            <w:hideMark/>
          </w:tcPr>
          <w:p w14:paraId="6E4737F3" w14:textId="2742FB28" w:rsidR="00204588" w:rsidRPr="00887108" w:rsidRDefault="00204588" w:rsidP="00204588">
            <w:pPr>
              <w:rPr>
                <w:rFonts w:cs="Times New Roman"/>
                <w:b/>
                <w:bCs/>
                <w:color w:val="000000"/>
                <w:sz w:val="18"/>
                <w:szCs w:val="18"/>
              </w:rPr>
            </w:pPr>
            <w:r w:rsidRPr="00887108">
              <w:rPr>
                <w:b/>
                <w:bCs/>
                <w:color w:val="000000"/>
                <w:sz w:val="18"/>
                <w:szCs w:val="18"/>
              </w:rPr>
              <w:t>4. Rozpočtový cieľ salda VS</w:t>
            </w:r>
            <w:r w:rsidR="0024659C" w:rsidRPr="00887108">
              <w:rPr>
                <w:b/>
                <w:bCs/>
                <w:color w:val="000000"/>
                <w:sz w:val="18"/>
                <w:szCs w:val="18"/>
              </w:rPr>
              <w:t xml:space="preserve"> – Program stability 2020-2023</w:t>
            </w:r>
          </w:p>
        </w:tc>
        <w:tc>
          <w:tcPr>
            <w:tcW w:w="1069" w:type="dxa"/>
            <w:tcBorders>
              <w:top w:val="single" w:sz="8" w:space="0" w:color="auto"/>
              <w:left w:val="nil"/>
              <w:bottom w:val="single" w:sz="4" w:space="0" w:color="auto"/>
              <w:right w:val="single" w:sz="4" w:space="0" w:color="auto"/>
            </w:tcBorders>
            <w:vAlign w:val="center"/>
          </w:tcPr>
          <w:p w14:paraId="3D3A6A5A" w14:textId="77777777" w:rsidR="00204588" w:rsidRPr="00887108" w:rsidRDefault="00204588" w:rsidP="00204588">
            <w:pPr>
              <w:jc w:val="center"/>
              <w:rPr>
                <w:b/>
                <w:bCs/>
                <w:color w:val="000000"/>
                <w:sz w:val="18"/>
                <w:szCs w:val="18"/>
              </w:rPr>
            </w:pPr>
            <w:r w:rsidRPr="00887108">
              <w:rPr>
                <w:b/>
                <w:bCs/>
                <w:color w:val="000000"/>
                <w:sz w:val="18"/>
                <w:szCs w:val="18"/>
              </w:rPr>
              <w:t>-1,3</w:t>
            </w:r>
          </w:p>
        </w:tc>
        <w:tc>
          <w:tcPr>
            <w:tcW w:w="68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50EC8F4"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-8,4</w:t>
            </w:r>
          </w:p>
        </w:tc>
        <w:tc>
          <w:tcPr>
            <w:tcW w:w="689" w:type="dxa"/>
            <w:tcBorders>
              <w:top w:val="single" w:sz="8" w:space="0" w:color="auto"/>
              <w:left w:val="nil"/>
              <w:bottom w:val="single" w:sz="4" w:space="0" w:color="auto"/>
              <w:right w:val="nil"/>
            </w:tcBorders>
            <w:shd w:val="clear" w:color="auto" w:fill="auto"/>
            <w:noWrap/>
            <w:vAlign w:val="center"/>
            <w:hideMark/>
          </w:tcPr>
          <w:p w14:paraId="233FEC58"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-4,9</w:t>
            </w:r>
          </w:p>
        </w:tc>
        <w:tc>
          <w:tcPr>
            <w:tcW w:w="689" w:type="dxa"/>
            <w:tcBorders>
              <w:top w:val="single" w:sz="8" w:space="0" w:color="auto"/>
              <w:left w:val="nil"/>
              <w:bottom w:val="single" w:sz="4" w:space="0" w:color="auto"/>
              <w:right w:val="nil"/>
            </w:tcBorders>
            <w:shd w:val="clear" w:color="auto" w:fill="auto"/>
            <w:noWrap/>
            <w:vAlign w:val="center"/>
            <w:hideMark/>
          </w:tcPr>
          <w:p w14:paraId="665AAC2E"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-3,7</w:t>
            </w:r>
          </w:p>
        </w:tc>
        <w:tc>
          <w:tcPr>
            <w:tcW w:w="689" w:type="dxa"/>
            <w:tcBorders>
              <w:top w:val="single" w:sz="8" w:space="0" w:color="auto"/>
              <w:left w:val="nil"/>
              <w:bottom w:val="single" w:sz="4" w:space="0" w:color="auto"/>
              <w:right w:val="nil"/>
            </w:tcBorders>
            <w:shd w:val="clear" w:color="auto" w:fill="auto"/>
            <w:noWrap/>
            <w:vAlign w:val="center"/>
            <w:hideMark/>
          </w:tcPr>
          <w:p w14:paraId="3F8C541A" w14:textId="77777777" w:rsidR="00204588" w:rsidRPr="00887108" w:rsidRDefault="00204588" w:rsidP="00204588">
            <w:pPr>
              <w:jc w:val="center"/>
              <w:rPr>
                <w:rFonts w:cs="Times New Roman"/>
                <w:b/>
                <w:bCs/>
                <w:color w:val="000000"/>
                <w:sz w:val="18"/>
                <w:szCs w:val="18"/>
              </w:rPr>
            </w:pPr>
            <w:r w:rsidRPr="00887108">
              <w:rPr>
                <w:b/>
                <w:bCs/>
                <w:color w:val="000000"/>
                <w:sz w:val="18"/>
                <w:szCs w:val="18"/>
              </w:rPr>
              <w:t>-2,9</w:t>
            </w:r>
          </w:p>
        </w:tc>
      </w:tr>
      <w:tr w:rsidR="00204588" w:rsidRPr="00887108" w14:paraId="1865A82A" w14:textId="77777777" w:rsidTr="00204588">
        <w:trPr>
          <w:trHeight w:val="276"/>
        </w:trPr>
        <w:tc>
          <w:tcPr>
            <w:tcW w:w="5245" w:type="dxa"/>
            <w:tcBorders>
              <w:top w:val="single" w:sz="8" w:space="0" w:color="auto"/>
              <w:left w:val="nil"/>
              <w:bottom w:val="single" w:sz="8" w:space="0" w:color="auto"/>
              <w:right w:val="single" w:sz="8" w:space="0" w:color="auto"/>
            </w:tcBorders>
            <w:shd w:val="clear" w:color="auto" w:fill="auto"/>
            <w:noWrap/>
            <w:vAlign w:val="center"/>
          </w:tcPr>
          <w:p w14:paraId="1626AB4D" w14:textId="77777777" w:rsidR="00204588" w:rsidRPr="00887108" w:rsidRDefault="00204588" w:rsidP="00204588">
            <w:pPr>
              <w:rPr>
                <w:b/>
                <w:bCs/>
                <w:color w:val="000000"/>
                <w:sz w:val="18"/>
                <w:szCs w:val="18"/>
              </w:rPr>
            </w:pPr>
            <w:r w:rsidRPr="00887108">
              <w:rPr>
                <w:b/>
                <w:bCs/>
                <w:color w:val="000000"/>
                <w:sz w:val="18"/>
                <w:szCs w:val="18"/>
              </w:rPr>
              <w:t>5. Saldo VS bez dodatočných opatrení (NPC scenár)</w:t>
            </w:r>
          </w:p>
        </w:tc>
        <w:tc>
          <w:tcPr>
            <w:tcW w:w="1069" w:type="dxa"/>
            <w:tcBorders>
              <w:top w:val="single" w:sz="4" w:space="0" w:color="auto"/>
              <w:left w:val="nil"/>
              <w:bottom w:val="single" w:sz="8" w:space="0" w:color="auto"/>
              <w:right w:val="single" w:sz="4" w:space="0" w:color="auto"/>
            </w:tcBorders>
            <w:vAlign w:val="center"/>
          </w:tcPr>
          <w:p w14:paraId="64865D7F" w14:textId="77777777" w:rsidR="00204588" w:rsidRPr="00887108" w:rsidRDefault="00204588" w:rsidP="00204588">
            <w:pPr>
              <w:jc w:val="center"/>
              <w:rPr>
                <w:b/>
                <w:bCs/>
                <w:color w:val="000000"/>
                <w:sz w:val="18"/>
                <w:szCs w:val="18"/>
              </w:rPr>
            </w:pPr>
            <w:r w:rsidRPr="00887108">
              <w:rPr>
                <w:b/>
                <w:bCs/>
                <w:color w:val="000000"/>
                <w:sz w:val="18"/>
                <w:szCs w:val="18"/>
              </w:rPr>
              <w:t>-1,3</w:t>
            </w:r>
          </w:p>
        </w:tc>
        <w:tc>
          <w:tcPr>
            <w:tcW w:w="689" w:type="dxa"/>
            <w:tcBorders>
              <w:top w:val="single" w:sz="4" w:space="0" w:color="auto"/>
              <w:left w:val="single" w:sz="4" w:space="0" w:color="auto"/>
              <w:bottom w:val="single" w:sz="8" w:space="0" w:color="auto"/>
              <w:right w:val="single" w:sz="8" w:space="0" w:color="auto"/>
            </w:tcBorders>
            <w:shd w:val="clear" w:color="auto" w:fill="auto"/>
            <w:noWrap/>
            <w:vAlign w:val="center"/>
          </w:tcPr>
          <w:p w14:paraId="11BDB7A4" w14:textId="77777777" w:rsidR="00204588" w:rsidRPr="00887108" w:rsidRDefault="00204588" w:rsidP="00204588">
            <w:pPr>
              <w:jc w:val="center"/>
              <w:rPr>
                <w:b/>
                <w:bCs/>
                <w:color w:val="000000"/>
                <w:sz w:val="18"/>
                <w:szCs w:val="18"/>
              </w:rPr>
            </w:pPr>
            <w:r w:rsidRPr="00887108">
              <w:rPr>
                <w:b/>
                <w:bCs/>
                <w:color w:val="000000"/>
                <w:sz w:val="18"/>
                <w:szCs w:val="18"/>
              </w:rPr>
              <w:t>-8,4</w:t>
            </w:r>
          </w:p>
        </w:tc>
        <w:tc>
          <w:tcPr>
            <w:tcW w:w="689" w:type="dxa"/>
            <w:tcBorders>
              <w:top w:val="single" w:sz="4" w:space="0" w:color="auto"/>
              <w:left w:val="nil"/>
              <w:bottom w:val="single" w:sz="8" w:space="0" w:color="auto"/>
              <w:right w:val="nil"/>
            </w:tcBorders>
            <w:shd w:val="clear" w:color="auto" w:fill="auto"/>
            <w:noWrap/>
            <w:vAlign w:val="center"/>
          </w:tcPr>
          <w:p w14:paraId="363AD4A3" w14:textId="77777777" w:rsidR="00204588" w:rsidRPr="00887108" w:rsidRDefault="00204588" w:rsidP="00204588">
            <w:pPr>
              <w:jc w:val="center"/>
              <w:rPr>
                <w:b/>
                <w:bCs/>
                <w:color w:val="000000"/>
                <w:sz w:val="18"/>
                <w:szCs w:val="18"/>
              </w:rPr>
            </w:pPr>
            <w:r w:rsidRPr="00887108">
              <w:rPr>
                <w:b/>
                <w:bCs/>
                <w:color w:val="000000"/>
                <w:sz w:val="18"/>
                <w:szCs w:val="18"/>
              </w:rPr>
              <w:t>-6,0</w:t>
            </w:r>
          </w:p>
        </w:tc>
        <w:tc>
          <w:tcPr>
            <w:tcW w:w="689" w:type="dxa"/>
            <w:tcBorders>
              <w:top w:val="single" w:sz="4" w:space="0" w:color="auto"/>
              <w:left w:val="nil"/>
              <w:bottom w:val="single" w:sz="8" w:space="0" w:color="auto"/>
              <w:right w:val="nil"/>
            </w:tcBorders>
            <w:shd w:val="clear" w:color="auto" w:fill="auto"/>
            <w:noWrap/>
            <w:vAlign w:val="center"/>
          </w:tcPr>
          <w:p w14:paraId="09FC44B0" w14:textId="77777777" w:rsidR="00204588" w:rsidRPr="00887108" w:rsidRDefault="00204588" w:rsidP="00204588">
            <w:pPr>
              <w:jc w:val="center"/>
              <w:rPr>
                <w:b/>
                <w:bCs/>
                <w:color w:val="000000"/>
                <w:sz w:val="18"/>
                <w:szCs w:val="18"/>
              </w:rPr>
            </w:pPr>
            <w:r w:rsidRPr="00887108">
              <w:rPr>
                <w:b/>
                <w:bCs/>
                <w:color w:val="000000"/>
                <w:sz w:val="18"/>
                <w:szCs w:val="18"/>
              </w:rPr>
              <w:t>-6,1</w:t>
            </w:r>
          </w:p>
        </w:tc>
        <w:tc>
          <w:tcPr>
            <w:tcW w:w="689" w:type="dxa"/>
            <w:tcBorders>
              <w:top w:val="single" w:sz="4" w:space="0" w:color="auto"/>
              <w:left w:val="nil"/>
              <w:bottom w:val="single" w:sz="8" w:space="0" w:color="auto"/>
              <w:right w:val="nil"/>
            </w:tcBorders>
            <w:shd w:val="clear" w:color="auto" w:fill="auto"/>
            <w:noWrap/>
            <w:vAlign w:val="center"/>
          </w:tcPr>
          <w:p w14:paraId="2DE3D4C0" w14:textId="77777777" w:rsidR="00204588" w:rsidRPr="00887108" w:rsidRDefault="00204588" w:rsidP="00204588">
            <w:pPr>
              <w:jc w:val="center"/>
              <w:rPr>
                <w:b/>
                <w:bCs/>
                <w:color w:val="000000"/>
                <w:sz w:val="18"/>
                <w:szCs w:val="18"/>
              </w:rPr>
            </w:pPr>
            <w:r w:rsidRPr="00887108">
              <w:rPr>
                <w:b/>
                <w:bCs/>
                <w:color w:val="000000"/>
                <w:sz w:val="18"/>
                <w:szCs w:val="18"/>
              </w:rPr>
              <w:t>-6,1</w:t>
            </w:r>
          </w:p>
        </w:tc>
      </w:tr>
    </w:tbl>
    <w:p w14:paraId="0EF101A4" w14:textId="77777777" w:rsidR="00204588" w:rsidRPr="00887108" w:rsidRDefault="00204588" w:rsidP="00204588">
      <w:pPr>
        <w:pStyle w:val="NormalList"/>
        <w:jc w:val="right"/>
        <w:rPr>
          <w:i/>
          <w:sz w:val="16"/>
          <w:szCs w:val="16"/>
        </w:rPr>
      </w:pPr>
      <w:r w:rsidRPr="00887108">
        <w:rPr>
          <w:i/>
          <w:sz w:val="16"/>
          <w:szCs w:val="16"/>
        </w:rPr>
        <w:t>Zdroj: MF SR</w:t>
      </w:r>
    </w:p>
    <w:p w14:paraId="3D3E1FA9" w14:textId="77777777" w:rsidR="00F42087" w:rsidRPr="00887108" w:rsidRDefault="00F42087" w:rsidP="00204588">
      <w:pPr>
        <w:pStyle w:val="NormalList"/>
      </w:pPr>
    </w:p>
    <w:p w14:paraId="5E6A0E2A" w14:textId="35F1FC2B" w:rsidR="0044600F" w:rsidRPr="00887108" w:rsidRDefault="00F42087" w:rsidP="00204588">
      <w:pPr>
        <w:pStyle w:val="NormalList"/>
      </w:pPr>
      <w:r w:rsidRPr="00887108">
        <w:rPr>
          <w:b/>
        </w:rPr>
        <w:t xml:space="preserve">Na dosiahnutie vyššie uvedených </w:t>
      </w:r>
      <w:r w:rsidR="00821600" w:rsidRPr="00887108">
        <w:rPr>
          <w:b/>
        </w:rPr>
        <w:t xml:space="preserve">rozpočtových </w:t>
      </w:r>
      <w:r w:rsidRPr="00887108">
        <w:rPr>
          <w:b/>
        </w:rPr>
        <w:t xml:space="preserve">cieľov </w:t>
      </w:r>
      <w:r w:rsidR="00821600" w:rsidRPr="00887108">
        <w:rPr>
          <w:b/>
        </w:rPr>
        <w:t>Program stability</w:t>
      </w:r>
      <w:r w:rsidRPr="00887108">
        <w:rPr>
          <w:b/>
        </w:rPr>
        <w:t xml:space="preserve"> by v porovnaní so scenárom bez nových opatrení bolo potrebné prijať konsolidačné opatrenia v roku 2021 vo výške</w:t>
      </w:r>
      <w:r w:rsidR="00343B57" w:rsidRPr="00887108">
        <w:rPr>
          <w:b/>
        </w:rPr>
        <w:t xml:space="preserve"> 1,1 mld. eur (1,2 % HDP); 2,3 </w:t>
      </w:r>
      <w:r w:rsidRPr="00887108">
        <w:rPr>
          <w:b/>
        </w:rPr>
        <w:t xml:space="preserve">mld. eur (2,4 % HDP) v roku 2022, </w:t>
      </w:r>
      <w:r w:rsidR="00BA46EB" w:rsidRPr="00887108">
        <w:rPr>
          <w:b/>
        </w:rPr>
        <w:t>resp.</w:t>
      </w:r>
      <w:r w:rsidRPr="00887108">
        <w:rPr>
          <w:b/>
        </w:rPr>
        <w:t xml:space="preserve"> 3,4 mld. eur (3,2 % HDP) v roku 2023</w:t>
      </w:r>
      <w:r w:rsidRPr="00887108">
        <w:t xml:space="preserve">. </w:t>
      </w:r>
      <w:r w:rsidR="006E529B" w:rsidRPr="00887108">
        <w:t>Vzhľadom na výraznú neistotu ohľadom budúceho ekonomického</w:t>
      </w:r>
      <w:r w:rsidR="00E36251" w:rsidRPr="00887108">
        <w:t xml:space="preserve"> vývoja</w:t>
      </w:r>
      <w:r w:rsidR="006E529B" w:rsidRPr="00887108">
        <w:t xml:space="preserve"> budú </w:t>
      </w:r>
      <w:r w:rsidR="00E61277" w:rsidRPr="00887108">
        <w:t>rozpočtové</w:t>
      </w:r>
      <w:r w:rsidR="006E529B" w:rsidRPr="00887108">
        <w:t xml:space="preserve"> ciele aj potreba opatrení na ich dosiahnutie v prípade zmien aktualizované.</w:t>
      </w:r>
      <w:r w:rsidR="00485699" w:rsidRPr="00887108">
        <w:t xml:space="preserve"> </w:t>
      </w:r>
      <w:r w:rsidR="007574A4" w:rsidRPr="00887108">
        <w:t>Na dosiahnutie rozpočtových cieľov b</w:t>
      </w:r>
      <w:r w:rsidR="00485699" w:rsidRPr="00887108">
        <w:t xml:space="preserve">udú </w:t>
      </w:r>
      <w:r w:rsidR="007574A4" w:rsidRPr="00887108">
        <w:t xml:space="preserve">preferované </w:t>
      </w:r>
      <w:r w:rsidR="00485699" w:rsidRPr="00887108">
        <w:t>opatrenia zvyšujúce efektívnosť verejných financií. Na výdavkovej strane</w:t>
      </w:r>
      <w:r w:rsidR="007574A4" w:rsidRPr="00887108">
        <w:t xml:space="preserve"> je prioritou </w:t>
      </w:r>
      <w:r w:rsidR="00485699" w:rsidRPr="00887108">
        <w:t>uplatňovan</w:t>
      </w:r>
      <w:r w:rsidR="007574A4" w:rsidRPr="00887108">
        <w:t>ie</w:t>
      </w:r>
      <w:r w:rsidR="00485699" w:rsidRPr="00887108">
        <w:t xml:space="preserve"> princípov hodnoty za peniaze</w:t>
      </w:r>
      <w:r w:rsidR="007574A4" w:rsidRPr="00887108">
        <w:t>, prehodnocovaním nákupov tovarov a služieb, hodnotením prínosov investícií aj auditmi činností</w:t>
      </w:r>
      <w:r w:rsidR="00485699" w:rsidRPr="00887108">
        <w:t>.</w:t>
      </w:r>
      <w:r w:rsidR="007574A4" w:rsidRPr="00887108">
        <w:t xml:space="preserve"> Na príjmovej strane </w:t>
      </w:r>
      <w:r w:rsidR="000D34DB" w:rsidRPr="00887108">
        <w:t xml:space="preserve">bude zohľadnená priorita prorastového daňového mixu, s dôrazom na jednoduchosť, odstraňovanie deformácií, zdaňovanie spotreby, majetku a negatívnych externalít namiesto aktivity, aj dosahovanie medzinárodne porovnateľných výsledkov v boji proti daňovým únikom.  </w:t>
      </w:r>
      <w:r w:rsidR="00485699" w:rsidRPr="00887108">
        <w:t xml:space="preserve"> </w:t>
      </w:r>
    </w:p>
    <w:p w14:paraId="712F4552" w14:textId="77777777" w:rsidR="00204588" w:rsidRPr="00887108" w:rsidRDefault="00204588" w:rsidP="00204588">
      <w:pPr>
        <w:pStyle w:val="Nadpis2"/>
        <w:keepLines/>
        <w:numPr>
          <w:ilvl w:val="1"/>
          <w:numId w:val="2"/>
        </w:numPr>
        <w:spacing w:before="240" w:after="120"/>
        <w:rPr>
          <w:b/>
          <w:color w:val="2C9ADC"/>
          <w:szCs w:val="24"/>
        </w:rPr>
      </w:pPr>
      <w:bookmarkStart w:id="116" w:name="_Toc40181051"/>
      <w:r w:rsidRPr="00887108">
        <w:rPr>
          <w:b/>
          <w:color w:val="2C9ADC"/>
          <w:szCs w:val="24"/>
        </w:rPr>
        <w:t>Štrukturálne saldo</w:t>
      </w:r>
      <w:bookmarkEnd w:id="110"/>
      <w:bookmarkEnd w:id="111"/>
      <w:bookmarkEnd w:id="112"/>
      <w:bookmarkEnd w:id="113"/>
      <w:bookmarkEnd w:id="116"/>
    </w:p>
    <w:p w14:paraId="61E9CCE4" w14:textId="240C849C" w:rsidR="00204588" w:rsidRPr="00887108" w:rsidRDefault="00204588" w:rsidP="00204588">
      <w:pPr>
        <w:spacing w:after="240"/>
        <w:jc w:val="both"/>
        <w:rPr>
          <w:highlight w:val="yellow"/>
        </w:rPr>
      </w:pPr>
      <w:r w:rsidRPr="00887108">
        <w:rPr>
          <w:b/>
        </w:rPr>
        <w:t xml:space="preserve">Štrukturálny deficit </w:t>
      </w:r>
      <w:r w:rsidR="00F938E3" w:rsidRPr="00887108">
        <w:rPr>
          <w:b/>
        </w:rPr>
        <w:t xml:space="preserve">sa </w:t>
      </w:r>
      <w:r w:rsidRPr="00887108">
        <w:rPr>
          <w:b/>
        </w:rPr>
        <w:t xml:space="preserve">v roku 2019 </w:t>
      </w:r>
      <w:r w:rsidR="00F938E3" w:rsidRPr="00887108">
        <w:rPr>
          <w:b/>
        </w:rPr>
        <w:t xml:space="preserve">mierne zvýšil na </w:t>
      </w:r>
      <w:r w:rsidRPr="00887108">
        <w:rPr>
          <w:b/>
        </w:rPr>
        <w:t xml:space="preserve">úroveň 2,0 % HDP, keď sa ekonomika ešte stále nachádzala mierne nad svojím potenciálom. </w:t>
      </w:r>
      <w:r w:rsidRPr="00887108">
        <w:t xml:space="preserve">Expanzívna fiškálna politika v roku 2019 </w:t>
      </w:r>
      <w:r w:rsidR="00F938E3" w:rsidRPr="00887108">
        <w:t xml:space="preserve">presiahla požadované konsolidačné úsilie o 0,5 % HDP a </w:t>
      </w:r>
      <w:r w:rsidRPr="00887108">
        <w:t>spôsobila výrazné odchýlenie od pravidiel Paktu. Po zohľadnení vývoja aj v rok</w:t>
      </w:r>
      <w:r w:rsidR="00E03040" w:rsidRPr="00887108">
        <w:t>u</w:t>
      </w:r>
      <w:r w:rsidRPr="00887108">
        <w:t xml:space="preserve"> 2018 bol rozpočtový vývoj za oba roky v rozpore s požadovanou konsolidáciou, keď sa štrukturálne saldo výrazne odchýlilo od pravidiel Paktu (o 0,6 % HDP).</w:t>
      </w:r>
      <w:r w:rsidR="00F938E3" w:rsidRPr="00887108">
        <w:t xml:space="preserve"> V oboch rokoch 2018 a 2019 bola fiškálna politika </w:t>
      </w:r>
      <w:r w:rsidR="00E03040" w:rsidRPr="00887108">
        <w:t xml:space="preserve">procyklicky </w:t>
      </w:r>
      <w:r w:rsidR="00F938E3" w:rsidRPr="00887108">
        <w:t>expanzívna, keď sa ekonomika nachádzala nad svojim potenciálom a nepotrebovala dodatočný impulz.</w:t>
      </w:r>
    </w:p>
    <w:p w14:paraId="61664288" w14:textId="025FD251" w:rsidR="00204588" w:rsidRPr="00887108" w:rsidRDefault="00204588" w:rsidP="00204588">
      <w:pPr>
        <w:jc w:val="both"/>
      </w:pPr>
      <w:r w:rsidRPr="00887108">
        <w:rPr>
          <w:b/>
        </w:rPr>
        <w:t>V tomto roku narastie štrukturálny deficit na úroveň 4,0 % HDP, v dôsledku prijatia viacerých opatrení v roku 2019 a výpadku daňovo-odvodových príjmov vplyvom pandémie COVID19</w:t>
      </w:r>
      <w:r w:rsidRPr="00887108">
        <w:rPr>
          <w:rStyle w:val="Odkaznapoznmkupodiarou"/>
          <w:b/>
          <w:lang w:val="sk-SK"/>
        </w:rPr>
        <w:footnoteReference w:id="33"/>
      </w:r>
      <w:r w:rsidRPr="00887108">
        <w:rPr>
          <w:b/>
        </w:rPr>
        <w:t>.</w:t>
      </w:r>
      <w:r w:rsidRPr="00887108">
        <w:t xml:space="preserve"> </w:t>
      </w:r>
      <w:r w:rsidR="00863CF8" w:rsidRPr="00887108">
        <w:t xml:space="preserve">Aj po odrátaní </w:t>
      </w:r>
      <w:r w:rsidR="004B6466" w:rsidRPr="00887108">
        <w:t>vplyvu krízy na príjmy a výdavky</w:t>
      </w:r>
      <w:r w:rsidRPr="00887108">
        <w:t xml:space="preserve"> dôjde k výraznému nárastu štrukturálneho deficitu. Výdavkové opatrenia zamerané na boj proti koronavírusu majú jednorazový charakter a štrukturálne saldo sa o ne očisťuje</w:t>
      </w:r>
      <w:r w:rsidR="009511F3" w:rsidRPr="00887108">
        <w:t xml:space="preserve"> (</w:t>
      </w:r>
      <w:r w:rsidR="009511F3" w:rsidRPr="00887108">
        <w:rPr>
          <w:color w:val="2C9ADC" w:themeColor="accent1"/>
        </w:rPr>
        <w:t>v</w:t>
      </w:r>
      <w:r w:rsidR="002C3830" w:rsidRPr="00887108">
        <w:rPr>
          <w:color w:val="2C9ADC" w:themeColor="accent1"/>
        </w:rPr>
        <w:t>iac v</w:t>
      </w:r>
      <w:r w:rsidR="009511F3" w:rsidRPr="00887108">
        <w:rPr>
          <w:color w:val="2C9ADC" w:themeColor="accent1"/>
        </w:rPr>
        <w:t> časti 2.2</w:t>
      </w:r>
      <w:r w:rsidR="009511F3" w:rsidRPr="00887108">
        <w:t>)</w:t>
      </w:r>
      <w:r w:rsidR="00905528" w:rsidRPr="00887108">
        <w:t>.</w:t>
      </w:r>
      <w:r w:rsidR="00EA153E" w:rsidRPr="00887108">
        <w:t xml:space="preserve"> </w:t>
      </w:r>
      <w:r w:rsidRPr="00887108">
        <w:t>K </w:t>
      </w:r>
      <w:r w:rsidR="0015458D" w:rsidRPr="00887108">
        <w:t xml:space="preserve">výraznému </w:t>
      </w:r>
      <w:r w:rsidRPr="00887108">
        <w:t>rastu štrukturálneho deficitu prispeje</w:t>
      </w:r>
      <w:r w:rsidR="002456FC" w:rsidRPr="00887108">
        <w:t xml:space="preserve"> schválenie 13-tych dôchodkov </w:t>
      </w:r>
      <w:r w:rsidRPr="00887108">
        <w:t>a tiež viaceré opatrenia prijaté ešte v roku 2019</w:t>
      </w:r>
      <w:r w:rsidR="00DB763B" w:rsidRPr="00887108">
        <w:t>,</w:t>
      </w:r>
      <w:r w:rsidR="00A81C1B" w:rsidRPr="00887108">
        <w:t xml:space="preserve"> </w:t>
      </w:r>
      <w:r w:rsidRPr="00887108">
        <w:t xml:space="preserve">najmä </w:t>
      </w:r>
      <w:r w:rsidR="00DB763B" w:rsidRPr="00887108">
        <w:t xml:space="preserve">nárast miezd o 10 % vo verejnej správe, </w:t>
      </w:r>
      <w:r w:rsidRPr="00887108">
        <w:t>zvýšenie rodičovského príspevku</w:t>
      </w:r>
      <w:r w:rsidR="004B6466" w:rsidRPr="00887108">
        <w:t>,</w:t>
      </w:r>
      <w:r w:rsidR="00DB763B" w:rsidRPr="00887108">
        <w:t xml:space="preserve"> zvýšenie minimálnych dôchodkov</w:t>
      </w:r>
      <w:r w:rsidR="004B6466" w:rsidRPr="00887108">
        <w:t xml:space="preserve">, </w:t>
      </w:r>
      <w:r w:rsidR="00DB763B" w:rsidRPr="00887108">
        <w:t>zvýšenie nezdaniteľnej časti základu dane a znížená sadzba DPH na vybrané potraviny</w:t>
      </w:r>
      <w:r w:rsidRPr="00887108">
        <w:t>)</w:t>
      </w:r>
      <w:r w:rsidR="00BF053C" w:rsidRPr="00887108">
        <w:t>.</w:t>
      </w:r>
    </w:p>
    <w:p w14:paraId="5D413C2A" w14:textId="77777777" w:rsidR="000570B1" w:rsidRPr="00887108" w:rsidRDefault="000570B1" w:rsidP="00204588">
      <w:pPr>
        <w:jc w:val="both"/>
      </w:pPr>
    </w:p>
    <w:p w14:paraId="4B544405" w14:textId="77777777" w:rsidR="000570B1" w:rsidRPr="00887108" w:rsidRDefault="000570B1" w:rsidP="00204588">
      <w:pPr>
        <w:jc w:val="both"/>
        <w:rPr>
          <w:highlight w:val="yellow"/>
        </w:rPr>
      </w:pPr>
    </w:p>
    <w:p w14:paraId="2B135757" w14:textId="77777777" w:rsidR="00204588" w:rsidRPr="00887108" w:rsidRDefault="00204588" w:rsidP="00204588">
      <w:pPr>
        <w:jc w:val="both"/>
        <w:rPr>
          <w:highlight w:val="yellow"/>
        </w:rPr>
      </w:pPr>
    </w:p>
    <w:tbl>
      <w:tblPr>
        <w:tblW w:w="9072" w:type="dxa"/>
        <w:jc w:val="center"/>
        <w:tblLayout w:type="fixed"/>
        <w:tblCellMar>
          <w:left w:w="70" w:type="dxa"/>
          <w:right w:w="70" w:type="dxa"/>
        </w:tblCellMar>
        <w:tblLook w:val="04A0" w:firstRow="1" w:lastRow="0" w:firstColumn="1" w:lastColumn="0" w:noHBand="0" w:noVBand="1"/>
      </w:tblPr>
      <w:tblGrid>
        <w:gridCol w:w="3107"/>
        <w:gridCol w:w="882"/>
        <w:gridCol w:w="1014"/>
        <w:gridCol w:w="1015"/>
        <w:gridCol w:w="1014"/>
        <w:gridCol w:w="1015"/>
        <w:gridCol w:w="1025"/>
      </w:tblGrid>
      <w:tr w:rsidR="00204588" w:rsidRPr="00887108" w14:paraId="4A601297" w14:textId="77777777" w:rsidTr="006053BA">
        <w:trPr>
          <w:trHeight w:val="131"/>
          <w:jc w:val="center"/>
        </w:trPr>
        <w:tc>
          <w:tcPr>
            <w:tcW w:w="9072" w:type="dxa"/>
            <w:gridSpan w:val="7"/>
            <w:tcBorders>
              <w:top w:val="nil"/>
              <w:left w:val="nil"/>
              <w:bottom w:val="single" w:sz="8" w:space="0" w:color="auto"/>
              <w:right w:val="nil"/>
            </w:tcBorders>
          </w:tcPr>
          <w:p w14:paraId="200A68B8" w14:textId="7DC2923B" w:rsidR="00204588" w:rsidRPr="00887108" w:rsidRDefault="00204588" w:rsidP="00204588">
            <w:pPr>
              <w:pStyle w:val="Popis"/>
              <w:keepNext/>
              <w:spacing w:after="0"/>
              <w:jc w:val="both"/>
              <w:rPr>
                <w:rFonts w:eastAsiaTheme="minorHAnsi" w:cs="Arial"/>
                <w:color w:val="2C9ADC"/>
                <w:sz w:val="20"/>
                <w:szCs w:val="26"/>
                <w:lang w:eastAsia="en-US"/>
              </w:rPr>
            </w:pPr>
            <w:bookmarkStart w:id="117" w:name="_Toc40186686"/>
            <w:r w:rsidRPr="00887108">
              <w:rPr>
                <w:rFonts w:eastAsiaTheme="minorHAnsi" w:cs="Arial"/>
                <w:color w:val="2C9ADC"/>
                <w:sz w:val="20"/>
                <w:szCs w:val="26"/>
                <w:lang w:eastAsia="en-US"/>
              </w:rPr>
              <w:t xml:space="preserve">TABUĽKA </w:t>
            </w:r>
            <w:r w:rsidRPr="00887108">
              <w:rPr>
                <w:rFonts w:eastAsiaTheme="minorHAnsi" w:cs="Arial"/>
                <w:color w:val="2C9ADC"/>
                <w:sz w:val="20"/>
                <w:szCs w:val="26"/>
                <w:lang w:eastAsia="en-US"/>
              </w:rPr>
              <w:fldChar w:fldCharType="begin"/>
            </w:r>
            <w:r w:rsidRPr="00887108">
              <w:rPr>
                <w:rFonts w:eastAsiaTheme="minorHAnsi" w:cs="Arial"/>
                <w:color w:val="2C9ADC"/>
                <w:sz w:val="20"/>
                <w:szCs w:val="26"/>
                <w:lang w:eastAsia="en-US"/>
              </w:rPr>
              <w:instrText xml:space="preserve"> SEQ TABUĽKA \* ARABIC </w:instrText>
            </w:r>
            <w:r w:rsidRPr="00887108">
              <w:rPr>
                <w:rFonts w:eastAsiaTheme="minorHAnsi" w:cs="Arial"/>
                <w:color w:val="2C9ADC"/>
                <w:sz w:val="20"/>
                <w:szCs w:val="26"/>
                <w:lang w:eastAsia="en-US"/>
              </w:rPr>
              <w:fldChar w:fldCharType="separate"/>
            </w:r>
            <w:r w:rsidR="00D47A36">
              <w:rPr>
                <w:rFonts w:eastAsiaTheme="minorHAnsi" w:cs="Arial"/>
                <w:noProof/>
                <w:color w:val="2C9ADC"/>
                <w:sz w:val="20"/>
                <w:szCs w:val="26"/>
                <w:lang w:eastAsia="en-US"/>
              </w:rPr>
              <w:t>9</w:t>
            </w:r>
            <w:r w:rsidRPr="00887108">
              <w:rPr>
                <w:rFonts w:eastAsiaTheme="minorHAnsi" w:cs="Arial"/>
                <w:color w:val="2C9ADC"/>
                <w:sz w:val="20"/>
                <w:szCs w:val="26"/>
                <w:lang w:eastAsia="en-US"/>
              </w:rPr>
              <w:fldChar w:fldCharType="end"/>
            </w:r>
            <w:r w:rsidRPr="00887108">
              <w:rPr>
                <w:rFonts w:eastAsiaTheme="minorHAnsi" w:cs="Arial"/>
                <w:color w:val="2C9ADC"/>
                <w:sz w:val="20"/>
                <w:szCs w:val="26"/>
                <w:lang w:eastAsia="en-US"/>
              </w:rPr>
              <w:t xml:space="preserve"> - Konsolidačné úsilie (ESA 2010, % HDP)</w:t>
            </w:r>
            <w:bookmarkEnd w:id="117"/>
          </w:p>
        </w:tc>
      </w:tr>
      <w:tr w:rsidR="00204588" w:rsidRPr="00887108" w14:paraId="1C5DD7B7" w14:textId="77777777" w:rsidTr="006053BA">
        <w:trPr>
          <w:trHeight w:val="141"/>
          <w:jc w:val="center"/>
        </w:trPr>
        <w:tc>
          <w:tcPr>
            <w:tcW w:w="3107" w:type="dxa"/>
            <w:tcBorders>
              <w:top w:val="nil"/>
              <w:left w:val="nil"/>
              <w:bottom w:val="single" w:sz="8" w:space="0" w:color="auto"/>
              <w:right w:val="single" w:sz="4" w:space="0" w:color="auto"/>
            </w:tcBorders>
            <w:shd w:val="clear" w:color="auto" w:fill="auto"/>
            <w:noWrap/>
            <w:vAlign w:val="center"/>
          </w:tcPr>
          <w:p w14:paraId="62B60A16" w14:textId="77777777" w:rsidR="00204588" w:rsidRPr="00887108" w:rsidRDefault="00204588" w:rsidP="00204588">
            <w:pPr>
              <w:jc w:val="center"/>
              <w:rPr>
                <w:rFonts w:cs="Times New Roman"/>
                <w:color w:val="000000"/>
                <w:sz w:val="20"/>
                <w:szCs w:val="20"/>
              </w:rPr>
            </w:pPr>
          </w:p>
        </w:tc>
        <w:tc>
          <w:tcPr>
            <w:tcW w:w="882" w:type="dxa"/>
            <w:tcBorders>
              <w:top w:val="nil"/>
              <w:left w:val="single" w:sz="4" w:space="0" w:color="auto"/>
              <w:bottom w:val="single" w:sz="4" w:space="0" w:color="auto"/>
              <w:right w:val="nil"/>
            </w:tcBorders>
            <w:shd w:val="clear" w:color="auto" w:fill="auto"/>
            <w:vAlign w:val="center"/>
          </w:tcPr>
          <w:p w14:paraId="7CADE905"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2018S</w:t>
            </w:r>
          </w:p>
        </w:tc>
        <w:tc>
          <w:tcPr>
            <w:tcW w:w="1014" w:type="dxa"/>
            <w:tcBorders>
              <w:top w:val="nil"/>
              <w:left w:val="nil"/>
              <w:bottom w:val="single" w:sz="4" w:space="0" w:color="auto"/>
              <w:right w:val="nil"/>
            </w:tcBorders>
            <w:shd w:val="clear" w:color="auto" w:fill="auto"/>
            <w:vAlign w:val="center"/>
          </w:tcPr>
          <w:p w14:paraId="36D16EC3"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2019S</w:t>
            </w:r>
          </w:p>
        </w:tc>
        <w:tc>
          <w:tcPr>
            <w:tcW w:w="1015" w:type="dxa"/>
            <w:tcBorders>
              <w:top w:val="nil"/>
              <w:left w:val="nil"/>
              <w:bottom w:val="single" w:sz="4" w:space="0" w:color="auto"/>
              <w:right w:val="nil"/>
            </w:tcBorders>
            <w:shd w:val="clear" w:color="auto" w:fill="auto"/>
            <w:vAlign w:val="center"/>
          </w:tcPr>
          <w:p w14:paraId="1B92F1C1"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2020OS</w:t>
            </w:r>
          </w:p>
        </w:tc>
        <w:tc>
          <w:tcPr>
            <w:tcW w:w="1014" w:type="dxa"/>
            <w:tcBorders>
              <w:top w:val="nil"/>
              <w:left w:val="nil"/>
              <w:bottom w:val="single" w:sz="4" w:space="0" w:color="auto"/>
              <w:right w:val="nil"/>
            </w:tcBorders>
            <w:shd w:val="clear" w:color="auto" w:fill="auto"/>
            <w:vAlign w:val="center"/>
          </w:tcPr>
          <w:p w14:paraId="6F513474"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2021PS</w:t>
            </w:r>
          </w:p>
        </w:tc>
        <w:tc>
          <w:tcPr>
            <w:tcW w:w="1015" w:type="dxa"/>
            <w:tcBorders>
              <w:top w:val="single" w:sz="4" w:space="0" w:color="auto"/>
              <w:left w:val="nil"/>
              <w:bottom w:val="single" w:sz="4" w:space="0" w:color="auto"/>
              <w:right w:val="nil"/>
            </w:tcBorders>
            <w:shd w:val="clear" w:color="auto" w:fill="auto"/>
            <w:vAlign w:val="center"/>
          </w:tcPr>
          <w:p w14:paraId="195640F3"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2022PS</w:t>
            </w:r>
          </w:p>
        </w:tc>
        <w:tc>
          <w:tcPr>
            <w:tcW w:w="1025" w:type="dxa"/>
            <w:tcBorders>
              <w:top w:val="single" w:sz="4" w:space="0" w:color="auto"/>
              <w:left w:val="nil"/>
              <w:bottom w:val="single" w:sz="4" w:space="0" w:color="auto"/>
              <w:right w:val="nil"/>
            </w:tcBorders>
            <w:shd w:val="clear" w:color="auto" w:fill="auto"/>
            <w:vAlign w:val="center"/>
          </w:tcPr>
          <w:p w14:paraId="1D067908" w14:textId="77777777" w:rsidR="00204588" w:rsidRPr="00887108" w:rsidRDefault="00204588" w:rsidP="00204588">
            <w:pPr>
              <w:jc w:val="center"/>
              <w:rPr>
                <w:rFonts w:cs="Times New Roman"/>
                <w:b/>
                <w:bCs/>
                <w:color w:val="000000"/>
                <w:sz w:val="18"/>
                <w:szCs w:val="18"/>
              </w:rPr>
            </w:pPr>
            <w:r w:rsidRPr="00887108">
              <w:rPr>
                <w:rFonts w:cs="Times New Roman"/>
                <w:b/>
                <w:bCs/>
                <w:color w:val="000000"/>
                <w:sz w:val="18"/>
                <w:szCs w:val="18"/>
              </w:rPr>
              <w:t>2023PS</w:t>
            </w:r>
          </w:p>
        </w:tc>
      </w:tr>
      <w:tr w:rsidR="00204588" w:rsidRPr="00887108" w14:paraId="760F115E" w14:textId="77777777" w:rsidTr="006053BA">
        <w:trPr>
          <w:trHeight w:val="141"/>
          <w:jc w:val="center"/>
        </w:trPr>
        <w:tc>
          <w:tcPr>
            <w:tcW w:w="3107" w:type="dxa"/>
            <w:tcBorders>
              <w:top w:val="nil"/>
              <w:left w:val="nil"/>
              <w:bottom w:val="nil"/>
              <w:right w:val="single" w:sz="4" w:space="0" w:color="auto"/>
            </w:tcBorders>
            <w:shd w:val="clear" w:color="auto" w:fill="auto"/>
            <w:vAlign w:val="center"/>
            <w:hideMark/>
          </w:tcPr>
          <w:p w14:paraId="5729369C" w14:textId="77777777" w:rsidR="00204588" w:rsidRPr="00887108" w:rsidRDefault="00204588" w:rsidP="00204588">
            <w:pPr>
              <w:rPr>
                <w:rFonts w:cs="Times New Roman"/>
                <w:b/>
                <w:bCs/>
                <w:color w:val="000000"/>
                <w:sz w:val="18"/>
                <w:szCs w:val="18"/>
              </w:rPr>
            </w:pPr>
            <w:r w:rsidRPr="00887108">
              <w:rPr>
                <w:rFonts w:cs="Times New Roman"/>
                <w:b/>
                <w:bCs/>
                <w:color w:val="000000"/>
                <w:sz w:val="18"/>
                <w:szCs w:val="18"/>
              </w:rPr>
              <w:t>1. Saldo verejnej správy</w:t>
            </w:r>
          </w:p>
        </w:tc>
        <w:tc>
          <w:tcPr>
            <w:tcW w:w="882" w:type="dxa"/>
            <w:tcBorders>
              <w:top w:val="single" w:sz="4" w:space="0" w:color="auto"/>
              <w:left w:val="single" w:sz="4" w:space="0" w:color="auto"/>
              <w:bottom w:val="nil"/>
            </w:tcBorders>
            <w:shd w:val="clear" w:color="auto" w:fill="auto"/>
            <w:vAlign w:val="center"/>
          </w:tcPr>
          <w:p w14:paraId="6320E22D"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-1,1</w:t>
            </w:r>
          </w:p>
        </w:tc>
        <w:tc>
          <w:tcPr>
            <w:tcW w:w="1014" w:type="dxa"/>
            <w:tcBorders>
              <w:top w:val="single" w:sz="4" w:space="0" w:color="auto"/>
              <w:bottom w:val="nil"/>
            </w:tcBorders>
            <w:shd w:val="clear" w:color="auto" w:fill="auto"/>
            <w:noWrap/>
            <w:vAlign w:val="center"/>
            <w:hideMark/>
          </w:tcPr>
          <w:p w14:paraId="7F91BA93"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-1,3</w:t>
            </w:r>
          </w:p>
        </w:tc>
        <w:tc>
          <w:tcPr>
            <w:tcW w:w="1015" w:type="dxa"/>
            <w:tcBorders>
              <w:top w:val="single" w:sz="4" w:space="0" w:color="auto"/>
              <w:bottom w:val="nil"/>
            </w:tcBorders>
            <w:shd w:val="clear" w:color="auto" w:fill="auto"/>
            <w:noWrap/>
            <w:vAlign w:val="center"/>
            <w:hideMark/>
          </w:tcPr>
          <w:p w14:paraId="14AF9EA1"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-8,4</w:t>
            </w:r>
          </w:p>
        </w:tc>
        <w:tc>
          <w:tcPr>
            <w:tcW w:w="1014" w:type="dxa"/>
            <w:tcBorders>
              <w:top w:val="single" w:sz="4" w:space="0" w:color="auto"/>
              <w:bottom w:val="nil"/>
            </w:tcBorders>
            <w:shd w:val="clear" w:color="auto" w:fill="auto"/>
            <w:noWrap/>
            <w:vAlign w:val="center"/>
            <w:hideMark/>
          </w:tcPr>
          <w:p w14:paraId="30653877"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-4,9</w:t>
            </w:r>
          </w:p>
        </w:tc>
        <w:tc>
          <w:tcPr>
            <w:tcW w:w="1015" w:type="dxa"/>
            <w:tcBorders>
              <w:top w:val="single" w:sz="4" w:space="0" w:color="auto"/>
              <w:bottom w:val="nil"/>
            </w:tcBorders>
            <w:shd w:val="clear" w:color="auto" w:fill="auto"/>
            <w:noWrap/>
            <w:vAlign w:val="center"/>
            <w:hideMark/>
          </w:tcPr>
          <w:p w14:paraId="36340CFD"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-3,7</w:t>
            </w:r>
          </w:p>
        </w:tc>
        <w:tc>
          <w:tcPr>
            <w:tcW w:w="1025" w:type="dxa"/>
            <w:tcBorders>
              <w:top w:val="single" w:sz="4" w:space="0" w:color="auto"/>
              <w:bottom w:val="nil"/>
              <w:right w:val="nil"/>
            </w:tcBorders>
            <w:shd w:val="clear" w:color="auto" w:fill="auto"/>
            <w:noWrap/>
            <w:vAlign w:val="center"/>
            <w:hideMark/>
          </w:tcPr>
          <w:p w14:paraId="05E324FF"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-2,9</w:t>
            </w:r>
          </w:p>
        </w:tc>
      </w:tr>
      <w:tr w:rsidR="00204588" w:rsidRPr="00887108" w14:paraId="2FE13D9E" w14:textId="77777777" w:rsidTr="006053BA">
        <w:trPr>
          <w:trHeight w:val="141"/>
          <w:jc w:val="center"/>
        </w:trPr>
        <w:tc>
          <w:tcPr>
            <w:tcW w:w="3107" w:type="dxa"/>
            <w:tcBorders>
              <w:top w:val="nil"/>
              <w:left w:val="nil"/>
              <w:bottom w:val="nil"/>
              <w:right w:val="single" w:sz="4" w:space="0" w:color="auto"/>
            </w:tcBorders>
            <w:shd w:val="clear" w:color="auto" w:fill="auto"/>
            <w:vAlign w:val="center"/>
            <w:hideMark/>
          </w:tcPr>
          <w:p w14:paraId="3B1A2EF9" w14:textId="77777777" w:rsidR="00204588" w:rsidRPr="00887108" w:rsidRDefault="00204588" w:rsidP="00204588">
            <w:pPr>
              <w:rPr>
                <w:rFonts w:cs="Times New Roman"/>
                <w:color w:val="000000"/>
                <w:sz w:val="18"/>
                <w:szCs w:val="18"/>
              </w:rPr>
            </w:pPr>
            <w:r w:rsidRPr="00887108">
              <w:rPr>
                <w:rFonts w:cs="Times New Roman"/>
                <w:color w:val="000000"/>
                <w:sz w:val="18"/>
                <w:szCs w:val="18"/>
              </w:rPr>
              <w:t>2. Cyklická zložka</w:t>
            </w:r>
          </w:p>
        </w:tc>
        <w:tc>
          <w:tcPr>
            <w:tcW w:w="882" w:type="dxa"/>
            <w:tcBorders>
              <w:top w:val="nil"/>
              <w:left w:val="single" w:sz="4" w:space="0" w:color="auto"/>
              <w:bottom w:val="nil"/>
            </w:tcBorders>
            <w:shd w:val="clear" w:color="auto" w:fill="auto"/>
            <w:vAlign w:val="center"/>
          </w:tcPr>
          <w:p w14:paraId="7688C89E"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0,7</w:t>
            </w:r>
          </w:p>
        </w:tc>
        <w:tc>
          <w:tcPr>
            <w:tcW w:w="1014" w:type="dxa"/>
            <w:tcBorders>
              <w:top w:val="nil"/>
              <w:bottom w:val="nil"/>
            </w:tcBorders>
            <w:shd w:val="clear" w:color="auto" w:fill="auto"/>
            <w:noWrap/>
            <w:vAlign w:val="center"/>
            <w:hideMark/>
          </w:tcPr>
          <w:p w14:paraId="78853E25"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0,7</w:t>
            </w:r>
          </w:p>
        </w:tc>
        <w:tc>
          <w:tcPr>
            <w:tcW w:w="1015" w:type="dxa"/>
            <w:tcBorders>
              <w:top w:val="nil"/>
              <w:bottom w:val="nil"/>
            </w:tcBorders>
            <w:shd w:val="clear" w:color="auto" w:fill="auto"/>
            <w:noWrap/>
            <w:vAlign w:val="center"/>
            <w:hideMark/>
          </w:tcPr>
          <w:p w14:paraId="2AAE0F3F"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-2,8</w:t>
            </w:r>
          </w:p>
        </w:tc>
        <w:tc>
          <w:tcPr>
            <w:tcW w:w="1014" w:type="dxa"/>
            <w:tcBorders>
              <w:top w:val="nil"/>
              <w:bottom w:val="nil"/>
            </w:tcBorders>
            <w:shd w:val="clear" w:color="auto" w:fill="auto"/>
            <w:noWrap/>
            <w:vAlign w:val="center"/>
            <w:hideMark/>
          </w:tcPr>
          <w:p w14:paraId="728BBCD3"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-1,2</w:t>
            </w:r>
          </w:p>
        </w:tc>
        <w:tc>
          <w:tcPr>
            <w:tcW w:w="1015" w:type="dxa"/>
            <w:tcBorders>
              <w:top w:val="nil"/>
              <w:bottom w:val="nil"/>
            </w:tcBorders>
            <w:shd w:val="clear" w:color="auto" w:fill="auto"/>
            <w:noWrap/>
            <w:vAlign w:val="center"/>
            <w:hideMark/>
          </w:tcPr>
          <w:p w14:paraId="75D7DBCB"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-0,5</w:t>
            </w:r>
          </w:p>
        </w:tc>
        <w:tc>
          <w:tcPr>
            <w:tcW w:w="1025" w:type="dxa"/>
            <w:tcBorders>
              <w:top w:val="nil"/>
              <w:bottom w:val="nil"/>
              <w:right w:val="nil"/>
            </w:tcBorders>
            <w:shd w:val="clear" w:color="auto" w:fill="auto"/>
            <w:noWrap/>
            <w:vAlign w:val="center"/>
            <w:hideMark/>
          </w:tcPr>
          <w:p w14:paraId="7517DF5F"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-0,2</w:t>
            </w:r>
          </w:p>
        </w:tc>
      </w:tr>
      <w:tr w:rsidR="00204588" w:rsidRPr="00887108" w14:paraId="19C84EEA" w14:textId="77777777" w:rsidTr="006053BA">
        <w:trPr>
          <w:trHeight w:val="141"/>
          <w:jc w:val="center"/>
        </w:trPr>
        <w:tc>
          <w:tcPr>
            <w:tcW w:w="3107" w:type="dxa"/>
            <w:tcBorders>
              <w:top w:val="nil"/>
              <w:left w:val="nil"/>
              <w:bottom w:val="nil"/>
              <w:right w:val="single" w:sz="4" w:space="0" w:color="auto"/>
            </w:tcBorders>
            <w:shd w:val="clear" w:color="auto" w:fill="auto"/>
            <w:vAlign w:val="center"/>
            <w:hideMark/>
          </w:tcPr>
          <w:p w14:paraId="6F05A4D9" w14:textId="463AD6EE" w:rsidR="00204588" w:rsidRPr="00887108" w:rsidRDefault="00204588" w:rsidP="00204588">
            <w:pPr>
              <w:rPr>
                <w:rFonts w:cs="Times New Roman"/>
                <w:color w:val="000000"/>
                <w:sz w:val="18"/>
                <w:szCs w:val="18"/>
              </w:rPr>
            </w:pPr>
            <w:r w:rsidRPr="00887108">
              <w:rPr>
                <w:rFonts w:cs="Times New Roman"/>
                <w:color w:val="000000"/>
                <w:sz w:val="18"/>
                <w:szCs w:val="18"/>
              </w:rPr>
              <w:t>3. Jednorazové efekty</w:t>
            </w:r>
            <w:r w:rsidR="00D03E3F" w:rsidRPr="00887108">
              <w:rPr>
                <w:rStyle w:val="Odkaznapoznmkupodiarou"/>
                <w:color w:val="000000"/>
                <w:sz w:val="18"/>
                <w:szCs w:val="18"/>
                <w:lang w:val="sk-SK"/>
              </w:rPr>
              <w:footnoteReference w:id="34"/>
            </w:r>
          </w:p>
        </w:tc>
        <w:tc>
          <w:tcPr>
            <w:tcW w:w="882" w:type="dxa"/>
            <w:tcBorders>
              <w:top w:val="nil"/>
              <w:left w:val="single" w:sz="4" w:space="0" w:color="auto"/>
            </w:tcBorders>
            <w:shd w:val="clear" w:color="auto" w:fill="auto"/>
            <w:vAlign w:val="center"/>
          </w:tcPr>
          <w:p w14:paraId="4691F97D"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0,0</w:t>
            </w:r>
          </w:p>
        </w:tc>
        <w:tc>
          <w:tcPr>
            <w:tcW w:w="1014" w:type="dxa"/>
            <w:tcBorders>
              <w:top w:val="nil"/>
            </w:tcBorders>
            <w:shd w:val="clear" w:color="auto" w:fill="auto"/>
            <w:noWrap/>
            <w:vAlign w:val="center"/>
            <w:hideMark/>
          </w:tcPr>
          <w:p w14:paraId="691D1689"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0,0</w:t>
            </w:r>
          </w:p>
        </w:tc>
        <w:tc>
          <w:tcPr>
            <w:tcW w:w="1015" w:type="dxa"/>
            <w:tcBorders>
              <w:top w:val="nil"/>
            </w:tcBorders>
            <w:shd w:val="clear" w:color="auto" w:fill="auto"/>
            <w:noWrap/>
            <w:vAlign w:val="center"/>
            <w:hideMark/>
          </w:tcPr>
          <w:p w14:paraId="1BF675B7" w14:textId="7EA4666C" w:rsidR="00204588" w:rsidRPr="00887108" w:rsidRDefault="00204588" w:rsidP="00204588">
            <w:pPr>
              <w:jc w:val="center"/>
              <w:rPr>
                <w:rFonts w:cs="Times New Roman"/>
                <w:color w:val="000000"/>
                <w:sz w:val="18"/>
                <w:szCs w:val="20"/>
                <w:highlight w:val="yellow"/>
              </w:rPr>
            </w:pPr>
            <w:r w:rsidRPr="00887108">
              <w:rPr>
                <w:color w:val="000000"/>
                <w:sz w:val="18"/>
                <w:szCs w:val="18"/>
              </w:rPr>
              <w:t>-1,6</w:t>
            </w:r>
            <w:r w:rsidR="00EB0847" w:rsidRPr="00887108">
              <w:rPr>
                <w:color w:val="000000"/>
                <w:sz w:val="18"/>
                <w:szCs w:val="18"/>
              </w:rPr>
              <w:t>**</w:t>
            </w:r>
          </w:p>
        </w:tc>
        <w:tc>
          <w:tcPr>
            <w:tcW w:w="1014" w:type="dxa"/>
            <w:tcBorders>
              <w:top w:val="nil"/>
            </w:tcBorders>
            <w:shd w:val="clear" w:color="auto" w:fill="auto"/>
            <w:noWrap/>
            <w:vAlign w:val="center"/>
            <w:hideMark/>
          </w:tcPr>
          <w:p w14:paraId="590EAF31"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0,0</w:t>
            </w:r>
          </w:p>
        </w:tc>
        <w:tc>
          <w:tcPr>
            <w:tcW w:w="1015" w:type="dxa"/>
            <w:tcBorders>
              <w:top w:val="nil"/>
            </w:tcBorders>
            <w:shd w:val="clear" w:color="auto" w:fill="auto"/>
            <w:noWrap/>
            <w:vAlign w:val="center"/>
            <w:hideMark/>
          </w:tcPr>
          <w:p w14:paraId="2363D01B"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0,0</w:t>
            </w:r>
          </w:p>
        </w:tc>
        <w:tc>
          <w:tcPr>
            <w:tcW w:w="1025" w:type="dxa"/>
            <w:tcBorders>
              <w:top w:val="nil"/>
              <w:right w:val="nil"/>
            </w:tcBorders>
            <w:shd w:val="clear" w:color="auto" w:fill="auto"/>
            <w:noWrap/>
            <w:vAlign w:val="center"/>
            <w:hideMark/>
          </w:tcPr>
          <w:p w14:paraId="47336577" w14:textId="77777777" w:rsidR="00204588" w:rsidRPr="00887108" w:rsidRDefault="00204588" w:rsidP="00204588">
            <w:pPr>
              <w:jc w:val="center"/>
              <w:rPr>
                <w:rFonts w:cs="Times New Roman"/>
                <w:color w:val="000000"/>
                <w:sz w:val="18"/>
                <w:szCs w:val="20"/>
                <w:highlight w:val="yellow"/>
              </w:rPr>
            </w:pPr>
            <w:r w:rsidRPr="00887108">
              <w:rPr>
                <w:color w:val="000000"/>
                <w:sz w:val="18"/>
                <w:szCs w:val="18"/>
              </w:rPr>
              <w:t>0,0</w:t>
            </w:r>
          </w:p>
        </w:tc>
      </w:tr>
      <w:tr w:rsidR="00204588" w:rsidRPr="00887108" w14:paraId="05E53031" w14:textId="77777777" w:rsidTr="006053BA">
        <w:trPr>
          <w:trHeight w:val="141"/>
          <w:jc w:val="center"/>
        </w:trPr>
        <w:tc>
          <w:tcPr>
            <w:tcW w:w="3107" w:type="dxa"/>
            <w:tcBorders>
              <w:top w:val="nil"/>
              <w:left w:val="nil"/>
              <w:bottom w:val="nil"/>
              <w:right w:val="single" w:sz="4" w:space="0" w:color="auto"/>
            </w:tcBorders>
            <w:shd w:val="clear" w:color="auto" w:fill="auto"/>
            <w:noWrap/>
            <w:vAlign w:val="center"/>
            <w:hideMark/>
          </w:tcPr>
          <w:p w14:paraId="348821D4" w14:textId="77777777" w:rsidR="00204588" w:rsidRPr="00887108" w:rsidRDefault="00204588" w:rsidP="00204588">
            <w:pPr>
              <w:rPr>
                <w:rFonts w:cs="Times New Roman"/>
                <w:b/>
                <w:bCs/>
                <w:color w:val="000000"/>
                <w:sz w:val="18"/>
                <w:szCs w:val="18"/>
              </w:rPr>
            </w:pPr>
            <w:r w:rsidRPr="00887108">
              <w:rPr>
                <w:rFonts w:cs="Times New Roman"/>
                <w:b/>
                <w:bCs/>
                <w:color w:val="000000"/>
                <w:sz w:val="18"/>
                <w:szCs w:val="18"/>
              </w:rPr>
              <w:t>4. Štrukturálne saldo (1-2-3)</w:t>
            </w:r>
          </w:p>
        </w:tc>
        <w:tc>
          <w:tcPr>
            <w:tcW w:w="882" w:type="dxa"/>
            <w:tcBorders>
              <w:top w:val="nil"/>
              <w:left w:val="single" w:sz="4" w:space="0" w:color="auto"/>
              <w:bottom w:val="single" w:sz="4" w:space="0" w:color="auto"/>
            </w:tcBorders>
            <w:shd w:val="clear" w:color="auto" w:fill="auto"/>
            <w:vAlign w:val="center"/>
          </w:tcPr>
          <w:p w14:paraId="65868C0B"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-1,8</w:t>
            </w:r>
          </w:p>
        </w:tc>
        <w:tc>
          <w:tcPr>
            <w:tcW w:w="1014" w:type="dxa"/>
            <w:tcBorders>
              <w:top w:val="nil"/>
              <w:bottom w:val="single" w:sz="4" w:space="0" w:color="auto"/>
            </w:tcBorders>
            <w:shd w:val="clear" w:color="auto" w:fill="auto"/>
            <w:noWrap/>
            <w:vAlign w:val="center"/>
            <w:hideMark/>
          </w:tcPr>
          <w:p w14:paraId="75B76D84"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-2,0</w:t>
            </w:r>
          </w:p>
        </w:tc>
        <w:tc>
          <w:tcPr>
            <w:tcW w:w="1015" w:type="dxa"/>
            <w:tcBorders>
              <w:top w:val="nil"/>
              <w:bottom w:val="single" w:sz="4" w:space="0" w:color="auto"/>
            </w:tcBorders>
            <w:shd w:val="clear" w:color="auto" w:fill="auto"/>
            <w:noWrap/>
            <w:vAlign w:val="center"/>
            <w:hideMark/>
          </w:tcPr>
          <w:p w14:paraId="18F153E5"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-4,0</w:t>
            </w:r>
          </w:p>
        </w:tc>
        <w:tc>
          <w:tcPr>
            <w:tcW w:w="1014" w:type="dxa"/>
            <w:tcBorders>
              <w:top w:val="nil"/>
              <w:bottom w:val="single" w:sz="4" w:space="0" w:color="auto"/>
            </w:tcBorders>
            <w:shd w:val="clear" w:color="auto" w:fill="auto"/>
            <w:noWrap/>
            <w:vAlign w:val="center"/>
            <w:hideMark/>
          </w:tcPr>
          <w:p w14:paraId="7D2C443D"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-3,7</w:t>
            </w:r>
          </w:p>
        </w:tc>
        <w:tc>
          <w:tcPr>
            <w:tcW w:w="1015" w:type="dxa"/>
            <w:tcBorders>
              <w:top w:val="nil"/>
              <w:bottom w:val="single" w:sz="4" w:space="0" w:color="auto"/>
            </w:tcBorders>
            <w:shd w:val="clear" w:color="auto" w:fill="auto"/>
            <w:noWrap/>
            <w:vAlign w:val="center"/>
            <w:hideMark/>
          </w:tcPr>
          <w:p w14:paraId="2642E660"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-3,2</w:t>
            </w:r>
          </w:p>
        </w:tc>
        <w:tc>
          <w:tcPr>
            <w:tcW w:w="1025" w:type="dxa"/>
            <w:tcBorders>
              <w:top w:val="nil"/>
              <w:bottom w:val="single" w:sz="4" w:space="0" w:color="auto"/>
              <w:right w:val="nil"/>
            </w:tcBorders>
            <w:shd w:val="clear" w:color="auto" w:fill="auto"/>
            <w:noWrap/>
            <w:vAlign w:val="center"/>
            <w:hideMark/>
          </w:tcPr>
          <w:p w14:paraId="6F8CC16C"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-2,7</w:t>
            </w:r>
          </w:p>
        </w:tc>
      </w:tr>
      <w:tr w:rsidR="00204588" w:rsidRPr="00887108" w14:paraId="73FF46EC" w14:textId="77777777" w:rsidTr="006053BA">
        <w:trPr>
          <w:trHeight w:val="141"/>
          <w:jc w:val="center"/>
        </w:trPr>
        <w:tc>
          <w:tcPr>
            <w:tcW w:w="3107" w:type="dxa"/>
            <w:tcBorders>
              <w:top w:val="single" w:sz="8" w:space="0" w:color="auto"/>
              <w:left w:val="nil"/>
              <w:bottom w:val="single" w:sz="8" w:space="0" w:color="auto"/>
              <w:right w:val="single" w:sz="4" w:space="0" w:color="auto"/>
            </w:tcBorders>
            <w:shd w:val="clear" w:color="auto" w:fill="auto"/>
            <w:noWrap/>
            <w:vAlign w:val="center"/>
            <w:hideMark/>
          </w:tcPr>
          <w:p w14:paraId="44768744" w14:textId="77777777" w:rsidR="00204588" w:rsidRPr="00887108" w:rsidRDefault="00204588" w:rsidP="00204588">
            <w:pPr>
              <w:rPr>
                <w:rFonts w:cs="Times New Roman"/>
                <w:b/>
                <w:bCs/>
                <w:color w:val="000000"/>
                <w:sz w:val="18"/>
                <w:szCs w:val="18"/>
              </w:rPr>
            </w:pPr>
            <w:r w:rsidRPr="00887108">
              <w:rPr>
                <w:rFonts w:cs="Times New Roman"/>
                <w:b/>
                <w:bCs/>
                <w:color w:val="000000"/>
                <w:sz w:val="18"/>
                <w:szCs w:val="18"/>
              </w:rPr>
              <w:t xml:space="preserve">5. Konsolidačné úsilie </w:t>
            </w:r>
          </w:p>
        </w:tc>
        <w:tc>
          <w:tcPr>
            <w:tcW w:w="882" w:type="dxa"/>
            <w:tcBorders>
              <w:top w:val="single" w:sz="4" w:space="0" w:color="auto"/>
              <w:left w:val="single" w:sz="4" w:space="0" w:color="auto"/>
              <w:bottom w:val="single" w:sz="4" w:space="0" w:color="auto"/>
            </w:tcBorders>
            <w:shd w:val="clear" w:color="auto" w:fill="auto"/>
            <w:vAlign w:val="center"/>
          </w:tcPr>
          <w:p w14:paraId="12300FC7"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-0,7</w:t>
            </w:r>
          </w:p>
        </w:tc>
        <w:tc>
          <w:tcPr>
            <w:tcW w:w="1014" w:type="dxa"/>
            <w:tcBorders>
              <w:top w:val="single" w:sz="4" w:space="0" w:color="auto"/>
              <w:bottom w:val="single" w:sz="4" w:space="0" w:color="auto"/>
            </w:tcBorders>
            <w:shd w:val="clear" w:color="auto" w:fill="auto"/>
            <w:noWrap/>
            <w:vAlign w:val="center"/>
            <w:hideMark/>
          </w:tcPr>
          <w:p w14:paraId="58D9F120"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-0,2</w:t>
            </w:r>
          </w:p>
        </w:tc>
        <w:tc>
          <w:tcPr>
            <w:tcW w:w="1015" w:type="dxa"/>
            <w:tcBorders>
              <w:top w:val="single" w:sz="4" w:space="0" w:color="auto"/>
              <w:bottom w:val="single" w:sz="4" w:space="0" w:color="auto"/>
            </w:tcBorders>
            <w:shd w:val="clear" w:color="auto" w:fill="auto"/>
            <w:noWrap/>
            <w:vAlign w:val="center"/>
            <w:hideMark/>
          </w:tcPr>
          <w:p w14:paraId="3C043C6E"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-2,0</w:t>
            </w:r>
          </w:p>
        </w:tc>
        <w:tc>
          <w:tcPr>
            <w:tcW w:w="1014" w:type="dxa"/>
            <w:tcBorders>
              <w:top w:val="single" w:sz="4" w:space="0" w:color="auto"/>
              <w:bottom w:val="single" w:sz="4" w:space="0" w:color="auto"/>
            </w:tcBorders>
            <w:shd w:val="clear" w:color="auto" w:fill="auto"/>
            <w:noWrap/>
            <w:vAlign w:val="center"/>
            <w:hideMark/>
          </w:tcPr>
          <w:p w14:paraId="098F1FB5"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0,2</w:t>
            </w:r>
          </w:p>
        </w:tc>
        <w:tc>
          <w:tcPr>
            <w:tcW w:w="1015" w:type="dxa"/>
            <w:tcBorders>
              <w:top w:val="single" w:sz="4" w:space="0" w:color="auto"/>
              <w:bottom w:val="single" w:sz="4" w:space="0" w:color="auto"/>
            </w:tcBorders>
            <w:shd w:val="clear" w:color="auto" w:fill="auto"/>
            <w:noWrap/>
            <w:vAlign w:val="center"/>
            <w:hideMark/>
          </w:tcPr>
          <w:p w14:paraId="52C00AC4"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0,5</w:t>
            </w:r>
          </w:p>
        </w:tc>
        <w:tc>
          <w:tcPr>
            <w:tcW w:w="1025" w:type="dxa"/>
            <w:tcBorders>
              <w:top w:val="single" w:sz="4" w:space="0" w:color="auto"/>
              <w:bottom w:val="single" w:sz="4" w:space="0" w:color="auto"/>
              <w:right w:val="nil"/>
            </w:tcBorders>
            <w:shd w:val="clear" w:color="auto" w:fill="auto"/>
            <w:noWrap/>
            <w:vAlign w:val="center"/>
            <w:hideMark/>
          </w:tcPr>
          <w:p w14:paraId="2C69DAE5" w14:textId="77777777" w:rsidR="00204588" w:rsidRPr="00887108" w:rsidRDefault="00204588" w:rsidP="00204588">
            <w:pPr>
              <w:jc w:val="center"/>
              <w:rPr>
                <w:rFonts w:cs="Times New Roman"/>
                <w:b/>
                <w:bCs/>
                <w:color w:val="000000"/>
                <w:sz w:val="18"/>
                <w:szCs w:val="20"/>
                <w:highlight w:val="yellow"/>
              </w:rPr>
            </w:pPr>
            <w:r w:rsidRPr="00887108">
              <w:rPr>
                <w:b/>
                <w:bCs/>
                <w:color w:val="000000"/>
                <w:sz w:val="18"/>
                <w:szCs w:val="18"/>
              </w:rPr>
              <w:t>0,5</w:t>
            </w:r>
          </w:p>
        </w:tc>
      </w:tr>
      <w:tr w:rsidR="006053BA" w:rsidRPr="00887108" w14:paraId="1D34A6FE" w14:textId="77777777" w:rsidTr="006053BA">
        <w:trPr>
          <w:trHeight w:val="141"/>
          <w:jc w:val="center"/>
        </w:trPr>
        <w:tc>
          <w:tcPr>
            <w:tcW w:w="3107" w:type="dxa"/>
            <w:tcBorders>
              <w:top w:val="single" w:sz="8" w:space="0" w:color="auto"/>
              <w:left w:val="nil"/>
              <w:right w:val="single" w:sz="4" w:space="0" w:color="auto"/>
            </w:tcBorders>
            <w:shd w:val="clear" w:color="auto" w:fill="auto"/>
            <w:noWrap/>
            <w:vAlign w:val="center"/>
          </w:tcPr>
          <w:p w14:paraId="2350D3BB" w14:textId="77777777" w:rsidR="006053BA" w:rsidRPr="00887108" w:rsidRDefault="006053BA" w:rsidP="006053BA">
            <w:pPr>
              <w:rPr>
                <w:rFonts w:cs="Times New Roman"/>
                <w:b/>
                <w:bCs/>
                <w:color w:val="000000"/>
                <w:sz w:val="18"/>
                <w:szCs w:val="18"/>
              </w:rPr>
            </w:pPr>
            <w:r w:rsidRPr="00887108">
              <w:rPr>
                <w:rFonts w:cs="Times New Roman"/>
                <w:b/>
                <w:bCs/>
                <w:color w:val="000000"/>
                <w:sz w:val="18"/>
                <w:szCs w:val="18"/>
              </w:rPr>
              <w:t>Jednoročná odchýlka*</w:t>
            </w:r>
          </w:p>
        </w:tc>
        <w:tc>
          <w:tcPr>
            <w:tcW w:w="882" w:type="dxa"/>
            <w:tcBorders>
              <w:top w:val="single" w:sz="4" w:space="0" w:color="auto"/>
              <w:left w:val="single" w:sz="4" w:space="0" w:color="auto"/>
              <w:right w:val="nil"/>
            </w:tcBorders>
            <w:shd w:val="clear" w:color="auto" w:fill="FFD5D5"/>
            <w:vAlign w:val="center"/>
          </w:tcPr>
          <w:p w14:paraId="6ED77A7B" w14:textId="77777777" w:rsidR="006053BA" w:rsidRPr="00887108" w:rsidRDefault="006053BA" w:rsidP="006053BA">
            <w:pPr>
              <w:jc w:val="center"/>
              <w:rPr>
                <w:b/>
                <w:bCs/>
                <w:sz w:val="18"/>
                <w:szCs w:val="18"/>
              </w:rPr>
            </w:pPr>
            <w:r w:rsidRPr="00887108">
              <w:rPr>
                <w:color w:val="9C0006"/>
                <w:sz w:val="18"/>
                <w:szCs w:val="18"/>
              </w:rPr>
              <w:t>-0,8</w:t>
            </w:r>
          </w:p>
        </w:tc>
        <w:tc>
          <w:tcPr>
            <w:tcW w:w="1014" w:type="dxa"/>
            <w:tcBorders>
              <w:top w:val="single" w:sz="4" w:space="0" w:color="auto"/>
              <w:left w:val="nil"/>
              <w:right w:val="nil"/>
            </w:tcBorders>
            <w:shd w:val="clear" w:color="auto" w:fill="FFD5D5"/>
            <w:noWrap/>
            <w:vAlign w:val="center"/>
          </w:tcPr>
          <w:p w14:paraId="5B82C0CF" w14:textId="77777777" w:rsidR="006053BA" w:rsidRPr="00887108" w:rsidRDefault="006053BA" w:rsidP="006053BA">
            <w:pPr>
              <w:jc w:val="center"/>
              <w:rPr>
                <w:rFonts w:cs="Times New Roman"/>
                <w:b/>
                <w:bCs/>
                <w:sz w:val="18"/>
                <w:szCs w:val="18"/>
              </w:rPr>
            </w:pPr>
            <w:r w:rsidRPr="00887108">
              <w:rPr>
                <w:color w:val="9C0006"/>
                <w:sz w:val="18"/>
                <w:szCs w:val="18"/>
              </w:rPr>
              <w:t>-0,5</w:t>
            </w:r>
          </w:p>
        </w:tc>
        <w:tc>
          <w:tcPr>
            <w:tcW w:w="1015" w:type="dxa"/>
            <w:tcBorders>
              <w:top w:val="single" w:sz="4" w:space="0" w:color="auto"/>
              <w:left w:val="nil"/>
              <w:bottom w:val="nil"/>
              <w:right w:val="nil"/>
            </w:tcBorders>
            <w:shd w:val="clear" w:color="auto" w:fill="auto"/>
            <w:noWrap/>
            <w:vAlign w:val="center"/>
          </w:tcPr>
          <w:p w14:paraId="422BB66B" w14:textId="77777777" w:rsidR="006053BA" w:rsidRPr="00887108" w:rsidRDefault="006053BA" w:rsidP="006053BA">
            <w:pPr>
              <w:jc w:val="center"/>
              <w:rPr>
                <w:rFonts w:cs="Times New Roman"/>
                <w:b/>
                <w:bCs/>
                <w:sz w:val="18"/>
                <w:szCs w:val="18"/>
              </w:rPr>
            </w:pPr>
            <w:r w:rsidRPr="00887108">
              <w:rPr>
                <w:rFonts w:cs="Times New Roman"/>
                <w:b/>
                <w:bCs/>
                <w:sz w:val="18"/>
                <w:szCs w:val="18"/>
              </w:rPr>
              <w:t>-</w:t>
            </w:r>
          </w:p>
        </w:tc>
        <w:tc>
          <w:tcPr>
            <w:tcW w:w="1014" w:type="dxa"/>
            <w:tcBorders>
              <w:top w:val="single" w:sz="4" w:space="0" w:color="auto"/>
              <w:left w:val="nil"/>
              <w:bottom w:val="nil"/>
              <w:right w:val="nil"/>
            </w:tcBorders>
            <w:shd w:val="clear" w:color="auto" w:fill="B0D6AF" w:themeFill="accent3"/>
            <w:noWrap/>
            <w:vAlign w:val="center"/>
          </w:tcPr>
          <w:p w14:paraId="2201EBF5" w14:textId="37341DC3" w:rsidR="006053BA" w:rsidRPr="00887108" w:rsidRDefault="006053BA" w:rsidP="006053BA">
            <w:pPr>
              <w:jc w:val="center"/>
              <w:rPr>
                <w:rFonts w:cs="Times New Roman"/>
                <w:b/>
                <w:bCs/>
                <w:sz w:val="18"/>
                <w:szCs w:val="18"/>
              </w:rPr>
            </w:pPr>
            <w:r w:rsidRPr="00887108">
              <w:rPr>
                <w:color w:val="006100"/>
                <w:sz w:val="18"/>
                <w:szCs w:val="18"/>
              </w:rPr>
              <w:t>0,0</w:t>
            </w:r>
          </w:p>
        </w:tc>
        <w:tc>
          <w:tcPr>
            <w:tcW w:w="1015" w:type="dxa"/>
            <w:tcBorders>
              <w:top w:val="single" w:sz="4" w:space="0" w:color="auto"/>
              <w:left w:val="nil"/>
              <w:bottom w:val="nil"/>
              <w:right w:val="nil"/>
            </w:tcBorders>
            <w:shd w:val="clear" w:color="auto" w:fill="B0D6AF" w:themeFill="accent3"/>
            <w:noWrap/>
            <w:vAlign w:val="center"/>
          </w:tcPr>
          <w:p w14:paraId="3EC5DB9D" w14:textId="77777777" w:rsidR="006053BA" w:rsidRPr="00887108" w:rsidRDefault="006053BA" w:rsidP="006053BA">
            <w:pPr>
              <w:jc w:val="center"/>
              <w:rPr>
                <w:rFonts w:cs="Times New Roman"/>
                <w:b/>
                <w:bCs/>
                <w:sz w:val="18"/>
                <w:szCs w:val="18"/>
                <w:highlight w:val="yellow"/>
              </w:rPr>
            </w:pPr>
            <w:r w:rsidRPr="00887108">
              <w:rPr>
                <w:color w:val="006100"/>
                <w:sz w:val="18"/>
                <w:szCs w:val="18"/>
              </w:rPr>
              <w:t>0,0</w:t>
            </w:r>
          </w:p>
        </w:tc>
        <w:tc>
          <w:tcPr>
            <w:tcW w:w="1025" w:type="dxa"/>
            <w:tcBorders>
              <w:top w:val="single" w:sz="4" w:space="0" w:color="auto"/>
              <w:left w:val="nil"/>
              <w:bottom w:val="nil"/>
              <w:right w:val="nil"/>
            </w:tcBorders>
            <w:shd w:val="clear" w:color="auto" w:fill="B0D6AF" w:themeFill="accent3"/>
            <w:noWrap/>
            <w:vAlign w:val="center"/>
          </w:tcPr>
          <w:p w14:paraId="4786E60F" w14:textId="77777777" w:rsidR="006053BA" w:rsidRPr="00887108" w:rsidRDefault="006053BA" w:rsidP="006053BA">
            <w:pPr>
              <w:jc w:val="center"/>
              <w:rPr>
                <w:rFonts w:cs="Times New Roman"/>
                <w:b/>
                <w:bCs/>
                <w:sz w:val="18"/>
                <w:szCs w:val="18"/>
              </w:rPr>
            </w:pPr>
            <w:r w:rsidRPr="00887108">
              <w:rPr>
                <w:color w:val="006100"/>
                <w:sz w:val="18"/>
                <w:szCs w:val="18"/>
              </w:rPr>
              <w:t>0,0</w:t>
            </w:r>
          </w:p>
        </w:tc>
      </w:tr>
      <w:tr w:rsidR="006053BA" w:rsidRPr="00887108" w14:paraId="7697B2A4" w14:textId="77777777" w:rsidTr="006053BA">
        <w:trPr>
          <w:trHeight w:val="141"/>
          <w:jc w:val="center"/>
        </w:trPr>
        <w:tc>
          <w:tcPr>
            <w:tcW w:w="3107" w:type="dxa"/>
            <w:tcBorders>
              <w:left w:val="nil"/>
              <w:bottom w:val="single" w:sz="8" w:space="0" w:color="auto"/>
              <w:right w:val="single" w:sz="4" w:space="0" w:color="auto"/>
            </w:tcBorders>
            <w:shd w:val="clear" w:color="auto" w:fill="auto"/>
            <w:noWrap/>
            <w:vAlign w:val="center"/>
          </w:tcPr>
          <w:p w14:paraId="07F71413" w14:textId="77777777" w:rsidR="006053BA" w:rsidRPr="00887108" w:rsidRDefault="006053BA" w:rsidP="006053BA">
            <w:pPr>
              <w:rPr>
                <w:rFonts w:cs="Times New Roman"/>
                <w:b/>
                <w:bCs/>
                <w:color w:val="000000"/>
                <w:sz w:val="18"/>
                <w:szCs w:val="18"/>
              </w:rPr>
            </w:pPr>
            <w:r w:rsidRPr="00887108">
              <w:rPr>
                <w:rFonts w:cs="Times New Roman"/>
                <w:b/>
                <w:bCs/>
                <w:color w:val="000000"/>
                <w:sz w:val="18"/>
                <w:szCs w:val="18"/>
              </w:rPr>
              <w:t>Dvojročná odchýlka*</w:t>
            </w:r>
          </w:p>
        </w:tc>
        <w:tc>
          <w:tcPr>
            <w:tcW w:w="882" w:type="dxa"/>
            <w:tcBorders>
              <w:left w:val="single" w:sz="4" w:space="0" w:color="auto"/>
              <w:bottom w:val="single" w:sz="4" w:space="0" w:color="auto"/>
              <w:right w:val="nil"/>
            </w:tcBorders>
            <w:shd w:val="clear" w:color="auto" w:fill="FFE593"/>
            <w:vAlign w:val="center"/>
          </w:tcPr>
          <w:p w14:paraId="2CC9E06A" w14:textId="77777777" w:rsidR="006053BA" w:rsidRPr="00887108" w:rsidRDefault="006053BA" w:rsidP="006053BA">
            <w:pPr>
              <w:jc w:val="center"/>
              <w:rPr>
                <w:b/>
                <w:bCs/>
                <w:sz w:val="18"/>
                <w:szCs w:val="18"/>
              </w:rPr>
            </w:pPr>
            <w:r w:rsidRPr="00887108">
              <w:rPr>
                <w:color w:val="9C6500"/>
                <w:sz w:val="18"/>
                <w:szCs w:val="18"/>
              </w:rPr>
              <w:t>-0,2</w:t>
            </w:r>
          </w:p>
        </w:tc>
        <w:tc>
          <w:tcPr>
            <w:tcW w:w="1014" w:type="dxa"/>
            <w:tcBorders>
              <w:top w:val="nil"/>
              <w:left w:val="nil"/>
              <w:bottom w:val="single" w:sz="4" w:space="0" w:color="auto"/>
              <w:right w:val="nil"/>
            </w:tcBorders>
            <w:shd w:val="clear" w:color="auto" w:fill="FFD5D5"/>
            <w:noWrap/>
            <w:vAlign w:val="center"/>
          </w:tcPr>
          <w:p w14:paraId="57B30F3C" w14:textId="77777777" w:rsidR="006053BA" w:rsidRPr="00887108" w:rsidRDefault="006053BA" w:rsidP="006053BA">
            <w:pPr>
              <w:jc w:val="center"/>
              <w:rPr>
                <w:rFonts w:cs="Times New Roman"/>
                <w:b/>
                <w:bCs/>
                <w:sz w:val="18"/>
                <w:szCs w:val="18"/>
              </w:rPr>
            </w:pPr>
            <w:r w:rsidRPr="00887108">
              <w:rPr>
                <w:color w:val="9C0006"/>
                <w:sz w:val="18"/>
                <w:szCs w:val="18"/>
              </w:rPr>
              <w:t>-0,6</w:t>
            </w:r>
          </w:p>
        </w:tc>
        <w:tc>
          <w:tcPr>
            <w:tcW w:w="1015" w:type="dxa"/>
            <w:tcBorders>
              <w:top w:val="nil"/>
              <w:left w:val="nil"/>
              <w:bottom w:val="single" w:sz="4" w:space="0" w:color="auto"/>
              <w:right w:val="nil"/>
            </w:tcBorders>
            <w:shd w:val="clear" w:color="auto" w:fill="auto"/>
            <w:noWrap/>
            <w:vAlign w:val="center"/>
          </w:tcPr>
          <w:p w14:paraId="0B5C4AA4" w14:textId="77777777" w:rsidR="006053BA" w:rsidRPr="00887108" w:rsidRDefault="006053BA" w:rsidP="006053BA">
            <w:pPr>
              <w:jc w:val="center"/>
              <w:rPr>
                <w:rFonts w:cs="Times New Roman"/>
                <w:b/>
                <w:bCs/>
                <w:sz w:val="18"/>
                <w:szCs w:val="18"/>
              </w:rPr>
            </w:pPr>
            <w:r w:rsidRPr="00887108">
              <w:rPr>
                <w:rFonts w:cs="Times New Roman"/>
                <w:b/>
                <w:bCs/>
                <w:sz w:val="18"/>
                <w:szCs w:val="18"/>
              </w:rPr>
              <w:t>-</w:t>
            </w:r>
          </w:p>
        </w:tc>
        <w:tc>
          <w:tcPr>
            <w:tcW w:w="1014" w:type="dxa"/>
            <w:tcBorders>
              <w:top w:val="nil"/>
              <w:left w:val="nil"/>
              <w:bottom w:val="single" w:sz="4" w:space="0" w:color="auto"/>
              <w:right w:val="nil"/>
            </w:tcBorders>
            <w:shd w:val="clear" w:color="auto" w:fill="B0D6AF" w:themeFill="accent3"/>
            <w:noWrap/>
            <w:vAlign w:val="center"/>
          </w:tcPr>
          <w:p w14:paraId="6EA820E2" w14:textId="0A5982F0" w:rsidR="006053BA" w:rsidRPr="00887108" w:rsidRDefault="006053BA" w:rsidP="006053BA">
            <w:pPr>
              <w:jc w:val="center"/>
              <w:rPr>
                <w:rFonts w:cs="Times New Roman"/>
                <w:b/>
                <w:bCs/>
                <w:sz w:val="18"/>
                <w:szCs w:val="18"/>
              </w:rPr>
            </w:pPr>
            <w:r w:rsidRPr="00887108">
              <w:rPr>
                <w:color w:val="006100"/>
                <w:sz w:val="18"/>
                <w:szCs w:val="18"/>
              </w:rPr>
              <w:t>-</w:t>
            </w:r>
          </w:p>
        </w:tc>
        <w:tc>
          <w:tcPr>
            <w:tcW w:w="1015" w:type="dxa"/>
            <w:tcBorders>
              <w:top w:val="nil"/>
              <w:left w:val="nil"/>
              <w:bottom w:val="single" w:sz="4" w:space="0" w:color="auto"/>
              <w:right w:val="nil"/>
            </w:tcBorders>
            <w:shd w:val="clear" w:color="auto" w:fill="B0D6AF" w:themeFill="accent3"/>
            <w:noWrap/>
            <w:vAlign w:val="center"/>
          </w:tcPr>
          <w:p w14:paraId="43027DDB" w14:textId="77777777" w:rsidR="006053BA" w:rsidRPr="00887108" w:rsidRDefault="006053BA" w:rsidP="006053BA">
            <w:pPr>
              <w:jc w:val="center"/>
              <w:rPr>
                <w:rFonts w:cs="Times New Roman"/>
                <w:b/>
                <w:bCs/>
                <w:sz w:val="18"/>
                <w:szCs w:val="18"/>
                <w:highlight w:val="yellow"/>
              </w:rPr>
            </w:pPr>
            <w:r w:rsidRPr="00887108">
              <w:rPr>
                <w:color w:val="006100"/>
                <w:sz w:val="18"/>
                <w:szCs w:val="18"/>
              </w:rPr>
              <w:t>0,0</w:t>
            </w:r>
          </w:p>
        </w:tc>
        <w:tc>
          <w:tcPr>
            <w:tcW w:w="1025" w:type="dxa"/>
            <w:tcBorders>
              <w:top w:val="nil"/>
              <w:left w:val="nil"/>
              <w:bottom w:val="single" w:sz="4" w:space="0" w:color="auto"/>
              <w:right w:val="nil"/>
            </w:tcBorders>
            <w:shd w:val="clear" w:color="auto" w:fill="B0D6AF" w:themeFill="accent3"/>
            <w:noWrap/>
            <w:vAlign w:val="center"/>
          </w:tcPr>
          <w:p w14:paraId="51A308DC" w14:textId="77777777" w:rsidR="006053BA" w:rsidRPr="00887108" w:rsidRDefault="006053BA" w:rsidP="006053BA">
            <w:pPr>
              <w:jc w:val="center"/>
              <w:rPr>
                <w:rFonts w:cs="Times New Roman"/>
                <w:b/>
                <w:bCs/>
                <w:sz w:val="18"/>
                <w:szCs w:val="18"/>
              </w:rPr>
            </w:pPr>
            <w:r w:rsidRPr="00887108">
              <w:rPr>
                <w:color w:val="006100"/>
                <w:sz w:val="18"/>
                <w:szCs w:val="18"/>
              </w:rPr>
              <w:t>0,0</w:t>
            </w:r>
          </w:p>
        </w:tc>
      </w:tr>
      <w:tr w:rsidR="00204588" w:rsidRPr="00887108" w14:paraId="37DE2808" w14:textId="77777777" w:rsidTr="006053BA">
        <w:trPr>
          <w:trHeight w:val="141"/>
          <w:jc w:val="center"/>
        </w:trPr>
        <w:tc>
          <w:tcPr>
            <w:tcW w:w="3107" w:type="dxa"/>
            <w:tcBorders>
              <w:top w:val="nil"/>
              <w:left w:val="nil"/>
              <w:bottom w:val="single" w:sz="8" w:space="0" w:color="auto"/>
              <w:right w:val="single" w:sz="4" w:space="0" w:color="auto"/>
            </w:tcBorders>
            <w:shd w:val="clear" w:color="auto" w:fill="auto"/>
            <w:noWrap/>
            <w:vAlign w:val="center"/>
          </w:tcPr>
          <w:p w14:paraId="34AD2BCC" w14:textId="77777777" w:rsidR="00204588" w:rsidRPr="00887108" w:rsidRDefault="00204588" w:rsidP="00204588">
            <w:pPr>
              <w:rPr>
                <w:rFonts w:cs="Times New Roman"/>
                <w:i/>
                <w:iCs/>
                <w:color w:val="000000"/>
                <w:sz w:val="18"/>
                <w:szCs w:val="18"/>
              </w:rPr>
            </w:pPr>
            <w:r w:rsidRPr="00887108">
              <w:rPr>
                <w:rFonts w:cs="Times New Roman"/>
                <w:bCs/>
                <w:i/>
                <w:color w:val="000000"/>
                <w:sz w:val="18"/>
                <w:szCs w:val="18"/>
              </w:rPr>
              <w:t>p.m. Štrukturálne saldo bez prijatých opatrení – NPC scenár</w:t>
            </w:r>
          </w:p>
        </w:tc>
        <w:tc>
          <w:tcPr>
            <w:tcW w:w="882" w:type="dxa"/>
            <w:tcBorders>
              <w:top w:val="nil"/>
              <w:left w:val="single" w:sz="4" w:space="0" w:color="auto"/>
              <w:bottom w:val="single" w:sz="8" w:space="0" w:color="auto"/>
              <w:right w:val="nil"/>
            </w:tcBorders>
            <w:shd w:val="clear" w:color="auto" w:fill="auto"/>
          </w:tcPr>
          <w:p w14:paraId="72761270" w14:textId="77777777" w:rsidR="00204588" w:rsidRPr="00887108" w:rsidRDefault="00204588" w:rsidP="00204588">
            <w:pPr>
              <w:jc w:val="center"/>
              <w:rPr>
                <w:rFonts w:cs="Times New Roman"/>
                <w:i/>
                <w:iCs/>
                <w:color w:val="000000"/>
                <w:sz w:val="18"/>
                <w:szCs w:val="18"/>
                <w:highlight w:val="yellow"/>
              </w:rPr>
            </w:pPr>
          </w:p>
        </w:tc>
        <w:tc>
          <w:tcPr>
            <w:tcW w:w="1014" w:type="dxa"/>
            <w:tcBorders>
              <w:top w:val="nil"/>
              <w:left w:val="nil"/>
              <w:bottom w:val="single" w:sz="8" w:space="0" w:color="auto"/>
              <w:right w:val="nil"/>
            </w:tcBorders>
            <w:shd w:val="clear" w:color="auto" w:fill="auto"/>
            <w:noWrap/>
          </w:tcPr>
          <w:p w14:paraId="36AE5104" w14:textId="77777777" w:rsidR="00204588" w:rsidRPr="00887108" w:rsidRDefault="00204588" w:rsidP="00204588">
            <w:pPr>
              <w:jc w:val="center"/>
              <w:rPr>
                <w:rFonts w:cs="Times New Roman"/>
                <w:i/>
                <w:iCs/>
                <w:color w:val="000000"/>
                <w:sz w:val="18"/>
                <w:szCs w:val="18"/>
                <w:highlight w:val="yellow"/>
              </w:rPr>
            </w:pPr>
          </w:p>
        </w:tc>
        <w:tc>
          <w:tcPr>
            <w:tcW w:w="1015" w:type="dxa"/>
            <w:tcBorders>
              <w:top w:val="nil"/>
              <w:left w:val="nil"/>
              <w:bottom w:val="single" w:sz="8" w:space="0" w:color="auto"/>
              <w:right w:val="nil"/>
            </w:tcBorders>
            <w:shd w:val="clear" w:color="auto" w:fill="auto"/>
            <w:noWrap/>
            <w:vAlign w:val="center"/>
          </w:tcPr>
          <w:p w14:paraId="5866E9E2" w14:textId="77777777" w:rsidR="00204588" w:rsidRPr="00887108" w:rsidRDefault="00204588" w:rsidP="00204588">
            <w:pPr>
              <w:jc w:val="center"/>
              <w:rPr>
                <w:rFonts w:cs="Times New Roman"/>
                <w:i/>
                <w:iCs/>
                <w:color w:val="000000"/>
                <w:sz w:val="18"/>
                <w:szCs w:val="18"/>
                <w:highlight w:val="yellow"/>
              </w:rPr>
            </w:pPr>
          </w:p>
        </w:tc>
        <w:tc>
          <w:tcPr>
            <w:tcW w:w="1014" w:type="dxa"/>
            <w:tcBorders>
              <w:top w:val="nil"/>
              <w:left w:val="nil"/>
              <w:bottom w:val="single" w:sz="8" w:space="0" w:color="auto"/>
              <w:right w:val="nil"/>
            </w:tcBorders>
            <w:shd w:val="clear" w:color="auto" w:fill="auto"/>
            <w:noWrap/>
            <w:vAlign w:val="center"/>
          </w:tcPr>
          <w:p w14:paraId="7F275E5C" w14:textId="10E7B14A" w:rsidR="00204588" w:rsidRPr="00887108" w:rsidRDefault="00204588" w:rsidP="00821600">
            <w:pPr>
              <w:jc w:val="center"/>
              <w:rPr>
                <w:rFonts w:cs="Times New Roman"/>
                <w:i/>
                <w:iCs/>
                <w:color w:val="000000"/>
                <w:sz w:val="18"/>
                <w:szCs w:val="18"/>
                <w:highlight w:val="yellow"/>
              </w:rPr>
            </w:pPr>
            <w:r w:rsidRPr="00887108">
              <w:rPr>
                <w:color w:val="000000"/>
                <w:sz w:val="18"/>
                <w:szCs w:val="18"/>
              </w:rPr>
              <w:t>-4,</w:t>
            </w:r>
            <w:r w:rsidR="00821600" w:rsidRPr="00887108">
              <w:rPr>
                <w:color w:val="000000"/>
                <w:sz w:val="18"/>
                <w:szCs w:val="18"/>
              </w:rPr>
              <w:t>9</w:t>
            </w:r>
          </w:p>
        </w:tc>
        <w:tc>
          <w:tcPr>
            <w:tcW w:w="1015" w:type="dxa"/>
            <w:tcBorders>
              <w:top w:val="nil"/>
              <w:left w:val="nil"/>
              <w:bottom w:val="single" w:sz="8" w:space="0" w:color="auto"/>
              <w:right w:val="nil"/>
            </w:tcBorders>
            <w:shd w:val="clear" w:color="auto" w:fill="auto"/>
            <w:noWrap/>
            <w:vAlign w:val="center"/>
          </w:tcPr>
          <w:p w14:paraId="245BF8C4" w14:textId="77777777" w:rsidR="00204588" w:rsidRPr="00887108" w:rsidRDefault="00204588" w:rsidP="00204588">
            <w:pPr>
              <w:jc w:val="center"/>
              <w:rPr>
                <w:rFonts w:cs="Times New Roman"/>
                <w:i/>
                <w:iCs/>
                <w:color w:val="000000"/>
                <w:sz w:val="18"/>
                <w:szCs w:val="18"/>
                <w:highlight w:val="yellow"/>
              </w:rPr>
            </w:pPr>
            <w:r w:rsidRPr="00887108">
              <w:rPr>
                <w:color w:val="000000"/>
                <w:sz w:val="18"/>
                <w:szCs w:val="18"/>
              </w:rPr>
              <w:t>-5,6</w:t>
            </w:r>
          </w:p>
        </w:tc>
        <w:tc>
          <w:tcPr>
            <w:tcW w:w="1025" w:type="dxa"/>
            <w:tcBorders>
              <w:top w:val="nil"/>
              <w:left w:val="nil"/>
              <w:bottom w:val="single" w:sz="8" w:space="0" w:color="auto"/>
              <w:right w:val="nil"/>
            </w:tcBorders>
            <w:shd w:val="clear" w:color="auto" w:fill="auto"/>
            <w:noWrap/>
            <w:vAlign w:val="center"/>
          </w:tcPr>
          <w:p w14:paraId="77634F17" w14:textId="77777777" w:rsidR="00204588" w:rsidRPr="00887108" w:rsidRDefault="00204588" w:rsidP="00204588">
            <w:pPr>
              <w:jc w:val="center"/>
              <w:rPr>
                <w:rFonts w:cs="Times New Roman"/>
                <w:i/>
                <w:iCs/>
                <w:color w:val="000000"/>
                <w:sz w:val="18"/>
                <w:szCs w:val="18"/>
                <w:highlight w:val="yellow"/>
              </w:rPr>
            </w:pPr>
            <w:r w:rsidRPr="00887108">
              <w:rPr>
                <w:color w:val="000000"/>
                <w:sz w:val="18"/>
                <w:szCs w:val="18"/>
              </w:rPr>
              <w:t>-6,0</w:t>
            </w:r>
          </w:p>
        </w:tc>
      </w:tr>
      <w:tr w:rsidR="00204588" w:rsidRPr="00887108" w14:paraId="0421AAC4" w14:textId="77777777" w:rsidTr="006053BA">
        <w:trPr>
          <w:trHeight w:val="141"/>
          <w:jc w:val="center"/>
        </w:trPr>
        <w:tc>
          <w:tcPr>
            <w:tcW w:w="3107" w:type="dxa"/>
            <w:tcBorders>
              <w:top w:val="nil"/>
              <w:left w:val="nil"/>
              <w:bottom w:val="single" w:sz="8" w:space="0" w:color="auto"/>
              <w:right w:val="single" w:sz="4" w:space="0" w:color="auto"/>
            </w:tcBorders>
            <w:shd w:val="clear" w:color="auto" w:fill="auto"/>
            <w:noWrap/>
            <w:vAlign w:val="center"/>
            <w:hideMark/>
          </w:tcPr>
          <w:p w14:paraId="60B28C5A" w14:textId="77777777" w:rsidR="00204588" w:rsidRPr="00887108" w:rsidRDefault="00204588" w:rsidP="00204588">
            <w:pPr>
              <w:rPr>
                <w:rFonts w:cs="Times New Roman"/>
                <w:i/>
                <w:iCs/>
                <w:color w:val="000000"/>
                <w:sz w:val="18"/>
                <w:szCs w:val="18"/>
              </w:rPr>
            </w:pPr>
            <w:r w:rsidRPr="00887108">
              <w:rPr>
                <w:rFonts w:cs="Times New Roman"/>
                <w:i/>
                <w:iCs/>
                <w:color w:val="000000"/>
                <w:sz w:val="18"/>
                <w:szCs w:val="18"/>
              </w:rPr>
              <w:t>p.m. požadovaná konsolidácia podľa EK***</w:t>
            </w:r>
          </w:p>
        </w:tc>
        <w:tc>
          <w:tcPr>
            <w:tcW w:w="882" w:type="dxa"/>
            <w:tcBorders>
              <w:top w:val="nil"/>
              <w:left w:val="single" w:sz="4" w:space="0" w:color="auto"/>
              <w:bottom w:val="single" w:sz="8" w:space="0" w:color="auto"/>
              <w:right w:val="nil"/>
            </w:tcBorders>
            <w:shd w:val="clear" w:color="auto" w:fill="auto"/>
            <w:vAlign w:val="center"/>
          </w:tcPr>
          <w:p w14:paraId="3CBF438B" w14:textId="77777777" w:rsidR="00204588" w:rsidRPr="00887108" w:rsidRDefault="00204588" w:rsidP="00204588">
            <w:pPr>
              <w:jc w:val="center"/>
              <w:rPr>
                <w:rFonts w:cs="Times New Roman"/>
                <w:i/>
                <w:iCs/>
                <w:color w:val="000000"/>
                <w:sz w:val="18"/>
                <w:szCs w:val="18"/>
              </w:rPr>
            </w:pPr>
            <w:r w:rsidRPr="00887108">
              <w:rPr>
                <w:rFonts w:cs="Times New Roman"/>
                <w:i/>
                <w:iCs/>
                <w:color w:val="000000"/>
                <w:sz w:val="18"/>
                <w:szCs w:val="18"/>
              </w:rPr>
              <w:t>0,5</w:t>
            </w:r>
          </w:p>
        </w:tc>
        <w:tc>
          <w:tcPr>
            <w:tcW w:w="1014" w:type="dxa"/>
            <w:tcBorders>
              <w:top w:val="nil"/>
              <w:left w:val="nil"/>
              <w:bottom w:val="single" w:sz="8" w:space="0" w:color="auto"/>
              <w:right w:val="nil"/>
            </w:tcBorders>
            <w:shd w:val="clear" w:color="auto" w:fill="auto"/>
            <w:noWrap/>
            <w:vAlign w:val="center"/>
            <w:hideMark/>
          </w:tcPr>
          <w:p w14:paraId="108F0616" w14:textId="77777777" w:rsidR="00204588" w:rsidRPr="00887108" w:rsidRDefault="00204588" w:rsidP="00204588">
            <w:pPr>
              <w:jc w:val="center"/>
              <w:rPr>
                <w:rFonts w:cs="Times New Roman"/>
                <w:i/>
                <w:iCs/>
                <w:color w:val="000000"/>
                <w:sz w:val="18"/>
                <w:szCs w:val="18"/>
              </w:rPr>
            </w:pPr>
            <w:r w:rsidRPr="00887108">
              <w:rPr>
                <w:rFonts w:cs="Times New Roman"/>
                <w:i/>
                <w:iCs/>
                <w:color w:val="000000"/>
                <w:sz w:val="18"/>
                <w:szCs w:val="18"/>
              </w:rPr>
              <w:t xml:space="preserve">0,35 </w:t>
            </w:r>
          </w:p>
        </w:tc>
        <w:tc>
          <w:tcPr>
            <w:tcW w:w="1015" w:type="dxa"/>
            <w:tcBorders>
              <w:top w:val="nil"/>
              <w:left w:val="nil"/>
              <w:bottom w:val="single" w:sz="8" w:space="0" w:color="auto"/>
              <w:right w:val="nil"/>
            </w:tcBorders>
            <w:shd w:val="clear" w:color="auto" w:fill="auto"/>
            <w:noWrap/>
            <w:vAlign w:val="center"/>
            <w:hideMark/>
          </w:tcPr>
          <w:p w14:paraId="59E9449F" w14:textId="23891616" w:rsidR="00204588" w:rsidRPr="00887108" w:rsidRDefault="00821600" w:rsidP="00204588">
            <w:pPr>
              <w:jc w:val="center"/>
              <w:rPr>
                <w:rFonts w:cs="Times New Roman"/>
                <w:i/>
                <w:iCs/>
                <w:color w:val="000000"/>
                <w:sz w:val="18"/>
                <w:szCs w:val="18"/>
              </w:rPr>
            </w:pPr>
            <w:r w:rsidRPr="00887108">
              <w:rPr>
                <w:rFonts w:cs="Times New Roman"/>
                <w:i/>
                <w:iCs/>
                <w:color w:val="000000"/>
                <w:sz w:val="18"/>
                <w:szCs w:val="18"/>
              </w:rPr>
              <w:t>-</w:t>
            </w:r>
          </w:p>
        </w:tc>
        <w:tc>
          <w:tcPr>
            <w:tcW w:w="1014" w:type="dxa"/>
            <w:tcBorders>
              <w:top w:val="nil"/>
              <w:left w:val="nil"/>
              <w:bottom w:val="single" w:sz="8" w:space="0" w:color="auto"/>
              <w:right w:val="nil"/>
            </w:tcBorders>
            <w:shd w:val="clear" w:color="auto" w:fill="auto"/>
            <w:noWrap/>
            <w:vAlign w:val="center"/>
            <w:hideMark/>
          </w:tcPr>
          <w:p w14:paraId="64FA5E4D" w14:textId="77777777" w:rsidR="00204588" w:rsidRPr="00887108" w:rsidRDefault="00204588" w:rsidP="00204588">
            <w:pPr>
              <w:jc w:val="center"/>
              <w:rPr>
                <w:rFonts w:cs="Times New Roman"/>
                <w:i/>
                <w:iCs/>
                <w:color w:val="000000"/>
                <w:sz w:val="18"/>
                <w:szCs w:val="18"/>
              </w:rPr>
            </w:pPr>
            <w:r w:rsidRPr="00887108">
              <w:rPr>
                <w:rFonts w:cs="Times New Roman"/>
                <w:i/>
                <w:iCs/>
                <w:color w:val="000000"/>
                <w:sz w:val="18"/>
                <w:szCs w:val="18"/>
              </w:rPr>
              <w:t>0,25</w:t>
            </w:r>
          </w:p>
        </w:tc>
        <w:tc>
          <w:tcPr>
            <w:tcW w:w="1015" w:type="dxa"/>
            <w:tcBorders>
              <w:top w:val="nil"/>
              <w:left w:val="nil"/>
              <w:bottom w:val="single" w:sz="8" w:space="0" w:color="auto"/>
              <w:right w:val="nil"/>
            </w:tcBorders>
            <w:shd w:val="clear" w:color="auto" w:fill="auto"/>
            <w:noWrap/>
            <w:vAlign w:val="center"/>
            <w:hideMark/>
          </w:tcPr>
          <w:p w14:paraId="7400A84E" w14:textId="77777777" w:rsidR="00204588" w:rsidRPr="00887108" w:rsidRDefault="00204588" w:rsidP="00204588">
            <w:pPr>
              <w:jc w:val="center"/>
              <w:rPr>
                <w:rFonts w:cs="Times New Roman"/>
                <w:i/>
                <w:iCs/>
                <w:color w:val="000000"/>
                <w:sz w:val="18"/>
                <w:szCs w:val="18"/>
              </w:rPr>
            </w:pPr>
            <w:r w:rsidRPr="00887108">
              <w:rPr>
                <w:rFonts w:cs="Times New Roman"/>
                <w:i/>
                <w:iCs/>
                <w:color w:val="000000"/>
                <w:sz w:val="18"/>
                <w:szCs w:val="18"/>
              </w:rPr>
              <w:t>0,5</w:t>
            </w:r>
          </w:p>
        </w:tc>
        <w:tc>
          <w:tcPr>
            <w:tcW w:w="1025" w:type="dxa"/>
            <w:tcBorders>
              <w:top w:val="nil"/>
              <w:left w:val="nil"/>
              <w:bottom w:val="single" w:sz="8" w:space="0" w:color="auto"/>
              <w:right w:val="nil"/>
            </w:tcBorders>
            <w:shd w:val="clear" w:color="auto" w:fill="auto"/>
            <w:noWrap/>
            <w:vAlign w:val="center"/>
            <w:hideMark/>
          </w:tcPr>
          <w:p w14:paraId="5845AD99" w14:textId="77777777" w:rsidR="00204588" w:rsidRPr="00887108" w:rsidRDefault="00204588" w:rsidP="00204588">
            <w:pPr>
              <w:jc w:val="center"/>
              <w:rPr>
                <w:rFonts w:cs="Times New Roman"/>
                <w:i/>
                <w:iCs/>
                <w:color w:val="000000"/>
                <w:sz w:val="18"/>
                <w:szCs w:val="18"/>
              </w:rPr>
            </w:pPr>
            <w:r w:rsidRPr="00887108">
              <w:rPr>
                <w:rFonts w:cs="Times New Roman"/>
                <w:i/>
                <w:iCs/>
                <w:color w:val="000000"/>
                <w:sz w:val="18"/>
                <w:szCs w:val="18"/>
              </w:rPr>
              <w:t>0,5</w:t>
            </w:r>
          </w:p>
        </w:tc>
      </w:tr>
      <w:tr w:rsidR="00F61C12" w:rsidRPr="00887108" w14:paraId="26BF081C" w14:textId="77777777" w:rsidTr="006053BA">
        <w:trPr>
          <w:trHeight w:val="141"/>
          <w:jc w:val="center"/>
        </w:trPr>
        <w:tc>
          <w:tcPr>
            <w:tcW w:w="9072" w:type="dxa"/>
            <w:gridSpan w:val="7"/>
            <w:tcBorders>
              <w:top w:val="nil"/>
              <w:left w:val="nil"/>
              <w:bottom w:val="nil"/>
              <w:right w:val="nil"/>
            </w:tcBorders>
          </w:tcPr>
          <w:p w14:paraId="3A63F46D" w14:textId="798DE86C" w:rsidR="00F61C12" w:rsidRPr="00887108" w:rsidRDefault="00F61C12" w:rsidP="00204588">
            <w:pPr>
              <w:widowControl w:val="0"/>
              <w:jc w:val="both"/>
              <w:rPr>
                <w:i/>
                <w:sz w:val="16"/>
                <w:szCs w:val="16"/>
              </w:rPr>
            </w:pPr>
            <w:r w:rsidRPr="00887108">
              <w:rPr>
                <w:i/>
                <w:sz w:val="16"/>
                <w:szCs w:val="16"/>
              </w:rPr>
              <w:t xml:space="preserve">* Odchýlky v roku 2018 vychádzajú zo „zafixovaných“ hodnôt z jarného hodnotenia Európskej komisie v roku 2019. Plnenie pravidla sa nehodnotí v roku 2020 z dôvodu </w:t>
            </w:r>
            <w:r w:rsidR="006053BA" w:rsidRPr="00887108">
              <w:rPr>
                <w:i/>
                <w:sz w:val="16"/>
                <w:szCs w:val="16"/>
              </w:rPr>
              <w:t xml:space="preserve">spustenia všeobecnej únikovej klauzuly. </w:t>
            </w:r>
          </w:p>
          <w:p w14:paraId="27A4DAC8" w14:textId="4FA214C6" w:rsidR="00F61C12" w:rsidRPr="00887108" w:rsidRDefault="00F61C12" w:rsidP="00204588">
            <w:pPr>
              <w:widowControl w:val="0"/>
              <w:jc w:val="both"/>
              <w:rPr>
                <w:i/>
                <w:sz w:val="16"/>
                <w:szCs w:val="16"/>
              </w:rPr>
            </w:pPr>
            <w:r w:rsidRPr="00887108">
              <w:rPr>
                <w:i/>
                <w:sz w:val="16"/>
                <w:szCs w:val="16"/>
              </w:rPr>
              <w:t xml:space="preserve">** Zahŕňa vplyv opatrení </w:t>
            </w:r>
            <w:r w:rsidR="00A81C1B" w:rsidRPr="00887108">
              <w:rPr>
                <w:i/>
                <w:sz w:val="16"/>
                <w:szCs w:val="16"/>
              </w:rPr>
              <w:t xml:space="preserve">spojených </w:t>
            </w:r>
            <w:r w:rsidRPr="00887108">
              <w:rPr>
                <w:i/>
                <w:sz w:val="16"/>
                <w:szCs w:val="16"/>
              </w:rPr>
              <w:t>s COVID 19</w:t>
            </w:r>
          </w:p>
          <w:p w14:paraId="7A69F4AF" w14:textId="77777777" w:rsidR="00F61C12" w:rsidRPr="00887108" w:rsidRDefault="00F61C12" w:rsidP="00204588">
            <w:pPr>
              <w:widowControl w:val="0"/>
              <w:jc w:val="both"/>
              <w:rPr>
                <w:i/>
                <w:sz w:val="16"/>
                <w:szCs w:val="16"/>
              </w:rPr>
            </w:pPr>
            <w:r w:rsidRPr="00887108">
              <w:rPr>
                <w:i/>
                <w:sz w:val="16"/>
                <w:szCs w:val="16"/>
              </w:rPr>
              <w:t>*** Od roku 2021 Ide o predpokladanú konsolidáciu, ktorá kopíruje preventívnu časť Paktu. EK môže nakoniec stanoviť aj vyššiu konsolidáciu, keďže sa bude Slovensko pravdepodobne od roku 2020 alebo 2021 nachádzať v korektívnej časti Paktu, kde sa uplatňujú individuálne požiadavky.</w:t>
            </w:r>
          </w:p>
          <w:p w14:paraId="5ED4DA14" w14:textId="4DDCC919" w:rsidR="00F61C12" w:rsidRPr="00887108" w:rsidRDefault="00F61C12" w:rsidP="00204588">
            <w:pPr>
              <w:spacing w:before="40"/>
              <w:jc w:val="right"/>
              <w:rPr>
                <w:rFonts w:cs="Times New Roman"/>
                <w:i/>
                <w:iCs/>
                <w:color w:val="000000"/>
                <w:sz w:val="16"/>
                <w:szCs w:val="16"/>
              </w:rPr>
            </w:pPr>
            <w:r w:rsidRPr="00887108">
              <w:rPr>
                <w:rFonts w:cs="Times New Roman"/>
                <w:i/>
                <w:iCs/>
                <w:color w:val="000000"/>
                <w:sz w:val="16"/>
                <w:szCs w:val="16"/>
              </w:rPr>
              <w:t>Zdroj: MF SR</w:t>
            </w:r>
          </w:p>
        </w:tc>
      </w:tr>
    </w:tbl>
    <w:p w14:paraId="09A6E1A8" w14:textId="77777777" w:rsidR="00204588" w:rsidRPr="00887108" w:rsidRDefault="00204588" w:rsidP="00204588">
      <w:pPr>
        <w:jc w:val="both"/>
        <w:rPr>
          <w:highlight w:val="yellow"/>
        </w:rPr>
      </w:pPr>
    </w:p>
    <w:tbl>
      <w:tblPr>
        <w:tblpPr w:leftFromText="141" w:rightFromText="141" w:bottomFromText="160" w:vertAnchor="text" w:tblpXSpec="center" w:tblpY="1"/>
        <w:tblOverlap w:val="never"/>
        <w:tblW w:w="9075" w:type="dxa"/>
        <w:shd w:val="clear" w:color="auto" w:fill="AAD3F2"/>
        <w:tblCellMar>
          <w:left w:w="70" w:type="dxa"/>
          <w:right w:w="70" w:type="dxa"/>
        </w:tblCellMar>
        <w:tblLook w:val="01E0" w:firstRow="1" w:lastRow="1" w:firstColumn="1" w:lastColumn="1" w:noHBand="0" w:noVBand="0"/>
      </w:tblPr>
      <w:tblGrid>
        <w:gridCol w:w="9075"/>
      </w:tblGrid>
      <w:tr w:rsidR="00BF431A" w:rsidRPr="00887108" w14:paraId="6D8D383F" w14:textId="77777777" w:rsidTr="00BF431A">
        <w:trPr>
          <w:trHeight w:val="426"/>
        </w:trPr>
        <w:tc>
          <w:tcPr>
            <w:tcW w:w="9075" w:type="dxa"/>
            <w:shd w:val="clear" w:color="auto" w:fill="AAD3F2"/>
          </w:tcPr>
          <w:p w14:paraId="132B9B15" w14:textId="14B236B2" w:rsidR="00BF431A" w:rsidRPr="00887108" w:rsidRDefault="006546DD" w:rsidP="00BF431A">
            <w:pPr>
              <w:jc w:val="both"/>
              <w:rPr>
                <w:rFonts w:cs="Arial Narrow"/>
                <w:b/>
                <w:color w:val="2C9ADC" w:themeColor="accent1"/>
              </w:rPr>
            </w:pPr>
            <w:bookmarkStart w:id="118" w:name="_Toc40181290"/>
            <w:r w:rsidRPr="00887108">
              <w:rPr>
                <w:b/>
                <w:color w:val="2C9ADC" w:themeColor="accent1"/>
              </w:rPr>
              <w:t xml:space="preserve">BOX </w:t>
            </w:r>
            <w:r w:rsidRPr="00887108">
              <w:rPr>
                <w:b/>
                <w:color w:val="2C9ADC" w:themeColor="accent1"/>
              </w:rPr>
              <w:fldChar w:fldCharType="begin"/>
            </w:r>
            <w:r w:rsidRPr="00887108">
              <w:rPr>
                <w:b/>
                <w:color w:val="2C9ADC" w:themeColor="accent1"/>
              </w:rPr>
              <w:instrText xml:space="preserve"> SEQ BOX \* ARABIC </w:instrText>
            </w:r>
            <w:r w:rsidRPr="00887108">
              <w:rPr>
                <w:b/>
                <w:color w:val="2C9ADC" w:themeColor="accent1"/>
              </w:rPr>
              <w:fldChar w:fldCharType="separate"/>
            </w:r>
            <w:r w:rsidR="00D47A36">
              <w:rPr>
                <w:b/>
                <w:noProof/>
                <w:color w:val="2C9ADC" w:themeColor="accent1"/>
              </w:rPr>
              <w:t>3</w:t>
            </w:r>
            <w:r w:rsidRPr="00887108">
              <w:rPr>
                <w:b/>
                <w:color w:val="2C9ADC" w:themeColor="accent1"/>
              </w:rPr>
              <w:fldChar w:fldCharType="end"/>
            </w:r>
            <w:r w:rsidR="00D76DCF" w:rsidRPr="00887108">
              <w:rPr>
                <w:rFonts w:cs="Arial Narrow"/>
                <w:b/>
                <w:color w:val="2C9ADC" w:themeColor="accent1"/>
              </w:rPr>
              <w:t xml:space="preserve"> -</w:t>
            </w:r>
            <w:r w:rsidR="00BF431A" w:rsidRPr="00887108">
              <w:rPr>
                <w:rFonts w:cs="Arial Narrow"/>
                <w:b/>
                <w:color w:val="2C9ADC" w:themeColor="accent1"/>
              </w:rPr>
              <w:t xml:space="preserve"> </w:t>
            </w:r>
            <w:r w:rsidR="00EF7DAF" w:rsidRPr="00887108">
              <w:rPr>
                <w:rFonts w:cs="Arial Narrow"/>
                <w:b/>
                <w:color w:val="2C9ADC" w:themeColor="accent1"/>
              </w:rPr>
              <w:t>Pravidlá Paktu stability a rastu počas koronakrízy</w:t>
            </w:r>
            <w:bookmarkEnd w:id="118"/>
          </w:p>
          <w:p w14:paraId="0AE9390B" w14:textId="77777777" w:rsidR="00BF431A" w:rsidRPr="00887108" w:rsidRDefault="00BF431A" w:rsidP="00BF431A">
            <w:pPr>
              <w:jc w:val="both"/>
              <w:rPr>
                <w:rFonts w:cs="Arial Narrow"/>
                <w:b/>
              </w:rPr>
            </w:pPr>
          </w:p>
          <w:p w14:paraId="25AC7634" w14:textId="459BBDBE" w:rsidR="00BF431A" w:rsidRPr="00887108" w:rsidRDefault="00BF431A" w:rsidP="00BF431A">
            <w:pPr>
              <w:jc w:val="both"/>
              <w:rPr>
                <w:rFonts w:cs="Arial Narrow"/>
              </w:rPr>
            </w:pPr>
            <w:r w:rsidRPr="00887108">
              <w:rPr>
                <w:rFonts w:cs="Arial Narrow"/>
                <w:b/>
              </w:rPr>
              <w:t xml:space="preserve">Výrazné oslabenie ekonomiky vplyvom boja proti koronavírusu spôsobí od roku 2020 </w:t>
            </w:r>
            <w:r w:rsidR="0089109E" w:rsidRPr="00887108">
              <w:rPr>
                <w:rFonts w:cs="Arial Narrow"/>
                <w:b/>
              </w:rPr>
              <w:t>v zmysle pravidiel Paktu povolený</w:t>
            </w:r>
            <w:r w:rsidR="005D39E1" w:rsidRPr="00887108">
              <w:rPr>
                <w:rFonts w:cs="Arial Narrow"/>
                <w:b/>
              </w:rPr>
              <w:t xml:space="preserve"> </w:t>
            </w:r>
            <w:r w:rsidRPr="00887108">
              <w:rPr>
                <w:rFonts w:cs="Arial Narrow"/>
                <w:b/>
              </w:rPr>
              <w:t>odklon slovenských verejných financií od strednodobého rozpočtového cieľa (MTO)</w:t>
            </w:r>
            <w:r w:rsidRPr="00887108">
              <w:rPr>
                <w:rFonts w:cs="Arial Narrow"/>
              </w:rPr>
              <w:t>. Úroveň MTO by mala zodpovedať takej rozpočtovej pozícii (blízko štrukturálne vyrovnaného rozpočtu), ktorá je udržateľná aj v dlhodobom horizonte po zohľadnení negatívneho vplyvu na verejné financie zo starnutia populácie. Z tohto dôvodu sa vyžaduje postupné medziročné zlepšovanie štrukturálneho salda na základe pravidiel Paktu, až do dosiahnutia MTO (tzv. požadované konsolidačné úsilie, podrobnejšie v </w:t>
            </w:r>
            <w:r w:rsidRPr="00887108">
              <w:rPr>
                <w:rFonts w:cs="Arial Narrow"/>
                <w:color w:val="2C9ADC" w:themeColor="accent1"/>
              </w:rPr>
              <w:t xml:space="preserve">Prílohe </w:t>
            </w:r>
            <w:r w:rsidR="001D7FBD" w:rsidRPr="00887108">
              <w:rPr>
                <w:rFonts w:cs="Arial Narrow"/>
                <w:color w:val="2C9ADC" w:themeColor="accent1"/>
              </w:rPr>
              <w:t>4</w:t>
            </w:r>
            <w:r w:rsidRPr="00887108">
              <w:rPr>
                <w:rFonts w:cs="Arial Narrow"/>
              </w:rPr>
              <w:t>)</w:t>
            </w:r>
            <w:r w:rsidR="0089109E" w:rsidRPr="00887108">
              <w:rPr>
                <w:rFonts w:cs="Arial Narrow"/>
              </w:rPr>
              <w:t>.</w:t>
            </w:r>
            <w:r w:rsidRPr="00887108">
              <w:rPr>
                <w:rFonts w:cs="Arial Narrow"/>
              </w:rPr>
              <w:t xml:space="preserve"> V zmysle európskych pravidiel sa úrovňou MTO rozumie štrukturálny schodok do 1 % HDP</w:t>
            </w:r>
            <w:r w:rsidRPr="00887108">
              <w:rPr>
                <w:rStyle w:val="Odkaznapoznmkupodiarou"/>
                <w:lang w:val="sk-SK"/>
              </w:rPr>
              <w:footnoteReference w:id="35"/>
            </w:r>
            <w:r w:rsidRPr="00887108">
              <w:rPr>
                <w:rFonts w:cs="Arial Narrow"/>
              </w:rPr>
              <w:t xml:space="preserve">. Slovenská ekonomika sa však v roku 2020 podľa aktuálnej prognózy ocitne v hlbokej recesii. Podľa </w:t>
            </w:r>
            <w:hyperlink r:id="rId25" w:history="1">
              <w:r w:rsidRPr="00887108">
                <w:rPr>
                  <w:rStyle w:val="Hypertextovprepojenie"/>
                  <w:rFonts w:cs="Arial Narrow"/>
                  <w:color w:val="2C9ADC" w:themeColor="accent1"/>
                </w:rPr>
                <w:t>pravidiel Paktu</w:t>
              </w:r>
            </w:hyperlink>
            <w:r w:rsidRPr="00887108">
              <w:rPr>
                <w:rFonts w:cs="Arial Narrow"/>
              </w:rPr>
              <w:t xml:space="preserve"> sa v tomto prípade dočasne nepožaduje medziročné znižovanie štrukturálneho schodku, na základe spustenia tzv. všeobecnej únikovej doložky, ktorú Európska komisia navrhla 20. marca</w:t>
            </w:r>
            <w:r w:rsidRPr="00887108">
              <w:rPr>
                <w:rStyle w:val="Odkaznapoznmkupodiarou"/>
                <w:lang w:val="sk-SK"/>
              </w:rPr>
              <w:footnoteReference w:id="36"/>
            </w:r>
            <w:r w:rsidRPr="00887108">
              <w:rPr>
                <w:rFonts w:cs="Arial Narrow"/>
              </w:rPr>
              <w:t>.</w:t>
            </w:r>
          </w:p>
          <w:p w14:paraId="313F8990" w14:textId="2B48DF54" w:rsidR="00EF7DAF" w:rsidRPr="00887108" w:rsidRDefault="00EF7DAF" w:rsidP="00BF431A">
            <w:pPr>
              <w:jc w:val="both"/>
              <w:rPr>
                <w:b/>
                <w:color w:val="000000" w:themeColor="text1"/>
                <w:sz w:val="16"/>
                <w:szCs w:val="16"/>
              </w:rPr>
            </w:pPr>
          </w:p>
        </w:tc>
      </w:tr>
    </w:tbl>
    <w:p w14:paraId="622BA872" w14:textId="0DD49037" w:rsidR="00204588" w:rsidRPr="00887108" w:rsidRDefault="00204588" w:rsidP="00204588">
      <w:pPr>
        <w:pStyle w:val="NormalList"/>
        <w:spacing w:after="240"/>
        <w:rPr>
          <w:rFonts w:cs="Arial Narrow"/>
          <w:b/>
          <w:color w:val="2C9ADC" w:themeColor="accent1"/>
        </w:rPr>
      </w:pPr>
      <w:r w:rsidRPr="00887108">
        <w:rPr>
          <w:rFonts w:cs="Arial Narrow"/>
          <w:b/>
          <w:color w:val="2C9ADC" w:themeColor="accent1"/>
          <w:lang w:eastAsia="sk-SK"/>
        </w:rPr>
        <w:t>Výhľad štrukturálneho salda v rokoch 2021 až 2023</w:t>
      </w:r>
      <w:r w:rsidR="0068315C" w:rsidRPr="00887108">
        <w:rPr>
          <w:rStyle w:val="Odkaznapoznmkupodiarou"/>
          <w:b/>
          <w:color w:val="2C9ADC" w:themeColor="accent1"/>
          <w:lang w:val="sk-SK"/>
        </w:rPr>
        <w:footnoteReference w:id="37"/>
      </w:r>
    </w:p>
    <w:p w14:paraId="3FEA0304" w14:textId="3672146E" w:rsidR="00204588" w:rsidRPr="00887108" w:rsidRDefault="00E61277" w:rsidP="00204588">
      <w:pPr>
        <w:jc w:val="both"/>
      </w:pPr>
      <w:r w:rsidRPr="00887108">
        <w:rPr>
          <w:b/>
        </w:rPr>
        <w:t xml:space="preserve">Znižovanie štrukturálneho deficitu na </w:t>
      </w:r>
      <w:r w:rsidR="00204588" w:rsidRPr="00887108">
        <w:rPr>
          <w:b/>
        </w:rPr>
        <w:t>rok</w:t>
      </w:r>
      <w:r w:rsidRPr="00887108">
        <w:rPr>
          <w:b/>
        </w:rPr>
        <w:t>y</w:t>
      </w:r>
      <w:r w:rsidR="00204588" w:rsidRPr="00887108">
        <w:rPr>
          <w:b/>
        </w:rPr>
        <w:t xml:space="preserve"> 2021 až 2023 </w:t>
      </w:r>
      <w:r w:rsidRPr="00887108">
        <w:rPr>
          <w:b/>
        </w:rPr>
        <w:t xml:space="preserve">je stanovené </w:t>
      </w:r>
      <w:r w:rsidR="00204588" w:rsidRPr="00887108">
        <w:rPr>
          <w:b/>
        </w:rPr>
        <w:t>v súlade s pravidlami Paktu</w:t>
      </w:r>
      <w:r w:rsidRPr="00887108">
        <w:rPr>
          <w:b/>
        </w:rPr>
        <w:t>.</w:t>
      </w:r>
      <w:r w:rsidR="00204588" w:rsidRPr="00887108">
        <w:rPr>
          <w:b/>
        </w:rPr>
        <w:t xml:space="preserve"> </w:t>
      </w:r>
      <w:r w:rsidR="00204588" w:rsidRPr="00887108">
        <w:t xml:space="preserve">Do roku 2023 </w:t>
      </w:r>
      <w:r w:rsidRPr="00887108">
        <w:t xml:space="preserve">by sa štrukturálny deficit znížil </w:t>
      </w:r>
      <w:r w:rsidR="00204588" w:rsidRPr="00887108">
        <w:t>kumulatívne</w:t>
      </w:r>
      <w:r w:rsidRPr="00887108">
        <w:t xml:space="preserve"> o</w:t>
      </w:r>
      <w:r w:rsidR="00204588" w:rsidRPr="00887108">
        <w:t xml:space="preserve"> 1,25 % HDP</w:t>
      </w:r>
      <w:r w:rsidR="00204588" w:rsidRPr="00887108">
        <w:rPr>
          <w:rStyle w:val="Odkaznapoznmkupodiarou"/>
          <w:lang w:val="sk-SK"/>
        </w:rPr>
        <w:footnoteReference w:id="38"/>
      </w:r>
      <w:r w:rsidR="00204588" w:rsidRPr="00887108">
        <w:rPr>
          <w:b/>
        </w:rPr>
        <w:t xml:space="preserve"> </w:t>
      </w:r>
      <w:r w:rsidRPr="00887108">
        <w:t>a</w:t>
      </w:r>
      <w:r w:rsidR="00204588" w:rsidRPr="00887108">
        <w:t xml:space="preserve"> do roku 2023 </w:t>
      </w:r>
      <w:r w:rsidRPr="00887108">
        <w:t xml:space="preserve">dosiahol </w:t>
      </w:r>
      <w:r w:rsidR="00204588" w:rsidRPr="00887108">
        <w:t xml:space="preserve">úroveň 2,7 % HDP. Ak vláda </w:t>
      </w:r>
      <w:r w:rsidR="00BA46EB" w:rsidRPr="00887108">
        <w:t>neprijme</w:t>
      </w:r>
      <w:r w:rsidR="00204588" w:rsidRPr="00887108">
        <w:t xml:space="preserve"> dodatočné opatrenia</w:t>
      </w:r>
      <w:r w:rsidRPr="00887108">
        <w:t>,</w:t>
      </w:r>
      <w:r w:rsidR="00204588" w:rsidRPr="00887108">
        <w:t xml:space="preserve"> štrukturáln</w:t>
      </w:r>
      <w:r w:rsidRPr="00887108">
        <w:t>y</w:t>
      </w:r>
      <w:r w:rsidR="00204588" w:rsidRPr="00887108">
        <w:t xml:space="preserve"> </w:t>
      </w:r>
      <w:r w:rsidRPr="00887108">
        <w:t>deficit</w:t>
      </w:r>
      <w:r w:rsidR="00204588" w:rsidRPr="00887108">
        <w:t xml:space="preserve"> v NPC scenári bude postupne narastať až dosiahne </w:t>
      </w:r>
      <w:r w:rsidR="00104EBF" w:rsidRPr="00887108">
        <w:t>veľkosť</w:t>
      </w:r>
      <w:r w:rsidR="00204588" w:rsidRPr="00887108">
        <w:t xml:space="preserve"> 6,0 % HDP na konci rozpočtového horizontu.</w:t>
      </w:r>
    </w:p>
    <w:p w14:paraId="0F8295FC" w14:textId="77777777" w:rsidR="00204588" w:rsidRPr="00887108" w:rsidRDefault="00204588" w:rsidP="00204588">
      <w:pPr>
        <w:jc w:val="both"/>
        <w:rPr>
          <w:highlight w:val="yellow"/>
        </w:rPr>
      </w:pPr>
    </w:p>
    <w:p w14:paraId="1FC09CBF" w14:textId="4A450B3C" w:rsidR="00204588" w:rsidRPr="00887108" w:rsidRDefault="00204588" w:rsidP="00204588">
      <w:pPr>
        <w:jc w:val="both"/>
        <w:rPr>
          <w:highlight w:val="yellow"/>
        </w:rPr>
      </w:pPr>
      <w:r w:rsidRPr="00887108">
        <w:rPr>
          <w:b/>
        </w:rPr>
        <w:t>Kým prijaté opatrenia vlády budú pôsobiť v tomto roku proti-cyklicky, na strednodobom horizonte Programu stability bude už rozpočtová politika mierne pro-cyklická</w:t>
      </w:r>
      <w:r w:rsidRPr="00887108">
        <w:t>. Vzhľadom na aktuálne identifikovanú negatívnu produkčnú medzeru (nad 7 % HDP)</w:t>
      </w:r>
      <w:r w:rsidR="00104EBF" w:rsidRPr="00887108">
        <w:t>,</w:t>
      </w:r>
      <w:r w:rsidRPr="00887108">
        <w:t xml:space="preserve"> fiškálna expanzia v roku 2020 </w:t>
      </w:r>
      <w:r w:rsidR="00104EBF" w:rsidRPr="00887108">
        <w:t>pôsobí na rast stabilizujúco</w:t>
      </w:r>
      <w:r w:rsidRPr="00887108">
        <w:t>. Od roku 2021 do konca strednodobého horizontu bude dochádzať k postupnému uzatváraniu produkčnej medzery, pri</w:t>
      </w:r>
      <w:r w:rsidR="00104EBF" w:rsidRPr="00887108">
        <w:t xml:space="preserve"> mierne</w:t>
      </w:r>
      <w:r w:rsidRPr="00887108">
        <w:t xml:space="preserve"> reštriktívnej pro-cyklickej fiškálnej politike (</w:t>
      </w:r>
      <w:r w:rsidR="00770B29" w:rsidRPr="00887108">
        <w:rPr>
          <w:color w:val="2C9ADC" w:themeColor="accent1"/>
        </w:rPr>
        <w:t>G</w:t>
      </w:r>
      <w:r w:rsidR="001D7FBD" w:rsidRPr="00887108">
        <w:rPr>
          <w:color w:val="2C9ADC" w:themeColor="accent1"/>
        </w:rPr>
        <w:t>raf</w:t>
      </w:r>
      <w:r w:rsidR="00770B29" w:rsidRPr="00887108">
        <w:rPr>
          <w:color w:val="2C9ADC" w:themeColor="accent1"/>
        </w:rPr>
        <w:t xml:space="preserve"> 14</w:t>
      </w:r>
      <w:r w:rsidRPr="00887108">
        <w:t xml:space="preserve">). </w:t>
      </w:r>
      <w:r w:rsidR="00104EBF" w:rsidRPr="00887108">
        <w:t>Konsolidácia však zodpovedá potrebe reagovať na vysoké riziko dlhodobej udržateľnosti</w:t>
      </w:r>
      <w:r w:rsidR="00690B1C" w:rsidRPr="00887108">
        <w:t xml:space="preserve"> a stabilizovať úroveň verejného dlhu</w:t>
      </w:r>
      <w:r w:rsidR="00104EBF" w:rsidRPr="00887108">
        <w:t>.</w:t>
      </w:r>
    </w:p>
    <w:p w14:paraId="3B4A07B4" w14:textId="77777777" w:rsidR="00204588" w:rsidRPr="00887108" w:rsidRDefault="00204588" w:rsidP="00204588">
      <w:pPr>
        <w:jc w:val="both"/>
        <w:rPr>
          <w:highlight w:val="yellow"/>
        </w:rPr>
      </w:pPr>
    </w:p>
    <w:tbl>
      <w:tblPr>
        <w:tblW w:w="9016" w:type="dxa"/>
        <w:tblLayout w:type="fixed"/>
        <w:tblCellMar>
          <w:left w:w="70" w:type="dxa"/>
          <w:right w:w="70" w:type="dxa"/>
        </w:tblCellMar>
        <w:tblLook w:val="0000" w:firstRow="0" w:lastRow="0" w:firstColumn="0" w:lastColumn="0" w:noHBand="0" w:noVBand="0"/>
      </w:tblPr>
      <w:tblGrid>
        <w:gridCol w:w="9016"/>
      </w:tblGrid>
      <w:tr w:rsidR="00204588" w:rsidRPr="00887108" w14:paraId="506EA07E" w14:textId="77777777" w:rsidTr="00204588">
        <w:trPr>
          <w:trHeight w:val="201"/>
        </w:trPr>
        <w:tc>
          <w:tcPr>
            <w:tcW w:w="9016" w:type="dxa"/>
            <w:tcBorders>
              <w:bottom w:val="single" w:sz="4" w:space="0" w:color="auto"/>
            </w:tcBorders>
            <w:shd w:val="clear" w:color="auto" w:fill="auto"/>
          </w:tcPr>
          <w:p w14:paraId="221666B3" w14:textId="7B7C66C6" w:rsidR="00204588" w:rsidRPr="00887108" w:rsidRDefault="00204588" w:rsidP="00204588">
            <w:pPr>
              <w:pStyle w:val="Nadpis3"/>
              <w:rPr>
                <w:rFonts w:eastAsiaTheme="minorHAnsi"/>
                <w:color w:val="2C9ADC"/>
                <w:lang w:eastAsia="en-US"/>
              </w:rPr>
            </w:pPr>
            <w:bookmarkStart w:id="119" w:name="_Ref5285120"/>
            <w:bookmarkStart w:id="120" w:name="_Toc40181265"/>
            <w:r w:rsidRPr="00887108">
              <w:rPr>
                <w:rFonts w:eastAsiaTheme="minorHAnsi"/>
                <w:color w:val="2C9ADC"/>
                <w:lang w:eastAsia="en-US"/>
              </w:rPr>
              <w:t xml:space="preserve">GRAF </w:t>
            </w:r>
            <w:r w:rsidRPr="00887108">
              <w:rPr>
                <w:rFonts w:eastAsiaTheme="minorHAnsi"/>
                <w:color w:val="2C9ADC"/>
                <w:lang w:eastAsia="en-US"/>
              </w:rPr>
              <w:fldChar w:fldCharType="begin"/>
            </w:r>
            <w:r w:rsidRPr="00887108">
              <w:rPr>
                <w:rFonts w:eastAsiaTheme="minorHAnsi"/>
                <w:color w:val="2C9ADC"/>
                <w:lang w:eastAsia="en-US"/>
              </w:rPr>
              <w:instrText xml:space="preserve"> SEQ GRAF \* ARABIC </w:instrText>
            </w:r>
            <w:r w:rsidRPr="00887108">
              <w:rPr>
                <w:rFonts w:eastAsiaTheme="minorHAnsi"/>
                <w:color w:val="2C9ADC"/>
                <w:lang w:eastAsia="en-US"/>
              </w:rPr>
              <w:fldChar w:fldCharType="separate"/>
            </w:r>
            <w:r w:rsidR="00D47A36">
              <w:rPr>
                <w:rFonts w:eastAsiaTheme="minorHAnsi"/>
                <w:noProof/>
                <w:color w:val="2C9ADC"/>
                <w:lang w:eastAsia="en-US"/>
              </w:rPr>
              <w:t>14</w:t>
            </w:r>
            <w:r w:rsidRPr="00887108">
              <w:rPr>
                <w:rFonts w:eastAsiaTheme="minorHAnsi"/>
                <w:color w:val="2C9ADC"/>
                <w:lang w:eastAsia="en-US"/>
              </w:rPr>
              <w:fldChar w:fldCharType="end"/>
            </w:r>
            <w:r w:rsidRPr="00887108">
              <w:rPr>
                <w:rFonts w:eastAsiaTheme="minorHAnsi"/>
                <w:color w:val="2C9ADC"/>
                <w:lang w:eastAsia="en-US"/>
              </w:rPr>
              <w:t xml:space="preserve"> - Zmena primárneho štrukturálneho salda oproti úrovni produkčnej medzery (% HDP)</w:t>
            </w:r>
            <w:bookmarkEnd w:id="119"/>
            <w:bookmarkEnd w:id="120"/>
          </w:p>
        </w:tc>
      </w:tr>
      <w:tr w:rsidR="00204588" w:rsidRPr="00887108" w14:paraId="5D8B91AA" w14:textId="77777777" w:rsidTr="00204588">
        <w:trPr>
          <w:trHeight w:val="2713"/>
        </w:trPr>
        <w:tc>
          <w:tcPr>
            <w:tcW w:w="9016" w:type="dxa"/>
            <w:tcBorders>
              <w:top w:val="single" w:sz="4" w:space="0" w:color="auto"/>
              <w:bottom w:val="single" w:sz="4" w:space="0" w:color="auto"/>
            </w:tcBorders>
            <w:shd w:val="clear" w:color="auto" w:fill="auto"/>
          </w:tcPr>
          <w:p w14:paraId="3F0FD5D8" w14:textId="77777777" w:rsidR="00204588" w:rsidRPr="00887108" w:rsidRDefault="00204588" w:rsidP="00204588">
            <w:pPr>
              <w:jc w:val="both"/>
              <w:rPr>
                <w:rFonts w:cs="Garamond"/>
                <w:b/>
                <w:bCs/>
                <w:sz w:val="16"/>
                <w:szCs w:val="16"/>
                <w:highlight w:val="yellow"/>
              </w:rPr>
            </w:pPr>
            <w:r w:rsidRPr="00887108">
              <w:drawing>
                <wp:inline distT="0" distB="0" distL="0" distR="0" wp14:anchorId="336A6856" wp14:editId="2F8459A5">
                  <wp:extent cx="5624946" cy="2673927"/>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204588" w:rsidRPr="00887108" w14:paraId="55820E0D" w14:textId="77777777" w:rsidTr="00204588">
        <w:trPr>
          <w:trHeight w:val="149"/>
        </w:trPr>
        <w:tc>
          <w:tcPr>
            <w:tcW w:w="9016" w:type="dxa"/>
            <w:tcBorders>
              <w:top w:val="single" w:sz="4" w:space="0" w:color="auto"/>
            </w:tcBorders>
            <w:shd w:val="clear" w:color="auto" w:fill="auto"/>
            <w:vAlign w:val="center"/>
          </w:tcPr>
          <w:p w14:paraId="4E600A90" w14:textId="77777777" w:rsidR="00204588" w:rsidRPr="00887108" w:rsidRDefault="00204588" w:rsidP="00204588">
            <w:pPr>
              <w:jc w:val="right"/>
              <w:rPr>
                <w:rFonts w:cs="Arial"/>
                <w:i/>
                <w:sz w:val="16"/>
                <w:szCs w:val="14"/>
              </w:rPr>
            </w:pPr>
            <w:r w:rsidRPr="00887108">
              <w:rPr>
                <w:rFonts w:cs="Arial"/>
                <w:i/>
                <w:sz w:val="16"/>
                <w:szCs w:val="14"/>
              </w:rPr>
              <w:t>Zdroj: MF SR</w:t>
            </w:r>
          </w:p>
        </w:tc>
      </w:tr>
    </w:tbl>
    <w:p w14:paraId="6A87D848" w14:textId="77777777" w:rsidR="00204588" w:rsidRPr="00887108" w:rsidRDefault="00204588" w:rsidP="00204588">
      <w:pPr>
        <w:pStyle w:val="Nadpis2"/>
        <w:keepLines/>
        <w:numPr>
          <w:ilvl w:val="1"/>
          <w:numId w:val="2"/>
        </w:numPr>
        <w:spacing w:before="240" w:after="120"/>
        <w:rPr>
          <w:b/>
          <w:color w:val="2C9ADC"/>
          <w:szCs w:val="24"/>
        </w:rPr>
      </w:pPr>
      <w:bookmarkStart w:id="121" w:name="_Toc40181052"/>
      <w:r w:rsidRPr="00887108">
        <w:rPr>
          <w:b/>
          <w:color w:val="2C9ADC"/>
          <w:szCs w:val="24"/>
        </w:rPr>
        <w:t>Verejný dlh</w:t>
      </w:r>
      <w:bookmarkEnd w:id="121"/>
    </w:p>
    <w:p w14:paraId="788122A9" w14:textId="76BAAF58" w:rsidR="00204588" w:rsidRPr="00887108" w:rsidRDefault="000A1BF4" w:rsidP="00204588">
      <w:pPr>
        <w:spacing w:before="240" w:after="120"/>
        <w:jc w:val="both"/>
        <w:rPr>
          <w:b/>
          <w:color w:val="2C9ADC" w:themeColor="accent1"/>
        </w:rPr>
      </w:pPr>
      <w:r w:rsidRPr="00887108">
        <w:rPr>
          <w:b/>
          <w:color w:val="2C9ADC" w:themeColor="accent1"/>
        </w:rPr>
        <w:t>V</w:t>
      </w:r>
      <w:r w:rsidR="00204588" w:rsidRPr="00887108">
        <w:rPr>
          <w:b/>
          <w:color w:val="2C9ADC" w:themeColor="accent1"/>
        </w:rPr>
        <w:t>ýška dlhu v roku 2019</w:t>
      </w:r>
    </w:p>
    <w:p w14:paraId="0D1BABCD" w14:textId="494F2EF0" w:rsidR="00204588" w:rsidRPr="00887108" w:rsidRDefault="00204588" w:rsidP="00204588">
      <w:pPr>
        <w:spacing w:before="240" w:after="120"/>
        <w:jc w:val="both"/>
        <w:rPr>
          <w:rFonts w:cs="Times New Roman"/>
        </w:rPr>
      </w:pPr>
      <w:r w:rsidRPr="00887108">
        <w:rPr>
          <w:b/>
        </w:rPr>
        <w:t xml:space="preserve">Na základe údajov </w:t>
      </w:r>
      <w:r w:rsidR="000A1BF4" w:rsidRPr="00887108">
        <w:rPr>
          <w:b/>
        </w:rPr>
        <w:t>potvrdených</w:t>
      </w:r>
      <w:r w:rsidRPr="00887108">
        <w:rPr>
          <w:b/>
        </w:rPr>
        <w:t xml:space="preserve"> Eurostat</w:t>
      </w:r>
      <w:r w:rsidR="000A1BF4" w:rsidRPr="00887108">
        <w:rPr>
          <w:b/>
        </w:rPr>
        <w:t>om</w:t>
      </w:r>
      <w:r w:rsidRPr="00887108">
        <w:rPr>
          <w:b/>
        </w:rPr>
        <w:t xml:space="preserve"> dosiahol hrubý dlh verejnej správy ku koncu roka 2019 hodnotu 48,0 % HDP</w:t>
      </w:r>
      <w:r w:rsidRPr="00887108">
        <w:rPr>
          <w:rStyle w:val="Odkaznapoznmkupodiarou"/>
          <w:b/>
          <w:lang w:val="sk-SK"/>
        </w:rPr>
        <w:footnoteReference w:id="39"/>
      </w:r>
      <w:r w:rsidRPr="00887108">
        <w:rPr>
          <w:rFonts w:cs="Times New Roman"/>
          <w:b/>
        </w:rPr>
        <w:t xml:space="preserve"> a klesol mimo sankčné pásma dlhovej brzdy</w:t>
      </w:r>
      <w:r w:rsidRPr="00887108">
        <w:rPr>
          <w:rStyle w:val="Odkaznapoznmkupodiarou"/>
          <w:b/>
          <w:lang w:val="sk-SK"/>
        </w:rPr>
        <w:footnoteReference w:id="40"/>
      </w:r>
      <w:r w:rsidRPr="00887108">
        <w:rPr>
          <w:rFonts w:cs="Times New Roman"/>
        </w:rPr>
        <w:t>. V medziročnom vyjadrení sa podiel dlhu na výkone ekonomiky znížil o 1,4 p. b.</w:t>
      </w:r>
      <w:r w:rsidRPr="00887108">
        <w:rPr>
          <w:rStyle w:val="Odkaznapoznmkupodiarou"/>
          <w:lang w:val="sk-SK"/>
        </w:rPr>
        <w:footnoteReference w:id="41"/>
      </w:r>
      <w:r w:rsidR="00690B1C" w:rsidRPr="00887108">
        <w:rPr>
          <w:rFonts w:cs="Times New Roman"/>
        </w:rPr>
        <w:t>.</w:t>
      </w:r>
      <w:r w:rsidRPr="00887108">
        <w:rPr>
          <w:rFonts w:cs="Times New Roman"/>
        </w:rPr>
        <w:t xml:space="preserve"> </w:t>
      </w:r>
      <w:r w:rsidRPr="00887108">
        <w:t xml:space="preserve">Reálny ekonomický </w:t>
      </w:r>
      <w:r w:rsidRPr="00887108">
        <w:rPr>
          <w:rFonts w:cs="Times New Roman"/>
        </w:rPr>
        <w:t>rast a inflačný vývoj nad 2 % patrili aj v minulom roku k </w:t>
      </w:r>
      <w:r w:rsidR="00690B1C" w:rsidRPr="00887108">
        <w:rPr>
          <w:rFonts w:cs="Times New Roman"/>
        </w:rPr>
        <w:t xml:space="preserve">hlavným </w:t>
      </w:r>
      <w:r w:rsidRPr="00887108">
        <w:rPr>
          <w:rFonts w:cs="Times New Roman"/>
        </w:rPr>
        <w:t xml:space="preserve">faktorom znižovania zadlženia. Hrubý dlh klesol aj </w:t>
      </w:r>
      <w:r w:rsidR="00690B1C" w:rsidRPr="00887108">
        <w:rPr>
          <w:rFonts w:cs="Times New Roman"/>
        </w:rPr>
        <w:t xml:space="preserve">kvôli väčšiemu </w:t>
      </w:r>
      <w:r w:rsidRPr="00887108">
        <w:rPr>
          <w:rFonts w:cs="Times New Roman"/>
        </w:rPr>
        <w:t>využiti</w:t>
      </w:r>
      <w:r w:rsidR="00690B1C" w:rsidRPr="00887108">
        <w:rPr>
          <w:rFonts w:cs="Times New Roman"/>
        </w:rPr>
        <w:t>u</w:t>
      </w:r>
      <w:r w:rsidRPr="00887108">
        <w:rPr>
          <w:rFonts w:cs="Times New Roman"/>
        </w:rPr>
        <w:t xml:space="preserve"> likvidných aktív verejnej správy, ktoré zaznamenali medziročný pokles o viac než 1 % HDP (</w:t>
      </w:r>
      <w:r w:rsidR="00EA153E" w:rsidRPr="00887108">
        <w:rPr>
          <w:rFonts w:cs="Times New Roman"/>
          <w:color w:val="2C9ADC" w:themeColor="accent1"/>
        </w:rPr>
        <w:t>Príloha</w:t>
      </w:r>
      <w:r w:rsidRPr="00887108">
        <w:rPr>
          <w:rFonts w:cs="Times New Roman"/>
          <w:color w:val="2C9ADC" w:themeColor="accent1"/>
        </w:rPr>
        <w:t xml:space="preserve"> </w:t>
      </w:r>
      <w:r w:rsidR="00EA153E" w:rsidRPr="00887108">
        <w:rPr>
          <w:rFonts w:cs="Times New Roman"/>
          <w:color w:val="2C9ADC" w:themeColor="accent1"/>
        </w:rPr>
        <w:t>6</w:t>
      </w:r>
      <w:r w:rsidRPr="00887108">
        <w:rPr>
          <w:rFonts w:cs="Times New Roman"/>
        </w:rPr>
        <w:t>). Samotné hospodárenie vlády prispelo naopak negatívne, keď sa po dvoch prebytkových rokoch dostalo primárne saldo opäť do mierneho deficitu (0,1 % HDP)</w:t>
      </w:r>
      <w:r w:rsidRPr="00887108">
        <w:rPr>
          <w:rStyle w:val="Odkaznapoznmkupodiarou"/>
          <w:lang w:val="sk-SK"/>
        </w:rPr>
        <w:footnoteReference w:id="42"/>
      </w:r>
      <w:r w:rsidRPr="00887108">
        <w:rPr>
          <w:rFonts w:cs="Times New Roman"/>
        </w:rPr>
        <w:t xml:space="preserve">. Od svojho vrcholu v roku 2013 sa hrubý dlh znížil </w:t>
      </w:r>
      <w:r w:rsidR="00731085" w:rsidRPr="00887108">
        <w:rPr>
          <w:rFonts w:cs="Times New Roman"/>
        </w:rPr>
        <w:t>za šesť rokov</w:t>
      </w:r>
      <w:r w:rsidRPr="00887108">
        <w:rPr>
          <w:rFonts w:cs="Times New Roman"/>
        </w:rPr>
        <w:t xml:space="preserve"> o necelých 7 p.b.</w:t>
      </w:r>
      <w:r w:rsidR="002456FC" w:rsidRPr="00887108">
        <w:rPr>
          <w:rFonts w:cs="Times New Roman"/>
        </w:rPr>
        <w:t xml:space="preserve"> </w:t>
      </w:r>
      <w:r w:rsidRPr="00887108">
        <w:rPr>
          <w:rFonts w:cs="Times New Roman"/>
        </w:rPr>
        <w:t xml:space="preserve">HDP a dostal </w:t>
      </w:r>
      <w:r w:rsidR="00690B1C" w:rsidRPr="00887108">
        <w:rPr>
          <w:rFonts w:cs="Times New Roman"/>
        </w:rPr>
        <w:t xml:space="preserve">sa </w:t>
      </w:r>
      <w:r w:rsidRPr="00887108">
        <w:rPr>
          <w:rFonts w:cs="Times New Roman"/>
        </w:rPr>
        <w:t>tesne pod hranicu najnižšieho sankčného pásma dlhovej brzdy (48 % HDP).</w:t>
      </w:r>
    </w:p>
    <w:p w14:paraId="799A9B6E" w14:textId="77777777" w:rsidR="00204588" w:rsidRPr="00887108" w:rsidRDefault="00204588" w:rsidP="00204588">
      <w:pPr>
        <w:spacing w:before="240" w:after="120"/>
        <w:jc w:val="both"/>
        <w:rPr>
          <w:b/>
          <w:color w:val="2C9ADC" w:themeColor="accent1"/>
        </w:rPr>
      </w:pPr>
      <w:r w:rsidRPr="00887108">
        <w:rPr>
          <w:b/>
          <w:color w:val="2C9ADC" w:themeColor="accent1"/>
        </w:rPr>
        <w:t>Scenáre prognózy dlhu verejnej správy do roku 2023</w:t>
      </w:r>
    </w:p>
    <w:p w14:paraId="3B49C180" w14:textId="241F55C2" w:rsidR="00204588" w:rsidRPr="00887108" w:rsidRDefault="00204588" w:rsidP="00666C30">
      <w:pPr>
        <w:spacing w:before="240" w:after="120"/>
        <w:jc w:val="both"/>
        <w:rPr>
          <w:rFonts w:cs="Times New Roman"/>
          <w:b/>
          <w:color w:val="000000" w:themeColor="text1"/>
        </w:rPr>
      </w:pPr>
      <w:r w:rsidRPr="00887108">
        <w:rPr>
          <w:rFonts w:cs="Times New Roman"/>
          <w:b/>
          <w:color w:val="000000" w:themeColor="text1"/>
        </w:rPr>
        <w:t xml:space="preserve">Z dôvodu </w:t>
      </w:r>
      <w:r w:rsidR="00104EBF" w:rsidRPr="00887108">
        <w:rPr>
          <w:rFonts w:cs="Times New Roman"/>
          <w:b/>
          <w:color w:val="000000" w:themeColor="text1"/>
        </w:rPr>
        <w:t xml:space="preserve">dopadov </w:t>
      </w:r>
      <w:r w:rsidRPr="00887108">
        <w:rPr>
          <w:rFonts w:cs="Times New Roman"/>
          <w:b/>
          <w:color w:val="000000" w:themeColor="text1"/>
        </w:rPr>
        <w:t>pandémie COVID19 sa očakáva nárast hrubého dlhu nad najvyššie sankčné pásmo národnej dlhovej brzdy a zároveň aj nad maastrichtskú hranicu 60 % HDP.</w:t>
      </w:r>
      <w:r w:rsidRPr="00887108">
        <w:t xml:space="preserve"> </w:t>
      </w:r>
      <w:r w:rsidRPr="00887108">
        <w:rPr>
          <w:rFonts w:cs="Times New Roman"/>
          <w:color w:val="000000" w:themeColor="text1"/>
        </w:rPr>
        <w:t>Ministerstvo financií SR na základe aktualizovaných prognóz z apríla 2020 pripravilo tri scenáre vývoja hrubého dlhu do roku 2023</w:t>
      </w:r>
      <w:r w:rsidRPr="00887108">
        <w:rPr>
          <w:rFonts w:cs="Times New Roman"/>
          <w:b/>
          <w:color w:val="000000" w:themeColor="text1"/>
        </w:rPr>
        <w:t xml:space="preserve"> </w:t>
      </w:r>
      <w:r w:rsidRPr="00887108">
        <w:rPr>
          <w:rFonts w:cs="Times New Roman"/>
          <w:color w:val="000000" w:themeColor="text1"/>
        </w:rPr>
        <w:t>(základný a dva rizikové).</w:t>
      </w:r>
      <w:r w:rsidR="00666C30" w:rsidRPr="00887108">
        <w:rPr>
          <w:b/>
        </w:rPr>
        <w:t xml:space="preserve"> </w:t>
      </w:r>
      <w:r w:rsidR="00104EBF" w:rsidRPr="00887108">
        <w:t xml:space="preserve">V základom scenári dosahuje deficit v roku 2020 </w:t>
      </w:r>
      <w:r w:rsidR="002456FC" w:rsidRPr="00887108">
        <w:t xml:space="preserve">výšku </w:t>
      </w:r>
      <w:r w:rsidR="00104EBF" w:rsidRPr="00887108">
        <w:t xml:space="preserve">8,4 % HDP, </w:t>
      </w:r>
      <w:r w:rsidR="002456FC" w:rsidRPr="00887108">
        <w:t xml:space="preserve">kým </w:t>
      </w:r>
      <w:r w:rsidR="00104EBF" w:rsidRPr="00887108">
        <w:rPr>
          <w:rFonts w:eastAsiaTheme="minorHAnsi" w:cstheme="minorBidi"/>
          <w:lang w:eastAsia="en-US"/>
        </w:rPr>
        <w:t>p</w:t>
      </w:r>
      <w:r w:rsidR="00666C30" w:rsidRPr="00887108">
        <w:rPr>
          <w:rFonts w:eastAsiaTheme="minorHAnsi" w:cstheme="minorBidi"/>
          <w:lang w:eastAsia="en-US"/>
        </w:rPr>
        <w:t xml:space="preserve">ri zohľadnení rizikovejších scenárov aktuálnej pandémie by deficit mohol narásť až na 10 % HDP. </w:t>
      </w:r>
      <w:r w:rsidRPr="00887108">
        <w:rPr>
          <w:rFonts w:cs="Times New Roman"/>
          <w:color w:val="000000" w:themeColor="text1"/>
        </w:rPr>
        <w:t xml:space="preserve">Všetky scenáre predpokladajú, že hrubý dlh prekročí od roku 2020 </w:t>
      </w:r>
      <w:r w:rsidR="00731892" w:rsidRPr="00887108">
        <w:rPr>
          <w:rFonts w:cs="Times New Roman"/>
          <w:color w:val="000000" w:themeColor="text1"/>
        </w:rPr>
        <w:t xml:space="preserve">úroveň 60 % HDP. </w:t>
      </w:r>
      <w:r w:rsidRPr="00887108">
        <w:rPr>
          <w:rFonts w:cs="Times New Roman"/>
          <w:color w:val="000000" w:themeColor="text1"/>
        </w:rPr>
        <w:t>V porovnaní s finančnou krízou z roku 2008 indikuje aktuálny odhad výraznejší nárast dlhu a</w:t>
      </w:r>
      <w:r w:rsidR="00731892" w:rsidRPr="00887108">
        <w:rPr>
          <w:rFonts w:cs="Times New Roman"/>
          <w:color w:val="000000" w:themeColor="text1"/>
        </w:rPr>
        <w:t xml:space="preserve"> len </w:t>
      </w:r>
      <w:r w:rsidRPr="00887108">
        <w:rPr>
          <w:rFonts w:cs="Times New Roman"/>
          <w:color w:val="000000" w:themeColor="text1"/>
        </w:rPr>
        <w:t>s postupnou stabilizáciou v ďalších rokoch</w:t>
      </w:r>
      <w:r w:rsidR="00731892" w:rsidRPr="00887108">
        <w:rPr>
          <w:rFonts w:cs="Times New Roman"/>
          <w:color w:val="000000" w:themeColor="text1"/>
        </w:rPr>
        <w:t xml:space="preserve"> v základnom scenári</w:t>
      </w:r>
      <w:r w:rsidRPr="00887108">
        <w:rPr>
          <w:rFonts w:cs="Times New Roman"/>
          <w:color w:val="000000" w:themeColor="text1"/>
        </w:rPr>
        <w:t xml:space="preserve">. Zároveň sa situácia odlišuje vo vyššej počiatočnej úrovni dlhu o takmer 20 p. b., keď sa v priaznivom období silného hospodárskeho rastu nepodarilo dlh znížiť bližšie k predkrízovým úrovniam. </w:t>
      </w:r>
      <w:r w:rsidR="00731892" w:rsidRPr="00887108">
        <w:rPr>
          <w:rFonts w:cs="Times New Roman"/>
          <w:color w:val="000000" w:themeColor="text1"/>
        </w:rPr>
        <w:t xml:space="preserve">Napriek dlhu nad sankčnými pásmami k spusteniu korektívnych opatrení 3.-5. pásma </w:t>
      </w:r>
      <w:r w:rsidR="00C26186" w:rsidRPr="00887108">
        <w:rPr>
          <w:rFonts w:cs="Times New Roman"/>
          <w:color w:val="000000" w:themeColor="text1"/>
        </w:rPr>
        <w:t>Ústavného z</w:t>
      </w:r>
      <w:r w:rsidR="00731892" w:rsidRPr="00887108">
        <w:rPr>
          <w:rFonts w:cs="Times New Roman"/>
          <w:color w:val="000000" w:themeColor="text1"/>
        </w:rPr>
        <w:t>ákona o rozpočtovej zodpovednosti nedôjde aspoň do roku 2022</w:t>
      </w:r>
      <w:r w:rsidR="00770B29" w:rsidRPr="00887108">
        <w:rPr>
          <w:rFonts w:cs="Times New Roman"/>
          <w:color w:val="000000" w:themeColor="text1"/>
        </w:rPr>
        <w:t xml:space="preserve"> (</w:t>
      </w:r>
      <w:r w:rsidR="00770B29" w:rsidRPr="00887108">
        <w:rPr>
          <w:rFonts w:cs="Times New Roman"/>
          <w:color w:val="2C9ADC" w:themeColor="accent1"/>
        </w:rPr>
        <w:t>BOX 4</w:t>
      </w:r>
      <w:r w:rsidR="006E2B1D" w:rsidRPr="00887108">
        <w:rPr>
          <w:rFonts w:cs="Times New Roman"/>
          <w:color w:val="000000" w:themeColor="text1"/>
        </w:rPr>
        <w:t>).</w:t>
      </w:r>
    </w:p>
    <w:tbl>
      <w:tblPr>
        <w:tblW w:w="5179" w:type="pct"/>
        <w:jc w:val="center"/>
        <w:tblCellMar>
          <w:left w:w="70" w:type="dxa"/>
          <w:right w:w="70" w:type="dxa"/>
        </w:tblCellMar>
        <w:tblLook w:val="0000" w:firstRow="0" w:lastRow="0" w:firstColumn="0" w:lastColumn="0" w:noHBand="0" w:noVBand="0"/>
      </w:tblPr>
      <w:tblGrid>
        <w:gridCol w:w="9395"/>
      </w:tblGrid>
      <w:tr w:rsidR="00204588" w:rsidRPr="00887108" w14:paraId="32A376B3" w14:textId="77777777" w:rsidTr="00204588">
        <w:trPr>
          <w:trHeight w:val="471"/>
          <w:jc w:val="center"/>
        </w:trPr>
        <w:tc>
          <w:tcPr>
            <w:tcW w:w="5000" w:type="pct"/>
            <w:tcBorders>
              <w:top w:val="nil"/>
              <w:left w:val="nil"/>
              <w:bottom w:val="single" w:sz="4" w:space="0" w:color="auto"/>
              <w:right w:val="nil"/>
            </w:tcBorders>
            <w:shd w:val="clear" w:color="auto" w:fill="auto"/>
            <w:vAlign w:val="center"/>
          </w:tcPr>
          <w:p w14:paraId="17910CC4" w14:textId="207B1FBC" w:rsidR="00204588" w:rsidRPr="00887108" w:rsidRDefault="00204588" w:rsidP="00204588">
            <w:pPr>
              <w:pStyle w:val="Nadpis3"/>
              <w:spacing w:before="120"/>
              <w:rPr>
                <w:rFonts w:eastAsiaTheme="minorHAnsi"/>
                <w:color w:val="2C9ADC"/>
                <w:lang w:eastAsia="en-US"/>
              </w:rPr>
            </w:pPr>
            <w:bookmarkStart w:id="122" w:name="_Toc526783522"/>
            <w:bookmarkStart w:id="123" w:name="_Toc40181266"/>
            <w:r w:rsidRPr="00887108">
              <w:rPr>
                <w:rFonts w:eastAsiaTheme="minorHAnsi"/>
                <w:color w:val="2C9ADC"/>
                <w:lang w:eastAsia="en-US"/>
              </w:rPr>
              <w:t xml:space="preserve">GRAF </w:t>
            </w:r>
            <w:r w:rsidRPr="00887108">
              <w:rPr>
                <w:rFonts w:eastAsiaTheme="minorHAnsi"/>
                <w:color w:val="2C9ADC"/>
                <w:lang w:eastAsia="en-US"/>
              </w:rPr>
              <w:fldChar w:fldCharType="begin"/>
            </w:r>
            <w:r w:rsidRPr="00887108">
              <w:rPr>
                <w:rFonts w:eastAsiaTheme="minorHAnsi"/>
                <w:color w:val="2C9ADC"/>
                <w:lang w:eastAsia="en-US"/>
              </w:rPr>
              <w:instrText xml:space="preserve"> SEQ GRAF \* ARABIC </w:instrText>
            </w:r>
            <w:r w:rsidRPr="00887108">
              <w:rPr>
                <w:rFonts w:eastAsiaTheme="minorHAnsi"/>
                <w:color w:val="2C9ADC"/>
                <w:lang w:eastAsia="en-US"/>
              </w:rPr>
              <w:fldChar w:fldCharType="separate"/>
            </w:r>
            <w:r w:rsidR="00D47A36">
              <w:rPr>
                <w:rFonts w:eastAsiaTheme="minorHAnsi"/>
                <w:noProof/>
                <w:color w:val="2C9ADC"/>
                <w:lang w:eastAsia="en-US"/>
              </w:rPr>
              <w:t>15</w:t>
            </w:r>
            <w:r w:rsidRPr="00887108">
              <w:rPr>
                <w:rFonts w:eastAsiaTheme="minorHAnsi"/>
                <w:color w:val="2C9ADC"/>
                <w:lang w:eastAsia="en-US"/>
              </w:rPr>
              <w:fldChar w:fldCharType="end"/>
            </w:r>
            <w:r w:rsidRPr="00887108">
              <w:rPr>
                <w:rFonts w:eastAsiaTheme="minorHAnsi"/>
                <w:color w:val="2C9ADC"/>
                <w:lang w:eastAsia="en-US"/>
              </w:rPr>
              <w:t xml:space="preserve"> - Hrubý dlh verejnej správy (% HDP)</w:t>
            </w:r>
            <w:bookmarkEnd w:id="122"/>
            <w:bookmarkEnd w:id="123"/>
          </w:p>
        </w:tc>
      </w:tr>
      <w:tr w:rsidR="00204588" w:rsidRPr="00887108" w14:paraId="521D2BCB" w14:textId="77777777" w:rsidTr="00204588">
        <w:trPr>
          <w:trHeight w:val="4786"/>
          <w:jc w:val="center"/>
        </w:trPr>
        <w:tc>
          <w:tcPr>
            <w:tcW w:w="5000" w:type="pct"/>
            <w:tcBorders>
              <w:top w:val="single" w:sz="4" w:space="0" w:color="auto"/>
              <w:left w:val="nil"/>
              <w:bottom w:val="single" w:sz="4" w:space="0" w:color="auto"/>
              <w:right w:val="nil"/>
            </w:tcBorders>
            <w:shd w:val="clear" w:color="auto" w:fill="auto"/>
          </w:tcPr>
          <w:p w14:paraId="440D6D0C" w14:textId="77777777" w:rsidR="00204588" w:rsidRPr="00887108" w:rsidRDefault="00204588" w:rsidP="00204588">
            <w:pPr>
              <w:jc w:val="center"/>
              <w:rPr>
                <w:rFonts w:cs="Arial"/>
                <w:b/>
                <w:bCs/>
                <w:sz w:val="16"/>
                <w:szCs w:val="16"/>
                <w:highlight w:val="yellow"/>
              </w:rPr>
            </w:pPr>
            <w:r w:rsidRPr="00887108">
              <w:drawing>
                <wp:inline distT="0" distB="0" distL="0" distR="0" wp14:anchorId="103500C0" wp14:editId="5C6A7148">
                  <wp:extent cx="5876925" cy="3057525"/>
                  <wp:effectExtent l="0" t="0" r="0" b="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204588" w:rsidRPr="00887108" w14:paraId="7B43B13B" w14:textId="77777777" w:rsidTr="00204588">
        <w:trPr>
          <w:trHeight w:val="93"/>
          <w:jc w:val="center"/>
        </w:trPr>
        <w:tc>
          <w:tcPr>
            <w:tcW w:w="5000" w:type="pct"/>
            <w:tcBorders>
              <w:top w:val="single" w:sz="4" w:space="0" w:color="auto"/>
              <w:left w:val="nil"/>
              <w:bottom w:val="nil"/>
              <w:right w:val="nil"/>
            </w:tcBorders>
            <w:shd w:val="clear" w:color="auto" w:fill="auto"/>
          </w:tcPr>
          <w:p w14:paraId="4425DAB2" w14:textId="77777777" w:rsidR="00204588" w:rsidRPr="00887108" w:rsidRDefault="00204588" w:rsidP="00204588">
            <w:pPr>
              <w:ind w:left="360"/>
              <w:jc w:val="right"/>
              <w:rPr>
                <w:rFonts w:cs="Arial"/>
                <w:i/>
                <w:iCs/>
                <w:sz w:val="16"/>
                <w:szCs w:val="16"/>
              </w:rPr>
            </w:pPr>
            <w:r w:rsidRPr="00887108">
              <w:rPr>
                <w:rFonts w:cs="Times New Roman"/>
                <w:i/>
                <w:sz w:val="16"/>
                <w:szCs w:val="14"/>
              </w:rPr>
              <w:t>Zdroj: MF SR</w:t>
            </w:r>
            <w:r w:rsidRPr="00887108">
              <w:rPr>
                <w:rFonts w:cs="Arial"/>
                <w:i/>
                <w:iCs/>
                <w:sz w:val="16"/>
                <w:szCs w:val="16"/>
              </w:rPr>
              <w:t xml:space="preserve"> </w:t>
            </w:r>
          </w:p>
        </w:tc>
      </w:tr>
    </w:tbl>
    <w:p w14:paraId="6EF32B14" w14:textId="51BF4C23" w:rsidR="00204588" w:rsidRPr="00887108" w:rsidRDefault="00204588" w:rsidP="006F2B75">
      <w:pPr>
        <w:spacing w:before="120" w:after="120"/>
        <w:jc w:val="both"/>
        <w:rPr>
          <w:rFonts w:cs="Times New Roman"/>
          <w:color w:val="000000" w:themeColor="text1"/>
        </w:rPr>
      </w:pPr>
      <w:r w:rsidRPr="00887108">
        <w:rPr>
          <w:rFonts w:cs="Times New Roman"/>
          <w:b/>
          <w:color w:val="000000" w:themeColor="text1"/>
        </w:rPr>
        <w:t xml:space="preserve">V roku 2020 dosiahne dlh výšku 61,2 % HDP a prekročí tak aj najvyššie pásmo dlhovej brzdy (57 % HDP). </w:t>
      </w:r>
      <w:r w:rsidR="00731085" w:rsidRPr="00887108">
        <w:rPr>
          <w:rFonts w:cs="Times New Roman"/>
          <w:color w:val="000000" w:themeColor="text1"/>
        </w:rPr>
        <w:t>M</w:t>
      </w:r>
      <w:r w:rsidR="00113273">
        <w:rPr>
          <w:rFonts w:cs="Times New Roman"/>
          <w:color w:val="000000" w:themeColor="text1"/>
        </w:rPr>
        <w:t>edziročné zvýšenie</w:t>
      </w:r>
      <w:r w:rsidRPr="00887108">
        <w:rPr>
          <w:rFonts w:cs="Times New Roman"/>
          <w:color w:val="000000" w:themeColor="text1"/>
        </w:rPr>
        <w:t xml:space="preserve"> dlhu o približne 13 p. b. </w:t>
      </w:r>
      <w:r w:rsidR="00731085" w:rsidRPr="00887108">
        <w:rPr>
          <w:rFonts w:cs="Times New Roman"/>
          <w:color w:val="000000" w:themeColor="text1"/>
        </w:rPr>
        <w:t xml:space="preserve">odráža nárast deficitu spolu s poklesom ekonomiky. </w:t>
      </w:r>
      <w:r w:rsidRPr="00887108">
        <w:rPr>
          <w:rFonts w:cs="Times New Roman"/>
          <w:color w:val="000000" w:themeColor="text1"/>
        </w:rPr>
        <w:t>Utlmenie ekonomickej aktivity pôsobí na celkové zadlženie na jednej strane cez efekt menovateľa (dlh je vyjadrený voči výkonu ekonomiky)</w:t>
      </w:r>
      <w:r w:rsidRPr="00887108">
        <w:rPr>
          <w:rStyle w:val="Odkaznapoznmkupodiarou"/>
          <w:color w:val="000000" w:themeColor="text1"/>
          <w:lang w:val="sk-SK"/>
        </w:rPr>
        <w:footnoteReference w:id="43"/>
      </w:r>
      <w:r w:rsidRPr="00887108">
        <w:rPr>
          <w:rFonts w:cs="Times New Roman"/>
          <w:color w:val="000000" w:themeColor="text1"/>
        </w:rPr>
        <w:t xml:space="preserve"> a na druhej strane aj znížením celkových príjmov. Prognóza dlhu reflektuje na výdavkovej strane </w:t>
      </w:r>
      <w:r w:rsidR="00D44A1E" w:rsidRPr="00887108">
        <w:rPr>
          <w:rFonts w:cs="Times New Roman"/>
          <w:color w:val="000000" w:themeColor="text1"/>
        </w:rPr>
        <w:t xml:space="preserve">prijatie vládnych opatrení na zmiernenie jej negatívnych dopadov </w:t>
      </w:r>
      <w:r w:rsidRPr="00887108">
        <w:rPr>
          <w:rFonts w:cs="Times New Roman"/>
          <w:color w:val="000000" w:themeColor="text1"/>
        </w:rPr>
        <w:t>aj ďalšie riziká nad rámec schváleného rozpočtu</w:t>
      </w:r>
      <w:r w:rsidR="00D44A1E" w:rsidRPr="00887108">
        <w:rPr>
          <w:rFonts w:cs="Times New Roman"/>
          <w:color w:val="000000" w:themeColor="text1"/>
        </w:rPr>
        <w:t xml:space="preserve"> existujúce už pred krízou</w:t>
      </w:r>
      <w:r w:rsidRPr="00887108">
        <w:rPr>
          <w:rFonts w:cs="Times New Roman"/>
          <w:color w:val="000000" w:themeColor="text1"/>
        </w:rPr>
        <w:t>. Následkom tohto vývoja bude aj výrazné prehĺbenie deficitu primárneho salda (7,2 % HDP oproti 0,1 % HDP v roku 2019). Celkovo sa v roku 2020 očakáva nárast potreby financovania štátu tesne pod 14 % HDP</w:t>
      </w:r>
      <w:r w:rsidRPr="00887108">
        <w:rPr>
          <w:rStyle w:val="Odkaznapoznmkupodiarou"/>
          <w:color w:val="000000" w:themeColor="text1"/>
          <w:lang w:val="sk-SK"/>
        </w:rPr>
        <w:footnoteReference w:id="44"/>
      </w:r>
      <w:r w:rsidRPr="00887108">
        <w:rPr>
          <w:rFonts w:cs="Times New Roman"/>
          <w:color w:val="000000" w:themeColor="text1"/>
        </w:rPr>
        <w:t>, pričom ide historicky o jednu z najvyšších potrieb finančných prostriedkov</w:t>
      </w:r>
      <w:r w:rsidRPr="00887108">
        <w:rPr>
          <w:rStyle w:val="Odkaznapoznmkupodiarou"/>
          <w:color w:val="000000" w:themeColor="text1"/>
          <w:lang w:val="sk-SK"/>
        </w:rPr>
        <w:footnoteReference w:id="45"/>
      </w:r>
      <w:r w:rsidRPr="00887108">
        <w:rPr>
          <w:rFonts w:cs="Times New Roman"/>
          <w:color w:val="000000" w:themeColor="text1"/>
        </w:rPr>
        <w:t xml:space="preserve"> (</w:t>
      </w:r>
      <w:r w:rsidR="001D7FBD" w:rsidRPr="00887108">
        <w:rPr>
          <w:rFonts w:cs="Times New Roman"/>
          <w:color w:val="2C9ADC" w:themeColor="accent1"/>
        </w:rPr>
        <w:t>Graf</w:t>
      </w:r>
      <w:r w:rsidR="00770B29" w:rsidRPr="00887108">
        <w:rPr>
          <w:rFonts w:cs="Times New Roman"/>
          <w:color w:val="2C9ADC" w:themeColor="accent1"/>
        </w:rPr>
        <w:t xml:space="preserve"> 20</w:t>
      </w:r>
      <w:r w:rsidRPr="00887108">
        <w:rPr>
          <w:rFonts w:cs="Times New Roman"/>
          <w:color w:val="000000" w:themeColor="text1"/>
        </w:rPr>
        <w:t>). Z odhadovanej potreby sa Agentúre pre riadenie dlhu a likvidity (ARDAL) doposiaľ podarilo zabezpečiť už približne 12 % HDP</w:t>
      </w:r>
      <w:r w:rsidRPr="00887108">
        <w:rPr>
          <w:rStyle w:val="Odkaznapoznmkupodiarou"/>
          <w:color w:val="000000" w:themeColor="text1"/>
          <w:lang w:val="sk-SK"/>
        </w:rPr>
        <w:footnoteReference w:id="46"/>
      </w:r>
      <w:r w:rsidRPr="00887108">
        <w:rPr>
          <w:rFonts w:cs="Times New Roman"/>
          <w:color w:val="000000" w:themeColor="text1"/>
        </w:rPr>
        <w:t>.</w:t>
      </w:r>
    </w:p>
    <w:tbl>
      <w:tblPr>
        <w:tblW w:w="9104"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4745"/>
        <w:gridCol w:w="146"/>
        <w:gridCol w:w="4378"/>
      </w:tblGrid>
      <w:tr w:rsidR="00204588" w:rsidRPr="00887108" w14:paraId="54ABCEF8" w14:textId="77777777" w:rsidTr="00204588">
        <w:trPr>
          <w:trHeight w:val="1187"/>
          <w:jc w:val="center"/>
        </w:trPr>
        <w:tc>
          <w:tcPr>
            <w:tcW w:w="4240" w:type="dxa"/>
            <w:tcBorders>
              <w:top w:val="nil"/>
              <w:left w:val="nil"/>
              <w:bottom w:val="single" w:sz="4" w:space="0" w:color="auto"/>
              <w:right w:val="nil"/>
            </w:tcBorders>
            <w:vAlign w:val="center"/>
          </w:tcPr>
          <w:p w14:paraId="01C887D8" w14:textId="47668F70" w:rsidR="00204588" w:rsidRPr="00887108" w:rsidRDefault="00204588" w:rsidP="00204588">
            <w:pPr>
              <w:pStyle w:val="Nadpis3"/>
              <w:pBdr>
                <w:bottom w:val="single" w:sz="4" w:space="1" w:color="auto"/>
              </w:pBdr>
              <w:rPr>
                <w:rFonts w:eastAsiaTheme="minorHAnsi"/>
                <w:color w:val="2C9ADC"/>
                <w:lang w:eastAsia="en-US"/>
              </w:rPr>
            </w:pPr>
            <w:bookmarkStart w:id="124" w:name="_Ref5285269"/>
            <w:bookmarkStart w:id="125" w:name="_Toc40181267"/>
            <w:r w:rsidRPr="00887108">
              <w:rPr>
                <w:rFonts w:eastAsiaTheme="minorHAnsi"/>
                <w:color w:val="2C9ADC"/>
                <w:lang w:eastAsia="en-US"/>
              </w:rPr>
              <w:t xml:space="preserve">GRAF </w:t>
            </w:r>
            <w:r w:rsidRPr="00887108">
              <w:rPr>
                <w:rFonts w:eastAsiaTheme="minorHAnsi"/>
                <w:color w:val="2C9ADC"/>
                <w:lang w:eastAsia="en-US"/>
              </w:rPr>
              <w:fldChar w:fldCharType="begin"/>
            </w:r>
            <w:r w:rsidRPr="00887108">
              <w:rPr>
                <w:rFonts w:eastAsiaTheme="minorHAnsi"/>
                <w:color w:val="2C9ADC"/>
                <w:lang w:eastAsia="en-US"/>
              </w:rPr>
              <w:instrText xml:space="preserve"> SEQ GRAF \* ARABIC </w:instrText>
            </w:r>
            <w:r w:rsidRPr="00887108">
              <w:rPr>
                <w:rFonts w:eastAsiaTheme="minorHAnsi"/>
                <w:color w:val="2C9ADC"/>
                <w:lang w:eastAsia="en-US"/>
              </w:rPr>
              <w:fldChar w:fldCharType="separate"/>
            </w:r>
            <w:r w:rsidR="00D47A36">
              <w:rPr>
                <w:rFonts w:eastAsiaTheme="minorHAnsi"/>
                <w:noProof/>
                <w:color w:val="2C9ADC"/>
                <w:lang w:eastAsia="en-US"/>
              </w:rPr>
              <w:t>16</w:t>
            </w:r>
            <w:r w:rsidRPr="00887108">
              <w:rPr>
                <w:rFonts w:eastAsiaTheme="minorHAnsi"/>
                <w:color w:val="2C9ADC"/>
                <w:lang w:eastAsia="en-US"/>
              </w:rPr>
              <w:fldChar w:fldCharType="end"/>
            </w:r>
            <w:r w:rsidRPr="00887108">
              <w:rPr>
                <w:rFonts w:eastAsiaTheme="minorHAnsi"/>
                <w:color w:val="2C9ADC"/>
                <w:lang w:eastAsia="en-US"/>
              </w:rPr>
              <w:t xml:space="preserve"> - Príspevky faktorov k medziročnej zmene hrubého dlhu (% HDP)</w:t>
            </w:r>
            <w:bookmarkEnd w:id="124"/>
            <w:bookmarkEnd w:id="125"/>
          </w:p>
          <w:p w14:paraId="05101A67" w14:textId="77777777" w:rsidR="00204588" w:rsidRPr="00887108" w:rsidRDefault="00204588" w:rsidP="00204588">
            <w:pPr>
              <w:jc w:val="center"/>
              <w:rPr>
                <w:rFonts w:cs="Arial"/>
                <w:b/>
                <w:sz w:val="20"/>
                <w:szCs w:val="20"/>
              </w:rPr>
            </w:pPr>
            <w:r w:rsidRPr="00887108">
              <w:drawing>
                <wp:inline distT="0" distB="0" distL="0" distR="0" wp14:anchorId="7A88C573" wp14:editId="036FDEAB">
                  <wp:extent cx="2924355" cy="2087245"/>
                  <wp:effectExtent l="0" t="0" r="0" b="825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46" w:type="dxa"/>
            <w:tcBorders>
              <w:top w:val="nil"/>
              <w:left w:val="nil"/>
              <w:bottom w:val="nil"/>
              <w:right w:val="nil"/>
            </w:tcBorders>
            <w:vAlign w:val="center"/>
          </w:tcPr>
          <w:p w14:paraId="55D185FC" w14:textId="77777777" w:rsidR="00204588" w:rsidRPr="00887108" w:rsidRDefault="00204588" w:rsidP="00204588">
            <w:pPr>
              <w:jc w:val="center"/>
              <w:rPr>
                <w:rFonts w:cs="Arial"/>
                <w:b/>
                <w:sz w:val="20"/>
                <w:szCs w:val="20"/>
              </w:rPr>
            </w:pPr>
          </w:p>
        </w:tc>
        <w:tc>
          <w:tcPr>
            <w:tcW w:w="4718" w:type="dxa"/>
            <w:tcBorders>
              <w:top w:val="nil"/>
              <w:left w:val="nil"/>
              <w:bottom w:val="single" w:sz="4" w:space="0" w:color="auto"/>
              <w:right w:val="nil"/>
            </w:tcBorders>
            <w:vAlign w:val="center"/>
          </w:tcPr>
          <w:p w14:paraId="620DF797" w14:textId="6B9DF015" w:rsidR="00204588" w:rsidRPr="00887108" w:rsidRDefault="00204588" w:rsidP="00204588">
            <w:pPr>
              <w:pStyle w:val="Nadpis3"/>
              <w:pBdr>
                <w:bottom w:val="single" w:sz="4" w:space="1" w:color="auto"/>
              </w:pBdr>
              <w:rPr>
                <w:rFonts w:eastAsiaTheme="minorHAnsi"/>
                <w:color w:val="2C9ADC"/>
                <w:lang w:eastAsia="en-US"/>
              </w:rPr>
            </w:pPr>
            <w:bookmarkStart w:id="126" w:name="_Ref5285285"/>
            <w:bookmarkStart w:id="127" w:name="_Toc40181268"/>
            <w:r w:rsidRPr="00887108">
              <w:rPr>
                <w:rFonts w:eastAsiaTheme="minorHAnsi"/>
                <w:color w:val="2C9ADC"/>
                <w:lang w:eastAsia="en-US"/>
              </w:rPr>
              <w:t xml:space="preserve">GRAF </w:t>
            </w:r>
            <w:r w:rsidRPr="00887108">
              <w:rPr>
                <w:rFonts w:eastAsiaTheme="minorHAnsi"/>
                <w:color w:val="2C9ADC"/>
                <w:lang w:eastAsia="en-US"/>
              </w:rPr>
              <w:fldChar w:fldCharType="begin"/>
            </w:r>
            <w:r w:rsidRPr="00887108">
              <w:rPr>
                <w:rFonts w:eastAsiaTheme="minorHAnsi"/>
                <w:color w:val="2C9ADC"/>
                <w:lang w:eastAsia="en-US"/>
              </w:rPr>
              <w:instrText xml:space="preserve"> SEQ GRAF \* ARABIC </w:instrText>
            </w:r>
            <w:r w:rsidRPr="00887108">
              <w:rPr>
                <w:rFonts w:eastAsiaTheme="minorHAnsi"/>
                <w:color w:val="2C9ADC"/>
                <w:lang w:eastAsia="en-US"/>
              </w:rPr>
              <w:fldChar w:fldCharType="separate"/>
            </w:r>
            <w:r w:rsidR="00D47A36">
              <w:rPr>
                <w:rFonts w:eastAsiaTheme="minorHAnsi"/>
                <w:noProof/>
                <w:color w:val="2C9ADC"/>
                <w:lang w:eastAsia="en-US"/>
              </w:rPr>
              <w:t>17</w:t>
            </w:r>
            <w:r w:rsidRPr="00887108">
              <w:rPr>
                <w:rFonts w:eastAsiaTheme="minorHAnsi"/>
                <w:color w:val="2C9ADC"/>
                <w:lang w:eastAsia="en-US"/>
              </w:rPr>
              <w:fldChar w:fldCharType="end"/>
            </w:r>
            <w:r w:rsidRPr="00887108">
              <w:rPr>
                <w:rFonts w:eastAsiaTheme="minorHAnsi"/>
                <w:color w:val="2C9ADC"/>
                <w:lang w:eastAsia="en-US"/>
              </w:rPr>
              <w:t xml:space="preserve"> - Rozdiel medzi nominálnym rastom HDP a úrokovými sadzbami (% medziročné rasty)</w:t>
            </w:r>
            <w:bookmarkEnd w:id="126"/>
            <w:bookmarkEnd w:id="127"/>
          </w:p>
          <w:p w14:paraId="4CE051B8" w14:textId="77777777" w:rsidR="00204588" w:rsidRPr="00887108" w:rsidRDefault="00204588" w:rsidP="00204588">
            <w:pPr>
              <w:jc w:val="center"/>
              <w:rPr>
                <w:rFonts w:cs="Arial"/>
                <w:b/>
                <w:sz w:val="20"/>
                <w:szCs w:val="20"/>
              </w:rPr>
            </w:pPr>
            <w:r w:rsidRPr="00887108">
              <w:drawing>
                <wp:inline distT="0" distB="0" distL="0" distR="0" wp14:anchorId="182BB451" wp14:editId="75BE03C9">
                  <wp:extent cx="2691142" cy="2130724"/>
                  <wp:effectExtent l="0" t="0" r="0" b="317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04588" w:rsidRPr="00887108" w14:paraId="26BE21E1" w14:textId="77777777" w:rsidTr="00204588">
        <w:trPr>
          <w:trHeight w:val="62"/>
          <w:jc w:val="center"/>
        </w:trPr>
        <w:tc>
          <w:tcPr>
            <w:tcW w:w="4240" w:type="dxa"/>
            <w:tcBorders>
              <w:top w:val="single" w:sz="4" w:space="0" w:color="auto"/>
              <w:left w:val="nil"/>
              <w:bottom w:val="nil"/>
              <w:right w:val="nil"/>
            </w:tcBorders>
            <w:vAlign w:val="center"/>
          </w:tcPr>
          <w:p w14:paraId="5E2FD2BD" w14:textId="77777777" w:rsidR="00204588" w:rsidRPr="00887108" w:rsidRDefault="00204588" w:rsidP="00204588">
            <w:pPr>
              <w:pStyle w:val="poznmka"/>
              <w:spacing w:before="0"/>
            </w:pPr>
            <w:r w:rsidRPr="00887108">
              <w:t>Zdroj: ŠÚ SR, MF SR</w:t>
            </w:r>
          </w:p>
        </w:tc>
        <w:tc>
          <w:tcPr>
            <w:tcW w:w="146" w:type="dxa"/>
            <w:tcBorders>
              <w:top w:val="nil"/>
              <w:left w:val="nil"/>
              <w:bottom w:val="nil"/>
              <w:right w:val="nil"/>
            </w:tcBorders>
            <w:vAlign w:val="center"/>
          </w:tcPr>
          <w:p w14:paraId="6BB483E9" w14:textId="77777777" w:rsidR="00204588" w:rsidRPr="00887108" w:rsidRDefault="00204588" w:rsidP="00204588">
            <w:pPr>
              <w:pStyle w:val="poznmka"/>
              <w:spacing w:before="0"/>
            </w:pPr>
          </w:p>
        </w:tc>
        <w:tc>
          <w:tcPr>
            <w:tcW w:w="4718" w:type="dxa"/>
            <w:tcBorders>
              <w:top w:val="single" w:sz="4" w:space="0" w:color="auto"/>
              <w:left w:val="nil"/>
              <w:bottom w:val="nil"/>
              <w:right w:val="nil"/>
            </w:tcBorders>
            <w:vAlign w:val="center"/>
          </w:tcPr>
          <w:p w14:paraId="07356707" w14:textId="77777777" w:rsidR="00204588" w:rsidRPr="00887108" w:rsidRDefault="00204588" w:rsidP="00204588">
            <w:pPr>
              <w:pStyle w:val="poznmka"/>
              <w:spacing w:before="0"/>
            </w:pPr>
            <w:r w:rsidRPr="00887108">
              <w:t>Zdroj: ŠÚ SR, MF SR</w:t>
            </w:r>
          </w:p>
        </w:tc>
      </w:tr>
    </w:tbl>
    <w:p w14:paraId="4B138E23" w14:textId="7E354A0E" w:rsidR="00204588" w:rsidRPr="00887108" w:rsidRDefault="00204588" w:rsidP="00640027">
      <w:pPr>
        <w:spacing w:before="120"/>
        <w:jc w:val="both"/>
        <w:rPr>
          <w:rFonts w:cs="Times New Roman"/>
          <w:color w:val="000000" w:themeColor="text1"/>
        </w:rPr>
      </w:pPr>
      <w:r w:rsidRPr="00887108">
        <w:rPr>
          <w:rFonts w:cs="Times New Roman"/>
          <w:b/>
        </w:rPr>
        <w:t>Od roku 2021 sa každoročnou konsolidáciou podľa pravidiel Paktu stability a rastu negatívny vývoj zadlženia stabilizuje, dlh v pomere k ekonomike však ostane naďalej nad sankčnými pásmami</w:t>
      </w:r>
      <w:r w:rsidR="00343B57" w:rsidRPr="00887108">
        <w:rPr>
          <w:rFonts w:cs="Times New Roman"/>
          <w:b/>
          <w:color w:val="000000" w:themeColor="text1"/>
        </w:rPr>
        <w:t>.</w:t>
      </w:r>
      <w:r w:rsidRPr="00887108">
        <w:rPr>
          <w:rFonts w:cs="Times New Roman"/>
          <w:b/>
          <w:color w:val="000000" w:themeColor="text1"/>
        </w:rPr>
        <w:t xml:space="preserve"> </w:t>
      </w:r>
      <w:r w:rsidRPr="00887108">
        <w:rPr>
          <w:rFonts w:cs="Times New Roman"/>
          <w:color w:val="000000" w:themeColor="text1"/>
        </w:rPr>
        <w:t xml:space="preserve">Dôsledkom </w:t>
      </w:r>
      <w:r w:rsidRPr="00887108">
        <w:rPr>
          <w:rFonts w:cs="Times New Roman"/>
        </w:rPr>
        <w:t>deficitov výraznejšie nad 3 % HDP sa bude dlh znižovať len pomaly</w:t>
      </w:r>
      <w:r w:rsidRPr="00887108">
        <w:rPr>
          <w:rFonts w:cs="Times New Roman"/>
          <w:color w:val="000000" w:themeColor="text1"/>
        </w:rPr>
        <w:t>.</w:t>
      </w:r>
      <w:r w:rsidRPr="00887108" w:rsidDel="001E46B2">
        <w:rPr>
          <w:rFonts w:cs="Times New Roman"/>
          <w:b/>
          <w:color w:val="000000" w:themeColor="text1"/>
        </w:rPr>
        <w:t xml:space="preserve"> </w:t>
      </w:r>
      <w:r w:rsidRPr="00887108">
        <w:rPr>
          <w:rFonts w:cs="Times New Roman"/>
        </w:rPr>
        <w:t>Pozitívne začne pôsobiť oživenie rastu ekonomiky smerom k svojmu potenciálu a naspäť nad úrokové sadzby</w:t>
      </w:r>
      <w:r w:rsidRPr="00887108">
        <w:rPr>
          <w:rStyle w:val="Odkaznapoznmkupodiarou"/>
          <w:lang w:val="sk-SK"/>
        </w:rPr>
        <w:footnoteReference w:id="47"/>
      </w:r>
      <w:r w:rsidR="001D7FBD" w:rsidRPr="00887108">
        <w:rPr>
          <w:rFonts w:cs="Times New Roman"/>
        </w:rPr>
        <w:t xml:space="preserve"> </w:t>
      </w:r>
      <w:r w:rsidRPr="00887108">
        <w:t>(</w:t>
      </w:r>
      <w:r w:rsidR="001D7FBD" w:rsidRPr="00887108">
        <w:rPr>
          <w:color w:val="2C9ADC" w:themeColor="accent1"/>
        </w:rPr>
        <w:t>Graf</w:t>
      </w:r>
      <w:r w:rsidR="0042682B" w:rsidRPr="00887108">
        <w:rPr>
          <w:color w:val="2C9ADC" w:themeColor="accent1"/>
        </w:rPr>
        <w:t xml:space="preserve"> 17</w:t>
      </w:r>
      <w:r w:rsidRPr="00887108">
        <w:t>)</w:t>
      </w:r>
      <w:r w:rsidR="001D7FBD" w:rsidRPr="00887108">
        <w:t>.</w:t>
      </w:r>
      <w:r w:rsidRPr="00887108">
        <w:t xml:space="preserve"> </w:t>
      </w:r>
      <w:r w:rsidRPr="00887108">
        <w:rPr>
          <w:rFonts w:cs="Times New Roman"/>
        </w:rPr>
        <w:t xml:space="preserve">Ku koncu roku 2023 </w:t>
      </w:r>
      <w:r w:rsidR="00D44A1E" w:rsidRPr="00887108">
        <w:rPr>
          <w:rFonts w:cs="Times New Roman"/>
        </w:rPr>
        <w:t xml:space="preserve">dlh mierne klesne k úrovni </w:t>
      </w:r>
      <w:r w:rsidRPr="00887108">
        <w:rPr>
          <w:rFonts w:cs="Times New Roman"/>
        </w:rPr>
        <w:t xml:space="preserve"> 6</w:t>
      </w:r>
      <w:r w:rsidR="00D44A1E" w:rsidRPr="00887108">
        <w:rPr>
          <w:rFonts w:cs="Times New Roman"/>
        </w:rPr>
        <w:t>0</w:t>
      </w:r>
      <w:r w:rsidRPr="00887108">
        <w:rPr>
          <w:rFonts w:cs="Times New Roman"/>
        </w:rPr>
        <w:t xml:space="preserve">,1 </w:t>
      </w:r>
      <w:r w:rsidR="00D44A1E" w:rsidRPr="00887108">
        <w:rPr>
          <w:rFonts w:cs="Times New Roman"/>
        </w:rPr>
        <w:t>% HDP</w:t>
      </w:r>
      <w:r w:rsidRPr="00887108">
        <w:rPr>
          <w:rFonts w:cs="Times New Roman"/>
        </w:rPr>
        <w:t xml:space="preserve">, keď sa silnejšie prejaví zotavenie ekonomiky a zníženie deficitu hospodárenia pod hranicu 3 % HDP. </w:t>
      </w:r>
      <w:r w:rsidR="00D44A1E" w:rsidRPr="00887108">
        <w:rPr>
          <w:rFonts w:cs="Times New Roman"/>
          <w:color w:val="000000" w:themeColor="text1"/>
        </w:rPr>
        <w:t>Prognózovaný vývoj dlhu predpokladá prijatie konsolidačných opatrení na dosiahnutie rozpočtových cieľov.</w:t>
      </w:r>
      <w:r w:rsidR="00887108">
        <w:rPr>
          <w:rFonts w:cs="Times New Roman"/>
          <w:color w:val="000000" w:themeColor="text1"/>
        </w:rPr>
        <w:t xml:space="preserve"> </w:t>
      </w:r>
      <w:r w:rsidR="005D3664" w:rsidRPr="00887108">
        <w:rPr>
          <w:rFonts w:cs="Times New Roman"/>
          <w:color w:val="000000" w:themeColor="text1"/>
        </w:rPr>
        <w:t>Bez konsolidácie verejných financií by dlh</w:t>
      </w:r>
      <w:r w:rsidR="00C26186" w:rsidRPr="00887108">
        <w:rPr>
          <w:rFonts w:cs="Times New Roman"/>
          <w:color w:val="000000" w:themeColor="text1"/>
        </w:rPr>
        <w:t xml:space="preserve"> v</w:t>
      </w:r>
      <w:r w:rsidR="005D3664" w:rsidRPr="00887108">
        <w:rPr>
          <w:rFonts w:cs="Times New Roman"/>
          <w:color w:val="000000" w:themeColor="text1"/>
        </w:rPr>
        <w:t xml:space="preserve"> základnom makroekonomickom scenári </w:t>
      </w:r>
      <w:r w:rsidR="00D44A1E" w:rsidRPr="00887108">
        <w:rPr>
          <w:rFonts w:cs="Times New Roman"/>
          <w:color w:val="000000" w:themeColor="text1"/>
        </w:rPr>
        <w:t xml:space="preserve">ďalej rástol </w:t>
      </w:r>
      <w:r w:rsidR="005D3664" w:rsidRPr="00887108">
        <w:rPr>
          <w:rFonts w:cs="Times New Roman"/>
          <w:color w:val="000000" w:themeColor="text1"/>
        </w:rPr>
        <w:t xml:space="preserve">takmer </w:t>
      </w:r>
      <w:r w:rsidR="00D44A1E" w:rsidRPr="00887108">
        <w:rPr>
          <w:rFonts w:cs="Times New Roman"/>
          <w:color w:val="000000" w:themeColor="text1"/>
        </w:rPr>
        <w:t xml:space="preserve">k úrovni </w:t>
      </w:r>
      <w:r w:rsidR="005D3664" w:rsidRPr="00887108">
        <w:rPr>
          <w:rFonts w:cs="Times New Roman"/>
          <w:color w:val="000000" w:themeColor="text1"/>
        </w:rPr>
        <w:t>67 % HDP.</w:t>
      </w:r>
    </w:p>
    <w:tbl>
      <w:tblPr>
        <w:tblW w:w="5000" w:type="pct"/>
        <w:tblCellMar>
          <w:left w:w="70" w:type="dxa"/>
          <w:right w:w="70" w:type="dxa"/>
        </w:tblCellMar>
        <w:tblLook w:val="0000" w:firstRow="0" w:lastRow="0" w:firstColumn="0" w:lastColumn="0" w:noHBand="0" w:noVBand="0"/>
      </w:tblPr>
      <w:tblGrid>
        <w:gridCol w:w="9070"/>
      </w:tblGrid>
      <w:tr w:rsidR="005D3664" w:rsidRPr="00887108" w14:paraId="54022131" w14:textId="77777777" w:rsidTr="00640027">
        <w:trPr>
          <w:trHeight w:val="196"/>
        </w:trPr>
        <w:tc>
          <w:tcPr>
            <w:tcW w:w="5000" w:type="pct"/>
            <w:tcBorders>
              <w:top w:val="nil"/>
              <w:left w:val="nil"/>
              <w:bottom w:val="single" w:sz="4" w:space="0" w:color="auto"/>
              <w:right w:val="nil"/>
            </w:tcBorders>
            <w:shd w:val="clear" w:color="auto" w:fill="auto"/>
            <w:vAlign w:val="center"/>
          </w:tcPr>
          <w:p w14:paraId="6CC17067" w14:textId="6FE08277" w:rsidR="005D3664" w:rsidRPr="00887108" w:rsidRDefault="009B6CDF" w:rsidP="005D3664">
            <w:pPr>
              <w:pStyle w:val="Nadpis3"/>
              <w:spacing w:before="120"/>
              <w:rPr>
                <w:rFonts w:eastAsiaTheme="minorHAnsi"/>
                <w:color w:val="2C9ADC"/>
                <w:highlight w:val="yellow"/>
                <w:lang w:eastAsia="en-US"/>
              </w:rPr>
            </w:pPr>
            <w:bookmarkStart w:id="128" w:name="_Toc40181269"/>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18</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 </w:t>
            </w:r>
            <w:r w:rsidR="005D3664" w:rsidRPr="00887108">
              <w:rPr>
                <w:rFonts w:eastAsiaTheme="minorHAnsi"/>
                <w:color w:val="2C9ADC"/>
                <w:lang w:eastAsia="en-US"/>
              </w:rPr>
              <w:t xml:space="preserve">Plánovaný vývoj hrubého dlhu verejnej správy </w:t>
            </w:r>
            <w:r w:rsidR="0024659C" w:rsidRPr="00887108">
              <w:rPr>
                <w:rFonts w:eastAsiaTheme="minorHAnsi"/>
                <w:color w:val="2C9ADC"/>
                <w:lang w:eastAsia="en-US"/>
              </w:rPr>
              <w:t>v </w:t>
            </w:r>
            <w:r w:rsidR="00F91FB0" w:rsidRPr="00887108">
              <w:rPr>
                <w:rFonts w:eastAsiaTheme="minorHAnsi"/>
                <w:color w:val="2C9ADC"/>
                <w:lang w:eastAsia="en-US"/>
              </w:rPr>
              <w:t>porovnaní</w:t>
            </w:r>
            <w:r w:rsidR="0024659C" w:rsidRPr="00887108">
              <w:rPr>
                <w:rFonts w:eastAsiaTheme="minorHAnsi"/>
                <w:color w:val="2C9ADC"/>
                <w:lang w:eastAsia="en-US"/>
              </w:rPr>
              <w:t xml:space="preserve"> so scenárom nezmenených politík </w:t>
            </w:r>
            <w:r w:rsidR="005D3664" w:rsidRPr="00887108">
              <w:rPr>
                <w:rFonts w:eastAsiaTheme="minorHAnsi"/>
                <w:color w:val="2C9ADC"/>
                <w:lang w:eastAsia="en-US"/>
              </w:rPr>
              <w:t>(% HDP)</w:t>
            </w:r>
            <w:bookmarkEnd w:id="128"/>
            <w:r w:rsidR="005D3664" w:rsidRPr="00887108">
              <w:rPr>
                <w:rFonts w:eastAsiaTheme="minorHAnsi"/>
                <w:color w:val="2C9ADC"/>
                <w:lang w:eastAsia="en-US"/>
              </w:rPr>
              <w:t xml:space="preserve"> </w:t>
            </w:r>
          </w:p>
        </w:tc>
      </w:tr>
      <w:tr w:rsidR="005D3664" w:rsidRPr="00887108" w14:paraId="1B3F736C" w14:textId="77777777" w:rsidTr="00640027">
        <w:trPr>
          <w:trHeight w:val="2015"/>
        </w:trPr>
        <w:tc>
          <w:tcPr>
            <w:tcW w:w="5000" w:type="pct"/>
            <w:tcBorders>
              <w:top w:val="single" w:sz="4" w:space="0" w:color="auto"/>
              <w:left w:val="nil"/>
              <w:bottom w:val="single" w:sz="4" w:space="0" w:color="auto"/>
              <w:right w:val="nil"/>
            </w:tcBorders>
            <w:shd w:val="clear" w:color="auto" w:fill="auto"/>
          </w:tcPr>
          <w:p w14:paraId="70C045B7" w14:textId="77777777" w:rsidR="005D3664" w:rsidRPr="00887108" w:rsidRDefault="005D3664" w:rsidP="005D3664">
            <w:pPr>
              <w:jc w:val="center"/>
              <w:rPr>
                <w:rFonts w:cs="Arial"/>
                <w:b/>
                <w:bCs/>
                <w:sz w:val="18"/>
                <w:szCs w:val="18"/>
                <w:highlight w:val="yellow"/>
              </w:rPr>
            </w:pPr>
            <w:r w:rsidRPr="00887108">
              <w:rPr>
                <w:sz w:val="18"/>
                <w:szCs w:val="18"/>
              </w:rPr>
              <w:drawing>
                <wp:inline distT="0" distB="0" distL="0" distR="0" wp14:anchorId="5C8E502B" wp14:editId="1C8621AE">
                  <wp:extent cx="5701030" cy="229362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D3664" w:rsidRPr="00887108" w14:paraId="476082FF" w14:textId="77777777" w:rsidTr="00640027">
        <w:trPr>
          <w:trHeight w:val="37"/>
        </w:trPr>
        <w:tc>
          <w:tcPr>
            <w:tcW w:w="5000" w:type="pct"/>
            <w:tcBorders>
              <w:top w:val="single" w:sz="4" w:space="0" w:color="auto"/>
              <w:left w:val="nil"/>
              <w:bottom w:val="nil"/>
              <w:right w:val="nil"/>
            </w:tcBorders>
            <w:shd w:val="clear" w:color="auto" w:fill="auto"/>
          </w:tcPr>
          <w:p w14:paraId="6C3BA61C" w14:textId="77777777" w:rsidR="005D3664" w:rsidRPr="00887108" w:rsidRDefault="005D3664" w:rsidP="005D3664">
            <w:pPr>
              <w:ind w:left="360"/>
              <w:jc w:val="right"/>
              <w:rPr>
                <w:rFonts w:cs="Arial"/>
                <w:i/>
                <w:iCs/>
                <w:sz w:val="16"/>
                <w:szCs w:val="16"/>
                <w:highlight w:val="yellow"/>
              </w:rPr>
            </w:pPr>
            <w:r w:rsidRPr="00887108">
              <w:rPr>
                <w:rFonts w:cs="Times New Roman"/>
                <w:i/>
                <w:sz w:val="16"/>
                <w:szCs w:val="14"/>
              </w:rPr>
              <w:t>Zdroj: MF SR</w:t>
            </w:r>
            <w:r w:rsidRPr="00887108">
              <w:rPr>
                <w:rFonts w:cs="Arial"/>
                <w:i/>
                <w:iCs/>
                <w:sz w:val="16"/>
                <w:szCs w:val="16"/>
              </w:rPr>
              <w:t xml:space="preserve"> </w:t>
            </w:r>
          </w:p>
        </w:tc>
      </w:tr>
    </w:tbl>
    <w:p w14:paraId="580B04F9" w14:textId="09DA313C" w:rsidR="00204588" w:rsidRPr="00887108" w:rsidRDefault="00AB2DB4" w:rsidP="00204588">
      <w:pPr>
        <w:jc w:val="both"/>
        <w:rPr>
          <w:rFonts w:cs="Times New Roman"/>
          <w:color w:val="000000" w:themeColor="text1"/>
        </w:rPr>
      </w:pPr>
      <w:r w:rsidRPr="00887108">
        <w:rPr>
          <w:rFonts w:cs="Times New Roman"/>
          <w:b/>
          <w:color w:val="000000" w:themeColor="text1"/>
        </w:rPr>
        <w:t>V dvoch r</w:t>
      </w:r>
      <w:r w:rsidR="00204588" w:rsidRPr="00887108">
        <w:rPr>
          <w:rFonts w:cs="Times New Roman"/>
          <w:b/>
          <w:color w:val="000000" w:themeColor="text1"/>
        </w:rPr>
        <w:t>izikov</w:t>
      </w:r>
      <w:r w:rsidRPr="00887108">
        <w:rPr>
          <w:rFonts w:cs="Times New Roman"/>
          <w:b/>
          <w:color w:val="000000" w:themeColor="text1"/>
        </w:rPr>
        <w:t>ých</w:t>
      </w:r>
      <w:r w:rsidR="00204588" w:rsidRPr="00887108">
        <w:rPr>
          <w:rFonts w:cs="Times New Roman"/>
          <w:b/>
          <w:color w:val="000000" w:themeColor="text1"/>
        </w:rPr>
        <w:t xml:space="preserve"> scenár</w:t>
      </w:r>
      <w:r w:rsidRPr="00887108">
        <w:rPr>
          <w:rFonts w:cs="Times New Roman"/>
          <w:b/>
          <w:color w:val="000000" w:themeColor="text1"/>
        </w:rPr>
        <w:t>och</w:t>
      </w:r>
      <w:r w:rsidR="00CA55B4" w:rsidRPr="00887108">
        <w:rPr>
          <w:rStyle w:val="Odkaznapoznmkupodiarou"/>
          <w:b/>
          <w:color w:val="000000" w:themeColor="text1"/>
          <w:lang w:val="sk-SK"/>
        </w:rPr>
        <w:footnoteReference w:id="48"/>
      </w:r>
      <w:r w:rsidR="00204588" w:rsidRPr="00887108">
        <w:rPr>
          <w:rFonts w:cs="Times New Roman"/>
          <w:b/>
          <w:color w:val="000000" w:themeColor="text1"/>
        </w:rPr>
        <w:t xml:space="preserve"> </w:t>
      </w:r>
      <w:r w:rsidRPr="00887108">
        <w:rPr>
          <w:rFonts w:cs="Times New Roman"/>
          <w:b/>
          <w:color w:val="000000" w:themeColor="text1"/>
        </w:rPr>
        <w:t>ekonomického vývoja</w:t>
      </w:r>
      <w:r w:rsidR="00204588" w:rsidRPr="00887108">
        <w:rPr>
          <w:rFonts w:cs="Times New Roman"/>
          <w:b/>
          <w:color w:val="000000" w:themeColor="text1"/>
        </w:rPr>
        <w:t xml:space="preserve"> </w:t>
      </w:r>
      <w:r w:rsidRPr="00887108">
        <w:rPr>
          <w:rFonts w:cs="Times New Roman"/>
          <w:b/>
          <w:color w:val="000000" w:themeColor="text1"/>
        </w:rPr>
        <w:t xml:space="preserve">by bol </w:t>
      </w:r>
      <w:r w:rsidR="00204588" w:rsidRPr="00887108">
        <w:rPr>
          <w:rFonts w:cs="Times New Roman"/>
          <w:b/>
          <w:color w:val="000000" w:themeColor="text1"/>
        </w:rPr>
        <w:t>vývoj dlhu</w:t>
      </w:r>
      <w:r w:rsidRPr="00887108">
        <w:rPr>
          <w:rFonts w:cs="Times New Roman"/>
          <w:b/>
          <w:color w:val="000000" w:themeColor="text1"/>
        </w:rPr>
        <w:t xml:space="preserve"> negatívnejší</w:t>
      </w:r>
      <w:r w:rsidR="00204588" w:rsidRPr="00887108">
        <w:rPr>
          <w:rFonts w:cs="Times New Roman"/>
          <w:b/>
          <w:color w:val="000000" w:themeColor="text1"/>
        </w:rPr>
        <w:t xml:space="preserve">, rádovo o vyše 6 až 16 p.b. HDP do roku 2023 </w:t>
      </w:r>
      <w:r w:rsidR="00204588" w:rsidRPr="00887108">
        <w:rPr>
          <w:rFonts w:cs="Times New Roman"/>
          <w:color w:val="000000" w:themeColor="text1"/>
        </w:rPr>
        <w:t>(</w:t>
      </w:r>
      <w:r w:rsidR="0042682B" w:rsidRPr="00887108">
        <w:rPr>
          <w:rFonts w:cs="Times New Roman"/>
          <w:color w:val="2C9ADC" w:themeColor="accent1"/>
        </w:rPr>
        <w:t>G</w:t>
      </w:r>
      <w:r w:rsidR="001D7FBD" w:rsidRPr="00887108">
        <w:rPr>
          <w:rFonts w:cs="Times New Roman"/>
          <w:color w:val="2C9ADC" w:themeColor="accent1"/>
        </w:rPr>
        <w:t>raf</w:t>
      </w:r>
      <w:r w:rsidR="0042682B" w:rsidRPr="00887108">
        <w:rPr>
          <w:rFonts w:cs="Times New Roman"/>
          <w:color w:val="2C9ADC" w:themeColor="accent1"/>
        </w:rPr>
        <w:t xml:space="preserve"> 15</w:t>
      </w:r>
      <w:r w:rsidR="0042682B" w:rsidRPr="00887108">
        <w:rPr>
          <w:rFonts w:cs="Times New Roman"/>
          <w:color w:val="000000" w:themeColor="text1"/>
        </w:rPr>
        <w:t>)</w:t>
      </w:r>
      <w:r w:rsidR="00204588" w:rsidRPr="00887108">
        <w:rPr>
          <w:rFonts w:cs="Times New Roman"/>
          <w:color w:val="000000" w:themeColor="text1"/>
        </w:rPr>
        <w:t>.</w:t>
      </w:r>
      <w:r w:rsidR="00204588" w:rsidRPr="00887108">
        <w:rPr>
          <w:rFonts w:cs="Times New Roman"/>
          <w:b/>
          <w:color w:val="000000" w:themeColor="text1"/>
        </w:rPr>
        <w:t xml:space="preserve"> </w:t>
      </w:r>
      <w:r w:rsidR="00204588" w:rsidRPr="00887108">
        <w:rPr>
          <w:rFonts w:cs="Times New Roman"/>
          <w:color w:val="000000" w:themeColor="text1"/>
        </w:rPr>
        <w:t>Vývoj zadlženia v základnom scenári vychádza z aktuálnej makroekonomickej a daňovej prognózy MF SR. Prvý rizikový scenár uvažuje s hlbším prepadom ekonomiky kvôli dlhšiemu trvaniu pandémie v aktuálnom roku (</w:t>
      </w:r>
      <w:r w:rsidRPr="00887108">
        <w:rPr>
          <w:rFonts w:cs="Times New Roman"/>
          <w:color w:val="000000" w:themeColor="text1"/>
        </w:rPr>
        <w:t xml:space="preserve">s prepadom ekonomiky až o </w:t>
      </w:r>
      <w:r w:rsidR="00204588" w:rsidRPr="00887108">
        <w:rPr>
          <w:rFonts w:cs="Times New Roman"/>
          <w:color w:val="000000" w:themeColor="text1"/>
        </w:rPr>
        <w:t>12,5 %) a následne mierne rýchlejším zotavením.</w:t>
      </w:r>
      <w:r w:rsidR="00204588" w:rsidRPr="00887108">
        <w:t xml:space="preserve"> </w:t>
      </w:r>
      <w:r w:rsidRPr="00887108">
        <w:t xml:space="preserve">V tomto scenári by </w:t>
      </w:r>
      <w:r w:rsidRPr="00887108">
        <w:rPr>
          <w:rFonts w:cs="Times New Roman"/>
          <w:color w:val="000000" w:themeColor="text1"/>
        </w:rPr>
        <w:t>deficit by v roku 2020 narástol až na 10 % HDP a do roku 2023 by klesol na 3,6 % HDP , čo by viedlo d</w:t>
      </w:r>
      <w:r w:rsidR="00204588" w:rsidRPr="00887108">
        <w:rPr>
          <w:rFonts w:cs="Times New Roman"/>
          <w:color w:val="000000" w:themeColor="text1"/>
        </w:rPr>
        <w:t xml:space="preserve">lh </w:t>
      </w:r>
      <w:r w:rsidRPr="00887108">
        <w:rPr>
          <w:rFonts w:cs="Times New Roman"/>
          <w:color w:val="000000" w:themeColor="text1"/>
        </w:rPr>
        <w:t>na úroveň</w:t>
      </w:r>
      <w:r w:rsidR="00204588" w:rsidRPr="00887108">
        <w:rPr>
          <w:rFonts w:cs="Times New Roman"/>
          <w:color w:val="000000" w:themeColor="text1"/>
        </w:rPr>
        <w:t xml:space="preserve"> 66,</w:t>
      </w:r>
      <w:r w:rsidR="006F2B75" w:rsidRPr="00887108">
        <w:rPr>
          <w:rFonts w:cs="Times New Roman"/>
          <w:color w:val="000000" w:themeColor="text1"/>
        </w:rPr>
        <w:t>6</w:t>
      </w:r>
      <w:r w:rsidR="00204588" w:rsidRPr="00887108">
        <w:rPr>
          <w:rFonts w:cs="Times New Roman"/>
          <w:color w:val="000000" w:themeColor="text1"/>
        </w:rPr>
        <w:t xml:space="preserve"> % HDP do roku 2023</w:t>
      </w:r>
      <w:r w:rsidRPr="00887108">
        <w:rPr>
          <w:rFonts w:cs="Times New Roman"/>
          <w:color w:val="000000" w:themeColor="text1"/>
        </w:rPr>
        <w:t>.</w:t>
      </w:r>
      <w:r w:rsidR="00204588" w:rsidRPr="00887108">
        <w:rPr>
          <w:rFonts w:cs="Times New Roman"/>
          <w:color w:val="000000" w:themeColor="text1"/>
        </w:rPr>
        <w:t xml:space="preserve"> Druhý scenár vychádza z trvania pandémie ako v základnom scenári no pri následne pomalšom zotavení ekonomiky.</w:t>
      </w:r>
      <w:r w:rsidR="00204588" w:rsidRPr="00887108">
        <w:t xml:space="preserve"> Prepad ekonomiky by v roku 2020 dosiahol 11,4 %</w:t>
      </w:r>
      <w:r w:rsidR="009A55D3" w:rsidRPr="00887108">
        <w:t xml:space="preserve"> a deficit by dosiahol 9,4 % HDP</w:t>
      </w:r>
      <w:r w:rsidR="00204588" w:rsidRPr="00887108">
        <w:t>. V porovnaní s prvým scenárom by však nedošlo k dohnaniu straty a aj v roku 2021 by ekonomika stagnovala</w:t>
      </w:r>
      <w:r w:rsidR="00D164CF" w:rsidRPr="00887108">
        <w:t xml:space="preserve">. </w:t>
      </w:r>
      <w:r w:rsidR="003E0076" w:rsidRPr="00887108">
        <w:t xml:space="preserve">Zároveň by sa výpadky </w:t>
      </w:r>
      <w:r w:rsidR="00D164CF" w:rsidRPr="00887108">
        <w:t xml:space="preserve">daňovo-odvodových </w:t>
      </w:r>
      <w:r w:rsidR="003E0076" w:rsidRPr="00887108">
        <w:t>príjmov nezmenšili ani do konca horizontu</w:t>
      </w:r>
      <w:r w:rsidR="00CA55B4" w:rsidRPr="00887108">
        <w:t xml:space="preserve"> a defic</w:t>
      </w:r>
      <w:r w:rsidR="00821600" w:rsidRPr="00887108">
        <w:t>it</w:t>
      </w:r>
      <w:r w:rsidR="00CA55B4" w:rsidRPr="00887108">
        <w:t xml:space="preserve"> by </w:t>
      </w:r>
      <w:r w:rsidR="00D164CF" w:rsidRPr="00887108">
        <w:t xml:space="preserve">do roku 2023 </w:t>
      </w:r>
      <w:r w:rsidR="00CA55B4" w:rsidRPr="00887108">
        <w:t>ostal na úrovni 5,4 % HDP</w:t>
      </w:r>
      <w:r w:rsidR="00204588" w:rsidRPr="00887108">
        <w:t>.</w:t>
      </w:r>
      <w:r w:rsidR="00204588" w:rsidRPr="00887108">
        <w:rPr>
          <w:rFonts w:cs="Times New Roman"/>
          <w:color w:val="000000" w:themeColor="text1"/>
        </w:rPr>
        <w:t xml:space="preserve"> Dlh by dosiahol by 76,7 % HDP</w:t>
      </w:r>
      <w:r w:rsidR="00D164CF" w:rsidRPr="00887108">
        <w:rPr>
          <w:rFonts w:cs="Times New Roman"/>
          <w:color w:val="000000" w:themeColor="text1"/>
        </w:rPr>
        <w:t xml:space="preserve"> v roku 2023 a stabilizoval by sa až za rozpočtovým horizontom</w:t>
      </w:r>
      <w:r w:rsidR="00204588" w:rsidRPr="00887108">
        <w:rPr>
          <w:rFonts w:cs="Times New Roman"/>
          <w:color w:val="000000" w:themeColor="text1"/>
        </w:rPr>
        <w:t>.</w:t>
      </w:r>
    </w:p>
    <w:tbl>
      <w:tblPr>
        <w:tblpPr w:leftFromText="141" w:rightFromText="141" w:vertAnchor="text" w:horzAnchor="margin" w:tblpXSpec="center" w:tblpY="136"/>
        <w:tblOverlap w:val="never"/>
        <w:tblW w:w="902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336"/>
        <w:gridCol w:w="181"/>
        <w:gridCol w:w="4510"/>
      </w:tblGrid>
      <w:tr w:rsidR="005D3664" w:rsidRPr="00887108" w14:paraId="665F959D" w14:textId="77777777" w:rsidTr="008B707C">
        <w:trPr>
          <w:trHeight w:val="257"/>
        </w:trPr>
        <w:tc>
          <w:tcPr>
            <w:tcW w:w="2402" w:type="pct"/>
            <w:tcBorders>
              <w:top w:val="nil"/>
              <w:left w:val="nil"/>
              <w:bottom w:val="single" w:sz="4" w:space="0" w:color="auto"/>
              <w:right w:val="nil"/>
            </w:tcBorders>
            <w:shd w:val="clear" w:color="auto" w:fill="auto"/>
            <w:vAlign w:val="center"/>
          </w:tcPr>
          <w:p w14:paraId="4A49455E" w14:textId="3063DE29" w:rsidR="005D3664" w:rsidRPr="00887108" w:rsidRDefault="005D3664" w:rsidP="00C04742">
            <w:pPr>
              <w:pStyle w:val="Nadpis3"/>
              <w:rPr>
                <w:b w:val="0"/>
                <w:color w:val="2C9ADC" w:themeColor="accent1"/>
                <w:szCs w:val="20"/>
              </w:rPr>
            </w:pPr>
            <w:bookmarkStart w:id="129" w:name="_Toc40181270"/>
            <w:r w:rsidRPr="00887108">
              <w:rPr>
                <w:rFonts w:eastAsiaTheme="minorHAnsi"/>
                <w:color w:val="2C9ADC" w:themeColor="accent1"/>
                <w:lang w:eastAsia="en-US"/>
              </w:rPr>
              <w:t xml:space="preserve">GRAF </w:t>
            </w:r>
            <w:r w:rsidRPr="00887108">
              <w:rPr>
                <w:rFonts w:eastAsiaTheme="minorHAnsi"/>
                <w:color w:val="2C9ADC" w:themeColor="accent1"/>
                <w:lang w:eastAsia="en-US"/>
              </w:rPr>
              <w:fldChar w:fldCharType="begin"/>
            </w:r>
            <w:r w:rsidRPr="00887108">
              <w:rPr>
                <w:rFonts w:eastAsiaTheme="minorHAnsi"/>
                <w:color w:val="2C9ADC" w:themeColor="accent1"/>
                <w:lang w:eastAsia="en-US"/>
              </w:rPr>
              <w:instrText xml:space="preserve"> SEQ GRAF \* ARABIC </w:instrText>
            </w:r>
            <w:r w:rsidRPr="00887108">
              <w:rPr>
                <w:rFonts w:eastAsiaTheme="minorHAnsi"/>
                <w:color w:val="2C9ADC" w:themeColor="accent1"/>
                <w:lang w:eastAsia="en-US"/>
              </w:rPr>
              <w:fldChar w:fldCharType="separate"/>
            </w:r>
            <w:r w:rsidR="00D47A36">
              <w:rPr>
                <w:rFonts w:eastAsiaTheme="minorHAnsi"/>
                <w:noProof/>
                <w:color w:val="2C9ADC" w:themeColor="accent1"/>
                <w:lang w:eastAsia="en-US"/>
              </w:rPr>
              <w:t>19</w:t>
            </w:r>
            <w:r w:rsidRPr="00887108">
              <w:rPr>
                <w:rFonts w:eastAsiaTheme="minorHAnsi"/>
                <w:color w:val="2C9ADC" w:themeColor="accent1"/>
                <w:lang w:eastAsia="en-US"/>
              </w:rPr>
              <w:fldChar w:fldCharType="end"/>
            </w:r>
            <w:r w:rsidRPr="00887108">
              <w:rPr>
                <w:rFonts w:eastAsiaTheme="minorHAnsi"/>
                <w:color w:val="2C9ADC" w:themeColor="accent1"/>
                <w:lang w:eastAsia="en-US"/>
              </w:rPr>
              <w:t xml:space="preserve"> - Čistý dlh (% HDP)</w:t>
            </w:r>
            <w:bookmarkEnd w:id="129"/>
          </w:p>
        </w:tc>
        <w:tc>
          <w:tcPr>
            <w:tcW w:w="100" w:type="pct"/>
            <w:tcBorders>
              <w:top w:val="nil"/>
              <w:left w:val="nil"/>
              <w:bottom w:val="nil"/>
              <w:right w:val="nil"/>
            </w:tcBorders>
            <w:shd w:val="clear" w:color="auto" w:fill="auto"/>
            <w:vAlign w:val="center"/>
          </w:tcPr>
          <w:p w14:paraId="77F71644" w14:textId="77777777" w:rsidR="005D3664" w:rsidRPr="00887108" w:rsidRDefault="005D3664" w:rsidP="00FC1EC4">
            <w:pPr>
              <w:rPr>
                <w:rFonts w:cs="Arial"/>
                <w:b/>
                <w:color w:val="2C9ADC" w:themeColor="accent1"/>
                <w:sz w:val="20"/>
                <w:szCs w:val="20"/>
              </w:rPr>
            </w:pPr>
          </w:p>
        </w:tc>
        <w:tc>
          <w:tcPr>
            <w:tcW w:w="2498" w:type="pct"/>
            <w:tcBorders>
              <w:top w:val="nil"/>
              <w:left w:val="nil"/>
              <w:bottom w:val="single" w:sz="4" w:space="0" w:color="auto"/>
              <w:right w:val="nil"/>
            </w:tcBorders>
            <w:shd w:val="clear" w:color="auto" w:fill="auto"/>
            <w:vAlign w:val="center"/>
          </w:tcPr>
          <w:p w14:paraId="5D1E16DA" w14:textId="024E87AA" w:rsidR="005D3664" w:rsidRPr="00887108" w:rsidRDefault="005D3664" w:rsidP="00C04742">
            <w:pPr>
              <w:pStyle w:val="Nadpis3"/>
              <w:rPr>
                <w:b w:val="0"/>
                <w:color w:val="2C9ADC" w:themeColor="accent1"/>
                <w:szCs w:val="20"/>
              </w:rPr>
            </w:pPr>
            <w:bookmarkStart w:id="130" w:name="_Toc40181271"/>
            <w:r w:rsidRPr="00887108">
              <w:rPr>
                <w:rFonts w:eastAsiaTheme="minorHAnsi"/>
                <w:color w:val="2C9ADC" w:themeColor="accent1"/>
                <w:lang w:eastAsia="en-US"/>
              </w:rPr>
              <w:t xml:space="preserve">GRAF </w:t>
            </w:r>
            <w:r w:rsidRPr="00887108">
              <w:rPr>
                <w:rFonts w:eastAsiaTheme="minorHAnsi"/>
                <w:color w:val="2C9ADC" w:themeColor="accent1"/>
                <w:lang w:eastAsia="en-US"/>
              </w:rPr>
              <w:fldChar w:fldCharType="begin"/>
            </w:r>
            <w:r w:rsidRPr="00887108">
              <w:rPr>
                <w:rFonts w:eastAsiaTheme="minorHAnsi"/>
                <w:color w:val="2C9ADC" w:themeColor="accent1"/>
                <w:lang w:eastAsia="en-US"/>
              </w:rPr>
              <w:instrText xml:space="preserve"> SEQ GRAF \* ARABIC </w:instrText>
            </w:r>
            <w:r w:rsidRPr="00887108">
              <w:rPr>
                <w:rFonts w:eastAsiaTheme="minorHAnsi"/>
                <w:color w:val="2C9ADC" w:themeColor="accent1"/>
                <w:lang w:eastAsia="en-US"/>
              </w:rPr>
              <w:fldChar w:fldCharType="separate"/>
            </w:r>
            <w:r w:rsidR="00D47A36">
              <w:rPr>
                <w:rFonts w:eastAsiaTheme="minorHAnsi"/>
                <w:noProof/>
                <w:color w:val="2C9ADC" w:themeColor="accent1"/>
                <w:lang w:eastAsia="en-US"/>
              </w:rPr>
              <w:t>20</w:t>
            </w:r>
            <w:r w:rsidRPr="00887108">
              <w:rPr>
                <w:rFonts w:eastAsiaTheme="minorHAnsi"/>
                <w:color w:val="2C9ADC" w:themeColor="accent1"/>
                <w:lang w:eastAsia="en-US"/>
              </w:rPr>
              <w:fldChar w:fldCharType="end"/>
            </w:r>
            <w:r w:rsidRPr="00887108">
              <w:rPr>
                <w:rFonts w:eastAsiaTheme="minorHAnsi"/>
                <w:color w:val="2C9ADC" w:themeColor="accent1"/>
                <w:lang w:eastAsia="en-US"/>
              </w:rPr>
              <w:t xml:space="preserve"> – Potreba financovania (% HDP)</w:t>
            </w:r>
            <w:bookmarkEnd w:id="130"/>
          </w:p>
        </w:tc>
      </w:tr>
      <w:tr w:rsidR="005D3664" w:rsidRPr="00887108" w14:paraId="4B7A6B80" w14:textId="77777777" w:rsidTr="00AF312C">
        <w:trPr>
          <w:trHeight w:val="2609"/>
        </w:trPr>
        <w:tc>
          <w:tcPr>
            <w:tcW w:w="2402" w:type="pct"/>
            <w:tcBorders>
              <w:top w:val="single" w:sz="4" w:space="0" w:color="auto"/>
              <w:left w:val="nil"/>
              <w:bottom w:val="single" w:sz="4" w:space="0" w:color="auto"/>
              <w:right w:val="nil"/>
            </w:tcBorders>
            <w:shd w:val="clear" w:color="auto" w:fill="auto"/>
            <w:vAlign w:val="center"/>
          </w:tcPr>
          <w:p w14:paraId="7BFBA1DD" w14:textId="77777777" w:rsidR="005D3664" w:rsidRPr="00887108" w:rsidRDefault="005D3664" w:rsidP="008B707C">
            <w:pPr>
              <w:spacing w:before="40" w:after="40"/>
              <w:rPr>
                <w:rFonts w:cs="Arial"/>
                <w:b/>
                <w:sz w:val="20"/>
                <w:szCs w:val="20"/>
                <w:highlight w:val="yellow"/>
              </w:rPr>
            </w:pPr>
            <w:r w:rsidRPr="00887108">
              <w:drawing>
                <wp:inline distT="0" distB="0" distL="0" distR="0" wp14:anchorId="4A1AC11C" wp14:editId="75CAD742">
                  <wp:extent cx="2647784" cy="1979874"/>
                  <wp:effectExtent l="0" t="0" r="635"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00" w:type="pct"/>
            <w:tcBorders>
              <w:top w:val="nil"/>
              <w:left w:val="nil"/>
              <w:bottom w:val="nil"/>
              <w:right w:val="nil"/>
            </w:tcBorders>
            <w:shd w:val="clear" w:color="auto" w:fill="auto"/>
            <w:vAlign w:val="center"/>
          </w:tcPr>
          <w:p w14:paraId="7F7DA8D2" w14:textId="77777777" w:rsidR="005D3664" w:rsidRPr="00887108" w:rsidRDefault="005D3664" w:rsidP="008B707C">
            <w:pPr>
              <w:spacing w:before="40" w:after="40"/>
              <w:jc w:val="center"/>
              <w:rPr>
                <w:rFonts w:cs="Arial"/>
                <w:b/>
                <w:sz w:val="20"/>
                <w:szCs w:val="20"/>
                <w:highlight w:val="yellow"/>
              </w:rPr>
            </w:pPr>
          </w:p>
        </w:tc>
        <w:tc>
          <w:tcPr>
            <w:tcW w:w="2498" w:type="pct"/>
            <w:tcBorders>
              <w:top w:val="single" w:sz="4" w:space="0" w:color="auto"/>
              <w:left w:val="nil"/>
              <w:bottom w:val="single" w:sz="4" w:space="0" w:color="auto"/>
              <w:right w:val="nil"/>
            </w:tcBorders>
            <w:shd w:val="clear" w:color="auto" w:fill="auto"/>
            <w:vAlign w:val="center"/>
          </w:tcPr>
          <w:p w14:paraId="12C28524" w14:textId="25CD3D23" w:rsidR="005D3664" w:rsidRPr="00887108" w:rsidRDefault="00AF312C" w:rsidP="008B707C">
            <w:pPr>
              <w:spacing w:before="40" w:after="40"/>
              <w:rPr>
                <w:rFonts w:cs="Arial"/>
                <w:b/>
                <w:sz w:val="20"/>
                <w:szCs w:val="20"/>
                <w:highlight w:val="yellow"/>
              </w:rPr>
            </w:pPr>
            <w:r w:rsidRPr="00887108">
              <w:drawing>
                <wp:inline distT="0" distB="0" distL="0" distR="0" wp14:anchorId="4DAF1F89" wp14:editId="5F246C2C">
                  <wp:extent cx="2762250" cy="20193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D3664" w:rsidRPr="00887108" w14:paraId="74D27D38" w14:textId="77777777" w:rsidTr="008B707C">
        <w:trPr>
          <w:trHeight w:val="50"/>
        </w:trPr>
        <w:tc>
          <w:tcPr>
            <w:tcW w:w="2402" w:type="pct"/>
            <w:tcBorders>
              <w:top w:val="single" w:sz="4" w:space="0" w:color="auto"/>
              <w:left w:val="nil"/>
              <w:bottom w:val="nil"/>
              <w:right w:val="nil"/>
            </w:tcBorders>
            <w:shd w:val="clear" w:color="auto" w:fill="auto"/>
          </w:tcPr>
          <w:p w14:paraId="327AFAE5" w14:textId="77777777" w:rsidR="005D3664" w:rsidRPr="00887108" w:rsidRDefault="005D3664" w:rsidP="008B707C">
            <w:pPr>
              <w:spacing w:before="40" w:after="40"/>
              <w:jc w:val="right"/>
              <w:rPr>
                <w:rFonts w:cs="Arial"/>
                <w:i/>
                <w:sz w:val="16"/>
                <w:szCs w:val="16"/>
              </w:rPr>
            </w:pPr>
            <w:r w:rsidRPr="00887108">
              <w:rPr>
                <w:rFonts w:cs="Arial"/>
                <w:i/>
                <w:sz w:val="16"/>
                <w:szCs w:val="16"/>
              </w:rPr>
              <w:t>Zdroj: MF SR</w:t>
            </w:r>
          </w:p>
        </w:tc>
        <w:tc>
          <w:tcPr>
            <w:tcW w:w="100" w:type="pct"/>
            <w:tcBorders>
              <w:top w:val="nil"/>
              <w:left w:val="nil"/>
              <w:bottom w:val="nil"/>
              <w:right w:val="nil"/>
            </w:tcBorders>
            <w:shd w:val="clear" w:color="auto" w:fill="auto"/>
          </w:tcPr>
          <w:p w14:paraId="32F80486" w14:textId="77777777" w:rsidR="005D3664" w:rsidRPr="00887108" w:rsidRDefault="005D3664" w:rsidP="008B707C">
            <w:pPr>
              <w:jc w:val="right"/>
              <w:rPr>
                <w:rFonts w:cs="Arial"/>
                <w:i/>
                <w:sz w:val="16"/>
                <w:szCs w:val="16"/>
              </w:rPr>
            </w:pPr>
          </w:p>
        </w:tc>
        <w:tc>
          <w:tcPr>
            <w:tcW w:w="2498" w:type="pct"/>
            <w:tcBorders>
              <w:top w:val="single" w:sz="4" w:space="0" w:color="auto"/>
              <w:left w:val="nil"/>
              <w:bottom w:val="nil"/>
              <w:right w:val="nil"/>
            </w:tcBorders>
            <w:shd w:val="clear" w:color="auto" w:fill="auto"/>
          </w:tcPr>
          <w:p w14:paraId="6FD260A5" w14:textId="116C9366" w:rsidR="005D3664" w:rsidRPr="00887108" w:rsidRDefault="005D3664" w:rsidP="00D64816">
            <w:pPr>
              <w:spacing w:before="40" w:after="40"/>
              <w:jc w:val="right"/>
              <w:rPr>
                <w:rFonts w:cs="Arial"/>
                <w:i/>
                <w:sz w:val="16"/>
                <w:szCs w:val="16"/>
              </w:rPr>
            </w:pPr>
            <w:r w:rsidRPr="00887108">
              <w:rPr>
                <w:rFonts w:cs="Arial"/>
                <w:i/>
                <w:sz w:val="16"/>
                <w:szCs w:val="16"/>
              </w:rPr>
              <w:t xml:space="preserve">Zdroj: MF SR </w:t>
            </w:r>
          </w:p>
        </w:tc>
      </w:tr>
    </w:tbl>
    <w:p w14:paraId="2C4D251D" w14:textId="77777777" w:rsidR="00204588" w:rsidRPr="00887108" w:rsidRDefault="00204588" w:rsidP="00204588">
      <w:pPr>
        <w:jc w:val="both"/>
        <w:rPr>
          <w:rFonts w:cstheme="minorBidi"/>
          <w:b/>
          <w:color w:val="2C9ADC" w:themeColor="accent1"/>
        </w:rPr>
      </w:pPr>
      <w:r w:rsidRPr="00887108">
        <w:rPr>
          <w:rFonts w:cstheme="minorBidi"/>
          <w:b/>
          <w:color w:val="2C9ADC" w:themeColor="accent1"/>
        </w:rPr>
        <w:t>Čistý dlh</w:t>
      </w:r>
    </w:p>
    <w:p w14:paraId="269582DB" w14:textId="77777777" w:rsidR="00204588" w:rsidRPr="00887108" w:rsidRDefault="00204588" w:rsidP="00204588">
      <w:pPr>
        <w:jc w:val="both"/>
        <w:rPr>
          <w:rFonts w:cs="Times New Roman"/>
          <w:color w:val="000000" w:themeColor="text1"/>
        </w:rPr>
      </w:pPr>
    </w:p>
    <w:p w14:paraId="171BE18C" w14:textId="3BA22E28" w:rsidR="00204588" w:rsidRPr="00887108" w:rsidRDefault="00204588" w:rsidP="00204588">
      <w:pPr>
        <w:spacing w:after="240"/>
        <w:jc w:val="both"/>
        <w:rPr>
          <w:rFonts w:cs="Arial Narrow"/>
        </w:rPr>
      </w:pPr>
      <w:r w:rsidRPr="00887108">
        <w:rPr>
          <w:rFonts w:cs="Arial Narrow"/>
          <w:b/>
        </w:rPr>
        <w:t xml:space="preserve">Čistý dlh porastie do roku 2023 nad 57 % HDP, po využití časti hotovostných prostriedkov na stabilizáciu hrubého dlhu. </w:t>
      </w:r>
      <w:r w:rsidRPr="00887108">
        <w:rPr>
          <w:rFonts w:cs="Arial Narrow"/>
        </w:rPr>
        <w:t>Čistý dlh dosiahol v roku 2019 úroveň 43,2 % HDP a v porovnaní s hrubým dlhom zaznamenal nižší pokles o 1,1 p.b.. Rozdiel bol spôsobený výraznejším využitím hotovostnej rezervy z naakumulovaných prebytkov jednotlivých subjektov VS (</w:t>
      </w:r>
      <w:r w:rsidRPr="00887108">
        <w:rPr>
          <w:rFonts w:cs="Arial Narrow"/>
          <w:color w:val="2C9ADC" w:themeColor="accent1"/>
        </w:rPr>
        <w:t>G</w:t>
      </w:r>
      <w:r w:rsidR="001D7FBD" w:rsidRPr="00887108">
        <w:rPr>
          <w:rFonts w:cs="Arial Narrow"/>
          <w:color w:val="2C9ADC" w:themeColor="accent1"/>
        </w:rPr>
        <w:t>raf</w:t>
      </w:r>
      <w:r w:rsidRPr="00887108">
        <w:rPr>
          <w:rFonts w:cs="Arial Narrow"/>
          <w:color w:val="2C9ADC" w:themeColor="accent1"/>
        </w:rPr>
        <w:t xml:space="preserve"> </w:t>
      </w:r>
      <w:r w:rsidR="0042682B" w:rsidRPr="00887108">
        <w:rPr>
          <w:rFonts w:cs="Arial Narrow"/>
          <w:color w:val="2C9ADC" w:themeColor="accent1"/>
        </w:rPr>
        <w:t>19</w:t>
      </w:r>
      <w:r w:rsidRPr="00887108">
        <w:rPr>
          <w:rFonts w:cs="Arial Narrow"/>
        </w:rPr>
        <w:t xml:space="preserve">). </w:t>
      </w:r>
      <w:r w:rsidR="00AB2DB4" w:rsidRPr="00887108">
        <w:rPr>
          <w:rFonts w:cs="Arial Narrow"/>
        </w:rPr>
        <w:t xml:space="preserve">V roku 2020 vzrastie čistý dlh na 54,3 % HDP. Mierne nižší nárast čistého dlhu oproti hrubému je spôsobený zvýšením hotovostnej rezervy v tomto roku. </w:t>
      </w:r>
      <w:r w:rsidRPr="00887108">
        <w:rPr>
          <w:rFonts w:cs="Arial Narrow"/>
        </w:rPr>
        <w:t>Do roku 2023 vzrastie čistý dlh na 57,4 % HDP, najmä po opätovnom využití hotovosti na zníženie dlhu, čím aj výška likvidných aktív verejnej správy do roku 2023 výraznejšie poklesne - pod hranicu 3 % HDP.</w:t>
      </w:r>
    </w:p>
    <w:tbl>
      <w:tblPr>
        <w:tblpPr w:leftFromText="141" w:rightFromText="141" w:bottomFromText="160" w:vertAnchor="text" w:tblpXSpec="center" w:tblpY="1"/>
        <w:tblOverlap w:val="never"/>
        <w:tblW w:w="9075" w:type="dxa"/>
        <w:shd w:val="clear" w:color="auto" w:fill="AAD3F2"/>
        <w:tblLook w:val="01E0" w:firstRow="1" w:lastRow="1" w:firstColumn="1" w:lastColumn="1" w:noHBand="0" w:noVBand="0"/>
      </w:tblPr>
      <w:tblGrid>
        <w:gridCol w:w="9075"/>
      </w:tblGrid>
      <w:tr w:rsidR="00204588" w:rsidRPr="00887108" w14:paraId="26465153" w14:textId="77777777" w:rsidTr="00204588">
        <w:trPr>
          <w:trHeight w:val="426"/>
        </w:trPr>
        <w:tc>
          <w:tcPr>
            <w:tcW w:w="9075" w:type="dxa"/>
            <w:shd w:val="clear" w:color="auto" w:fill="AAD3F2"/>
          </w:tcPr>
          <w:p w14:paraId="6C302EB3" w14:textId="7D2CB7DA" w:rsidR="00204588" w:rsidRPr="00887108" w:rsidRDefault="00204588" w:rsidP="00204588">
            <w:pPr>
              <w:pStyle w:val="Nadpis3"/>
              <w:spacing w:before="240" w:after="240"/>
              <w:rPr>
                <w:color w:val="2C9ADC" w:themeColor="accent1"/>
                <w:sz w:val="22"/>
                <w:szCs w:val="22"/>
              </w:rPr>
            </w:pPr>
            <w:bookmarkStart w:id="131" w:name="_Toc40181291"/>
            <w:r w:rsidRPr="00887108">
              <w:rPr>
                <w:color w:val="2C9ADC" w:themeColor="accent1"/>
                <w:sz w:val="22"/>
                <w:szCs w:val="22"/>
              </w:rPr>
              <w:t xml:space="preserve">BOX </w:t>
            </w:r>
            <w:r w:rsidRPr="00887108">
              <w:rPr>
                <w:b w:val="0"/>
                <w:color w:val="2C9ADC" w:themeColor="accent1"/>
                <w:sz w:val="22"/>
                <w:szCs w:val="22"/>
              </w:rPr>
              <w:fldChar w:fldCharType="begin"/>
            </w:r>
            <w:r w:rsidRPr="00887108">
              <w:rPr>
                <w:color w:val="2C9ADC" w:themeColor="accent1"/>
                <w:sz w:val="22"/>
                <w:szCs w:val="22"/>
              </w:rPr>
              <w:instrText xml:space="preserve"> SEQ BOX \* ARABIC </w:instrText>
            </w:r>
            <w:r w:rsidRPr="00887108">
              <w:rPr>
                <w:b w:val="0"/>
                <w:color w:val="2C9ADC" w:themeColor="accent1"/>
                <w:sz w:val="22"/>
                <w:szCs w:val="22"/>
              </w:rPr>
              <w:fldChar w:fldCharType="separate"/>
            </w:r>
            <w:r w:rsidR="00D47A36">
              <w:rPr>
                <w:noProof/>
                <w:color w:val="2C9ADC" w:themeColor="accent1"/>
                <w:sz w:val="22"/>
                <w:szCs w:val="22"/>
              </w:rPr>
              <w:t>4</w:t>
            </w:r>
            <w:r w:rsidRPr="00887108">
              <w:rPr>
                <w:b w:val="0"/>
                <w:color w:val="2C9ADC" w:themeColor="accent1"/>
                <w:sz w:val="22"/>
                <w:szCs w:val="22"/>
              </w:rPr>
              <w:fldChar w:fldCharType="end"/>
            </w:r>
            <w:r w:rsidRPr="00887108">
              <w:rPr>
                <w:color w:val="2C9ADC" w:themeColor="accent1"/>
                <w:sz w:val="22"/>
                <w:szCs w:val="22"/>
              </w:rPr>
              <w:t xml:space="preserve"> </w:t>
            </w:r>
            <w:r w:rsidR="00D76DCF" w:rsidRPr="00887108">
              <w:rPr>
                <w:color w:val="2C9ADC" w:themeColor="accent1"/>
                <w:sz w:val="22"/>
                <w:szCs w:val="22"/>
              </w:rPr>
              <w:t>-</w:t>
            </w:r>
            <w:r w:rsidRPr="00887108">
              <w:rPr>
                <w:color w:val="2C9ADC" w:themeColor="accent1"/>
                <w:sz w:val="22"/>
                <w:szCs w:val="22"/>
              </w:rPr>
              <w:t xml:space="preserve"> Ústavný zákon o rozpočtovej zodpovednosti </w:t>
            </w:r>
            <w:r w:rsidR="009A55D3" w:rsidRPr="00887108">
              <w:rPr>
                <w:color w:val="2C9ADC" w:themeColor="accent1"/>
                <w:sz w:val="22"/>
                <w:szCs w:val="22"/>
              </w:rPr>
              <w:t>v kontexte koronakrízy</w:t>
            </w:r>
            <w:bookmarkEnd w:id="131"/>
          </w:p>
          <w:p w14:paraId="0F7C747A" w14:textId="462ED6C6" w:rsidR="00204588" w:rsidRPr="00887108" w:rsidRDefault="00204588" w:rsidP="00204588">
            <w:pPr>
              <w:jc w:val="both"/>
              <w:rPr>
                <w:sz w:val="20"/>
                <w:szCs w:val="20"/>
              </w:rPr>
            </w:pPr>
            <w:r w:rsidRPr="00887108">
              <w:rPr>
                <w:b/>
                <w:sz w:val="20"/>
                <w:szCs w:val="20"/>
              </w:rPr>
              <w:t>Vzhľadom na vymenovanie novej vlády sa až do roku 2022 neuplatňujú</w:t>
            </w:r>
            <w:r w:rsidR="00906F6C" w:rsidRPr="00887108">
              <w:rPr>
                <w:b/>
                <w:sz w:val="20"/>
                <w:szCs w:val="20"/>
              </w:rPr>
              <w:t xml:space="preserve"> sankcie 3 najvyšších sankčných pásiem dlhovej brzdy</w:t>
            </w:r>
            <w:r w:rsidRPr="00887108">
              <w:rPr>
                <w:b/>
                <w:sz w:val="20"/>
                <w:szCs w:val="20"/>
              </w:rPr>
              <w:t xml:space="preserve">, pričom vplyvom pandémie COVID19 sa môže prechodné obdobie </w:t>
            </w:r>
            <w:r w:rsidR="00AB2DB4" w:rsidRPr="00887108">
              <w:rPr>
                <w:b/>
                <w:sz w:val="20"/>
                <w:szCs w:val="20"/>
              </w:rPr>
              <w:t>na</w:t>
            </w:r>
            <w:r w:rsidRPr="00887108">
              <w:rPr>
                <w:b/>
                <w:sz w:val="20"/>
                <w:szCs w:val="20"/>
              </w:rPr>
              <w:t>tiahnuť do roku 2024, prípadne až do roku 2026.</w:t>
            </w:r>
            <w:r w:rsidRPr="00887108">
              <w:rPr>
                <w:sz w:val="20"/>
                <w:szCs w:val="20"/>
              </w:rPr>
              <w:t xml:space="preserve"> Od vyslovenia dôvery vláde v NR SR sa už aktivovala prvá úniková klauzula, pri ktorej sa počas nasledujúcich 24 mesiacov automaticky neuplatňujú najvyššie zákonné sankcie (3</w:t>
            </w:r>
            <w:r w:rsidR="00AB2DB4" w:rsidRPr="00887108">
              <w:rPr>
                <w:sz w:val="20"/>
                <w:szCs w:val="20"/>
              </w:rPr>
              <w:t>.</w:t>
            </w:r>
            <w:r w:rsidRPr="00887108">
              <w:rPr>
                <w:sz w:val="20"/>
                <w:szCs w:val="20"/>
              </w:rPr>
              <w:t xml:space="preserve"> až 5</w:t>
            </w:r>
            <w:r w:rsidR="00AB2DB4" w:rsidRPr="00887108">
              <w:rPr>
                <w:sz w:val="20"/>
                <w:szCs w:val="20"/>
              </w:rPr>
              <w:t>.</w:t>
            </w:r>
            <w:r w:rsidRPr="00887108">
              <w:rPr>
                <w:sz w:val="20"/>
                <w:szCs w:val="20"/>
              </w:rPr>
              <w:t xml:space="preserve"> sankčného pásma dlhovej brzdy). Prechodné obdobie by teda malo trvať do mája 2022</w:t>
            </w:r>
            <w:r w:rsidRPr="00887108">
              <w:rPr>
                <w:rStyle w:val="Odkaznapoznmkupodiarou"/>
                <w:sz w:val="20"/>
                <w:szCs w:val="20"/>
                <w:lang w:val="sk-SK"/>
              </w:rPr>
              <w:footnoteReference w:id="49"/>
            </w:r>
            <w:r w:rsidRPr="00887108">
              <w:rPr>
                <w:sz w:val="20"/>
                <w:szCs w:val="20"/>
              </w:rPr>
              <w:t xml:space="preserve"> Okrem toho sa od roku 2021 môže aktivovať aj spustenie ďalších únikových klauzúl, s dlhším (36 mesačným) obdobím, kedy sa 3 horné pásma rovnako neuplatňujú. Zatiaľ v zmysle podmienky veľkej hospodárskej recesie aktuálny odhad prepadu ekonomiky nie je v roku 2020 dostatočný.</w:t>
            </w:r>
            <w:r w:rsidRPr="00887108">
              <w:rPr>
                <w:rStyle w:val="Odkaznapoznmkupodiarou"/>
                <w:sz w:val="20"/>
                <w:szCs w:val="20"/>
                <w:lang w:val="sk-SK"/>
              </w:rPr>
              <w:footnoteReference w:id="50"/>
            </w:r>
            <w:r w:rsidRPr="00887108">
              <w:rPr>
                <w:sz w:val="20"/>
                <w:szCs w:val="20"/>
              </w:rPr>
              <w:t xml:space="preserve"> Podobne, aktuálna pandémia COVID19</w:t>
            </w:r>
            <w:r w:rsidR="0041307D" w:rsidRPr="00887108">
              <w:rPr>
                <w:rStyle w:val="Odkaznapoznmkupodiarou"/>
                <w:sz w:val="20"/>
                <w:szCs w:val="20"/>
                <w:lang w:val="sk-SK"/>
              </w:rPr>
              <w:footnoteReference w:id="51"/>
            </w:r>
            <w:r w:rsidRPr="00887108">
              <w:rPr>
                <w:sz w:val="20"/>
                <w:szCs w:val="20"/>
              </w:rPr>
              <w:t xml:space="preserve"> (s odhadovaným rozpočtovým vplyvom na výdavky na úrovni </w:t>
            </w:r>
            <w:r w:rsidR="002456FC" w:rsidRPr="00887108">
              <w:rPr>
                <w:sz w:val="20"/>
                <w:szCs w:val="20"/>
              </w:rPr>
              <w:t>1,8</w:t>
            </w:r>
            <w:r w:rsidR="00D64816" w:rsidRPr="00887108">
              <w:rPr>
                <w:sz w:val="20"/>
                <w:szCs w:val="20"/>
              </w:rPr>
              <w:t> </w:t>
            </w:r>
            <w:r w:rsidRPr="00887108">
              <w:rPr>
                <w:sz w:val="20"/>
                <w:szCs w:val="20"/>
              </w:rPr>
              <w:t>% HDP</w:t>
            </w:r>
            <w:r w:rsidR="00305A97" w:rsidRPr="00887108">
              <w:rPr>
                <w:rStyle w:val="Odkaznapoznmkupodiarou"/>
                <w:sz w:val="20"/>
                <w:szCs w:val="20"/>
                <w:lang w:val="sk-SK"/>
              </w:rPr>
              <w:footnoteReference w:id="52"/>
            </w:r>
            <w:r w:rsidRPr="00887108">
              <w:rPr>
                <w:sz w:val="20"/>
                <w:szCs w:val="20"/>
              </w:rPr>
              <w:t>) v tejto chvíli nespĺňa podmienku prírodnej katastrofy s negatívnym vplyvom (na výdavky z verejných zdrojov) aspoň 3 % HDP.</w:t>
            </w:r>
            <w:r w:rsidRPr="00887108">
              <w:rPr>
                <w:rStyle w:val="Odkaznapoznmkupodiarou"/>
                <w:sz w:val="20"/>
                <w:szCs w:val="20"/>
                <w:lang w:val="sk-SK"/>
              </w:rPr>
              <w:footnoteReference w:id="53"/>
            </w:r>
            <w:r w:rsidRPr="00887108">
              <w:rPr>
                <w:sz w:val="20"/>
                <w:szCs w:val="20"/>
              </w:rPr>
              <w:t xml:space="preserve"> Pri súčasnej neistote a rizikách naklonených k negatívnej strane, by však nakoniec mohlo dôjsť k naplneniu týchto podmienok. Ich vyhodnotenie </w:t>
            </w:r>
            <w:r w:rsidR="002456FC" w:rsidRPr="00887108">
              <w:rPr>
                <w:sz w:val="20"/>
                <w:szCs w:val="20"/>
              </w:rPr>
              <w:t>by sa mohlo</w:t>
            </w:r>
            <w:r w:rsidRPr="00887108">
              <w:rPr>
                <w:sz w:val="20"/>
                <w:szCs w:val="20"/>
              </w:rPr>
              <w:t xml:space="preserve"> posudzovať až na jar 2021 pri zverejnení notifikácie Eurostatu ohľadom výšky dlhu za rok 2020. Spomínané 36 mesačné obdobie by tak pretrvalo najneskôr do apríla až mája 2024. Zároveň, v roku 2024 sa očakáva už vymenovanie novej vlády, kedy by opätovne platilo prechodné obdobie ďalších 24 mesiacov a horné tri sankčné mechanizmy by sa tak nemuseli spustiť až do prvej polovice roka 2026.</w:t>
            </w:r>
          </w:p>
          <w:p w14:paraId="348D3214" w14:textId="77777777" w:rsidR="00204588" w:rsidRPr="00887108" w:rsidRDefault="00204588" w:rsidP="00204588">
            <w:pPr>
              <w:jc w:val="both"/>
              <w:rPr>
                <w:sz w:val="20"/>
                <w:szCs w:val="20"/>
              </w:rPr>
            </w:pPr>
          </w:p>
          <w:p w14:paraId="27C7073A" w14:textId="77777777" w:rsidR="00204588" w:rsidRPr="00887108" w:rsidRDefault="00204588" w:rsidP="00204588">
            <w:pPr>
              <w:jc w:val="both"/>
              <w:rPr>
                <w:b/>
                <w:highlight w:val="yellow"/>
              </w:rPr>
            </w:pPr>
            <w:r w:rsidRPr="00887108">
              <w:rPr>
                <w:b/>
              </w:rPr>
              <w:t>Sankčné pásma dlhovej brzdy</w:t>
            </w:r>
          </w:p>
          <w:p w14:paraId="07A6AC10" w14:textId="77777777" w:rsidR="00204588" w:rsidRPr="00887108" w:rsidRDefault="00204588" w:rsidP="00204588">
            <w:pPr>
              <w:jc w:val="both"/>
              <w:rPr>
                <w:sz w:val="20"/>
                <w:szCs w:val="20"/>
              </w:rPr>
            </w:pPr>
            <w:r w:rsidRPr="00887108">
              <w:rPr>
                <w:sz w:val="20"/>
                <w:szCs w:val="20"/>
              </w:rPr>
              <w:t>Sankčné pásma dlhovej brzdy</w:t>
            </w:r>
            <w:r w:rsidRPr="00887108">
              <w:rPr>
                <w:rStyle w:val="Odkaznapoznmkupodiarou"/>
                <w:sz w:val="20"/>
                <w:szCs w:val="20"/>
                <w:lang w:val="sk-SK"/>
              </w:rPr>
              <w:footnoteReference w:id="54"/>
            </w:r>
            <w:r w:rsidRPr="00887108">
              <w:rPr>
                <w:sz w:val="20"/>
                <w:szCs w:val="20"/>
              </w:rPr>
              <w:t xml:space="preserve"> (limity sa v období rokov 2018 až 2027 každoročne znižujú o 1 p.b.):</w:t>
            </w:r>
          </w:p>
          <w:p w14:paraId="20239E48" w14:textId="77777777" w:rsidR="00204588" w:rsidRPr="00887108" w:rsidRDefault="00204588" w:rsidP="00204588">
            <w:pPr>
              <w:jc w:val="both"/>
              <w:rPr>
                <w:b/>
                <w:sz w:val="18"/>
                <w:szCs w:val="18"/>
              </w:rPr>
            </w:pPr>
          </w:p>
          <w:p w14:paraId="117BFA0A" w14:textId="77777777" w:rsidR="00204588" w:rsidRPr="00887108" w:rsidRDefault="00204588" w:rsidP="00204588">
            <w:pPr>
              <w:pStyle w:val="Odsekzoznamu"/>
              <w:numPr>
                <w:ilvl w:val="0"/>
                <w:numId w:val="23"/>
              </w:numPr>
              <w:contextualSpacing w:val="0"/>
              <w:jc w:val="both"/>
              <w:rPr>
                <w:sz w:val="20"/>
                <w:szCs w:val="20"/>
              </w:rPr>
            </w:pPr>
            <w:r w:rsidRPr="00887108">
              <w:rPr>
                <w:b/>
                <w:sz w:val="20"/>
                <w:szCs w:val="20"/>
              </w:rPr>
              <w:t>1. 50 - 53 % HDP –</w:t>
            </w:r>
            <w:r w:rsidRPr="00887108">
              <w:rPr>
                <w:sz w:val="20"/>
                <w:szCs w:val="20"/>
              </w:rPr>
              <w:t xml:space="preserve"> MF SR zasiela NR SR písomné zdôvodnenie výšky dlhu vrátane návrhu opatrení na jeho zníženie</w:t>
            </w:r>
          </w:p>
          <w:p w14:paraId="5C3408DB" w14:textId="77777777" w:rsidR="00204588" w:rsidRPr="00887108" w:rsidRDefault="00204588" w:rsidP="00204588">
            <w:pPr>
              <w:pStyle w:val="Odsekzoznamu"/>
              <w:numPr>
                <w:ilvl w:val="0"/>
                <w:numId w:val="23"/>
              </w:numPr>
              <w:contextualSpacing w:val="0"/>
              <w:jc w:val="both"/>
              <w:rPr>
                <w:sz w:val="20"/>
                <w:szCs w:val="20"/>
              </w:rPr>
            </w:pPr>
            <w:r w:rsidRPr="00887108">
              <w:rPr>
                <w:b/>
                <w:sz w:val="20"/>
                <w:szCs w:val="20"/>
              </w:rPr>
              <w:t>2. 53 - 55 % HDP –</w:t>
            </w:r>
            <w:r w:rsidRPr="00887108">
              <w:rPr>
                <w:sz w:val="20"/>
                <w:szCs w:val="20"/>
              </w:rPr>
              <w:t xml:space="preserve"> Znížia sa platy členov vlády na úroveň ich platov v predchádzajúcom rozpočtovom roku a zároveň vláda SR predloží na rokovanie NR SR návrh opatrení, ktorými navrhuje zabezpečiť zníženie dlhu</w:t>
            </w:r>
          </w:p>
          <w:p w14:paraId="53448E60" w14:textId="77777777" w:rsidR="00204588" w:rsidRPr="00887108" w:rsidRDefault="00204588" w:rsidP="00204588">
            <w:pPr>
              <w:pStyle w:val="Odsekzoznamu"/>
              <w:numPr>
                <w:ilvl w:val="0"/>
                <w:numId w:val="23"/>
              </w:numPr>
              <w:contextualSpacing w:val="0"/>
              <w:jc w:val="both"/>
              <w:rPr>
                <w:sz w:val="20"/>
                <w:szCs w:val="20"/>
              </w:rPr>
            </w:pPr>
            <w:r w:rsidRPr="00887108">
              <w:rPr>
                <w:b/>
                <w:sz w:val="20"/>
                <w:szCs w:val="20"/>
              </w:rPr>
              <w:t>3. 55 - 57 % HDP -</w:t>
            </w:r>
            <w:r w:rsidRPr="00887108">
              <w:rPr>
                <w:sz w:val="20"/>
                <w:szCs w:val="20"/>
              </w:rPr>
              <w:t xml:space="preserve"> Vláda nesmie predložiť návrh RVS, ktorý obsahuje medziročný rast výdavkov. MF SR viaže výdavky štátneho rozpočtu vo výške 3 % z celkových výdavkov štátneho rozpočtu. Zároveň nie je možné poskytovať prostriedky z rezervy predsedu vlády a z rezervy vlády. Obec a VÚC sú povinní schváliť rozpočet s výdavkami maximálne vo výške výdavkov predchádzajúceho rozpočtu.</w:t>
            </w:r>
          </w:p>
          <w:p w14:paraId="0816EA65" w14:textId="77777777" w:rsidR="00204588" w:rsidRPr="00887108" w:rsidRDefault="00204588" w:rsidP="00204588">
            <w:pPr>
              <w:pStyle w:val="Odsekzoznamu"/>
              <w:numPr>
                <w:ilvl w:val="0"/>
                <w:numId w:val="25"/>
              </w:numPr>
              <w:contextualSpacing w:val="0"/>
              <w:jc w:val="both"/>
              <w:rPr>
                <w:sz w:val="20"/>
                <w:szCs w:val="20"/>
              </w:rPr>
            </w:pPr>
            <w:r w:rsidRPr="00887108">
              <w:rPr>
                <w:b/>
                <w:sz w:val="20"/>
                <w:szCs w:val="20"/>
              </w:rPr>
              <w:t>4. 57 – 60 % HDP</w:t>
            </w:r>
            <w:r w:rsidRPr="00887108">
              <w:rPr>
                <w:sz w:val="20"/>
                <w:szCs w:val="20"/>
              </w:rPr>
              <w:t xml:space="preserve"> - Vláda nesmie predložiť NR SR návrh RVS s rozpočtovaným schodkom. Obec a VÚC sú povinní schváliť na nasledujúci rozpočtový rok vyrovnaný rozpočet alebo prebytkový rozpočet.</w:t>
            </w:r>
          </w:p>
          <w:p w14:paraId="722ADF48" w14:textId="2409737F" w:rsidR="00204588" w:rsidRPr="00887108" w:rsidRDefault="00204588" w:rsidP="00204588">
            <w:pPr>
              <w:pStyle w:val="Odsekzoznamu"/>
              <w:numPr>
                <w:ilvl w:val="0"/>
                <w:numId w:val="24"/>
              </w:numPr>
              <w:contextualSpacing w:val="0"/>
              <w:jc w:val="both"/>
              <w:rPr>
                <w:sz w:val="20"/>
                <w:szCs w:val="20"/>
              </w:rPr>
            </w:pPr>
            <w:r w:rsidRPr="00887108">
              <w:rPr>
                <w:b/>
                <w:sz w:val="20"/>
                <w:szCs w:val="20"/>
              </w:rPr>
              <w:t>5. nad 60 % HDP</w:t>
            </w:r>
            <w:r w:rsidRPr="00887108">
              <w:rPr>
                <w:sz w:val="20"/>
                <w:szCs w:val="20"/>
              </w:rPr>
              <w:t xml:space="preserve"> - Vláda požiada NR SR o vyslovenie dôvery vláde.</w:t>
            </w:r>
          </w:p>
          <w:p w14:paraId="0DF251DC" w14:textId="77777777" w:rsidR="00FC1EC4" w:rsidRPr="00887108" w:rsidRDefault="00FC1EC4" w:rsidP="00FC1EC4">
            <w:pPr>
              <w:jc w:val="both"/>
              <w:rPr>
                <w:sz w:val="20"/>
                <w:szCs w:val="20"/>
              </w:rPr>
            </w:pPr>
          </w:p>
          <w:p w14:paraId="71C4CF01" w14:textId="4DA5D46C" w:rsidR="00204588" w:rsidRPr="00887108" w:rsidRDefault="00FC1EC4" w:rsidP="00204588">
            <w:pPr>
              <w:jc w:val="both"/>
              <w:rPr>
                <w:sz w:val="20"/>
                <w:szCs w:val="20"/>
              </w:rPr>
            </w:pPr>
            <w:r w:rsidRPr="00887108">
              <w:rPr>
                <w:sz w:val="20"/>
                <w:szCs w:val="20"/>
              </w:rPr>
              <w:t>MF SR s Radou pre rozpočtovú zodpovednosť (RRZ) zanalyzujú doterajšie fungovanie ústavného zákona o rozpočtovej zodpovednosti, vrátane prechodu na čistý dlh, únikových klauzúl a upresnenia k výdavkovým stropom, a predložia návrhy potrebné na jeho zlepšenie.</w:t>
            </w:r>
          </w:p>
        </w:tc>
      </w:tr>
    </w:tbl>
    <w:p w14:paraId="56D20BDA" w14:textId="6DD30A00" w:rsidR="00204588" w:rsidRPr="00887108" w:rsidRDefault="00204588"/>
    <w:p w14:paraId="7655AFCA" w14:textId="77777777" w:rsidR="00204588" w:rsidRPr="00887108" w:rsidRDefault="00204588" w:rsidP="00204588">
      <w:pPr>
        <w:pStyle w:val="Nadpis1"/>
        <w:keepLines/>
        <w:numPr>
          <w:ilvl w:val="0"/>
          <w:numId w:val="2"/>
        </w:numPr>
        <w:spacing w:before="240" w:after="240" w:line="276" w:lineRule="auto"/>
        <w:rPr>
          <w:rFonts w:cs="Arial Narrow"/>
          <w:szCs w:val="28"/>
        </w:rPr>
      </w:pPr>
      <w:bookmarkStart w:id="132" w:name="_Toc40181053"/>
      <w:r w:rsidRPr="00887108">
        <w:rPr>
          <w:color w:val="2C9ADC"/>
          <w:szCs w:val="28"/>
        </w:rPr>
        <w:t>UDRŽATEĽNOSŤ VEREJNÝCH FINANCIÍ</w:t>
      </w:r>
      <w:bookmarkEnd w:id="132"/>
      <w:r w:rsidRPr="00887108">
        <w:rPr>
          <w:rFonts w:cs="Arial Narrow"/>
          <w:szCs w:val="28"/>
        </w:rPr>
        <w:t xml:space="preserve">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04588" w:rsidRPr="00887108" w14:paraId="22DAA0EF" w14:textId="77777777" w:rsidTr="00204588">
        <w:tc>
          <w:tcPr>
            <w:tcW w:w="9072" w:type="dxa"/>
          </w:tcPr>
          <w:p w14:paraId="5045DA75" w14:textId="1BFEA8F2" w:rsidR="00204588" w:rsidRPr="00887108" w:rsidRDefault="00204588" w:rsidP="004B40B6">
            <w:pPr>
              <w:jc w:val="both"/>
              <w:rPr>
                <w:rFonts w:ascii="Calibri" w:hAnsi="Calibri" w:cs="Times New Roman"/>
                <w:color w:val="1F497D"/>
              </w:rPr>
            </w:pPr>
            <w:r w:rsidRPr="00887108">
              <w:rPr>
                <w:i/>
                <w:iCs/>
              </w:rPr>
              <w:t xml:space="preserve">V roku 2020 vstúpili do platnosti viaceré zmeny dôchodkového systému, ktoré výrazne zvýšia budúce výdavky na dôchodky. Najdôležitejšou zmenou je zavedenie stropu na dôchodkový vek. Po zohľadnení ďalších prijatých opatrení (plošné zvýšenie minimálneho dôchodku, zmena výpočtu dôchodkov z II. piliera a zavedenie plošných 13-tych dôchodkov namiesto vianočných príspevkov) a zhoršení východiskovej pozície kvôli dôsledkom pandémie </w:t>
            </w:r>
            <w:r w:rsidR="00D64816" w:rsidRPr="00887108">
              <w:rPr>
                <w:i/>
                <w:iCs/>
              </w:rPr>
              <w:t xml:space="preserve">sa zvýši </w:t>
            </w:r>
            <w:r w:rsidRPr="00887108">
              <w:rPr>
                <w:i/>
                <w:iCs/>
              </w:rPr>
              <w:t xml:space="preserve">riziko strednodobej aj dlhodobej udržateľnosti </w:t>
            </w:r>
            <w:r w:rsidR="00D64816" w:rsidRPr="00887108">
              <w:rPr>
                <w:i/>
                <w:iCs/>
              </w:rPr>
              <w:t xml:space="preserve">zo stredného na </w:t>
            </w:r>
            <w:r w:rsidRPr="00887108">
              <w:rPr>
                <w:i/>
                <w:iCs/>
              </w:rPr>
              <w:t>vysoké. Výdavky na dôchodky sa do roku 2070 zvýšia nad 14 % HDP, oproti súčasným menej ako 9</w:t>
            </w:r>
            <w:r w:rsidR="00D64816" w:rsidRPr="00887108">
              <w:rPr>
                <w:i/>
                <w:iCs/>
              </w:rPr>
              <w:t> </w:t>
            </w:r>
            <w:r w:rsidRPr="00887108">
              <w:rPr>
                <w:i/>
                <w:iCs/>
              </w:rPr>
              <w:t>% HDP. Naplnenie aktuálnej rozpočtovej stratégie Programu stability, znížením deficitu verejnej správy pod 3</w:t>
            </w:r>
            <w:r w:rsidR="003E0076" w:rsidRPr="00887108">
              <w:rPr>
                <w:i/>
                <w:iCs/>
              </w:rPr>
              <w:t xml:space="preserve"> </w:t>
            </w:r>
            <w:r w:rsidRPr="00887108">
              <w:rPr>
                <w:i/>
                <w:iCs/>
              </w:rPr>
              <w:t xml:space="preserve">% HDP do roku 2023, zredukuje riziká udržateľnosti bez zmien dôchodkového systému len mierne. </w:t>
            </w:r>
            <w:r w:rsidR="003973C7" w:rsidRPr="00887108">
              <w:rPr>
                <w:i/>
                <w:iCs/>
              </w:rPr>
              <w:t>V</w:t>
            </w:r>
            <w:r w:rsidRPr="00887108">
              <w:rPr>
                <w:i/>
                <w:iCs/>
              </w:rPr>
              <w:t>láda preto v </w:t>
            </w:r>
            <w:r w:rsidR="003973C7" w:rsidRPr="00887108">
              <w:rPr>
                <w:i/>
                <w:iCs/>
              </w:rPr>
              <w:t>súlade so svojím programovým vyhlásením prijme reformu dôchodkového systému na zlepšenie jeho udržateľnosti</w:t>
            </w:r>
            <w:r w:rsidRPr="00887108">
              <w:rPr>
                <w:i/>
                <w:iCs/>
              </w:rPr>
              <w:t xml:space="preserve">. V prvom pilieri sa posilní väzba dôchodkových výdavkov na demografický vývoj, zvýši sa spravodlivosť a transparentnosť systému. </w:t>
            </w:r>
            <w:r w:rsidR="003973C7" w:rsidRPr="00887108">
              <w:rPr>
                <w:i/>
                <w:iCs/>
              </w:rPr>
              <w:t xml:space="preserve">V druhom pilieri je prioritou zvýšenie výnosov </w:t>
            </w:r>
            <w:r w:rsidR="004B40B6" w:rsidRPr="00887108">
              <w:rPr>
                <w:i/>
                <w:iCs/>
              </w:rPr>
              <w:t xml:space="preserve">úspor </w:t>
            </w:r>
            <w:r w:rsidR="003973C7" w:rsidRPr="00887108">
              <w:rPr>
                <w:i/>
                <w:iCs/>
              </w:rPr>
              <w:t>dobre nastavenou investičnou politikou.</w:t>
            </w:r>
          </w:p>
        </w:tc>
      </w:tr>
    </w:tbl>
    <w:p w14:paraId="385CAFEA" w14:textId="77777777" w:rsidR="00204588" w:rsidRPr="00887108" w:rsidRDefault="00204588" w:rsidP="00204588">
      <w:pPr>
        <w:pStyle w:val="Nadpis2"/>
        <w:keepLines/>
        <w:numPr>
          <w:ilvl w:val="1"/>
          <w:numId w:val="2"/>
        </w:numPr>
        <w:spacing w:before="240" w:after="120" w:line="276" w:lineRule="auto"/>
        <w:rPr>
          <w:b/>
          <w:color w:val="2C9ADC"/>
          <w:szCs w:val="24"/>
        </w:rPr>
      </w:pPr>
      <w:bookmarkStart w:id="133" w:name="_Toc40181054"/>
      <w:r w:rsidRPr="00887108">
        <w:rPr>
          <w:b/>
          <w:color w:val="2C9ADC"/>
          <w:szCs w:val="28"/>
        </w:rPr>
        <w:t>Hodnotenie celkovej udržateľnosti verejných financií</w:t>
      </w:r>
      <w:bookmarkEnd w:id="133"/>
    </w:p>
    <w:p w14:paraId="57042888" w14:textId="67222649" w:rsidR="00204588" w:rsidRPr="00887108" w:rsidRDefault="00204588" w:rsidP="00204588">
      <w:pPr>
        <w:jc w:val="both"/>
      </w:pPr>
      <w:r w:rsidRPr="00887108">
        <w:rPr>
          <w:b/>
        </w:rPr>
        <w:t>Udržateľnosť verejných financií hodnotí očakávaný vplyv starnutia obyvateľstva v kontexte aktuálnej fiškálnej pozície a nastavenia politík.</w:t>
      </w:r>
      <w:r w:rsidRPr="00887108">
        <w:t xml:space="preserve"> Súčasné nastavenie politík (fiškálna pozícia, dôchodkový a zdravotný systém) by malo pri aktuálnej výške zadlženia a salda verejnej správy zabezpečiť dlhodobú udržateľnosť, tak aby sa dlh v základnom očakávanom scenári nekontrolovane nezvyšoval. Za účelom hodnotenia dlhodobej udržateľnosti EK aj MF SR používa základné indikátory udržateľnosti S1 (strednodobý horizont)  a S2 (dlhodobý horizont)</w:t>
      </w:r>
      <w:r w:rsidRPr="00887108">
        <w:rPr>
          <w:rStyle w:val="Odkaznapoznmkupodiarou"/>
          <w:lang w:val="sk-SK"/>
        </w:rPr>
        <w:footnoteReference w:id="55"/>
      </w:r>
      <w:r w:rsidRPr="00887108">
        <w:t>.</w:t>
      </w:r>
    </w:p>
    <w:p w14:paraId="5593D2C1" w14:textId="77777777" w:rsidR="00204588" w:rsidRPr="00887108" w:rsidRDefault="00204588" w:rsidP="00204588">
      <w:pPr>
        <w:jc w:val="both"/>
        <w:rPr>
          <w:b/>
          <w:highlight w:val="yellow"/>
        </w:rPr>
      </w:pPr>
    </w:p>
    <w:p w14:paraId="23091ECA" w14:textId="03EBA98E" w:rsidR="00204588" w:rsidRPr="00887108" w:rsidRDefault="00204588" w:rsidP="00204588">
      <w:pPr>
        <w:jc w:val="both"/>
      </w:pPr>
      <w:r w:rsidRPr="00887108">
        <w:rPr>
          <w:b/>
        </w:rPr>
        <w:t xml:space="preserve">Podľa odhadu MF SR sa po zohľadnení vplyvu najnovších opatrení </w:t>
      </w:r>
      <w:r w:rsidR="003973C7" w:rsidRPr="00887108">
        <w:rPr>
          <w:b/>
        </w:rPr>
        <w:t xml:space="preserve">v dôchodkovom systéme </w:t>
      </w:r>
      <w:r w:rsidRPr="00887108">
        <w:rPr>
          <w:b/>
        </w:rPr>
        <w:t xml:space="preserve">a efektov pandémie COVID19 posúvajú strednodobý indikátor </w:t>
      </w:r>
      <w:r w:rsidR="00927BAA">
        <w:rPr>
          <w:b/>
        </w:rPr>
        <w:t xml:space="preserve">udržateľnosti </w:t>
      </w:r>
      <w:r w:rsidRPr="00887108">
        <w:rPr>
          <w:b/>
        </w:rPr>
        <w:t xml:space="preserve">S1 aj dlhodobý S2 už do pásma vysokého rizika. </w:t>
      </w:r>
      <w:r w:rsidRPr="00887108">
        <w:t>MF SR pri hodnotení zapracova</w:t>
      </w:r>
      <w:r w:rsidR="003973C7" w:rsidRPr="00887108">
        <w:t>lo</w:t>
      </w:r>
      <w:r w:rsidRPr="00887108">
        <w:t xml:space="preserve"> </w:t>
      </w:r>
      <w:r w:rsidR="003973C7" w:rsidRPr="00887108">
        <w:t xml:space="preserve">všetky </w:t>
      </w:r>
      <w:r w:rsidRPr="00887108">
        <w:t>prijat</w:t>
      </w:r>
      <w:r w:rsidR="003973C7" w:rsidRPr="00887108">
        <w:t>é</w:t>
      </w:r>
      <w:r w:rsidRPr="00887108">
        <w:t xml:space="preserve"> zmen</w:t>
      </w:r>
      <w:r w:rsidR="003973C7" w:rsidRPr="00887108">
        <w:t>y</w:t>
      </w:r>
      <w:r w:rsidRPr="00887108">
        <w:t xml:space="preserve"> v dôchodkovom systéme</w:t>
      </w:r>
      <w:r w:rsidR="003E0076" w:rsidRPr="00887108">
        <w:t xml:space="preserve"> (viac </w:t>
      </w:r>
      <w:r w:rsidR="003E0076" w:rsidRPr="00FC0ACC">
        <w:rPr>
          <w:color w:val="2C9ADC" w:themeColor="accent1"/>
        </w:rPr>
        <w:t xml:space="preserve">BOX </w:t>
      </w:r>
      <w:r w:rsidR="00FC1EC4" w:rsidRPr="00FC0ACC">
        <w:rPr>
          <w:color w:val="2C9ADC" w:themeColor="accent1"/>
        </w:rPr>
        <w:t>5</w:t>
      </w:r>
      <w:r w:rsidR="003E0076" w:rsidRPr="00887108">
        <w:t>)</w:t>
      </w:r>
      <w:r w:rsidR="003973C7" w:rsidRPr="00887108">
        <w:t>,</w:t>
      </w:r>
      <w:r w:rsidR="003E0076" w:rsidRPr="00887108">
        <w:t xml:space="preserve"> </w:t>
      </w:r>
      <w:r w:rsidRPr="00887108">
        <w:t>ktoré zatiaľ neboli zohľadnené v pravidelnej aktualizácií dlhodobých projekcií výdavkov citlivých na starnutie (tzv. AWG projekcie). Aktuálne hodnotenie reflektuje východiskovú situáciu v roku 2021 podľa predpokladov Programu stability SR na roky 2020 až 2023</w:t>
      </w:r>
      <w:r w:rsidRPr="00887108">
        <w:rPr>
          <w:rStyle w:val="Odkaznapoznmkupodiarou"/>
          <w:lang w:val="sk-SK"/>
        </w:rPr>
        <w:footnoteReference w:id="56"/>
      </w:r>
      <w:r w:rsidR="001D7FBD" w:rsidRPr="00887108">
        <w:t xml:space="preserve"> (</w:t>
      </w:r>
      <w:r w:rsidR="001D7FBD" w:rsidRPr="00887108">
        <w:rPr>
          <w:color w:val="2C9ADC" w:themeColor="accent1"/>
        </w:rPr>
        <w:t>Príloha</w:t>
      </w:r>
      <w:r w:rsidRPr="00887108">
        <w:rPr>
          <w:color w:val="2C9ADC" w:themeColor="accent1"/>
        </w:rPr>
        <w:t xml:space="preserve"> </w:t>
      </w:r>
      <w:r w:rsidR="001D7FBD" w:rsidRPr="00887108">
        <w:rPr>
          <w:color w:val="2C9ADC" w:themeColor="accent1"/>
        </w:rPr>
        <w:t>7</w:t>
      </w:r>
      <w:r w:rsidRPr="00887108">
        <w:t>).</w:t>
      </w:r>
    </w:p>
    <w:p w14:paraId="2FEEFBB5" w14:textId="77777777" w:rsidR="00204588" w:rsidRPr="00887108" w:rsidRDefault="00204588" w:rsidP="00204588">
      <w:pPr>
        <w:jc w:val="both"/>
        <w:rPr>
          <w:b/>
        </w:rPr>
      </w:pPr>
    </w:p>
    <w:p w14:paraId="7E3B1DCD" w14:textId="77777777" w:rsidR="00204588" w:rsidRPr="00887108" w:rsidRDefault="00204588" w:rsidP="00204588">
      <w:pPr>
        <w:jc w:val="both"/>
        <w:rPr>
          <w:b/>
        </w:rPr>
      </w:pPr>
      <w:r w:rsidRPr="00887108">
        <w:rPr>
          <w:b/>
        </w:rPr>
        <w:t xml:space="preserve">V strednodobom výhľade zaznamenala udržateľnosť verejných financií výrazné zhoršenie. </w:t>
      </w:r>
      <w:r w:rsidRPr="00887108">
        <w:t>Ukazovateľ S1 aktuálne indikuje potrebnú konsolidáciu na úrovni 2,7 % HDP, teda približne 0,2 p.b nad stredným pásmom rizikovosti (v európskej metodike)</w:t>
      </w:r>
      <w:r w:rsidRPr="00887108">
        <w:rPr>
          <w:rStyle w:val="Odkaznapoznmkupodiarou"/>
          <w:lang w:val="sk-SK"/>
        </w:rPr>
        <w:footnoteReference w:id="57"/>
      </w:r>
      <w:r w:rsidRPr="00887108">
        <w:t>. Hlavným dôvodom negatívneho vývoja je najmä zhoršenie východiskovej fiškálnej pozície v roku 2021 a v menšej miere aj nárast dôchodkových výdavkov. V porovnaní s predchádzajúcim hodnotením sa tak riziká udržateľnosti dostali z pásma nízkeho rizika až za hranicu vysokého rizika. Pri splnení rozpočtových cieľov do roku 2023 sa potreba úsporných opatrení zmierni na 1,9 % HDP a S1 tak dosiahne stredné riziká. Potrebné opatrenia na udržanie dlhu pod dolným sankčným pásmom národnej dlhovej brzdy (40 % HDP) sú približne dvojnásobné, na úrovni 4,7 % HDP resp. 3,8 % (pásmo vysokého rizika).</w:t>
      </w:r>
    </w:p>
    <w:p w14:paraId="3CF33384" w14:textId="77777777" w:rsidR="00204588" w:rsidRPr="00887108" w:rsidRDefault="00204588" w:rsidP="00204588">
      <w:pPr>
        <w:jc w:val="both"/>
      </w:pPr>
    </w:p>
    <w:p w14:paraId="3F6C691D" w14:textId="1590F42C" w:rsidR="00204588" w:rsidRPr="00887108" w:rsidRDefault="00204588" w:rsidP="00204588">
      <w:pPr>
        <w:jc w:val="both"/>
      </w:pPr>
      <w:r w:rsidRPr="00887108">
        <w:rPr>
          <w:b/>
        </w:rPr>
        <w:t xml:space="preserve">Posun do pásma vysokého rizika udržateľnosti je v dlhodobom výhľade ešte výraznejší. </w:t>
      </w:r>
      <w:r w:rsidRPr="00887108">
        <w:t>Indikátor dlhodobej udržateľnosti S2 dosahuje pre rok 2021 potrebu prijatia trvalých opatrení vo výške 8,4 % HDP. Okrem zhoršenia rozpočtových predpokladov sa v tomto prípade vo väčšej miere prejavuje aj očakávaný nárast výdavkov na zabezpečenie dôchodkového systému v dlhodobom horizonte. Indikátor S2 je výrazne ovplyvnený rastom výdavkov citlivých na starnutie obyvateľstva, ktorý je citeľný najmä za strednodobým horizontom. Po splnení rozpočtových cieľov do roku 2023 podľa požiadaviek Paktu stability a rastu sa indikátor S2 zmierni na 7,6 % HDP a zostane naďalej v pásme vysokého rizika. </w:t>
      </w:r>
    </w:p>
    <w:p w14:paraId="25487C7A" w14:textId="77777777" w:rsidR="003973C7" w:rsidRPr="00887108" w:rsidRDefault="003973C7" w:rsidP="00204588">
      <w:pPr>
        <w:jc w:val="both"/>
      </w:pPr>
    </w:p>
    <w:p w14:paraId="68DC0D6A" w14:textId="0831580E" w:rsidR="003973C7" w:rsidRPr="00887108" w:rsidRDefault="003973C7" w:rsidP="00204588">
      <w:pPr>
        <w:jc w:val="both"/>
      </w:pPr>
      <w:r w:rsidRPr="00887108">
        <w:rPr>
          <w:color w:val="2C9ADC" w:themeColor="accent1"/>
        </w:rPr>
        <w:t>Hodnotenie Európskej komisie z januára 2020</w:t>
      </w:r>
      <w:r w:rsidRPr="00887108">
        <w:rPr>
          <w:rStyle w:val="Odkaznapoznmkupodiarou"/>
          <w:lang w:val="sk-SK"/>
        </w:rPr>
        <w:footnoteReference w:id="58"/>
      </w:r>
      <w:r w:rsidRPr="00887108">
        <w:t xml:space="preserve"> ukazuje tak ako predošlý rok nízke riziko udržateľnosti verejných financií v strednodobom horizonte (S1) a stredné riziko v dlhodobom horizonte (S2).</w:t>
      </w:r>
      <w:r w:rsidRPr="00887108">
        <w:rPr>
          <w:b/>
        </w:rPr>
        <w:t xml:space="preserve"> </w:t>
      </w:r>
      <w:r w:rsidRPr="00887108">
        <w:t xml:space="preserve">Napriek rovnakému kvalitatívnemu hodnoteniu EK identifikovala zhoršenie hodnôt oboch indikátorov spôsobené nepriaznivejšou aktuálnou pozíciou bilancie príjmov a výdavkov vo východiskovom roku </w:t>
      </w:r>
      <w:r w:rsidRPr="00887108">
        <w:rPr>
          <w:color w:val="000000" w:themeColor="text1"/>
        </w:rPr>
        <w:t>(</w:t>
      </w:r>
      <w:r w:rsidRPr="00887108">
        <w:rPr>
          <w:color w:val="2C9ADC" w:themeColor="accent1"/>
        </w:rPr>
        <w:t>Príloha 8</w:t>
      </w:r>
      <w:r w:rsidRPr="00887108">
        <w:t>).</w:t>
      </w:r>
      <w:r w:rsidRPr="00887108">
        <w:rPr>
          <w:b/>
        </w:rPr>
        <w:t xml:space="preserve"> </w:t>
      </w:r>
      <w:r w:rsidRPr="00887108">
        <w:t>Hodnotenie EK však ešte neuvažuje s novými schválenými opatreniami po poslednom kole projekcií výdavkov citlivých na starnutie z roku 2018. Ide najmä o zavedenie stropu pre vek odchodu do dôchodku, rozšírenie minimálnych dôchodkov</w:t>
      </w:r>
      <w:r w:rsidRPr="00887108">
        <w:rPr>
          <w:rStyle w:val="Odkaznapoznmkupodiarou"/>
          <w:lang w:val="sk-SK"/>
        </w:rPr>
        <w:footnoteReference w:id="59"/>
      </w:r>
      <w:r w:rsidRPr="00887108">
        <w:t xml:space="preserve"> a vyplácanie pravidelných13-tych dôchodkov</w:t>
      </w:r>
      <w:r w:rsidRPr="00887108">
        <w:rPr>
          <w:rStyle w:val="Odkaznapoznmkupodiarou"/>
          <w:lang w:val="sk-SK"/>
        </w:rPr>
        <w:footnoteReference w:id="60"/>
      </w:r>
      <w:r w:rsidRPr="00887108">
        <w:t>.</w:t>
      </w:r>
    </w:p>
    <w:p w14:paraId="3D094970" w14:textId="77777777" w:rsidR="00204588" w:rsidRPr="00887108" w:rsidRDefault="00204588" w:rsidP="00204588">
      <w:pPr>
        <w:pStyle w:val="Default"/>
        <w:jc w:val="both"/>
        <w:rPr>
          <w:rFonts w:ascii="Arial Narrow" w:hAnsi="Arial Narrow"/>
          <w:sz w:val="22"/>
          <w:szCs w:val="22"/>
          <w:highlight w:val="yellow"/>
          <w:lang w:val="sk-SK"/>
        </w:rPr>
      </w:pPr>
      <w:r w:rsidRPr="00887108">
        <w:rPr>
          <w:rFonts w:ascii="Arial Narrow" w:hAnsi="Arial Narrow"/>
          <w:sz w:val="22"/>
          <w:szCs w:val="22"/>
          <w:highlight w:val="yellow"/>
          <w:lang w:val="sk-SK"/>
        </w:rPr>
        <w:t xml:space="preserve"> </w:t>
      </w:r>
    </w:p>
    <w:tbl>
      <w:tblPr>
        <w:tblW w:w="5098"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479"/>
        <w:gridCol w:w="187"/>
        <w:gridCol w:w="24"/>
        <w:gridCol w:w="150"/>
        <w:gridCol w:w="4408"/>
      </w:tblGrid>
      <w:tr w:rsidR="00204588" w:rsidRPr="00887108" w14:paraId="023FC972" w14:textId="77777777" w:rsidTr="00204588">
        <w:trPr>
          <w:trHeight w:val="170"/>
          <w:jc w:val="center"/>
        </w:trPr>
        <w:tc>
          <w:tcPr>
            <w:tcW w:w="2422" w:type="pct"/>
            <w:tcBorders>
              <w:top w:val="nil"/>
              <w:left w:val="nil"/>
              <w:bottom w:val="single" w:sz="8" w:space="0" w:color="auto"/>
              <w:right w:val="nil"/>
            </w:tcBorders>
            <w:shd w:val="clear" w:color="auto" w:fill="auto"/>
            <w:vAlign w:val="center"/>
          </w:tcPr>
          <w:p w14:paraId="2853279A" w14:textId="26BE32E9" w:rsidR="00204588" w:rsidRPr="00887108" w:rsidRDefault="00204588" w:rsidP="00204588">
            <w:pPr>
              <w:pStyle w:val="Nadpis3"/>
              <w:rPr>
                <w:rFonts w:eastAsiaTheme="minorHAnsi"/>
                <w:color w:val="2C9ADC"/>
                <w:szCs w:val="20"/>
                <w:lang w:eastAsia="en-US"/>
              </w:rPr>
            </w:pPr>
            <w:bookmarkStart w:id="134" w:name="_Toc40181272"/>
            <w:r w:rsidRPr="00887108">
              <w:rPr>
                <w:rFonts w:eastAsiaTheme="minorHAnsi"/>
                <w:color w:val="2C9ADC"/>
                <w:lang w:eastAsia="en-US"/>
              </w:rPr>
              <w:t xml:space="preserve">GRAF </w:t>
            </w:r>
            <w:r w:rsidRPr="00887108">
              <w:rPr>
                <w:rFonts w:eastAsiaTheme="minorHAnsi"/>
                <w:color w:val="2C9ADC"/>
                <w:lang w:eastAsia="en-US"/>
              </w:rPr>
              <w:fldChar w:fldCharType="begin"/>
            </w:r>
            <w:r w:rsidRPr="00887108">
              <w:rPr>
                <w:rFonts w:eastAsiaTheme="minorHAnsi"/>
                <w:color w:val="2C9ADC"/>
                <w:lang w:eastAsia="en-US"/>
              </w:rPr>
              <w:instrText xml:space="preserve"> SEQ GRAF \* ARABIC </w:instrText>
            </w:r>
            <w:r w:rsidRPr="00887108">
              <w:rPr>
                <w:rFonts w:eastAsiaTheme="minorHAnsi"/>
                <w:color w:val="2C9ADC"/>
                <w:lang w:eastAsia="en-US"/>
              </w:rPr>
              <w:fldChar w:fldCharType="separate"/>
            </w:r>
            <w:r w:rsidR="00D47A36">
              <w:rPr>
                <w:rFonts w:eastAsiaTheme="minorHAnsi"/>
                <w:noProof/>
                <w:color w:val="2C9ADC"/>
                <w:lang w:eastAsia="en-US"/>
              </w:rPr>
              <w:t>21</w:t>
            </w:r>
            <w:r w:rsidRPr="00887108">
              <w:rPr>
                <w:rFonts w:eastAsiaTheme="minorHAnsi"/>
                <w:color w:val="2C9ADC"/>
                <w:lang w:eastAsia="en-US"/>
              </w:rPr>
              <w:fldChar w:fldCharType="end"/>
            </w:r>
            <w:r w:rsidRPr="00887108">
              <w:rPr>
                <w:rFonts w:eastAsiaTheme="minorHAnsi"/>
                <w:color w:val="2C9ADC"/>
                <w:szCs w:val="20"/>
                <w:lang w:eastAsia="en-US"/>
              </w:rPr>
              <w:t xml:space="preserve"> - Strednodobá udržateľnosť S1 (EK, MF SR % HDP)*</w:t>
            </w:r>
            <w:bookmarkEnd w:id="134"/>
          </w:p>
        </w:tc>
        <w:tc>
          <w:tcPr>
            <w:tcW w:w="114" w:type="pct"/>
            <w:gridSpan w:val="2"/>
            <w:tcBorders>
              <w:top w:val="nil"/>
              <w:left w:val="nil"/>
              <w:bottom w:val="nil"/>
              <w:right w:val="nil"/>
            </w:tcBorders>
            <w:shd w:val="clear" w:color="auto" w:fill="auto"/>
            <w:vAlign w:val="center"/>
          </w:tcPr>
          <w:p w14:paraId="19231797" w14:textId="77777777" w:rsidR="00204588" w:rsidRPr="00887108" w:rsidRDefault="00204588" w:rsidP="00204588">
            <w:pPr>
              <w:rPr>
                <w:rFonts w:cs="Arial"/>
                <w:b/>
                <w:color w:val="2C9ADC"/>
                <w:sz w:val="20"/>
                <w:szCs w:val="20"/>
              </w:rPr>
            </w:pPr>
          </w:p>
        </w:tc>
        <w:tc>
          <w:tcPr>
            <w:tcW w:w="2464" w:type="pct"/>
            <w:gridSpan w:val="2"/>
            <w:tcBorders>
              <w:top w:val="nil"/>
              <w:left w:val="nil"/>
              <w:bottom w:val="single" w:sz="8" w:space="0" w:color="auto"/>
              <w:right w:val="nil"/>
            </w:tcBorders>
            <w:shd w:val="clear" w:color="auto" w:fill="auto"/>
            <w:vAlign w:val="center"/>
          </w:tcPr>
          <w:p w14:paraId="724CAAC2" w14:textId="437339A5" w:rsidR="00204588" w:rsidRPr="00887108" w:rsidRDefault="00204588" w:rsidP="00204588">
            <w:pPr>
              <w:pStyle w:val="Nadpis3"/>
              <w:rPr>
                <w:rFonts w:eastAsiaTheme="minorHAnsi"/>
                <w:color w:val="2C9ADC"/>
                <w:szCs w:val="20"/>
                <w:lang w:eastAsia="en-US"/>
              </w:rPr>
            </w:pPr>
            <w:bookmarkStart w:id="135" w:name="_Toc40181273"/>
            <w:r w:rsidRPr="00887108">
              <w:rPr>
                <w:rFonts w:eastAsiaTheme="minorHAnsi"/>
                <w:color w:val="2C9ADC"/>
                <w:lang w:eastAsia="en-US"/>
              </w:rPr>
              <w:t xml:space="preserve">GRAF </w:t>
            </w:r>
            <w:r w:rsidRPr="00887108">
              <w:rPr>
                <w:rFonts w:eastAsiaTheme="minorHAnsi"/>
                <w:color w:val="2C9ADC"/>
                <w:lang w:eastAsia="en-US"/>
              </w:rPr>
              <w:fldChar w:fldCharType="begin"/>
            </w:r>
            <w:r w:rsidRPr="00887108">
              <w:rPr>
                <w:rFonts w:eastAsiaTheme="minorHAnsi"/>
                <w:color w:val="2C9ADC"/>
                <w:lang w:eastAsia="en-US"/>
              </w:rPr>
              <w:instrText xml:space="preserve"> SEQ GRAF \* ARABIC </w:instrText>
            </w:r>
            <w:r w:rsidRPr="00887108">
              <w:rPr>
                <w:rFonts w:eastAsiaTheme="minorHAnsi"/>
                <w:color w:val="2C9ADC"/>
                <w:lang w:eastAsia="en-US"/>
              </w:rPr>
              <w:fldChar w:fldCharType="separate"/>
            </w:r>
            <w:r w:rsidR="00D47A36">
              <w:rPr>
                <w:rFonts w:eastAsiaTheme="minorHAnsi"/>
                <w:noProof/>
                <w:color w:val="2C9ADC"/>
                <w:lang w:eastAsia="en-US"/>
              </w:rPr>
              <w:t>22</w:t>
            </w:r>
            <w:r w:rsidRPr="00887108">
              <w:rPr>
                <w:rFonts w:eastAsiaTheme="minorHAnsi"/>
                <w:color w:val="2C9ADC"/>
                <w:lang w:eastAsia="en-US"/>
              </w:rPr>
              <w:fldChar w:fldCharType="end"/>
            </w:r>
            <w:r w:rsidRPr="00887108">
              <w:rPr>
                <w:rFonts w:eastAsiaTheme="minorHAnsi"/>
                <w:color w:val="2C9ADC"/>
                <w:szCs w:val="20"/>
                <w:lang w:eastAsia="en-US"/>
              </w:rPr>
              <w:t xml:space="preserve"> - Dlhodobá udržateľnosť S2 (EK, MF SR % HDP)*</w:t>
            </w:r>
            <w:bookmarkEnd w:id="135"/>
          </w:p>
        </w:tc>
      </w:tr>
      <w:tr w:rsidR="00204588" w:rsidRPr="00887108" w14:paraId="064389E8" w14:textId="77777777" w:rsidTr="00204588">
        <w:trPr>
          <w:trHeight w:val="2883"/>
          <w:jc w:val="center"/>
        </w:trPr>
        <w:tc>
          <w:tcPr>
            <w:tcW w:w="2523" w:type="pct"/>
            <w:gridSpan w:val="2"/>
            <w:tcBorders>
              <w:top w:val="single" w:sz="8" w:space="0" w:color="auto"/>
              <w:left w:val="nil"/>
              <w:bottom w:val="single" w:sz="4" w:space="0" w:color="auto"/>
              <w:right w:val="nil"/>
            </w:tcBorders>
            <w:vAlign w:val="center"/>
          </w:tcPr>
          <w:p w14:paraId="641FBC5B" w14:textId="77777777" w:rsidR="00204588" w:rsidRPr="00887108" w:rsidRDefault="00204588" w:rsidP="00204588">
            <w:pPr>
              <w:spacing w:before="40" w:after="40"/>
              <w:rPr>
                <w:rFonts w:cs="Arial"/>
                <w:b/>
                <w:sz w:val="16"/>
                <w:szCs w:val="16"/>
                <w:highlight w:val="yellow"/>
              </w:rPr>
            </w:pPr>
            <w:r w:rsidRPr="00887108">
              <w:drawing>
                <wp:inline distT="0" distB="0" distL="0" distR="0" wp14:anchorId="6FAA78C5" wp14:editId="0D348286">
                  <wp:extent cx="2820837" cy="1974850"/>
                  <wp:effectExtent l="0" t="0" r="0" b="635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94" w:type="pct"/>
            <w:gridSpan w:val="2"/>
            <w:tcBorders>
              <w:top w:val="nil"/>
              <w:left w:val="nil"/>
              <w:bottom w:val="nil"/>
              <w:right w:val="nil"/>
            </w:tcBorders>
            <w:vAlign w:val="center"/>
          </w:tcPr>
          <w:p w14:paraId="3089D3C4" w14:textId="77777777" w:rsidR="00204588" w:rsidRPr="00887108" w:rsidRDefault="00204588" w:rsidP="00204588">
            <w:pPr>
              <w:spacing w:before="40" w:after="40"/>
              <w:jc w:val="center"/>
              <w:rPr>
                <w:rFonts w:cs="Arial"/>
                <w:b/>
                <w:sz w:val="20"/>
                <w:szCs w:val="20"/>
                <w:highlight w:val="yellow"/>
              </w:rPr>
            </w:pPr>
          </w:p>
        </w:tc>
        <w:tc>
          <w:tcPr>
            <w:tcW w:w="2383" w:type="pct"/>
            <w:tcBorders>
              <w:top w:val="single" w:sz="8" w:space="0" w:color="auto"/>
              <w:left w:val="nil"/>
              <w:bottom w:val="single" w:sz="4" w:space="0" w:color="auto"/>
              <w:right w:val="nil"/>
            </w:tcBorders>
            <w:vAlign w:val="center"/>
          </w:tcPr>
          <w:p w14:paraId="328DD57A" w14:textId="77777777" w:rsidR="00204588" w:rsidRPr="00887108" w:rsidRDefault="00204588" w:rsidP="00204588">
            <w:pPr>
              <w:spacing w:before="40" w:after="40"/>
              <w:rPr>
                <w:rFonts w:cs="Arial"/>
                <w:b/>
                <w:sz w:val="16"/>
                <w:szCs w:val="16"/>
                <w:highlight w:val="yellow"/>
              </w:rPr>
            </w:pPr>
            <w:r w:rsidRPr="00887108">
              <w:drawing>
                <wp:inline distT="0" distB="0" distL="0" distR="0" wp14:anchorId="564CBD06" wp14:editId="2E1EF71A">
                  <wp:extent cx="2812211" cy="1940560"/>
                  <wp:effectExtent l="0" t="0" r="7620" b="254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204588" w:rsidRPr="00887108" w14:paraId="0D639962" w14:textId="77777777" w:rsidTr="00204588">
        <w:trPr>
          <w:trHeight w:val="170"/>
          <w:jc w:val="center"/>
        </w:trPr>
        <w:tc>
          <w:tcPr>
            <w:tcW w:w="2422" w:type="pct"/>
            <w:tcBorders>
              <w:top w:val="single" w:sz="4" w:space="0" w:color="auto"/>
              <w:left w:val="nil"/>
              <w:bottom w:val="nil"/>
              <w:right w:val="nil"/>
            </w:tcBorders>
            <w:shd w:val="clear" w:color="auto" w:fill="auto"/>
            <w:vAlign w:val="center"/>
          </w:tcPr>
          <w:p w14:paraId="680E41ED" w14:textId="77777777" w:rsidR="00204588" w:rsidRPr="00887108" w:rsidRDefault="00204588" w:rsidP="00204588">
            <w:pPr>
              <w:spacing w:before="40"/>
              <w:jc w:val="right"/>
              <w:rPr>
                <w:rFonts w:cs="Arial"/>
                <w:i/>
                <w:sz w:val="16"/>
                <w:szCs w:val="16"/>
              </w:rPr>
            </w:pPr>
            <w:r w:rsidRPr="00887108">
              <w:rPr>
                <w:rFonts w:cs="Arial"/>
                <w:i/>
                <w:sz w:val="16"/>
                <w:szCs w:val="16"/>
              </w:rPr>
              <w:t>Zdroj: EK, MF SR</w:t>
            </w:r>
          </w:p>
        </w:tc>
        <w:tc>
          <w:tcPr>
            <w:tcW w:w="114" w:type="pct"/>
            <w:gridSpan w:val="2"/>
            <w:tcBorders>
              <w:top w:val="nil"/>
              <w:left w:val="nil"/>
              <w:bottom w:val="nil"/>
              <w:right w:val="nil"/>
            </w:tcBorders>
            <w:shd w:val="clear" w:color="auto" w:fill="auto"/>
            <w:vAlign w:val="center"/>
          </w:tcPr>
          <w:p w14:paraId="0604073B" w14:textId="77777777" w:rsidR="00204588" w:rsidRPr="00887108" w:rsidRDefault="00204588" w:rsidP="00204588">
            <w:pPr>
              <w:spacing w:before="40"/>
              <w:jc w:val="center"/>
              <w:rPr>
                <w:rFonts w:cs="Arial"/>
                <w:i/>
                <w:sz w:val="16"/>
                <w:szCs w:val="16"/>
              </w:rPr>
            </w:pPr>
          </w:p>
        </w:tc>
        <w:tc>
          <w:tcPr>
            <w:tcW w:w="2464" w:type="pct"/>
            <w:gridSpan w:val="2"/>
            <w:tcBorders>
              <w:top w:val="single" w:sz="4" w:space="0" w:color="auto"/>
              <w:left w:val="nil"/>
              <w:bottom w:val="nil"/>
              <w:right w:val="nil"/>
            </w:tcBorders>
            <w:shd w:val="clear" w:color="auto" w:fill="auto"/>
            <w:vAlign w:val="center"/>
          </w:tcPr>
          <w:p w14:paraId="639605A6" w14:textId="77777777" w:rsidR="00204588" w:rsidRPr="00887108" w:rsidRDefault="00204588" w:rsidP="00204588">
            <w:pPr>
              <w:spacing w:before="40"/>
              <w:jc w:val="right"/>
              <w:rPr>
                <w:rFonts w:cs="Arial"/>
                <w:i/>
                <w:sz w:val="16"/>
                <w:szCs w:val="16"/>
              </w:rPr>
            </w:pPr>
            <w:r w:rsidRPr="00887108">
              <w:rPr>
                <w:rFonts w:cs="Arial"/>
                <w:i/>
                <w:sz w:val="16"/>
                <w:szCs w:val="16"/>
              </w:rPr>
              <w:t>Zdroj: EK, MF SR</w:t>
            </w:r>
          </w:p>
        </w:tc>
      </w:tr>
    </w:tbl>
    <w:p w14:paraId="4100038B" w14:textId="35EB7909" w:rsidR="00204588" w:rsidRPr="00887108" w:rsidRDefault="00204588" w:rsidP="00204588">
      <w:pPr>
        <w:spacing w:before="120"/>
        <w:jc w:val="both"/>
        <w:rPr>
          <w:i/>
          <w:sz w:val="16"/>
          <w:szCs w:val="16"/>
        </w:rPr>
      </w:pPr>
      <w:r w:rsidRPr="00887108">
        <w:rPr>
          <w:i/>
          <w:sz w:val="16"/>
          <w:szCs w:val="16"/>
        </w:rPr>
        <w:t>* Uvedené roky na grafoch prezentujú východiskový rok pre hodnotenie udržateľnosti. Metodika a podkladové údaje k zostaveniu vývoja indikátorov S1 a S2 sú uvedené v </w:t>
      </w:r>
      <w:r w:rsidRPr="00887108">
        <w:rPr>
          <w:i/>
          <w:color w:val="2C9ADC" w:themeColor="accent1"/>
          <w:sz w:val="16"/>
          <w:szCs w:val="16"/>
        </w:rPr>
        <w:t xml:space="preserve">Prílohe </w:t>
      </w:r>
      <w:r w:rsidR="001D7FBD" w:rsidRPr="00887108">
        <w:rPr>
          <w:i/>
          <w:color w:val="2C9ADC" w:themeColor="accent1"/>
          <w:sz w:val="16"/>
          <w:szCs w:val="16"/>
        </w:rPr>
        <w:t>7</w:t>
      </w:r>
      <w:r w:rsidRPr="00887108">
        <w:rPr>
          <w:i/>
          <w:color w:val="000000" w:themeColor="text1"/>
          <w:sz w:val="16"/>
          <w:szCs w:val="16"/>
        </w:rPr>
        <w:t>.</w:t>
      </w:r>
      <w:r w:rsidRPr="00887108">
        <w:rPr>
          <w:i/>
          <w:color w:val="2C9ADC" w:themeColor="accent1"/>
          <w:sz w:val="16"/>
          <w:szCs w:val="16"/>
        </w:rPr>
        <w:t xml:space="preserve"> </w:t>
      </w:r>
      <w:r w:rsidRPr="00887108">
        <w:rPr>
          <w:i/>
          <w:sz w:val="16"/>
          <w:szCs w:val="16"/>
        </w:rPr>
        <w:t>Indikátor EK zatiaľ nezohľadňuje opatrenia schválené po poslednom kole projekcií pracovnej skupiny AWG v roku 2018. Údaje z Programu stability zohľadňujú nové opatrenia v dôchodkovom systéme.</w:t>
      </w:r>
    </w:p>
    <w:p w14:paraId="3894B527" w14:textId="77777777" w:rsidR="00204588" w:rsidRPr="00887108" w:rsidRDefault="00204588" w:rsidP="00204588">
      <w:pPr>
        <w:spacing w:before="120"/>
        <w:jc w:val="both"/>
        <w:rPr>
          <w:i/>
          <w:sz w:val="16"/>
          <w:szCs w:val="16"/>
        </w:rPr>
      </w:pPr>
    </w:p>
    <w:p w14:paraId="3BF661D9" w14:textId="6B1B49D6" w:rsidR="00204588" w:rsidRPr="00887108" w:rsidRDefault="00204588" w:rsidP="00204588">
      <w:pPr>
        <w:jc w:val="both"/>
      </w:pPr>
      <w:r w:rsidRPr="00887108">
        <w:rPr>
          <w:b/>
        </w:rPr>
        <w:t>Na dosiahnutie hranice blízko nízkeho rizik</w:t>
      </w:r>
      <w:r w:rsidR="00382D86" w:rsidRPr="00887108">
        <w:rPr>
          <w:b/>
        </w:rPr>
        <w:t>a</w:t>
      </w:r>
      <w:r w:rsidRPr="00887108">
        <w:rPr>
          <w:b/>
        </w:rPr>
        <w:t xml:space="preserve"> udržateľnosti bude potrebná kombinácia reforiem dôchodkového systému s ďalšími </w:t>
      </w:r>
      <w:r w:rsidR="00987C6C" w:rsidRPr="00887108">
        <w:rPr>
          <w:b/>
        </w:rPr>
        <w:t>štrukturálnymi</w:t>
      </w:r>
      <w:r w:rsidRPr="00887108">
        <w:rPr>
          <w:b/>
        </w:rPr>
        <w:t xml:space="preserve"> reformami a tiež </w:t>
      </w:r>
      <w:r w:rsidR="003973C7" w:rsidRPr="00887108">
        <w:rPr>
          <w:b/>
        </w:rPr>
        <w:t xml:space="preserve">postupné </w:t>
      </w:r>
      <w:r w:rsidRPr="00887108">
        <w:rPr>
          <w:b/>
        </w:rPr>
        <w:t xml:space="preserve">výraznejšie </w:t>
      </w:r>
      <w:r w:rsidR="003973C7" w:rsidRPr="00887108">
        <w:rPr>
          <w:b/>
        </w:rPr>
        <w:t xml:space="preserve">deficitu verejných financií </w:t>
      </w:r>
      <w:r w:rsidR="003973C7" w:rsidRPr="00887108">
        <w:t>(počiatočnej pozície)</w:t>
      </w:r>
      <w:r w:rsidRPr="00887108">
        <w:rPr>
          <w:b/>
        </w:rPr>
        <w:t xml:space="preserve">. </w:t>
      </w:r>
      <w:r w:rsidRPr="00887108">
        <w:t xml:space="preserve">Dlhodobá udržateľnosť ostane vo výraznom riziku, aj ak sa zrušia viaceré z opatrení minulých rokoch. </w:t>
      </w:r>
      <w:r w:rsidR="004B40B6" w:rsidRPr="00887108">
        <w:t xml:space="preserve">Aj za predpokladu </w:t>
      </w:r>
      <w:r w:rsidRPr="00887108">
        <w:t xml:space="preserve">dôchodkového systému </w:t>
      </w:r>
      <w:r w:rsidR="004B40B6" w:rsidRPr="00887108">
        <w:t>v</w:t>
      </w:r>
      <w:r w:rsidRPr="00887108">
        <w:t xml:space="preserve"> stav</w:t>
      </w:r>
      <w:r w:rsidR="004B40B6" w:rsidRPr="00887108">
        <w:t>e</w:t>
      </w:r>
      <w:r w:rsidRPr="00887108">
        <w:t xml:space="preserve"> spred dvoch rokov (</w:t>
      </w:r>
      <w:r w:rsidR="004B40B6" w:rsidRPr="00887108">
        <w:t>pred zavedením stropu</w:t>
      </w:r>
      <w:r w:rsidRPr="00887108">
        <w:t xml:space="preserve"> dôchodkov</w:t>
      </w:r>
      <w:r w:rsidR="004B40B6" w:rsidRPr="00887108">
        <w:t>ého</w:t>
      </w:r>
      <w:r w:rsidRPr="00887108">
        <w:t xml:space="preserve"> </w:t>
      </w:r>
      <w:r w:rsidR="004B40B6" w:rsidRPr="00887108">
        <w:t>veku</w:t>
      </w:r>
      <w:r w:rsidRPr="00887108">
        <w:t>, rozšíren</w:t>
      </w:r>
      <w:r w:rsidR="004B40B6" w:rsidRPr="00887108">
        <w:t>ím</w:t>
      </w:r>
      <w:r w:rsidRPr="00887108">
        <w:t xml:space="preserve"> minimálnych dôchodkoch a 13-tych dôchodkov) </w:t>
      </w:r>
      <w:r w:rsidR="004B40B6" w:rsidRPr="00887108">
        <w:t>by bol</w:t>
      </w:r>
      <w:r w:rsidRPr="00887108">
        <w:t xml:space="preserve"> S2 </w:t>
      </w:r>
      <w:r w:rsidR="004B40B6" w:rsidRPr="00887108">
        <w:t xml:space="preserve">ukazovateľ nižší </w:t>
      </w:r>
      <w:r w:rsidRPr="00887108">
        <w:t>len o 2,5 p.b.</w:t>
      </w:r>
      <w:r w:rsidR="004B40B6" w:rsidRPr="00887108">
        <w:t>, teda stále na hranici vysokého rizika.</w:t>
      </w:r>
      <w:r w:rsidRPr="00887108">
        <w:t xml:space="preserve"> </w:t>
      </w:r>
      <w:r w:rsidR="007D5DC4" w:rsidRPr="00887108">
        <w:t>Z</w:t>
      </w:r>
      <w:r w:rsidRPr="00887108">
        <w:t xml:space="preserve"> tohto hľadiska </w:t>
      </w:r>
      <w:r w:rsidR="007D5DC4" w:rsidRPr="00887108">
        <w:t xml:space="preserve">je </w:t>
      </w:r>
      <w:r w:rsidR="004B40B6" w:rsidRPr="00887108">
        <w:t xml:space="preserve">potrebné </w:t>
      </w:r>
      <w:r w:rsidRPr="00887108">
        <w:t xml:space="preserve">aj zníženie štrukturálneho deficitu, ktorý po koronakríze </w:t>
      </w:r>
      <w:r w:rsidR="00FF3704" w:rsidRPr="00887108">
        <w:t xml:space="preserve">ostane </w:t>
      </w:r>
      <w:r w:rsidRPr="00887108">
        <w:t>bez aktívnych úsporných opatrení vysoký</w:t>
      </w:r>
      <w:r w:rsidR="00246B98" w:rsidRPr="00887108">
        <w:t>.</w:t>
      </w:r>
    </w:p>
    <w:p w14:paraId="7614A303" w14:textId="77777777" w:rsidR="00204588" w:rsidRPr="00887108" w:rsidRDefault="00204588" w:rsidP="00204588">
      <w:pPr>
        <w:spacing w:before="120"/>
        <w:jc w:val="both"/>
        <w:rPr>
          <w:i/>
          <w:sz w:val="16"/>
          <w:szCs w:val="16"/>
        </w:rPr>
      </w:pPr>
    </w:p>
    <w:p w14:paraId="7B394C34" w14:textId="4CBCDB18" w:rsidR="00204588" w:rsidRPr="00887108" w:rsidRDefault="00683A4A" w:rsidP="008B7BBA">
      <w:pPr>
        <w:pStyle w:val="Nadpis3"/>
      </w:pPr>
      <w:bookmarkStart w:id="136" w:name="_Toc40186687"/>
      <w:r w:rsidRPr="00887108">
        <w:rPr>
          <w:rFonts w:eastAsiaTheme="minorHAnsi"/>
          <w:color w:val="2C9ADC" w:themeColor="accent1"/>
          <w:sz w:val="18"/>
          <w:szCs w:val="18"/>
          <w:lang w:eastAsia="en-US"/>
        </w:rPr>
        <w:t xml:space="preserve">TABUĽKA </w:t>
      </w:r>
      <w:r w:rsidRPr="00887108">
        <w:rPr>
          <w:rFonts w:eastAsiaTheme="minorHAnsi"/>
          <w:color w:val="2C9ADC" w:themeColor="accent1"/>
          <w:sz w:val="18"/>
          <w:szCs w:val="18"/>
          <w:lang w:eastAsia="en-US"/>
        </w:rPr>
        <w:fldChar w:fldCharType="begin"/>
      </w:r>
      <w:r w:rsidRPr="00887108">
        <w:rPr>
          <w:rFonts w:eastAsiaTheme="minorHAnsi"/>
          <w:color w:val="2C9ADC" w:themeColor="accent1"/>
          <w:sz w:val="18"/>
          <w:szCs w:val="18"/>
          <w:lang w:eastAsia="en-US"/>
        </w:rPr>
        <w:instrText xml:space="preserve"> SEQ TABUĽKA \* ARABIC </w:instrText>
      </w:r>
      <w:r w:rsidRPr="00887108">
        <w:rPr>
          <w:rFonts w:eastAsiaTheme="minorHAnsi"/>
          <w:color w:val="2C9ADC" w:themeColor="accent1"/>
          <w:sz w:val="18"/>
          <w:szCs w:val="18"/>
          <w:lang w:eastAsia="en-US"/>
        </w:rPr>
        <w:fldChar w:fldCharType="separate"/>
      </w:r>
      <w:r w:rsidR="00D47A36">
        <w:rPr>
          <w:rFonts w:eastAsiaTheme="minorHAnsi"/>
          <w:noProof/>
          <w:color w:val="2C9ADC" w:themeColor="accent1"/>
          <w:sz w:val="18"/>
          <w:szCs w:val="18"/>
          <w:lang w:eastAsia="en-US"/>
        </w:rPr>
        <w:t>10</w:t>
      </w:r>
      <w:r w:rsidRPr="00887108">
        <w:rPr>
          <w:rFonts w:eastAsiaTheme="minorHAnsi"/>
          <w:color w:val="2C9ADC" w:themeColor="accent1"/>
          <w:sz w:val="18"/>
          <w:szCs w:val="18"/>
          <w:lang w:eastAsia="en-US"/>
        </w:rPr>
        <w:fldChar w:fldCharType="end"/>
      </w:r>
      <w:r w:rsidR="00204588" w:rsidRPr="00887108">
        <w:rPr>
          <w:rFonts w:eastAsiaTheme="minorHAnsi"/>
          <w:color w:val="2C9ADC"/>
          <w:szCs w:val="20"/>
          <w:lang w:eastAsia="en-US"/>
        </w:rPr>
        <w:t xml:space="preserve"> - Rozklad </w:t>
      </w:r>
      <w:r w:rsidR="00A54EA1" w:rsidRPr="00887108">
        <w:rPr>
          <w:rFonts w:eastAsiaTheme="minorHAnsi"/>
          <w:color w:val="2C9ADC"/>
          <w:szCs w:val="20"/>
          <w:lang w:eastAsia="en-US"/>
        </w:rPr>
        <w:t xml:space="preserve">indikátora </w:t>
      </w:r>
      <w:r w:rsidR="00204588" w:rsidRPr="00887108">
        <w:rPr>
          <w:rFonts w:eastAsiaTheme="minorHAnsi"/>
          <w:color w:val="2C9ADC"/>
          <w:szCs w:val="20"/>
          <w:lang w:eastAsia="en-US"/>
        </w:rPr>
        <w:t>S2</w:t>
      </w:r>
      <w:bookmarkEnd w:id="136"/>
    </w:p>
    <w:tbl>
      <w:tblPr>
        <w:tblW w:w="9072" w:type="dxa"/>
        <w:tblLook w:val="04A0" w:firstRow="1" w:lastRow="0" w:firstColumn="1" w:lastColumn="0" w:noHBand="0" w:noVBand="1"/>
      </w:tblPr>
      <w:tblGrid>
        <w:gridCol w:w="5127"/>
        <w:gridCol w:w="2221"/>
        <w:gridCol w:w="1724"/>
      </w:tblGrid>
      <w:tr w:rsidR="00204588" w:rsidRPr="00887108" w14:paraId="5D2C5EF6" w14:textId="77777777" w:rsidTr="00D64816">
        <w:trPr>
          <w:trHeight w:val="267"/>
        </w:trPr>
        <w:tc>
          <w:tcPr>
            <w:tcW w:w="5077" w:type="dxa"/>
            <w:tcBorders>
              <w:top w:val="single" w:sz="4" w:space="0" w:color="auto"/>
              <w:bottom w:val="single" w:sz="4" w:space="0" w:color="auto"/>
            </w:tcBorders>
            <w:shd w:val="clear" w:color="auto" w:fill="auto"/>
            <w:noWrap/>
            <w:vAlign w:val="bottom"/>
            <w:hideMark/>
          </w:tcPr>
          <w:p w14:paraId="602D59D4" w14:textId="77777777" w:rsidR="00204588" w:rsidRPr="00887108" w:rsidRDefault="00204588" w:rsidP="00204588">
            <w:pPr>
              <w:rPr>
                <w:rFonts w:cs="Times New Roman"/>
                <w:b/>
                <w:bCs/>
                <w:sz w:val="20"/>
                <w:szCs w:val="20"/>
                <w:lang w:eastAsia="en-GB"/>
              </w:rPr>
            </w:pPr>
            <w:r w:rsidRPr="00887108">
              <w:rPr>
                <w:rFonts w:cs="Times New Roman"/>
                <w:b/>
                <w:bCs/>
                <w:sz w:val="20"/>
                <w:szCs w:val="20"/>
                <w:lang w:eastAsia="en-GB"/>
              </w:rPr>
              <w:t> </w:t>
            </w:r>
          </w:p>
        </w:tc>
        <w:tc>
          <w:tcPr>
            <w:tcW w:w="2199" w:type="dxa"/>
            <w:tcBorders>
              <w:top w:val="single" w:sz="4" w:space="0" w:color="auto"/>
              <w:bottom w:val="single" w:sz="4" w:space="0" w:color="auto"/>
            </w:tcBorders>
            <w:shd w:val="clear" w:color="auto" w:fill="auto"/>
            <w:noWrap/>
            <w:vAlign w:val="bottom"/>
            <w:hideMark/>
          </w:tcPr>
          <w:p w14:paraId="46DC0C6E" w14:textId="00D718F0" w:rsidR="00204588" w:rsidRPr="00887108" w:rsidRDefault="00204588" w:rsidP="00204588">
            <w:pPr>
              <w:jc w:val="center"/>
              <w:rPr>
                <w:rFonts w:cs="Times New Roman"/>
                <w:b/>
                <w:bCs/>
                <w:sz w:val="20"/>
                <w:szCs w:val="20"/>
                <w:lang w:eastAsia="en-GB"/>
              </w:rPr>
            </w:pPr>
            <w:r w:rsidRPr="00887108">
              <w:rPr>
                <w:rFonts w:cs="Times New Roman"/>
                <w:b/>
                <w:bCs/>
                <w:sz w:val="20"/>
                <w:szCs w:val="20"/>
                <w:lang w:eastAsia="en-GB"/>
              </w:rPr>
              <w:t>PS 2018</w:t>
            </w:r>
            <w:r w:rsidR="00903547" w:rsidRPr="00887108">
              <w:rPr>
                <w:rFonts w:cs="Times New Roman"/>
                <w:b/>
                <w:bCs/>
                <w:sz w:val="20"/>
                <w:szCs w:val="20"/>
                <w:lang w:eastAsia="en-GB"/>
              </w:rPr>
              <w:t>*</w:t>
            </w:r>
          </w:p>
        </w:tc>
        <w:tc>
          <w:tcPr>
            <w:tcW w:w="1707" w:type="dxa"/>
            <w:tcBorders>
              <w:top w:val="single" w:sz="4" w:space="0" w:color="auto"/>
              <w:bottom w:val="single" w:sz="4" w:space="0" w:color="auto"/>
            </w:tcBorders>
            <w:shd w:val="clear" w:color="auto" w:fill="auto"/>
            <w:noWrap/>
            <w:vAlign w:val="bottom"/>
            <w:hideMark/>
          </w:tcPr>
          <w:p w14:paraId="02D5BFD1" w14:textId="698118D5" w:rsidR="00204588" w:rsidRPr="00887108" w:rsidRDefault="00204588" w:rsidP="00204588">
            <w:pPr>
              <w:jc w:val="center"/>
              <w:rPr>
                <w:rFonts w:cs="Times New Roman"/>
                <w:b/>
                <w:bCs/>
                <w:sz w:val="20"/>
                <w:szCs w:val="20"/>
                <w:lang w:eastAsia="en-GB"/>
              </w:rPr>
            </w:pPr>
            <w:r w:rsidRPr="00887108">
              <w:rPr>
                <w:rFonts w:cs="Times New Roman"/>
                <w:b/>
                <w:bCs/>
                <w:sz w:val="20"/>
                <w:szCs w:val="20"/>
                <w:lang w:eastAsia="en-GB"/>
              </w:rPr>
              <w:t>PS 2020</w:t>
            </w:r>
            <w:r w:rsidR="00903547" w:rsidRPr="00887108">
              <w:rPr>
                <w:rFonts w:cs="Times New Roman"/>
                <w:b/>
                <w:bCs/>
                <w:sz w:val="20"/>
                <w:szCs w:val="20"/>
                <w:lang w:eastAsia="en-GB"/>
              </w:rPr>
              <w:t>*</w:t>
            </w:r>
          </w:p>
        </w:tc>
      </w:tr>
      <w:tr w:rsidR="00204588" w:rsidRPr="00887108" w14:paraId="733DF7BA" w14:textId="77777777" w:rsidTr="00D64816">
        <w:trPr>
          <w:trHeight w:val="256"/>
        </w:trPr>
        <w:tc>
          <w:tcPr>
            <w:tcW w:w="5077" w:type="dxa"/>
            <w:tcBorders>
              <w:top w:val="single" w:sz="4" w:space="0" w:color="auto"/>
            </w:tcBorders>
            <w:shd w:val="clear" w:color="auto" w:fill="auto"/>
            <w:noWrap/>
            <w:vAlign w:val="bottom"/>
            <w:hideMark/>
          </w:tcPr>
          <w:p w14:paraId="0A43D964" w14:textId="77777777" w:rsidR="00204588" w:rsidRPr="00887108" w:rsidRDefault="00204588" w:rsidP="00204588">
            <w:pPr>
              <w:rPr>
                <w:rFonts w:cs="Times New Roman"/>
                <w:bCs/>
                <w:sz w:val="16"/>
                <w:szCs w:val="16"/>
                <w:lang w:eastAsia="en-GB"/>
              </w:rPr>
            </w:pPr>
            <w:r w:rsidRPr="00887108">
              <w:rPr>
                <w:rFonts w:cs="Times New Roman"/>
                <w:bCs/>
                <w:sz w:val="16"/>
                <w:szCs w:val="16"/>
                <w:lang w:eastAsia="en-GB"/>
              </w:rPr>
              <w:t>Počiatočná pozícia</w:t>
            </w:r>
          </w:p>
        </w:tc>
        <w:tc>
          <w:tcPr>
            <w:tcW w:w="2199" w:type="dxa"/>
            <w:tcBorders>
              <w:top w:val="single" w:sz="4" w:space="0" w:color="auto"/>
            </w:tcBorders>
            <w:shd w:val="clear" w:color="auto" w:fill="auto"/>
            <w:noWrap/>
            <w:vAlign w:val="bottom"/>
            <w:hideMark/>
          </w:tcPr>
          <w:p w14:paraId="67F78986" w14:textId="77777777" w:rsidR="00204588" w:rsidRPr="00887108" w:rsidRDefault="00204588" w:rsidP="00204588">
            <w:pPr>
              <w:jc w:val="center"/>
              <w:rPr>
                <w:rFonts w:cs="Times New Roman"/>
                <w:bCs/>
                <w:sz w:val="16"/>
                <w:szCs w:val="16"/>
                <w:lang w:eastAsia="en-GB"/>
              </w:rPr>
            </w:pPr>
            <w:r w:rsidRPr="00887108">
              <w:rPr>
                <w:rFonts w:cs="Times New Roman"/>
                <w:bCs/>
                <w:sz w:val="16"/>
                <w:szCs w:val="16"/>
                <w:lang w:eastAsia="en-GB"/>
              </w:rPr>
              <w:t>-0,1</w:t>
            </w:r>
          </w:p>
        </w:tc>
        <w:tc>
          <w:tcPr>
            <w:tcW w:w="1707" w:type="dxa"/>
            <w:tcBorders>
              <w:top w:val="single" w:sz="4" w:space="0" w:color="auto"/>
            </w:tcBorders>
            <w:shd w:val="clear" w:color="auto" w:fill="auto"/>
            <w:noWrap/>
            <w:vAlign w:val="bottom"/>
            <w:hideMark/>
          </w:tcPr>
          <w:p w14:paraId="1E63BC5D" w14:textId="77777777" w:rsidR="00204588" w:rsidRPr="00887108" w:rsidRDefault="00204588" w:rsidP="00204588">
            <w:pPr>
              <w:jc w:val="center"/>
              <w:rPr>
                <w:rFonts w:cs="Times New Roman"/>
                <w:bCs/>
                <w:sz w:val="16"/>
                <w:szCs w:val="16"/>
                <w:lang w:eastAsia="en-GB"/>
              </w:rPr>
            </w:pPr>
            <w:r w:rsidRPr="00887108">
              <w:rPr>
                <w:rFonts w:cs="Times New Roman"/>
                <w:bCs/>
                <w:sz w:val="16"/>
                <w:szCs w:val="16"/>
                <w:lang w:eastAsia="en-GB"/>
              </w:rPr>
              <w:t>3,5</w:t>
            </w:r>
          </w:p>
        </w:tc>
      </w:tr>
      <w:tr w:rsidR="00204588" w:rsidRPr="00887108" w14:paraId="4E4E13FC" w14:textId="77777777" w:rsidTr="00D64816">
        <w:trPr>
          <w:trHeight w:val="256"/>
        </w:trPr>
        <w:tc>
          <w:tcPr>
            <w:tcW w:w="5077" w:type="dxa"/>
            <w:shd w:val="clear" w:color="auto" w:fill="auto"/>
            <w:noWrap/>
            <w:vAlign w:val="bottom"/>
            <w:hideMark/>
          </w:tcPr>
          <w:p w14:paraId="2B558066" w14:textId="77777777" w:rsidR="00204588" w:rsidRPr="00887108" w:rsidRDefault="00204588" w:rsidP="00204588">
            <w:pPr>
              <w:rPr>
                <w:rFonts w:cs="Times New Roman"/>
                <w:sz w:val="16"/>
                <w:szCs w:val="16"/>
                <w:lang w:eastAsia="en-GB"/>
              </w:rPr>
            </w:pPr>
            <w:r w:rsidRPr="00887108">
              <w:rPr>
                <w:rFonts w:cs="Times New Roman"/>
                <w:sz w:val="16"/>
                <w:szCs w:val="16"/>
                <w:lang w:eastAsia="en-GB"/>
              </w:rPr>
              <w:t>Dôchodkové výdavky</w:t>
            </w:r>
          </w:p>
        </w:tc>
        <w:tc>
          <w:tcPr>
            <w:tcW w:w="2199" w:type="dxa"/>
            <w:shd w:val="clear" w:color="auto" w:fill="auto"/>
            <w:noWrap/>
            <w:vAlign w:val="bottom"/>
            <w:hideMark/>
          </w:tcPr>
          <w:p w14:paraId="0A2B9D34" w14:textId="77777777" w:rsidR="00204588" w:rsidRPr="00887108" w:rsidRDefault="00204588" w:rsidP="00204588">
            <w:pPr>
              <w:jc w:val="center"/>
              <w:rPr>
                <w:rFonts w:cs="Times New Roman"/>
                <w:sz w:val="16"/>
                <w:szCs w:val="16"/>
                <w:lang w:eastAsia="en-GB"/>
              </w:rPr>
            </w:pPr>
            <w:r w:rsidRPr="00887108">
              <w:rPr>
                <w:rFonts w:cs="Times New Roman"/>
                <w:sz w:val="16"/>
                <w:szCs w:val="16"/>
                <w:lang w:eastAsia="en-GB"/>
              </w:rPr>
              <w:t>1,0</w:t>
            </w:r>
          </w:p>
        </w:tc>
        <w:tc>
          <w:tcPr>
            <w:tcW w:w="1707" w:type="dxa"/>
            <w:shd w:val="clear" w:color="auto" w:fill="auto"/>
            <w:noWrap/>
            <w:vAlign w:val="bottom"/>
            <w:hideMark/>
          </w:tcPr>
          <w:p w14:paraId="463A86B1" w14:textId="77777777" w:rsidR="00204588" w:rsidRPr="00887108" w:rsidRDefault="00204588" w:rsidP="00204588">
            <w:pPr>
              <w:jc w:val="center"/>
              <w:rPr>
                <w:rFonts w:cs="Times New Roman"/>
                <w:sz w:val="16"/>
                <w:szCs w:val="16"/>
                <w:lang w:eastAsia="en-GB"/>
              </w:rPr>
            </w:pPr>
            <w:r w:rsidRPr="00887108">
              <w:rPr>
                <w:rFonts w:cs="Times New Roman"/>
                <w:sz w:val="16"/>
                <w:szCs w:val="16"/>
                <w:lang w:eastAsia="en-GB"/>
              </w:rPr>
              <w:t>3,5</w:t>
            </w:r>
          </w:p>
        </w:tc>
      </w:tr>
      <w:tr w:rsidR="00204588" w:rsidRPr="00887108" w14:paraId="313FF4DF" w14:textId="77777777" w:rsidTr="00D64816">
        <w:trPr>
          <w:trHeight w:val="256"/>
        </w:trPr>
        <w:tc>
          <w:tcPr>
            <w:tcW w:w="5077" w:type="dxa"/>
            <w:shd w:val="clear" w:color="auto" w:fill="auto"/>
            <w:noWrap/>
            <w:vAlign w:val="bottom"/>
            <w:hideMark/>
          </w:tcPr>
          <w:p w14:paraId="246182AA" w14:textId="77777777" w:rsidR="00204588" w:rsidRPr="00887108" w:rsidRDefault="00204588" w:rsidP="00204588">
            <w:pPr>
              <w:rPr>
                <w:rFonts w:cs="Times New Roman"/>
                <w:sz w:val="16"/>
                <w:szCs w:val="16"/>
                <w:lang w:eastAsia="en-GB"/>
              </w:rPr>
            </w:pPr>
            <w:r w:rsidRPr="00887108">
              <w:rPr>
                <w:rFonts w:cs="Times New Roman"/>
                <w:sz w:val="16"/>
                <w:szCs w:val="16"/>
                <w:lang w:eastAsia="en-GB"/>
              </w:rPr>
              <w:t>Výdavky Zdravotníctva a dlhodobej starostlivosti</w:t>
            </w:r>
          </w:p>
        </w:tc>
        <w:tc>
          <w:tcPr>
            <w:tcW w:w="2199" w:type="dxa"/>
            <w:shd w:val="clear" w:color="auto" w:fill="auto"/>
            <w:noWrap/>
            <w:vAlign w:val="bottom"/>
            <w:hideMark/>
          </w:tcPr>
          <w:p w14:paraId="4BDE7E9C" w14:textId="77777777" w:rsidR="00204588" w:rsidRPr="00887108" w:rsidRDefault="00204588" w:rsidP="00204588">
            <w:pPr>
              <w:jc w:val="center"/>
              <w:rPr>
                <w:rFonts w:cs="Times New Roman"/>
                <w:sz w:val="16"/>
                <w:szCs w:val="16"/>
                <w:lang w:eastAsia="en-GB"/>
              </w:rPr>
            </w:pPr>
            <w:r w:rsidRPr="00887108">
              <w:rPr>
                <w:rFonts w:cs="Times New Roman"/>
                <w:sz w:val="16"/>
                <w:szCs w:val="16"/>
                <w:lang w:eastAsia="en-GB"/>
              </w:rPr>
              <w:t>1,3</w:t>
            </w:r>
          </w:p>
        </w:tc>
        <w:tc>
          <w:tcPr>
            <w:tcW w:w="1707" w:type="dxa"/>
            <w:shd w:val="clear" w:color="auto" w:fill="auto"/>
            <w:noWrap/>
            <w:vAlign w:val="bottom"/>
            <w:hideMark/>
          </w:tcPr>
          <w:p w14:paraId="31AC121F" w14:textId="77777777" w:rsidR="00204588" w:rsidRPr="00887108" w:rsidRDefault="00204588" w:rsidP="00204588">
            <w:pPr>
              <w:jc w:val="center"/>
              <w:rPr>
                <w:rFonts w:cs="Times New Roman"/>
                <w:sz w:val="16"/>
                <w:szCs w:val="16"/>
                <w:lang w:eastAsia="en-GB"/>
              </w:rPr>
            </w:pPr>
            <w:r w:rsidRPr="00887108">
              <w:rPr>
                <w:rFonts w:cs="Times New Roman"/>
                <w:sz w:val="16"/>
                <w:szCs w:val="16"/>
                <w:lang w:eastAsia="en-GB"/>
              </w:rPr>
              <w:t>1,3</w:t>
            </w:r>
          </w:p>
        </w:tc>
      </w:tr>
      <w:tr w:rsidR="00204588" w:rsidRPr="00887108" w14:paraId="3BE4ED2B" w14:textId="77777777" w:rsidTr="00D64816">
        <w:trPr>
          <w:trHeight w:val="267"/>
        </w:trPr>
        <w:tc>
          <w:tcPr>
            <w:tcW w:w="5077" w:type="dxa"/>
            <w:tcBorders>
              <w:bottom w:val="single" w:sz="4" w:space="0" w:color="auto"/>
            </w:tcBorders>
            <w:shd w:val="clear" w:color="auto" w:fill="auto"/>
            <w:noWrap/>
            <w:vAlign w:val="bottom"/>
            <w:hideMark/>
          </w:tcPr>
          <w:p w14:paraId="7DA1DF08" w14:textId="17915C66" w:rsidR="00204588" w:rsidRPr="00887108" w:rsidRDefault="00204588" w:rsidP="002A0492">
            <w:pPr>
              <w:rPr>
                <w:rFonts w:cs="Times New Roman"/>
                <w:sz w:val="16"/>
                <w:szCs w:val="16"/>
                <w:lang w:eastAsia="en-GB"/>
              </w:rPr>
            </w:pPr>
            <w:r w:rsidRPr="00887108">
              <w:rPr>
                <w:rFonts w:cs="Times New Roman"/>
                <w:sz w:val="16"/>
                <w:szCs w:val="16"/>
                <w:lang w:eastAsia="en-GB"/>
              </w:rPr>
              <w:t xml:space="preserve">Školstvo a </w:t>
            </w:r>
            <w:r w:rsidR="002A0492" w:rsidRPr="00887108">
              <w:rPr>
                <w:rFonts w:cs="Times New Roman"/>
                <w:sz w:val="16"/>
                <w:szCs w:val="16"/>
                <w:lang w:eastAsia="en-GB"/>
              </w:rPr>
              <w:t>d</w:t>
            </w:r>
            <w:r w:rsidRPr="00887108">
              <w:rPr>
                <w:rFonts w:cs="Times New Roman"/>
                <w:sz w:val="16"/>
                <w:szCs w:val="16"/>
                <w:lang w:eastAsia="en-GB"/>
              </w:rPr>
              <w:t>ávky v nezamestnanosti</w:t>
            </w:r>
          </w:p>
        </w:tc>
        <w:tc>
          <w:tcPr>
            <w:tcW w:w="2199" w:type="dxa"/>
            <w:tcBorders>
              <w:bottom w:val="single" w:sz="4" w:space="0" w:color="auto"/>
            </w:tcBorders>
            <w:shd w:val="clear" w:color="auto" w:fill="auto"/>
            <w:noWrap/>
            <w:vAlign w:val="bottom"/>
            <w:hideMark/>
          </w:tcPr>
          <w:p w14:paraId="45F635CF" w14:textId="77777777" w:rsidR="00204588" w:rsidRPr="00887108" w:rsidRDefault="00204588" w:rsidP="00204588">
            <w:pPr>
              <w:jc w:val="center"/>
              <w:rPr>
                <w:rFonts w:cs="Times New Roman"/>
                <w:sz w:val="16"/>
                <w:szCs w:val="16"/>
                <w:lang w:eastAsia="en-GB"/>
              </w:rPr>
            </w:pPr>
            <w:r w:rsidRPr="00887108">
              <w:rPr>
                <w:rFonts w:cs="Times New Roman"/>
                <w:sz w:val="16"/>
                <w:szCs w:val="16"/>
                <w:lang w:eastAsia="en-GB"/>
              </w:rPr>
              <w:t>0,1</w:t>
            </w:r>
          </w:p>
        </w:tc>
        <w:tc>
          <w:tcPr>
            <w:tcW w:w="1707" w:type="dxa"/>
            <w:tcBorders>
              <w:bottom w:val="single" w:sz="4" w:space="0" w:color="auto"/>
            </w:tcBorders>
            <w:shd w:val="clear" w:color="auto" w:fill="auto"/>
            <w:noWrap/>
            <w:vAlign w:val="bottom"/>
            <w:hideMark/>
          </w:tcPr>
          <w:p w14:paraId="117B2270" w14:textId="77777777" w:rsidR="00204588" w:rsidRPr="00887108" w:rsidRDefault="00204588" w:rsidP="00204588">
            <w:pPr>
              <w:jc w:val="center"/>
              <w:rPr>
                <w:rFonts w:cs="Times New Roman"/>
                <w:sz w:val="16"/>
                <w:szCs w:val="16"/>
                <w:lang w:eastAsia="en-GB"/>
              </w:rPr>
            </w:pPr>
            <w:r w:rsidRPr="00887108">
              <w:rPr>
                <w:rFonts w:cs="Times New Roman"/>
                <w:sz w:val="16"/>
                <w:szCs w:val="16"/>
                <w:lang w:eastAsia="en-GB"/>
              </w:rPr>
              <w:t>0,1</w:t>
            </w:r>
          </w:p>
        </w:tc>
      </w:tr>
      <w:tr w:rsidR="00204588" w:rsidRPr="00887108" w14:paraId="55745344" w14:textId="77777777" w:rsidTr="00D64816">
        <w:trPr>
          <w:trHeight w:val="267"/>
        </w:trPr>
        <w:tc>
          <w:tcPr>
            <w:tcW w:w="5077" w:type="dxa"/>
            <w:tcBorders>
              <w:top w:val="single" w:sz="4" w:space="0" w:color="auto"/>
              <w:bottom w:val="single" w:sz="4" w:space="0" w:color="auto"/>
            </w:tcBorders>
            <w:shd w:val="clear" w:color="auto" w:fill="auto"/>
            <w:noWrap/>
            <w:vAlign w:val="bottom"/>
            <w:hideMark/>
          </w:tcPr>
          <w:p w14:paraId="586B533A" w14:textId="4210FF43" w:rsidR="00204588" w:rsidRPr="00887108" w:rsidRDefault="00CC4E26" w:rsidP="0013143F">
            <w:pPr>
              <w:rPr>
                <w:rFonts w:cs="Times New Roman"/>
                <w:b/>
                <w:bCs/>
                <w:sz w:val="20"/>
                <w:szCs w:val="20"/>
                <w:lang w:eastAsia="en-GB"/>
              </w:rPr>
            </w:pPr>
            <w:r w:rsidRPr="00887108">
              <w:rPr>
                <w:rFonts w:cs="Times New Roman"/>
                <w:b/>
                <w:bCs/>
                <w:sz w:val="20"/>
                <w:szCs w:val="20"/>
                <w:lang w:eastAsia="en-GB"/>
              </w:rPr>
              <w:t xml:space="preserve">Indikátor </w:t>
            </w:r>
            <w:r w:rsidR="00204588" w:rsidRPr="00887108">
              <w:rPr>
                <w:rFonts w:cs="Times New Roman"/>
                <w:b/>
                <w:bCs/>
                <w:sz w:val="20"/>
                <w:szCs w:val="20"/>
                <w:lang w:eastAsia="en-GB"/>
              </w:rPr>
              <w:t xml:space="preserve">S2 </w:t>
            </w:r>
          </w:p>
        </w:tc>
        <w:tc>
          <w:tcPr>
            <w:tcW w:w="2199" w:type="dxa"/>
            <w:tcBorders>
              <w:top w:val="single" w:sz="4" w:space="0" w:color="auto"/>
              <w:bottom w:val="single" w:sz="4" w:space="0" w:color="auto"/>
            </w:tcBorders>
            <w:shd w:val="clear" w:color="auto" w:fill="auto"/>
            <w:noWrap/>
            <w:vAlign w:val="bottom"/>
            <w:hideMark/>
          </w:tcPr>
          <w:p w14:paraId="2864B249" w14:textId="77777777" w:rsidR="00204588" w:rsidRPr="00887108" w:rsidRDefault="00204588" w:rsidP="00204588">
            <w:pPr>
              <w:jc w:val="center"/>
              <w:rPr>
                <w:rFonts w:cs="Times New Roman"/>
                <w:b/>
                <w:bCs/>
                <w:color w:val="FF0000"/>
                <w:sz w:val="20"/>
                <w:szCs w:val="20"/>
                <w:lang w:eastAsia="en-GB"/>
              </w:rPr>
            </w:pPr>
            <w:r w:rsidRPr="00887108">
              <w:rPr>
                <w:rFonts w:cs="Times New Roman"/>
                <w:b/>
                <w:bCs/>
                <w:color w:val="FFC000"/>
                <w:sz w:val="20"/>
                <w:szCs w:val="20"/>
                <w:lang w:eastAsia="en-GB"/>
              </w:rPr>
              <w:t>2,3</w:t>
            </w:r>
          </w:p>
        </w:tc>
        <w:tc>
          <w:tcPr>
            <w:tcW w:w="1707" w:type="dxa"/>
            <w:tcBorders>
              <w:top w:val="single" w:sz="4" w:space="0" w:color="auto"/>
              <w:bottom w:val="single" w:sz="4" w:space="0" w:color="auto"/>
            </w:tcBorders>
            <w:shd w:val="clear" w:color="auto" w:fill="auto"/>
            <w:noWrap/>
            <w:vAlign w:val="bottom"/>
            <w:hideMark/>
          </w:tcPr>
          <w:p w14:paraId="3A1868AC" w14:textId="77777777" w:rsidR="00204588" w:rsidRPr="00887108" w:rsidRDefault="00204588" w:rsidP="00204588">
            <w:pPr>
              <w:jc w:val="center"/>
              <w:rPr>
                <w:rFonts w:cs="Times New Roman"/>
                <w:b/>
                <w:bCs/>
                <w:color w:val="FF0000"/>
                <w:sz w:val="20"/>
                <w:szCs w:val="20"/>
                <w:lang w:eastAsia="en-GB"/>
              </w:rPr>
            </w:pPr>
            <w:r w:rsidRPr="00887108">
              <w:rPr>
                <w:rFonts w:cs="Times New Roman"/>
                <w:b/>
                <w:bCs/>
                <w:color w:val="FF0000"/>
                <w:sz w:val="20"/>
                <w:szCs w:val="20"/>
                <w:lang w:eastAsia="en-GB"/>
              </w:rPr>
              <w:t>8,4</w:t>
            </w:r>
          </w:p>
        </w:tc>
      </w:tr>
    </w:tbl>
    <w:p w14:paraId="63A7DAE9" w14:textId="130691B0" w:rsidR="00C051CD" w:rsidRPr="00887108" w:rsidRDefault="00903547" w:rsidP="00903547">
      <w:pPr>
        <w:rPr>
          <w:rFonts w:eastAsiaTheme="minorHAnsi"/>
          <w:sz w:val="16"/>
          <w:szCs w:val="16"/>
          <w:lang w:eastAsia="en-US"/>
        </w:rPr>
      </w:pPr>
      <w:r w:rsidRPr="00887108">
        <w:rPr>
          <w:rFonts w:eastAsiaTheme="minorHAnsi"/>
          <w:sz w:val="16"/>
          <w:szCs w:val="16"/>
          <w:lang w:eastAsia="en-US"/>
        </w:rPr>
        <w:t xml:space="preserve">*Jedná sa o S2 vo východiskovom roku t+1, teda </w:t>
      </w:r>
      <w:r w:rsidR="002A0492" w:rsidRPr="00887108">
        <w:rPr>
          <w:rFonts w:eastAsiaTheme="minorHAnsi"/>
          <w:sz w:val="16"/>
          <w:szCs w:val="16"/>
          <w:lang w:eastAsia="en-US"/>
        </w:rPr>
        <w:t xml:space="preserve">v roku </w:t>
      </w:r>
      <w:r w:rsidRPr="00887108">
        <w:rPr>
          <w:rFonts w:eastAsiaTheme="minorHAnsi"/>
          <w:sz w:val="16"/>
          <w:szCs w:val="16"/>
          <w:lang w:eastAsia="en-US"/>
        </w:rPr>
        <w:t>2019 resp. 2021</w:t>
      </w:r>
    </w:p>
    <w:p w14:paraId="041802F7" w14:textId="10EC760E" w:rsidR="0024659C" w:rsidRPr="00887108" w:rsidRDefault="000665B1" w:rsidP="0024659C">
      <w:pPr>
        <w:spacing w:before="240" w:after="120"/>
        <w:jc w:val="both"/>
        <w:rPr>
          <w:rFonts w:cs="Arial"/>
          <w:b/>
          <w:color w:val="2C9ADC" w:themeColor="accent1"/>
        </w:rPr>
      </w:pPr>
      <w:r w:rsidRPr="00887108">
        <w:rPr>
          <w:rFonts w:cs="Arial"/>
          <w:b/>
          <w:color w:val="2C9ADC" w:themeColor="accent1"/>
        </w:rPr>
        <w:t>Priority v dôchodkovom systéme</w:t>
      </w:r>
    </w:p>
    <w:p w14:paraId="28366D50" w14:textId="5D66EBC7" w:rsidR="0024659C" w:rsidRPr="00887108" w:rsidRDefault="0024659C" w:rsidP="0024659C">
      <w:pPr>
        <w:spacing w:after="120"/>
        <w:jc w:val="both"/>
      </w:pPr>
      <w:r w:rsidRPr="00887108">
        <w:rPr>
          <w:b/>
          <w:bCs/>
        </w:rPr>
        <w:t xml:space="preserve">Vláda sa v programovom vyhlásení na roky 2020-2024 zaviazala </w:t>
      </w:r>
      <w:r w:rsidR="00B5081C" w:rsidRPr="00887108">
        <w:rPr>
          <w:b/>
          <w:bCs/>
        </w:rPr>
        <w:t xml:space="preserve">prijať </w:t>
      </w:r>
      <w:r w:rsidRPr="00887108">
        <w:rPr>
          <w:b/>
          <w:bCs/>
        </w:rPr>
        <w:t>reform</w:t>
      </w:r>
      <w:r w:rsidR="00B5081C" w:rsidRPr="00887108">
        <w:rPr>
          <w:b/>
          <w:bCs/>
        </w:rPr>
        <w:t>u</w:t>
      </w:r>
      <w:r w:rsidRPr="00887108">
        <w:rPr>
          <w:b/>
          <w:bCs/>
        </w:rPr>
        <w:t xml:space="preserve"> dôchodkového systému. </w:t>
      </w:r>
      <w:r w:rsidRPr="00887108">
        <w:rPr>
          <w:b/>
        </w:rPr>
        <w:t xml:space="preserve">V prvom </w:t>
      </w:r>
      <w:r w:rsidR="000665B1" w:rsidRPr="00887108">
        <w:rPr>
          <w:b/>
        </w:rPr>
        <w:t xml:space="preserve">dôchodkovom </w:t>
      </w:r>
      <w:r w:rsidRPr="00887108">
        <w:rPr>
          <w:b/>
        </w:rPr>
        <w:t xml:space="preserve">pilieri </w:t>
      </w:r>
      <w:r w:rsidR="000665B1" w:rsidRPr="00887108">
        <w:rPr>
          <w:b/>
        </w:rPr>
        <w:t xml:space="preserve">je prioritou zlepšenie jeho dlhodobej finančnej udržateľnosti </w:t>
      </w:r>
      <w:r w:rsidR="00B5081C" w:rsidRPr="00887108">
        <w:rPr>
          <w:b/>
        </w:rPr>
        <w:t>a posilnenie spravodlivosti systému.</w:t>
      </w:r>
      <w:r w:rsidR="00B5081C" w:rsidRPr="00887108">
        <w:t xml:space="preserve"> Pri súčasnom nastavení by v budúcnosti výdavky na dôchodky dvojnásobne prevyšovali príjmy vybrané z odvodov a až polovica starobných dôchodcov by mala rovnaký dôchodok, bez ohľadu na výšku </w:t>
      </w:r>
      <w:r w:rsidR="00B5081C" w:rsidRPr="00887108">
        <w:t xml:space="preserve">zaplatených odvodov. Udržateľnosť bude </w:t>
      </w:r>
      <w:r w:rsidRPr="00887108">
        <w:t>posiln</w:t>
      </w:r>
      <w:r w:rsidR="000665B1" w:rsidRPr="00887108">
        <w:t>en</w:t>
      </w:r>
      <w:r w:rsidR="00B5081C" w:rsidRPr="00887108">
        <w:t>á</w:t>
      </w:r>
      <w:r w:rsidRPr="00887108">
        <w:t xml:space="preserve"> väzb</w:t>
      </w:r>
      <w:r w:rsidR="00B5081C" w:rsidRPr="00887108">
        <w:t>ou</w:t>
      </w:r>
      <w:r w:rsidRPr="00887108">
        <w:t xml:space="preserve"> dôchodkových výdavkov na demografický vývoj</w:t>
      </w:r>
      <w:r w:rsidR="000665B1" w:rsidRPr="00887108">
        <w:t xml:space="preserve">. </w:t>
      </w:r>
      <w:r w:rsidR="00B5081C" w:rsidRPr="00887108">
        <w:t xml:space="preserve">Pre zvýšenie spravodlivosti </w:t>
      </w:r>
      <w:r w:rsidR="00FB75CE" w:rsidRPr="00887108">
        <w:t xml:space="preserve">by výška dôchodkov mala lepšie zohľadňovať dĺžku prispievania aj výšku príspevkov do systému. </w:t>
      </w:r>
      <w:r w:rsidRPr="00887108">
        <w:rPr>
          <w:b/>
        </w:rPr>
        <w:t xml:space="preserve">S cieľom </w:t>
      </w:r>
      <w:r w:rsidR="00344635" w:rsidRPr="00887108">
        <w:rPr>
          <w:b/>
        </w:rPr>
        <w:t>zlepšiť predvídateľnosť a stabilitu</w:t>
      </w:r>
      <w:r w:rsidRPr="00887108">
        <w:rPr>
          <w:b/>
        </w:rPr>
        <w:t> dôchodkov</w:t>
      </w:r>
      <w:r w:rsidR="00344635" w:rsidRPr="00887108">
        <w:rPr>
          <w:b/>
        </w:rPr>
        <w:t>ého</w:t>
      </w:r>
      <w:r w:rsidRPr="00887108">
        <w:rPr>
          <w:b/>
        </w:rPr>
        <w:t xml:space="preserve"> systém</w:t>
      </w:r>
      <w:r w:rsidR="00344635" w:rsidRPr="00887108">
        <w:rPr>
          <w:b/>
        </w:rPr>
        <w:t>u</w:t>
      </w:r>
      <w:r w:rsidRPr="00887108">
        <w:rPr>
          <w:b/>
        </w:rPr>
        <w:t xml:space="preserve"> </w:t>
      </w:r>
      <w:r w:rsidR="005C1B49" w:rsidRPr="00887108">
        <w:rPr>
          <w:b/>
        </w:rPr>
        <w:t>sa navyše vláda zaviazala prijať ústavný zákon definujúci základné prvky prvého a druhého piliera.</w:t>
      </w:r>
    </w:p>
    <w:p w14:paraId="06B22DC7" w14:textId="6E2CF02A" w:rsidR="00683A4A" w:rsidRPr="00887108" w:rsidRDefault="004A2AF9" w:rsidP="00683A4A">
      <w:pPr>
        <w:spacing w:after="120"/>
        <w:jc w:val="both"/>
      </w:pPr>
      <w:r w:rsidRPr="00887108">
        <w:rPr>
          <w:b/>
        </w:rPr>
        <w:t xml:space="preserve">V druhom pilieri je prioritou zavedenie dobre nastavenej, výnosnejšej investičnej stratégie. </w:t>
      </w:r>
      <w:r w:rsidR="005D39E1" w:rsidRPr="00887108">
        <w:t xml:space="preserve">Hlavným problémom </w:t>
      </w:r>
      <w:r w:rsidRPr="00887108">
        <w:t>druhého</w:t>
      </w:r>
      <w:r w:rsidR="005D39E1" w:rsidRPr="00887108">
        <w:t xml:space="preserve"> piliera je </w:t>
      </w:r>
      <w:r w:rsidRPr="00887108">
        <w:t>neefektívne ro</w:t>
      </w:r>
      <w:r w:rsidR="005D39E1" w:rsidRPr="00887108">
        <w:t xml:space="preserve">zloženie </w:t>
      </w:r>
      <w:r w:rsidRPr="00887108">
        <w:t xml:space="preserve">aktív </w:t>
      </w:r>
      <w:r w:rsidR="005D39E1" w:rsidRPr="00887108">
        <w:t>sporiteľov</w:t>
      </w:r>
      <w:r w:rsidRPr="00887108">
        <w:t xml:space="preserve">, ktoré ich ukracuje o výnosy. </w:t>
      </w:r>
      <w:r w:rsidR="009D4AF2" w:rsidRPr="00887108">
        <w:t>Reforma sa preto zameria najmä na lepšiu alokáciu aktív aj s pomocou medzinárodných benchmarkov</w:t>
      </w:r>
      <w:r w:rsidR="00D22204" w:rsidRPr="00887108">
        <w:t xml:space="preserve"> s cieľom zvýšiť dôchodky z druhého piliera</w:t>
      </w:r>
      <w:r w:rsidR="009D4AF2" w:rsidRPr="00887108">
        <w:t xml:space="preserve">. </w:t>
      </w:r>
      <w:r w:rsidR="00D22204" w:rsidRPr="00887108">
        <w:t>S cieľom zvýšiť výnosy v druhom pilieri</w:t>
      </w:r>
      <w:r w:rsidR="009D4AF2" w:rsidRPr="00887108">
        <w:t xml:space="preserve"> pokračovala tiež príprava</w:t>
      </w:r>
      <w:r w:rsidR="00683A4A" w:rsidRPr="00887108">
        <w:t xml:space="preserve"> predvolenej sporiacej stratégie postavenej na tzv. life-cycle princípe</w:t>
      </w:r>
      <w:r w:rsidR="00683A4A" w:rsidRPr="00887108">
        <w:rPr>
          <w:rStyle w:val="Odkaznapoznmkupodiarou"/>
          <w:lang w:val="sk-SK"/>
        </w:rPr>
        <w:footnoteReference w:id="61"/>
      </w:r>
      <w:r w:rsidR="00683A4A" w:rsidRPr="00887108">
        <w:t xml:space="preserve">. V rámci </w:t>
      </w:r>
      <w:r w:rsidR="00D22204" w:rsidRPr="00887108">
        <w:t>zmien</w:t>
      </w:r>
      <w:r w:rsidR="00683A4A" w:rsidRPr="00887108">
        <w:t xml:space="preserve"> je nevyhnutné zohľadniť aj výplatnú fázu sporenia v </w:t>
      </w:r>
      <w:r w:rsidR="00D22204" w:rsidRPr="00887108">
        <w:t>druhom</w:t>
      </w:r>
      <w:r w:rsidR="00683A4A" w:rsidRPr="00887108">
        <w:t xml:space="preserve"> pilieri.</w:t>
      </w:r>
    </w:p>
    <w:p w14:paraId="1EA7ED1C" w14:textId="0AE6A49F" w:rsidR="00344635" w:rsidRPr="00887108" w:rsidRDefault="00344635" w:rsidP="00683A4A">
      <w:pPr>
        <w:spacing w:after="120"/>
        <w:jc w:val="both"/>
      </w:pPr>
      <w:r w:rsidRPr="00887108">
        <w:rPr>
          <w:b/>
        </w:rPr>
        <w:t>Zavedie sa automatický vstup do II. piliera pre poistencov do 35 rokov a zmení sa poplatková politika fondov v II. pilieri.</w:t>
      </w:r>
      <w:r w:rsidRPr="00887108">
        <w:t xml:space="preserve"> Automatický vstup do II. piliera diverzifikuje zdroj príjmov jednotlivcov na dôchodku. Poistencovi však ostane možnosť zotrvať výlučne v I. pilieri, ak sa tak aktívne rozhodne. Poplatková politika by mala rozlišovať pasívny a aktívny spôsob investovania prostriedkov na dôchodok. V prípade pasívneho investovania by sporiteľ nemal platiť odplatu za zhodnotenie majetku. Naopak pri aktívnom investovaní by mala byť odplata za zhodnotenie naviazaná na dosiahnutie vyššieho výnosu než v</w:t>
      </w:r>
      <w:r w:rsidR="00D131F6" w:rsidRPr="00887108">
        <w:t xml:space="preserve"> porovnateľnom pasívnom indexe.</w:t>
      </w:r>
    </w:p>
    <w:p w14:paraId="279612F8" w14:textId="4B712992" w:rsidR="00683A4A" w:rsidRPr="00887108" w:rsidRDefault="00683A4A" w:rsidP="00683A4A">
      <w:pPr>
        <w:spacing w:after="120"/>
        <w:jc w:val="both"/>
      </w:pPr>
      <w:r w:rsidRPr="00887108">
        <w:rPr>
          <w:b/>
        </w:rPr>
        <w:t xml:space="preserve">Poskytnutie jednotnej informácie o dôchodkových nárokoch zo všetkých troch pilierov zvýši informovanosť poistencov a transparentnosť dôchodkového systému. </w:t>
      </w:r>
      <w:r w:rsidRPr="00887108">
        <w:t>Vláda sa k vytvoreniu informačného listu o dôchodkových nárokoch zaviazala v PVV na roky 2020 až 2024. Prostredníctvom každoročného elektronického výpisu tak poistenec zistí jeho individualizovanú očakávanú výšku dôchodku. Na základe tejto informácie sa bude môcť lepšie pripraviť na odchod z trhu práce. Od roku 2021 zvýši informovanosť v </w:t>
      </w:r>
      <w:r w:rsidR="00B53316" w:rsidRPr="00887108">
        <w:t>druhom</w:t>
      </w:r>
      <w:r w:rsidRPr="00887108">
        <w:t xml:space="preserve"> pilieri.</w:t>
      </w:r>
      <w:r w:rsidRPr="00887108">
        <w:rPr>
          <w:b/>
        </w:rPr>
        <w:t xml:space="preserve"> </w:t>
      </w:r>
      <w:r w:rsidRPr="00887108">
        <w:t xml:space="preserve">Súčasťou </w:t>
      </w:r>
      <w:r w:rsidR="00B53316" w:rsidRPr="00887108">
        <w:t xml:space="preserve">inovovaného </w:t>
      </w:r>
      <w:r w:rsidRPr="00887108">
        <w:t>výpisu z osobného dôchodkového účtu bude aj individualizovaná prognóza nasporenej sumy a doživotného dôchodku. DSS budú tiež poskytovať a zverejňovať kľúčové informácie o každom vytváranom a spravovanom dôchodkovom fonde. Zverejnenie kľúčových informácii prispeje k zvýšeniu efektivity pri rozhodovaní sporiteľa v súvislosti s výberom vhodného dôchodkového fondu, a to najmä vzhľadom na jeho rizikový profil a životný cyklus investície</w:t>
      </w:r>
      <w:r w:rsidRPr="00887108">
        <w:rPr>
          <w:rStyle w:val="Odkaznapoznmkupodiarou"/>
          <w:lang w:val="sk-SK"/>
        </w:rPr>
        <w:footnoteReference w:id="62"/>
      </w:r>
      <w:r w:rsidRPr="00887108">
        <w:t>.</w:t>
      </w:r>
    </w:p>
    <w:tbl>
      <w:tblPr>
        <w:tblpPr w:leftFromText="141" w:rightFromText="141" w:bottomFromText="160" w:vertAnchor="text" w:tblpXSpec="center" w:tblpY="1"/>
        <w:tblOverlap w:val="never"/>
        <w:tblW w:w="9214" w:type="dxa"/>
        <w:shd w:val="clear" w:color="auto" w:fill="AAD3F2"/>
        <w:tblLayout w:type="fixed"/>
        <w:tblLook w:val="01E0" w:firstRow="1" w:lastRow="1" w:firstColumn="1" w:lastColumn="1" w:noHBand="0" w:noVBand="0"/>
      </w:tblPr>
      <w:tblGrid>
        <w:gridCol w:w="9214"/>
      </w:tblGrid>
      <w:tr w:rsidR="003E0076" w:rsidRPr="00887108" w14:paraId="3B5C06FA" w14:textId="77777777" w:rsidTr="006546DD">
        <w:tc>
          <w:tcPr>
            <w:tcW w:w="9214" w:type="dxa"/>
            <w:shd w:val="clear" w:color="auto" w:fill="AAD3F2"/>
          </w:tcPr>
          <w:p w14:paraId="01E56B54" w14:textId="7E6936AE" w:rsidR="003E0076" w:rsidRPr="00887108" w:rsidRDefault="006546DD" w:rsidP="00BD39E7">
            <w:pPr>
              <w:pStyle w:val="Nadpis3"/>
              <w:spacing w:before="240" w:after="240"/>
              <w:rPr>
                <w:color w:val="2C9ADC" w:themeColor="accent1"/>
                <w:sz w:val="22"/>
                <w:szCs w:val="22"/>
              </w:rPr>
            </w:pPr>
            <w:bookmarkStart w:id="137" w:name="_Toc40181292"/>
            <w:r w:rsidRPr="00887108">
              <w:rPr>
                <w:color w:val="2C9ADC" w:themeColor="accent1"/>
                <w:sz w:val="22"/>
                <w:szCs w:val="22"/>
              </w:rPr>
              <w:t xml:space="preserve">BOX </w:t>
            </w:r>
            <w:r w:rsidRPr="00887108">
              <w:rPr>
                <w:color w:val="2C9ADC" w:themeColor="accent1"/>
                <w:sz w:val="22"/>
                <w:szCs w:val="22"/>
              </w:rPr>
              <w:fldChar w:fldCharType="begin"/>
            </w:r>
            <w:r w:rsidRPr="00887108">
              <w:rPr>
                <w:color w:val="2C9ADC" w:themeColor="accent1"/>
                <w:sz w:val="22"/>
                <w:szCs w:val="22"/>
              </w:rPr>
              <w:instrText xml:space="preserve"> SEQ BOX \* ARABIC </w:instrText>
            </w:r>
            <w:r w:rsidRPr="00887108">
              <w:rPr>
                <w:color w:val="2C9ADC" w:themeColor="accent1"/>
                <w:sz w:val="22"/>
                <w:szCs w:val="22"/>
              </w:rPr>
              <w:fldChar w:fldCharType="separate"/>
            </w:r>
            <w:r w:rsidR="00D47A36">
              <w:rPr>
                <w:noProof/>
                <w:color w:val="2C9ADC" w:themeColor="accent1"/>
                <w:sz w:val="22"/>
                <w:szCs w:val="22"/>
              </w:rPr>
              <w:t>5</w:t>
            </w:r>
            <w:r w:rsidRPr="00887108">
              <w:rPr>
                <w:color w:val="2C9ADC" w:themeColor="accent1"/>
                <w:sz w:val="22"/>
                <w:szCs w:val="22"/>
              </w:rPr>
              <w:fldChar w:fldCharType="end"/>
            </w:r>
            <w:r w:rsidR="00D76DCF" w:rsidRPr="00887108">
              <w:rPr>
                <w:color w:val="2C9ADC" w:themeColor="accent1"/>
                <w:sz w:val="22"/>
                <w:szCs w:val="22"/>
              </w:rPr>
              <w:t xml:space="preserve"> </w:t>
            </w:r>
            <w:r w:rsidR="00B15F84" w:rsidRPr="00887108">
              <w:rPr>
                <w:color w:val="2C9ADC" w:themeColor="accent1"/>
                <w:sz w:val="22"/>
                <w:szCs w:val="22"/>
              </w:rPr>
              <w:t>–</w:t>
            </w:r>
            <w:r w:rsidR="003E0076" w:rsidRPr="00887108">
              <w:rPr>
                <w:color w:val="2C9ADC" w:themeColor="accent1"/>
                <w:sz w:val="22"/>
                <w:szCs w:val="22"/>
              </w:rPr>
              <w:t xml:space="preserve"> </w:t>
            </w:r>
            <w:r w:rsidR="00B15F84" w:rsidRPr="00887108">
              <w:rPr>
                <w:color w:val="2C9ADC" w:themeColor="accent1"/>
                <w:sz w:val="22"/>
                <w:szCs w:val="22"/>
              </w:rPr>
              <w:t>Aktualizácia prognózy výdavkov</w:t>
            </w:r>
            <w:r w:rsidR="003E0076" w:rsidRPr="00887108">
              <w:rPr>
                <w:color w:val="2C9ADC" w:themeColor="accent1"/>
                <w:sz w:val="22"/>
                <w:szCs w:val="22"/>
              </w:rPr>
              <w:t xml:space="preserve"> citlivých na starnutie populácie</w:t>
            </w:r>
            <w:bookmarkEnd w:id="137"/>
          </w:p>
          <w:p w14:paraId="5A3A1D9F" w14:textId="77777777" w:rsidR="005D39E1" w:rsidRPr="00887108" w:rsidRDefault="005D39E1" w:rsidP="005D39E1">
            <w:pPr>
              <w:spacing w:after="120"/>
              <w:jc w:val="both"/>
              <w:rPr>
                <w:b/>
                <w:sz w:val="20"/>
              </w:rPr>
            </w:pPr>
            <w:r w:rsidRPr="00887108">
              <w:rPr>
                <w:rFonts w:cs="Arial"/>
                <w:b/>
                <w:sz w:val="20"/>
              </w:rPr>
              <w:t>Na základe aktualizácie projekcií v roku 2020 vzrastú výdavky citlivé na starnutie z 18,9 % HDP v roku 2016 na 26,8 % HDP v roku 2070.</w:t>
            </w:r>
            <w:r w:rsidRPr="00887108">
              <w:rPr>
                <w:rFonts w:cs="Arial"/>
                <w:sz w:val="20"/>
              </w:rPr>
              <w:t xml:space="preserve"> Správa o starnutí populácie v roku 2018 pritom očakávala nárast len na 21,9 % HDP. Aktualizácia bola vytvorená z dôvodu výrazných zmien v dôchodkovom systéme prijatých v roku 2019.</w:t>
            </w:r>
            <w:r w:rsidRPr="00887108">
              <w:rPr>
                <w:rFonts w:cs="Arial"/>
                <w:b/>
                <w:sz w:val="20"/>
              </w:rPr>
              <w:t xml:space="preserve"> </w:t>
            </w:r>
            <w:r w:rsidRPr="00887108">
              <w:rPr>
                <w:rFonts w:cs="Arial"/>
                <w:sz w:val="20"/>
              </w:rPr>
              <w:t xml:space="preserve">Výsledky boli prezentované v rámci Pracovnej skupiny o starnutí populácie pri EK, následne boli schválené Výborom pre hospodársku politiku EK. </w:t>
            </w:r>
          </w:p>
          <w:p w14:paraId="5A3206E1" w14:textId="36FE4588" w:rsidR="00C51916" w:rsidRPr="00887108" w:rsidRDefault="005D39E1" w:rsidP="00C80FED">
            <w:pPr>
              <w:spacing w:before="120" w:after="120"/>
              <w:jc w:val="both"/>
              <w:rPr>
                <w:b/>
                <w:bCs/>
                <w:sz w:val="20"/>
              </w:rPr>
            </w:pPr>
            <w:r w:rsidRPr="00887108">
              <w:rPr>
                <w:b/>
                <w:sz w:val="20"/>
              </w:rPr>
              <w:t>Projekcia výdavkov na dôchodky</w:t>
            </w:r>
            <w:r w:rsidR="00092F32" w:rsidRPr="00887108">
              <w:rPr>
                <w:rStyle w:val="Odkaznapoznmkupodiarou"/>
                <w:b/>
                <w:sz w:val="20"/>
                <w:lang w:val="sk-SK"/>
              </w:rPr>
              <w:footnoteReference w:id="63"/>
            </w:r>
            <w:r w:rsidRPr="00887108">
              <w:rPr>
                <w:b/>
                <w:sz w:val="20"/>
              </w:rPr>
              <w:t xml:space="preserve"> v roku 2070 vzrástla oproti poslednej projekcii z roku 2018 o 4 p. b. HDP, z 9,8 % HDP na 13,8 %</w:t>
            </w:r>
            <w:r w:rsidRPr="00887108">
              <w:rPr>
                <w:rStyle w:val="Odkaznapoznmkupodiarou"/>
                <w:sz w:val="20"/>
                <w:lang w:val="sk-SK"/>
              </w:rPr>
              <w:footnoteReference w:id="64"/>
            </w:r>
            <w:r w:rsidR="00343B57" w:rsidRPr="00887108">
              <w:rPr>
                <w:sz w:val="20"/>
              </w:rPr>
              <w:t>. Z tejto zmeny bolo</w:t>
            </w:r>
            <w:r w:rsidRPr="00887108">
              <w:rPr>
                <w:sz w:val="20"/>
              </w:rPr>
              <w:t xml:space="preserve"> 2,9 % HDP spôsobených zavedenými opatreniami v dôchodkovom systéme. Ide predovšetkým o zavedenie stropu na dôchodkový vek, zvýšenie a zmenu indexácie minimálnych dôchodkov, zmenu krátenia dôchodkov z I. piliera pre účastníkov v II. pilieri a zdvojnásobenie vianočného príspevku. Deficit dôchodkového systému tak v roku 2070 dosiahne 6,9 % HDP.</w:t>
            </w:r>
            <w:r w:rsidRPr="00887108">
              <w:rPr>
                <w:b/>
                <w:sz w:val="20"/>
              </w:rPr>
              <w:t xml:space="preserve"> </w:t>
            </w:r>
            <w:r w:rsidRPr="00887108">
              <w:rPr>
                <w:sz w:val="20"/>
              </w:rPr>
              <w:t>Pokiaľ by k legislatívnym zmenám nedošlo, penzijné výdavky by v najbližších rokoch poklesli z dnešných 8,6 % HDP na 8 % HDP. Zvyšok nárastu projekcie na rok 2070 (1,1 % HDP) bol spôsobený metodologickou zmenou v kvantifikácii minimálnych dôchodkov</w:t>
            </w:r>
            <w:r w:rsidRPr="00887108">
              <w:rPr>
                <w:rStyle w:val="Odkaznapoznmkupodiarou"/>
                <w:sz w:val="20"/>
                <w:lang w:val="sk-SK"/>
              </w:rPr>
              <w:footnoteReference w:id="65"/>
            </w:r>
            <w:r w:rsidR="00C80FED" w:rsidRPr="00887108">
              <w:rPr>
                <w:b/>
                <w:bCs/>
                <w:sz w:val="20"/>
              </w:rPr>
              <w:t>.</w:t>
            </w:r>
          </w:p>
          <w:tbl>
            <w:tblPr>
              <w:tblpPr w:leftFromText="141" w:rightFromText="141" w:vertAnchor="text" w:horzAnchor="margin" w:tblpXSpec="center" w:tblpY="109"/>
              <w:tblOverlap w:val="never"/>
              <w:tblW w:w="90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9028"/>
            </w:tblGrid>
            <w:tr w:rsidR="005D39E1" w:rsidRPr="00887108" w14:paraId="797ED7EB" w14:textId="77777777" w:rsidTr="00C51916">
              <w:trPr>
                <w:trHeight w:val="266"/>
              </w:trPr>
              <w:tc>
                <w:tcPr>
                  <w:tcW w:w="9028" w:type="dxa"/>
                  <w:tcBorders>
                    <w:top w:val="nil"/>
                    <w:left w:val="nil"/>
                    <w:bottom w:val="single" w:sz="4" w:space="0" w:color="auto"/>
                    <w:right w:val="nil"/>
                  </w:tcBorders>
                  <w:vAlign w:val="bottom"/>
                </w:tcPr>
                <w:p w14:paraId="2EA8EAE9" w14:textId="77777777" w:rsidR="00266348" w:rsidRPr="00887108" w:rsidRDefault="00266348" w:rsidP="005D39E1">
                  <w:pPr>
                    <w:pStyle w:val="Popis"/>
                    <w:spacing w:after="0"/>
                    <w:rPr>
                      <w:rFonts w:eastAsiaTheme="minorHAnsi"/>
                      <w:color w:val="2C9ADC"/>
                      <w:szCs w:val="20"/>
                      <w:lang w:eastAsia="en-US"/>
                    </w:rPr>
                  </w:pPr>
                  <w:bookmarkStart w:id="138" w:name="_Toc40181274"/>
                </w:p>
                <w:p w14:paraId="6A0531C5" w14:textId="77777777" w:rsidR="00FC1EC4" w:rsidRPr="00887108" w:rsidRDefault="00FC1EC4" w:rsidP="00FC1EC4">
                  <w:pPr>
                    <w:rPr>
                      <w:rFonts w:eastAsiaTheme="minorHAnsi"/>
                      <w:lang w:eastAsia="en-US"/>
                    </w:rPr>
                  </w:pPr>
                </w:p>
                <w:p w14:paraId="64533ACA" w14:textId="77777777" w:rsidR="00FC1EC4" w:rsidRPr="00887108" w:rsidRDefault="00FC1EC4" w:rsidP="00FC1EC4">
                  <w:pPr>
                    <w:rPr>
                      <w:rFonts w:eastAsiaTheme="minorHAnsi"/>
                      <w:lang w:eastAsia="en-US"/>
                    </w:rPr>
                  </w:pPr>
                </w:p>
                <w:bookmarkEnd w:id="138"/>
                <w:p w14:paraId="4DC5F5E1" w14:textId="77777777" w:rsidR="00C80FED" w:rsidRPr="00887108" w:rsidRDefault="00C80FED" w:rsidP="00266348"/>
                <w:p w14:paraId="4D6D69C0" w14:textId="78D903E1" w:rsidR="00C80FED" w:rsidRPr="00887108" w:rsidRDefault="00C80FED" w:rsidP="00C80FED">
                  <w:pPr>
                    <w:pStyle w:val="Popis"/>
                    <w:spacing w:after="0"/>
                    <w:rPr>
                      <w:rFonts w:cs="Arial"/>
                      <w:szCs w:val="20"/>
                    </w:rPr>
                  </w:pPr>
                  <w:r w:rsidRPr="00887108">
                    <w:rPr>
                      <w:rFonts w:eastAsiaTheme="minorHAnsi"/>
                      <w:color w:val="2C9ADC"/>
                      <w:szCs w:val="20"/>
                      <w:lang w:eastAsia="en-US"/>
                    </w:rPr>
                    <w:t xml:space="preserve">GRAF </w:t>
                  </w:r>
                  <w:r w:rsidRPr="00887108">
                    <w:rPr>
                      <w:rFonts w:eastAsiaTheme="minorHAnsi"/>
                      <w:color w:val="2C9ADC"/>
                      <w:szCs w:val="20"/>
                      <w:lang w:eastAsia="en-US"/>
                    </w:rPr>
                    <w:fldChar w:fldCharType="begin"/>
                  </w:r>
                  <w:r w:rsidRPr="00887108">
                    <w:rPr>
                      <w:rFonts w:eastAsiaTheme="minorHAnsi"/>
                      <w:color w:val="2C9ADC"/>
                      <w:szCs w:val="20"/>
                      <w:lang w:eastAsia="en-US"/>
                    </w:rPr>
                    <w:instrText xml:space="preserve"> SEQ GRAF \* ARABIC </w:instrText>
                  </w:r>
                  <w:r w:rsidRPr="00887108">
                    <w:rPr>
                      <w:rFonts w:eastAsiaTheme="minorHAnsi"/>
                      <w:color w:val="2C9ADC"/>
                      <w:szCs w:val="20"/>
                      <w:lang w:eastAsia="en-US"/>
                    </w:rPr>
                    <w:fldChar w:fldCharType="separate"/>
                  </w:r>
                  <w:r w:rsidR="00D47A36">
                    <w:rPr>
                      <w:rFonts w:eastAsiaTheme="minorHAnsi"/>
                      <w:noProof/>
                      <w:color w:val="2C9ADC"/>
                      <w:szCs w:val="20"/>
                      <w:lang w:eastAsia="en-US"/>
                    </w:rPr>
                    <w:t>23</w:t>
                  </w:r>
                  <w:r w:rsidRPr="00887108">
                    <w:rPr>
                      <w:rFonts w:eastAsiaTheme="minorHAnsi"/>
                      <w:color w:val="2C9ADC"/>
                      <w:szCs w:val="20"/>
                      <w:lang w:eastAsia="en-US"/>
                    </w:rPr>
                    <w:fldChar w:fldCharType="end"/>
                  </w:r>
                  <w:r w:rsidRPr="00887108">
                    <w:rPr>
                      <w:rFonts w:eastAsiaTheme="minorHAnsi"/>
                      <w:color w:val="2C9ADC"/>
                      <w:szCs w:val="20"/>
                      <w:lang w:eastAsia="en-US"/>
                    </w:rPr>
                    <w:t xml:space="preserve"> - </w:t>
                  </w:r>
                  <w:r w:rsidRPr="00887108">
                    <w:rPr>
                      <w:rFonts w:cs="Arial"/>
                      <w:szCs w:val="20"/>
                    </w:rPr>
                    <w:t>Dopady dôchodkových opatrení na výdavky na dôchodky (v % HDP)</w:t>
                  </w:r>
                </w:p>
              </w:tc>
            </w:tr>
            <w:tr w:rsidR="005D39E1" w:rsidRPr="00887108" w14:paraId="17929299" w14:textId="77777777" w:rsidTr="00266348">
              <w:tblPrEx>
                <w:tblCellMar>
                  <w:left w:w="108" w:type="dxa"/>
                  <w:right w:w="108" w:type="dxa"/>
                </w:tblCellMar>
              </w:tblPrEx>
              <w:trPr>
                <w:trHeight w:val="1828"/>
              </w:trPr>
              <w:tc>
                <w:tcPr>
                  <w:tcW w:w="9028" w:type="dxa"/>
                  <w:tcBorders>
                    <w:top w:val="single" w:sz="4" w:space="0" w:color="auto"/>
                    <w:left w:val="nil"/>
                    <w:bottom w:val="single" w:sz="4" w:space="0" w:color="auto"/>
                    <w:right w:val="nil"/>
                  </w:tcBorders>
                  <w:vAlign w:val="center"/>
                </w:tcPr>
                <w:p w14:paraId="122E5C2B" w14:textId="21D458D1" w:rsidR="005D39E1" w:rsidRPr="00887108" w:rsidRDefault="005D39E1" w:rsidP="005D39E1">
                  <w:pPr>
                    <w:rPr>
                      <w:rFonts w:cs="Arial"/>
                      <w:b/>
                      <w:sz w:val="18"/>
                      <w:szCs w:val="18"/>
                    </w:rPr>
                  </w:pPr>
                  <w:r w:rsidRPr="00887108">
                    <mc:AlternateContent>
                      <mc:Choice Requires="wps">
                        <w:drawing>
                          <wp:anchor distT="0" distB="0" distL="114300" distR="114300" simplePos="0" relativeHeight="251669504" behindDoc="0" locked="0" layoutInCell="1" allowOverlap="1" wp14:anchorId="1B7E4691" wp14:editId="63888BEE">
                            <wp:simplePos x="0" y="0"/>
                            <wp:positionH relativeFrom="column">
                              <wp:posOffset>4573270</wp:posOffset>
                            </wp:positionH>
                            <wp:positionV relativeFrom="paragraph">
                              <wp:posOffset>2540</wp:posOffset>
                            </wp:positionV>
                            <wp:extent cx="1104900" cy="1591310"/>
                            <wp:effectExtent l="0" t="0" r="0" b="8890"/>
                            <wp:wrapNone/>
                            <wp:docPr id="9" name="Textové pole 9"/>
                            <wp:cNvGraphicFramePr/>
                            <a:graphic xmlns:a="http://schemas.openxmlformats.org/drawingml/2006/main">
                              <a:graphicData uri="http://schemas.microsoft.com/office/word/2010/wordprocessingShape">
                                <wps:wsp>
                                  <wps:cNvSpPr txBox="1"/>
                                  <wps:spPr>
                                    <a:xfrm>
                                      <a:off x="0" y="0"/>
                                      <a:ext cx="1104900" cy="159131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9E24E" w14:textId="345E7B32" w:rsidR="00003F14" w:rsidRPr="009637BB" w:rsidRDefault="00003F14" w:rsidP="005D39E1">
                                        <w:pPr>
                                          <w:spacing w:before="200"/>
                                          <w:rPr>
                                            <w:sz w:val="14"/>
                                            <w:szCs w:val="14"/>
                                          </w:rPr>
                                        </w:pPr>
                                        <w:r w:rsidRPr="009637BB">
                                          <w:rPr>
                                            <w:sz w:val="14"/>
                                            <w:szCs w:val="14"/>
                                          </w:rPr>
                                          <w:t>(1) Strop na dôchodkový vek</w:t>
                                        </w:r>
                                      </w:p>
                                      <w:p w14:paraId="278BA925" w14:textId="77777777" w:rsidR="00003F14" w:rsidRPr="009637BB" w:rsidRDefault="00003F14" w:rsidP="005D39E1">
                                        <w:pPr>
                                          <w:spacing w:before="200"/>
                                          <w:rPr>
                                            <w:sz w:val="14"/>
                                            <w:szCs w:val="14"/>
                                          </w:rPr>
                                        </w:pPr>
                                        <w:r w:rsidRPr="009637BB">
                                          <w:rPr>
                                            <w:sz w:val="14"/>
                                            <w:szCs w:val="14"/>
                                          </w:rPr>
                                          <w:t>(2) Zmena v minimálnych dôchodkoch</w:t>
                                        </w:r>
                                      </w:p>
                                      <w:p w14:paraId="33E4A93D" w14:textId="77777777" w:rsidR="00003F14" w:rsidRPr="009637BB" w:rsidRDefault="00003F14" w:rsidP="005D39E1">
                                        <w:pPr>
                                          <w:spacing w:before="200"/>
                                          <w:rPr>
                                            <w:sz w:val="14"/>
                                            <w:szCs w:val="14"/>
                                          </w:rPr>
                                        </w:pPr>
                                        <w:r w:rsidRPr="009637BB">
                                          <w:rPr>
                                            <w:sz w:val="14"/>
                                            <w:szCs w:val="14"/>
                                          </w:rPr>
                                          <w:t>(3) Zmena dôchodku z prvého piliera pre sporiteľov v II. pilieri</w:t>
                                        </w:r>
                                      </w:p>
                                      <w:p w14:paraId="663D56DC" w14:textId="77777777" w:rsidR="00003F14" w:rsidRPr="009637BB" w:rsidRDefault="00003F14" w:rsidP="005D39E1">
                                        <w:pPr>
                                          <w:spacing w:before="200"/>
                                          <w:rPr>
                                            <w:sz w:val="14"/>
                                            <w:szCs w:val="14"/>
                                          </w:rPr>
                                        </w:pPr>
                                        <w:r w:rsidRPr="009637BB">
                                          <w:rPr>
                                            <w:sz w:val="14"/>
                                            <w:szCs w:val="14"/>
                                          </w:rPr>
                                          <w:t>(4) Zdvojnásobenie vianočného príspevku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4691" id="Textové pole 9" o:spid="_x0000_s1027" type="#_x0000_t202" style="position:absolute;margin-left:360.1pt;margin-top:.2pt;width:87pt;height:1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" fillcolor="#aad3f2 [3205]" stroked="f" strokeweight=".5pt">
                            <v:textbox>
                              <w:txbxContent>
                                <w:p w14:paraId="7679E24E" w14:textId="345E7B32" w:rsidR="00003F14" w:rsidRPr="009637BB" w:rsidRDefault="00003F14" w:rsidP="005D39E1">
                                  <w:pPr>
                                    <w:spacing w:before="200"/>
                                    <w:rPr>
                                      <w:sz w:val="14"/>
                                      <w:szCs w:val="14"/>
                                    </w:rPr>
                                  </w:pPr>
                                  <w:r w:rsidRPr="009637BB">
                                    <w:rPr>
                                      <w:sz w:val="14"/>
                                      <w:szCs w:val="14"/>
                                    </w:rPr>
                                    <w:t>(1) Strop na dôchodkový vek</w:t>
                                  </w:r>
                                </w:p>
                                <w:p w14:paraId="278BA925" w14:textId="77777777" w:rsidR="00003F14" w:rsidRPr="009637BB" w:rsidRDefault="00003F14" w:rsidP="005D39E1">
                                  <w:pPr>
                                    <w:spacing w:before="200"/>
                                    <w:rPr>
                                      <w:sz w:val="14"/>
                                      <w:szCs w:val="14"/>
                                    </w:rPr>
                                  </w:pPr>
                                  <w:r w:rsidRPr="009637BB">
                                    <w:rPr>
                                      <w:sz w:val="14"/>
                                      <w:szCs w:val="14"/>
                                    </w:rPr>
                                    <w:t>(2) Zmena v minimálnych dôchodkoch</w:t>
                                  </w:r>
                                </w:p>
                                <w:p w14:paraId="33E4A93D" w14:textId="77777777" w:rsidR="00003F14" w:rsidRPr="009637BB" w:rsidRDefault="00003F14" w:rsidP="005D39E1">
                                  <w:pPr>
                                    <w:spacing w:before="200"/>
                                    <w:rPr>
                                      <w:sz w:val="14"/>
                                      <w:szCs w:val="14"/>
                                    </w:rPr>
                                  </w:pPr>
                                  <w:r w:rsidRPr="009637BB">
                                    <w:rPr>
                                      <w:sz w:val="14"/>
                                      <w:szCs w:val="14"/>
                                    </w:rPr>
                                    <w:t>(3) Zmena dôchodku z prvého piliera pre sporiteľov v II. pilieri</w:t>
                                  </w:r>
                                </w:p>
                                <w:p w14:paraId="663D56DC" w14:textId="77777777" w:rsidR="00003F14" w:rsidRPr="009637BB" w:rsidRDefault="00003F14" w:rsidP="005D39E1">
                                  <w:pPr>
                                    <w:spacing w:before="200"/>
                                    <w:rPr>
                                      <w:sz w:val="14"/>
                                      <w:szCs w:val="14"/>
                                    </w:rPr>
                                  </w:pPr>
                                  <w:r w:rsidRPr="009637BB">
                                    <w:rPr>
                                      <w:sz w:val="14"/>
                                      <w:szCs w:val="14"/>
                                    </w:rPr>
                                    <w:t>(4) Zdvojnásobenie vianočného príspevku</w:t>
                                  </w:r>
                                </w:p>
                              </w:txbxContent>
                            </v:textbox>
                          </v:shape>
                        </w:pict>
                      </mc:Fallback>
                    </mc:AlternateContent>
                  </w:r>
                  <w:r w:rsidRPr="00887108">
                    <w:rPr>
                      <w:sz w:val="18"/>
                      <w:szCs w:val="18"/>
                    </w:rPr>
                    <w:drawing>
                      <wp:inline distT="0" distB="0" distL="0" distR="0" wp14:anchorId="1D3CF006" wp14:editId="59DC1B7C">
                        <wp:extent cx="4505325" cy="17018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D39E1" w:rsidRPr="00887108" w14:paraId="692F3450" w14:textId="77777777" w:rsidTr="00C51916">
              <w:trPr>
                <w:trHeight w:val="235"/>
              </w:trPr>
              <w:tc>
                <w:tcPr>
                  <w:tcW w:w="9028" w:type="dxa"/>
                  <w:tcBorders>
                    <w:top w:val="single" w:sz="4" w:space="0" w:color="auto"/>
                    <w:left w:val="nil"/>
                    <w:bottom w:val="nil"/>
                    <w:right w:val="nil"/>
                  </w:tcBorders>
                  <w:vAlign w:val="center"/>
                </w:tcPr>
                <w:p w14:paraId="7EE8D1AA" w14:textId="77777777" w:rsidR="00C80FED" w:rsidRPr="00887108" w:rsidRDefault="00C80FED" w:rsidP="00C80FED">
                  <w:pPr>
                    <w:rPr>
                      <w:rFonts w:cs="Arial Narrow"/>
                      <w:i/>
                      <w:iCs/>
                      <w:color w:val="000000"/>
                      <w:sz w:val="16"/>
                    </w:rPr>
                  </w:pPr>
                  <w:r w:rsidRPr="00887108">
                    <w:rPr>
                      <w:rFonts w:cs="Arial Narrow"/>
                      <w:i/>
                      <w:iCs/>
                      <w:color w:val="000000"/>
                      <w:sz w:val="16"/>
                    </w:rPr>
                    <w:t xml:space="preserve">* </w:t>
                  </w:r>
                  <w:r w:rsidRPr="00887108">
                    <w:t xml:space="preserve"> </w:t>
                  </w:r>
                  <w:r w:rsidRPr="00887108">
                    <w:rPr>
                      <w:rFonts w:cs="Arial Narrow"/>
                      <w:i/>
                      <w:iCs/>
                      <w:color w:val="000000"/>
                      <w:sz w:val="16"/>
                    </w:rPr>
                    <w:t xml:space="preserve">Pôvodná projekcia je už upravená o metodologickú zmenu </w:t>
                  </w:r>
                </w:p>
                <w:p w14:paraId="6D0EBB2A" w14:textId="44C06D2E" w:rsidR="005D39E1" w:rsidRPr="00887108" w:rsidRDefault="005D39E1" w:rsidP="00C80FED">
                  <w:pPr>
                    <w:jc w:val="right"/>
                    <w:rPr>
                      <w:rFonts w:cs="Arial"/>
                      <w:sz w:val="16"/>
                    </w:rPr>
                  </w:pPr>
                  <w:r w:rsidRPr="00887108">
                    <w:rPr>
                      <w:rFonts w:cs="Arial Narrow"/>
                      <w:i/>
                      <w:iCs/>
                      <w:color w:val="000000"/>
                      <w:sz w:val="16"/>
                    </w:rPr>
                    <w:t xml:space="preserve">Zdroj: IFP </w:t>
                  </w:r>
                </w:p>
              </w:tc>
            </w:tr>
          </w:tbl>
          <w:p w14:paraId="52F6DD38" w14:textId="3C45FCEE" w:rsidR="005D39E1" w:rsidRPr="00887108" w:rsidRDefault="005D39E1" w:rsidP="005D39E1">
            <w:pPr>
              <w:spacing w:before="120" w:after="120"/>
              <w:jc w:val="both"/>
              <w:rPr>
                <w:sz w:val="20"/>
              </w:rPr>
            </w:pPr>
            <w:r w:rsidRPr="00887108">
              <w:rPr>
                <w:b/>
                <w:bCs/>
                <w:sz w:val="20"/>
              </w:rPr>
              <w:t xml:space="preserve">V roku 2019 bol ústavným zákonom zavedený strop na vek odchodu do dôchodku. </w:t>
            </w:r>
            <w:r w:rsidRPr="00887108">
              <w:rPr>
                <w:bCs/>
                <w:sz w:val="20"/>
              </w:rPr>
              <w:t xml:space="preserve">Budúci dôchodkový vek </w:t>
            </w:r>
            <w:r w:rsidR="00B15F84" w:rsidRPr="00887108">
              <w:rPr>
                <w:bCs/>
                <w:sz w:val="20"/>
              </w:rPr>
              <w:t xml:space="preserve">má </w:t>
            </w:r>
            <w:r w:rsidRPr="00887108">
              <w:rPr>
                <w:bCs/>
                <w:sz w:val="20"/>
              </w:rPr>
              <w:t>rásť až do dovŕšenia hranice 64 rokov, následne sa presta</w:t>
            </w:r>
            <w:r w:rsidR="00B15F84" w:rsidRPr="00887108">
              <w:rPr>
                <w:bCs/>
                <w:sz w:val="20"/>
              </w:rPr>
              <w:t>ť</w:t>
            </w:r>
            <w:r w:rsidRPr="00887108">
              <w:rPr>
                <w:bCs/>
                <w:sz w:val="20"/>
              </w:rPr>
              <w:t xml:space="preserve"> zvyšovať napriek rastúcej strednej dĺžke života.</w:t>
            </w:r>
            <w:r w:rsidRPr="00887108">
              <w:rPr>
                <w:sz w:val="20"/>
              </w:rPr>
              <w:t xml:space="preserve"> Pre ženy s deťmi </w:t>
            </w:r>
            <w:r w:rsidR="00B15F84" w:rsidRPr="00887108">
              <w:rPr>
                <w:sz w:val="20"/>
              </w:rPr>
              <w:t xml:space="preserve">bol </w:t>
            </w:r>
            <w:r w:rsidRPr="00887108">
              <w:rPr>
                <w:sz w:val="20"/>
              </w:rPr>
              <w:t>navyše dôchodkový strop znížený o 6 mesiacov za každé dieťa, najviac však za tri deti. Zá</w:t>
            </w:r>
            <w:r w:rsidRPr="00887108">
              <w:rPr>
                <w:bCs/>
                <w:sz w:val="20"/>
              </w:rPr>
              <w:t>roveň sa pre matky zníži</w:t>
            </w:r>
            <w:r w:rsidR="00B15F84" w:rsidRPr="00887108">
              <w:rPr>
                <w:bCs/>
                <w:sz w:val="20"/>
              </w:rPr>
              <w:t>l</w:t>
            </w:r>
            <w:r w:rsidRPr="00887108">
              <w:rPr>
                <w:bCs/>
                <w:sz w:val="20"/>
              </w:rPr>
              <w:t xml:space="preserve"> rast ich dôchodkového veku oproti pôvodne očakávanému rastu. Po dovŕšení stropu na dôchodkový vek budú dôchodcovia tráviť na dôchodku dlhší čas, čo povedie k zvýšeným výdavkom na dôchodky.</w:t>
            </w:r>
          </w:p>
          <w:p w14:paraId="6391865B" w14:textId="640505BC" w:rsidR="005D39E1" w:rsidRPr="00887108" w:rsidRDefault="005D39E1" w:rsidP="005D39E1">
            <w:pPr>
              <w:spacing w:after="120"/>
              <w:jc w:val="both"/>
              <w:rPr>
                <w:bCs/>
                <w:sz w:val="20"/>
              </w:rPr>
            </w:pPr>
            <w:r w:rsidRPr="00887108">
              <w:rPr>
                <w:b/>
                <w:bCs/>
                <w:sz w:val="20"/>
              </w:rPr>
              <w:t>Minimálne dôchodky sa zvýšili a ich hodnota sa naviazala na rast priemernej mzdy.</w:t>
            </w:r>
            <w:r w:rsidRPr="00887108">
              <w:rPr>
                <w:bCs/>
                <w:sz w:val="20"/>
              </w:rPr>
              <w:t xml:space="preserve"> Minimálny dôchodok bol priznaný len tým, ktorí odpracovali aspoň 30 rokov</w:t>
            </w:r>
            <w:r w:rsidRPr="00887108">
              <w:rPr>
                <w:rStyle w:val="Odkaznapoznmkupodiarou"/>
                <w:bCs/>
                <w:sz w:val="20"/>
                <w:lang w:val="sk-SK"/>
              </w:rPr>
              <w:footnoteReference w:id="66"/>
            </w:r>
            <w:r w:rsidRPr="00887108">
              <w:rPr>
                <w:bCs/>
                <w:sz w:val="20"/>
              </w:rPr>
              <w:t>, pričom sa zvyšoval s dĺžkou kariéry. Jeho hodnota bola odvodená od úrovne životného minima, ktor</w:t>
            </w:r>
            <w:r w:rsidR="00B15F84" w:rsidRPr="00887108">
              <w:rPr>
                <w:bCs/>
                <w:sz w:val="20"/>
              </w:rPr>
              <w:t>á</w:t>
            </w:r>
            <w:r w:rsidRPr="00887108">
              <w:rPr>
                <w:bCs/>
                <w:sz w:val="20"/>
              </w:rPr>
              <w:t xml:space="preserve"> rastie približne tempom inflácie. S účinnosťou od roku 2020 sa úroveň minimálneho dôchodku zvýšila zo 136 % životného minima na 33 % priemernej mzdy pri 30 odpracovaných rokoch. Dodatočné zvýšenie za dlhšiu kariéru zostalo nezmenené. Minimálne dôchodky tak vzrástli približne o 48,4 eura</w:t>
            </w:r>
            <w:r w:rsidRPr="00887108">
              <w:rPr>
                <w:rStyle w:val="Odkaznapoznmkupodiarou"/>
                <w:bCs/>
                <w:sz w:val="20"/>
                <w:lang w:val="sk-SK"/>
              </w:rPr>
              <w:footnoteReference w:id="67"/>
            </w:r>
            <w:r w:rsidRPr="00887108">
              <w:rPr>
                <w:bCs/>
                <w:sz w:val="20"/>
              </w:rPr>
              <w:t>, a ich hodnota je po novom naviazaná na rast priemernej mzdy.</w:t>
            </w:r>
          </w:p>
          <w:p w14:paraId="60DC492B" w14:textId="79718883" w:rsidR="005D39E1" w:rsidRPr="00887108" w:rsidRDefault="005D39E1" w:rsidP="005D39E1">
            <w:pPr>
              <w:spacing w:after="120"/>
              <w:jc w:val="both"/>
              <w:rPr>
                <w:bCs/>
                <w:sz w:val="20"/>
              </w:rPr>
            </w:pPr>
            <w:r w:rsidRPr="00887108">
              <w:rPr>
                <w:b/>
                <w:bCs/>
                <w:sz w:val="20"/>
              </w:rPr>
              <w:t>Výdavky na dôchodky zvýšila aj zmena krátenia dôchodkov z I. piliera</w:t>
            </w:r>
            <w:r w:rsidR="00DC36EA" w:rsidRPr="00887108">
              <w:rPr>
                <w:rStyle w:val="Odkaznapoznmkupodiarou"/>
                <w:b/>
                <w:bCs/>
                <w:sz w:val="20"/>
                <w:lang w:val="sk-SK"/>
              </w:rPr>
              <w:footnoteReference w:id="68"/>
            </w:r>
            <w:r w:rsidRPr="00887108">
              <w:rPr>
                <w:b/>
                <w:bCs/>
                <w:sz w:val="20"/>
              </w:rPr>
              <w:t xml:space="preserve"> a zdvojnásobenie vianočných príspevkov</w:t>
            </w:r>
            <w:r w:rsidRPr="00887108">
              <w:rPr>
                <w:rStyle w:val="Odkaznapoznmkupodiarou"/>
                <w:b/>
                <w:bCs/>
                <w:sz w:val="20"/>
                <w:lang w:val="sk-SK"/>
              </w:rPr>
              <w:footnoteReference w:id="69"/>
            </w:r>
            <w:r w:rsidRPr="00887108">
              <w:rPr>
                <w:b/>
                <w:bCs/>
                <w:sz w:val="20"/>
              </w:rPr>
              <w:t xml:space="preserve">. </w:t>
            </w:r>
            <w:r w:rsidRPr="00887108">
              <w:rPr>
                <w:bCs/>
                <w:sz w:val="20"/>
              </w:rPr>
              <w:t>Dôchodky z I. piliera sa pre sporiteľov v II. pilieri krátia podľa pomeru odvedeného poistného do jednotlivých schém. Do roku 2019 sa pre tento účel zohľadňovalo len poistné na starobné poistenie. Od roku 2020 k nim pribud</w:t>
            </w:r>
            <w:r w:rsidR="006E5BED" w:rsidRPr="00887108">
              <w:rPr>
                <w:bCs/>
                <w:sz w:val="20"/>
              </w:rPr>
              <w:t>lo</w:t>
            </w:r>
            <w:r w:rsidRPr="00887108">
              <w:rPr>
                <w:bCs/>
                <w:sz w:val="20"/>
              </w:rPr>
              <w:t xml:space="preserve"> aj poistné do rezervného fondu solidarity. Zvýšenie vianočného príspevku zvýši</w:t>
            </w:r>
            <w:r w:rsidR="006E5BED" w:rsidRPr="00887108">
              <w:rPr>
                <w:bCs/>
                <w:sz w:val="20"/>
              </w:rPr>
              <w:t>lo</w:t>
            </w:r>
            <w:r w:rsidRPr="00887108">
              <w:rPr>
                <w:bCs/>
                <w:sz w:val="20"/>
              </w:rPr>
              <w:t xml:space="preserve"> výdavky</w:t>
            </w:r>
            <w:r w:rsidRPr="00887108">
              <w:rPr>
                <w:sz w:val="20"/>
              </w:rPr>
              <w:t xml:space="preserve"> približne o 0,1 % HDP ako aj počet dôchodcov s nárokom na vianočný príspevok</w:t>
            </w:r>
            <w:r w:rsidRPr="00887108">
              <w:rPr>
                <w:rStyle w:val="Odkaznapoznmkupodiarou"/>
                <w:sz w:val="20"/>
                <w:lang w:val="sk-SK"/>
              </w:rPr>
              <w:footnoteReference w:id="70"/>
            </w:r>
            <w:r w:rsidRPr="00887108">
              <w:rPr>
                <w:sz w:val="20"/>
              </w:rPr>
              <w:t xml:space="preserve">. </w:t>
            </w:r>
          </w:p>
          <w:p w14:paraId="67D912CE" w14:textId="138EF989" w:rsidR="00C80FED" w:rsidRPr="00887108" w:rsidRDefault="005D39E1" w:rsidP="005D39E1">
            <w:pPr>
              <w:spacing w:after="120"/>
              <w:jc w:val="both"/>
              <w:rPr>
                <w:sz w:val="20"/>
              </w:rPr>
            </w:pPr>
            <w:r w:rsidRPr="00887108">
              <w:rPr>
                <w:b/>
                <w:sz w:val="20"/>
              </w:rPr>
              <w:t>Zmeny v dôchodkovom systéme zvýši</w:t>
            </w:r>
            <w:r w:rsidR="006E5BED" w:rsidRPr="00887108">
              <w:rPr>
                <w:b/>
                <w:sz w:val="20"/>
              </w:rPr>
              <w:t>li</w:t>
            </w:r>
            <w:r w:rsidRPr="00887108">
              <w:rPr>
                <w:b/>
                <w:sz w:val="20"/>
              </w:rPr>
              <w:t xml:space="preserve"> aj ostatné výdavky na starnutie k HDP (</w:t>
            </w:r>
            <w:r w:rsidRPr="00887108">
              <w:rPr>
                <w:b/>
                <w:color w:val="2C9ADC" w:themeColor="accent1"/>
                <w:sz w:val="20"/>
              </w:rPr>
              <w:t xml:space="preserve">Graf </w:t>
            </w:r>
            <w:r w:rsidR="00CA1953" w:rsidRPr="00887108">
              <w:rPr>
                <w:b/>
                <w:color w:val="2C9ADC" w:themeColor="accent1"/>
                <w:sz w:val="20"/>
              </w:rPr>
              <w:t>24</w:t>
            </w:r>
            <w:r w:rsidRPr="00887108">
              <w:rPr>
                <w:b/>
                <w:sz w:val="20"/>
              </w:rPr>
              <w:t xml:space="preserve">). </w:t>
            </w:r>
            <w:r w:rsidRPr="00887108">
              <w:rPr>
                <w:sz w:val="20"/>
              </w:rPr>
              <w:t>Zavedenie stropu na dôchodkový vek zníži počet pracujúcich a tým aj budúce HDP. Produktivita práce a teda aj priemerná mzda sa však takmer nezmení. Výdavky relatívne k HDP tak vzrastú v oblastiach s vysokým podielom práce. Najvyšší nárast nastane vo výdavkoch na školstvo, z 3,7 % HDP na 4,2 % HDP v roku 2070. Výdavky na zdravotníctvo vzrastú z 6,8 % HDP na 7,1 % HDP v roku 2070, čo je nižší nárast oproti školstvu, z dôvodu vyšších kapitálových výdavkov, ktoré rastú tempom HDP. Výdavky na dlhodobú starostlivosť vzrastú v roku 2070 z 1,5 % HDP na 1,6 % HDP v roku 2070.</w:t>
            </w:r>
          </w:p>
          <w:tbl>
            <w:tblPr>
              <w:tblW w:w="9083" w:type="dxa"/>
              <w:tblLayout w:type="fixed"/>
              <w:tblCellMar>
                <w:left w:w="70" w:type="dxa"/>
                <w:right w:w="70" w:type="dxa"/>
              </w:tblCellMar>
              <w:tblLook w:val="0000" w:firstRow="0" w:lastRow="0" w:firstColumn="0" w:lastColumn="0" w:noHBand="0" w:noVBand="0"/>
            </w:tblPr>
            <w:tblGrid>
              <w:gridCol w:w="4379"/>
              <w:gridCol w:w="213"/>
              <w:gridCol w:w="23"/>
              <w:gridCol w:w="4455"/>
              <w:gridCol w:w="13"/>
            </w:tblGrid>
            <w:tr w:rsidR="005D39E1" w:rsidRPr="00887108" w14:paraId="76AF73E5" w14:textId="77777777" w:rsidTr="006546DD">
              <w:trPr>
                <w:gridAfter w:val="1"/>
                <w:wAfter w:w="13" w:type="dxa"/>
                <w:trHeight w:val="25"/>
              </w:trPr>
              <w:tc>
                <w:tcPr>
                  <w:tcW w:w="4379" w:type="dxa"/>
                  <w:tcBorders>
                    <w:top w:val="nil"/>
                    <w:left w:val="nil"/>
                    <w:bottom w:val="single" w:sz="8" w:space="0" w:color="auto"/>
                    <w:right w:val="nil"/>
                  </w:tcBorders>
                  <w:shd w:val="clear" w:color="auto" w:fill="auto"/>
                  <w:noWrap/>
                  <w:vAlign w:val="center"/>
                </w:tcPr>
                <w:p w14:paraId="75172549" w14:textId="434BF279" w:rsidR="005D39E1" w:rsidRPr="00887108" w:rsidRDefault="009B6CDF" w:rsidP="00062F86">
                  <w:pPr>
                    <w:keepNext/>
                    <w:framePr w:hSpace="141" w:wrap="around" w:vAnchor="text" w:hAnchor="text" w:xAlign="center" w:y="1"/>
                    <w:suppressOverlap/>
                    <w:outlineLvl w:val="2"/>
                    <w:rPr>
                      <w:rFonts w:eastAsia="Calibri" w:cs="Arial"/>
                      <w:b/>
                      <w:bCs/>
                      <w:color w:val="2C9ADC"/>
                      <w:sz w:val="18"/>
                      <w:szCs w:val="19"/>
                      <w:lang w:eastAsia="en-US"/>
                    </w:rPr>
                  </w:pPr>
                  <w:bookmarkStart w:id="139" w:name="_Toc40181275"/>
                  <w:r w:rsidRPr="00887108">
                    <w:rPr>
                      <w:rFonts w:eastAsiaTheme="minorHAnsi"/>
                      <w:b/>
                      <w:color w:val="2C9ADC"/>
                      <w:sz w:val="18"/>
                      <w:szCs w:val="20"/>
                      <w:lang w:eastAsia="en-US"/>
                    </w:rPr>
                    <w:t xml:space="preserve">GRAF </w:t>
                  </w:r>
                  <w:r w:rsidRPr="00887108">
                    <w:rPr>
                      <w:rFonts w:eastAsiaTheme="minorHAnsi"/>
                      <w:b/>
                      <w:color w:val="2C9ADC"/>
                      <w:sz w:val="18"/>
                      <w:szCs w:val="20"/>
                      <w:lang w:eastAsia="en-US"/>
                    </w:rPr>
                    <w:fldChar w:fldCharType="begin"/>
                  </w:r>
                  <w:r w:rsidRPr="00887108">
                    <w:rPr>
                      <w:rFonts w:eastAsiaTheme="minorHAnsi"/>
                      <w:b/>
                      <w:color w:val="2C9ADC"/>
                      <w:sz w:val="18"/>
                      <w:szCs w:val="20"/>
                      <w:lang w:eastAsia="en-US"/>
                    </w:rPr>
                    <w:instrText xml:space="preserve"> SEQ GRAF \* ARABIC </w:instrText>
                  </w:r>
                  <w:r w:rsidRPr="00887108">
                    <w:rPr>
                      <w:rFonts w:eastAsiaTheme="minorHAnsi"/>
                      <w:b/>
                      <w:color w:val="2C9ADC"/>
                      <w:sz w:val="18"/>
                      <w:szCs w:val="20"/>
                      <w:lang w:eastAsia="en-US"/>
                    </w:rPr>
                    <w:fldChar w:fldCharType="separate"/>
                  </w:r>
                  <w:r w:rsidR="00D47A36">
                    <w:rPr>
                      <w:rFonts w:eastAsiaTheme="minorHAnsi"/>
                      <w:b/>
                      <w:noProof/>
                      <w:color w:val="2C9ADC"/>
                      <w:sz w:val="18"/>
                      <w:szCs w:val="20"/>
                      <w:lang w:eastAsia="en-US"/>
                    </w:rPr>
                    <w:t>24</w:t>
                  </w:r>
                  <w:r w:rsidRPr="00887108">
                    <w:rPr>
                      <w:rFonts w:eastAsiaTheme="minorHAnsi"/>
                      <w:b/>
                      <w:color w:val="2C9ADC"/>
                      <w:sz w:val="18"/>
                      <w:szCs w:val="20"/>
                      <w:lang w:eastAsia="en-US"/>
                    </w:rPr>
                    <w:fldChar w:fldCharType="end"/>
                  </w:r>
                  <w:r w:rsidRPr="00887108">
                    <w:rPr>
                      <w:rFonts w:eastAsiaTheme="minorHAnsi"/>
                      <w:b/>
                      <w:color w:val="2C9ADC"/>
                      <w:sz w:val="18"/>
                      <w:szCs w:val="20"/>
                      <w:lang w:eastAsia="en-US"/>
                    </w:rPr>
                    <w:t xml:space="preserve"> - </w:t>
                  </w:r>
                  <w:r w:rsidR="005D39E1" w:rsidRPr="00887108">
                    <w:rPr>
                      <w:rFonts w:eastAsia="Calibri" w:cs="Arial"/>
                      <w:b/>
                      <w:bCs/>
                      <w:color w:val="2C9ADC"/>
                      <w:sz w:val="18"/>
                      <w:szCs w:val="19"/>
                      <w:lang w:eastAsia="en-US"/>
                    </w:rPr>
                    <w:t>Aktualizácia projekcií výdavkov citlivých na starnutie z dôvodu zavedenia stropu na dôchodkový vek (% HDP)</w:t>
                  </w:r>
                  <w:bookmarkEnd w:id="139"/>
                </w:p>
              </w:tc>
              <w:tc>
                <w:tcPr>
                  <w:tcW w:w="213" w:type="dxa"/>
                  <w:tcBorders>
                    <w:top w:val="nil"/>
                    <w:left w:val="nil"/>
                    <w:bottom w:val="nil"/>
                    <w:right w:val="nil"/>
                  </w:tcBorders>
                </w:tcPr>
                <w:p w14:paraId="13FE5417" w14:textId="77777777" w:rsidR="005D39E1" w:rsidRPr="00887108" w:rsidRDefault="005D39E1" w:rsidP="00062F86">
                  <w:pPr>
                    <w:framePr w:hSpace="141" w:wrap="around" w:vAnchor="text" w:hAnchor="text" w:xAlign="center" w:y="1"/>
                    <w:suppressOverlap/>
                    <w:rPr>
                      <w:rFonts w:eastAsia="Calibri" w:cs="Arial"/>
                      <w:b/>
                      <w:bCs/>
                      <w:color w:val="2C9ADC"/>
                      <w:sz w:val="18"/>
                      <w:szCs w:val="26"/>
                      <w:lang w:eastAsia="en-US"/>
                    </w:rPr>
                  </w:pPr>
                </w:p>
              </w:tc>
              <w:tc>
                <w:tcPr>
                  <w:tcW w:w="4478" w:type="dxa"/>
                  <w:gridSpan w:val="2"/>
                  <w:tcBorders>
                    <w:top w:val="nil"/>
                    <w:left w:val="nil"/>
                    <w:bottom w:val="single" w:sz="8" w:space="0" w:color="auto"/>
                    <w:right w:val="nil"/>
                  </w:tcBorders>
                  <w:shd w:val="clear" w:color="auto" w:fill="auto"/>
                  <w:noWrap/>
                  <w:vAlign w:val="center"/>
                </w:tcPr>
                <w:p w14:paraId="1EEC9F7E" w14:textId="04167F00" w:rsidR="005D39E1" w:rsidRPr="00887108" w:rsidRDefault="009B6CDF" w:rsidP="00062F86">
                  <w:pPr>
                    <w:keepNext/>
                    <w:framePr w:hSpace="141" w:wrap="around" w:vAnchor="text" w:hAnchor="text" w:xAlign="center" w:y="1"/>
                    <w:suppressOverlap/>
                    <w:outlineLvl w:val="2"/>
                    <w:rPr>
                      <w:rFonts w:eastAsia="Calibri" w:cs="Arial"/>
                      <w:b/>
                      <w:bCs/>
                      <w:color w:val="2C9ADC"/>
                      <w:sz w:val="18"/>
                      <w:szCs w:val="19"/>
                      <w:lang w:eastAsia="en-US"/>
                    </w:rPr>
                  </w:pPr>
                  <w:bookmarkStart w:id="140" w:name="_Toc40181276"/>
                  <w:r w:rsidRPr="00887108">
                    <w:rPr>
                      <w:rFonts w:eastAsiaTheme="minorHAnsi"/>
                      <w:b/>
                      <w:color w:val="2C9ADC"/>
                      <w:sz w:val="18"/>
                      <w:szCs w:val="20"/>
                      <w:lang w:eastAsia="en-US"/>
                    </w:rPr>
                    <w:t xml:space="preserve">GRAF </w:t>
                  </w:r>
                  <w:r w:rsidRPr="00887108">
                    <w:rPr>
                      <w:rFonts w:eastAsiaTheme="minorHAnsi"/>
                      <w:b/>
                      <w:color w:val="2C9ADC"/>
                      <w:sz w:val="18"/>
                      <w:szCs w:val="20"/>
                      <w:lang w:eastAsia="en-US"/>
                    </w:rPr>
                    <w:fldChar w:fldCharType="begin"/>
                  </w:r>
                  <w:r w:rsidRPr="00887108">
                    <w:rPr>
                      <w:rFonts w:eastAsiaTheme="minorHAnsi"/>
                      <w:b/>
                      <w:color w:val="2C9ADC"/>
                      <w:sz w:val="18"/>
                      <w:szCs w:val="20"/>
                      <w:lang w:eastAsia="en-US"/>
                    </w:rPr>
                    <w:instrText xml:space="preserve"> SEQ GRAF \* ARABIC </w:instrText>
                  </w:r>
                  <w:r w:rsidRPr="00887108">
                    <w:rPr>
                      <w:rFonts w:eastAsiaTheme="minorHAnsi"/>
                      <w:b/>
                      <w:color w:val="2C9ADC"/>
                      <w:sz w:val="18"/>
                      <w:szCs w:val="20"/>
                      <w:lang w:eastAsia="en-US"/>
                    </w:rPr>
                    <w:fldChar w:fldCharType="separate"/>
                  </w:r>
                  <w:r w:rsidR="00D47A36">
                    <w:rPr>
                      <w:rFonts w:eastAsiaTheme="minorHAnsi"/>
                      <w:b/>
                      <w:noProof/>
                      <w:color w:val="2C9ADC"/>
                      <w:sz w:val="18"/>
                      <w:szCs w:val="20"/>
                      <w:lang w:eastAsia="en-US"/>
                    </w:rPr>
                    <w:t>25</w:t>
                  </w:r>
                  <w:r w:rsidRPr="00887108">
                    <w:rPr>
                      <w:rFonts w:eastAsiaTheme="minorHAnsi"/>
                      <w:b/>
                      <w:color w:val="2C9ADC"/>
                      <w:sz w:val="18"/>
                      <w:szCs w:val="20"/>
                      <w:lang w:eastAsia="en-US"/>
                    </w:rPr>
                    <w:fldChar w:fldCharType="end"/>
                  </w:r>
                  <w:r w:rsidRPr="00887108">
                    <w:rPr>
                      <w:rFonts w:eastAsiaTheme="minorHAnsi"/>
                      <w:b/>
                      <w:color w:val="2C9ADC"/>
                      <w:sz w:val="18"/>
                      <w:szCs w:val="20"/>
                      <w:lang w:eastAsia="en-US"/>
                    </w:rPr>
                    <w:t xml:space="preserve"> - </w:t>
                  </w:r>
                  <w:r w:rsidR="005D39E1" w:rsidRPr="00887108">
                    <w:rPr>
                      <w:rFonts w:eastAsia="Calibri" w:cs="Arial"/>
                      <w:b/>
                      <w:bCs/>
                      <w:color w:val="2C9ADC"/>
                      <w:sz w:val="18"/>
                      <w:szCs w:val="19"/>
                      <w:lang w:eastAsia="en-US"/>
                    </w:rPr>
                    <w:t>Dodatočný nárast výdavkov citlivých na starnutie z dôvodu zavedenia stropu na dôchodkový vek (% HDP)</w:t>
                  </w:r>
                  <w:bookmarkEnd w:id="140"/>
                </w:p>
              </w:tc>
            </w:tr>
            <w:tr w:rsidR="005D39E1" w:rsidRPr="00887108" w14:paraId="3619F400" w14:textId="77777777" w:rsidTr="006546DD">
              <w:tblPrEx>
                <w:tblCellMar>
                  <w:left w:w="108" w:type="dxa"/>
                  <w:right w:w="108" w:type="dxa"/>
                </w:tblCellMar>
              </w:tblPrEx>
              <w:trPr>
                <w:trHeight w:val="1229"/>
              </w:trPr>
              <w:tc>
                <w:tcPr>
                  <w:tcW w:w="4379" w:type="dxa"/>
                  <w:tcBorders>
                    <w:top w:val="single" w:sz="8" w:space="0" w:color="auto"/>
                    <w:left w:val="nil"/>
                    <w:bottom w:val="nil"/>
                    <w:right w:val="nil"/>
                  </w:tcBorders>
                  <w:shd w:val="clear" w:color="auto" w:fill="auto"/>
                  <w:noWrap/>
                  <w:vAlign w:val="center"/>
                </w:tcPr>
                <w:p w14:paraId="43FE1133" w14:textId="77777777" w:rsidR="005D39E1" w:rsidRPr="00887108" w:rsidRDefault="005D39E1" w:rsidP="00062F86">
                  <w:pPr>
                    <w:framePr w:hSpace="141" w:wrap="around" w:vAnchor="text" w:hAnchor="text" w:xAlign="center" w:y="1"/>
                    <w:suppressOverlap/>
                    <w:rPr>
                      <w:rFonts w:cs="Arial"/>
                      <w:sz w:val="20"/>
                      <w:szCs w:val="20"/>
                    </w:rPr>
                  </w:pPr>
                  <w:r w:rsidRPr="00887108">
                    <w:drawing>
                      <wp:inline distT="0" distB="0" distL="0" distR="0" wp14:anchorId="76B8197C" wp14:editId="4AAA2CA6">
                        <wp:extent cx="2590800" cy="1405466"/>
                        <wp:effectExtent l="0" t="0" r="0" b="444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36" w:type="dxa"/>
                  <w:gridSpan w:val="2"/>
                  <w:tcBorders>
                    <w:top w:val="nil"/>
                    <w:left w:val="nil"/>
                    <w:bottom w:val="nil"/>
                    <w:right w:val="nil"/>
                  </w:tcBorders>
                  <w:shd w:val="clear" w:color="auto" w:fill="auto"/>
                </w:tcPr>
                <w:p w14:paraId="04E6B8DB" w14:textId="77777777" w:rsidR="005D39E1" w:rsidRPr="00887108" w:rsidRDefault="005D39E1" w:rsidP="00062F86">
                  <w:pPr>
                    <w:framePr w:hSpace="141" w:wrap="around" w:vAnchor="text" w:hAnchor="text" w:xAlign="center" w:y="1"/>
                    <w:suppressOverlap/>
                    <w:rPr>
                      <w:rFonts w:cs="Arial"/>
                      <w:sz w:val="20"/>
                      <w:szCs w:val="20"/>
                    </w:rPr>
                  </w:pPr>
                </w:p>
              </w:tc>
              <w:tc>
                <w:tcPr>
                  <w:tcW w:w="4468" w:type="dxa"/>
                  <w:gridSpan w:val="2"/>
                  <w:tcBorders>
                    <w:top w:val="single" w:sz="8" w:space="0" w:color="auto"/>
                    <w:left w:val="nil"/>
                    <w:bottom w:val="nil"/>
                    <w:right w:val="nil"/>
                  </w:tcBorders>
                  <w:shd w:val="clear" w:color="auto" w:fill="auto"/>
                  <w:noWrap/>
                  <w:vAlign w:val="center"/>
                </w:tcPr>
                <w:p w14:paraId="224E6F8B" w14:textId="77777777" w:rsidR="005D39E1" w:rsidRPr="00887108" w:rsidRDefault="005D39E1" w:rsidP="00062F86">
                  <w:pPr>
                    <w:framePr w:hSpace="141" w:wrap="around" w:vAnchor="text" w:hAnchor="text" w:xAlign="center" w:y="1"/>
                    <w:suppressOverlap/>
                    <w:jc w:val="center"/>
                    <w:rPr>
                      <w:rFonts w:cs="Arial"/>
                      <w:sz w:val="20"/>
                      <w:szCs w:val="20"/>
                    </w:rPr>
                  </w:pPr>
                  <w:r w:rsidRPr="00887108">
                    <w:drawing>
                      <wp:inline distT="0" distB="0" distL="0" distR="0" wp14:anchorId="6AD12BE6" wp14:editId="79D26A75">
                        <wp:extent cx="2714625" cy="14478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D39E1" w:rsidRPr="00887108" w14:paraId="0C03403B" w14:textId="77777777" w:rsidTr="006546DD">
              <w:trPr>
                <w:gridAfter w:val="1"/>
                <w:wAfter w:w="13" w:type="dxa"/>
                <w:trHeight w:val="89"/>
              </w:trPr>
              <w:tc>
                <w:tcPr>
                  <w:tcW w:w="4379" w:type="dxa"/>
                  <w:tcBorders>
                    <w:top w:val="single" w:sz="4" w:space="0" w:color="auto"/>
                    <w:left w:val="nil"/>
                    <w:right w:val="nil"/>
                  </w:tcBorders>
                  <w:shd w:val="clear" w:color="auto" w:fill="auto"/>
                  <w:noWrap/>
                  <w:vAlign w:val="center"/>
                </w:tcPr>
                <w:p w14:paraId="1CB268F0" w14:textId="77777777" w:rsidR="005D39E1" w:rsidRPr="00887108" w:rsidRDefault="005D39E1" w:rsidP="00062F86">
                  <w:pPr>
                    <w:framePr w:hSpace="141" w:wrap="around" w:vAnchor="text" w:hAnchor="text" w:xAlign="center" w:y="1"/>
                    <w:suppressOverlap/>
                    <w:jc w:val="right"/>
                    <w:rPr>
                      <w:rFonts w:cs="Arial Narrow"/>
                      <w:i/>
                      <w:iCs/>
                      <w:sz w:val="16"/>
                      <w:szCs w:val="16"/>
                    </w:rPr>
                  </w:pPr>
                  <w:r w:rsidRPr="00887108">
                    <w:rPr>
                      <w:rFonts w:cs="Arial Narrow"/>
                      <w:i/>
                      <w:iCs/>
                      <w:sz w:val="16"/>
                      <w:szCs w:val="16"/>
                    </w:rPr>
                    <w:t>Zdroj: MF SR</w:t>
                  </w:r>
                </w:p>
              </w:tc>
              <w:tc>
                <w:tcPr>
                  <w:tcW w:w="213" w:type="dxa"/>
                  <w:tcBorders>
                    <w:top w:val="nil"/>
                    <w:left w:val="nil"/>
                    <w:right w:val="nil"/>
                  </w:tcBorders>
                  <w:shd w:val="clear" w:color="auto" w:fill="auto"/>
                </w:tcPr>
                <w:p w14:paraId="037076DD" w14:textId="77777777" w:rsidR="005D39E1" w:rsidRPr="00887108" w:rsidRDefault="005D39E1" w:rsidP="00062F86">
                  <w:pPr>
                    <w:framePr w:hSpace="141" w:wrap="around" w:vAnchor="text" w:hAnchor="text" w:xAlign="center" w:y="1"/>
                    <w:suppressOverlap/>
                    <w:jc w:val="right"/>
                    <w:rPr>
                      <w:rFonts w:cs="Arial Narrow"/>
                      <w:sz w:val="20"/>
                      <w:szCs w:val="20"/>
                    </w:rPr>
                  </w:pPr>
                </w:p>
              </w:tc>
              <w:tc>
                <w:tcPr>
                  <w:tcW w:w="4478" w:type="dxa"/>
                  <w:gridSpan w:val="2"/>
                  <w:tcBorders>
                    <w:top w:val="single" w:sz="4" w:space="0" w:color="auto"/>
                    <w:left w:val="nil"/>
                    <w:right w:val="nil"/>
                  </w:tcBorders>
                  <w:shd w:val="clear" w:color="auto" w:fill="auto"/>
                  <w:noWrap/>
                  <w:vAlign w:val="center"/>
                </w:tcPr>
                <w:p w14:paraId="0C8CAE31" w14:textId="77777777" w:rsidR="005D39E1" w:rsidRPr="00887108" w:rsidRDefault="005D39E1" w:rsidP="00062F86">
                  <w:pPr>
                    <w:framePr w:hSpace="141" w:wrap="around" w:vAnchor="text" w:hAnchor="text" w:xAlign="center" w:y="1"/>
                    <w:spacing w:before="40"/>
                    <w:suppressOverlap/>
                    <w:jc w:val="right"/>
                    <w:rPr>
                      <w:rFonts w:cs="Arial Narrow"/>
                      <w:i/>
                      <w:iCs/>
                      <w:sz w:val="16"/>
                      <w:szCs w:val="16"/>
                    </w:rPr>
                  </w:pPr>
                  <w:r w:rsidRPr="00887108">
                    <w:rPr>
                      <w:rFonts w:cs="Arial Narrow"/>
                      <w:i/>
                      <w:iCs/>
                      <w:sz w:val="16"/>
                      <w:szCs w:val="16"/>
                    </w:rPr>
                    <w:t>Zdroj: MF SR</w:t>
                  </w:r>
                </w:p>
              </w:tc>
            </w:tr>
          </w:tbl>
          <w:p w14:paraId="73C3D446" w14:textId="77777777" w:rsidR="005D39E1" w:rsidRPr="00887108" w:rsidRDefault="005D39E1" w:rsidP="005D39E1">
            <w:pPr>
              <w:spacing w:before="240" w:after="120"/>
              <w:jc w:val="both"/>
              <w:rPr>
                <w:rFonts w:cs="Arial"/>
                <w:b/>
                <w:color w:val="2C9ADC" w:themeColor="accent1"/>
                <w:sz w:val="20"/>
              </w:rPr>
            </w:pPr>
            <w:r w:rsidRPr="00887108">
              <w:rPr>
                <w:rFonts w:cs="Arial"/>
                <w:b/>
                <w:color w:val="2C9ADC" w:themeColor="accent1"/>
                <w:sz w:val="20"/>
              </w:rPr>
              <w:t>Opatrenia nezahrnuté v aktualizácii dlhodobých výdavkov</w:t>
            </w:r>
          </w:p>
          <w:p w14:paraId="3AB36E27" w14:textId="50701253" w:rsidR="005D39E1" w:rsidRPr="00887108" w:rsidRDefault="006E5BED" w:rsidP="005D39E1">
            <w:pPr>
              <w:spacing w:after="120"/>
              <w:jc w:val="both"/>
              <w:rPr>
                <w:sz w:val="20"/>
              </w:rPr>
            </w:pPr>
            <w:r w:rsidRPr="00887108">
              <w:rPr>
                <w:b/>
                <w:sz w:val="20"/>
              </w:rPr>
              <w:t xml:space="preserve">V roku 2020 bol prijatý </w:t>
            </w:r>
            <w:r w:rsidR="005D39E1" w:rsidRPr="00887108">
              <w:rPr>
                <w:b/>
                <w:sz w:val="20"/>
              </w:rPr>
              <w:t>trinásty dôchodok</w:t>
            </w:r>
            <w:r w:rsidRPr="00887108">
              <w:rPr>
                <w:b/>
                <w:sz w:val="20"/>
              </w:rPr>
              <w:t>, nahrádzajúci vianočný príspevok</w:t>
            </w:r>
            <w:r w:rsidR="005D39E1" w:rsidRPr="00887108">
              <w:rPr>
                <w:b/>
                <w:sz w:val="20"/>
              </w:rPr>
              <w:t xml:space="preserve">. </w:t>
            </w:r>
            <w:r w:rsidR="005D39E1" w:rsidRPr="00887108">
              <w:rPr>
                <w:sz w:val="20"/>
              </w:rPr>
              <w:t>Táto zmena bola prijatá vo februári 2020, n</w:t>
            </w:r>
            <w:r w:rsidRPr="00887108">
              <w:rPr>
                <w:sz w:val="20"/>
              </w:rPr>
              <w:t>ebola</w:t>
            </w:r>
            <w:r w:rsidR="005D39E1" w:rsidRPr="00887108">
              <w:rPr>
                <w:sz w:val="20"/>
              </w:rPr>
              <w:t xml:space="preserve"> preto zahrnutá v aktualizovaných projekciách</w:t>
            </w:r>
            <w:r w:rsidR="005D39E1" w:rsidRPr="00887108">
              <w:rPr>
                <w:rStyle w:val="Odkaznapoznmkupodiarou"/>
                <w:sz w:val="20"/>
                <w:lang w:val="sk-SK"/>
              </w:rPr>
              <w:footnoteReference w:id="71"/>
            </w:r>
            <w:r w:rsidR="005D39E1" w:rsidRPr="00887108">
              <w:rPr>
                <w:sz w:val="20"/>
              </w:rPr>
              <w:t>. Kým vianočný príspevok klesá s vyšším dôchodkom, trinásty dôchodok bude priznaný každému dôchodcovi vo výške priemerného dôchodku</w:t>
            </w:r>
            <w:r w:rsidR="005D39E1" w:rsidRPr="00887108">
              <w:rPr>
                <w:rStyle w:val="Odkaznapoznmkupodiarou"/>
                <w:sz w:val="20"/>
                <w:lang w:val="sk-SK"/>
              </w:rPr>
              <w:footnoteReference w:id="72"/>
            </w:r>
            <w:r w:rsidR="005D39E1" w:rsidRPr="00887108">
              <w:rPr>
                <w:sz w:val="20"/>
              </w:rPr>
              <w:t>. Dodatočné výdavky dosiahnu 442 mil. eur v roku 2020, teda približne 0,4 % HDP. Opatrenie zvýši výdavky na dôchodky o 0,3 % až 0,5 % HDP počas celej projekcie</w:t>
            </w:r>
            <w:r w:rsidR="005D39E1" w:rsidRPr="00887108">
              <w:rPr>
                <w:rStyle w:val="Odkaznapoznmkupodiarou"/>
                <w:sz w:val="20"/>
                <w:lang w:val="sk-SK"/>
              </w:rPr>
              <w:footnoteReference w:id="73"/>
            </w:r>
            <w:r w:rsidR="005D39E1" w:rsidRPr="00887108">
              <w:rPr>
                <w:sz w:val="20"/>
              </w:rPr>
              <w:t>. V roku 2070 tak výdavky na dôchodky vzrastú z 13,8 % HDP na 14,2 % HDP.</w:t>
            </w:r>
          </w:p>
          <w:tbl>
            <w:tblPr>
              <w:tblW w:w="9070" w:type="dxa"/>
              <w:tblLayout w:type="fixed"/>
              <w:tblCellMar>
                <w:left w:w="70" w:type="dxa"/>
                <w:right w:w="70" w:type="dxa"/>
              </w:tblCellMar>
              <w:tblLook w:val="0000" w:firstRow="0" w:lastRow="0" w:firstColumn="0" w:lastColumn="0" w:noHBand="0" w:noVBand="0"/>
            </w:tblPr>
            <w:tblGrid>
              <w:gridCol w:w="4509"/>
              <w:gridCol w:w="227"/>
              <w:gridCol w:w="9"/>
              <w:gridCol w:w="4325"/>
            </w:tblGrid>
            <w:tr w:rsidR="005D39E1" w:rsidRPr="00887108" w14:paraId="433AE638" w14:textId="77777777" w:rsidTr="006546DD">
              <w:trPr>
                <w:trHeight w:val="25"/>
              </w:trPr>
              <w:tc>
                <w:tcPr>
                  <w:tcW w:w="4540" w:type="dxa"/>
                  <w:tcBorders>
                    <w:top w:val="nil"/>
                    <w:left w:val="nil"/>
                    <w:bottom w:val="single" w:sz="8" w:space="0" w:color="auto"/>
                    <w:right w:val="nil"/>
                  </w:tcBorders>
                  <w:shd w:val="clear" w:color="auto" w:fill="auto"/>
                  <w:noWrap/>
                  <w:vAlign w:val="center"/>
                </w:tcPr>
                <w:p w14:paraId="1095973A" w14:textId="66755890" w:rsidR="005D39E1" w:rsidRPr="00887108" w:rsidRDefault="009B6CDF" w:rsidP="00062F86">
                  <w:pPr>
                    <w:keepNext/>
                    <w:framePr w:hSpace="141" w:wrap="around" w:vAnchor="text" w:hAnchor="text" w:xAlign="center" w:y="1"/>
                    <w:suppressOverlap/>
                    <w:outlineLvl w:val="2"/>
                    <w:rPr>
                      <w:rFonts w:eastAsia="Calibri" w:cs="Arial"/>
                      <w:b/>
                      <w:bCs/>
                      <w:color w:val="2C9ADC"/>
                      <w:sz w:val="18"/>
                      <w:szCs w:val="26"/>
                      <w:lang w:eastAsia="en-US"/>
                    </w:rPr>
                  </w:pPr>
                  <w:bookmarkStart w:id="141" w:name="_Toc40181277"/>
                  <w:r w:rsidRPr="00887108">
                    <w:rPr>
                      <w:rFonts w:eastAsiaTheme="minorHAnsi"/>
                      <w:b/>
                      <w:color w:val="2C9ADC"/>
                      <w:sz w:val="18"/>
                      <w:szCs w:val="20"/>
                      <w:lang w:eastAsia="en-US"/>
                    </w:rPr>
                    <w:t xml:space="preserve">GRAF </w:t>
                  </w:r>
                  <w:r w:rsidRPr="00887108">
                    <w:rPr>
                      <w:rFonts w:eastAsiaTheme="minorHAnsi"/>
                      <w:b/>
                      <w:color w:val="2C9ADC"/>
                      <w:sz w:val="18"/>
                      <w:szCs w:val="20"/>
                      <w:lang w:eastAsia="en-US"/>
                    </w:rPr>
                    <w:fldChar w:fldCharType="begin"/>
                  </w:r>
                  <w:r w:rsidRPr="00887108">
                    <w:rPr>
                      <w:rFonts w:eastAsiaTheme="minorHAnsi"/>
                      <w:b/>
                      <w:color w:val="2C9ADC"/>
                      <w:sz w:val="18"/>
                      <w:szCs w:val="20"/>
                      <w:lang w:eastAsia="en-US"/>
                    </w:rPr>
                    <w:instrText xml:space="preserve"> SEQ GRAF \* ARABIC </w:instrText>
                  </w:r>
                  <w:r w:rsidRPr="00887108">
                    <w:rPr>
                      <w:rFonts w:eastAsiaTheme="minorHAnsi"/>
                      <w:b/>
                      <w:color w:val="2C9ADC"/>
                      <w:sz w:val="18"/>
                      <w:szCs w:val="20"/>
                      <w:lang w:eastAsia="en-US"/>
                    </w:rPr>
                    <w:fldChar w:fldCharType="separate"/>
                  </w:r>
                  <w:r w:rsidR="00D47A36">
                    <w:rPr>
                      <w:rFonts w:eastAsiaTheme="minorHAnsi"/>
                      <w:b/>
                      <w:noProof/>
                      <w:color w:val="2C9ADC"/>
                      <w:sz w:val="18"/>
                      <w:szCs w:val="20"/>
                      <w:lang w:eastAsia="en-US"/>
                    </w:rPr>
                    <w:t>26</w:t>
                  </w:r>
                  <w:r w:rsidRPr="00887108">
                    <w:rPr>
                      <w:rFonts w:eastAsiaTheme="minorHAnsi"/>
                      <w:b/>
                      <w:color w:val="2C9ADC"/>
                      <w:sz w:val="18"/>
                      <w:szCs w:val="20"/>
                      <w:lang w:eastAsia="en-US"/>
                    </w:rPr>
                    <w:fldChar w:fldCharType="end"/>
                  </w:r>
                  <w:r w:rsidRPr="00887108">
                    <w:rPr>
                      <w:rFonts w:eastAsiaTheme="minorHAnsi"/>
                      <w:b/>
                      <w:color w:val="2C9ADC"/>
                      <w:sz w:val="18"/>
                      <w:szCs w:val="20"/>
                      <w:lang w:eastAsia="en-US"/>
                    </w:rPr>
                    <w:t xml:space="preserve"> - </w:t>
                  </w:r>
                  <w:r w:rsidR="005D39E1" w:rsidRPr="00887108">
                    <w:rPr>
                      <w:rFonts w:eastAsia="Calibri" w:cs="Arial"/>
                      <w:b/>
                      <w:bCs/>
                      <w:color w:val="2C9ADC"/>
                      <w:sz w:val="18"/>
                      <w:szCs w:val="26"/>
                      <w:lang w:eastAsia="en-US"/>
                    </w:rPr>
                    <w:t>Dopad zavedenia 13. dôchodku na výdavky na dôchodky (% HDP)</w:t>
                  </w:r>
                  <w:bookmarkEnd w:id="141"/>
                </w:p>
              </w:tc>
              <w:tc>
                <w:tcPr>
                  <w:tcW w:w="167" w:type="dxa"/>
                  <w:tcBorders>
                    <w:top w:val="nil"/>
                    <w:left w:val="nil"/>
                    <w:bottom w:val="nil"/>
                    <w:right w:val="nil"/>
                  </w:tcBorders>
                </w:tcPr>
                <w:p w14:paraId="55D7435E" w14:textId="77777777" w:rsidR="005D39E1" w:rsidRPr="00887108" w:rsidRDefault="005D39E1" w:rsidP="00062F86">
                  <w:pPr>
                    <w:framePr w:hSpace="141" w:wrap="around" w:vAnchor="text" w:hAnchor="text" w:xAlign="center" w:y="1"/>
                    <w:suppressOverlap/>
                    <w:rPr>
                      <w:rFonts w:eastAsia="Calibri" w:cs="Arial"/>
                      <w:b/>
                      <w:bCs/>
                      <w:color w:val="2C9ADC"/>
                      <w:sz w:val="18"/>
                      <w:szCs w:val="26"/>
                      <w:lang w:eastAsia="en-US"/>
                    </w:rPr>
                  </w:pPr>
                </w:p>
              </w:tc>
              <w:tc>
                <w:tcPr>
                  <w:tcW w:w="4363" w:type="dxa"/>
                  <w:gridSpan w:val="2"/>
                  <w:tcBorders>
                    <w:top w:val="nil"/>
                    <w:left w:val="nil"/>
                    <w:bottom w:val="single" w:sz="8" w:space="0" w:color="auto"/>
                    <w:right w:val="nil"/>
                  </w:tcBorders>
                  <w:shd w:val="clear" w:color="auto" w:fill="auto"/>
                  <w:noWrap/>
                  <w:vAlign w:val="center"/>
                </w:tcPr>
                <w:p w14:paraId="3E4048F0" w14:textId="541BBD20" w:rsidR="005D39E1" w:rsidRPr="00887108" w:rsidRDefault="009B6CDF" w:rsidP="00062F86">
                  <w:pPr>
                    <w:keepNext/>
                    <w:framePr w:hSpace="141" w:wrap="around" w:vAnchor="text" w:hAnchor="text" w:xAlign="center" w:y="1"/>
                    <w:suppressOverlap/>
                    <w:outlineLvl w:val="2"/>
                    <w:rPr>
                      <w:rFonts w:eastAsia="Calibri" w:cs="Arial"/>
                      <w:b/>
                      <w:bCs/>
                      <w:color w:val="2C9ADC"/>
                      <w:sz w:val="18"/>
                      <w:szCs w:val="26"/>
                      <w:lang w:eastAsia="en-US"/>
                    </w:rPr>
                  </w:pPr>
                  <w:bookmarkStart w:id="142" w:name="_Toc40181278"/>
                  <w:r w:rsidRPr="00887108">
                    <w:rPr>
                      <w:rFonts w:eastAsiaTheme="minorHAnsi"/>
                      <w:b/>
                      <w:color w:val="2C9ADC"/>
                      <w:sz w:val="18"/>
                      <w:szCs w:val="20"/>
                      <w:lang w:eastAsia="en-US"/>
                    </w:rPr>
                    <w:t xml:space="preserve">GRAF </w:t>
                  </w:r>
                  <w:r w:rsidRPr="00887108">
                    <w:rPr>
                      <w:rFonts w:eastAsiaTheme="minorHAnsi"/>
                      <w:b/>
                      <w:color w:val="2C9ADC"/>
                      <w:sz w:val="18"/>
                      <w:szCs w:val="20"/>
                      <w:lang w:eastAsia="en-US"/>
                    </w:rPr>
                    <w:fldChar w:fldCharType="begin"/>
                  </w:r>
                  <w:r w:rsidRPr="00887108">
                    <w:rPr>
                      <w:rFonts w:eastAsiaTheme="minorHAnsi"/>
                      <w:b/>
                      <w:color w:val="2C9ADC"/>
                      <w:sz w:val="18"/>
                      <w:szCs w:val="20"/>
                      <w:lang w:eastAsia="en-US"/>
                    </w:rPr>
                    <w:instrText xml:space="preserve"> SEQ GRAF \* ARABIC </w:instrText>
                  </w:r>
                  <w:r w:rsidRPr="00887108">
                    <w:rPr>
                      <w:rFonts w:eastAsiaTheme="minorHAnsi"/>
                      <w:b/>
                      <w:color w:val="2C9ADC"/>
                      <w:sz w:val="18"/>
                      <w:szCs w:val="20"/>
                      <w:lang w:eastAsia="en-US"/>
                    </w:rPr>
                    <w:fldChar w:fldCharType="separate"/>
                  </w:r>
                  <w:r w:rsidR="00D47A36">
                    <w:rPr>
                      <w:rFonts w:eastAsiaTheme="minorHAnsi"/>
                      <w:b/>
                      <w:noProof/>
                      <w:color w:val="2C9ADC"/>
                      <w:sz w:val="18"/>
                      <w:szCs w:val="20"/>
                      <w:lang w:eastAsia="en-US"/>
                    </w:rPr>
                    <w:t>27</w:t>
                  </w:r>
                  <w:r w:rsidRPr="00887108">
                    <w:rPr>
                      <w:rFonts w:eastAsiaTheme="minorHAnsi"/>
                      <w:b/>
                      <w:color w:val="2C9ADC"/>
                      <w:sz w:val="18"/>
                      <w:szCs w:val="20"/>
                      <w:lang w:eastAsia="en-US"/>
                    </w:rPr>
                    <w:fldChar w:fldCharType="end"/>
                  </w:r>
                  <w:r w:rsidRPr="00887108">
                    <w:rPr>
                      <w:rFonts w:eastAsiaTheme="minorHAnsi"/>
                      <w:b/>
                      <w:color w:val="2C9ADC"/>
                      <w:sz w:val="18"/>
                      <w:szCs w:val="20"/>
                      <w:lang w:eastAsia="en-US"/>
                    </w:rPr>
                    <w:t xml:space="preserve"> - </w:t>
                  </w:r>
                  <w:r w:rsidR="005D39E1" w:rsidRPr="00887108">
                    <w:rPr>
                      <w:rFonts w:eastAsia="Calibri" w:cs="Arial"/>
                      <w:b/>
                      <w:bCs/>
                      <w:color w:val="2C9ADC"/>
                      <w:sz w:val="18"/>
                      <w:szCs w:val="26"/>
                      <w:lang w:eastAsia="en-US"/>
                    </w:rPr>
                    <w:t>Dopad zavedenia 13. dôchodku na výdavky na dôchodky (% HDP)</w:t>
                  </w:r>
                  <w:bookmarkEnd w:id="142"/>
                </w:p>
              </w:tc>
            </w:tr>
            <w:tr w:rsidR="005D39E1" w:rsidRPr="00887108" w14:paraId="0A5844E0" w14:textId="77777777" w:rsidTr="006546DD">
              <w:tblPrEx>
                <w:tblCellMar>
                  <w:left w:w="108" w:type="dxa"/>
                  <w:right w:w="108" w:type="dxa"/>
                </w:tblCellMar>
              </w:tblPrEx>
              <w:trPr>
                <w:trHeight w:val="1229"/>
              </w:trPr>
              <w:tc>
                <w:tcPr>
                  <w:tcW w:w="4540" w:type="dxa"/>
                  <w:tcBorders>
                    <w:top w:val="single" w:sz="8" w:space="0" w:color="auto"/>
                    <w:left w:val="nil"/>
                    <w:bottom w:val="nil"/>
                    <w:right w:val="nil"/>
                  </w:tcBorders>
                  <w:shd w:val="clear" w:color="auto" w:fill="auto"/>
                  <w:noWrap/>
                  <w:vAlign w:val="center"/>
                </w:tcPr>
                <w:p w14:paraId="459ED3AD" w14:textId="77777777" w:rsidR="005D39E1" w:rsidRPr="00887108" w:rsidRDefault="005D39E1" w:rsidP="00062F86">
                  <w:pPr>
                    <w:framePr w:hSpace="141" w:wrap="around" w:vAnchor="text" w:hAnchor="text" w:xAlign="center" w:y="1"/>
                    <w:suppressOverlap/>
                    <w:rPr>
                      <w:rFonts w:cs="Arial"/>
                      <w:sz w:val="20"/>
                      <w:szCs w:val="20"/>
                    </w:rPr>
                  </w:pPr>
                  <w:r w:rsidRPr="00887108">
                    <w:drawing>
                      <wp:inline distT="0" distB="0" distL="0" distR="0" wp14:anchorId="637CAB4B" wp14:editId="184B06E3">
                        <wp:extent cx="2819400" cy="1380067"/>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75" w:type="dxa"/>
                  <w:gridSpan w:val="2"/>
                  <w:tcBorders>
                    <w:top w:val="nil"/>
                    <w:left w:val="nil"/>
                    <w:bottom w:val="nil"/>
                    <w:right w:val="nil"/>
                  </w:tcBorders>
                  <w:shd w:val="clear" w:color="auto" w:fill="auto"/>
                </w:tcPr>
                <w:p w14:paraId="792B6BCF" w14:textId="77777777" w:rsidR="005D39E1" w:rsidRPr="00887108" w:rsidRDefault="005D39E1" w:rsidP="00062F86">
                  <w:pPr>
                    <w:framePr w:hSpace="141" w:wrap="around" w:vAnchor="text" w:hAnchor="text" w:xAlign="center" w:y="1"/>
                    <w:suppressOverlap/>
                    <w:rPr>
                      <w:rFonts w:cs="Arial"/>
                      <w:sz w:val="20"/>
                      <w:szCs w:val="20"/>
                    </w:rPr>
                  </w:pPr>
                </w:p>
              </w:tc>
              <w:tc>
                <w:tcPr>
                  <w:tcW w:w="4355" w:type="dxa"/>
                  <w:tcBorders>
                    <w:top w:val="single" w:sz="8" w:space="0" w:color="auto"/>
                    <w:left w:val="nil"/>
                    <w:bottom w:val="nil"/>
                    <w:right w:val="nil"/>
                  </w:tcBorders>
                  <w:shd w:val="clear" w:color="auto" w:fill="auto"/>
                  <w:noWrap/>
                  <w:vAlign w:val="center"/>
                </w:tcPr>
                <w:p w14:paraId="11D3EDD8" w14:textId="77777777" w:rsidR="005D39E1" w:rsidRPr="00887108" w:rsidRDefault="005D39E1" w:rsidP="00062F86">
                  <w:pPr>
                    <w:framePr w:hSpace="141" w:wrap="around" w:vAnchor="text" w:hAnchor="text" w:xAlign="center" w:y="1"/>
                    <w:suppressOverlap/>
                    <w:jc w:val="center"/>
                    <w:rPr>
                      <w:rFonts w:cs="Arial"/>
                      <w:sz w:val="20"/>
                      <w:szCs w:val="20"/>
                    </w:rPr>
                  </w:pPr>
                  <w:r w:rsidRPr="00887108">
                    <w:drawing>
                      <wp:inline distT="0" distB="0" distL="0" distR="0" wp14:anchorId="44B1A0C4" wp14:editId="1153FA06">
                        <wp:extent cx="2676525" cy="1354667"/>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5D39E1" w:rsidRPr="00887108" w14:paraId="083CB1D1" w14:textId="77777777" w:rsidTr="006546DD">
              <w:trPr>
                <w:trHeight w:val="89"/>
              </w:trPr>
              <w:tc>
                <w:tcPr>
                  <w:tcW w:w="4540" w:type="dxa"/>
                  <w:tcBorders>
                    <w:top w:val="single" w:sz="4" w:space="0" w:color="auto"/>
                    <w:left w:val="nil"/>
                    <w:right w:val="nil"/>
                  </w:tcBorders>
                  <w:shd w:val="clear" w:color="auto" w:fill="auto"/>
                  <w:noWrap/>
                  <w:vAlign w:val="center"/>
                </w:tcPr>
                <w:p w14:paraId="7756EAD6" w14:textId="77777777" w:rsidR="005D39E1" w:rsidRPr="00887108" w:rsidRDefault="005D39E1" w:rsidP="00062F86">
                  <w:pPr>
                    <w:framePr w:hSpace="141" w:wrap="around" w:vAnchor="text" w:hAnchor="text" w:xAlign="center" w:y="1"/>
                    <w:suppressOverlap/>
                    <w:jc w:val="right"/>
                    <w:rPr>
                      <w:rFonts w:cs="Arial Narrow"/>
                      <w:i/>
                      <w:iCs/>
                      <w:sz w:val="16"/>
                      <w:szCs w:val="16"/>
                    </w:rPr>
                  </w:pPr>
                  <w:r w:rsidRPr="00887108">
                    <w:rPr>
                      <w:rFonts w:cs="Arial Narrow"/>
                      <w:i/>
                      <w:iCs/>
                      <w:sz w:val="16"/>
                      <w:szCs w:val="16"/>
                    </w:rPr>
                    <w:t>Zdroj: MF SR</w:t>
                  </w:r>
                </w:p>
              </w:tc>
              <w:tc>
                <w:tcPr>
                  <w:tcW w:w="167" w:type="dxa"/>
                  <w:tcBorders>
                    <w:top w:val="nil"/>
                    <w:left w:val="nil"/>
                    <w:right w:val="nil"/>
                  </w:tcBorders>
                  <w:shd w:val="clear" w:color="auto" w:fill="auto"/>
                </w:tcPr>
                <w:p w14:paraId="5C7C0D0D" w14:textId="77777777" w:rsidR="005D39E1" w:rsidRPr="00887108" w:rsidRDefault="005D39E1" w:rsidP="00062F86">
                  <w:pPr>
                    <w:framePr w:hSpace="141" w:wrap="around" w:vAnchor="text" w:hAnchor="text" w:xAlign="center" w:y="1"/>
                    <w:suppressOverlap/>
                    <w:jc w:val="right"/>
                    <w:rPr>
                      <w:rFonts w:cs="Arial Narrow"/>
                      <w:sz w:val="20"/>
                      <w:szCs w:val="20"/>
                    </w:rPr>
                  </w:pPr>
                </w:p>
              </w:tc>
              <w:tc>
                <w:tcPr>
                  <w:tcW w:w="4363" w:type="dxa"/>
                  <w:gridSpan w:val="2"/>
                  <w:tcBorders>
                    <w:top w:val="single" w:sz="4" w:space="0" w:color="auto"/>
                    <w:left w:val="nil"/>
                    <w:right w:val="nil"/>
                  </w:tcBorders>
                  <w:shd w:val="clear" w:color="auto" w:fill="auto"/>
                  <w:noWrap/>
                  <w:vAlign w:val="center"/>
                </w:tcPr>
                <w:p w14:paraId="1E0D8890" w14:textId="77777777" w:rsidR="005D39E1" w:rsidRPr="00887108" w:rsidRDefault="005D39E1" w:rsidP="00062F86">
                  <w:pPr>
                    <w:framePr w:hSpace="141" w:wrap="around" w:vAnchor="text" w:hAnchor="text" w:xAlign="center" w:y="1"/>
                    <w:spacing w:before="40"/>
                    <w:suppressOverlap/>
                    <w:jc w:val="right"/>
                    <w:rPr>
                      <w:rFonts w:cs="Arial Narrow"/>
                      <w:i/>
                      <w:iCs/>
                      <w:sz w:val="16"/>
                      <w:szCs w:val="16"/>
                    </w:rPr>
                  </w:pPr>
                  <w:r w:rsidRPr="00887108">
                    <w:rPr>
                      <w:rFonts w:cs="Arial Narrow"/>
                      <w:i/>
                      <w:iCs/>
                      <w:sz w:val="16"/>
                      <w:szCs w:val="16"/>
                    </w:rPr>
                    <w:t>Zdroj: MF SR</w:t>
                  </w:r>
                </w:p>
              </w:tc>
            </w:tr>
          </w:tbl>
          <w:p w14:paraId="03FDD188" w14:textId="2F51F65D" w:rsidR="003E0076" w:rsidRPr="00887108" w:rsidRDefault="003E0076" w:rsidP="00BD39E7">
            <w:pPr>
              <w:jc w:val="both"/>
              <w:rPr>
                <w:b/>
                <w:color w:val="000000" w:themeColor="text1"/>
                <w:sz w:val="16"/>
                <w:szCs w:val="16"/>
              </w:rPr>
            </w:pPr>
          </w:p>
        </w:tc>
      </w:tr>
    </w:tbl>
    <w:p w14:paraId="5330C7A1" w14:textId="77777777" w:rsidR="00936F2A" w:rsidRPr="00887108" w:rsidRDefault="00936F2A">
      <w:pPr>
        <w:rPr>
          <w:rFonts w:cs="Arial Narrow"/>
          <w:color w:val="2C9ADC"/>
          <w:szCs w:val="28"/>
        </w:rPr>
      </w:pPr>
      <w:bookmarkStart w:id="143" w:name="_Toc449430195"/>
      <w:r w:rsidRPr="00887108">
        <w:rPr>
          <w:rFonts w:cs="Arial Narrow"/>
          <w:color w:val="2C9ADC"/>
          <w:szCs w:val="28"/>
        </w:rPr>
        <w:br w:type="page"/>
      </w:r>
    </w:p>
    <w:p w14:paraId="3C23A8AF" w14:textId="7EC77D5E" w:rsidR="00204588" w:rsidRPr="00887108" w:rsidRDefault="00204588" w:rsidP="00204588">
      <w:pPr>
        <w:pStyle w:val="Nadpis1"/>
        <w:keepLines/>
        <w:numPr>
          <w:ilvl w:val="0"/>
          <w:numId w:val="2"/>
        </w:numPr>
        <w:tabs>
          <w:tab w:val="left" w:pos="2127"/>
        </w:tabs>
        <w:spacing w:before="240" w:after="240"/>
        <w:rPr>
          <w:rFonts w:cs="Arial Narrow"/>
          <w:color w:val="2C9ADC"/>
          <w:szCs w:val="28"/>
        </w:rPr>
      </w:pPr>
      <w:bookmarkStart w:id="144" w:name="_Toc40181055"/>
      <w:r w:rsidRPr="00887108">
        <w:rPr>
          <w:rFonts w:cs="Arial Narrow"/>
          <w:color w:val="2C9ADC"/>
          <w:szCs w:val="28"/>
        </w:rPr>
        <w:t>INŠTITUCIONÁLNE ASPEKTY VEREJNÝCH FINANCIÍ</w:t>
      </w:r>
      <w:bookmarkEnd w:id="143"/>
      <w:bookmarkEnd w:id="144"/>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04588" w:rsidRPr="00887108" w14:paraId="26055BC1" w14:textId="77777777" w:rsidTr="00204588">
        <w:tc>
          <w:tcPr>
            <w:tcW w:w="9072" w:type="dxa"/>
          </w:tcPr>
          <w:p w14:paraId="3F0B0D2D" w14:textId="77777777" w:rsidR="00204588" w:rsidRPr="00887108" w:rsidRDefault="00204588" w:rsidP="00204588">
            <w:pPr>
              <w:jc w:val="both"/>
              <w:rPr>
                <w:i/>
                <w:highlight w:val="yellow"/>
              </w:rPr>
            </w:pPr>
            <w:r w:rsidRPr="00887108">
              <w:rPr>
                <w:i/>
              </w:rPr>
              <w:t>Vláda sa v programovom vyhlásení zaviazala zabezpečiť funkčné trojročné rozpočtovanie a zlepšenie proticyklickej funkcie verejných financií zavedením viacročných záväzných výdavkových stropov. Kvalitu rozpočtu podporí rozšírenie okruhu položiek kontrolovaných výbormi pre makroekonomické a daňové prognózy o úrokové výdavky, vybrané nedaňové príjmy a niektoré zákonom stanovené výdavky. Vláda zabezpečí lepšiu prípravu investičných projektov s dôsledným uplatňovaním princípov hodnoty za peniaze. Vláda zadefinuje novú stratégiu riadenia štátneho dlhu podloženú analýzou rizík a nákladov v súlade s najlepšou praxou vo svete.</w:t>
            </w:r>
            <w:r w:rsidRPr="00887108">
              <w:t xml:space="preserve"> </w:t>
            </w:r>
            <w:r w:rsidRPr="00887108">
              <w:rPr>
                <w:i/>
              </w:rPr>
              <w:t>Vláda tiež zvýši transparentnosť rozpočtu častejším a zrozumiteľným informovaním o jeho príprave a plnení.</w:t>
            </w:r>
          </w:p>
        </w:tc>
      </w:tr>
    </w:tbl>
    <w:p w14:paraId="369DBDE0" w14:textId="77777777" w:rsidR="00204588" w:rsidRPr="00887108" w:rsidRDefault="00204588" w:rsidP="00204588">
      <w:pPr>
        <w:jc w:val="both"/>
        <w:rPr>
          <w:highlight w:val="yellow"/>
        </w:rPr>
      </w:pPr>
    </w:p>
    <w:p w14:paraId="5C8A0E25" w14:textId="77777777" w:rsidR="00204588" w:rsidRPr="00887108" w:rsidRDefault="00204588" w:rsidP="00204588">
      <w:pPr>
        <w:pStyle w:val="Odsekzoznamu"/>
        <w:spacing w:after="240"/>
        <w:ind w:left="0"/>
        <w:contextualSpacing w:val="0"/>
        <w:jc w:val="both"/>
      </w:pPr>
      <w:r w:rsidRPr="00887108">
        <w:rPr>
          <w:rFonts w:cs="Arial Narrow"/>
          <w:b/>
        </w:rPr>
        <w:t>Úlohou efektívnych fiškálnych rámcov je dlhodobé dosahovanie udržateľnej rozpočtovej pozície, proti-cyklická reakcia fiškálnej politiky a zabezpečenie efektívneho vynakladania verejných zdrojov</w:t>
      </w:r>
      <w:r w:rsidRPr="00887108">
        <w:rPr>
          <w:rFonts w:cs="Arial Narrow"/>
        </w:rPr>
        <w:t>. Národný rámec fiškálnej politiky definuje súhrn pravidiel, predpisov a postupov, ktoré ovplyvňujú realizáciu národnej rozpočtovej politiky v podobe jej plánovania, schvaľovania, monitorovania a hodnotenia.</w:t>
      </w:r>
      <w:r w:rsidRPr="00887108">
        <w:t xml:space="preserve"> Hovoríme najmä o  národných fiškálnych pravidlách</w:t>
      </w:r>
      <w:r w:rsidRPr="00887108">
        <w:rPr>
          <w:rStyle w:val="Odkaznapoznmkupodiarou"/>
          <w:lang w:val="sk-SK"/>
        </w:rPr>
        <w:footnoteReference w:id="74"/>
      </w:r>
      <w:r w:rsidRPr="00887108">
        <w:t>, strednodobých rozpočtových rámcoch</w:t>
      </w:r>
      <w:r w:rsidRPr="00887108">
        <w:rPr>
          <w:rStyle w:val="Odkaznapoznmkupodiarou"/>
          <w:lang w:val="sk-SK"/>
        </w:rPr>
        <w:footnoteReference w:id="75"/>
      </w:r>
      <w:r w:rsidRPr="00887108">
        <w:t xml:space="preserve"> a nezávislých fiškálnych inštitúciách</w:t>
      </w:r>
      <w:r w:rsidRPr="00887108">
        <w:rPr>
          <w:rStyle w:val="Odkaznapoznmkupodiarou"/>
          <w:lang w:val="sk-SK"/>
        </w:rPr>
        <w:footnoteReference w:id="76"/>
      </w:r>
    </w:p>
    <w:p w14:paraId="374D7E21" w14:textId="77777777" w:rsidR="00204588" w:rsidRPr="00887108" w:rsidRDefault="00204588" w:rsidP="00204588">
      <w:pPr>
        <w:pStyle w:val="Default"/>
        <w:spacing w:before="240" w:after="120"/>
        <w:jc w:val="both"/>
        <w:rPr>
          <w:rFonts w:ascii="Arial Narrow" w:hAnsi="Arial Narrow"/>
          <w:b/>
          <w:color w:val="2C9ADC" w:themeColor="accent1"/>
          <w:sz w:val="22"/>
          <w:szCs w:val="22"/>
          <w:lang w:val="sk-SK"/>
        </w:rPr>
      </w:pPr>
      <w:r w:rsidRPr="00887108">
        <w:rPr>
          <w:rFonts w:ascii="Arial Narrow" w:hAnsi="Arial Narrow"/>
          <w:b/>
          <w:color w:val="2C9ADC" w:themeColor="accent1"/>
          <w:sz w:val="22"/>
          <w:szCs w:val="22"/>
          <w:lang w:val="sk-SK"/>
        </w:rPr>
        <w:t>Riadenie rozpočtu cez výdavkové stropy</w:t>
      </w:r>
    </w:p>
    <w:p w14:paraId="6CACCBB6" w14:textId="78BAEE73" w:rsidR="00204588" w:rsidRPr="00887108" w:rsidRDefault="00204588" w:rsidP="00204588">
      <w:pPr>
        <w:jc w:val="both"/>
      </w:pPr>
      <w:r w:rsidRPr="00887108">
        <w:rPr>
          <w:b/>
        </w:rPr>
        <w:t>Vláda sa v programovom vyhlásení zaviazala zabezpečiť funkčné trojročné rozpočtovanie a zlepšenie proticyklickej funkcie verejných financií pomocou výdavkových stropov.</w:t>
      </w:r>
      <w:r w:rsidRPr="00887108">
        <w:t xml:space="preserve"> Zavedú sa záväzné rozpočtové pravidlá na strednodobom horizonte ukotvením výdavkových stropov a sfunkčnením programového rozpočtovania. Výdavkové stropy budú určované na strednodobom horizonte a budú motivovať k dosiahnutiu dlhodobej udržateľnosti verejných financií. Pokryjú čo najviac položiek rozpočtu verejnej správy, pričom budú zohľadňovať aj dodatočné opatrenia v daniach a odvodoch. Zavedú sa aj jasné pravidlá na tvorbu a použitie rezerv a zohľadnenie budúcich záväzkov pri významných rozhodnutiach. Efektívny a dátami podložený výdavkový strop podporí aj koncept hodnoty za peniaze.</w:t>
      </w:r>
      <w:r w:rsidR="007C230C" w:rsidRPr="00887108">
        <w:t xml:space="preserve"> </w:t>
      </w:r>
      <w:r w:rsidRPr="00887108">
        <w:t xml:space="preserve">Opatrenia revízií výdavkov </w:t>
      </w:r>
      <w:r w:rsidR="007C230C" w:rsidRPr="00887108">
        <w:t xml:space="preserve">schválené vládou </w:t>
      </w:r>
      <w:r w:rsidRPr="00887108">
        <w:t xml:space="preserve">budú do rozpočtu zapracované úpravou rezortných základných scenárov. Ostávajúci alebo chýbajúci fiškálny priestor voči stanoveným výdavkovým stropom určí potrebu dodatočnej konsolidácie alebo možnosť dodatočných hodnotových opatrení. </w:t>
      </w:r>
    </w:p>
    <w:p w14:paraId="3C0FE480" w14:textId="77777777" w:rsidR="00204588" w:rsidRPr="00887108" w:rsidRDefault="00204588" w:rsidP="00204588">
      <w:pPr>
        <w:pStyle w:val="Default"/>
        <w:spacing w:before="240" w:after="120"/>
        <w:jc w:val="both"/>
        <w:rPr>
          <w:rFonts w:ascii="Arial Narrow" w:hAnsi="Arial Narrow"/>
          <w:b/>
          <w:color w:val="2C9ADC" w:themeColor="accent1"/>
          <w:sz w:val="22"/>
          <w:szCs w:val="22"/>
          <w:lang w:val="sk-SK"/>
        </w:rPr>
      </w:pPr>
      <w:r w:rsidRPr="00887108">
        <w:rPr>
          <w:rFonts w:ascii="Arial Narrow" w:hAnsi="Arial Narrow"/>
          <w:b/>
          <w:color w:val="2C9ADC" w:themeColor="accent1"/>
          <w:sz w:val="22"/>
          <w:szCs w:val="22"/>
          <w:lang w:val="sk-SK"/>
        </w:rPr>
        <w:t>Posilnenie nezávislých výborov pri tvorbe rozpočtu</w:t>
      </w:r>
    </w:p>
    <w:p w14:paraId="48BDE52E" w14:textId="4EA84EB4" w:rsidR="00204588" w:rsidRPr="00887108" w:rsidRDefault="00204588" w:rsidP="00204588">
      <w:pPr>
        <w:jc w:val="both"/>
      </w:pPr>
      <w:r w:rsidRPr="00887108">
        <w:rPr>
          <w:b/>
        </w:rPr>
        <w:t>Zvýši sa dôveryhodnosť rozpočtu a posilní sa oddelenie politického rozhodovania od expertnej práce na rozpočte</w:t>
      </w:r>
      <w:r w:rsidRPr="00887108">
        <w:t xml:space="preserve">. Prognózy makroekonomického vývoja, daňových príjmov a ďalších položiek rozpočtu, ktorých vývoj určuje ekonomický a demografický vývoj, nie sú predmetom politického rozhodovania a budú tvorené nezávislými expertmi. Rozšíria sa kompetencie nezávislých výborov pre makroekonomické a daňové prognózy o prognózu položiek ako: úrokové výdavky, vybrané nedaňové príjmy (napríklad dividendy) a niektoré zákonom stanovené výdavky (sociálne dávky, penzie, výdavky zdravotného poistenia atď.). Tieto prognózy sa budú v plnej miere preberať do </w:t>
      </w:r>
      <w:r w:rsidR="007D5DC4" w:rsidRPr="00887108">
        <w:t>r</w:t>
      </w:r>
      <w:r w:rsidRPr="00887108">
        <w:t xml:space="preserve">ozpočtu verejnej správy. </w:t>
      </w:r>
    </w:p>
    <w:p w14:paraId="380DF805" w14:textId="77777777" w:rsidR="00204588" w:rsidRPr="00887108" w:rsidRDefault="00204588" w:rsidP="00204588">
      <w:pPr>
        <w:pStyle w:val="Default"/>
        <w:spacing w:before="240" w:after="120"/>
        <w:jc w:val="both"/>
        <w:rPr>
          <w:rFonts w:ascii="Arial Narrow" w:hAnsi="Arial Narrow"/>
          <w:b/>
          <w:color w:val="2C9ADC" w:themeColor="accent1"/>
          <w:sz w:val="22"/>
          <w:szCs w:val="22"/>
          <w:lang w:val="sk-SK"/>
        </w:rPr>
      </w:pPr>
      <w:r w:rsidRPr="00887108">
        <w:rPr>
          <w:rFonts w:ascii="Arial Narrow" w:hAnsi="Arial Narrow"/>
          <w:b/>
          <w:color w:val="2C9ADC" w:themeColor="accent1"/>
          <w:sz w:val="22"/>
          <w:szCs w:val="22"/>
          <w:lang w:val="sk-SK"/>
        </w:rPr>
        <w:t xml:space="preserve">Nová stratégia riadenia štátneho dlhu </w:t>
      </w:r>
    </w:p>
    <w:p w14:paraId="0AF09749" w14:textId="110163FA" w:rsidR="00204588" w:rsidRPr="00887108" w:rsidRDefault="00204588" w:rsidP="00204588">
      <w:pPr>
        <w:jc w:val="both"/>
      </w:pPr>
      <w:r w:rsidRPr="00887108">
        <w:rPr>
          <w:b/>
        </w:rPr>
        <w:t>Vláda zadefinuje novú stratégiu riadenia štátneho dlhu podloženú analýzou rizík a nákladov v súlade s najlepšou praxou.</w:t>
      </w:r>
      <w:r w:rsidRPr="00887108">
        <w:rPr>
          <w:rFonts w:eastAsia="Calibri" w:cs="Times New Roman"/>
          <w:szCs w:val="24"/>
        </w:rPr>
        <w:t xml:space="preserve"> Stratégia bude vychádzať z kľúčových faktorov, ktoré vplývajú na náklady štátneho dlhu: úzka ekonomická previazanosť slovenskej ekonomiky s eurozónou, monetárna politika určovaná Európskou centrálnou bankou, relatívne vysoká kreditná prirážka pri dlhých splatnostiach a fakt, že Slovensko je relatívne malý emitent štátnych dlhopisov v rámci eurozóny. Okrem implementácie novej stratégie</w:t>
      </w:r>
      <w:r w:rsidR="0097616E" w:rsidRPr="00887108">
        <w:rPr>
          <w:rFonts w:eastAsia="Calibri" w:cs="Times New Roman"/>
          <w:szCs w:val="24"/>
        </w:rPr>
        <w:t xml:space="preserve"> sa</w:t>
      </w:r>
      <w:r w:rsidRPr="00887108">
        <w:rPr>
          <w:rFonts w:eastAsia="Calibri" w:cs="Times New Roman"/>
          <w:szCs w:val="24"/>
        </w:rPr>
        <w:t xml:space="preserve"> zavedie každoročný verejný odpočet ako</w:t>
      </w:r>
      <w:r w:rsidRPr="00887108">
        <w:t xml:space="preserve"> s</w:t>
      </w:r>
      <w:r w:rsidRPr="00887108">
        <w:rPr>
          <w:rFonts w:eastAsia="Calibri" w:cs="Times New Roman"/>
          <w:szCs w:val="24"/>
        </w:rPr>
        <w:t>účasť procesu riadenia dlhu.</w:t>
      </w:r>
    </w:p>
    <w:p w14:paraId="4AE8793A" w14:textId="77777777" w:rsidR="00204588" w:rsidRPr="00887108" w:rsidRDefault="00204588" w:rsidP="00204588">
      <w:pPr>
        <w:pStyle w:val="Default"/>
        <w:spacing w:before="240" w:after="120"/>
        <w:jc w:val="both"/>
        <w:rPr>
          <w:rFonts w:ascii="Arial Narrow" w:hAnsi="Arial Narrow"/>
          <w:b/>
          <w:color w:val="2C9ADC" w:themeColor="accent1"/>
          <w:sz w:val="22"/>
          <w:szCs w:val="22"/>
          <w:lang w:val="sk-SK"/>
        </w:rPr>
      </w:pPr>
      <w:r w:rsidRPr="00887108">
        <w:rPr>
          <w:rFonts w:ascii="Arial Narrow" w:hAnsi="Arial Narrow"/>
          <w:b/>
          <w:color w:val="2C9ADC" w:themeColor="accent1"/>
          <w:sz w:val="22"/>
          <w:szCs w:val="22"/>
          <w:lang w:val="sk-SK"/>
        </w:rPr>
        <w:t>Transparentnosť a zrozumiteľnosť rozpočtu</w:t>
      </w:r>
    </w:p>
    <w:p w14:paraId="537F7844" w14:textId="434A013A" w:rsidR="00204588" w:rsidRPr="00887108" w:rsidRDefault="00204588" w:rsidP="00204588">
      <w:pPr>
        <w:jc w:val="both"/>
      </w:pPr>
      <w:r w:rsidRPr="00887108">
        <w:rPr>
          <w:b/>
        </w:rPr>
        <w:t xml:space="preserve">Vláda posilní rozpočtovanie orientované na výsledky a informovanie o cieľoch verejných politík. </w:t>
      </w:r>
      <w:r w:rsidRPr="00887108">
        <w:t>Stanovia sa výsledkové ciel</w:t>
      </w:r>
      <w:r w:rsidR="00343B57" w:rsidRPr="00887108">
        <w:t>e pre jednotlivé ministerstvá v</w:t>
      </w:r>
      <w:r w:rsidRPr="00887108">
        <w:t xml:space="preserve"> rozpočte verejnej správy a bude ich pravidelne verejne hodnotiť. </w:t>
      </w:r>
    </w:p>
    <w:p w14:paraId="5C35AC82" w14:textId="77777777" w:rsidR="00204588" w:rsidRPr="00887108" w:rsidRDefault="00204588" w:rsidP="00204588">
      <w:pPr>
        <w:jc w:val="both"/>
      </w:pPr>
    </w:p>
    <w:p w14:paraId="1227CEF9" w14:textId="184CD215" w:rsidR="00204588" w:rsidRPr="00887108" w:rsidRDefault="00204588" w:rsidP="00204588">
      <w:pPr>
        <w:jc w:val="both"/>
        <w:rPr>
          <w:rFonts w:eastAsia="Calibri" w:cs="Times New Roman"/>
          <w:szCs w:val="24"/>
        </w:rPr>
      </w:pPr>
      <w:r w:rsidRPr="00887108">
        <w:rPr>
          <w:rFonts w:eastAsia="Calibri" w:cs="Times New Roman"/>
          <w:b/>
          <w:szCs w:val="24"/>
        </w:rPr>
        <w:t xml:space="preserve">Vláda zvýši transparentnosť a zrozumiteľnosť rozpočtu častejším a zrozumiteľným informovaním o rozpočte, </w:t>
      </w:r>
      <w:r w:rsidRPr="00887108">
        <w:rPr>
          <w:rFonts w:eastAsia="Calibri" w:cs="Times New Roman"/>
          <w:szCs w:val="24"/>
        </w:rPr>
        <w:t xml:space="preserve">jeho priebežnom plnení a úpravách cez rozpočtové opatrenia. Priebežné plnenie rozpočtu verejnej správy, vrátane odhadov ministerstva financií pre príjmy, výdavky, saldo a dlh verejnej správy, bude vláda odpočtovať aj v „Polročnej správe o plnení rozpočtu verejnej správy“. Zrozumiteľnosť </w:t>
      </w:r>
      <w:r w:rsidR="00343B57" w:rsidRPr="00887108">
        <w:rPr>
          <w:rFonts w:eastAsia="Calibri" w:cs="Times New Roman"/>
          <w:szCs w:val="24"/>
        </w:rPr>
        <w:t xml:space="preserve">rozpočtu pre každého zabezpečí </w:t>
      </w:r>
      <w:r w:rsidRPr="00887108">
        <w:rPr>
          <w:rFonts w:eastAsia="Calibri" w:cs="Times New Roman"/>
          <w:szCs w:val="24"/>
        </w:rPr>
        <w:t>“Rozpočet pre ľudí”, ktorý bude prístupným jazykom informovať o prioritách rozpočtu, o jeho udržateľnosti aj zdrojoch financovania. Externú transparentnosť vláda podporí aj zverejňovaním prehľadných, otvorených, strojovo spracovateľných údajov o verejných financiách</w:t>
      </w:r>
      <w:r w:rsidR="000570B1" w:rsidRPr="00887108">
        <w:rPr>
          <w:rFonts w:eastAsia="Calibri" w:cs="Times New Roman"/>
          <w:szCs w:val="24"/>
        </w:rPr>
        <w:t>,</w:t>
      </w:r>
      <w:r w:rsidRPr="00887108">
        <w:rPr>
          <w:rFonts w:eastAsia="Calibri" w:cs="Times New Roman"/>
          <w:szCs w:val="24"/>
        </w:rPr>
        <w:t xml:space="preserve"> ako aj </w:t>
      </w:r>
      <w:r w:rsidR="00475EA2" w:rsidRPr="00887108">
        <w:rPr>
          <w:rFonts w:eastAsia="Calibri" w:cs="Times New Roman"/>
          <w:szCs w:val="24"/>
        </w:rPr>
        <w:t xml:space="preserve">zverejňovaním </w:t>
      </w:r>
      <w:r w:rsidRPr="00887108">
        <w:rPr>
          <w:rFonts w:eastAsia="Calibri" w:cs="Times New Roman"/>
          <w:szCs w:val="24"/>
        </w:rPr>
        <w:t>dnes nezverejňovaných údajov o hospodárení štátnych podnikov.</w:t>
      </w:r>
    </w:p>
    <w:p w14:paraId="1C3BCE79" w14:textId="77777777" w:rsidR="00204588" w:rsidRPr="00887108" w:rsidRDefault="00204588" w:rsidP="00204588">
      <w:pPr>
        <w:pStyle w:val="Default"/>
        <w:spacing w:before="240" w:after="120"/>
        <w:jc w:val="both"/>
        <w:rPr>
          <w:rFonts w:ascii="Arial Narrow" w:hAnsi="Arial Narrow"/>
          <w:b/>
          <w:color w:val="2C9ADC" w:themeColor="accent1"/>
          <w:sz w:val="22"/>
          <w:szCs w:val="22"/>
          <w:lang w:val="sk-SK"/>
        </w:rPr>
      </w:pPr>
      <w:r w:rsidRPr="00887108">
        <w:rPr>
          <w:rFonts w:ascii="Arial Narrow" w:hAnsi="Arial Narrow"/>
          <w:b/>
          <w:color w:val="2C9ADC" w:themeColor="accent1"/>
          <w:sz w:val="22"/>
          <w:szCs w:val="22"/>
          <w:lang w:val="sk-SK"/>
        </w:rPr>
        <w:t>Posilnenie postavenia Rady pre rozpočtovú zodpovednosť</w:t>
      </w:r>
    </w:p>
    <w:p w14:paraId="3D6CAB49" w14:textId="2192351A" w:rsidR="00204588" w:rsidRPr="00887108" w:rsidRDefault="00204588" w:rsidP="00204588">
      <w:pPr>
        <w:jc w:val="both"/>
      </w:pPr>
      <w:r w:rsidRPr="00887108">
        <w:rPr>
          <w:rFonts w:eastAsia="Calibri" w:cs="Times New Roman"/>
          <w:b/>
          <w:szCs w:val="24"/>
        </w:rPr>
        <w:t>Transparentnosť verejných financií podporí dialóg s Radou pre rozpočtovú zodpovednosť na partnerskej úrovni a v súlade s princípom “dodržuj alebo vysvetli”.</w:t>
      </w:r>
      <w:r w:rsidRPr="00887108">
        <w:rPr>
          <w:rFonts w:eastAsia="Calibri" w:cs="Times New Roman"/>
          <w:szCs w:val="24"/>
        </w:rPr>
        <w:t xml:space="preserve"> </w:t>
      </w:r>
      <w:r w:rsidRPr="00887108">
        <w:t>Stanoviská RRZ k návrhu rozpočtu verejnej správy a správy o dlhodobej udržateľnosti verejných financií budú prezentované na rokovaní vlády a NR SR. Predseda RRZ bude môcť na vlastnú žiadosť vystúpiť na zasadnutí výboru NR SR pre financie a rozpočet a na rokovaní vlády.</w:t>
      </w:r>
      <w:r w:rsidRPr="00887108">
        <w:rPr>
          <w:b/>
          <w:bCs/>
        </w:rPr>
        <w:t xml:space="preserve"> </w:t>
      </w:r>
    </w:p>
    <w:p w14:paraId="0CF3D342" w14:textId="77777777" w:rsidR="00204588" w:rsidRPr="00887108" w:rsidRDefault="00204588" w:rsidP="00204588">
      <w:pPr>
        <w:pStyle w:val="Default"/>
        <w:spacing w:before="240" w:after="120"/>
        <w:jc w:val="both"/>
        <w:rPr>
          <w:rFonts w:ascii="Arial Narrow" w:hAnsi="Arial Narrow"/>
          <w:b/>
          <w:color w:val="2C9ADC" w:themeColor="accent1"/>
          <w:sz w:val="22"/>
          <w:szCs w:val="22"/>
          <w:lang w:val="sk-SK"/>
        </w:rPr>
      </w:pPr>
      <w:r w:rsidRPr="00887108">
        <w:rPr>
          <w:rFonts w:ascii="Arial Narrow" w:hAnsi="Arial Narrow"/>
          <w:b/>
          <w:color w:val="2C9ADC" w:themeColor="accent1"/>
          <w:sz w:val="22"/>
          <w:szCs w:val="22"/>
          <w:lang w:val="sk-SK"/>
        </w:rPr>
        <w:t xml:space="preserve">Lepšie riadenie investícií </w:t>
      </w:r>
    </w:p>
    <w:p w14:paraId="00FC4640" w14:textId="365A9F53" w:rsidR="00204588" w:rsidRPr="00887108" w:rsidRDefault="00204588" w:rsidP="00204588">
      <w:pPr>
        <w:jc w:val="both"/>
      </w:pPr>
      <w:r w:rsidRPr="00887108">
        <w:rPr>
          <w:b/>
        </w:rPr>
        <w:t>Vláda zabezpečí lepšiu prípravu investičných projektov s dôsledným uplatňovaním princípov hodnoty za peniaze.</w:t>
      </w:r>
      <w:r w:rsidRPr="00887108">
        <w:t xml:space="preserve"> V dlhodobých strategických plánoch </w:t>
      </w:r>
      <w:r w:rsidR="00DE3776" w:rsidRPr="00887108">
        <w:t xml:space="preserve">budú </w:t>
      </w:r>
      <w:r w:rsidRPr="00887108">
        <w:t>zadefin</w:t>
      </w:r>
      <w:r w:rsidR="00DE3776" w:rsidRPr="00887108">
        <w:t>ované</w:t>
      </w:r>
      <w:r w:rsidRPr="00887108">
        <w:t xml:space="preserve"> jasné, analyticky podložené priority (prioritizácia sa stane povinnou pre všetky rezorty), zjednotia sa štandardy na prípravu projektov, aby boli navzájom porovnateľné, zvýši sa transparentnosť projektovej prípravy. Transparentné a priorizované plány prípravy investícií budú pravidelne vyhodnocované a pravidelne aktualizované. </w:t>
      </w:r>
    </w:p>
    <w:p w14:paraId="691FAC5C" w14:textId="77777777" w:rsidR="00204588" w:rsidRPr="00887108" w:rsidRDefault="00204588" w:rsidP="00204588">
      <w:pPr>
        <w:jc w:val="both"/>
      </w:pPr>
    </w:p>
    <w:p w14:paraId="7F243E94" w14:textId="454C487A" w:rsidR="00204588" w:rsidRPr="00887108" w:rsidRDefault="00204588" w:rsidP="00204588">
      <w:pPr>
        <w:jc w:val="both"/>
      </w:pPr>
      <w:r w:rsidRPr="00887108">
        <w:rPr>
          <w:b/>
        </w:rPr>
        <w:t>Vláda posilní úlohu ministerstva financií a Útvaru hodnoty za peniaze pri riadení investícií a investičného rozpočtu.</w:t>
      </w:r>
      <w:r w:rsidRPr="00887108">
        <w:t xml:space="preserve"> Vytvoria sa kapacity na prípravu a kontrolu projektov počas všetkých fáz životného cyklu investícií od prípravy až po finálne odovzdanie. Zjednoduší sa investičný proces, dopracujú metodiky, budú sa vyberať najlepšie projekty, posilnia sa kapacity na rezortoch, zreviduje sa legislatíva a pravidlá s cieľom optimalizovať náklady a dosiahnuť najlepšie prínosy investičných projektov. Takto bude systematicky zabezpečená najlepšia možná efektívnosť investičných projektov nad 1 mil</w:t>
      </w:r>
      <w:r w:rsidR="00360146" w:rsidRPr="00887108">
        <w:t>.</w:t>
      </w:r>
      <w:r w:rsidRPr="00887108">
        <w:t xml:space="preserve"> eur.</w:t>
      </w:r>
    </w:p>
    <w:p w14:paraId="2C81B46B" w14:textId="2AAC60B5" w:rsidR="00204588" w:rsidRPr="00887108" w:rsidRDefault="00204588">
      <w:r w:rsidRPr="00887108">
        <w:br w:type="page"/>
      </w:r>
    </w:p>
    <w:p w14:paraId="4BA59017" w14:textId="77777777" w:rsidR="00204588" w:rsidRPr="00887108" w:rsidRDefault="00204588" w:rsidP="00204588">
      <w:pPr>
        <w:pStyle w:val="Nadpis1"/>
        <w:keepLines/>
        <w:numPr>
          <w:ilvl w:val="0"/>
          <w:numId w:val="2"/>
        </w:numPr>
        <w:spacing w:before="240" w:after="240"/>
        <w:rPr>
          <w:rFonts w:cs="Arial Narrow"/>
          <w:color w:val="2C9ADC"/>
          <w:szCs w:val="28"/>
        </w:rPr>
      </w:pPr>
      <w:bookmarkStart w:id="145" w:name="_Toc40181056"/>
      <w:r w:rsidRPr="00887108">
        <w:rPr>
          <w:rFonts w:cs="Arial Narrow"/>
          <w:color w:val="2C9ADC"/>
          <w:szCs w:val="28"/>
        </w:rPr>
        <w:t>ŠTRUKTURÁLNE POLITIKY</w:t>
      </w:r>
      <w:bookmarkEnd w:id="145"/>
      <w:r w:rsidRPr="00887108">
        <w:rPr>
          <w:rFonts w:cs="Arial Narrow"/>
          <w:color w:val="2C9ADC"/>
          <w:szCs w:val="28"/>
        </w:rPr>
        <w:t xml:space="preserve">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04588" w:rsidRPr="00887108" w14:paraId="6A84E81F" w14:textId="77777777" w:rsidTr="00204588">
        <w:tc>
          <w:tcPr>
            <w:tcW w:w="9072" w:type="dxa"/>
            <w:shd w:val="clear" w:color="auto" w:fill="auto"/>
          </w:tcPr>
          <w:p w14:paraId="29959514" w14:textId="0CEB692D" w:rsidR="00204588" w:rsidRPr="00887108" w:rsidRDefault="006E0E3C" w:rsidP="006E0E3C">
            <w:pPr>
              <w:jc w:val="both"/>
              <w:rPr>
                <w:rFonts w:ascii="Calibri" w:hAnsi="Calibri" w:cs="Times New Roman"/>
                <w:i/>
                <w:iCs/>
              </w:rPr>
            </w:pPr>
            <w:r w:rsidRPr="00887108">
              <w:rPr>
                <w:i/>
                <w:iCs/>
              </w:rPr>
              <w:t xml:space="preserve">Dlhodobú udržateľnosť verejných financií podporia aj štrukturálne reformy na naštartovanie ekonomického rastu. Opatrenia budú zamerané na </w:t>
            </w:r>
            <w:r w:rsidRPr="00887108">
              <w:rPr>
                <w:i/>
                <w:iCs/>
                <w:color w:val="000000" w:themeColor="text1"/>
              </w:rPr>
              <w:t xml:space="preserve">hlavné štrukturálne výzvy slovenskej ekonomiky, vzdelávanie, trh práce, efektívnejšie využívanie zdrojov v ekonomike a zdravotníctvo. Zvýši sa efektívnosť verejných financií zameraním sa na prorastový daňový mix a znižovanie daňových únikov </w:t>
            </w:r>
            <w:r w:rsidRPr="00887108">
              <w:rPr>
                <w:i/>
                <w:iCs/>
              </w:rPr>
              <w:t>na príjmovej strane a zvyšovaním hodnoty za peniaze na strane výdavkov. Jednou z hlavných priorít je aj boj proti korupcii a zefektívnenie súdnictva.</w:t>
            </w:r>
          </w:p>
        </w:tc>
      </w:tr>
    </w:tbl>
    <w:p w14:paraId="21D4E914" w14:textId="3C718C8D" w:rsidR="00204588" w:rsidRPr="00887108" w:rsidRDefault="00204588" w:rsidP="004702B9">
      <w:pPr>
        <w:tabs>
          <w:tab w:val="left" w:pos="1905"/>
        </w:tabs>
        <w:jc w:val="both"/>
        <w:rPr>
          <w:highlight w:val="yellow"/>
        </w:rPr>
      </w:pPr>
    </w:p>
    <w:p w14:paraId="25963FE7" w14:textId="767BDC9B" w:rsidR="009B6B02" w:rsidRPr="00887108" w:rsidRDefault="005344E6" w:rsidP="00FC1EC4">
      <w:pPr>
        <w:spacing w:after="120"/>
        <w:jc w:val="both"/>
        <w:rPr>
          <w:lang w:eastAsia="en-US"/>
        </w:rPr>
      </w:pPr>
      <w:r w:rsidRPr="00887108">
        <w:rPr>
          <w:b/>
          <w:lang w:eastAsia="en-US"/>
        </w:rPr>
        <w:t>Dlhodobé podfinancovanie spolu s nedostatočnou podporou pedagogických zamestnancov sa prejavuje hlavne v zaostávaní základného školstva.</w:t>
      </w:r>
      <w:r w:rsidRPr="00887108">
        <w:rPr>
          <w:lang w:eastAsia="en-US"/>
        </w:rPr>
        <w:t xml:space="preserve"> Prioritou v oblasti školstva zostáva podľa programového vyhlásenia zvyšovanie platov učiteľov podľa možností rozpočtu. Pre zvýšenie efektivity vynaložených prostriedkov sa pripraví zákon o financovaní škôl a školských zariadení.</w:t>
      </w:r>
      <w:r w:rsidR="00887108">
        <w:rPr>
          <w:lang w:eastAsia="en-US"/>
        </w:rPr>
        <w:t xml:space="preserve"> </w:t>
      </w:r>
      <w:r w:rsidRPr="00887108">
        <w:rPr>
          <w:lang w:eastAsia="en-US"/>
        </w:rPr>
        <w:t>Revízia výdavkov na skupiny ohrozené chudobou a sociálnym vylúčením poskytuje návrhy opatrení pre posilňovanie inkluzívneho prístupu vo vzdelávaní. Podporí sa implementácia povinného predprimárneho vzdelávania. Pokračuje sa v aktivitách pre zosúlaďovanie vzdelávania a pracovného trhu na stredných odborných školách. Pripravia sa profesijne orientované bakalárske programy vo VŠ vzdelávaní. Očakáva sa schválenie a postupná implementácia akreditačných štandardov. V oblasti celoživotného vzdelávania sa spustí implementácia systému overovania zručností nadobudnutých mimo formálneho systému vzdelávania.</w:t>
      </w:r>
    </w:p>
    <w:p w14:paraId="5236E49A" w14:textId="0EE31755" w:rsidR="004702B9" w:rsidRPr="00887108" w:rsidRDefault="004702B9" w:rsidP="004702B9">
      <w:pPr>
        <w:spacing w:after="120"/>
        <w:jc w:val="both"/>
        <w:rPr>
          <w:bCs/>
        </w:rPr>
      </w:pPr>
      <w:r w:rsidRPr="00887108">
        <w:rPr>
          <w:rFonts w:cs="Arial Narrow"/>
          <w:b/>
        </w:rPr>
        <w:t>V </w:t>
      </w:r>
      <w:r w:rsidR="000B4B3C" w:rsidRPr="00887108">
        <w:rPr>
          <w:rFonts w:cs="Arial Narrow"/>
          <w:b/>
        </w:rPr>
        <w:t xml:space="preserve">dôsledku </w:t>
      </w:r>
      <w:r w:rsidRPr="00887108">
        <w:rPr>
          <w:rFonts w:cs="Arial Narrow"/>
          <w:b/>
        </w:rPr>
        <w:t xml:space="preserve">pandémie sa očakáva negatívny vývoj na trhu práce s potrebou reakcie. </w:t>
      </w:r>
      <w:r w:rsidRPr="00887108">
        <w:rPr>
          <w:rFonts w:cs="Arial Narrow"/>
        </w:rPr>
        <w:t>S cieľom tlmiť dopady na zamestnanosť sa zaviedli viaceré opatrenia na podporu pracovných miest počas pandémie. Na podporu disponibilného príjmu domácností a zabezpečenie starostlivosti o deti sa upravili podmienky čerpania sociálnych transferov.</w:t>
      </w:r>
      <w:r w:rsidRPr="00887108">
        <w:rPr>
          <w:bCs/>
        </w:rPr>
        <w:t xml:space="preserve"> K zefektívňovaniu služieb zamestnanosti potrebných aj na tlmenie dopadov krízy prispeje pravidelnejšie vyhodnocovanie nástrojov aktívnych politík. Zároveň sa otestuje možnosť sofistikovanej profilácie klientov úradov práce s cieľom zamedzenia upadania do dlhodobej nezamestnanosti. </w:t>
      </w:r>
    </w:p>
    <w:p w14:paraId="1EECD711" w14:textId="77777777" w:rsidR="004702B9" w:rsidRPr="00887108" w:rsidRDefault="004702B9" w:rsidP="004702B9">
      <w:pPr>
        <w:spacing w:after="120"/>
        <w:jc w:val="both"/>
        <w:rPr>
          <w:b/>
          <w:bCs/>
        </w:rPr>
      </w:pPr>
      <w:r w:rsidRPr="00887108">
        <w:rPr>
          <w:b/>
          <w:bCs/>
        </w:rPr>
        <w:t>Na podporu návratu matiek na trh práce a znižovania rodových rozdielov sa sflexibilní rodičovská podpora.</w:t>
      </w:r>
      <w:r w:rsidRPr="00887108">
        <w:rPr>
          <w:bCs/>
        </w:rPr>
        <w:t xml:space="preserve"> Súbežne s tým by sa mali podporiť kvalitné a dostupné kapacity zariadení starostlivosti o deti, ktoré pomôžu prechodu k predškolskému vzdelávaniu v materských školách. Súbežne s kapacitami materských škôl sa navrhne legislatíva, ktorá zavedie nárokovateľnosť na miesto pre každé dieťa od troch rokov.</w:t>
      </w:r>
    </w:p>
    <w:p w14:paraId="40DE91A4" w14:textId="77777777" w:rsidR="004702B9" w:rsidRPr="00887108" w:rsidRDefault="004702B9" w:rsidP="004702B9">
      <w:pPr>
        <w:spacing w:after="120"/>
        <w:jc w:val="both"/>
      </w:pPr>
      <w:r w:rsidRPr="00887108">
        <w:rPr>
          <w:b/>
        </w:rPr>
        <w:t>Posilní sa boj proti korupcii a zlepší sa efektivita súdnictva.</w:t>
      </w:r>
      <w:r w:rsidRPr="00887108">
        <w:t xml:space="preserve"> Pre zvýšenie konkurencieschopnosti krajiny sa vláda zaväzuje zlepšiť postavenie Slovenska v rebríčku vnímania korupcie o 20 miest. Zavedú sa mechanizmy na lepšiu kontrolu majetku a funkčný mechanizmus hmotnej zodpovednosti a trestania pochybení verejných funkcionárov pri nakladaní s verejnými prostriedkami. Transparentnosť výberových konaní sa zvýši zavedením jednotného výberového procesu pre štátnu správu. Zavedú sa opatrenia na zlepšenie kontroly verejného obstarávania. S cieľom zvýšenia transparentnosti vo verejnej správe sa zavedie zverejňovanie príloh a dodatkov zmlúv, či informácii o verejných funkciách a rozhodovaní samospráv. Pre zvýšenie dôveryhodnosti súdov a prokuratúry sa stransparentnia výberové procesy. Medzi priority v oblasti súdnictva naďalej patrí zníženie prieťahov v konaní, či zvýšenie dôveryhodnosti občanov v súdny systém. Pracuje sa na vytvorení súdnej mapy a špecializácii súdov a sudcov.</w:t>
      </w:r>
    </w:p>
    <w:p w14:paraId="35860630" w14:textId="77777777" w:rsidR="004702B9" w:rsidRPr="00887108" w:rsidRDefault="004702B9" w:rsidP="004702B9">
      <w:pPr>
        <w:spacing w:after="120"/>
        <w:jc w:val="both"/>
      </w:pPr>
      <w:r w:rsidRPr="00887108">
        <w:rPr>
          <w:b/>
        </w:rPr>
        <w:t xml:space="preserve">Pri podnikateľskom prostredí je kľúčovým znižovanie byrokratickej záťaže a reakcia na štrukturálne výzvy ekonomiky. </w:t>
      </w:r>
      <w:r w:rsidRPr="00887108">
        <w:rPr>
          <w:rFonts w:cs="Arial Narrow"/>
        </w:rPr>
        <w:t>Vláda sa v programovom vyhlásení zaviazala v skrátenom legislatívnom konaní už v roku 2020 prijať opatrenia na znižovanie byrokratickej záťaže podnikateľského prostredia. Vláda do októbra 2020 pripraví a predloží na schválenie nové stavebné predpisy s dopadom na postavenie v rebríčku Doing Business. Zjednoduší sa tiež komunikácia firiem s finančnou správou a s obchodným registrom.</w:t>
      </w:r>
    </w:p>
    <w:p w14:paraId="71A82F75" w14:textId="2C6FAB54" w:rsidR="004702B9" w:rsidRPr="00887108" w:rsidRDefault="004702B9" w:rsidP="004702B9">
      <w:pPr>
        <w:spacing w:after="120"/>
        <w:jc w:val="both"/>
      </w:pPr>
      <w:r w:rsidRPr="00887108">
        <w:rPr>
          <w:b/>
          <w:bCs/>
        </w:rPr>
        <w:t>Vláda sa zaviazala k reforme nemocničnej siete a k zadefinovaniu základného balíka bezplatnej starostlivosti s ohľadom na časovú a geografickú dostupnosť.</w:t>
      </w:r>
      <w:r w:rsidRPr="00887108">
        <w:t xml:space="preserve"> Vytvorí sa udržateľný systém financovania nemocníc, aby boli pokryté ich oprávnené náklady a zároveň bol vytvorený priestor na systematickú obnovu ich vybavenia a infraštruktúry. Investície sa zamerajú aj na obnovu a výstavbu nemocníc v Banskej Bystrici a Martine. Okrem nemocníc sa nové opatrenia budú sústrediť na zvýšenie dostupnosti ambulancií všeobecných lekárov a zlepšeniu urgentnej starostlivosti. Zavedú sa mechanizmy na zvyšovanie atraktivity zdravotníckych povolaní a návrat slovenských zdravotníkov zo zahraničia. Na rok 2020 boli podľa revízie výdavkov</w:t>
      </w:r>
      <w:r w:rsidRPr="00887108">
        <w:rPr>
          <w:color w:val="1F497D"/>
        </w:rPr>
        <w:t xml:space="preserve"> </w:t>
      </w:r>
      <w:r w:rsidRPr="00887108">
        <w:t>identifikované úsporné opatrenia v hodnote 148 mil. eur. Najväčší potenciál na úspory je pri liekoch, zdravotníckych pomôckach a v rámci spoločných vyšetrovacích a liečebných zložiek</w:t>
      </w:r>
      <w:r w:rsidRPr="00887108">
        <w:rPr>
          <w:color w:val="1F497D"/>
        </w:rPr>
        <w:t xml:space="preserve">. </w:t>
      </w:r>
    </w:p>
    <w:p w14:paraId="5C319B68" w14:textId="77777777" w:rsidR="004702B9" w:rsidRPr="00887108" w:rsidRDefault="004702B9" w:rsidP="004702B9">
      <w:pPr>
        <w:jc w:val="both"/>
      </w:pPr>
      <w:r w:rsidRPr="00887108">
        <w:rPr>
          <w:b/>
          <w:lang w:eastAsia="cs-CZ"/>
        </w:rPr>
        <w:t>Opatrenia v oblasti environmentálnej politiky budú klásť väčší dôraz na oddeľovanie ekonomického rastu od degradácie životného prostredia.</w:t>
      </w:r>
      <w:r w:rsidRPr="00887108">
        <w:rPr>
          <w:lang w:eastAsia="cs-CZ"/>
        </w:rPr>
        <w:t xml:space="preserve"> Budú tak reagovať aj na publikovanú </w:t>
      </w:r>
      <w:r w:rsidRPr="00887108">
        <w:rPr>
          <w:i/>
          <w:lang w:eastAsia="cs-CZ"/>
        </w:rPr>
        <w:t>Európsku zelenú dohodu</w:t>
      </w:r>
      <w:r w:rsidRPr="00887108">
        <w:rPr>
          <w:lang w:eastAsia="cs-CZ"/>
        </w:rPr>
        <w:t>, ktorá stanovuje plán opatrení s cieľom prechodu na plne klimaticky neutrálne hospodárstvo EÚ</w:t>
      </w:r>
      <w:r w:rsidRPr="00887108">
        <w:rPr>
          <w:rStyle w:val="Odkaznapoznmkupodiarou"/>
          <w:lang w:val="sk-SK" w:eastAsia="cs-CZ"/>
        </w:rPr>
        <w:footnoteReference w:id="77"/>
      </w:r>
      <w:r w:rsidRPr="00887108">
        <w:rPr>
          <w:lang w:eastAsia="cs-CZ"/>
        </w:rPr>
        <w:t>. Pokračovanie implementácie opatrení identifikovaných v revízii výdavkov na životné prostredie zvýši hodnotu za peniaze opatrení v oblasti zlepšovania kvality životného prostredia. Prijaté strategické dokumenty vytvoria rámec smerovania jednotlivých politík životného prostredia a navrhujú systémové riešenia pre najväčšie environmentálne výzvy Slovenska – kvalita ovzdušia, odpady a lesy. Bude podporovaný prechod na nízkouhlíkové obehové hospodárstvo. Posilní sa úloha zeleného verejného obstarávania, zeleného hospodárstva a vzdelávania.</w:t>
      </w:r>
    </w:p>
    <w:p w14:paraId="0CB4CDDA" w14:textId="77777777" w:rsidR="00204588" w:rsidRPr="00887108" w:rsidRDefault="00204588" w:rsidP="00204588">
      <w:pPr>
        <w:jc w:val="both"/>
        <w:rPr>
          <w:highlight w:val="yellow"/>
        </w:rPr>
      </w:pPr>
    </w:p>
    <w:p w14:paraId="0F49EE4D" w14:textId="77777777" w:rsidR="00204588" w:rsidRPr="00887108" w:rsidRDefault="00204588" w:rsidP="00204588">
      <w:pPr>
        <w:rPr>
          <w:b/>
          <w:i/>
          <w:color w:val="2C9ADC" w:themeColor="accent1"/>
        </w:rPr>
      </w:pPr>
      <w:r w:rsidRPr="00887108">
        <w:rPr>
          <w:b/>
          <w:i/>
          <w:color w:val="2C9ADC" w:themeColor="accent1"/>
        </w:rPr>
        <w:t>Efektívnosť výberu daní</w:t>
      </w:r>
    </w:p>
    <w:p w14:paraId="2247CC1A" w14:textId="574F4E30" w:rsidR="00204588" w:rsidRPr="00887108" w:rsidRDefault="009D1085" w:rsidP="00204588">
      <w:pPr>
        <w:jc w:val="both"/>
      </w:pPr>
      <w:r w:rsidRPr="00887108">
        <w:rPr>
          <w:b/>
        </w:rPr>
        <w:t xml:space="preserve">Prioritou vlády je jednoduchší prorastový daňový systém. </w:t>
      </w:r>
      <w:r w:rsidRPr="00887108">
        <w:t>V daňovo-odvodovej oblasti bude dôraz na opatrenia s potenciálom zvýšiť ekonomický rast Slovenska. Preferované bude zvýšenie podielu zdaňovania spotreby, majetku a negatívnych externalít, namiesto zdaňovania ekonomickej aktivity. Prehodnotí sa účelnosť daňovo-odvodových výnimiek a úľav, ktoré v súčasnosti dosahujú výšku 1,6 miliardy eur</w:t>
      </w:r>
      <w:r w:rsidRPr="00887108">
        <w:rPr>
          <w:b/>
        </w:rPr>
        <w:t>.</w:t>
      </w:r>
      <w:r w:rsidRPr="00887108">
        <w:t xml:space="preserve"> Obnovuje sa vízia zjednotenia výberu daní, ciel a odvodov (UNITAS) s cieľom zaviesť výber daní a odvodov jednou inštitúciou, ktorou bude Finančná správa SR.</w:t>
      </w:r>
    </w:p>
    <w:p w14:paraId="376DC9E7" w14:textId="77777777" w:rsidR="00204588" w:rsidRPr="00887108" w:rsidRDefault="00204588" w:rsidP="00204588">
      <w:pPr>
        <w:pStyle w:val="Odsekzoznamu"/>
        <w:spacing w:after="120"/>
        <w:ind w:left="0"/>
        <w:jc w:val="both"/>
        <w:rPr>
          <w:rFonts w:cs="Arial Narrow"/>
          <w:b/>
        </w:rPr>
      </w:pPr>
    </w:p>
    <w:p w14:paraId="09E76F33" w14:textId="40DB107E" w:rsidR="00204588" w:rsidRPr="00887108" w:rsidRDefault="009D1085" w:rsidP="00204588">
      <w:pPr>
        <w:pStyle w:val="Odsekzoznamu"/>
        <w:spacing w:after="120"/>
        <w:ind w:left="0"/>
        <w:jc w:val="both"/>
        <w:rPr>
          <w:rFonts w:cs="Arial Narrow"/>
        </w:rPr>
      </w:pPr>
      <w:r w:rsidRPr="00887108">
        <w:rPr>
          <w:b/>
        </w:rPr>
        <w:t>Prioritou je tiež dosahovať medzinárodne porovnateľné výsledky v boji proti daňovým únikom spolu so zvyšovaním efektívnosti finančnej správy.</w:t>
      </w:r>
      <w:r w:rsidRPr="00887108">
        <w:t xml:space="preserve"> </w:t>
      </w:r>
      <w:r w:rsidRPr="00887108">
        <w:rPr>
          <w:rFonts w:cs="Arial Narrow"/>
        </w:rPr>
        <w:t>Od roku 2012 sa znížila medzera výberu na DPH z vrcholu okolo 37 % potenciálneho výberu dane na 17,5 %, čo je pokles o viac ako polovicu. Na základe posledných údajov z národnej metodiky došlo k opätovnému poklesu medzery DPH aj v roku 2019. Zároveň došlo k revízii úrovne medzery DPH smerom nadol o 3 p.b. kvôli hĺbkovej revízií časových radov (tzv. benchmarková revízia). Pozitívny trend poklesu je potvrdený aj v rámci metodiky využívanej v rámci EÚ, ktorá pre rok 2017 odhadla daňovú medzeru na úrovni 23,2 %, čo však stále predstavuje piatu najvyššiu úroveň medzery na DPH v rámci EÚ v danom roku.</w:t>
      </w:r>
      <w:r w:rsidR="00204588" w:rsidRPr="00887108">
        <w:rPr>
          <w:rFonts w:cs="Arial Narrow"/>
        </w:rPr>
        <w:t xml:space="preserve"> </w:t>
      </w:r>
    </w:p>
    <w:tbl>
      <w:tblPr>
        <w:tblpPr w:leftFromText="141" w:rightFromText="141" w:vertAnchor="text" w:horzAnchor="margin" w:tblpXSpec="center" w:tblpY="109"/>
        <w:tblOverlap w:val="never"/>
        <w:tblW w:w="90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3"/>
        <w:gridCol w:w="160"/>
        <w:gridCol w:w="4659"/>
      </w:tblGrid>
      <w:tr w:rsidR="00204588" w:rsidRPr="00887108" w14:paraId="65D79EB0" w14:textId="77777777" w:rsidTr="00936E73">
        <w:trPr>
          <w:trHeight w:val="125"/>
        </w:trPr>
        <w:tc>
          <w:tcPr>
            <w:tcW w:w="4253" w:type="dxa"/>
            <w:tcBorders>
              <w:top w:val="nil"/>
              <w:left w:val="nil"/>
              <w:bottom w:val="single" w:sz="4" w:space="0" w:color="auto"/>
              <w:right w:val="nil"/>
            </w:tcBorders>
            <w:vAlign w:val="center"/>
          </w:tcPr>
          <w:p w14:paraId="6AA5DCFB" w14:textId="1797EE6C" w:rsidR="00204588" w:rsidRPr="00887108" w:rsidRDefault="009B6CDF" w:rsidP="007C2E5C">
            <w:pPr>
              <w:pStyle w:val="Popis"/>
              <w:spacing w:after="0"/>
              <w:rPr>
                <w:rFonts w:cs="Arial"/>
                <w:sz w:val="20"/>
                <w:szCs w:val="20"/>
              </w:rPr>
            </w:pPr>
            <w:bookmarkStart w:id="146" w:name="_Toc6398984"/>
            <w:bookmarkStart w:id="147" w:name="_Toc38560461"/>
            <w:bookmarkStart w:id="148" w:name="_Toc40181279"/>
            <w:r w:rsidRPr="00887108">
              <w:rPr>
                <w:rFonts w:eastAsiaTheme="minorHAnsi"/>
                <w:color w:val="2C9ADC"/>
                <w:sz w:val="20"/>
                <w:szCs w:val="20"/>
                <w:lang w:eastAsia="en-US"/>
              </w:rPr>
              <w:t xml:space="preserve">GRAF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GRAF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28</w:t>
            </w:r>
            <w:r w:rsidRPr="00887108">
              <w:rPr>
                <w:rFonts w:eastAsiaTheme="minorHAnsi"/>
                <w:color w:val="2C9ADC"/>
                <w:sz w:val="20"/>
                <w:szCs w:val="20"/>
                <w:lang w:eastAsia="en-US"/>
              </w:rPr>
              <w:fldChar w:fldCharType="end"/>
            </w:r>
            <w:r w:rsidRPr="00887108">
              <w:rPr>
                <w:rFonts w:eastAsiaTheme="minorHAnsi"/>
                <w:color w:val="2C9ADC"/>
                <w:sz w:val="20"/>
                <w:szCs w:val="20"/>
                <w:lang w:eastAsia="en-US"/>
              </w:rPr>
              <w:t xml:space="preserve"> - </w:t>
            </w:r>
            <w:r w:rsidR="00204588" w:rsidRPr="00887108">
              <w:rPr>
                <w:rFonts w:cs="Arial"/>
                <w:sz w:val="20"/>
                <w:szCs w:val="20"/>
              </w:rPr>
              <w:t>Daňová medzera na DPH (% potenciálneho výnosu, národná aj EK metodika</w:t>
            </w:r>
            <w:bookmarkEnd w:id="146"/>
            <w:bookmarkEnd w:id="147"/>
            <w:r w:rsidR="00204588" w:rsidRPr="00887108">
              <w:rPr>
                <w:rFonts w:cs="Arial"/>
                <w:sz w:val="20"/>
                <w:szCs w:val="20"/>
              </w:rPr>
              <w:t>)</w:t>
            </w:r>
            <w:bookmarkEnd w:id="148"/>
          </w:p>
        </w:tc>
        <w:tc>
          <w:tcPr>
            <w:tcW w:w="160" w:type="dxa"/>
            <w:tcBorders>
              <w:top w:val="nil"/>
              <w:left w:val="nil"/>
              <w:bottom w:val="nil"/>
              <w:right w:val="nil"/>
            </w:tcBorders>
            <w:vAlign w:val="center"/>
          </w:tcPr>
          <w:p w14:paraId="781B86AF" w14:textId="77777777" w:rsidR="00204588" w:rsidRPr="00887108" w:rsidRDefault="00204588" w:rsidP="007C2E5C">
            <w:pPr>
              <w:rPr>
                <w:rFonts w:cs="Arial"/>
                <w:b/>
                <w:sz w:val="20"/>
                <w:szCs w:val="20"/>
              </w:rPr>
            </w:pPr>
          </w:p>
        </w:tc>
        <w:tc>
          <w:tcPr>
            <w:tcW w:w="4659" w:type="dxa"/>
            <w:tcBorders>
              <w:top w:val="nil"/>
              <w:left w:val="nil"/>
              <w:bottom w:val="single" w:sz="4" w:space="0" w:color="auto"/>
              <w:right w:val="nil"/>
            </w:tcBorders>
            <w:vAlign w:val="center"/>
          </w:tcPr>
          <w:p w14:paraId="530AF14B" w14:textId="00F2D2A3" w:rsidR="00204588" w:rsidRPr="00887108" w:rsidRDefault="009B6CDF" w:rsidP="007C2E5C">
            <w:pPr>
              <w:pStyle w:val="Popis"/>
              <w:spacing w:after="0"/>
              <w:rPr>
                <w:sz w:val="20"/>
                <w:szCs w:val="20"/>
              </w:rPr>
            </w:pPr>
            <w:bookmarkStart w:id="149" w:name="_Toc6398985"/>
            <w:bookmarkStart w:id="150" w:name="_Toc38560462"/>
            <w:bookmarkStart w:id="151" w:name="_Toc40181280"/>
            <w:r w:rsidRPr="00887108">
              <w:rPr>
                <w:rFonts w:eastAsiaTheme="minorHAnsi"/>
                <w:color w:val="2C9ADC"/>
                <w:sz w:val="20"/>
                <w:szCs w:val="20"/>
                <w:lang w:eastAsia="en-US"/>
              </w:rPr>
              <w:t xml:space="preserve">GRAF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GRAF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29</w:t>
            </w:r>
            <w:r w:rsidRPr="00887108">
              <w:rPr>
                <w:rFonts w:eastAsiaTheme="minorHAnsi"/>
                <w:color w:val="2C9ADC"/>
                <w:sz w:val="20"/>
                <w:szCs w:val="20"/>
                <w:lang w:eastAsia="en-US"/>
              </w:rPr>
              <w:fldChar w:fldCharType="end"/>
            </w:r>
            <w:r w:rsidRPr="00887108">
              <w:rPr>
                <w:rFonts w:eastAsiaTheme="minorHAnsi"/>
                <w:color w:val="2C9ADC"/>
                <w:sz w:val="20"/>
                <w:szCs w:val="20"/>
                <w:lang w:eastAsia="en-US"/>
              </w:rPr>
              <w:t xml:space="preserve"> - </w:t>
            </w:r>
            <w:r w:rsidR="00204588" w:rsidRPr="00887108">
              <w:rPr>
                <w:rFonts w:cs="Arial"/>
                <w:sz w:val="20"/>
                <w:szCs w:val="20"/>
              </w:rPr>
              <w:t>Daňová medzery na DPH v EÚ (2017)</w:t>
            </w:r>
            <w:bookmarkEnd w:id="149"/>
            <w:bookmarkEnd w:id="150"/>
            <w:bookmarkEnd w:id="151"/>
          </w:p>
        </w:tc>
      </w:tr>
      <w:tr w:rsidR="00204588" w:rsidRPr="00887108" w14:paraId="48E98C17" w14:textId="77777777" w:rsidTr="00936E73">
        <w:trPr>
          <w:trHeight w:val="3208"/>
        </w:trPr>
        <w:tc>
          <w:tcPr>
            <w:tcW w:w="4253" w:type="dxa"/>
            <w:tcBorders>
              <w:top w:val="single" w:sz="4" w:space="0" w:color="auto"/>
              <w:left w:val="nil"/>
              <w:bottom w:val="single" w:sz="4" w:space="0" w:color="auto"/>
              <w:right w:val="nil"/>
            </w:tcBorders>
            <w:vAlign w:val="center"/>
          </w:tcPr>
          <w:p w14:paraId="1BEFBAFA" w14:textId="37EB242B" w:rsidR="00204588" w:rsidRPr="00887108" w:rsidRDefault="003D5C12" w:rsidP="00204588">
            <w:pPr>
              <w:jc w:val="center"/>
              <w:rPr>
                <w:rFonts w:cs="Arial"/>
                <w:b/>
              </w:rPr>
            </w:pPr>
            <w:r w:rsidRPr="00887108">
              <w:drawing>
                <wp:inline distT="0" distB="0" distL="0" distR="0" wp14:anchorId="52D75724" wp14:editId="5DAB7D90">
                  <wp:extent cx="2695575" cy="1857375"/>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60" w:type="dxa"/>
            <w:tcBorders>
              <w:top w:val="nil"/>
              <w:left w:val="nil"/>
              <w:bottom w:val="nil"/>
              <w:right w:val="nil"/>
            </w:tcBorders>
            <w:vAlign w:val="center"/>
          </w:tcPr>
          <w:p w14:paraId="56E4D805" w14:textId="77777777" w:rsidR="00204588" w:rsidRPr="00887108" w:rsidRDefault="00204588" w:rsidP="00204588">
            <w:pPr>
              <w:jc w:val="center"/>
              <w:rPr>
                <w:rFonts w:cs="Arial"/>
                <w:b/>
              </w:rPr>
            </w:pPr>
          </w:p>
        </w:tc>
        <w:tc>
          <w:tcPr>
            <w:tcW w:w="4659" w:type="dxa"/>
            <w:tcBorders>
              <w:top w:val="single" w:sz="4" w:space="0" w:color="auto"/>
              <w:left w:val="nil"/>
              <w:bottom w:val="single" w:sz="4" w:space="0" w:color="auto"/>
              <w:right w:val="nil"/>
            </w:tcBorders>
            <w:vAlign w:val="center"/>
          </w:tcPr>
          <w:p w14:paraId="2440116F" w14:textId="297B995F" w:rsidR="00204588" w:rsidRPr="00887108" w:rsidRDefault="003D5C12" w:rsidP="00204588">
            <w:pPr>
              <w:jc w:val="center"/>
              <w:rPr>
                <w:rFonts w:cs="Arial"/>
                <w:b/>
              </w:rPr>
            </w:pPr>
            <w:r w:rsidRPr="00887108">
              <w:drawing>
                <wp:inline distT="0" distB="0" distL="0" distR="0" wp14:anchorId="05B7945A" wp14:editId="16FCDECC">
                  <wp:extent cx="2771775" cy="195072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204588" w:rsidRPr="00887108" w14:paraId="48A0E4D1" w14:textId="77777777" w:rsidTr="00936E73">
        <w:trPr>
          <w:trHeight w:val="120"/>
        </w:trPr>
        <w:tc>
          <w:tcPr>
            <w:tcW w:w="4253" w:type="dxa"/>
            <w:tcBorders>
              <w:top w:val="single" w:sz="4" w:space="0" w:color="auto"/>
              <w:left w:val="nil"/>
              <w:bottom w:val="nil"/>
              <w:right w:val="nil"/>
            </w:tcBorders>
            <w:vAlign w:val="center"/>
          </w:tcPr>
          <w:p w14:paraId="42B0341C" w14:textId="64FE61DC" w:rsidR="00204588" w:rsidRPr="00887108" w:rsidRDefault="00204588" w:rsidP="00204588">
            <w:pPr>
              <w:jc w:val="right"/>
              <w:rPr>
                <w:rFonts w:cs="Arial"/>
                <w:sz w:val="16"/>
              </w:rPr>
            </w:pPr>
            <w:r w:rsidRPr="00887108">
              <w:rPr>
                <w:rFonts w:cs="Arial Narrow"/>
                <w:i/>
                <w:iCs/>
                <w:color w:val="000000"/>
                <w:sz w:val="16"/>
              </w:rPr>
              <w:t>Zdroj:  MF SR</w:t>
            </w:r>
            <w:r w:rsidR="00B56CD5" w:rsidRPr="00887108">
              <w:rPr>
                <w:rFonts w:cs="Arial Narrow"/>
                <w:i/>
                <w:iCs/>
                <w:color w:val="000000"/>
                <w:sz w:val="16"/>
              </w:rPr>
              <w:t>, EK</w:t>
            </w:r>
            <w:r w:rsidRPr="00887108">
              <w:rPr>
                <w:rFonts w:cs="Arial Narrow"/>
                <w:i/>
                <w:iCs/>
                <w:color w:val="000000"/>
                <w:sz w:val="16"/>
              </w:rPr>
              <w:t xml:space="preserve"> </w:t>
            </w:r>
          </w:p>
        </w:tc>
        <w:tc>
          <w:tcPr>
            <w:tcW w:w="160" w:type="dxa"/>
            <w:tcBorders>
              <w:top w:val="nil"/>
              <w:left w:val="nil"/>
              <w:bottom w:val="nil"/>
              <w:right w:val="nil"/>
            </w:tcBorders>
            <w:vAlign w:val="center"/>
          </w:tcPr>
          <w:p w14:paraId="7CCBE345" w14:textId="77777777" w:rsidR="00204588" w:rsidRPr="00887108" w:rsidRDefault="00204588" w:rsidP="00204588">
            <w:pPr>
              <w:jc w:val="center"/>
              <w:rPr>
                <w:rFonts w:cs="Arial"/>
                <w:sz w:val="16"/>
              </w:rPr>
            </w:pPr>
          </w:p>
        </w:tc>
        <w:tc>
          <w:tcPr>
            <w:tcW w:w="4659" w:type="dxa"/>
            <w:tcBorders>
              <w:top w:val="single" w:sz="4" w:space="0" w:color="auto"/>
              <w:left w:val="nil"/>
              <w:bottom w:val="nil"/>
              <w:right w:val="nil"/>
            </w:tcBorders>
            <w:vAlign w:val="center"/>
          </w:tcPr>
          <w:p w14:paraId="34DACAC0" w14:textId="0DFD31D5" w:rsidR="00204588" w:rsidRPr="00887108" w:rsidRDefault="00204588" w:rsidP="00204588">
            <w:pPr>
              <w:jc w:val="right"/>
              <w:rPr>
                <w:rFonts w:cs="Arial"/>
                <w:sz w:val="16"/>
              </w:rPr>
            </w:pPr>
            <w:r w:rsidRPr="00887108">
              <w:rPr>
                <w:rFonts w:cs="Arial Narrow"/>
                <w:i/>
                <w:iCs/>
                <w:color w:val="000000"/>
                <w:sz w:val="16"/>
              </w:rPr>
              <w:t>Zdroj: MF SR</w:t>
            </w:r>
            <w:r w:rsidR="00B56CD5" w:rsidRPr="00887108">
              <w:rPr>
                <w:rFonts w:cs="Arial Narrow"/>
                <w:i/>
                <w:iCs/>
                <w:color w:val="000000"/>
                <w:sz w:val="16"/>
              </w:rPr>
              <w:t>, EK</w:t>
            </w:r>
            <w:r w:rsidRPr="00887108">
              <w:rPr>
                <w:rFonts w:cs="Arial Narrow"/>
                <w:i/>
                <w:iCs/>
                <w:color w:val="000000"/>
                <w:sz w:val="16"/>
              </w:rPr>
              <w:t xml:space="preserve"> </w:t>
            </w:r>
          </w:p>
        </w:tc>
      </w:tr>
    </w:tbl>
    <w:p w14:paraId="70374F31" w14:textId="77777777" w:rsidR="009D1085" w:rsidRPr="00887108" w:rsidRDefault="009D1085" w:rsidP="00204588">
      <w:pPr>
        <w:spacing w:before="120"/>
        <w:jc w:val="both"/>
      </w:pPr>
      <w:r w:rsidRPr="00887108">
        <w:t>Plnenie cieľov Finančnej správy bude každoročne vyhodnocované vo výročnej správe. Ciele budú v oblastiach zahŕňajúcich integritu informácií o registrovaných daňových subjektoch, riadenie rizík, podpora dobrovoľného platenia daní, včasné podávanie daňových priznaní a platenie daní, správnosť informácií v daňových priznaniach, riešenie daňových sporov, manažment výberu daňových príjmov a transparentnosť a zodpovednosť voči verejnosti a vláde. Výrazne sa posilní aj transparentnosť a zodpovednosť voči verejnosti a vláde. Na podporu adresných opatrení zvyšovania efektivity výberu daní budú posilnené analytické kapacity Finančnej správy. Vďaka tomuto sa bude každoročne zverejňovať podrobná správa o veľkosti únikov na jednotlivých daniach a dôvodoch únikov.</w:t>
      </w:r>
    </w:p>
    <w:p w14:paraId="5F770130" w14:textId="2F148146" w:rsidR="00204588" w:rsidRPr="00887108" w:rsidRDefault="00E54396" w:rsidP="00204588">
      <w:pPr>
        <w:spacing w:before="120"/>
        <w:jc w:val="both"/>
      </w:pPr>
      <w:r w:rsidRPr="00887108">
        <w:rPr>
          <w:b/>
          <w:bCs/>
        </w:rPr>
        <w:t xml:space="preserve">V najbližšom čase bude </w:t>
      </w:r>
      <w:r w:rsidR="00204588" w:rsidRPr="00887108">
        <w:rPr>
          <w:b/>
          <w:bCs/>
        </w:rPr>
        <w:t xml:space="preserve">znižovanie daňovej medzery </w:t>
      </w:r>
      <w:r w:rsidRPr="00887108">
        <w:rPr>
          <w:b/>
          <w:bCs/>
        </w:rPr>
        <w:t xml:space="preserve">najviac závisieť od možností </w:t>
      </w:r>
      <w:r w:rsidR="00204588" w:rsidRPr="00887108">
        <w:rPr>
          <w:b/>
          <w:bCs/>
        </w:rPr>
        <w:t xml:space="preserve">analytického využitia dát z nového zavedeného nástroja </w:t>
      </w:r>
      <w:r w:rsidR="00204588" w:rsidRPr="00887108">
        <w:rPr>
          <w:b/>
          <w:bCs/>
          <w:i/>
        </w:rPr>
        <w:t>eKasa</w:t>
      </w:r>
      <w:r w:rsidR="00204588" w:rsidRPr="00887108">
        <w:rPr>
          <w:b/>
          <w:bCs/>
        </w:rPr>
        <w:t xml:space="preserve">. </w:t>
      </w:r>
      <w:r w:rsidR="00204588" w:rsidRPr="00887108">
        <w:rPr>
          <w:bCs/>
          <w:iCs/>
        </w:rPr>
        <w:t>Nástroj by mal mať pozitívny vplyv na uzatváranie medzery na DPH najmä v odvetviach maloobchodu, služieb a ubytovacích a stravovacích služieb</w:t>
      </w:r>
      <w:r w:rsidR="00204588" w:rsidRPr="00887108">
        <w:rPr>
          <w:bCs/>
          <w:i/>
          <w:iCs/>
        </w:rPr>
        <w:t>.</w:t>
      </w:r>
      <w:r w:rsidR="00204588" w:rsidRPr="00887108">
        <w:t xml:space="preserve"> P</w:t>
      </w:r>
      <w:r w:rsidR="00204588" w:rsidRPr="00887108">
        <w:rPr>
          <w:bCs/>
        </w:rPr>
        <w:t xml:space="preserve">rojekt </w:t>
      </w:r>
      <w:r w:rsidR="00204588" w:rsidRPr="00887108">
        <w:rPr>
          <w:bCs/>
          <w:i/>
          <w:iCs/>
        </w:rPr>
        <w:t xml:space="preserve">eKasa </w:t>
      </w:r>
      <w:r w:rsidR="00204588" w:rsidRPr="00887108">
        <w:rPr>
          <w:bCs/>
          <w:iCs/>
        </w:rPr>
        <w:t xml:space="preserve">sa implementoval s miernym </w:t>
      </w:r>
      <w:r w:rsidR="00E972FC" w:rsidRPr="00887108">
        <w:rPr>
          <w:bCs/>
          <w:iCs/>
        </w:rPr>
        <w:t>oneskorením</w:t>
      </w:r>
      <w:r w:rsidR="00204588" w:rsidRPr="00887108">
        <w:rPr>
          <w:bCs/>
          <w:iCs/>
        </w:rPr>
        <w:t xml:space="preserve">. </w:t>
      </w:r>
      <w:r w:rsidR="00204588" w:rsidRPr="00887108">
        <w:t xml:space="preserve">Podnikatelia sa k systému </w:t>
      </w:r>
      <w:r w:rsidR="00204588" w:rsidRPr="00887108">
        <w:rPr>
          <w:iCs/>
        </w:rPr>
        <w:t>eKasa</w:t>
      </w:r>
      <w:r w:rsidR="00204588" w:rsidRPr="00887108">
        <w:t xml:space="preserve"> postupne začali pripájať v priebehu roka 2019. Pôvodný termín používania </w:t>
      </w:r>
      <w:r w:rsidR="00204588" w:rsidRPr="00887108">
        <w:rPr>
          <w:i/>
        </w:rPr>
        <w:t>eKasy</w:t>
      </w:r>
      <w:r w:rsidR="00204588" w:rsidRPr="00887108">
        <w:t xml:space="preserve"> pre všetky podnikateľské subjekty bol posunutý z júla 2019 na január 2020 s cieľom poskytnúť viac času na obstaranie certifikovaných pokladníc. Aktuálne je </w:t>
      </w:r>
      <w:r w:rsidR="00204588" w:rsidRPr="00887108">
        <w:rPr>
          <w:i/>
        </w:rPr>
        <w:t>eKasa</w:t>
      </w:r>
      <w:r w:rsidR="00204588" w:rsidRPr="00887108">
        <w:t xml:space="preserve"> plne funkčná</w:t>
      </w:r>
      <w:r w:rsidR="00204588" w:rsidRPr="00887108">
        <w:rPr>
          <w:bCs/>
          <w:i/>
          <w:iCs/>
        </w:rPr>
        <w:t>.</w:t>
      </w:r>
      <w:r w:rsidR="00204588" w:rsidRPr="00887108">
        <w:t xml:space="preserve">  </w:t>
      </w:r>
    </w:p>
    <w:p w14:paraId="68874E47" w14:textId="77777777" w:rsidR="00204588" w:rsidRPr="00887108" w:rsidRDefault="00204588" w:rsidP="00204588">
      <w:pPr>
        <w:jc w:val="both"/>
      </w:pPr>
    </w:p>
    <w:p w14:paraId="0C98D284" w14:textId="392A13D7" w:rsidR="00D10388" w:rsidRPr="00887108" w:rsidRDefault="00640AAA" w:rsidP="00D10388">
      <w:pPr>
        <w:rPr>
          <w:b/>
          <w:i/>
          <w:color w:val="2C9ADC" w:themeColor="accent1"/>
        </w:rPr>
      </w:pPr>
      <w:r w:rsidRPr="00887108">
        <w:rPr>
          <w:b/>
          <w:i/>
          <w:color w:val="2C9ADC" w:themeColor="accent1"/>
        </w:rPr>
        <w:t>Aktuálne r</w:t>
      </w:r>
      <w:r w:rsidR="00D10388" w:rsidRPr="00887108">
        <w:rPr>
          <w:b/>
          <w:i/>
          <w:color w:val="2C9ADC" w:themeColor="accent1"/>
        </w:rPr>
        <w:t>evízie výdavkov</w:t>
      </w:r>
    </w:p>
    <w:p w14:paraId="2A27D770" w14:textId="2E47B883" w:rsidR="00F91FB0" w:rsidRPr="00887108" w:rsidRDefault="00F91FB0" w:rsidP="00F91FB0">
      <w:pPr>
        <w:jc w:val="both"/>
        <w:rPr>
          <w:rFonts w:cs="Times New Roman"/>
        </w:rPr>
      </w:pPr>
      <w:r w:rsidRPr="00887108">
        <w:rPr>
          <w:b/>
          <w:bCs/>
        </w:rPr>
        <w:t>Revízia výdavkov na informatizáciu identifikovala opatrenia s potenciálom znížiť ročné IT výdavky o 10-20</w:t>
      </w:r>
      <w:r w:rsidR="00246B98" w:rsidRPr="00887108">
        <w:rPr>
          <w:b/>
          <w:bCs/>
        </w:rPr>
        <w:t> </w:t>
      </w:r>
      <w:r w:rsidRPr="00887108">
        <w:rPr>
          <w:b/>
          <w:bCs/>
        </w:rPr>
        <w:t>% (48-95 mil. eur), efektívne je investovanie do budovania interných kapacít.</w:t>
      </w:r>
      <w:r w:rsidRPr="00887108">
        <w:t> Nástrojom na dosiahnutie úspor má byť zavedenie analytického sledovania IT výdavkov, stanovenie cenových limitov na nákup tovarov a služieb a lepš</w:t>
      </w:r>
      <w:r w:rsidR="002B7B2A" w:rsidRPr="00887108">
        <w:t>ia</w:t>
      </w:r>
      <w:r w:rsidRPr="00887108">
        <w:t xml:space="preserve"> kontrol</w:t>
      </w:r>
      <w:r w:rsidR="002B7B2A" w:rsidRPr="00887108">
        <w:t>a</w:t>
      </w:r>
      <w:r w:rsidRPr="00887108">
        <w:t xml:space="preserve"> zmlúv na prevádzku a rozvoj existujúcich systémov. Vytvorený fiškálny priestor navrhuje revízia reinvestovať do budovania interných IT kapacít, ktoré umožnia cenovo efektívnejšie zabezpečenie potrieb </w:t>
      </w:r>
      <w:r w:rsidRPr="00887108">
        <w:rPr>
          <w:b/>
          <w:bCs/>
        </w:rPr>
        <w:t xml:space="preserve">(externá príloha </w:t>
      </w:r>
      <w:r w:rsidR="005B2826" w:rsidRPr="00887108">
        <w:rPr>
          <w:b/>
          <w:bCs/>
        </w:rPr>
        <w:t>1</w:t>
      </w:r>
      <w:r w:rsidRPr="00887108">
        <w:rPr>
          <w:b/>
          <w:bCs/>
        </w:rPr>
        <w:t>)</w:t>
      </w:r>
      <w:r w:rsidR="00246B98" w:rsidRPr="00887108">
        <w:rPr>
          <w:b/>
          <w:bCs/>
        </w:rPr>
        <w:t>.</w:t>
      </w:r>
      <w:r w:rsidRPr="00887108">
        <w:t xml:space="preserve"> </w:t>
      </w:r>
    </w:p>
    <w:p w14:paraId="468F1A3E" w14:textId="77777777" w:rsidR="00F91FB0" w:rsidRPr="00887108" w:rsidRDefault="00F91FB0" w:rsidP="00F91FB0"/>
    <w:p w14:paraId="7AEE8CB2" w14:textId="35500725" w:rsidR="00F91FB0" w:rsidRPr="00887108" w:rsidRDefault="00F91FB0" w:rsidP="00246B98">
      <w:pPr>
        <w:jc w:val="both"/>
      </w:pPr>
      <w:r w:rsidRPr="00887108">
        <w:rPr>
          <w:b/>
          <w:bCs/>
        </w:rPr>
        <w:t xml:space="preserve">Revízia výdavkov na skupiny ohrozené chudobou alebo sociálnym vylúčením navrhuje </w:t>
      </w:r>
      <w:r w:rsidR="002B7B2A" w:rsidRPr="00887108">
        <w:rPr>
          <w:b/>
          <w:bCs/>
        </w:rPr>
        <w:t>úsporné</w:t>
      </w:r>
      <w:r w:rsidRPr="00887108">
        <w:rPr>
          <w:b/>
          <w:bCs/>
        </w:rPr>
        <w:t xml:space="preserve"> opatrenia vo výške 13,7 mil</w:t>
      </w:r>
      <w:r w:rsidR="00360146" w:rsidRPr="00887108">
        <w:rPr>
          <w:b/>
          <w:bCs/>
        </w:rPr>
        <w:t>.</w:t>
      </w:r>
      <w:r w:rsidR="00987C6C" w:rsidRPr="00887108">
        <w:rPr>
          <w:b/>
          <w:bCs/>
        </w:rPr>
        <w:t xml:space="preserve"> </w:t>
      </w:r>
      <w:r w:rsidRPr="00887108">
        <w:rPr>
          <w:b/>
          <w:bCs/>
        </w:rPr>
        <w:t xml:space="preserve">eur a identifikuje potrebu dodatočných 263 </w:t>
      </w:r>
      <w:r w:rsidR="00360146" w:rsidRPr="00887108">
        <w:rPr>
          <w:b/>
          <w:bCs/>
        </w:rPr>
        <w:t>mil.</w:t>
      </w:r>
      <w:r w:rsidRPr="00887108">
        <w:rPr>
          <w:b/>
          <w:bCs/>
        </w:rPr>
        <w:t xml:space="preserve"> eur. </w:t>
      </w:r>
      <w:r w:rsidR="002B7B2A" w:rsidRPr="00887108">
        <w:t>Zníženie výdavkov</w:t>
      </w:r>
      <w:r w:rsidRPr="00887108">
        <w:t xml:space="preserve"> revízia </w:t>
      </w:r>
      <w:r w:rsidR="002B7B2A" w:rsidRPr="00887108">
        <w:t>identifikovala</w:t>
      </w:r>
      <w:r w:rsidRPr="00887108">
        <w:t xml:space="preserve"> pri nultých ročníkoch, špeciálnom školstve a pri aktivačných prácach. Dve tretiny dodatočných zdrojov</w:t>
      </w:r>
      <w:r w:rsidR="002B7B2A" w:rsidRPr="00887108">
        <w:t xml:space="preserve"> (174 mil. eur)</w:t>
      </w:r>
      <w:r w:rsidRPr="00887108">
        <w:t xml:space="preserve"> by mali smerovať na ra</w:t>
      </w:r>
      <w:r w:rsidR="00402DB5" w:rsidRPr="00887108">
        <w:t>n</w:t>
      </w:r>
      <w:r w:rsidRPr="00887108">
        <w:t>nú starostlivosť a vzdelávanie, najmä na rozšírenie a skvalitnenie personálnych kapacít pre prácu so znevýhodnenými deťmi. Okolo 20 %</w:t>
      </w:r>
      <w:r w:rsidR="002B7B2A" w:rsidRPr="00887108">
        <w:t xml:space="preserve"> (52 mil. eur)</w:t>
      </w:r>
      <w:r w:rsidRPr="00887108">
        <w:t xml:space="preserve"> by malo smerovať na vyšší a dostupnejší príspevok na bývanie a na pomoc ľuďom bez domova. Ďalších 12 %</w:t>
      </w:r>
      <w:r w:rsidR="002B7B2A" w:rsidRPr="00887108">
        <w:t xml:space="preserve"> (31 mil. eur)</w:t>
      </w:r>
      <w:r w:rsidRPr="00887108">
        <w:t xml:space="preserve"> je alokovaných na účinnejšiu pomoc znevýhodneným uchádzačom o zamestnanie a na sociálne politiky, najmä v oblasti zmierňovania chudoby detí. </w:t>
      </w:r>
      <w:r w:rsidR="002B7B2A" w:rsidRPr="00887108">
        <w:t xml:space="preserve">Do zvyšných oblastí by malo smerovať 2 % (7 mil. eur) z celkového balíka </w:t>
      </w:r>
      <w:r w:rsidRPr="00887108">
        <w:rPr>
          <w:b/>
          <w:bCs/>
        </w:rPr>
        <w:t xml:space="preserve">(externá príloha </w:t>
      </w:r>
      <w:r w:rsidR="005B2826" w:rsidRPr="00887108">
        <w:rPr>
          <w:b/>
          <w:bCs/>
        </w:rPr>
        <w:t>2</w:t>
      </w:r>
      <w:r w:rsidRPr="00887108">
        <w:rPr>
          <w:b/>
          <w:bCs/>
        </w:rPr>
        <w:t>)</w:t>
      </w:r>
      <w:r w:rsidR="00246B98" w:rsidRPr="00887108">
        <w:rPr>
          <w:b/>
          <w:bCs/>
        </w:rPr>
        <w:t>.</w:t>
      </w:r>
    </w:p>
    <w:p w14:paraId="6F12E912" w14:textId="77777777" w:rsidR="00F91FB0" w:rsidRPr="00887108" w:rsidRDefault="00F91FB0" w:rsidP="00F91FB0"/>
    <w:p w14:paraId="43844921" w14:textId="5093A6F5" w:rsidR="00F91FB0" w:rsidRPr="00887108" w:rsidRDefault="00F91FB0" w:rsidP="00F91FB0">
      <w:pPr>
        <w:spacing w:after="240"/>
        <w:jc w:val="both"/>
        <w:rPr>
          <w:color w:val="1C1E21"/>
          <w:shd w:val="clear" w:color="auto" w:fill="FFFFFF"/>
        </w:rPr>
      </w:pPr>
      <w:r w:rsidRPr="00887108">
        <w:rPr>
          <w:b/>
          <w:bCs/>
          <w:color w:val="1C1E21"/>
          <w:shd w:val="clear" w:color="auto" w:fill="FFFFFF"/>
        </w:rPr>
        <w:t xml:space="preserve">Revízia </w:t>
      </w:r>
      <w:r w:rsidRPr="00887108">
        <w:rPr>
          <w:b/>
          <w:bCs/>
        </w:rPr>
        <w:t xml:space="preserve">výdavkov zamestnanosti a odmeňovania vo verejnej správe </w:t>
      </w:r>
      <w:r w:rsidRPr="00887108">
        <w:rPr>
          <w:b/>
          <w:bCs/>
          <w:color w:val="1C1E21"/>
          <w:shd w:val="clear" w:color="auto" w:fill="FFFFFF"/>
        </w:rPr>
        <w:t xml:space="preserve">identifikovala štrukturálny nesúlad zamestnanosti a potrieb spoločnosti. Potenciál úspor odhaduje na 765 </w:t>
      </w:r>
      <w:r w:rsidR="00360146" w:rsidRPr="00887108">
        <w:rPr>
          <w:b/>
          <w:bCs/>
          <w:color w:val="1C1E21"/>
          <w:shd w:val="clear" w:color="auto" w:fill="FFFFFF"/>
        </w:rPr>
        <w:t>mil.</w:t>
      </w:r>
      <w:r w:rsidRPr="00887108">
        <w:rPr>
          <w:b/>
          <w:bCs/>
          <w:color w:val="1C1E21"/>
          <w:shd w:val="clear" w:color="auto" w:fill="FFFFFF"/>
        </w:rPr>
        <w:t xml:space="preserve"> eur, potrebu dodatočných zdrojov na dosiahnutie zamestnanosti a odmeňovania na priemere krajín EÚ na 1,2 mld. eur.</w:t>
      </w:r>
      <w:r w:rsidRPr="00887108">
        <w:rPr>
          <w:color w:val="1C1E21"/>
          <w:shd w:val="clear" w:color="auto" w:fill="FFFFFF"/>
        </w:rPr>
        <w:t xml:space="preserve"> Úspory sú možné znížením počtu policajtov (96 mil. eur), optimalizáciou ministerstiev a štátnych podnikov (214 mil. eur) ako aj reformou samospráv (396 mil. eur). Potrebné je postupné navyšovanie počtov zdravotných sestier, platov učiteľov a počtov a platov pracovníkov v sociálnych službách. Revízia odporúča </w:t>
      </w:r>
      <w:r w:rsidRPr="00887108">
        <w:t>sflexibilnenie odmeňovacích predpisov spojené s nárastom variabilnej zložky mzdy pri pozíciách s vyššou mierou zodpovednosti a centrálnejšie riadenie verejnej zamestnanosti</w:t>
      </w:r>
      <w:r w:rsidRPr="00887108">
        <w:rPr>
          <w:color w:val="1C1E21"/>
          <w:shd w:val="clear" w:color="auto" w:fill="FFFFFF"/>
        </w:rPr>
        <w:t xml:space="preserve"> </w:t>
      </w:r>
      <w:r w:rsidRPr="00887108">
        <w:rPr>
          <w:b/>
          <w:bCs/>
        </w:rPr>
        <w:t xml:space="preserve">(externá príloha </w:t>
      </w:r>
      <w:r w:rsidR="005B2826" w:rsidRPr="00887108">
        <w:rPr>
          <w:b/>
          <w:bCs/>
        </w:rPr>
        <w:t>3</w:t>
      </w:r>
      <w:r w:rsidRPr="00887108">
        <w:rPr>
          <w:b/>
          <w:bCs/>
        </w:rPr>
        <w:t>)</w:t>
      </w:r>
      <w:r w:rsidR="00246B98" w:rsidRPr="00887108">
        <w:rPr>
          <w:b/>
          <w:bCs/>
        </w:rPr>
        <w:t>.</w:t>
      </w:r>
    </w:p>
    <w:p w14:paraId="57DCDA79" w14:textId="7284EE9C" w:rsidR="00D10388" w:rsidRPr="00887108" w:rsidRDefault="00D10388">
      <w:r w:rsidRPr="00887108">
        <w:br w:type="page"/>
      </w:r>
    </w:p>
    <w:p w14:paraId="6734628F" w14:textId="77777777" w:rsidR="00D37A31" w:rsidRPr="00887108" w:rsidRDefault="00D37A31" w:rsidP="00D37A31">
      <w:pPr>
        <w:pStyle w:val="Nadpis1"/>
        <w:spacing w:before="240" w:after="240"/>
        <w:rPr>
          <w:szCs w:val="28"/>
        </w:rPr>
      </w:pPr>
      <w:bookmarkStart w:id="152" w:name="_Toc40181057"/>
      <w:bookmarkStart w:id="153" w:name="_Toc449430203"/>
      <w:bookmarkStart w:id="154" w:name="_Toc416885945"/>
      <w:bookmarkStart w:id="155" w:name="_Toc416944093"/>
      <w:bookmarkStart w:id="156" w:name="_Ref6313713"/>
      <w:r w:rsidRPr="00887108">
        <w:rPr>
          <w:szCs w:val="28"/>
        </w:rPr>
        <w:t>PRÍLOHY</w:t>
      </w:r>
      <w:bookmarkEnd w:id="152"/>
    </w:p>
    <w:p w14:paraId="5FB5FABD" w14:textId="77777777" w:rsidR="00D37A31" w:rsidRPr="00887108" w:rsidRDefault="00D37A31" w:rsidP="00D37A31">
      <w:pPr>
        <w:pStyle w:val="Nadpis3"/>
        <w:rPr>
          <w:sz w:val="24"/>
          <w:szCs w:val="24"/>
        </w:rPr>
      </w:pPr>
      <w:r w:rsidRPr="00887108">
        <w:rPr>
          <w:color w:val="2C9ADC" w:themeColor="accent1"/>
          <w:sz w:val="24"/>
          <w:szCs w:val="24"/>
        </w:rPr>
        <w:t>Príloha 1 - Povinné tabuľky Programu stability</w:t>
      </w:r>
      <w:r w:rsidRPr="00887108">
        <w:rPr>
          <w:sz w:val="24"/>
          <w:szCs w:val="24"/>
        </w:rPr>
        <w:t xml:space="preserve"> </w:t>
      </w:r>
    </w:p>
    <w:p w14:paraId="74418086" w14:textId="77777777" w:rsidR="00A918CA" w:rsidRPr="00887108" w:rsidRDefault="00A918CA" w:rsidP="00A918CA"/>
    <w:tbl>
      <w:tblPr>
        <w:tblW w:w="8986" w:type="dxa"/>
        <w:tblCellMar>
          <w:left w:w="70" w:type="dxa"/>
          <w:right w:w="70" w:type="dxa"/>
        </w:tblCellMar>
        <w:tblLook w:val="04A0" w:firstRow="1" w:lastRow="0" w:firstColumn="1" w:lastColumn="0" w:noHBand="0" w:noVBand="1"/>
      </w:tblPr>
      <w:tblGrid>
        <w:gridCol w:w="3085"/>
        <w:gridCol w:w="836"/>
        <w:gridCol w:w="885"/>
        <w:gridCol w:w="836"/>
        <w:gridCol w:w="836"/>
        <w:gridCol w:w="836"/>
        <w:gridCol w:w="836"/>
        <w:gridCol w:w="836"/>
      </w:tblGrid>
      <w:tr w:rsidR="00D37A31" w:rsidRPr="00887108" w14:paraId="1CA2B412" w14:textId="77777777" w:rsidTr="00E9118E">
        <w:trPr>
          <w:trHeight w:val="283"/>
        </w:trPr>
        <w:tc>
          <w:tcPr>
            <w:tcW w:w="8986" w:type="dxa"/>
            <w:gridSpan w:val="8"/>
            <w:tcBorders>
              <w:top w:val="nil"/>
              <w:left w:val="nil"/>
              <w:bottom w:val="single" w:sz="8" w:space="0" w:color="auto"/>
              <w:right w:val="nil"/>
            </w:tcBorders>
            <w:shd w:val="clear" w:color="auto" w:fill="auto"/>
            <w:noWrap/>
            <w:vAlign w:val="center"/>
            <w:hideMark/>
          </w:tcPr>
          <w:p w14:paraId="636108FD" w14:textId="77777777" w:rsidR="00D37A31" w:rsidRPr="00887108" w:rsidRDefault="00D37A31" w:rsidP="00E9118E">
            <w:pPr>
              <w:rPr>
                <w:rFonts w:cs="Times New Roman"/>
                <w:b/>
                <w:bCs/>
                <w:color w:val="2C9ADC" w:themeColor="accent1"/>
                <w:sz w:val="20"/>
              </w:rPr>
            </w:pPr>
            <w:bookmarkStart w:id="157" w:name="_Toc480905410"/>
            <w:bookmarkStart w:id="158" w:name="_Toc40186688"/>
            <w:r w:rsidRPr="00887108">
              <w:rPr>
                <w:rFonts w:eastAsiaTheme="minorHAnsi"/>
                <w:b/>
                <w:color w:val="2C9ADC"/>
                <w:sz w:val="20"/>
                <w:lang w:eastAsia="en-US"/>
              </w:rPr>
              <w:t xml:space="preserve">TABUĽKA </w:t>
            </w:r>
            <w:r w:rsidRPr="00887108">
              <w:rPr>
                <w:rFonts w:eastAsiaTheme="minorHAnsi"/>
                <w:b/>
                <w:color w:val="2C9ADC"/>
                <w:sz w:val="20"/>
                <w:lang w:eastAsia="en-US"/>
              </w:rPr>
              <w:fldChar w:fldCharType="begin"/>
            </w:r>
            <w:r w:rsidRPr="00887108">
              <w:rPr>
                <w:rFonts w:eastAsiaTheme="minorHAnsi"/>
                <w:b/>
                <w:color w:val="2C9ADC"/>
                <w:sz w:val="20"/>
                <w:lang w:eastAsia="en-US"/>
              </w:rPr>
              <w:instrText xml:space="preserve"> SEQ TABUĽKA \* ARABIC </w:instrText>
            </w:r>
            <w:r w:rsidRPr="00887108">
              <w:rPr>
                <w:rFonts w:eastAsiaTheme="minorHAnsi"/>
                <w:b/>
                <w:color w:val="2C9ADC"/>
                <w:sz w:val="20"/>
                <w:lang w:eastAsia="en-US"/>
              </w:rPr>
              <w:fldChar w:fldCharType="separate"/>
            </w:r>
            <w:r w:rsidR="00D47A36">
              <w:rPr>
                <w:rFonts w:eastAsiaTheme="minorHAnsi"/>
                <w:b/>
                <w:noProof/>
                <w:color w:val="2C9ADC"/>
                <w:sz w:val="20"/>
                <w:lang w:eastAsia="en-US"/>
              </w:rPr>
              <w:t>11</w:t>
            </w:r>
            <w:r w:rsidRPr="00887108">
              <w:rPr>
                <w:rFonts w:eastAsiaTheme="minorHAnsi"/>
                <w:b/>
                <w:color w:val="2C9ADC"/>
                <w:sz w:val="20"/>
                <w:lang w:eastAsia="en-US"/>
              </w:rPr>
              <w:fldChar w:fldCharType="end"/>
            </w:r>
            <w:r w:rsidRPr="00887108">
              <w:rPr>
                <w:color w:val="2C9ADC" w:themeColor="accent1"/>
                <w:sz w:val="20"/>
              </w:rPr>
              <w:t xml:space="preserve"> (</w:t>
            </w:r>
            <w:r w:rsidRPr="00887108">
              <w:rPr>
                <w:rFonts w:cs="Times New Roman"/>
                <w:b/>
                <w:bCs/>
                <w:color w:val="2C9ADC" w:themeColor="accent1"/>
                <w:sz w:val="20"/>
              </w:rPr>
              <w:t>Tabuľka 1a) - Makroekonomický prehľad (ESA 2010, mld. eur)</w:t>
            </w:r>
            <w:bookmarkEnd w:id="157"/>
            <w:bookmarkEnd w:id="158"/>
            <w:r w:rsidRPr="00887108">
              <w:rPr>
                <w:rFonts w:cs="Times New Roman"/>
                <w:b/>
                <w:bCs/>
                <w:color w:val="2C9ADC" w:themeColor="accent1"/>
                <w:sz w:val="20"/>
              </w:rPr>
              <w:t xml:space="preserve"> </w:t>
            </w:r>
          </w:p>
        </w:tc>
      </w:tr>
      <w:tr w:rsidR="00D37A31" w:rsidRPr="00887108" w14:paraId="4A5588EF" w14:textId="77777777" w:rsidTr="00E9118E">
        <w:trPr>
          <w:trHeight w:val="283"/>
        </w:trPr>
        <w:tc>
          <w:tcPr>
            <w:tcW w:w="3085" w:type="dxa"/>
            <w:vMerge w:val="restart"/>
            <w:tcBorders>
              <w:top w:val="nil"/>
              <w:left w:val="nil"/>
              <w:bottom w:val="single" w:sz="6" w:space="0" w:color="auto"/>
              <w:right w:val="nil"/>
            </w:tcBorders>
            <w:shd w:val="clear" w:color="auto" w:fill="auto"/>
            <w:vAlign w:val="bottom"/>
            <w:hideMark/>
          </w:tcPr>
          <w:p w14:paraId="28E2C812" w14:textId="77777777" w:rsidR="00D37A31" w:rsidRPr="00887108" w:rsidRDefault="00D37A31" w:rsidP="00E9118E">
            <w:pPr>
              <w:rPr>
                <w:rFonts w:cs="Times New Roman"/>
                <w:color w:val="000000"/>
                <w:sz w:val="18"/>
                <w:szCs w:val="18"/>
              </w:rPr>
            </w:pPr>
            <w:r w:rsidRPr="00887108">
              <w:rPr>
                <w:rFonts w:cs="Times New Roman"/>
                <w:color w:val="000000"/>
                <w:sz w:val="18"/>
                <w:szCs w:val="18"/>
              </w:rPr>
              <w:t> </w:t>
            </w:r>
          </w:p>
        </w:tc>
        <w:tc>
          <w:tcPr>
            <w:tcW w:w="836" w:type="dxa"/>
            <w:vMerge w:val="restart"/>
            <w:tcBorders>
              <w:top w:val="nil"/>
              <w:left w:val="nil"/>
              <w:bottom w:val="single" w:sz="6" w:space="0" w:color="auto"/>
              <w:right w:val="nil"/>
            </w:tcBorders>
            <w:shd w:val="clear" w:color="auto" w:fill="auto"/>
            <w:vAlign w:val="center"/>
            <w:hideMark/>
          </w:tcPr>
          <w:p w14:paraId="1F22107D"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ESA kód</w:t>
            </w:r>
          </w:p>
        </w:tc>
        <w:tc>
          <w:tcPr>
            <w:tcW w:w="885" w:type="dxa"/>
            <w:tcBorders>
              <w:top w:val="nil"/>
              <w:left w:val="nil"/>
              <w:bottom w:val="nil"/>
              <w:right w:val="nil"/>
            </w:tcBorders>
            <w:shd w:val="clear" w:color="auto" w:fill="auto"/>
            <w:vAlign w:val="center"/>
            <w:hideMark/>
          </w:tcPr>
          <w:p w14:paraId="78DF5CDB" w14:textId="77777777" w:rsidR="00D37A31" w:rsidRPr="00887108" w:rsidRDefault="00D37A31" w:rsidP="00E9118E">
            <w:pPr>
              <w:jc w:val="center"/>
              <w:rPr>
                <w:rFonts w:cs="Times New Roman"/>
                <w:b/>
                <w:bCs/>
                <w:color w:val="000000"/>
                <w:sz w:val="18"/>
                <w:szCs w:val="18"/>
              </w:rPr>
            </w:pPr>
            <w:r w:rsidRPr="00887108">
              <w:rPr>
                <w:b/>
                <w:bCs/>
                <w:color w:val="000000"/>
                <w:sz w:val="18"/>
                <w:szCs w:val="18"/>
              </w:rPr>
              <w:t>2019</w:t>
            </w:r>
          </w:p>
        </w:tc>
        <w:tc>
          <w:tcPr>
            <w:tcW w:w="836" w:type="dxa"/>
            <w:tcBorders>
              <w:top w:val="nil"/>
              <w:left w:val="nil"/>
              <w:bottom w:val="nil"/>
              <w:right w:val="nil"/>
            </w:tcBorders>
            <w:shd w:val="clear" w:color="auto" w:fill="auto"/>
            <w:vAlign w:val="center"/>
            <w:hideMark/>
          </w:tcPr>
          <w:p w14:paraId="2BFA2868" w14:textId="77777777" w:rsidR="00D37A31" w:rsidRPr="00887108" w:rsidRDefault="00D37A31" w:rsidP="00E9118E">
            <w:pPr>
              <w:jc w:val="center"/>
              <w:rPr>
                <w:b/>
                <w:bCs/>
                <w:color w:val="000000"/>
                <w:sz w:val="18"/>
                <w:szCs w:val="18"/>
              </w:rPr>
            </w:pPr>
            <w:r w:rsidRPr="00887108">
              <w:rPr>
                <w:b/>
                <w:bCs/>
                <w:color w:val="000000"/>
                <w:sz w:val="18"/>
                <w:szCs w:val="18"/>
              </w:rPr>
              <w:t>2019</w:t>
            </w:r>
          </w:p>
        </w:tc>
        <w:tc>
          <w:tcPr>
            <w:tcW w:w="836" w:type="dxa"/>
            <w:tcBorders>
              <w:top w:val="nil"/>
              <w:left w:val="nil"/>
              <w:bottom w:val="nil"/>
              <w:right w:val="nil"/>
            </w:tcBorders>
            <w:shd w:val="clear" w:color="auto" w:fill="auto"/>
            <w:vAlign w:val="center"/>
            <w:hideMark/>
          </w:tcPr>
          <w:p w14:paraId="36ECF885" w14:textId="77777777" w:rsidR="00D37A31" w:rsidRPr="00887108" w:rsidRDefault="00D37A31" w:rsidP="00E9118E">
            <w:pPr>
              <w:jc w:val="center"/>
              <w:rPr>
                <w:b/>
                <w:bCs/>
                <w:color w:val="000000"/>
                <w:sz w:val="18"/>
                <w:szCs w:val="18"/>
              </w:rPr>
            </w:pPr>
            <w:r w:rsidRPr="00887108">
              <w:rPr>
                <w:b/>
                <w:bCs/>
                <w:color w:val="000000"/>
                <w:sz w:val="18"/>
                <w:szCs w:val="18"/>
              </w:rPr>
              <w:t>2020</w:t>
            </w:r>
          </w:p>
        </w:tc>
        <w:tc>
          <w:tcPr>
            <w:tcW w:w="836" w:type="dxa"/>
            <w:tcBorders>
              <w:top w:val="nil"/>
              <w:left w:val="nil"/>
              <w:bottom w:val="nil"/>
              <w:right w:val="nil"/>
            </w:tcBorders>
            <w:shd w:val="clear" w:color="auto" w:fill="auto"/>
            <w:vAlign w:val="center"/>
            <w:hideMark/>
          </w:tcPr>
          <w:p w14:paraId="3C06DEE2" w14:textId="77777777" w:rsidR="00D37A31" w:rsidRPr="00887108" w:rsidRDefault="00D37A31" w:rsidP="00E9118E">
            <w:pPr>
              <w:jc w:val="center"/>
              <w:rPr>
                <w:b/>
                <w:bCs/>
                <w:color w:val="000000"/>
                <w:sz w:val="18"/>
                <w:szCs w:val="18"/>
              </w:rPr>
            </w:pPr>
            <w:r w:rsidRPr="00887108">
              <w:rPr>
                <w:b/>
                <w:bCs/>
                <w:color w:val="000000"/>
                <w:sz w:val="18"/>
                <w:szCs w:val="18"/>
              </w:rPr>
              <w:t>2021</w:t>
            </w:r>
          </w:p>
        </w:tc>
        <w:tc>
          <w:tcPr>
            <w:tcW w:w="836" w:type="dxa"/>
            <w:tcBorders>
              <w:top w:val="nil"/>
              <w:left w:val="nil"/>
              <w:bottom w:val="nil"/>
              <w:right w:val="nil"/>
            </w:tcBorders>
            <w:shd w:val="clear" w:color="auto" w:fill="auto"/>
            <w:vAlign w:val="center"/>
            <w:hideMark/>
          </w:tcPr>
          <w:p w14:paraId="6EA15266" w14:textId="77777777" w:rsidR="00D37A31" w:rsidRPr="00887108" w:rsidRDefault="00D37A31" w:rsidP="00E9118E">
            <w:pPr>
              <w:jc w:val="center"/>
              <w:rPr>
                <w:b/>
                <w:bCs/>
                <w:color w:val="000000"/>
                <w:sz w:val="18"/>
                <w:szCs w:val="18"/>
              </w:rPr>
            </w:pPr>
            <w:r w:rsidRPr="00887108">
              <w:rPr>
                <w:b/>
                <w:bCs/>
                <w:color w:val="000000"/>
                <w:sz w:val="18"/>
                <w:szCs w:val="18"/>
              </w:rPr>
              <w:t>2022</w:t>
            </w:r>
          </w:p>
        </w:tc>
        <w:tc>
          <w:tcPr>
            <w:tcW w:w="836" w:type="dxa"/>
            <w:tcBorders>
              <w:top w:val="nil"/>
              <w:left w:val="nil"/>
              <w:bottom w:val="nil"/>
              <w:right w:val="nil"/>
            </w:tcBorders>
            <w:shd w:val="clear" w:color="auto" w:fill="auto"/>
            <w:vAlign w:val="center"/>
            <w:hideMark/>
          </w:tcPr>
          <w:p w14:paraId="3DE30C24" w14:textId="77777777" w:rsidR="00D37A31" w:rsidRPr="00887108" w:rsidRDefault="00D37A31" w:rsidP="00E9118E">
            <w:pPr>
              <w:jc w:val="center"/>
              <w:rPr>
                <w:b/>
                <w:bCs/>
                <w:color w:val="000000"/>
                <w:sz w:val="18"/>
                <w:szCs w:val="18"/>
              </w:rPr>
            </w:pPr>
            <w:r w:rsidRPr="00887108">
              <w:rPr>
                <w:b/>
                <w:bCs/>
                <w:color w:val="000000"/>
                <w:sz w:val="18"/>
                <w:szCs w:val="18"/>
              </w:rPr>
              <w:t>2023</w:t>
            </w:r>
          </w:p>
        </w:tc>
      </w:tr>
      <w:tr w:rsidR="00D37A31" w:rsidRPr="00887108" w14:paraId="5B2FCF52" w14:textId="77777777" w:rsidTr="00E9118E">
        <w:trPr>
          <w:trHeight w:val="283"/>
        </w:trPr>
        <w:tc>
          <w:tcPr>
            <w:tcW w:w="3085" w:type="dxa"/>
            <w:vMerge/>
            <w:tcBorders>
              <w:top w:val="nil"/>
              <w:left w:val="nil"/>
              <w:bottom w:val="single" w:sz="6" w:space="0" w:color="auto"/>
              <w:right w:val="nil"/>
            </w:tcBorders>
            <w:vAlign w:val="center"/>
            <w:hideMark/>
          </w:tcPr>
          <w:p w14:paraId="4E731A15" w14:textId="77777777" w:rsidR="00D37A31" w:rsidRPr="00887108" w:rsidRDefault="00D37A31" w:rsidP="00E9118E">
            <w:pPr>
              <w:rPr>
                <w:rFonts w:cs="Times New Roman"/>
                <w:color w:val="000000"/>
                <w:sz w:val="18"/>
                <w:szCs w:val="18"/>
              </w:rPr>
            </w:pPr>
          </w:p>
        </w:tc>
        <w:tc>
          <w:tcPr>
            <w:tcW w:w="836" w:type="dxa"/>
            <w:vMerge/>
            <w:tcBorders>
              <w:top w:val="nil"/>
              <w:left w:val="nil"/>
              <w:bottom w:val="single" w:sz="6" w:space="0" w:color="auto"/>
              <w:right w:val="nil"/>
            </w:tcBorders>
            <w:vAlign w:val="center"/>
            <w:hideMark/>
          </w:tcPr>
          <w:p w14:paraId="30BC68A1" w14:textId="77777777" w:rsidR="00D37A31" w:rsidRPr="00887108" w:rsidRDefault="00D37A31" w:rsidP="00E9118E">
            <w:pPr>
              <w:rPr>
                <w:rFonts w:cs="Times New Roman"/>
                <w:color w:val="000000"/>
                <w:sz w:val="18"/>
                <w:szCs w:val="18"/>
              </w:rPr>
            </w:pPr>
          </w:p>
        </w:tc>
        <w:tc>
          <w:tcPr>
            <w:tcW w:w="885" w:type="dxa"/>
            <w:tcBorders>
              <w:top w:val="nil"/>
              <w:left w:val="nil"/>
              <w:bottom w:val="single" w:sz="8" w:space="0" w:color="auto"/>
              <w:right w:val="nil"/>
            </w:tcBorders>
            <w:shd w:val="clear" w:color="auto" w:fill="auto"/>
            <w:noWrap/>
            <w:vAlign w:val="bottom"/>
            <w:hideMark/>
          </w:tcPr>
          <w:p w14:paraId="4706A987" w14:textId="77777777" w:rsidR="00D37A31" w:rsidRPr="00887108" w:rsidRDefault="00D37A31" w:rsidP="00E9118E">
            <w:pPr>
              <w:jc w:val="center"/>
              <w:rPr>
                <w:rFonts w:cs="Times New Roman"/>
                <w:color w:val="000000"/>
                <w:sz w:val="18"/>
                <w:szCs w:val="18"/>
              </w:rPr>
            </w:pPr>
            <w:r w:rsidRPr="00887108">
              <w:rPr>
                <w:color w:val="000000"/>
                <w:sz w:val="18"/>
                <w:szCs w:val="18"/>
              </w:rPr>
              <w:t>Skutočnosť</w:t>
            </w:r>
          </w:p>
        </w:tc>
        <w:tc>
          <w:tcPr>
            <w:tcW w:w="836" w:type="dxa"/>
            <w:tcBorders>
              <w:top w:val="nil"/>
              <w:left w:val="nil"/>
              <w:bottom w:val="single" w:sz="8" w:space="0" w:color="auto"/>
              <w:right w:val="nil"/>
            </w:tcBorders>
            <w:shd w:val="clear" w:color="auto" w:fill="auto"/>
            <w:vAlign w:val="bottom"/>
            <w:hideMark/>
          </w:tcPr>
          <w:p w14:paraId="65A26CFE" w14:textId="77777777" w:rsidR="00D37A31" w:rsidRPr="00887108" w:rsidRDefault="00D37A31" w:rsidP="00E9118E">
            <w:pPr>
              <w:jc w:val="center"/>
              <w:rPr>
                <w:rFonts w:cs="Times New Roman"/>
                <w:color w:val="000000"/>
                <w:sz w:val="18"/>
                <w:szCs w:val="18"/>
              </w:rPr>
            </w:pPr>
            <w:r w:rsidRPr="00887108">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233C3B05" w14:textId="77777777" w:rsidR="00D37A31" w:rsidRPr="00887108" w:rsidRDefault="00D37A31" w:rsidP="00E9118E">
            <w:pPr>
              <w:jc w:val="center"/>
              <w:rPr>
                <w:rFonts w:cs="Times New Roman"/>
                <w:color w:val="000000"/>
                <w:sz w:val="18"/>
                <w:szCs w:val="18"/>
              </w:rPr>
            </w:pPr>
            <w:r w:rsidRPr="00887108">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58B0F420" w14:textId="77777777" w:rsidR="00D37A31" w:rsidRPr="00887108" w:rsidRDefault="00D37A31" w:rsidP="00E9118E">
            <w:pPr>
              <w:jc w:val="center"/>
              <w:rPr>
                <w:rFonts w:cs="Times New Roman"/>
                <w:color w:val="000000"/>
                <w:sz w:val="18"/>
                <w:szCs w:val="18"/>
              </w:rPr>
            </w:pPr>
            <w:r w:rsidRPr="00887108">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17924A24" w14:textId="77777777" w:rsidR="00D37A31" w:rsidRPr="00887108" w:rsidRDefault="00D37A31" w:rsidP="00E9118E">
            <w:pPr>
              <w:jc w:val="center"/>
              <w:rPr>
                <w:rFonts w:cs="Times New Roman"/>
                <w:color w:val="000000"/>
                <w:sz w:val="18"/>
                <w:szCs w:val="18"/>
              </w:rPr>
            </w:pPr>
            <w:r w:rsidRPr="00887108">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62330ABD" w14:textId="77777777" w:rsidR="00D37A31" w:rsidRPr="00887108" w:rsidRDefault="00D37A31" w:rsidP="00E9118E">
            <w:pPr>
              <w:jc w:val="center"/>
              <w:rPr>
                <w:rFonts w:cs="Times New Roman"/>
                <w:color w:val="000000"/>
                <w:sz w:val="18"/>
                <w:szCs w:val="18"/>
              </w:rPr>
            </w:pPr>
            <w:r w:rsidRPr="00887108">
              <w:rPr>
                <w:color w:val="000000"/>
                <w:sz w:val="18"/>
                <w:szCs w:val="18"/>
              </w:rPr>
              <w:t>miera rastu</w:t>
            </w:r>
          </w:p>
        </w:tc>
      </w:tr>
      <w:tr w:rsidR="00D37A31" w:rsidRPr="00887108" w14:paraId="6106D246" w14:textId="77777777" w:rsidTr="00E9118E">
        <w:trPr>
          <w:trHeight w:val="283"/>
        </w:trPr>
        <w:tc>
          <w:tcPr>
            <w:tcW w:w="3085" w:type="dxa"/>
            <w:tcBorders>
              <w:top w:val="nil"/>
              <w:left w:val="nil"/>
              <w:bottom w:val="nil"/>
              <w:right w:val="nil"/>
            </w:tcBorders>
            <w:shd w:val="clear" w:color="auto" w:fill="auto"/>
            <w:vAlign w:val="center"/>
            <w:hideMark/>
          </w:tcPr>
          <w:p w14:paraId="543174C0" w14:textId="77777777" w:rsidR="00D37A31" w:rsidRPr="00887108" w:rsidRDefault="00D37A31" w:rsidP="00E9118E">
            <w:pPr>
              <w:rPr>
                <w:rFonts w:cs="Times New Roman"/>
                <w:color w:val="000000"/>
                <w:sz w:val="18"/>
                <w:szCs w:val="18"/>
              </w:rPr>
            </w:pPr>
            <w:r w:rsidRPr="00887108">
              <w:rPr>
                <w:color w:val="000000"/>
                <w:sz w:val="18"/>
                <w:szCs w:val="18"/>
              </w:rPr>
              <w:t>1. Reálne HDP</w:t>
            </w:r>
          </w:p>
        </w:tc>
        <w:tc>
          <w:tcPr>
            <w:tcW w:w="836" w:type="dxa"/>
            <w:tcBorders>
              <w:top w:val="nil"/>
              <w:left w:val="nil"/>
              <w:bottom w:val="nil"/>
              <w:right w:val="nil"/>
            </w:tcBorders>
            <w:shd w:val="clear" w:color="auto" w:fill="auto"/>
            <w:vAlign w:val="center"/>
            <w:hideMark/>
          </w:tcPr>
          <w:p w14:paraId="0858BC2D" w14:textId="77777777" w:rsidR="00D37A31" w:rsidRPr="00887108" w:rsidRDefault="00D37A31" w:rsidP="00E9118E">
            <w:pPr>
              <w:jc w:val="center"/>
              <w:rPr>
                <w:rFonts w:cs="Times New Roman"/>
                <w:color w:val="000000"/>
                <w:sz w:val="18"/>
                <w:szCs w:val="18"/>
              </w:rPr>
            </w:pPr>
            <w:r w:rsidRPr="00887108">
              <w:rPr>
                <w:color w:val="000000"/>
                <w:sz w:val="18"/>
                <w:szCs w:val="18"/>
              </w:rPr>
              <w:t>B1*g</w:t>
            </w:r>
          </w:p>
        </w:tc>
        <w:tc>
          <w:tcPr>
            <w:tcW w:w="885" w:type="dxa"/>
            <w:tcBorders>
              <w:top w:val="nil"/>
              <w:left w:val="nil"/>
              <w:bottom w:val="nil"/>
              <w:right w:val="nil"/>
            </w:tcBorders>
            <w:shd w:val="clear" w:color="000000" w:fill="FFFFFF"/>
            <w:vAlign w:val="center"/>
            <w:hideMark/>
          </w:tcPr>
          <w:p w14:paraId="4F37B654" w14:textId="77777777" w:rsidR="00D37A31" w:rsidRPr="00887108" w:rsidRDefault="00D37A31" w:rsidP="00E9118E">
            <w:pPr>
              <w:jc w:val="center"/>
              <w:rPr>
                <w:rFonts w:cs="Times New Roman"/>
                <w:color w:val="000000"/>
                <w:sz w:val="18"/>
                <w:szCs w:val="18"/>
              </w:rPr>
            </w:pPr>
            <w:r w:rsidRPr="00887108">
              <w:rPr>
                <w:sz w:val="18"/>
                <w:szCs w:val="18"/>
              </w:rPr>
              <w:t>89,3</w:t>
            </w:r>
          </w:p>
        </w:tc>
        <w:tc>
          <w:tcPr>
            <w:tcW w:w="836" w:type="dxa"/>
            <w:tcBorders>
              <w:top w:val="nil"/>
              <w:left w:val="nil"/>
              <w:bottom w:val="nil"/>
              <w:right w:val="nil"/>
            </w:tcBorders>
            <w:shd w:val="clear" w:color="000000" w:fill="FFFFFF"/>
            <w:vAlign w:val="center"/>
            <w:hideMark/>
          </w:tcPr>
          <w:p w14:paraId="275AA642" w14:textId="77777777" w:rsidR="00D37A31" w:rsidRPr="00887108" w:rsidRDefault="00D37A31" w:rsidP="00E9118E">
            <w:pPr>
              <w:jc w:val="center"/>
              <w:rPr>
                <w:color w:val="000000"/>
                <w:sz w:val="18"/>
                <w:szCs w:val="18"/>
              </w:rPr>
            </w:pPr>
            <w:r w:rsidRPr="00887108">
              <w:rPr>
                <w:sz w:val="18"/>
                <w:szCs w:val="18"/>
              </w:rPr>
              <w:t>2,3</w:t>
            </w:r>
          </w:p>
        </w:tc>
        <w:tc>
          <w:tcPr>
            <w:tcW w:w="836" w:type="dxa"/>
            <w:tcBorders>
              <w:top w:val="nil"/>
              <w:left w:val="nil"/>
              <w:bottom w:val="nil"/>
              <w:right w:val="nil"/>
            </w:tcBorders>
            <w:shd w:val="clear" w:color="auto" w:fill="auto"/>
            <w:vAlign w:val="center"/>
            <w:hideMark/>
          </w:tcPr>
          <w:p w14:paraId="5BA90179" w14:textId="77777777" w:rsidR="00D37A31" w:rsidRPr="00887108" w:rsidRDefault="00D37A31" w:rsidP="00E9118E">
            <w:pPr>
              <w:jc w:val="center"/>
              <w:rPr>
                <w:color w:val="000000"/>
                <w:sz w:val="18"/>
                <w:szCs w:val="18"/>
              </w:rPr>
            </w:pPr>
            <w:r w:rsidRPr="00887108">
              <w:rPr>
                <w:sz w:val="18"/>
                <w:szCs w:val="18"/>
              </w:rPr>
              <w:t>-7,2</w:t>
            </w:r>
          </w:p>
        </w:tc>
        <w:tc>
          <w:tcPr>
            <w:tcW w:w="836" w:type="dxa"/>
            <w:tcBorders>
              <w:top w:val="nil"/>
              <w:left w:val="nil"/>
              <w:bottom w:val="nil"/>
              <w:right w:val="nil"/>
            </w:tcBorders>
            <w:shd w:val="clear" w:color="auto" w:fill="auto"/>
            <w:vAlign w:val="center"/>
            <w:hideMark/>
          </w:tcPr>
          <w:p w14:paraId="7DAA7471" w14:textId="77777777" w:rsidR="00D37A31" w:rsidRPr="00887108" w:rsidRDefault="00D37A31" w:rsidP="00E9118E">
            <w:pPr>
              <w:jc w:val="center"/>
              <w:rPr>
                <w:color w:val="000000"/>
                <w:sz w:val="18"/>
                <w:szCs w:val="18"/>
              </w:rPr>
            </w:pPr>
            <w:r w:rsidRPr="00887108">
              <w:rPr>
                <w:sz w:val="18"/>
                <w:szCs w:val="18"/>
              </w:rPr>
              <w:t>6,8</w:t>
            </w:r>
          </w:p>
        </w:tc>
        <w:tc>
          <w:tcPr>
            <w:tcW w:w="836" w:type="dxa"/>
            <w:tcBorders>
              <w:top w:val="nil"/>
              <w:left w:val="nil"/>
              <w:bottom w:val="nil"/>
              <w:right w:val="nil"/>
            </w:tcBorders>
            <w:shd w:val="clear" w:color="auto" w:fill="auto"/>
            <w:vAlign w:val="center"/>
            <w:hideMark/>
          </w:tcPr>
          <w:p w14:paraId="0F420C10" w14:textId="77777777" w:rsidR="00D37A31" w:rsidRPr="00887108" w:rsidRDefault="00D37A31" w:rsidP="00E9118E">
            <w:pPr>
              <w:jc w:val="center"/>
              <w:rPr>
                <w:color w:val="000000"/>
                <w:sz w:val="18"/>
                <w:szCs w:val="18"/>
              </w:rPr>
            </w:pPr>
            <w:r w:rsidRPr="00887108">
              <w:rPr>
                <w:sz w:val="18"/>
                <w:szCs w:val="18"/>
              </w:rPr>
              <w:t>4,1</w:t>
            </w:r>
          </w:p>
        </w:tc>
        <w:tc>
          <w:tcPr>
            <w:tcW w:w="836" w:type="dxa"/>
            <w:tcBorders>
              <w:top w:val="nil"/>
              <w:left w:val="nil"/>
              <w:bottom w:val="nil"/>
              <w:right w:val="nil"/>
            </w:tcBorders>
            <w:shd w:val="clear" w:color="auto" w:fill="auto"/>
            <w:vAlign w:val="center"/>
            <w:hideMark/>
          </w:tcPr>
          <w:p w14:paraId="73D582C6" w14:textId="77777777" w:rsidR="00D37A31" w:rsidRPr="00887108" w:rsidRDefault="00D37A31" w:rsidP="00E9118E">
            <w:pPr>
              <w:jc w:val="center"/>
              <w:rPr>
                <w:color w:val="000000"/>
                <w:sz w:val="18"/>
                <w:szCs w:val="18"/>
              </w:rPr>
            </w:pPr>
            <w:r w:rsidRPr="00887108">
              <w:rPr>
                <w:sz w:val="18"/>
                <w:szCs w:val="18"/>
              </w:rPr>
              <w:t>3,2</w:t>
            </w:r>
          </w:p>
        </w:tc>
      </w:tr>
      <w:tr w:rsidR="00D37A31" w:rsidRPr="00887108" w14:paraId="484A04E4" w14:textId="77777777" w:rsidTr="00E9118E">
        <w:trPr>
          <w:trHeight w:val="283"/>
        </w:trPr>
        <w:tc>
          <w:tcPr>
            <w:tcW w:w="3085" w:type="dxa"/>
            <w:tcBorders>
              <w:top w:val="nil"/>
              <w:left w:val="nil"/>
              <w:bottom w:val="nil"/>
              <w:right w:val="nil"/>
            </w:tcBorders>
            <w:shd w:val="clear" w:color="auto" w:fill="auto"/>
            <w:vAlign w:val="center"/>
            <w:hideMark/>
          </w:tcPr>
          <w:p w14:paraId="5DBDBA71" w14:textId="77777777" w:rsidR="00D37A31" w:rsidRPr="00887108" w:rsidRDefault="00D37A31" w:rsidP="00E9118E">
            <w:pPr>
              <w:rPr>
                <w:rFonts w:cs="Times New Roman"/>
                <w:color w:val="000000"/>
                <w:sz w:val="18"/>
                <w:szCs w:val="18"/>
              </w:rPr>
            </w:pPr>
            <w:r w:rsidRPr="00887108">
              <w:rPr>
                <w:color w:val="000000"/>
                <w:sz w:val="18"/>
                <w:szCs w:val="18"/>
              </w:rPr>
              <w:t>2. Nominálne HDP</w:t>
            </w:r>
          </w:p>
        </w:tc>
        <w:tc>
          <w:tcPr>
            <w:tcW w:w="836" w:type="dxa"/>
            <w:tcBorders>
              <w:top w:val="nil"/>
              <w:left w:val="nil"/>
              <w:bottom w:val="nil"/>
              <w:right w:val="nil"/>
            </w:tcBorders>
            <w:shd w:val="clear" w:color="auto" w:fill="auto"/>
            <w:vAlign w:val="center"/>
            <w:hideMark/>
          </w:tcPr>
          <w:p w14:paraId="52A67A49" w14:textId="77777777" w:rsidR="00D37A31" w:rsidRPr="00887108" w:rsidRDefault="00D37A31" w:rsidP="00E9118E">
            <w:pPr>
              <w:jc w:val="center"/>
              <w:rPr>
                <w:rFonts w:cs="Times New Roman"/>
                <w:color w:val="000000"/>
                <w:sz w:val="18"/>
                <w:szCs w:val="18"/>
              </w:rPr>
            </w:pPr>
            <w:r w:rsidRPr="00887108">
              <w:rPr>
                <w:color w:val="000000"/>
                <w:sz w:val="18"/>
                <w:szCs w:val="18"/>
              </w:rPr>
              <w:t>B1*g</w:t>
            </w:r>
          </w:p>
        </w:tc>
        <w:tc>
          <w:tcPr>
            <w:tcW w:w="885" w:type="dxa"/>
            <w:tcBorders>
              <w:top w:val="nil"/>
              <w:left w:val="nil"/>
              <w:bottom w:val="nil"/>
              <w:right w:val="nil"/>
            </w:tcBorders>
            <w:shd w:val="clear" w:color="000000" w:fill="FFFFFF"/>
            <w:vAlign w:val="center"/>
            <w:hideMark/>
          </w:tcPr>
          <w:p w14:paraId="57AE1850" w14:textId="77777777" w:rsidR="00D37A31" w:rsidRPr="00887108" w:rsidRDefault="00D37A31" w:rsidP="00E9118E">
            <w:pPr>
              <w:jc w:val="center"/>
              <w:rPr>
                <w:color w:val="000000"/>
                <w:sz w:val="18"/>
                <w:szCs w:val="18"/>
              </w:rPr>
            </w:pPr>
            <w:r w:rsidRPr="00887108">
              <w:rPr>
                <w:sz w:val="18"/>
                <w:szCs w:val="18"/>
              </w:rPr>
              <w:t>94,2</w:t>
            </w:r>
          </w:p>
        </w:tc>
        <w:tc>
          <w:tcPr>
            <w:tcW w:w="836" w:type="dxa"/>
            <w:tcBorders>
              <w:top w:val="nil"/>
              <w:left w:val="nil"/>
              <w:bottom w:val="nil"/>
              <w:right w:val="nil"/>
            </w:tcBorders>
            <w:shd w:val="clear" w:color="000000" w:fill="FFFFFF"/>
            <w:vAlign w:val="center"/>
            <w:hideMark/>
          </w:tcPr>
          <w:p w14:paraId="4CE78E14" w14:textId="77777777" w:rsidR="00D37A31" w:rsidRPr="00887108" w:rsidRDefault="00D37A31" w:rsidP="00E9118E">
            <w:pPr>
              <w:jc w:val="center"/>
              <w:rPr>
                <w:color w:val="000000"/>
                <w:sz w:val="18"/>
                <w:szCs w:val="18"/>
              </w:rPr>
            </w:pPr>
            <w:r w:rsidRPr="00887108">
              <w:rPr>
                <w:sz w:val="18"/>
                <w:szCs w:val="18"/>
              </w:rPr>
              <w:t>5,0</w:t>
            </w:r>
          </w:p>
        </w:tc>
        <w:tc>
          <w:tcPr>
            <w:tcW w:w="836" w:type="dxa"/>
            <w:tcBorders>
              <w:top w:val="nil"/>
              <w:left w:val="nil"/>
              <w:bottom w:val="nil"/>
              <w:right w:val="nil"/>
            </w:tcBorders>
            <w:shd w:val="clear" w:color="auto" w:fill="auto"/>
            <w:vAlign w:val="center"/>
            <w:hideMark/>
          </w:tcPr>
          <w:p w14:paraId="6A426703" w14:textId="77777777" w:rsidR="00D37A31" w:rsidRPr="00887108" w:rsidRDefault="00D37A31" w:rsidP="00E9118E">
            <w:pPr>
              <w:jc w:val="center"/>
              <w:rPr>
                <w:color w:val="000000"/>
                <w:sz w:val="18"/>
                <w:szCs w:val="18"/>
              </w:rPr>
            </w:pPr>
            <w:r w:rsidRPr="00887108">
              <w:rPr>
                <w:sz w:val="18"/>
                <w:szCs w:val="18"/>
              </w:rPr>
              <w:t>-5,5</w:t>
            </w:r>
          </w:p>
        </w:tc>
        <w:tc>
          <w:tcPr>
            <w:tcW w:w="836" w:type="dxa"/>
            <w:tcBorders>
              <w:top w:val="nil"/>
              <w:left w:val="nil"/>
              <w:bottom w:val="nil"/>
              <w:right w:val="nil"/>
            </w:tcBorders>
            <w:shd w:val="clear" w:color="auto" w:fill="auto"/>
            <w:vAlign w:val="center"/>
            <w:hideMark/>
          </w:tcPr>
          <w:p w14:paraId="1076BE73" w14:textId="77777777" w:rsidR="00D37A31" w:rsidRPr="00887108" w:rsidRDefault="00D37A31" w:rsidP="00E9118E">
            <w:pPr>
              <w:jc w:val="center"/>
              <w:rPr>
                <w:color w:val="000000"/>
                <w:sz w:val="18"/>
                <w:szCs w:val="18"/>
              </w:rPr>
            </w:pPr>
            <w:r w:rsidRPr="00887108">
              <w:rPr>
                <w:sz w:val="18"/>
                <w:szCs w:val="18"/>
              </w:rPr>
              <w:t>7,0</w:t>
            </w:r>
          </w:p>
        </w:tc>
        <w:tc>
          <w:tcPr>
            <w:tcW w:w="836" w:type="dxa"/>
            <w:tcBorders>
              <w:top w:val="nil"/>
              <w:left w:val="nil"/>
              <w:bottom w:val="nil"/>
              <w:right w:val="nil"/>
            </w:tcBorders>
            <w:shd w:val="clear" w:color="auto" w:fill="auto"/>
            <w:vAlign w:val="center"/>
            <w:hideMark/>
          </w:tcPr>
          <w:p w14:paraId="36750BE2" w14:textId="77777777" w:rsidR="00D37A31" w:rsidRPr="00887108" w:rsidRDefault="00D37A31" w:rsidP="00E9118E">
            <w:pPr>
              <w:jc w:val="center"/>
              <w:rPr>
                <w:color w:val="000000"/>
                <w:sz w:val="18"/>
                <w:szCs w:val="18"/>
              </w:rPr>
            </w:pPr>
            <w:r w:rsidRPr="00887108">
              <w:rPr>
                <w:sz w:val="18"/>
                <w:szCs w:val="18"/>
              </w:rPr>
              <w:t>5,5</w:t>
            </w:r>
          </w:p>
        </w:tc>
        <w:tc>
          <w:tcPr>
            <w:tcW w:w="836" w:type="dxa"/>
            <w:tcBorders>
              <w:top w:val="nil"/>
              <w:left w:val="nil"/>
              <w:bottom w:val="nil"/>
              <w:right w:val="nil"/>
            </w:tcBorders>
            <w:shd w:val="clear" w:color="auto" w:fill="auto"/>
            <w:vAlign w:val="center"/>
            <w:hideMark/>
          </w:tcPr>
          <w:p w14:paraId="4355A93B" w14:textId="77777777" w:rsidR="00D37A31" w:rsidRPr="00887108" w:rsidRDefault="00D37A31" w:rsidP="00E9118E">
            <w:pPr>
              <w:jc w:val="center"/>
              <w:rPr>
                <w:color w:val="000000"/>
                <w:sz w:val="18"/>
                <w:szCs w:val="18"/>
              </w:rPr>
            </w:pPr>
            <w:r w:rsidRPr="00887108">
              <w:rPr>
                <w:sz w:val="18"/>
                <w:szCs w:val="18"/>
              </w:rPr>
              <w:t>5,3</w:t>
            </w:r>
          </w:p>
        </w:tc>
      </w:tr>
      <w:tr w:rsidR="00D37A31" w:rsidRPr="00887108" w14:paraId="56DBC133" w14:textId="77777777" w:rsidTr="00E9118E">
        <w:trPr>
          <w:trHeight w:val="283"/>
        </w:trPr>
        <w:tc>
          <w:tcPr>
            <w:tcW w:w="8986" w:type="dxa"/>
            <w:gridSpan w:val="8"/>
            <w:tcBorders>
              <w:top w:val="nil"/>
              <w:left w:val="nil"/>
              <w:bottom w:val="nil"/>
              <w:right w:val="nil"/>
            </w:tcBorders>
            <w:shd w:val="clear" w:color="auto" w:fill="auto"/>
            <w:vAlign w:val="center"/>
            <w:hideMark/>
          </w:tcPr>
          <w:p w14:paraId="5AAA6B1B"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Zložky reálneho HDP</w:t>
            </w:r>
          </w:p>
        </w:tc>
      </w:tr>
      <w:tr w:rsidR="00D37A31" w:rsidRPr="00887108" w14:paraId="7C4D5CD2" w14:textId="77777777" w:rsidTr="00E9118E">
        <w:trPr>
          <w:trHeight w:val="283"/>
        </w:trPr>
        <w:tc>
          <w:tcPr>
            <w:tcW w:w="3085" w:type="dxa"/>
            <w:tcBorders>
              <w:top w:val="nil"/>
              <w:left w:val="nil"/>
              <w:bottom w:val="nil"/>
              <w:right w:val="nil"/>
            </w:tcBorders>
            <w:shd w:val="clear" w:color="auto" w:fill="auto"/>
            <w:vAlign w:val="center"/>
            <w:hideMark/>
          </w:tcPr>
          <w:p w14:paraId="478FABED" w14:textId="77777777" w:rsidR="00D37A31" w:rsidRPr="00887108" w:rsidRDefault="00D37A31" w:rsidP="00E9118E">
            <w:pPr>
              <w:rPr>
                <w:rFonts w:cs="Times New Roman"/>
                <w:color w:val="000000"/>
                <w:sz w:val="18"/>
                <w:szCs w:val="18"/>
              </w:rPr>
            </w:pPr>
            <w:r w:rsidRPr="00887108">
              <w:rPr>
                <w:color w:val="000000"/>
                <w:sz w:val="18"/>
                <w:szCs w:val="18"/>
              </w:rPr>
              <w:t>3. Konečná spotreba domácností a NISD</w:t>
            </w:r>
          </w:p>
        </w:tc>
        <w:tc>
          <w:tcPr>
            <w:tcW w:w="836" w:type="dxa"/>
            <w:tcBorders>
              <w:top w:val="nil"/>
              <w:left w:val="nil"/>
              <w:bottom w:val="nil"/>
              <w:right w:val="nil"/>
            </w:tcBorders>
            <w:shd w:val="clear" w:color="auto" w:fill="auto"/>
            <w:vAlign w:val="center"/>
            <w:hideMark/>
          </w:tcPr>
          <w:p w14:paraId="6DC37A3D" w14:textId="77777777" w:rsidR="00D37A31" w:rsidRPr="00887108" w:rsidRDefault="00D37A31" w:rsidP="00E9118E">
            <w:pPr>
              <w:jc w:val="center"/>
              <w:rPr>
                <w:rFonts w:cs="Times New Roman"/>
                <w:color w:val="000000"/>
                <w:sz w:val="18"/>
                <w:szCs w:val="18"/>
              </w:rPr>
            </w:pPr>
            <w:r w:rsidRPr="00887108">
              <w:rPr>
                <w:color w:val="000000"/>
                <w:sz w:val="18"/>
                <w:szCs w:val="18"/>
              </w:rPr>
              <w:t>P.3</w:t>
            </w:r>
          </w:p>
        </w:tc>
        <w:tc>
          <w:tcPr>
            <w:tcW w:w="885" w:type="dxa"/>
            <w:tcBorders>
              <w:top w:val="nil"/>
              <w:left w:val="nil"/>
              <w:bottom w:val="nil"/>
              <w:right w:val="nil"/>
            </w:tcBorders>
            <w:shd w:val="clear" w:color="auto" w:fill="auto"/>
            <w:vAlign w:val="center"/>
            <w:hideMark/>
          </w:tcPr>
          <w:p w14:paraId="7F355983" w14:textId="77777777" w:rsidR="00D37A31" w:rsidRPr="00887108" w:rsidRDefault="00D37A31" w:rsidP="00E9118E">
            <w:pPr>
              <w:jc w:val="center"/>
              <w:rPr>
                <w:rFonts w:cs="Times New Roman"/>
                <w:color w:val="000000"/>
                <w:sz w:val="18"/>
                <w:szCs w:val="18"/>
              </w:rPr>
            </w:pPr>
            <w:r w:rsidRPr="00887108">
              <w:rPr>
                <w:sz w:val="18"/>
                <w:szCs w:val="18"/>
              </w:rPr>
              <w:t>49,6</w:t>
            </w:r>
          </w:p>
        </w:tc>
        <w:tc>
          <w:tcPr>
            <w:tcW w:w="836" w:type="dxa"/>
            <w:tcBorders>
              <w:top w:val="nil"/>
              <w:left w:val="nil"/>
              <w:bottom w:val="nil"/>
              <w:right w:val="nil"/>
            </w:tcBorders>
            <w:shd w:val="clear" w:color="auto" w:fill="auto"/>
            <w:vAlign w:val="center"/>
            <w:hideMark/>
          </w:tcPr>
          <w:p w14:paraId="3CB7F166" w14:textId="77777777" w:rsidR="00D37A31" w:rsidRPr="00887108" w:rsidRDefault="00D37A31" w:rsidP="00E9118E">
            <w:pPr>
              <w:jc w:val="center"/>
              <w:rPr>
                <w:color w:val="000000"/>
                <w:sz w:val="18"/>
                <w:szCs w:val="18"/>
              </w:rPr>
            </w:pPr>
            <w:r w:rsidRPr="00887108">
              <w:rPr>
                <w:sz w:val="18"/>
                <w:szCs w:val="18"/>
              </w:rPr>
              <w:t>2,2</w:t>
            </w:r>
          </w:p>
        </w:tc>
        <w:tc>
          <w:tcPr>
            <w:tcW w:w="836" w:type="dxa"/>
            <w:tcBorders>
              <w:top w:val="nil"/>
              <w:left w:val="nil"/>
              <w:bottom w:val="nil"/>
              <w:right w:val="nil"/>
            </w:tcBorders>
            <w:shd w:val="clear" w:color="auto" w:fill="auto"/>
            <w:vAlign w:val="center"/>
            <w:hideMark/>
          </w:tcPr>
          <w:p w14:paraId="77B4A4CD" w14:textId="77777777" w:rsidR="00D37A31" w:rsidRPr="00887108" w:rsidRDefault="00D37A31" w:rsidP="00E9118E">
            <w:pPr>
              <w:jc w:val="center"/>
              <w:rPr>
                <w:color w:val="000000"/>
                <w:sz w:val="18"/>
                <w:szCs w:val="18"/>
              </w:rPr>
            </w:pPr>
            <w:r w:rsidRPr="00887108">
              <w:rPr>
                <w:sz w:val="18"/>
                <w:szCs w:val="18"/>
              </w:rPr>
              <w:t>-8,4</w:t>
            </w:r>
          </w:p>
        </w:tc>
        <w:tc>
          <w:tcPr>
            <w:tcW w:w="836" w:type="dxa"/>
            <w:tcBorders>
              <w:top w:val="nil"/>
              <w:left w:val="nil"/>
              <w:bottom w:val="nil"/>
              <w:right w:val="nil"/>
            </w:tcBorders>
            <w:shd w:val="clear" w:color="auto" w:fill="auto"/>
            <w:vAlign w:val="center"/>
            <w:hideMark/>
          </w:tcPr>
          <w:p w14:paraId="68234900" w14:textId="77777777" w:rsidR="00D37A31" w:rsidRPr="00887108" w:rsidRDefault="00D37A31" w:rsidP="00E9118E">
            <w:pPr>
              <w:jc w:val="center"/>
              <w:rPr>
                <w:color w:val="000000"/>
                <w:sz w:val="18"/>
                <w:szCs w:val="18"/>
              </w:rPr>
            </w:pPr>
            <w:r w:rsidRPr="00887108">
              <w:rPr>
                <w:sz w:val="18"/>
                <w:szCs w:val="18"/>
              </w:rPr>
              <w:t>7,8</w:t>
            </w:r>
          </w:p>
        </w:tc>
        <w:tc>
          <w:tcPr>
            <w:tcW w:w="836" w:type="dxa"/>
            <w:tcBorders>
              <w:top w:val="nil"/>
              <w:left w:val="nil"/>
              <w:bottom w:val="nil"/>
              <w:right w:val="nil"/>
            </w:tcBorders>
            <w:shd w:val="clear" w:color="auto" w:fill="auto"/>
            <w:vAlign w:val="center"/>
            <w:hideMark/>
          </w:tcPr>
          <w:p w14:paraId="2CB48102" w14:textId="77777777" w:rsidR="00D37A31" w:rsidRPr="00887108" w:rsidRDefault="00D37A31" w:rsidP="00E9118E">
            <w:pPr>
              <w:jc w:val="center"/>
              <w:rPr>
                <w:color w:val="000000"/>
                <w:sz w:val="18"/>
                <w:szCs w:val="18"/>
              </w:rPr>
            </w:pPr>
            <w:r w:rsidRPr="00887108">
              <w:rPr>
                <w:sz w:val="18"/>
                <w:szCs w:val="18"/>
              </w:rPr>
              <w:t>4,1</w:t>
            </w:r>
          </w:p>
        </w:tc>
        <w:tc>
          <w:tcPr>
            <w:tcW w:w="836" w:type="dxa"/>
            <w:tcBorders>
              <w:top w:val="nil"/>
              <w:left w:val="nil"/>
              <w:bottom w:val="nil"/>
              <w:right w:val="nil"/>
            </w:tcBorders>
            <w:shd w:val="clear" w:color="auto" w:fill="auto"/>
            <w:vAlign w:val="center"/>
            <w:hideMark/>
          </w:tcPr>
          <w:p w14:paraId="23C5F4CF" w14:textId="77777777" w:rsidR="00D37A31" w:rsidRPr="00887108" w:rsidRDefault="00D37A31" w:rsidP="00E9118E">
            <w:pPr>
              <w:jc w:val="center"/>
              <w:rPr>
                <w:color w:val="000000"/>
                <w:sz w:val="18"/>
                <w:szCs w:val="18"/>
              </w:rPr>
            </w:pPr>
            <w:r w:rsidRPr="00887108">
              <w:rPr>
                <w:sz w:val="18"/>
                <w:szCs w:val="18"/>
              </w:rPr>
              <w:t>2,9</w:t>
            </w:r>
          </w:p>
        </w:tc>
      </w:tr>
      <w:tr w:rsidR="00D37A31" w:rsidRPr="00887108" w14:paraId="303CCC0F" w14:textId="77777777" w:rsidTr="00E9118E">
        <w:trPr>
          <w:trHeight w:val="283"/>
        </w:trPr>
        <w:tc>
          <w:tcPr>
            <w:tcW w:w="3085" w:type="dxa"/>
            <w:tcBorders>
              <w:top w:val="nil"/>
              <w:left w:val="nil"/>
              <w:bottom w:val="nil"/>
              <w:right w:val="nil"/>
            </w:tcBorders>
            <w:shd w:val="clear" w:color="auto" w:fill="auto"/>
            <w:vAlign w:val="center"/>
            <w:hideMark/>
          </w:tcPr>
          <w:p w14:paraId="3EEEEA43" w14:textId="77777777" w:rsidR="00D37A31" w:rsidRPr="00887108" w:rsidRDefault="00D37A31" w:rsidP="00E9118E">
            <w:pPr>
              <w:rPr>
                <w:rFonts w:cs="Times New Roman"/>
                <w:color w:val="000000"/>
                <w:sz w:val="18"/>
                <w:szCs w:val="18"/>
              </w:rPr>
            </w:pPr>
            <w:r w:rsidRPr="00887108">
              <w:rPr>
                <w:color w:val="000000"/>
                <w:sz w:val="18"/>
                <w:szCs w:val="18"/>
              </w:rPr>
              <w:t xml:space="preserve">4. Konečná spotreba verejnej správy </w:t>
            </w:r>
          </w:p>
        </w:tc>
        <w:tc>
          <w:tcPr>
            <w:tcW w:w="836" w:type="dxa"/>
            <w:tcBorders>
              <w:top w:val="nil"/>
              <w:left w:val="nil"/>
              <w:bottom w:val="nil"/>
              <w:right w:val="nil"/>
            </w:tcBorders>
            <w:shd w:val="clear" w:color="auto" w:fill="auto"/>
            <w:vAlign w:val="center"/>
            <w:hideMark/>
          </w:tcPr>
          <w:p w14:paraId="6E9DDD7C" w14:textId="77777777" w:rsidR="00D37A31" w:rsidRPr="00887108" w:rsidRDefault="00D37A31" w:rsidP="00E9118E">
            <w:pPr>
              <w:jc w:val="center"/>
              <w:rPr>
                <w:rFonts w:cs="Times New Roman"/>
                <w:color w:val="000000"/>
                <w:sz w:val="18"/>
                <w:szCs w:val="18"/>
              </w:rPr>
            </w:pPr>
            <w:r w:rsidRPr="00887108">
              <w:rPr>
                <w:color w:val="000000"/>
                <w:sz w:val="18"/>
                <w:szCs w:val="18"/>
              </w:rPr>
              <w:t>P.3</w:t>
            </w:r>
          </w:p>
        </w:tc>
        <w:tc>
          <w:tcPr>
            <w:tcW w:w="885" w:type="dxa"/>
            <w:tcBorders>
              <w:top w:val="nil"/>
              <w:left w:val="nil"/>
              <w:bottom w:val="nil"/>
              <w:right w:val="nil"/>
            </w:tcBorders>
            <w:shd w:val="clear" w:color="auto" w:fill="auto"/>
            <w:vAlign w:val="center"/>
            <w:hideMark/>
          </w:tcPr>
          <w:p w14:paraId="3946D363" w14:textId="77777777" w:rsidR="00D37A31" w:rsidRPr="00887108" w:rsidRDefault="00D37A31" w:rsidP="00E9118E">
            <w:pPr>
              <w:jc w:val="center"/>
              <w:rPr>
                <w:color w:val="000000"/>
                <w:sz w:val="18"/>
                <w:szCs w:val="18"/>
              </w:rPr>
            </w:pPr>
            <w:r w:rsidRPr="00887108">
              <w:rPr>
                <w:sz w:val="18"/>
                <w:szCs w:val="18"/>
              </w:rPr>
              <w:t>15,9</w:t>
            </w:r>
          </w:p>
        </w:tc>
        <w:tc>
          <w:tcPr>
            <w:tcW w:w="836" w:type="dxa"/>
            <w:tcBorders>
              <w:top w:val="nil"/>
              <w:left w:val="nil"/>
              <w:bottom w:val="nil"/>
              <w:right w:val="nil"/>
            </w:tcBorders>
            <w:shd w:val="clear" w:color="auto" w:fill="auto"/>
            <w:vAlign w:val="center"/>
            <w:hideMark/>
          </w:tcPr>
          <w:p w14:paraId="6D2841D2" w14:textId="77777777" w:rsidR="00D37A31" w:rsidRPr="00887108" w:rsidRDefault="00D37A31" w:rsidP="00E9118E">
            <w:pPr>
              <w:jc w:val="center"/>
              <w:rPr>
                <w:color w:val="000000"/>
                <w:sz w:val="18"/>
                <w:szCs w:val="18"/>
              </w:rPr>
            </w:pPr>
            <w:r w:rsidRPr="00887108">
              <w:rPr>
                <w:sz w:val="18"/>
                <w:szCs w:val="18"/>
              </w:rPr>
              <w:t>3,8</w:t>
            </w:r>
          </w:p>
        </w:tc>
        <w:tc>
          <w:tcPr>
            <w:tcW w:w="836" w:type="dxa"/>
            <w:tcBorders>
              <w:top w:val="nil"/>
              <w:left w:val="nil"/>
              <w:bottom w:val="nil"/>
              <w:right w:val="nil"/>
            </w:tcBorders>
            <w:shd w:val="clear" w:color="auto" w:fill="auto"/>
            <w:vAlign w:val="center"/>
            <w:hideMark/>
          </w:tcPr>
          <w:p w14:paraId="3C7212B8" w14:textId="77777777" w:rsidR="00D37A31" w:rsidRPr="00887108" w:rsidRDefault="00D37A31" w:rsidP="00E9118E">
            <w:pPr>
              <w:jc w:val="center"/>
              <w:rPr>
                <w:color w:val="000000"/>
                <w:sz w:val="18"/>
                <w:szCs w:val="18"/>
              </w:rPr>
            </w:pPr>
            <w:r w:rsidRPr="00887108">
              <w:rPr>
                <w:sz w:val="18"/>
                <w:szCs w:val="18"/>
              </w:rPr>
              <w:t>1,8</w:t>
            </w:r>
          </w:p>
        </w:tc>
        <w:tc>
          <w:tcPr>
            <w:tcW w:w="836" w:type="dxa"/>
            <w:tcBorders>
              <w:top w:val="nil"/>
              <w:left w:val="nil"/>
              <w:bottom w:val="nil"/>
              <w:right w:val="nil"/>
            </w:tcBorders>
            <w:shd w:val="clear" w:color="auto" w:fill="auto"/>
            <w:vAlign w:val="center"/>
            <w:hideMark/>
          </w:tcPr>
          <w:p w14:paraId="7F44F960" w14:textId="77777777" w:rsidR="00D37A31" w:rsidRPr="00887108" w:rsidRDefault="00D37A31" w:rsidP="00E9118E">
            <w:pPr>
              <w:jc w:val="center"/>
              <w:rPr>
                <w:color w:val="000000"/>
                <w:sz w:val="18"/>
                <w:szCs w:val="18"/>
              </w:rPr>
            </w:pPr>
            <w:r w:rsidRPr="00887108">
              <w:rPr>
                <w:sz w:val="18"/>
                <w:szCs w:val="18"/>
              </w:rPr>
              <w:t>0,2</w:t>
            </w:r>
          </w:p>
        </w:tc>
        <w:tc>
          <w:tcPr>
            <w:tcW w:w="836" w:type="dxa"/>
            <w:tcBorders>
              <w:top w:val="nil"/>
              <w:left w:val="nil"/>
              <w:bottom w:val="nil"/>
              <w:right w:val="nil"/>
            </w:tcBorders>
            <w:shd w:val="clear" w:color="auto" w:fill="auto"/>
            <w:vAlign w:val="center"/>
            <w:hideMark/>
          </w:tcPr>
          <w:p w14:paraId="141FE498" w14:textId="77777777" w:rsidR="00D37A31" w:rsidRPr="00887108" w:rsidRDefault="00D37A31" w:rsidP="00E9118E">
            <w:pPr>
              <w:jc w:val="center"/>
              <w:rPr>
                <w:color w:val="000000"/>
                <w:sz w:val="18"/>
                <w:szCs w:val="18"/>
              </w:rPr>
            </w:pPr>
            <w:r w:rsidRPr="00887108">
              <w:rPr>
                <w:sz w:val="18"/>
                <w:szCs w:val="18"/>
              </w:rPr>
              <w:t>1,8</w:t>
            </w:r>
          </w:p>
        </w:tc>
        <w:tc>
          <w:tcPr>
            <w:tcW w:w="836" w:type="dxa"/>
            <w:tcBorders>
              <w:top w:val="nil"/>
              <w:left w:val="nil"/>
              <w:bottom w:val="nil"/>
              <w:right w:val="nil"/>
            </w:tcBorders>
            <w:shd w:val="clear" w:color="auto" w:fill="auto"/>
            <w:vAlign w:val="center"/>
            <w:hideMark/>
          </w:tcPr>
          <w:p w14:paraId="2691537E" w14:textId="77777777" w:rsidR="00D37A31" w:rsidRPr="00887108" w:rsidRDefault="00D37A31" w:rsidP="00E9118E">
            <w:pPr>
              <w:jc w:val="center"/>
              <w:rPr>
                <w:color w:val="000000"/>
                <w:sz w:val="18"/>
                <w:szCs w:val="18"/>
              </w:rPr>
            </w:pPr>
            <w:r w:rsidRPr="00887108">
              <w:rPr>
                <w:sz w:val="18"/>
                <w:szCs w:val="18"/>
              </w:rPr>
              <w:t>2,6</w:t>
            </w:r>
          </w:p>
        </w:tc>
      </w:tr>
      <w:tr w:rsidR="00D37A31" w:rsidRPr="00887108" w14:paraId="6078A81B" w14:textId="77777777" w:rsidTr="00E9118E">
        <w:trPr>
          <w:trHeight w:val="283"/>
        </w:trPr>
        <w:tc>
          <w:tcPr>
            <w:tcW w:w="3085" w:type="dxa"/>
            <w:tcBorders>
              <w:top w:val="nil"/>
              <w:left w:val="nil"/>
              <w:bottom w:val="nil"/>
              <w:right w:val="nil"/>
            </w:tcBorders>
            <w:shd w:val="clear" w:color="auto" w:fill="auto"/>
            <w:vAlign w:val="center"/>
            <w:hideMark/>
          </w:tcPr>
          <w:p w14:paraId="276D39A3" w14:textId="77777777" w:rsidR="00D37A31" w:rsidRPr="00887108" w:rsidRDefault="00D37A31" w:rsidP="00E9118E">
            <w:pPr>
              <w:rPr>
                <w:rFonts w:cs="Times New Roman"/>
                <w:color w:val="000000"/>
                <w:sz w:val="18"/>
                <w:szCs w:val="18"/>
              </w:rPr>
            </w:pPr>
            <w:r w:rsidRPr="00887108">
              <w:rPr>
                <w:color w:val="000000"/>
                <w:sz w:val="18"/>
                <w:szCs w:val="18"/>
              </w:rPr>
              <w:t>5. Tvorba hrubého fixného kapitálu</w:t>
            </w:r>
          </w:p>
        </w:tc>
        <w:tc>
          <w:tcPr>
            <w:tcW w:w="836" w:type="dxa"/>
            <w:tcBorders>
              <w:top w:val="nil"/>
              <w:left w:val="nil"/>
              <w:bottom w:val="nil"/>
              <w:right w:val="nil"/>
            </w:tcBorders>
            <w:shd w:val="clear" w:color="auto" w:fill="auto"/>
            <w:vAlign w:val="center"/>
            <w:hideMark/>
          </w:tcPr>
          <w:p w14:paraId="2448E20E" w14:textId="77777777" w:rsidR="00D37A31" w:rsidRPr="00887108" w:rsidRDefault="00D37A31" w:rsidP="00E9118E">
            <w:pPr>
              <w:jc w:val="center"/>
              <w:rPr>
                <w:rFonts w:cs="Times New Roman"/>
                <w:color w:val="000000"/>
                <w:sz w:val="18"/>
                <w:szCs w:val="18"/>
              </w:rPr>
            </w:pPr>
            <w:r w:rsidRPr="00887108">
              <w:rPr>
                <w:color w:val="000000"/>
                <w:sz w:val="18"/>
                <w:szCs w:val="18"/>
              </w:rPr>
              <w:t>P.51g</w:t>
            </w:r>
          </w:p>
        </w:tc>
        <w:tc>
          <w:tcPr>
            <w:tcW w:w="885" w:type="dxa"/>
            <w:tcBorders>
              <w:top w:val="nil"/>
              <w:left w:val="nil"/>
              <w:bottom w:val="nil"/>
              <w:right w:val="nil"/>
            </w:tcBorders>
            <w:shd w:val="clear" w:color="auto" w:fill="auto"/>
            <w:vAlign w:val="center"/>
            <w:hideMark/>
          </w:tcPr>
          <w:p w14:paraId="1B1503A3" w14:textId="77777777" w:rsidR="00D37A31" w:rsidRPr="00887108" w:rsidRDefault="00D37A31" w:rsidP="00E9118E">
            <w:pPr>
              <w:jc w:val="center"/>
              <w:rPr>
                <w:color w:val="000000"/>
                <w:sz w:val="18"/>
                <w:szCs w:val="18"/>
              </w:rPr>
            </w:pPr>
            <w:r w:rsidRPr="00887108">
              <w:rPr>
                <w:sz w:val="18"/>
                <w:szCs w:val="18"/>
              </w:rPr>
              <w:t>19,3</w:t>
            </w:r>
          </w:p>
        </w:tc>
        <w:tc>
          <w:tcPr>
            <w:tcW w:w="836" w:type="dxa"/>
            <w:tcBorders>
              <w:top w:val="nil"/>
              <w:left w:val="nil"/>
              <w:bottom w:val="nil"/>
              <w:right w:val="nil"/>
            </w:tcBorders>
            <w:shd w:val="clear" w:color="auto" w:fill="auto"/>
            <w:vAlign w:val="center"/>
            <w:hideMark/>
          </w:tcPr>
          <w:p w14:paraId="103941CF" w14:textId="77777777" w:rsidR="00D37A31" w:rsidRPr="00887108" w:rsidRDefault="00D37A31" w:rsidP="00E9118E">
            <w:pPr>
              <w:jc w:val="center"/>
              <w:rPr>
                <w:color w:val="000000"/>
                <w:sz w:val="18"/>
                <w:szCs w:val="18"/>
              </w:rPr>
            </w:pPr>
            <w:r w:rsidRPr="00887108">
              <w:rPr>
                <w:sz w:val="18"/>
                <w:szCs w:val="18"/>
              </w:rPr>
              <w:t>4,4</w:t>
            </w:r>
          </w:p>
        </w:tc>
        <w:tc>
          <w:tcPr>
            <w:tcW w:w="836" w:type="dxa"/>
            <w:tcBorders>
              <w:top w:val="nil"/>
              <w:left w:val="nil"/>
              <w:bottom w:val="nil"/>
              <w:right w:val="nil"/>
            </w:tcBorders>
            <w:shd w:val="clear" w:color="auto" w:fill="auto"/>
            <w:vAlign w:val="center"/>
            <w:hideMark/>
          </w:tcPr>
          <w:p w14:paraId="7F9E6183" w14:textId="77777777" w:rsidR="00D37A31" w:rsidRPr="00887108" w:rsidRDefault="00D37A31" w:rsidP="00E9118E">
            <w:pPr>
              <w:jc w:val="center"/>
              <w:rPr>
                <w:color w:val="000000"/>
                <w:sz w:val="18"/>
                <w:szCs w:val="18"/>
              </w:rPr>
            </w:pPr>
            <w:r w:rsidRPr="00887108">
              <w:rPr>
                <w:sz w:val="18"/>
                <w:szCs w:val="18"/>
              </w:rPr>
              <w:t>-20,3</w:t>
            </w:r>
          </w:p>
        </w:tc>
        <w:tc>
          <w:tcPr>
            <w:tcW w:w="836" w:type="dxa"/>
            <w:tcBorders>
              <w:top w:val="nil"/>
              <w:left w:val="nil"/>
              <w:bottom w:val="nil"/>
              <w:right w:val="nil"/>
            </w:tcBorders>
            <w:shd w:val="clear" w:color="auto" w:fill="auto"/>
            <w:vAlign w:val="center"/>
            <w:hideMark/>
          </w:tcPr>
          <w:p w14:paraId="7A0FCB15" w14:textId="77777777" w:rsidR="00D37A31" w:rsidRPr="00887108" w:rsidRDefault="00D37A31" w:rsidP="00E9118E">
            <w:pPr>
              <w:jc w:val="center"/>
              <w:rPr>
                <w:color w:val="000000"/>
                <w:sz w:val="18"/>
                <w:szCs w:val="18"/>
              </w:rPr>
            </w:pPr>
            <w:r w:rsidRPr="00887108">
              <w:rPr>
                <w:sz w:val="18"/>
                <w:szCs w:val="18"/>
              </w:rPr>
              <w:t>17,0</w:t>
            </w:r>
          </w:p>
        </w:tc>
        <w:tc>
          <w:tcPr>
            <w:tcW w:w="836" w:type="dxa"/>
            <w:tcBorders>
              <w:top w:val="nil"/>
              <w:left w:val="nil"/>
              <w:bottom w:val="nil"/>
              <w:right w:val="nil"/>
            </w:tcBorders>
            <w:shd w:val="clear" w:color="auto" w:fill="auto"/>
            <w:vAlign w:val="center"/>
            <w:hideMark/>
          </w:tcPr>
          <w:p w14:paraId="4AEEE56E" w14:textId="77777777" w:rsidR="00D37A31" w:rsidRPr="00887108" w:rsidRDefault="00D37A31" w:rsidP="00E9118E">
            <w:pPr>
              <w:jc w:val="center"/>
              <w:rPr>
                <w:color w:val="000000"/>
                <w:sz w:val="18"/>
                <w:szCs w:val="18"/>
              </w:rPr>
            </w:pPr>
            <w:r w:rsidRPr="00887108">
              <w:rPr>
                <w:sz w:val="18"/>
                <w:szCs w:val="18"/>
              </w:rPr>
              <w:t>5,2</w:t>
            </w:r>
          </w:p>
        </w:tc>
        <w:tc>
          <w:tcPr>
            <w:tcW w:w="836" w:type="dxa"/>
            <w:tcBorders>
              <w:top w:val="nil"/>
              <w:left w:val="nil"/>
              <w:bottom w:val="nil"/>
              <w:right w:val="nil"/>
            </w:tcBorders>
            <w:shd w:val="clear" w:color="auto" w:fill="auto"/>
            <w:vAlign w:val="center"/>
            <w:hideMark/>
          </w:tcPr>
          <w:p w14:paraId="49E49017" w14:textId="77777777" w:rsidR="00D37A31" w:rsidRPr="00887108" w:rsidRDefault="00D37A31" w:rsidP="00E9118E">
            <w:pPr>
              <w:jc w:val="center"/>
              <w:rPr>
                <w:color w:val="000000"/>
                <w:sz w:val="18"/>
                <w:szCs w:val="18"/>
              </w:rPr>
            </w:pPr>
            <w:r w:rsidRPr="00887108">
              <w:rPr>
                <w:sz w:val="18"/>
                <w:szCs w:val="18"/>
              </w:rPr>
              <w:t>5,8</w:t>
            </w:r>
          </w:p>
        </w:tc>
      </w:tr>
      <w:tr w:rsidR="00D37A31" w:rsidRPr="00887108" w14:paraId="28EA48AF" w14:textId="77777777" w:rsidTr="00E9118E">
        <w:trPr>
          <w:trHeight w:val="283"/>
        </w:trPr>
        <w:tc>
          <w:tcPr>
            <w:tcW w:w="3085" w:type="dxa"/>
            <w:tcBorders>
              <w:top w:val="nil"/>
              <w:left w:val="nil"/>
              <w:bottom w:val="nil"/>
              <w:right w:val="nil"/>
            </w:tcBorders>
            <w:shd w:val="clear" w:color="auto" w:fill="auto"/>
            <w:vAlign w:val="center"/>
            <w:hideMark/>
          </w:tcPr>
          <w:p w14:paraId="0FD60747" w14:textId="77777777" w:rsidR="00D37A31" w:rsidRPr="00887108" w:rsidRDefault="00D37A31" w:rsidP="00E9118E">
            <w:pPr>
              <w:rPr>
                <w:rFonts w:cs="Times New Roman"/>
                <w:color w:val="000000"/>
                <w:sz w:val="18"/>
                <w:szCs w:val="18"/>
              </w:rPr>
            </w:pPr>
            <w:r w:rsidRPr="00887108">
              <w:rPr>
                <w:color w:val="000000"/>
                <w:sz w:val="18"/>
                <w:szCs w:val="18"/>
              </w:rPr>
              <w:t>6. Zmena stavu zásob a čisté nadobudnutie cenností (% HDP)</w:t>
            </w:r>
          </w:p>
        </w:tc>
        <w:tc>
          <w:tcPr>
            <w:tcW w:w="836" w:type="dxa"/>
            <w:tcBorders>
              <w:top w:val="nil"/>
              <w:left w:val="nil"/>
              <w:bottom w:val="nil"/>
              <w:right w:val="nil"/>
            </w:tcBorders>
            <w:shd w:val="clear" w:color="auto" w:fill="auto"/>
            <w:vAlign w:val="center"/>
            <w:hideMark/>
          </w:tcPr>
          <w:p w14:paraId="20E1DEC0" w14:textId="77777777" w:rsidR="00D37A31" w:rsidRPr="00887108" w:rsidRDefault="00D37A31" w:rsidP="00E9118E">
            <w:pPr>
              <w:jc w:val="center"/>
              <w:rPr>
                <w:rFonts w:cs="Times New Roman"/>
                <w:color w:val="000000"/>
                <w:sz w:val="18"/>
                <w:szCs w:val="18"/>
              </w:rPr>
            </w:pPr>
            <w:r w:rsidRPr="00887108">
              <w:rPr>
                <w:color w:val="000000"/>
                <w:sz w:val="18"/>
                <w:szCs w:val="18"/>
              </w:rPr>
              <w:t>P.52 + P.53</w:t>
            </w:r>
          </w:p>
        </w:tc>
        <w:tc>
          <w:tcPr>
            <w:tcW w:w="885" w:type="dxa"/>
            <w:tcBorders>
              <w:top w:val="nil"/>
              <w:left w:val="nil"/>
              <w:bottom w:val="nil"/>
              <w:right w:val="nil"/>
            </w:tcBorders>
            <w:shd w:val="clear" w:color="auto" w:fill="auto"/>
            <w:vAlign w:val="center"/>
            <w:hideMark/>
          </w:tcPr>
          <w:p w14:paraId="142B28D2" w14:textId="77777777" w:rsidR="00D37A31" w:rsidRPr="00887108" w:rsidRDefault="00D37A31" w:rsidP="00E9118E">
            <w:pPr>
              <w:jc w:val="center"/>
              <w:rPr>
                <w:rFonts w:cs="Times New Roman"/>
                <w:color w:val="000000"/>
                <w:sz w:val="18"/>
                <w:szCs w:val="18"/>
              </w:rPr>
            </w:pPr>
            <w:r w:rsidRPr="00887108">
              <w:rPr>
                <w:sz w:val="18"/>
                <w:szCs w:val="18"/>
              </w:rPr>
              <w:t>2,2</w:t>
            </w:r>
          </w:p>
        </w:tc>
        <w:tc>
          <w:tcPr>
            <w:tcW w:w="836" w:type="dxa"/>
            <w:tcBorders>
              <w:top w:val="nil"/>
              <w:left w:val="nil"/>
              <w:bottom w:val="nil"/>
              <w:right w:val="nil"/>
            </w:tcBorders>
            <w:shd w:val="clear" w:color="auto" w:fill="auto"/>
            <w:vAlign w:val="center"/>
            <w:hideMark/>
          </w:tcPr>
          <w:p w14:paraId="56C9B530" w14:textId="77777777" w:rsidR="00D37A31" w:rsidRPr="00887108" w:rsidRDefault="00D37A31" w:rsidP="00E9118E">
            <w:pPr>
              <w:jc w:val="center"/>
              <w:rPr>
                <w:rFonts w:cs="Times New Roman"/>
                <w:color w:val="000000"/>
                <w:sz w:val="18"/>
                <w:szCs w:val="18"/>
              </w:rPr>
            </w:pPr>
            <w:r w:rsidRPr="00887108">
              <w:rPr>
                <w:sz w:val="18"/>
                <w:szCs w:val="18"/>
              </w:rPr>
              <w:t>2,4</w:t>
            </w:r>
          </w:p>
        </w:tc>
        <w:tc>
          <w:tcPr>
            <w:tcW w:w="836" w:type="dxa"/>
            <w:tcBorders>
              <w:top w:val="nil"/>
              <w:left w:val="nil"/>
              <w:bottom w:val="nil"/>
              <w:right w:val="nil"/>
            </w:tcBorders>
            <w:shd w:val="clear" w:color="auto" w:fill="auto"/>
            <w:vAlign w:val="center"/>
            <w:hideMark/>
          </w:tcPr>
          <w:p w14:paraId="1338D56C" w14:textId="77777777" w:rsidR="00D37A31" w:rsidRPr="00887108" w:rsidRDefault="00D37A31" w:rsidP="00E9118E">
            <w:pPr>
              <w:jc w:val="center"/>
              <w:rPr>
                <w:rFonts w:cs="Times New Roman"/>
                <w:color w:val="000000"/>
                <w:sz w:val="18"/>
                <w:szCs w:val="18"/>
              </w:rPr>
            </w:pPr>
            <w:r w:rsidRPr="00887108">
              <w:rPr>
                <w:sz w:val="18"/>
                <w:szCs w:val="18"/>
              </w:rPr>
              <w:t>0,6</w:t>
            </w:r>
          </w:p>
        </w:tc>
        <w:tc>
          <w:tcPr>
            <w:tcW w:w="836" w:type="dxa"/>
            <w:tcBorders>
              <w:top w:val="nil"/>
              <w:left w:val="nil"/>
              <w:bottom w:val="nil"/>
              <w:right w:val="nil"/>
            </w:tcBorders>
            <w:shd w:val="clear" w:color="auto" w:fill="auto"/>
            <w:vAlign w:val="center"/>
            <w:hideMark/>
          </w:tcPr>
          <w:p w14:paraId="066041B1" w14:textId="77777777" w:rsidR="00D37A31" w:rsidRPr="00887108" w:rsidRDefault="00D37A31" w:rsidP="00E9118E">
            <w:pPr>
              <w:jc w:val="center"/>
              <w:rPr>
                <w:rFonts w:cs="Times New Roman"/>
                <w:color w:val="000000"/>
                <w:sz w:val="18"/>
                <w:szCs w:val="18"/>
              </w:rPr>
            </w:pPr>
            <w:r w:rsidRPr="00887108">
              <w:rPr>
                <w:sz w:val="18"/>
                <w:szCs w:val="18"/>
              </w:rPr>
              <w:t>-0,1</w:t>
            </w:r>
          </w:p>
        </w:tc>
        <w:tc>
          <w:tcPr>
            <w:tcW w:w="836" w:type="dxa"/>
            <w:tcBorders>
              <w:top w:val="nil"/>
              <w:left w:val="nil"/>
              <w:bottom w:val="nil"/>
              <w:right w:val="nil"/>
            </w:tcBorders>
            <w:shd w:val="clear" w:color="auto" w:fill="auto"/>
            <w:vAlign w:val="center"/>
            <w:hideMark/>
          </w:tcPr>
          <w:p w14:paraId="35C4D248"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836" w:type="dxa"/>
            <w:tcBorders>
              <w:top w:val="nil"/>
              <w:left w:val="nil"/>
              <w:bottom w:val="nil"/>
              <w:right w:val="nil"/>
            </w:tcBorders>
            <w:shd w:val="clear" w:color="auto" w:fill="auto"/>
            <w:vAlign w:val="center"/>
            <w:hideMark/>
          </w:tcPr>
          <w:p w14:paraId="5AC3E9B9" w14:textId="77777777" w:rsidR="00D37A31" w:rsidRPr="00887108" w:rsidRDefault="00D37A31" w:rsidP="00E9118E">
            <w:pPr>
              <w:jc w:val="center"/>
              <w:rPr>
                <w:rFonts w:cs="Times New Roman"/>
                <w:color w:val="000000"/>
                <w:sz w:val="18"/>
                <w:szCs w:val="18"/>
              </w:rPr>
            </w:pPr>
            <w:r w:rsidRPr="00887108">
              <w:rPr>
                <w:sz w:val="18"/>
                <w:szCs w:val="18"/>
              </w:rPr>
              <w:t>0,0</w:t>
            </w:r>
          </w:p>
        </w:tc>
      </w:tr>
      <w:tr w:rsidR="00D37A31" w:rsidRPr="00887108" w14:paraId="6FE22413" w14:textId="77777777" w:rsidTr="00E9118E">
        <w:trPr>
          <w:trHeight w:val="283"/>
        </w:trPr>
        <w:tc>
          <w:tcPr>
            <w:tcW w:w="3085" w:type="dxa"/>
            <w:tcBorders>
              <w:top w:val="nil"/>
              <w:left w:val="nil"/>
              <w:bottom w:val="nil"/>
              <w:right w:val="nil"/>
            </w:tcBorders>
            <w:shd w:val="clear" w:color="auto" w:fill="auto"/>
            <w:vAlign w:val="center"/>
            <w:hideMark/>
          </w:tcPr>
          <w:p w14:paraId="3EF31952" w14:textId="77777777" w:rsidR="00D37A31" w:rsidRPr="00887108" w:rsidRDefault="00D37A31" w:rsidP="00E9118E">
            <w:pPr>
              <w:rPr>
                <w:rFonts w:cs="Times New Roman"/>
                <w:color w:val="000000"/>
                <w:sz w:val="18"/>
                <w:szCs w:val="18"/>
              </w:rPr>
            </w:pPr>
            <w:r w:rsidRPr="00887108">
              <w:rPr>
                <w:color w:val="000000"/>
                <w:sz w:val="18"/>
                <w:szCs w:val="18"/>
              </w:rPr>
              <w:t>7. Vývoz výrobkov a služieb</w:t>
            </w:r>
          </w:p>
        </w:tc>
        <w:tc>
          <w:tcPr>
            <w:tcW w:w="836" w:type="dxa"/>
            <w:tcBorders>
              <w:top w:val="nil"/>
              <w:left w:val="nil"/>
              <w:bottom w:val="nil"/>
              <w:right w:val="nil"/>
            </w:tcBorders>
            <w:shd w:val="clear" w:color="auto" w:fill="auto"/>
            <w:vAlign w:val="center"/>
            <w:hideMark/>
          </w:tcPr>
          <w:p w14:paraId="0F1F3E07" w14:textId="77777777" w:rsidR="00D37A31" w:rsidRPr="00887108" w:rsidRDefault="00D37A31" w:rsidP="00E9118E">
            <w:pPr>
              <w:jc w:val="center"/>
              <w:rPr>
                <w:rFonts w:cs="Times New Roman"/>
                <w:color w:val="000000"/>
                <w:sz w:val="18"/>
                <w:szCs w:val="18"/>
              </w:rPr>
            </w:pPr>
            <w:r w:rsidRPr="00887108">
              <w:rPr>
                <w:color w:val="000000"/>
                <w:sz w:val="18"/>
                <w:szCs w:val="18"/>
              </w:rPr>
              <w:t>P.6</w:t>
            </w:r>
          </w:p>
        </w:tc>
        <w:tc>
          <w:tcPr>
            <w:tcW w:w="885" w:type="dxa"/>
            <w:tcBorders>
              <w:top w:val="nil"/>
              <w:left w:val="nil"/>
              <w:bottom w:val="nil"/>
              <w:right w:val="nil"/>
            </w:tcBorders>
            <w:shd w:val="clear" w:color="auto" w:fill="auto"/>
            <w:vAlign w:val="center"/>
            <w:hideMark/>
          </w:tcPr>
          <w:p w14:paraId="3C9B40D9" w14:textId="77777777" w:rsidR="00D37A31" w:rsidRPr="00887108" w:rsidRDefault="00D37A31" w:rsidP="00E9118E">
            <w:pPr>
              <w:jc w:val="center"/>
              <w:rPr>
                <w:rFonts w:cs="Times New Roman"/>
                <w:color w:val="000000"/>
                <w:sz w:val="18"/>
                <w:szCs w:val="18"/>
              </w:rPr>
            </w:pPr>
            <w:r w:rsidRPr="00887108">
              <w:rPr>
                <w:sz w:val="18"/>
                <w:szCs w:val="18"/>
              </w:rPr>
              <w:t>85,5</w:t>
            </w:r>
          </w:p>
        </w:tc>
        <w:tc>
          <w:tcPr>
            <w:tcW w:w="836" w:type="dxa"/>
            <w:tcBorders>
              <w:top w:val="nil"/>
              <w:left w:val="nil"/>
              <w:bottom w:val="nil"/>
              <w:right w:val="nil"/>
            </w:tcBorders>
            <w:shd w:val="clear" w:color="auto" w:fill="auto"/>
            <w:vAlign w:val="center"/>
            <w:hideMark/>
          </w:tcPr>
          <w:p w14:paraId="2B13A86A" w14:textId="77777777" w:rsidR="00D37A31" w:rsidRPr="00887108" w:rsidRDefault="00D37A31" w:rsidP="00E9118E">
            <w:pPr>
              <w:jc w:val="center"/>
              <w:rPr>
                <w:color w:val="000000"/>
                <w:sz w:val="18"/>
                <w:szCs w:val="18"/>
              </w:rPr>
            </w:pPr>
            <w:r w:rsidRPr="00887108">
              <w:rPr>
                <w:sz w:val="18"/>
                <w:szCs w:val="18"/>
              </w:rPr>
              <w:t>1,7</w:t>
            </w:r>
          </w:p>
        </w:tc>
        <w:tc>
          <w:tcPr>
            <w:tcW w:w="836" w:type="dxa"/>
            <w:tcBorders>
              <w:top w:val="nil"/>
              <w:left w:val="nil"/>
              <w:bottom w:val="nil"/>
              <w:right w:val="nil"/>
            </w:tcBorders>
            <w:shd w:val="clear" w:color="auto" w:fill="auto"/>
            <w:vAlign w:val="center"/>
            <w:hideMark/>
          </w:tcPr>
          <w:p w14:paraId="2C30AD58" w14:textId="77777777" w:rsidR="00D37A31" w:rsidRPr="00887108" w:rsidRDefault="00D37A31" w:rsidP="00E9118E">
            <w:pPr>
              <w:jc w:val="center"/>
              <w:rPr>
                <w:color w:val="000000"/>
                <w:sz w:val="18"/>
                <w:szCs w:val="18"/>
              </w:rPr>
            </w:pPr>
            <w:r w:rsidRPr="00887108">
              <w:rPr>
                <w:sz w:val="18"/>
                <w:szCs w:val="18"/>
              </w:rPr>
              <w:t>-21,4</w:t>
            </w:r>
          </w:p>
        </w:tc>
        <w:tc>
          <w:tcPr>
            <w:tcW w:w="836" w:type="dxa"/>
            <w:tcBorders>
              <w:top w:val="nil"/>
              <w:left w:val="nil"/>
              <w:bottom w:val="nil"/>
              <w:right w:val="nil"/>
            </w:tcBorders>
            <w:shd w:val="clear" w:color="auto" w:fill="auto"/>
            <w:vAlign w:val="center"/>
            <w:hideMark/>
          </w:tcPr>
          <w:p w14:paraId="6276E3B5" w14:textId="77777777" w:rsidR="00D37A31" w:rsidRPr="00887108" w:rsidRDefault="00D37A31" w:rsidP="00E9118E">
            <w:pPr>
              <w:jc w:val="center"/>
              <w:rPr>
                <w:color w:val="000000"/>
                <w:sz w:val="18"/>
                <w:szCs w:val="18"/>
              </w:rPr>
            </w:pPr>
            <w:r w:rsidRPr="00887108">
              <w:rPr>
                <w:sz w:val="18"/>
                <w:szCs w:val="18"/>
              </w:rPr>
              <w:t>17,6</w:t>
            </w:r>
          </w:p>
        </w:tc>
        <w:tc>
          <w:tcPr>
            <w:tcW w:w="836" w:type="dxa"/>
            <w:tcBorders>
              <w:top w:val="nil"/>
              <w:left w:val="nil"/>
              <w:bottom w:val="nil"/>
              <w:right w:val="nil"/>
            </w:tcBorders>
            <w:shd w:val="clear" w:color="auto" w:fill="auto"/>
            <w:vAlign w:val="center"/>
            <w:hideMark/>
          </w:tcPr>
          <w:p w14:paraId="060A6F53" w14:textId="77777777" w:rsidR="00D37A31" w:rsidRPr="00887108" w:rsidRDefault="00D37A31" w:rsidP="00E9118E">
            <w:pPr>
              <w:jc w:val="center"/>
              <w:rPr>
                <w:color w:val="000000"/>
                <w:sz w:val="18"/>
                <w:szCs w:val="18"/>
              </w:rPr>
            </w:pPr>
            <w:r w:rsidRPr="00887108">
              <w:rPr>
                <w:sz w:val="18"/>
                <w:szCs w:val="18"/>
              </w:rPr>
              <w:t>6,5</w:t>
            </w:r>
          </w:p>
        </w:tc>
        <w:tc>
          <w:tcPr>
            <w:tcW w:w="836" w:type="dxa"/>
            <w:tcBorders>
              <w:top w:val="nil"/>
              <w:left w:val="nil"/>
              <w:bottom w:val="nil"/>
              <w:right w:val="nil"/>
            </w:tcBorders>
            <w:shd w:val="clear" w:color="auto" w:fill="auto"/>
            <w:vAlign w:val="center"/>
            <w:hideMark/>
          </w:tcPr>
          <w:p w14:paraId="595D6B17" w14:textId="77777777" w:rsidR="00D37A31" w:rsidRPr="00887108" w:rsidRDefault="00D37A31" w:rsidP="00E9118E">
            <w:pPr>
              <w:jc w:val="center"/>
              <w:rPr>
                <w:color w:val="000000"/>
                <w:sz w:val="18"/>
                <w:szCs w:val="18"/>
              </w:rPr>
            </w:pPr>
            <w:r w:rsidRPr="00887108">
              <w:rPr>
                <w:sz w:val="18"/>
                <w:szCs w:val="18"/>
              </w:rPr>
              <w:t>3,6</w:t>
            </w:r>
          </w:p>
        </w:tc>
      </w:tr>
      <w:tr w:rsidR="00D37A31" w:rsidRPr="00887108" w14:paraId="0FC54509" w14:textId="77777777" w:rsidTr="00E9118E">
        <w:trPr>
          <w:trHeight w:val="283"/>
        </w:trPr>
        <w:tc>
          <w:tcPr>
            <w:tcW w:w="3085" w:type="dxa"/>
            <w:tcBorders>
              <w:top w:val="nil"/>
              <w:left w:val="nil"/>
              <w:bottom w:val="nil"/>
              <w:right w:val="nil"/>
            </w:tcBorders>
            <w:shd w:val="clear" w:color="auto" w:fill="auto"/>
            <w:vAlign w:val="center"/>
            <w:hideMark/>
          </w:tcPr>
          <w:p w14:paraId="518EDB1F" w14:textId="77777777" w:rsidR="00D37A31" w:rsidRPr="00887108" w:rsidRDefault="00D37A31" w:rsidP="00E9118E">
            <w:pPr>
              <w:rPr>
                <w:rFonts w:cs="Times New Roman"/>
                <w:color w:val="000000"/>
                <w:sz w:val="18"/>
                <w:szCs w:val="18"/>
              </w:rPr>
            </w:pPr>
            <w:r w:rsidRPr="00887108">
              <w:rPr>
                <w:color w:val="000000"/>
                <w:sz w:val="18"/>
                <w:szCs w:val="18"/>
              </w:rPr>
              <w:t xml:space="preserve">8. Dovoz výrobkov a služieb       </w:t>
            </w:r>
          </w:p>
        </w:tc>
        <w:tc>
          <w:tcPr>
            <w:tcW w:w="836" w:type="dxa"/>
            <w:tcBorders>
              <w:top w:val="nil"/>
              <w:left w:val="nil"/>
              <w:bottom w:val="nil"/>
              <w:right w:val="nil"/>
            </w:tcBorders>
            <w:shd w:val="clear" w:color="auto" w:fill="auto"/>
            <w:vAlign w:val="center"/>
            <w:hideMark/>
          </w:tcPr>
          <w:p w14:paraId="70791597" w14:textId="77777777" w:rsidR="00D37A31" w:rsidRPr="00887108" w:rsidRDefault="00D37A31" w:rsidP="00E9118E">
            <w:pPr>
              <w:jc w:val="center"/>
              <w:rPr>
                <w:rFonts w:cs="Times New Roman"/>
                <w:color w:val="000000"/>
                <w:sz w:val="18"/>
                <w:szCs w:val="18"/>
              </w:rPr>
            </w:pPr>
            <w:r w:rsidRPr="00887108">
              <w:rPr>
                <w:color w:val="000000"/>
                <w:sz w:val="18"/>
                <w:szCs w:val="18"/>
              </w:rPr>
              <w:t>P.7</w:t>
            </w:r>
          </w:p>
        </w:tc>
        <w:tc>
          <w:tcPr>
            <w:tcW w:w="885" w:type="dxa"/>
            <w:tcBorders>
              <w:top w:val="nil"/>
              <w:left w:val="nil"/>
              <w:bottom w:val="nil"/>
              <w:right w:val="nil"/>
            </w:tcBorders>
            <w:shd w:val="clear" w:color="auto" w:fill="auto"/>
            <w:vAlign w:val="center"/>
            <w:hideMark/>
          </w:tcPr>
          <w:p w14:paraId="703E402F" w14:textId="77777777" w:rsidR="00D37A31" w:rsidRPr="00887108" w:rsidRDefault="00D37A31" w:rsidP="00E9118E">
            <w:pPr>
              <w:jc w:val="center"/>
              <w:rPr>
                <w:color w:val="000000"/>
                <w:sz w:val="18"/>
                <w:szCs w:val="18"/>
              </w:rPr>
            </w:pPr>
            <w:r w:rsidRPr="00887108">
              <w:rPr>
                <w:sz w:val="18"/>
                <w:szCs w:val="18"/>
              </w:rPr>
              <w:t>83,2</w:t>
            </w:r>
          </w:p>
        </w:tc>
        <w:tc>
          <w:tcPr>
            <w:tcW w:w="836" w:type="dxa"/>
            <w:tcBorders>
              <w:top w:val="nil"/>
              <w:left w:val="nil"/>
              <w:bottom w:val="nil"/>
              <w:right w:val="nil"/>
            </w:tcBorders>
            <w:shd w:val="clear" w:color="auto" w:fill="auto"/>
            <w:vAlign w:val="center"/>
            <w:hideMark/>
          </w:tcPr>
          <w:p w14:paraId="1F312E82" w14:textId="77777777" w:rsidR="00D37A31" w:rsidRPr="00887108" w:rsidRDefault="00D37A31" w:rsidP="00E9118E">
            <w:pPr>
              <w:jc w:val="center"/>
              <w:rPr>
                <w:color w:val="000000"/>
                <w:sz w:val="18"/>
                <w:szCs w:val="18"/>
              </w:rPr>
            </w:pPr>
            <w:r w:rsidRPr="00887108">
              <w:rPr>
                <w:sz w:val="18"/>
                <w:szCs w:val="18"/>
              </w:rPr>
              <w:t>2,6</w:t>
            </w:r>
          </w:p>
        </w:tc>
        <w:tc>
          <w:tcPr>
            <w:tcW w:w="836" w:type="dxa"/>
            <w:tcBorders>
              <w:top w:val="nil"/>
              <w:left w:val="nil"/>
              <w:bottom w:val="nil"/>
              <w:right w:val="nil"/>
            </w:tcBorders>
            <w:shd w:val="clear" w:color="auto" w:fill="auto"/>
            <w:vAlign w:val="center"/>
            <w:hideMark/>
          </w:tcPr>
          <w:p w14:paraId="3CD1E634" w14:textId="77777777" w:rsidR="00D37A31" w:rsidRPr="00887108" w:rsidRDefault="00D37A31" w:rsidP="00E9118E">
            <w:pPr>
              <w:jc w:val="center"/>
              <w:rPr>
                <w:color w:val="000000"/>
                <w:sz w:val="18"/>
                <w:szCs w:val="18"/>
              </w:rPr>
            </w:pPr>
            <w:r w:rsidRPr="00887108">
              <w:rPr>
                <w:sz w:val="18"/>
                <w:szCs w:val="18"/>
              </w:rPr>
              <w:t>-25,5</w:t>
            </w:r>
          </w:p>
        </w:tc>
        <w:tc>
          <w:tcPr>
            <w:tcW w:w="836" w:type="dxa"/>
            <w:tcBorders>
              <w:top w:val="nil"/>
              <w:left w:val="nil"/>
              <w:bottom w:val="nil"/>
              <w:right w:val="nil"/>
            </w:tcBorders>
            <w:shd w:val="clear" w:color="auto" w:fill="auto"/>
            <w:vAlign w:val="center"/>
            <w:hideMark/>
          </w:tcPr>
          <w:p w14:paraId="5B791C79" w14:textId="77777777" w:rsidR="00D37A31" w:rsidRPr="00887108" w:rsidRDefault="00D37A31" w:rsidP="00E9118E">
            <w:pPr>
              <w:jc w:val="center"/>
              <w:rPr>
                <w:color w:val="000000"/>
                <w:sz w:val="18"/>
                <w:szCs w:val="18"/>
              </w:rPr>
            </w:pPr>
            <w:r w:rsidRPr="00887108">
              <w:rPr>
                <w:sz w:val="18"/>
                <w:szCs w:val="18"/>
              </w:rPr>
              <w:t>19,0</w:t>
            </w:r>
          </w:p>
        </w:tc>
        <w:tc>
          <w:tcPr>
            <w:tcW w:w="836" w:type="dxa"/>
            <w:tcBorders>
              <w:top w:val="nil"/>
              <w:left w:val="nil"/>
              <w:bottom w:val="nil"/>
              <w:right w:val="nil"/>
            </w:tcBorders>
            <w:shd w:val="clear" w:color="auto" w:fill="auto"/>
            <w:vAlign w:val="center"/>
            <w:hideMark/>
          </w:tcPr>
          <w:p w14:paraId="50464804" w14:textId="77777777" w:rsidR="00D37A31" w:rsidRPr="00887108" w:rsidRDefault="00D37A31" w:rsidP="00E9118E">
            <w:pPr>
              <w:jc w:val="center"/>
              <w:rPr>
                <w:color w:val="000000"/>
                <w:sz w:val="18"/>
                <w:szCs w:val="18"/>
              </w:rPr>
            </w:pPr>
            <w:r w:rsidRPr="00887108">
              <w:rPr>
                <w:sz w:val="18"/>
                <w:szCs w:val="18"/>
              </w:rPr>
              <w:t>6,5</w:t>
            </w:r>
          </w:p>
        </w:tc>
        <w:tc>
          <w:tcPr>
            <w:tcW w:w="836" w:type="dxa"/>
            <w:tcBorders>
              <w:top w:val="nil"/>
              <w:left w:val="nil"/>
              <w:bottom w:val="nil"/>
              <w:right w:val="nil"/>
            </w:tcBorders>
            <w:shd w:val="clear" w:color="auto" w:fill="auto"/>
            <w:vAlign w:val="center"/>
            <w:hideMark/>
          </w:tcPr>
          <w:p w14:paraId="3345972C" w14:textId="77777777" w:rsidR="00D37A31" w:rsidRPr="00887108" w:rsidRDefault="00D37A31" w:rsidP="00E9118E">
            <w:pPr>
              <w:jc w:val="center"/>
              <w:rPr>
                <w:color w:val="000000"/>
                <w:sz w:val="18"/>
                <w:szCs w:val="18"/>
              </w:rPr>
            </w:pPr>
            <w:r w:rsidRPr="00887108">
              <w:rPr>
                <w:sz w:val="18"/>
                <w:szCs w:val="18"/>
              </w:rPr>
              <w:t>4,0</w:t>
            </w:r>
          </w:p>
        </w:tc>
      </w:tr>
      <w:tr w:rsidR="00D37A31" w:rsidRPr="00887108" w14:paraId="0547A0EB" w14:textId="77777777" w:rsidTr="00E9118E">
        <w:trPr>
          <w:trHeight w:val="283"/>
        </w:trPr>
        <w:tc>
          <w:tcPr>
            <w:tcW w:w="8986" w:type="dxa"/>
            <w:gridSpan w:val="8"/>
            <w:tcBorders>
              <w:top w:val="nil"/>
              <w:left w:val="nil"/>
              <w:bottom w:val="nil"/>
              <w:right w:val="nil"/>
            </w:tcBorders>
            <w:shd w:val="clear" w:color="auto" w:fill="auto"/>
            <w:vAlign w:val="center"/>
            <w:hideMark/>
          </w:tcPr>
          <w:p w14:paraId="1DF619C7"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Príspevky k reálnemu rastu HDP</w:t>
            </w:r>
          </w:p>
        </w:tc>
      </w:tr>
      <w:tr w:rsidR="00D37A31" w:rsidRPr="00887108" w14:paraId="6A64E3A9" w14:textId="77777777" w:rsidTr="00E9118E">
        <w:trPr>
          <w:trHeight w:val="283"/>
        </w:trPr>
        <w:tc>
          <w:tcPr>
            <w:tcW w:w="3085" w:type="dxa"/>
            <w:tcBorders>
              <w:top w:val="nil"/>
              <w:left w:val="nil"/>
              <w:bottom w:val="nil"/>
              <w:right w:val="nil"/>
            </w:tcBorders>
            <w:shd w:val="clear" w:color="auto" w:fill="auto"/>
            <w:noWrap/>
            <w:vAlign w:val="center"/>
            <w:hideMark/>
          </w:tcPr>
          <w:p w14:paraId="27F4FEA3" w14:textId="77777777" w:rsidR="00D37A31" w:rsidRPr="00887108" w:rsidRDefault="00D37A31" w:rsidP="00E9118E">
            <w:pPr>
              <w:rPr>
                <w:rFonts w:cs="Times New Roman"/>
                <w:color w:val="000000"/>
                <w:sz w:val="18"/>
                <w:szCs w:val="18"/>
              </w:rPr>
            </w:pPr>
            <w:r w:rsidRPr="00887108">
              <w:rPr>
                <w:color w:val="000000"/>
                <w:sz w:val="18"/>
                <w:szCs w:val="18"/>
              </w:rPr>
              <w:t>9. Domáci dopyt spolu</w:t>
            </w:r>
          </w:p>
        </w:tc>
        <w:tc>
          <w:tcPr>
            <w:tcW w:w="836" w:type="dxa"/>
            <w:tcBorders>
              <w:top w:val="nil"/>
              <w:left w:val="nil"/>
              <w:bottom w:val="nil"/>
              <w:right w:val="nil"/>
            </w:tcBorders>
            <w:shd w:val="clear" w:color="auto" w:fill="auto"/>
            <w:noWrap/>
            <w:vAlign w:val="center"/>
            <w:hideMark/>
          </w:tcPr>
          <w:p w14:paraId="7CD96D95" w14:textId="77777777" w:rsidR="00D37A31" w:rsidRPr="00887108" w:rsidRDefault="00D37A31" w:rsidP="00E9118E">
            <w:pPr>
              <w:jc w:val="center"/>
              <w:rPr>
                <w:rFonts w:cs="Times New Roman"/>
                <w:color w:val="000000"/>
                <w:sz w:val="18"/>
                <w:szCs w:val="18"/>
              </w:rPr>
            </w:pPr>
          </w:p>
        </w:tc>
        <w:tc>
          <w:tcPr>
            <w:tcW w:w="885" w:type="dxa"/>
            <w:tcBorders>
              <w:top w:val="nil"/>
              <w:left w:val="nil"/>
              <w:bottom w:val="nil"/>
              <w:right w:val="nil"/>
            </w:tcBorders>
            <w:shd w:val="clear" w:color="auto" w:fill="auto"/>
            <w:noWrap/>
            <w:vAlign w:val="center"/>
            <w:hideMark/>
          </w:tcPr>
          <w:p w14:paraId="3C4DDA13" w14:textId="77777777" w:rsidR="00D37A31" w:rsidRPr="00887108" w:rsidRDefault="00D37A31" w:rsidP="00E9118E">
            <w:pPr>
              <w:jc w:val="center"/>
              <w:rPr>
                <w:rFonts w:cs="Times New Roman"/>
                <w:color w:val="000000"/>
                <w:sz w:val="18"/>
                <w:szCs w:val="18"/>
              </w:rPr>
            </w:pPr>
            <w:r w:rsidRPr="00887108">
              <w:rPr>
                <w:sz w:val="18"/>
                <w:szCs w:val="18"/>
              </w:rPr>
              <w:t>84,8</w:t>
            </w:r>
          </w:p>
        </w:tc>
        <w:tc>
          <w:tcPr>
            <w:tcW w:w="836" w:type="dxa"/>
            <w:tcBorders>
              <w:top w:val="nil"/>
              <w:left w:val="nil"/>
              <w:bottom w:val="nil"/>
              <w:right w:val="nil"/>
            </w:tcBorders>
            <w:shd w:val="clear" w:color="auto" w:fill="auto"/>
            <w:noWrap/>
            <w:vAlign w:val="center"/>
            <w:hideMark/>
          </w:tcPr>
          <w:p w14:paraId="11B3E8F1" w14:textId="77777777" w:rsidR="00D37A31" w:rsidRPr="00887108" w:rsidRDefault="00D37A31" w:rsidP="00E9118E">
            <w:pPr>
              <w:jc w:val="center"/>
              <w:rPr>
                <w:rFonts w:cs="Times New Roman"/>
                <w:color w:val="000000"/>
                <w:sz w:val="18"/>
                <w:szCs w:val="18"/>
              </w:rPr>
            </w:pPr>
            <w:r w:rsidRPr="00887108">
              <w:rPr>
                <w:sz w:val="18"/>
                <w:szCs w:val="18"/>
              </w:rPr>
              <w:t>2,8</w:t>
            </w:r>
          </w:p>
        </w:tc>
        <w:tc>
          <w:tcPr>
            <w:tcW w:w="836" w:type="dxa"/>
            <w:tcBorders>
              <w:top w:val="nil"/>
              <w:left w:val="nil"/>
              <w:bottom w:val="nil"/>
              <w:right w:val="nil"/>
            </w:tcBorders>
            <w:shd w:val="clear" w:color="auto" w:fill="auto"/>
            <w:noWrap/>
            <w:vAlign w:val="center"/>
            <w:hideMark/>
          </w:tcPr>
          <w:p w14:paraId="3DFC1774" w14:textId="77777777" w:rsidR="00D37A31" w:rsidRPr="00887108" w:rsidRDefault="00D37A31" w:rsidP="00E9118E">
            <w:pPr>
              <w:jc w:val="center"/>
              <w:rPr>
                <w:color w:val="000000"/>
                <w:sz w:val="18"/>
                <w:szCs w:val="18"/>
              </w:rPr>
            </w:pPr>
            <w:r w:rsidRPr="00887108">
              <w:rPr>
                <w:sz w:val="18"/>
                <w:szCs w:val="18"/>
              </w:rPr>
              <w:t>-8,7</w:t>
            </w:r>
          </w:p>
        </w:tc>
        <w:tc>
          <w:tcPr>
            <w:tcW w:w="836" w:type="dxa"/>
            <w:tcBorders>
              <w:top w:val="nil"/>
              <w:left w:val="nil"/>
              <w:bottom w:val="nil"/>
              <w:right w:val="nil"/>
            </w:tcBorders>
            <w:shd w:val="clear" w:color="auto" w:fill="auto"/>
            <w:noWrap/>
            <w:vAlign w:val="center"/>
            <w:hideMark/>
          </w:tcPr>
          <w:p w14:paraId="0B1C95EF" w14:textId="77777777" w:rsidR="00D37A31" w:rsidRPr="00887108" w:rsidRDefault="00D37A31" w:rsidP="00E9118E">
            <w:pPr>
              <w:jc w:val="center"/>
              <w:rPr>
                <w:color w:val="000000"/>
                <w:sz w:val="18"/>
                <w:szCs w:val="18"/>
              </w:rPr>
            </w:pPr>
            <w:r w:rsidRPr="00887108">
              <w:rPr>
                <w:sz w:val="18"/>
                <w:szCs w:val="18"/>
              </w:rPr>
              <w:t>7,5</w:t>
            </w:r>
          </w:p>
        </w:tc>
        <w:tc>
          <w:tcPr>
            <w:tcW w:w="836" w:type="dxa"/>
            <w:tcBorders>
              <w:top w:val="nil"/>
              <w:left w:val="nil"/>
              <w:bottom w:val="nil"/>
              <w:right w:val="nil"/>
            </w:tcBorders>
            <w:shd w:val="clear" w:color="auto" w:fill="auto"/>
            <w:noWrap/>
            <w:vAlign w:val="center"/>
            <w:hideMark/>
          </w:tcPr>
          <w:p w14:paraId="62B0AEAA" w14:textId="77777777" w:rsidR="00D37A31" w:rsidRPr="00887108" w:rsidRDefault="00D37A31" w:rsidP="00E9118E">
            <w:pPr>
              <w:jc w:val="center"/>
              <w:rPr>
                <w:color w:val="000000"/>
                <w:sz w:val="18"/>
                <w:szCs w:val="18"/>
              </w:rPr>
            </w:pPr>
            <w:r w:rsidRPr="00887108">
              <w:rPr>
                <w:sz w:val="18"/>
                <w:szCs w:val="18"/>
              </w:rPr>
              <w:t>3,7</w:t>
            </w:r>
          </w:p>
        </w:tc>
        <w:tc>
          <w:tcPr>
            <w:tcW w:w="836" w:type="dxa"/>
            <w:tcBorders>
              <w:top w:val="nil"/>
              <w:left w:val="nil"/>
              <w:bottom w:val="nil"/>
              <w:right w:val="nil"/>
            </w:tcBorders>
            <w:shd w:val="clear" w:color="auto" w:fill="auto"/>
            <w:noWrap/>
            <w:vAlign w:val="center"/>
            <w:hideMark/>
          </w:tcPr>
          <w:p w14:paraId="2F299C7B" w14:textId="77777777" w:rsidR="00D37A31" w:rsidRPr="00887108" w:rsidRDefault="00D37A31" w:rsidP="00E9118E">
            <w:pPr>
              <w:jc w:val="center"/>
              <w:rPr>
                <w:color w:val="000000"/>
                <w:sz w:val="18"/>
                <w:szCs w:val="18"/>
              </w:rPr>
            </w:pPr>
            <w:r w:rsidRPr="00887108">
              <w:rPr>
                <w:sz w:val="18"/>
                <w:szCs w:val="18"/>
              </w:rPr>
              <w:t>3,2</w:t>
            </w:r>
          </w:p>
        </w:tc>
      </w:tr>
      <w:tr w:rsidR="00D37A31" w:rsidRPr="00887108" w14:paraId="4AAC934A" w14:textId="77777777" w:rsidTr="00E9118E">
        <w:trPr>
          <w:trHeight w:val="283"/>
        </w:trPr>
        <w:tc>
          <w:tcPr>
            <w:tcW w:w="3085" w:type="dxa"/>
            <w:tcBorders>
              <w:top w:val="nil"/>
              <w:left w:val="nil"/>
              <w:bottom w:val="nil"/>
              <w:right w:val="nil"/>
            </w:tcBorders>
            <w:shd w:val="clear" w:color="auto" w:fill="auto"/>
            <w:vAlign w:val="center"/>
            <w:hideMark/>
          </w:tcPr>
          <w:p w14:paraId="3B7EC773" w14:textId="77777777" w:rsidR="00D37A31" w:rsidRPr="00887108" w:rsidRDefault="00D37A31" w:rsidP="00E9118E">
            <w:pPr>
              <w:rPr>
                <w:rFonts w:cs="Times New Roman"/>
                <w:color w:val="000000"/>
                <w:sz w:val="18"/>
                <w:szCs w:val="18"/>
              </w:rPr>
            </w:pPr>
            <w:r w:rsidRPr="00887108">
              <w:rPr>
                <w:color w:val="000000"/>
                <w:sz w:val="18"/>
                <w:szCs w:val="18"/>
              </w:rPr>
              <w:t>10. Zmena stavu zásob a čisté nadobudnutie cenností</w:t>
            </w:r>
          </w:p>
        </w:tc>
        <w:tc>
          <w:tcPr>
            <w:tcW w:w="836" w:type="dxa"/>
            <w:tcBorders>
              <w:top w:val="nil"/>
              <w:left w:val="nil"/>
              <w:bottom w:val="nil"/>
              <w:right w:val="nil"/>
            </w:tcBorders>
            <w:shd w:val="clear" w:color="auto" w:fill="auto"/>
            <w:vAlign w:val="center"/>
            <w:hideMark/>
          </w:tcPr>
          <w:p w14:paraId="09B666B0" w14:textId="77777777" w:rsidR="00D37A31" w:rsidRPr="00887108" w:rsidRDefault="00D37A31" w:rsidP="00E9118E">
            <w:pPr>
              <w:jc w:val="center"/>
              <w:rPr>
                <w:rFonts w:cs="Times New Roman"/>
                <w:color w:val="000000"/>
                <w:sz w:val="18"/>
                <w:szCs w:val="18"/>
              </w:rPr>
            </w:pPr>
            <w:r w:rsidRPr="00887108">
              <w:rPr>
                <w:color w:val="000000"/>
                <w:sz w:val="18"/>
                <w:szCs w:val="18"/>
              </w:rPr>
              <w:t>P.52 + P.53</w:t>
            </w:r>
          </w:p>
        </w:tc>
        <w:tc>
          <w:tcPr>
            <w:tcW w:w="885" w:type="dxa"/>
            <w:tcBorders>
              <w:top w:val="nil"/>
              <w:left w:val="nil"/>
              <w:bottom w:val="nil"/>
              <w:right w:val="nil"/>
            </w:tcBorders>
            <w:shd w:val="clear" w:color="auto" w:fill="auto"/>
            <w:noWrap/>
            <w:vAlign w:val="center"/>
            <w:hideMark/>
          </w:tcPr>
          <w:p w14:paraId="358E3499" w14:textId="77777777" w:rsidR="00D37A31" w:rsidRPr="00887108" w:rsidRDefault="00D37A31" w:rsidP="00E9118E">
            <w:pPr>
              <w:jc w:val="center"/>
              <w:rPr>
                <w:rFonts w:cs="Times New Roman"/>
                <w:color w:val="000000"/>
                <w:sz w:val="18"/>
                <w:szCs w:val="18"/>
              </w:rPr>
            </w:pPr>
            <w:r w:rsidRPr="00887108">
              <w:rPr>
                <w:sz w:val="18"/>
                <w:szCs w:val="18"/>
              </w:rPr>
              <w:t>2,2</w:t>
            </w:r>
          </w:p>
        </w:tc>
        <w:tc>
          <w:tcPr>
            <w:tcW w:w="836" w:type="dxa"/>
            <w:tcBorders>
              <w:top w:val="nil"/>
              <w:left w:val="nil"/>
              <w:bottom w:val="nil"/>
              <w:right w:val="nil"/>
            </w:tcBorders>
            <w:shd w:val="clear" w:color="auto" w:fill="auto"/>
            <w:vAlign w:val="center"/>
            <w:hideMark/>
          </w:tcPr>
          <w:p w14:paraId="2B849013" w14:textId="77777777" w:rsidR="00D37A31" w:rsidRPr="00887108" w:rsidRDefault="00D37A31" w:rsidP="00E9118E">
            <w:pPr>
              <w:jc w:val="center"/>
              <w:rPr>
                <w:color w:val="000000"/>
                <w:sz w:val="18"/>
                <w:szCs w:val="18"/>
              </w:rPr>
            </w:pPr>
            <w:r w:rsidRPr="00887108">
              <w:rPr>
                <w:sz w:val="18"/>
                <w:szCs w:val="18"/>
              </w:rPr>
              <w:t>0,2</w:t>
            </w:r>
          </w:p>
        </w:tc>
        <w:tc>
          <w:tcPr>
            <w:tcW w:w="836" w:type="dxa"/>
            <w:tcBorders>
              <w:top w:val="nil"/>
              <w:left w:val="nil"/>
              <w:bottom w:val="nil"/>
              <w:right w:val="nil"/>
            </w:tcBorders>
            <w:shd w:val="clear" w:color="auto" w:fill="auto"/>
            <w:vAlign w:val="center"/>
            <w:hideMark/>
          </w:tcPr>
          <w:p w14:paraId="1797EF1D" w14:textId="77777777" w:rsidR="00D37A31" w:rsidRPr="00887108" w:rsidRDefault="00D37A31" w:rsidP="00E9118E">
            <w:pPr>
              <w:jc w:val="center"/>
              <w:rPr>
                <w:color w:val="000000"/>
                <w:sz w:val="18"/>
                <w:szCs w:val="18"/>
              </w:rPr>
            </w:pPr>
            <w:r w:rsidRPr="00887108">
              <w:rPr>
                <w:sz w:val="18"/>
                <w:szCs w:val="18"/>
              </w:rPr>
              <w:t>-1,8</w:t>
            </w:r>
          </w:p>
        </w:tc>
        <w:tc>
          <w:tcPr>
            <w:tcW w:w="836" w:type="dxa"/>
            <w:tcBorders>
              <w:top w:val="nil"/>
              <w:left w:val="nil"/>
              <w:bottom w:val="nil"/>
              <w:right w:val="nil"/>
            </w:tcBorders>
            <w:shd w:val="clear" w:color="auto" w:fill="auto"/>
            <w:vAlign w:val="center"/>
            <w:hideMark/>
          </w:tcPr>
          <w:p w14:paraId="3ABCE694" w14:textId="77777777" w:rsidR="00D37A31" w:rsidRPr="00887108" w:rsidRDefault="00D37A31" w:rsidP="00E9118E">
            <w:pPr>
              <w:jc w:val="center"/>
              <w:rPr>
                <w:color w:val="000000"/>
                <w:sz w:val="18"/>
                <w:szCs w:val="18"/>
              </w:rPr>
            </w:pPr>
            <w:r w:rsidRPr="00887108">
              <w:rPr>
                <w:sz w:val="18"/>
                <w:szCs w:val="18"/>
              </w:rPr>
              <w:t>-0,7</w:t>
            </w:r>
          </w:p>
        </w:tc>
        <w:tc>
          <w:tcPr>
            <w:tcW w:w="836" w:type="dxa"/>
            <w:tcBorders>
              <w:top w:val="nil"/>
              <w:left w:val="nil"/>
              <w:bottom w:val="nil"/>
              <w:right w:val="nil"/>
            </w:tcBorders>
            <w:shd w:val="clear" w:color="auto" w:fill="auto"/>
            <w:vAlign w:val="center"/>
            <w:hideMark/>
          </w:tcPr>
          <w:p w14:paraId="7BE69AB2" w14:textId="77777777" w:rsidR="00D37A31" w:rsidRPr="00887108" w:rsidRDefault="00D37A31" w:rsidP="00E9118E">
            <w:pPr>
              <w:jc w:val="center"/>
              <w:rPr>
                <w:color w:val="000000"/>
                <w:sz w:val="18"/>
                <w:szCs w:val="18"/>
              </w:rPr>
            </w:pPr>
            <w:r w:rsidRPr="00887108">
              <w:rPr>
                <w:sz w:val="18"/>
                <w:szCs w:val="18"/>
              </w:rPr>
              <w:t>0,1</w:t>
            </w:r>
          </w:p>
        </w:tc>
        <w:tc>
          <w:tcPr>
            <w:tcW w:w="836" w:type="dxa"/>
            <w:tcBorders>
              <w:top w:val="nil"/>
              <w:left w:val="nil"/>
              <w:bottom w:val="nil"/>
              <w:right w:val="nil"/>
            </w:tcBorders>
            <w:shd w:val="clear" w:color="auto" w:fill="auto"/>
            <w:vAlign w:val="center"/>
            <w:hideMark/>
          </w:tcPr>
          <w:p w14:paraId="58C9A42F" w14:textId="77777777" w:rsidR="00D37A31" w:rsidRPr="00887108" w:rsidRDefault="00D37A31" w:rsidP="00E9118E">
            <w:pPr>
              <w:jc w:val="center"/>
              <w:rPr>
                <w:color w:val="000000"/>
                <w:sz w:val="18"/>
                <w:szCs w:val="18"/>
              </w:rPr>
            </w:pPr>
            <w:r w:rsidRPr="00887108">
              <w:rPr>
                <w:sz w:val="18"/>
                <w:szCs w:val="18"/>
              </w:rPr>
              <w:t>0,0</w:t>
            </w:r>
          </w:p>
        </w:tc>
      </w:tr>
      <w:tr w:rsidR="00D37A31" w:rsidRPr="00887108" w14:paraId="55E77647" w14:textId="77777777" w:rsidTr="00E9118E">
        <w:trPr>
          <w:trHeight w:val="283"/>
        </w:trPr>
        <w:tc>
          <w:tcPr>
            <w:tcW w:w="3085" w:type="dxa"/>
            <w:tcBorders>
              <w:top w:val="nil"/>
              <w:left w:val="nil"/>
              <w:bottom w:val="single" w:sz="8" w:space="0" w:color="auto"/>
              <w:right w:val="nil"/>
            </w:tcBorders>
            <w:shd w:val="clear" w:color="auto" w:fill="auto"/>
            <w:noWrap/>
            <w:vAlign w:val="center"/>
            <w:hideMark/>
          </w:tcPr>
          <w:p w14:paraId="599B4D28" w14:textId="77777777" w:rsidR="00D37A31" w:rsidRPr="00887108" w:rsidRDefault="00D37A31" w:rsidP="00E9118E">
            <w:pPr>
              <w:rPr>
                <w:rFonts w:cs="Times New Roman"/>
                <w:color w:val="000000"/>
                <w:sz w:val="18"/>
                <w:szCs w:val="18"/>
              </w:rPr>
            </w:pPr>
            <w:r w:rsidRPr="00887108">
              <w:rPr>
                <w:color w:val="000000"/>
                <w:sz w:val="18"/>
                <w:szCs w:val="18"/>
              </w:rPr>
              <w:t>11. Saldo zahr. obchodu s výrobkami a službami</w:t>
            </w:r>
          </w:p>
        </w:tc>
        <w:tc>
          <w:tcPr>
            <w:tcW w:w="836" w:type="dxa"/>
            <w:tcBorders>
              <w:top w:val="nil"/>
              <w:left w:val="nil"/>
              <w:bottom w:val="single" w:sz="8" w:space="0" w:color="auto"/>
              <w:right w:val="nil"/>
            </w:tcBorders>
            <w:shd w:val="clear" w:color="auto" w:fill="auto"/>
            <w:noWrap/>
            <w:vAlign w:val="center"/>
            <w:hideMark/>
          </w:tcPr>
          <w:p w14:paraId="35EBD81D" w14:textId="77777777" w:rsidR="00D37A31" w:rsidRPr="00887108" w:rsidRDefault="00D37A31" w:rsidP="00E9118E">
            <w:pPr>
              <w:jc w:val="center"/>
              <w:rPr>
                <w:rFonts w:cs="Times New Roman"/>
                <w:color w:val="000000"/>
                <w:sz w:val="18"/>
                <w:szCs w:val="18"/>
              </w:rPr>
            </w:pPr>
            <w:r w:rsidRPr="00887108">
              <w:rPr>
                <w:color w:val="000000"/>
                <w:sz w:val="18"/>
                <w:szCs w:val="18"/>
              </w:rPr>
              <w:t>B.11</w:t>
            </w:r>
          </w:p>
        </w:tc>
        <w:tc>
          <w:tcPr>
            <w:tcW w:w="885" w:type="dxa"/>
            <w:tcBorders>
              <w:top w:val="nil"/>
              <w:left w:val="nil"/>
              <w:bottom w:val="single" w:sz="8" w:space="0" w:color="auto"/>
              <w:right w:val="nil"/>
            </w:tcBorders>
            <w:shd w:val="clear" w:color="auto" w:fill="auto"/>
            <w:noWrap/>
            <w:vAlign w:val="center"/>
            <w:hideMark/>
          </w:tcPr>
          <w:p w14:paraId="33CEAF8C" w14:textId="77777777" w:rsidR="00D37A31" w:rsidRPr="00887108" w:rsidRDefault="00D37A31" w:rsidP="00E9118E">
            <w:pPr>
              <w:jc w:val="center"/>
              <w:rPr>
                <w:rFonts w:cs="Times New Roman"/>
                <w:color w:val="000000"/>
                <w:sz w:val="18"/>
                <w:szCs w:val="18"/>
              </w:rPr>
            </w:pPr>
            <w:r w:rsidRPr="00887108">
              <w:rPr>
                <w:sz w:val="18"/>
                <w:szCs w:val="18"/>
              </w:rPr>
              <w:t>2,4</w:t>
            </w:r>
          </w:p>
        </w:tc>
        <w:tc>
          <w:tcPr>
            <w:tcW w:w="836" w:type="dxa"/>
            <w:tcBorders>
              <w:top w:val="nil"/>
              <w:left w:val="nil"/>
              <w:bottom w:val="single" w:sz="8" w:space="0" w:color="auto"/>
              <w:right w:val="nil"/>
            </w:tcBorders>
            <w:shd w:val="clear" w:color="auto" w:fill="auto"/>
            <w:noWrap/>
            <w:vAlign w:val="center"/>
            <w:hideMark/>
          </w:tcPr>
          <w:p w14:paraId="1B314DA0" w14:textId="77777777" w:rsidR="00D37A31" w:rsidRPr="00887108" w:rsidRDefault="00D37A31" w:rsidP="00E9118E">
            <w:pPr>
              <w:jc w:val="center"/>
              <w:rPr>
                <w:color w:val="000000"/>
                <w:sz w:val="18"/>
                <w:szCs w:val="18"/>
              </w:rPr>
            </w:pPr>
            <w:r w:rsidRPr="00887108">
              <w:rPr>
                <w:sz w:val="18"/>
                <w:szCs w:val="18"/>
              </w:rPr>
              <w:t>-0,7</w:t>
            </w:r>
          </w:p>
        </w:tc>
        <w:tc>
          <w:tcPr>
            <w:tcW w:w="836" w:type="dxa"/>
            <w:tcBorders>
              <w:top w:val="nil"/>
              <w:left w:val="nil"/>
              <w:bottom w:val="single" w:sz="8" w:space="0" w:color="auto"/>
              <w:right w:val="nil"/>
            </w:tcBorders>
            <w:shd w:val="clear" w:color="auto" w:fill="auto"/>
            <w:noWrap/>
            <w:vAlign w:val="center"/>
            <w:hideMark/>
          </w:tcPr>
          <w:p w14:paraId="4D7BBCB4" w14:textId="77777777" w:rsidR="00D37A31" w:rsidRPr="00887108" w:rsidRDefault="00D37A31" w:rsidP="00E9118E">
            <w:pPr>
              <w:jc w:val="center"/>
              <w:rPr>
                <w:color w:val="000000"/>
                <w:sz w:val="18"/>
                <w:szCs w:val="18"/>
              </w:rPr>
            </w:pPr>
            <w:r w:rsidRPr="00887108">
              <w:rPr>
                <w:sz w:val="18"/>
                <w:szCs w:val="18"/>
              </w:rPr>
              <w:t>3,3</w:t>
            </w:r>
          </w:p>
        </w:tc>
        <w:tc>
          <w:tcPr>
            <w:tcW w:w="836" w:type="dxa"/>
            <w:tcBorders>
              <w:top w:val="nil"/>
              <w:left w:val="nil"/>
              <w:bottom w:val="single" w:sz="8" w:space="0" w:color="auto"/>
              <w:right w:val="nil"/>
            </w:tcBorders>
            <w:shd w:val="clear" w:color="auto" w:fill="auto"/>
            <w:noWrap/>
            <w:vAlign w:val="center"/>
            <w:hideMark/>
          </w:tcPr>
          <w:p w14:paraId="1F032D78" w14:textId="77777777" w:rsidR="00D37A31" w:rsidRPr="00887108" w:rsidRDefault="00D37A31" w:rsidP="00E9118E">
            <w:pPr>
              <w:jc w:val="center"/>
              <w:rPr>
                <w:color w:val="000000"/>
                <w:sz w:val="18"/>
                <w:szCs w:val="18"/>
              </w:rPr>
            </w:pPr>
            <w:r w:rsidRPr="00887108">
              <w:rPr>
                <w:sz w:val="18"/>
                <w:szCs w:val="18"/>
              </w:rPr>
              <w:t>0,0</w:t>
            </w:r>
          </w:p>
        </w:tc>
        <w:tc>
          <w:tcPr>
            <w:tcW w:w="836" w:type="dxa"/>
            <w:tcBorders>
              <w:top w:val="nil"/>
              <w:left w:val="nil"/>
              <w:bottom w:val="single" w:sz="8" w:space="0" w:color="auto"/>
              <w:right w:val="nil"/>
            </w:tcBorders>
            <w:shd w:val="clear" w:color="auto" w:fill="auto"/>
            <w:noWrap/>
            <w:vAlign w:val="center"/>
            <w:hideMark/>
          </w:tcPr>
          <w:p w14:paraId="57F41388" w14:textId="77777777" w:rsidR="00D37A31" w:rsidRPr="00887108" w:rsidRDefault="00D37A31" w:rsidP="00E9118E">
            <w:pPr>
              <w:jc w:val="center"/>
              <w:rPr>
                <w:color w:val="000000"/>
                <w:sz w:val="18"/>
                <w:szCs w:val="18"/>
              </w:rPr>
            </w:pPr>
            <w:r w:rsidRPr="00887108">
              <w:rPr>
                <w:sz w:val="18"/>
                <w:szCs w:val="18"/>
              </w:rPr>
              <w:t>0,3</w:t>
            </w:r>
          </w:p>
        </w:tc>
        <w:tc>
          <w:tcPr>
            <w:tcW w:w="836" w:type="dxa"/>
            <w:tcBorders>
              <w:top w:val="nil"/>
              <w:left w:val="nil"/>
              <w:bottom w:val="single" w:sz="8" w:space="0" w:color="auto"/>
              <w:right w:val="nil"/>
            </w:tcBorders>
            <w:shd w:val="clear" w:color="auto" w:fill="auto"/>
            <w:noWrap/>
            <w:vAlign w:val="center"/>
            <w:hideMark/>
          </w:tcPr>
          <w:p w14:paraId="499E386C" w14:textId="77777777" w:rsidR="00D37A31" w:rsidRPr="00887108" w:rsidRDefault="00D37A31" w:rsidP="00E9118E">
            <w:pPr>
              <w:jc w:val="center"/>
              <w:rPr>
                <w:color w:val="000000"/>
                <w:sz w:val="18"/>
                <w:szCs w:val="18"/>
              </w:rPr>
            </w:pPr>
            <w:r w:rsidRPr="00887108">
              <w:rPr>
                <w:sz w:val="18"/>
                <w:szCs w:val="18"/>
              </w:rPr>
              <w:t>-0,1</w:t>
            </w:r>
          </w:p>
        </w:tc>
      </w:tr>
      <w:tr w:rsidR="00D37A31" w:rsidRPr="00887108" w14:paraId="29C3E229" w14:textId="77777777" w:rsidTr="00E9118E">
        <w:trPr>
          <w:trHeight w:val="283"/>
        </w:trPr>
        <w:tc>
          <w:tcPr>
            <w:tcW w:w="3085" w:type="dxa"/>
            <w:tcBorders>
              <w:top w:val="single" w:sz="8" w:space="0" w:color="auto"/>
              <w:left w:val="nil"/>
              <w:bottom w:val="nil"/>
              <w:right w:val="nil"/>
            </w:tcBorders>
            <w:shd w:val="clear" w:color="auto" w:fill="auto"/>
            <w:noWrap/>
            <w:vAlign w:val="bottom"/>
          </w:tcPr>
          <w:p w14:paraId="2BB162FA" w14:textId="77777777" w:rsidR="00D37A31" w:rsidRPr="00887108" w:rsidRDefault="00D37A31" w:rsidP="00E9118E">
            <w:pP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bottom"/>
          </w:tcPr>
          <w:p w14:paraId="4F2EDAD9" w14:textId="77777777" w:rsidR="00D37A31" w:rsidRPr="00887108" w:rsidRDefault="00D37A31" w:rsidP="00E9118E">
            <w:pPr>
              <w:jc w:val="center"/>
              <w:rPr>
                <w:rFonts w:cs="Times New Roman"/>
                <w:color w:val="000000"/>
                <w:sz w:val="18"/>
                <w:szCs w:val="18"/>
              </w:rPr>
            </w:pPr>
          </w:p>
        </w:tc>
        <w:tc>
          <w:tcPr>
            <w:tcW w:w="885" w:type="dxa"/>
            <w:tcBorders>
              <w:top w:val="single" w:sz="8" w:space="0" w:color="auto"/>
              <w:left w:val="nil"/>
              <w:bottom w:val="nil"/>
              <w:right w:val="nil"/>
            </w:tcBorders>
            <w:shd w:val="clear" w:color="auto" w:fill="auto"/>
            <w:noWrap/>
            <w:vAlign w:val="bottom"/>
          </w:tcPr>
          <w:p w14:paraId="538EA25A" w14:textId="77777777" w:rsidR="00D37A31" w:rsidRPr="00887108" w:rsidRDefault="00D37A31" w:rsidP="00E9118E">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21F749A3" w14:textId="77777777" w:rsidR="00D37A31" w:rsidRPr="00887108" w:rsidRDefault="00D37A31" w:rsidP="00E9118E">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26D0BE1E" w14:textId="77777777" w:rsidR="00D37A31" w:rsidRPr="00887108" w:rsidRDefault="00D37A31" w:rsidP="00E9118E">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311A5ED0" w14:textId="77777777" w:rsidR="00D37A31" w:rsidRPr="00887108" w:rsidRDefault="00D37A31" w:rsidP="00E9118E">
            <w:pPr>
              <w:jc w:val="center"/>
              <w:rPr>
                <w:rFonts w:cs="Times New Roman"/>
                <w:color w:val="000000"/>
                <w:sz w:val="18"/>
                <w:szCs w:val="18"/>
              </w:rPr>
            </w:pPr>
          </w:p>
        </w:tc>
        <w:tc>
          <w:tcPr>
            <w:tcW w:w="1672" w:type="dxa"/>
            <w:gridSpan w:val="2"/>
            <w:tcBorders>
              <w:top w:val="single" w:sz="8" w:space="0" w:color="auto"/>
              <w:left w:val="nil"/>
              <w:bottom w:val="nil"/>
              <w:right w:val="nil"/>
            </w:tcBorders>
            <w:shd w:val="clear" w:color="auto" w:fill="auto"/>
            <w:noWrap/>
            <w:vAlign w:val="center"/>
          </w:tcPr>
          <w:p w14:paraId="5BB42A34" w14:textId="77777777" w:rsidR="00D37A31" w:rsidRPr="00887108" w:rsidRDefault="00D37A31" w:rsidP="00E9118E">
            <w:pPr>
              <w:jc w:val="right"/>
              <w:rPr>
                <w:rFonts w:cs="Times New Roman"/>
                <w:color w:val="000000"/>
                <w:sz w:val="18"/>
                <w:szCs w:val="18"/>
              </w:rPr>
            </w:pPr>
            <w:r w:rsidRPr="00887108">
              <w:rPr>
                <w:rFonts w:cs="Times New Roman"/>
                <w:i/>
                <w:iCs/>
                <w:color w:val="000000"/>
                <w:sz w:val="18"/>
                <w:szCs w:val="18"/>
              </w:rPr>
              <w:t>Zdroj: MF SR</w:t>
            </w:r>
          </w:p>
        </w:tc>
      </w:tr>
    </w:tbl>
    <w:p w14:paraId="5AC80D7E" w14:textId="77777777" w:rsidR="00D37A31" w:rsidRPr="00887108" w:rsidRDefault="00D37A31" w:rsidP="00D37A31">
      <w:pPr>
        <w:jc w:val="both"/>
        <w:rPr>
          <w:rFonts w:cs="Times New Roman"/>
          <w:i/>
          <w:color w:val="000000"/>
          <w:sz w:val="16"/>
          <w:szCs w:val="16"/>
        </w:rPr>
      </w:pPr>
      <w:r w:rsidRPr="00887108">
        <w:rPr>
          <w:rFonts w:cs="Times New Roman"/>
          <w:i/>
          <w:color w:val="000000"/>
          <w:sz w:val="16"/>
          <w:szCs w:val="16"/>
        </w:rPr>
        <w:t>* Prognóza konečnej spotreby verejnej správy vychádza z aprílovej makroekonomickej prognózy MFSR.</w:t>
      </w:r>
    </w:p>
    <w:p w14:paraId="47BA895E" w14:textId="77777777" w:rsidR="00D37A31" w:rsidRPr="00887108" w:rsidRDefault="00D37A31" w:rsidP="00D37A31">
      <w:pPr>
        <w:rPr>
          <w:highlight w:val="yellow"/>
        </w:rPr>
      </w:pPr>
    </w:p>
    <w:tbl>
      <w:tblPr>
        <w:tblW w:w="9132" w:type="dxa"/>
        <w:tblCellMar>
          <w:left w:w="70" w:type="dxa"/>
          <w:right w:w="70" w:type="dxa"/>
        </w:tblCellMar>
        <w:tblLook w:val="04A0" w:firstRow="1" w:lastRow="0" w:firstColumn="1" w:lastColumn="0" w:noHBand="0" w:noVBand="1"/>
      </w:tblPr>
      <w:tblGrid>
        <w:gridCol w:w="2494"/>
        <w:gridCol w:w="921"/>
        <w:gridCol w:w="104"/>
        <w:gridCol w:w="817"/>
        <w:gridCol w:w="455"/>
        <w:gridCol w:w="471"/>
        <w:gridCol w:w="322"/>
        <w:gridCol w:w="603"/>
        <w:gridCol w:w="144"/>
        <w:gridCol w:w="777"/>
        <w:gridCol w:w="43"/>
        <w:gridCol w:w="684"/>
        <w:gridCol w:w="194"/>
        <w:gridCol w:w="465"/>
        <w:gridCol w:w="458"/>
        <w:gridCol w:w="180"/>
      </w:tblGrid>
      <w:tr w:rsidR="00D37A31" w:rsidRPr="00887108" w14:paraId="33A598DC" w14:textId="77777777" w:rsidTr="00E9118E">
        <w:trPr>
          <w:gridAfter w:val="1"/>
          <w:wAfter w:w="180" w:type="dxa"/>
          <w:trHeight w:val="283"/>
        </w:trPr>
        <w:tc>
          <w:tcPr>
            <w:tcW w:w="8952" w:type="dxa"/>
            <w:gridSpan w:val="15"/>
            <w:tcBorders>
              <w:top w:val="nil"/>
              <w:left w:val="nil"/>
              <w:bottom w:val="single" w:sz="4" w:space="0" w:color="auto"/>
              <w:right w:val="nil"/>
            </w:tcBorders>
            <w:shd w:val="clear" w:color="auto" w:fill="auto"/>
            <w:noWrap/>
            <w:vAlign w:val="center"/>
            <w:hideMark/>
          </w:tcPr>
          <w:p w14:paraId="5A34B8E2" w14:textId="77777777" w:rsidR="00D37A31" w:rsidRPr="00887108" w:rsidRDefault="00D37A31" w:rsidP="00E9118E">
            <w:pPr>
              <w:rPr>
                <w:rFonts w:eastAsiaTheme="minorHAnsi"/>
                <w:b/>
                <w:color w:val="2C9ADC"/>
                <w:sz w:val="20"/>
                <w:lang w:eastAsia="en-US"/>
              </w:rPr>
            </w:pPr>
            <w:bookmarkStart w:id="159" w:name="_Toc480905411"/>
            <w:bookmarkStart w:id="160" w:name="_Toc40186689"/>
            <w:r w:rsidRPr="00887108">
              <w:rPr>
                <w:rFonts w:eastAsiaTheme="minorHAnsi"/>
                <w:b/>
                <w:color w:val="2C9ADC"/>
                <w:sz w:val="20"/>
                <w:lang w:eastAsia="en-US"/>
              </w:rPr>
              <w:t xml:space="preserve">TABUĽKA </w:t>
            </w:r>
            <w:r w:rsidRPr="00887108">
              <w:rPr>
                <w:rFonts w:eastAsiaTheme="minorHAnsi"/>
                <w:b/>
                <w:color w:val="2C9ADC"/>
                <w:sz w:val="20"/>
                <w:lang w:eastAsia="en-US"/>
              </w:rPr>
              <w:fldChar w:fldCharType="begin"/>
            </w:r>
            <w:r w:rsidRPr="00887108">
              <w:rPr>
                <w:rFonts w:eastAsiaTheme="minorHAnsi"/>
                <w:b/>
                <w:color w:val="2C9ADC"/>
                <w:sz w:val="20"/>
                <w:lang w:eastAsia="en-US"/>
              </w:rPr>
              <w:instrText xml:space="preserve"> SEQ TABUĽKA \* ARABIC </w:instrText>
            </w:r>
            <w:r w:rsidRPr="00887108">
              <w:rPr>
                <w:rFonts w:eastAsiaTheme="minorHAnsi"/>
                <w:b/>
                <w:color w:val="2C9ADC"/>
                <w:sz w:val="20"/>
                <w:lang w:eastAsia="en-US"/>
              </w:rPr>
              <w:fldChar w:fldCharType="separate"/>
            </w:r>
            <w:r w:rsidR="00D47A36">
              <w:rPr>
                <w:rFonts w:eastAsiaTheme="minorHAnsi"/>
                <w:b/>
                <w:noProof/>
                <w:color w:val="2C9ADC"/>
                <w:sz w:val="20"/>
                <w:lang w:eastAsia="en-US"/>
              </w:rPr>
              <w:t>12</w:t>
            </w:r>
            <w:r w:rsidRPr="00887108">
              <w:rPr>
                <w:rFonts w:eastAsiaTheme="minorHAnsi"/>
                <w:b/>
                <w:color w:val="2C9ADC"/>
                <w:sz w:val="20"/>
                <w:lang w:eastAsia="en-US"/>
              </w:rPr>
              <w:fldChar w:fldCharType="end"/>
            </w:r>
            <w:r w:rsidRPr="00887108">
              <w:rPr>
                <w:rFonts w:eastAsiaTheme="minorHAnsi"/>
                <w:b/>
                <w:color w:val="2C9ADC"/>
                <w:sz w:val="20"/>
                <w:lang w:eastAsia="en-US"/>
              </w:rPr>
              <w:t xml:space="preserve"> (Tabuľka 1b) - Cenový vývoj (ESA 2010)</w:t>
            </w:r>
            <w:bookmarkEnd w:id="159"/>
            <w:bookmarkEnd w:id="160"/>
            <w:r w:rsidRPr="00887108">
              <w:rPr>
                <w:rFonts w:eastAsiaTheme="minorHAnsi"/>
                <w:b/>
                <w:color w:val="2C9ADC"/>
                <w:sz w:val="20"/>
                <w:lang w:eastAsia="en-US"/>
              </w:rPr>
              <w:t xml:space="preserve"> </w:t>
            </w:r>
          </w:p>
        </w:tc>
      </w:tr>
      <w:tr w:rsidR="00D37A31" w:rsidRPr="00887108" w14:paraId="62606EB9" w14:textId="77777777" w:rsidTr="00E9118E">
        <w:trPr>
          <w:gridAfter w:val="1"/>
          <w:wAfter w:w="180" w:type="dxa"/>
          <w:trHeight w:val="283"/>
        </w:trPr>
        <w:tc>
          <w:tcPr>
            <w:tcW w:w="2494" w:type="dxa"/>
            <w:vMerge w:val="restart"/>
            <w:tcBorders>
              <w:top w:val="single" w:sz="4" w:space="0" w:color="auto"/>
              <w:left w:val="nil"/>
              <w:bottom w:val="single" w:sz="6" w:space="0" w:color="auto"/>
              <w:right w:val="nil"/>
            </w:tcBorders>
            <w:shd w:val="clear" w:color="auto" w:fill="auto"/>
            <w:vAlign w:val="bottom"/>
            <w:hideMark/>
          </w:tcPr>
          <w:p w14:paraId="72E5F2D4" w14:textId="77777777" w:rsidR="00D37A31" w:rsidRPr="00887108" w:rsidRDefault="00D37A31" w:rsidP="00E9118E">
            <w:pPr>
              <w:rPr>
                <w:rFonts w:cs="Times New Roman"/>
                <w:color w:val="000000"/>
                <w:sz w:val="18"/>
                <w:szCs w:val="18"/>
              </w:rPr>
            </w:pPr>
            <w:r w:rsidRPr="00887108">
              <w:rPr>
                <w:rFonts w:cs="Times New Roman"/>
                <w:color w:val="000000"/>
                <w:sz w:val="18"/>
                <w:szCs w:val="18"/>
              </w:rPr>
              <w:t> </w:t>
            </w:r>
          </w:p>
        </w:tc>
        <w:tc>
          <w:tcPr>
            <w:tcW w:w="921" w:type="dxa"/>
            <w:vMerge w:val="restart"/>
            <w:tcBorders>
              <w:top w:val="single" w:sz="4" w:space="0" w:color="auto"/>
              <w:left w:val="nil"/>
              <w:bottom w:val="single" w:sz="6" w:space="0" w:color="auto"/>
              <w:right w:val="nil"/>
            </w:tcBorders>
            <w:shd w:val="clear" w:color="auto" w:fill="auto"/>
            <w:vAlign w:val="center"/>
            <w:hideMark/>
          </w:tcPr>
          <w:p w14:paraId="7AA1B715"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ESA kód</w:t>
            </w:r>
          </w:p>
        </w:tc>
        <w:tc>
          <w:tcPr>
            <w:tcW w:w="921" w:type="dxa"/>
            <w:gridSpan w:val="2"/>
            <w:tcBorders>
              <w:top w:val="single" w:sz="4" w:space="0" w:color="auto"/>
              <w:left w:val="nil"/>
              <w:bottom w:val="nil"/>
              <w:right w:val="nil"/>
            </w:tcBorders>
            <w:shd w:val="clear" w:color="auto" w:fill="auto"/>
            <w:vAlign w:val="center"/>
            <w:hideMark/>
          </w:tcPr>
          <w:p w14:paraId="28F99B70" w14:textId="77777777" w:rsidR="00D37A31" w:rsidRPr="00887108" w:rsidRDefault="00D37A31" w:rsidP="00E9118E">
            <w:pPr>
              <w:jc w:val="center"/>
              <w:rPr>
                <w:rFonts w:cs="Times New Roman"/>
                <w:b/>
                <w:bCs/>
                <w:color w:val="000000"/>
                <w:sz w:val="18"/>
                <w:szCs w:val="18"/>
              </w:rPr>
            </w:pPr>
            <w:r w:rsidRPr="00887108">
              <w:rPr>
                <w:b/>
                <w:bCs/>
                <w:color w:val="000000"/>
                <w:sz w:val="18"/>
                <w:szCs w:val="18"/>
              </w:rPr>
              <w:t>2019</w:t>
            </w:r>
          </w:p>
        </w:tc>
        <w:tc>
          <w:tcPr>
            <w:tcW w:w="926" w:type="dxa"/>
            <w:gridSpan w:val="2"/>
            <w:tcBorders>
              <w:top w:val="single" w:sz="4" w:space="0" w:color="auto"/>
              <w:left w:val="nil"/>
              <w:bottom w:val="nil"/>
              <w:right w:val="nil"/>
            </w:tcBorders>
            <w:shd w:val="clear" w:color="auto" w:fill="auto"/>
            <w:vAlign w:val="center"/>
            <w:hideMark/>
          </w:tcPr>
          <w:p w14:paraId="0ACCE671" w14:textId="77777777" w:rsidR="00D37A31" w:rsidRPr="00887108" w:rsidRDefault="00D37A31" w:rsidP="00E9118E">
            <w:pPr>
              <w:jc w:val="center"/>
              <w:rPr>
                <w:b/>
                <w:bCs/>
                <w:color w:val="000000"/>
                <w:sz w:val="18"/>
                <w:szCs w:val="18"/>
              </w:rPr>
            </w:pPr>
            <w:r w:rsidRPr="00887108">
              <w:rPr>
                <w:b/>
                <w:bCs/>
                <w:color w:val="000000"/>
                <w:sz w:val="18"/>
                <w:szCs w:val="18"/>
              </w:rPr>
              <w:t>2019</w:t>
            </w:r>
          </w:p>
        </w:tc>
        <w:tc>
          <w:tcPr>
            <w:tcW w:w="925" w:type="dxa"/>
            <w:gridSpan w:val="2"/>
            <w:tcBorders>
              <w:top w:val="single" w:sz="4" w:space="0" w:color="auto"/>
              <w:left w:val="nil"/>
              <w:bottom w:val="nil"/>
              <w:right w:val="nil"/>
            </w:tcBorders>
            <w:shd w:val="clear" w:color="auto" w:fill="auto"/>
            <w:vAlign w:val="center"/>
            <w:hideMark/>
          </w:tcPr>
          <w:p w14:paraId="71B12CDA" w14:textId="77777777" w:rsidR="00D37A31" w:rsidRPr="00887108" w:rsidRDefault="00D37A31" w:rsidP="00E9118E">
            <w:pPr>
              <w:jc w:val="center"/>
              <w:rPr>
                <w:b/>
                <w:bCs/>
                <w:color w:val="000000"/>
                <w:sz w:val="18"/>
                <w:szCs w:val="18"/>
              </w:rPr>
            </w:pPr>
            <w:r w:rsidRPr="00887108">
              <w:rPr>
                <w:b/>
                <w:bCs/>
                <w:color w:val="000000"/>
                <w:sz w:val="18"/>
                <w:szCs w:val="18"/>
              </w:rPr>
              <w:t>2020</w:t>
            </w:r>
          </w:p>
        </w:tc>
        <w:tc>
          <w:tcPr>
            <w:tcW w:w="921" w:type="dxa"/>
            <w:gridSpan w:val="2"/>
            <w:tcBorders>
              <w:top w:val="single" w:sz="4" w:space="0" w:color="auto"/>
              <w:left w:val="nil"/>
              <w:bottom w:val="nil"/>
              <w:right w:val="nil"/>
            </w:tcBorders>
            <w:shd w:val="clear" w:color="auto" w:fill="auto"/>
            <w:vAlign w:val="center"/>
            <w:hideMark/>
          </w:tcPr>
          <w:p w14:paraId="3512A30E" w14:textId="77777777" w:rsidR="00D37A31" w:rsidRPr="00887108" w:rsidRDefault="00D37A31" w:rsidP="00E9118E">
            <w:pPr>
              <w:jc w:val="center"/>
              <w:rPr>
                <w:b/>
                <w:bCs/>
                <w:color w:val="000000"/>
                <w:sz w:val="18"/>
                <w:szCs w:val="18"/>
              </w:rPr>
            </w:pPr>
            <w:r w:rsidRPr="00887108">
              <w:rPr>
                <w:b/>
                <w:bCs/>
                <w:color w:val="000000"/>
                <w:sz w:val="18"/>
                <w:szCs w:val="18"/>
              </w:rPr>
              <w:t>2021</w:t>
            </w:r>
          </w:p>
        </w:tc>
        <w:tc>
          <w:tcPr>
            <w:tcW w:w="921" w:type="dxa"/>
            <w:gridSpan w:val="3"/>
            <w:tcBorders>
              <w:top w:val="single" w:sz="4" w:space="0" w:color="auto"/>
              <w:left w:val="nil"/>
              <w:bottom w:val="nil"/>
              <w:right w:val="nil"/>
            </w:tcBorders>
            <w:shd w:val="clear" w:color="auto" w:fill="auto"/>
            <w:vAlign w:val="center"/>
            <w:hideMark/>
          </w:tcPr>
          <w:p w14:paraId="27060D4E" w14:textId="77777777" w:rsidR="00D37A31" w:rsidRPr="00887108" w:rsidRDefault="00D37A31" w:rsidP="00E9118E">
            <w:pPr>
              <w:jc w:val="center"/>
              <w:rPr>
                <w:b/>
                <w:bCs/>
                <w:color w:val="000000"/>
                <w:sz w:val="18"/>
                <w:szCs w:val="18"/>
              </w:rPr>
            </w:pPr>
            <w:r w:rsidRPr="00887108">
              <w:rPr>
                <w:b/>
                <w:bCs/>
                <w:color w:val="000000"/>
                <w:sz w:val="18"/>
                <w:szCs w:val="18"/>
              </w:rPr>
              <w:t>2022</w:t>
            </w:r>
          </w:p>
        </w:tc>
        <w:tc>
          <w:tcPr>
            <w:tcW w:w="923" w:type="dxa"/>
            <w:gridSpan w:val="2"/>
            <w:tcBorders>
              <w:top w:val="single" w:sz="4" w:space="0" w:color="auto"/>
              <w:left w:val="nil"/>
              <w:bottom w:val="nil"/>
              <w:right w:val="nil"/>
            </w:tcBorders>
            <w:shd w:val="clear" w:color="auto" w:fill="auto"/>
            <w:vAlign w:val="center"/>
            <w:hideMark/>
          </w:tcPr>
          <w:p w14:paraId="2E392C2C" w14:textId="77777777" w:rsidR="00D37A31" w:rsidRPr="00887108" w:rsidRDefault="00D37A31" w:rsidP="00E9118E">
            <w:pPr>
              <w:jc w:val="center"/>
              <w:rPr>
                <w:b/>
                <w:bCs/>
                <w:color w:val="000000"/>
                <w:sz w:val="18"/>
                <w:szCs w:val="18"/>
              </w:rPr>
            </w:pPr>
            <w:r w:rsidRPr="00887108">
              <w:rPr>
                <w:b/>
                <w:bCs/>
                <w:color w:val="000000"/>
                <w:sz w:val="18"/>
                <w:szCs w:val="18"/>
              </w:rPr>
              <w:t>2023</w:t>
            </w:r>
          </w:p>
        </w:tc>
      </w:tr>
      <w:tr w:rsidR="00D37A31" w:rsidRPr="00887108" w14:paraId="3EA072D0" w14:textId="77777777" w:rsidTr="00E9118E">
        <w:trPr>
          <w:gridAfter w:val="1"/>
          <w:wAfter w:w="180" w:type="dxa"/>
          <w:trHeight w:val="283"/>
        </w:trPr>
        <w:tc>
          <w:tcPr>
            <w:tcW w:w="2494" w:type="dxa"/>
            <w:vMerge/>
            <w:tcBorders>
              <w:top w:val="single" w:sz="8" w:space="0" w:color="000000"/>
              <w:left w:val="nil"/>
              <w:bottom w:val="single" w:sz="6" w:space="0" w:color="auto"/>
              <w:right w:val="nil"/>
            </w:tcBorders>
            <w:vAlign w:val="center"/>
            <w:hideMark/>
          </w:tcPr>
          <w:p w14:paraId="288487C6" w14:textId="77777777" w:rsidR="00D37A31" w:rsidRPr="00887108" w:rsidRDefault="00D37A31" w:rsidP="00E9118E">
            <w:pPr>
              <w:rPr>
                <w:rFonts w:cs="Times New Roman"/>
                <w:color w:val="000000"/>
                <w:sz w:val="18"/>
                <w:szCs w:val="18"/>
              </w:rPr>
            </w:pPr>
          </w:p>
        </w:tc>
        <w:tc>
          <w:tcPr>
            <w:tcW w:w="921" w:type="dxa"/>
            <w:vMerge/>
            <w:tcBorders>
              <w:top w:val="single" w:sz="8" w:space="0" w:color="000000"/>
              <w:left w:val="nil"/>
              <w:bottom w:val="single" w:sz="6" w:space="0" w:color="auto"/>
              <w:right w:val="nil"/>
            </w:tcBorders>
            <w:vAlign w:val="center"/>
            <w:hideMark/>
          </w:tcPr>
          <w:p w14:paraId="7F59853A" w14:textId="77777777" w:rsidR="00D37A31" w:rsidRPr="00887108" w:rsidRDefault="00D37A31" w:rsidP="00E9118E">
            <w:pPr>
              <w:rPr>
                <w:rFonts w:cs="Times New Roman"/>
                <w:color w:val="000000"/>
                <w:sz w:val="18"/>
                <w:szCs w:val="18"/>
              </w:rPr>
            </w:pPr>
          </w:p>
        </w:tc>
        <w:tc>
          <w:tcPr>
            <w:tcW w:w="921" w:type="dxa"/>
            <w:gridSpan w:val="2"/>
            <w:tcBorders>
              <w:top w:val="nil"/>
              <w:left w:val="nil"/>
              <w:bottom w:val="single" w:sz="6" w:space="0" w:color="auto"/>
              <w:right w:val="nil"/>
            </w:tcBorders>
            <w:shd w:val="clear" w:color="auto" w:fill="auto"/>
            <w:noWrap/>
            <w:vAlign w:val="bottom"/>
            <w:hideMark/>
          </w:tcPr>
          <w:p w14:paraId="2858FB28" w14:textId="77777777" w:rsidR="00D37A31" w:rsidRPr="00887108" w:rsidRDefault="00D37A31" w:rsidP="00E9118E">
            <w:pPr>
              <w:jc w:val="center"/>
              <w:rPr>
                <w:color w:val="000000"/>
                <w:sz w:val="18"/>
                <w:szCs w:val="18"/>
              </w:rPr>
            </w:pPr>
            <w:r w:rsidRPr="00887108">
              <w:rPr>
                <w:color w:val="000000"/>
                <w:sz w:val="18"/>
                <w:szCs w:val="18"/>
              </w:rPr>
              <w:t>Skutočnosť</w:t>
            </w:r>
          </w:p>
        </w:tc>
        <w:tc>
          <w:tcPr>
            <w:tcW w:w="926" w:type="dxa"/>
            <w:gridSpan w:val="2"/>
            <w:tcBorders>
              <w:top w:val="nil"/>
              <w:left w:val="nil"/>
              <w:bottom w:val="single" w:sz="6" w:space="0" w:color="auto"/>
              <w:right w:val="nil"/>
            </w:tcBorders>
            <w:shd w:val="clear" w:color="auto" w:fill="auto"/>
            <w:vAlign w:val="bottom"/>
            <w:hideMark/>
          </w:tcPr>
          <w:p w14:paraId="78A7F562" w14:textId="77777777" w:rsidR="00D37A31" w:rsidRPr="00887108" w:rsidRDefault="00D37A31" w:rsidP="00E9118E">
            <w:pPr>
              <w:jc w:val="center"/>
              <w:rPr>
                <w:color w:val="000000"/>
                <w:sz w:val="18"/>
                <w:szCs w:val="18"/>
              </w:rPr>
            </w:pPr>
            <w:r w:rsidRPr="00887108">
              <w:rPr>
                <w:color w:val="000000"/>
                <w:sz w:val="18"/>
                <w:szCs w:val="18"/>
              </w:rPr>
              <w:t>miera rastu</w:t>
            </w:r>
          </w:p>
        </w:tc>
        <w:tc>
          <w:tcPr>
            <w:tcW w:w="925" w:type="dxa"/>
            <w:gridSpan w:val="2"/>
            <w:tcBorders>
              <w:top w:val="nil"/>
              <w:left w:val="nil"/>
              <w:bottom w:val="single" w:sz="6" w:space="0" w:color="auto"/>
              <w:right w:val="nil"/>
            </w:tcBorders>
            <w:shd w:val="clear" w:color="auto" w:fill="auto"/>
            <w:vAlign w:val="bottom"/>
            <w:hideMark/>
          </w:tcPr>
          <w:p w14:paraId="5E7DB838" w14:textId="77777777" w:rsidR="00D37A31" w:rsidRPr="00887108" w:rsidRDefault="00D37A31" w:rsidP="00E9118E">
            <w:pPr>
              <w:jc w:val="center"/>
              <w:rPr>
                <w:color w:val="000000"/>
                <w:sz w:val="18"/>
                <w:szCs w:val="18"/>
              </w:rPr>
            </w:pPr>
            <w:r w:rsidRPr="00887108">
              <w:rPr>
                <w:color w:val="000000"/>
                <w:sz w:val="18"/>
                <w:szCs w:val="18"/>
              </w:rPr>
              <w:t>miera rastu</w:t>
            </w:r>
          </w:p>
        </w:tc>
        <w:tc>
          <w:tcPr>
            <w:tcW w:w="921" w:type="dxa"/>
            <w:gridSpan w:val="2"/>
            <w:tcBorders>
              <w:top w:val="nil"/>
              <w:left w:val="nil"/>
              <w:bottom w:val="single" w:sz="6" w:space="0" w:color="auto"/>
              <w:right w:val="nil"/>
            </w:tcBorders>
            <w:shd w:val="clear" w:color="auto" w:fill="auto"/>
            <w:vAlign w:val="bottom"/>
            <w:hideMark/>
          </w:tcPr>
          <w:p w14:paraId="181133DB" w14:textId="77777777" w:rsidR="00D37A31" w:rsidRPr="00887108" w:rsidRDefault="00D37A31" w:rsidP="00E9118E">
            <w:pPr>
              <w:jc w:val="center"/>
              <w:rPr>
                <w:color w:val="000000"/>
                <w:sz w:val="18"/>
                <w:szCs w:val="18"/>
              </w:rPr>
            </w:pPr>
            <w:r w:rsidRPr="00887108">
              <w:rPr>
                <w:color w:val="000000"/>
                <w:sz w:val="18"/>
                <w:szCs w:val="18"/>
              </w:rPr>
              <w:t>miera rastu</w:t>
            </w:r>
          </w:p>
        </w:tc>
        <w:tc>
          <w:tcPr>
            <w:tcW w:w="921" w:type="dxa"/>
            <w:gridSpan w:val="3"/>
            <w:tcBorders>
              <w:top w:val="nil"/>
              <w:left w:val="nil"/>
              <w:bottom w:val="single" w:sz="6" w:space="0" w:color="auto"/>
              <w:right w:val="nil"/>
            </w:tcBorders>
            <w:shd w:val="clear" w:color="auto" w:fill="auto"/>
            <w:vAlign w:val="bottom"/>
            <w:hideMark/>
          </w:tcPr>
          <w:p w14:paraId="66FF2788" w14:textId="77777777" w:rsidR="00D37A31" w:rsidRPr="00887108" w:rsidRDefault="00D37A31" w:rsidP="00E9118E">
            <w:pPr>
              <w:jc w:val="center"/>
              <w:rPr>
                <w:color w:val="000000"/>
                <w:sz w:val="18"/>
                <w:szCs w:val="18"/>
              </w:rPr>
            </w:pPr>
            <w:r w:rsidRPr="00887108">
              <w:rPr>
                <w:color w:val="000000"/>
                <w:sz w:val="18"/>
                <w:szCs w:val="18"/>
              </w:rPr>
              <w:t>miera rastu</w:t>
            </w:r>
          </w:p>
        </w:tc>
        <w:tc>
          <w:tcPr>
            <w:tcW w:w="923" w:type="dxa"/>
            <w:gridSpan w:val="2"/>
            <w:tcBorders>
              <w:top w:val="nil"/>
              <w:left w:val="nil"/>
              <w:bottom w:val="single" w:sz="6" w:space="0" w:color="auto"/>
              <w:right w:val="nil"/>
            </w:tcBorders>
            <w:shd w:val="clear" w:color="auto" w:fill="auto"/>
            <w:vAlign w:val="bottom"/>
            <w:hideMark/>
          </w:tcPr>
          <w:p w14:paraId="659C777A" w14:textId="77777777" w:rsidR="00D37A31" w:rsidRPr="00887108" w:rsidRDefault="00D37A31" w:rsidP="00E9118E">
            <w:pPr>
              <w:jc w:val="center"/>
              <w:rPr>
                <w:color w:val="000000"/>
                <w:sz w:val="18"/>
                <w:szCs w:val="18"/>
              </w:rPr>
            </w:pPr>
            <w:r w:rsidRPr="00887108">
              <w:rPr>
                <w:color w:val="000000"/>
                <w:sz w:val="18"/>
                <w:szCs w:val="18"/>
              </w:rPr>
              <w:t>miera rastu</w:t>
            </w:r>
          </w:p>
        </w:tc>
      </w:tr>
      <w:tr w:rsidR="00D37A31" w:rsidRPr="00887108" w14:paraId="7560FF16" w14:textId="77777777" w:rsidTr="00E9118E">
        <w:trPr>
          <w:gridAfter w:val="1"/>
          <w:wAfter w:w="180" w:type="dxa"/>
          <w:trHeight w:val="283"/>
        </w:trPr>
        <w:tc>
          <w:tcPr>
            <w:tcW w:w="2494" w:type="dxa"/>
            <w:tcBorders>
              <w:top w:val="single" w:sz="6" w:space="0" w:color="auto"/>
              <w:left w:val="nil"/>
              <w:bottom w:val="nil"/>
              <w:right w:val="nil"/>
            </w:tcBorders>
            <w:shd w:val="clear" w:color="auto" w:fill="auto"/>
            <w:vAlign w:val="center"/>
            <w:hideMark/>
          </w:tcPr>
          <w:p w14:paraId="2C617A31" w14:textId="77777777" w:rsidR="00D37A31" w:rsidRPr="00887108" w:rsidRDefault="00D37A31" w:rsidP="00E9118E">
            <w:pPr>
              <w:rPr>
                <w:rFonts w:cs="Times New Roman"/>
                <w:color w:val="000000"/>
                <w:sz w:val="18"/>
                <w:szCs w:val="18"/>
              </w:rPr>
            </w:pPr>
            <w:r w:rsidRPr="00887108">
              <w:rPr>
                <w:rFonts w:cs="Times New Roman"/>
                <w:color w:val="000000"/>
                <w:sz w:val="18"/>
                <w:szCs w:val="18"/>
              </w:rPr>
              <w:t>1. Deflátor HDP</w:t>
            </w:r>
          </w:p>
        </w:tc>
        <w:tc>
          <w:tcPr>
            <w:tcW w:w="921" w:type="dxa"/>
            <w:tcBorders>
              <w:top w:val="single" w:sz="6" w:space="0" w:color="auto"/>
              <w:left w:val="nil"/>
              <w:bottom w:val="nil"/>
              <w:right w:val="nil"/>
            </w:tcBorders>
            <w:shd w:val="clear" w:color="auto" w:fill="auto"/>
            <w:vAlign w:val="bottom"/>
            <w:hideMark/>
          </w:tcPr>
          <w:p w14:paraId="32998178" w14:textId="77777777" w:rsidR="00D37A31" w:rsidRPr="00887108" w:rsidRDefault="00D37A31" w:rsidP="00E9118E">
            <w:pPr>
              <w:rPr>
                <w:rFonts w:cs="Times New Roman"/>
                <w:color w:val="000000"/>
                <w:sz w:val="18"/>
                <w:szCs w:val="18"/>
              </w:rPr>
            </w:pPr>
          </w:p>
        </w:tc>
        <w:tc>
          <w:tcPr>
            <w:tcW w:w="921" w:type="dxa"/>
            <w:gridSpan w:val="2"/>
            <w:tcBorders>
              <w:top w:val="nil"/>
              <w:left w:val="nil"/>
              <w:bottom w:val="nil"/>
              <w:right w:val="nil"/>
            </w:tcBorders>
            <w:shd w:val="clear" w:color="auto" w:fill="auto"/>
            <w:hideMark/>
          </w:tcPr>
          <w:p w14:paraId="4608A000" w14:textId="77777777" w:rsidR="00D37A31" w:rsidRPr="00887108" w:rsidRDefault="00D37A31" w:rsidP="00E9118E">
            <w:pPr>
              <w:jc w:val="center"/>
              <w:rPr>
                <w:color w:val="000000"/>
                <w:sz w:val="18"/>
                <w:szCs w:val="18"/>
              </w:rPr>
            </w:pPr>
            <w:r w:rsidRPr="00887108">
              <w:rPr>
                <w:sz w:val="18"/>
                <w:szCs w:val="18"/>
              </w:rPr>
              <w:t>1,1</w:t>
            </w:r>
          </w:p>
        </w:tc>
        <w:tc>
          <w:tcPr>
            <w:tcW w:w="926" w:type="dxa"/>
            <w:gridSpan w:val="2"/>
            <w:tcBorders>
              <w:top w:val="nil"/>
              <w:left w:val="nil"/>
              <w:bottom w:val="nil"/>
              <w:right w:val="nil"/>
            </w:tcBorders>
            <w:shd w:val="clear" w:color="auto" w:fill="auto"/>
            <w:noWrap/>
            <w:hideMark/>
          </w:tcPr>
          <w:p w14:paraId="53EEFDCF" w14:textId="77777777" w:rsidR="00D37A31" w:rsidRPr="00887108" w:rsidRDefault="00D37A31" w:rsidP="00E9118E">
            <w:pPr>
              <w:jc w:val="center"/>
              <w:rPr>
                <w:color w:val="000000"/>
                <w:sz w:val="18"/>
                <w:szCs w:val="18"/>
              </w:rPr>
            </w:pPr>
            <w:r w:rsidRPr="00887108">
              <w:rPr>
                <w:sz w:val="18"/>
                <w:szCs w:val="18"/>
              </w:rPr>
              <w:t>2,6</w:t>
            </w:r>
          </w:p>
        </w:tc>
        <w:tc>
          <w:tcPr>
            <w:tcW w:w="925" w:type="dxa"/>
            <w:gridSpan w:val="2"/>
            <w:tcBorders>
              <w:top w:val="nil"/>
              <w:left w:val="nil"/>
              <w:bottom w:val="nil"/>
              <w:right w:val="nil"/>
            </w:tcBorders>
            <w:shd w:val="clear" w:color="auto" w:fill="auto"/>
            <w:noWrap/>
            <w:hideMark/>
          </w:tcPr>
          <w:p w14:paraId="128BD7ED" w14:textId="77777777" w:rsidR="00D37A31" w:rsidRPr="00887108" w:rsidRDefault="00D37A31" w:rsidP="00E9118E">
            <w:pPr>
              <w:jc w:val="center"/>
              <w:rPr>
                <w:color w:val="000000"/>
                <w:sz w:val="18"/>
                <w:szCs w:val="18"/>
              </w:rPr>
            </w:pPr>
            <w:r w:rsidRPr="00887108">
              <w:rPr>
                <w:sz w:val="18"/>
                <w:szCs w:val="18"/>
              </w:rPr>
              <w:t>1,9</w:t>
            </w:r>
          </w:p>
        </w:tc>
        <w:tc>
          <w:tcPr>
            <w:tcW w:w="921" w:type="dxa"/>
            <w:gridSpan w:val="2"/>
            <w:tcBorders>
              <w:top w:val="nil"/>
              <w:left w:val="nil"/>
              <w:bottom w:val="nil"/>
              <w:right w:val="nil"/>
            </w:tcBorders>
            <w:shd w:val="clear" w:color="auto" w:fill="auto"/>
            <w:noWrap/>
            <w:hideMark/>
          </w:tcPr>
          <w:p w14:paraId="19E75DE4" w14:textId="77777777" w:rsidR="00D37A31" w:rsidRPr="00887108" w:rsidRDefault="00D37A31" w:rsidP="00E9118E">
            <w:pPr>
              <w:jc w:val="center"/>
              <w:rPr>
                <w:color w:val="000000"/>
                <w:sz w:val="18"/>
                <w:szCs w:val="18"/>
              </w:rPr>
            </w:pPr>
            <w:r w:rsidRPr="00887108">
              <w:rPr>
                <w:sz w:val="18"/>
                <w:szCs w:val="18"/>
              </w:rPr>
              <w:t>0,2</w:t>
            </w:r>
          </w:p>
        </w:tc>
        <w:tc>
          <w:tcPr>
            <w:tcW w:w="921" w:type="dxa"/>
            <w:gridSpan w:val="3"/>
            <w:tcBorders>
              <w:top w:val="nil"/>
              <w:left w:val="nil"/>
              <w:bottom w:val="nil"/>
              <w:right w:val="nil"/>
            </w:tcBorders>
            <w:shd w:val="clear" w:color="auto" w:fill="auto"/>
            <w:noWrap/>
            <w:hideMark/>
          </w:tcPr>
          <w:p w14:paraId="5C09AF8B" w14:textId="77777777" w:rsidR="00D37A31" w:rsidRPr="00887108" w:rsidRDefault="00D37A31" w:rsidP="00E9118E">
            <w:pPr>
              <w:jc w:val="center"/>
              <w:rPr>
                <w:color w:val="000000"/>
                <w:sz w:val="18"/>
                <w:szCs w:val="18"/>
              </w:rPr>
            </w:pPr>
            <w:r w:rsidRPr="00887108">
              <w:rPr>
                <w:sz w:val="18"/>
                <w:szCs w:val="18"/>
              </w:rPr>
              <w:t>1,4</w:t>
            </w:r>
          </w:p>
        </w:tc>
        <w:tc>
          <w:tcPr>
            <w:tcW w:w="923" w:type="dxa"/>
            <w:gridSpan w:val="2"/>
            <w:tcBorders>
              <w:top w:val="nil"/>
              <w:left w:val="nil"/>
              <w:bottom w:val="nil"/>
              <w:right w:val="nil"/>
            </w:tcBorders>
            <w:shd w:val="clear" w:color="auto" w:fill="auto"/>
            <w:noWrap/>
            <w:hideMark/>
          </w:tcPr>
          <w:p w14:paraId="7AA05EC7" w14:textId="77777777" w:rsidR="00D37A31" w:rsidRPr="00887108" w:rsidRDefault="00D37A31" w:rsidP="00E9118E">
            <w:pPr>
              <w:jc w:val="center"/>
              <w:rPr>
                <w:color w:val="000000"/>
                <w:sz w:val="18"/>
                <w:szCs w:val="18"/>
              </w:rPr>
            </w:pPr>
            <w:r w:rsidRPr="00887108">
              <w:rPr>
                <w:sz w:val="18"/>
                <w:szCs w:val="18"/>
              </w:rPr>
              <w:t>2,1</w:t>
            </w:r>
          </w:p>
        </w:tc>
      </w:tr>
      <w:tr w:rsidR="00D37A31" w:rsidRPr="00887108" w14:paraId="1CB2EF3F" w14:textId="77777777" w:rsidTr="00E9118E">
        <w:trPr>
          <w:gridAfter w:val="1"/>
          <w:wAfter w:w="180" w:type="dxa"/>
          <w:trHeight w:val="283"/>
        </w:trPr>
        <w:tc>
          <w:tcPr>
            <w:tcW w:w="2494" w:type="dxa"/>
            <w:tcBorders>
              <w:top w:val="nil"/>
              <w:left w:val="nil"/>
              <w:bottom w:val="nil"/>
              <w:right w:val="nil"/>
            </w:tcBorders>
            <w:shd w:val="clear" w:color="auto" w:fill="auto"/>
            <w:vAlign w:val="center"/>
            <w:hideMark/>
          </w:tcPr>
          <w:p w14:paraId="2526E681" w14:textId="77777777" w:rsidR="00D37A31" w:rsidRPr="00887108" w:rsidRDefault="00D37A31" w:rsidP="00E9118E">
            <w:pPr>
              <w:rPr>
                <w:rFonts w:cs="Times New Roman"/>
                <w:color w:val="000000"/>
                <w:sz w:val="18"/>
                <w:szCs w:val="18"/>
              </w:rPr>
            </w:pPr>
            <w:r w:rsidRPr="00887108">
              <w:rPr>
                <w:rFonts w:cs="Times New Roman"/>
                <w:color w:val="000000"/>
                <w:sz w:val="18"/>
                <w:szCs w:val="18"/>
              </w:rPr>
              <w:t>2. Deflátor súkromnej spotreby</w:t>
            </w:r>
          </w:p>
        </w:tc>
        <w:tc>
          <w:tcPr>
            <w:tcW w:w="921" w:type="dxa"/>
            <w:tcBorders>
              <w:top w:val="nil"/>
              <w:left w:val="nil"/>
              <w:bottom w:val="nil"/>
              <w:right w:val="nil"/>
            </w:tcBorders>
            <w:shd w:val="clear" w:color="auto" w:fill="auto"/>
            <w:vAlign w:val="bottom"/>
            <w:hideMark/>
          </w:tcPr>
          <w:p w14:paraId="6065B1E9" w14:textId="77777777" w:rsidR="00D37A31" w:rsidRPr="00887108" w:rsidRDefault="00D37A31" w:rsidP="00E9118E">
            <w:pPr>
              <w:rPr>
                <w:rFonts w:cs="Times New Roman"/>
                <w:color w:val="000000"/>
                <w:sz w:val="18"/>
                <w:szCs w:val="18"/>
              </w:rPr>
            </w:pPr>
          </w:p>
        </w:tc>
        <w:tc>
          <w:tcPr>
            <w:tcW w:w="921" w:type="dxa"/>
            <w:gridSpan w:val="2"/>
            <w:tcBorders>
              <w:top w:val="nil"/>
              <w:left w:val="nil"/>
              <w:bottom w:val="nil"/>
              <w:right w:val="nil"/>
            </w:tcBorders>
            <w:shd w:val="clear" w:color="auto" w:fill="auto"/>
            <w:hideMark/>
          </w:tcPr>
          <w:p w14:paraId="386729B0" w14:textId="77777777" w:rsidR="00D37A31" w:rsidRPr="00887108" w:rsidRDefault="00D37A31" w:rsidP="00E9118E">
            <w:pPr>
              <w:jc w:val="center"/>
              <w:rPr>
                <w:color w:val="000000"/>
                <w:sz w:val="18"/>
                <w:szCs w:val="18"/>
              </w:rPr>
            </w:pPr>
            <w:r w:rsidRPr="00887108">
              <w:rPr>
                <w:sz w:val="18"/>
                <w:szCs w:val="18"/>
              </w:rPr>
              <w:t>1,1</w:t>
            </w:r>
          </w:p>
        </w:tc>
        <w:tc>
          <w:tcPr>
            <w:tcW w:w="926" w:type="dxa"/>
            <w:gridSpan w:val="2"/>
            <w:tcBorders>
              <w:top w:val="nil"/>
              <w:left w:val="nil"/>
              <w:bottom w:val="nil"/>
              <w:right w:val="nil"/>
            </w:tcBorders>
            <w:shd w:val="clear" w:color="auto" w:fill="auto"/>
            <w:noWrap/>
            <w:hideMark/>
          </w:tcPr>
          <w:p w14:paraId="68B709F2" w14:textId="77777777" w:rsidR="00D37A31" w:rsidRPr="00887108" w:rsidRDefault="00D37A31" w:rsidP="00E9118E">
            <w:pPr>
              <w:jc w:val="center"/>
              <w:rPr>
                <w:color w:val="000000"/>
                <w:sz w:val="18"/>
                <w:szCs w:val="18"/>
              </w:rPr>
            </w:pPr>
            <w:r w:rsidRPr="00887108">
              <w:rPr>
                <w:sz w:val="18"/>
                <w:szCs w:val="18"/>
              </w:rPr>
              <w:t>2,7</w:t>
            </w:r>
          </w:p>
        </w:tc>
        <w:tc>
          <w:tcPr>
            <w:tcW w:w="925" w:type="dxa"/>
            <w:gridSpan w:val="2"/>
            <w:tcBorders>
              <w:top w:val="nil"/>
              <w:left w:val="nil"/>
              <w:bottom w:val="nil"/>
              <w:right w:val="nil"/>
            </w:tcBorders>
            <w:shd w:val="clear" w:color="auto" w:fill="auto"/>
            <w:noWrap/>
            <w:hideMark/>
          </w:tcPr>
          <w:p w14:paraId="51056DEB" w14:textId="77777777" w:rsidR="00D37A31" w:rsidRPr="00887108" w:rsidRDefault="00D37A31" w:rsidP="00E9118E">
            <w:pPr>
              <w:jc w:val="center"/>
              <w:rPr>
                <w:color w:val="000000"/>
                <w:sz w:val="18"/>
                <w:szCs w:val="18"/>
              </w:rPr>
            </w:pPr>
            <w:r w:rsidRPr="00887108">
              <w:rPr>
                <w:sz w:val="18"/>
                <w:szCs w:val="18"/>
              </w:rPr>
              <w:t>2,0</w:t>
            </w:r>
          </w:p>
        </w:tc>
        <w:tc>
          <w:tcPr>
            <w:tcW w:w="921" w:type="dxa"/>
            <w:gridSpan w:val="2"/>
            <w:tcBorders>
              <w:top w:val="nil"/>
              <w:left w:val="nil"/>
              <w:bottom w:val="nil"/>
              <w:right w:val="nil"/>
            </w:tcBorders>
            <w:shd w:val="clear" w:color="auto" w:fill="auto"/>
            <w:noWrap/>
            <w:hideMark/>
          </w:tcPr>
          <w:p w14:paraId="5856A484" w14:textId="77777777" w:rsidR="00D37A31" w:rsidRPr="00887108" w:rsidRDefault="00D37A31" w:rsidP="00E9118E">
            <w:pPr>
              <w:jc w:val="center"/>
              <w:rPr>
                <w:color w:val="000000"/>
                <w:sz w:val="18"/>
                <w:szCs w:val="18"/>
              </w:rPr>
            </w:pPr>
            <w:r w:rsidRPr="00887108">
              <w:rPr>
                <w:sz w:val="18"/>
                <w:szCs w:val="18"/>
              </w:rPr>
              <w:t>0,2</w:t>
            </w:r>
          </w:p>
        </w:tc>
        <w:tc>
          <w:tcPr>
            <w:tcW w:w="921" w:type="dxa"/>
            <w:gridSpan w:val="3"/>
            <w:tcBorders>
              <w:top w:val="nil"/>
              <w:left w:val="nil"/>
              <w:bottom w:val="nil"/>
              <w:right w:val="nil"/>
            </w:tcBorders>
            <w:shd w:val="clear" w:color="auto" w:fill="auto"/>
            <w:noWrap/>
            <w:hideMark/>
          </w:tcPr>
          <w:p w14:paraId="0EF2351F" w14:textId="77777777" w:rsidR="00D37A31" w:rsidRPr="00887108" w:rsidRDefault="00D37A31" w:rsidP="00E9118E">
            <w:pPr>
              <w:jc w:val="center"/>
              <w:rPr>
                <w:color w:val="000000"/>
                <w:sz w:val="18"/>
                <w:szCs w:val="18"/>
              </w:rPr>
            </w:pPr>
            <w:r w:rsidRPr="00887108">
              <w:rPr>
                <w:sz w:val="18"/>
                <w:szCs w:val="18"/>
              </w:rPr>
              <w:t>1,9</w:t>
            </w:r>
          </w:p>
        </w:tc>
        <w:tc>
          <w:tcPr>
            <w:tcW w:w="923" w:type="dxa"/>
            <w:gridSpan w:val="2"/>
            <w:tcBorders>
              <w:top w:val="nil"/>
              <w:left w:val="nil"/>
              <w:bottom w:val="nil"/>
              <w:right w:val="nil"/>
            </w:tcBorders>
            <w:shd w:val="clear" w:color="auto" w:fill="auto"/>
            <w:noWrap/>
            <w:hideMark/>
          </w:tcPr>
          <w:p w14:paraId="7CEC9F94" w14:textId="77777777" w:rsidR="00D37A31" w:rsidRPr="00887108" w:rsidRDefault="00D37A31" w:rsidP="00E9118E">
            <w:pPr>
              <w:jc w:val="center"/>
              <w:rPr>
                <w:color w:val="000000"/>
                <w:sz w:val="18"/>
                <w:szCs w:val="18"/>
              </w:rPr>
            </w:pPr>
            <w:r w:rsidRPr="00887108">
              <w:rPr>
                <w:sz w:val="18"/>
                <w:szCs w:val="18"/>
              </w:rPr>
              <w:t>2,0</w:t>
            </w:r>
          </w:p>
        </w:tc>
      </w:tr>
      <w:tr w:rsidR="00D37A31" w:rsidRPr="00887108" w14:paraId="0479DED7" w14:textId="77777777" w:rsidTr="00E9118E">
        <w:trPr>
          <w:gridAfter w:val="1"/>
          <w:wAfter w:w="180" w:type="dxa"/>
          <w:trHeight w:val="283"/>
        </w:trPr>
        <w:tc>
          <w:tcPr>
            <w:tcW w:w="2494" w:type="dxa"/>
            <w:tcBorders>
              <w:top w:val="nil"/>
              <w:left w:val="nil"/>
              <w:bottom w:val="nil"/>
              <w:right w:val="nil"/>
            </w:tcBorders>
            <w:shd w:val="clear" w:color="auto" w:fill="auto"/>
            <w:noWrap/>
            <w:vAlign w:val="center"/>
            <w:hideMark/>
          </w:tcPr>
          <w:p w14:paraId="17910EBE"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3. HICP  </w:t>
            </w:r>
          </w:p>
        </w:tc>
        <w:tc>
          <w:tcPr>
            <w:tcW w:w="921" w:type="dxa"/>
            <w:tcBorders>
              <w:top w:val="nil"/>
              <w:left w:val="nil"/>
              <w:bottom w:val="nil"/>
              <w:right w:val="nil"/>
            </w:tcBorders>
            <w:shd w:val="clear" w:color="auto" w:fill="auto"/>
            <w:vAlign w:val="bottom"/>
            <w:hideMark/>
          </w:tcPr>
          <w:p w14:paraId="32EF541C" w14:textId="77777777" w:rsidR="00D37A31" w:rsidRPr="00887108" w:rsidRDefault="00D37A31" w:rsidP="00E9118E">
            <w:pPr>
              <w:rPr>
                <w:rFonts w:cs="Times New Roman"/>
                <w:color w:val="000000"/>
                <w:sz w:val="18"/>
                <w:szCs w:val="18"/>
              </w:rPr>
            </w:pPr>
          </w:p>
        </w:tc>
        <w:tc>
          <w:tcPr>
            <w:tcW w:w="921" w:type="dxa"/>
            <w:gridSpan w:val="2"/>
            <w:tcBorders>
              <w:top w:val="nil"/>
              <w:left w:val="nil"/>
              <w:bottom w:val="nil"/>
              <w:right w:val="nil"/>
            </w:tcBorders>
            <w:shd w:val="clear" w:color="auto" w:fill="auto"/>
            <w:hideMark/>
          </w:tcPr>
          <w:p w14:paraId="227A7BC8" w14:textId="77777777" w:rsidR="00D37A31" w:rsidRPr="00887108" w:rsidRDefault="00D37A31" w:rsidP="00E9118E">
            <w:pPr>
              <w:jc w:val="center"/>
              <w:rPr>
                <w:color w:val="000000"/>
                <w:sz w:val="18"/>
                <w:szCs w:val="18"/>
              </w:rPr>
            </w:pPr>
            <w:r w:rsidRPr="00887108">
              <w:rPr>
                <w:sz w:val="18"/>
                <w:szCs w:val="18"/>
              </w:rPr>
              <w:t>2,8</w:t>
            </w:r>
          </w:p>
        </w:tc>
        <w:tc>
          <w:tcPr>
            <w:tcW w:w="926" w:type="dxa"/>
            <w:gridSpan w:val="2"/>
            <w:tcBorders>
              <w:top w:val="nil"/>
              <w:left w:val="nil"/>
              <w:bottom w:val="nil"/>
              <w:right w:val="nil"/>
            </w:tcBorders>
            <w:shd w:val="clear" w:color="auto" w:fill="auto"/>
            <w:hideMark/>
          </w:tcPr>
          <w:p w14:paraId="4FEB77AE" w14:textId="77777777" w:rsidR="00D37A31" w:rsidRPr="00887108" w:rsidRDefault="00D37A31" w:rsidP="00E9118E">
            <w:pPr>
              <w:jc w:val="center"/>
              <w:rPr>
                <w:color w:val="000000"/>
                <w:sz w:val="18"/>
                <w:szCs w:val="18"/>
              </w:rPr>
            </w:pPr>
            <w:r w:rsidRPr="00887108">
              <w:rPr>
                <w:sz w:val="18"/>
                <w:szCs w:val="18"/>
              </w:rPr>
              <w:t>2,8</w:t>
            </w:r>
          </w:p>
        </w:tc>
        <w:tc>
          <w:tcPr>
            <w:tcW w:w="925" w:type="dxa"/>
            <w:gridSpan w:val="2"/>
            <w:tcBorders>
              <w:top w:val="nil"/>
              <w:left w:val="nil"/>
              <w:bottom w:val="nil"/>
              <w:right w:val="nil"/>
            </w:tcBorders>
            <w:shd w:val="clear" w:color="auto" w:fill="auto"/>
            <w:hideMark/>
          </w:tcPr>
          <w:p w14:paraId="175B27C1" w14:textId="77777777" w:rsidR="00D37A31" w:rsidRPr="00887108" w:rsidRDefault="00D37A31" w:rsidP="00E9118E">
            <w:pPr>
              <w:jc w:val="center"/>
              <w:rPr>
                <w:color w:val="000000"/>
                <w:sz w:val="18"/>
                <w:szCs w:val="18"/>
              </w:rPr>
            </w:pPr>
            <w:r w:rsidRPr="00887108">
              <w:rPr>
                <w:sz w:val="18"/>
                <w:szCs w:val="18"/>
              </w:rPr>
              <w:t>1,7</w:t>
            </w:r>
          </w:p>
        </w:tc>
        <w:tc>
          <w:tcPr>
            <w:tcW w:w="921" w:type="dxa"/>
            <w:gridSpan w:val="2"/>
            <w:tcBorders>
              <w:top w:val="nil"/>
              <w:left w:val="nil"/>
              <w:bottom w:val="nil"/>
              <w:right w:val="nil"/>
            </w:tcBorders>
            <w:shd w:val="clear" w:color="auto" w:fill="auto"/>
            <w:hideMark/>
          </w:tcPr>
          <w:p w14:paraId="1F10CCEA" w14:textId="77777777" w:rsidR="00D37A31" w:rsidRPr="00887108" w:rsidRDefault="00D37A31" w:rsidP="00E9118E">
            <w:pPr>
              <w:jc w:val="center"/>
              <w:rPr>
                <w:color w:val="000000"/>
                <w:sz w:val="18"/>
                <w:szCs w:val="18"/>
              </w:rPr>
            </w:pPr>
            <w:r w:rsidRPr="00887108">
              <w:rPr>
                <w:sz w:val="18"/>
                <w:szCs w:val="18"/>
              </w:rPr>
              <w:t>0,2</w:t>
            </w:r>
          </w:p>
        </w:tc>
        <w:tc>
          <w:tcPr>
            <w:tcW w:w="921" w:type="dxa"/>
            <w:gridSpan w:val="3"/>
            <w:tcBorders>
              <w:top w:val="nil"/>
              <w:left w:val="nil"/>
              <w:bottom w:val="nil"/>
              <w:right w:val="nil"/>
            </w:tcBorders>
            <w:shd w:val="clear" w:color="auto" w:fill="auto"/>
            <w:hideMark/>
          </w:tcPr>
          <w:p w14:paraId="6291F084" w14:textId="77777777" w:rsidR="00D37A31" w:rsidRPr="00887108" w:rsidRDefault="00D37A31" w:rsidP="00E9118E">
            <w:pPr>
              <w:jc w:val="center"/>
              <w:rPr>
                <w:color w:val="000000"/>
                <w:sz w:val="18"/>
                <w:szCs w:val="18"/>
              </w:rPr>
            </w:pPr>
            <w:r w:rsidRPr="00887108">
              <w:rPr>
                <w:sz w:val="18"/>
                <w:szCs w:val="18"/>
              </w:rPr>
              <w:t>1,9</w:t>
            </w:r>
          </w:p>
        </w:tc>
        <w:tc>
          <w:tcPr>
            <w:tcW w:w="923" w:type="dxa"/>
            <w:gridSpan w:val="2"/>
            <w:tcBorders>
              <w:top w:val="nil"/>
              <w:left w:val="nil"/>
              <w:bottom w:val="nil"/>
              <w:right w:val="nil"/>
            </w:tcBorders>
            <w:shd w:val="clear" w:color="auto" w:fill="auto"/>
            <w:hideMark/>
          </w:tcPr>
          <w:p w14:paraId="13C4EB0C" w14:textId="77777777" w:rsidR="00D37A31" w:rsidRPr="00887108" w:rsidRDefault="00D37A31" w:rsidP="00E9118E">
            <w:pPr>
              <w:jc w:val="center"/>
              <w:rPr>
                <w:color w:val="000000"/>
                <w:sz w:val="18"/>
                <w:szCs w:val="18"/>
              </w:rPr>
            </w:pPr>
            <w:r w:rsidRPr="00887108">
              <w:rPr>
                <w:sz w:val="18"/>
                <w:szCs w:val="18"/>
              </w:rPr>
              <w:t>2,0</w:t>
            </w:r>
          </w:p>
        </w:tc>
      </w:tr>
      <w:tr w:rsidR="00D37A31" w:rsidRPr="00887108" w14:paraId="13A1332C" w14:textId="77777777" w:rsidTr="00E9118E">
        <w:trPr>
          <w:gridAfter w:val="1"/>
          <w:wAfter w:w="180" w:type="dxa"/>
          <w:trHeight w:val="283"/>
        </w:trPr>
        <w:tc>
          <w:tcPr>
            <w:tcW w:w="2494" w:type="dxa"/>
            <w:tcBorders>
              <w:top w:val="nil"/>
              <w:left w:val="nil"/>
              <w:bottom w:val="nil"/>
              <w:right w:val="nil"/>
            </w:tcBorders>
            <w:shd w:val="clear" w:color="auto" w:fill="auto"/>
            <w:vAlign w:val="center"/>
            <w:hideMark/>
          </w:tcPr>
          <w:p w14:paraId="5266896A" w14:textId="77777777" w:rsidR="00D37A31" w:rsidRPr="00887108" w:rsidRDefault="00D37A31" w:rsidP="00E9118E">
            <w:pPr>
              <w:rPr>
                <w:rFonts w:cs="Times New Roman"/>
                <w:color w:val="000000"/>
                <w:sz w:val="18"/>
                <w:szCs w:val="18"/>
              </w:rPr>
            </w:pPr>
            <w:r w:rsidRPr="00887108">
              <w:rPr>
                <w:rFonts w:cs="Times New Roman"/>
                <w:color w:val="000000"/>
                <w:sz w:val="18"/>
                <w:szCs w:val="18"/>
              </w:rPr>
              <w:t>4. Deflátor verejnej spotreby</w:t>
            </w:r>
          </w:p>
        </w:tc>
        <w:tc>
          <w:tcPr>
            <w:tcW w:w="921" w:type="dxa"/>
            <w:tcBorders>
              <w:top w:val="nil"/>
              <w:left w:val="nil"/>
              <w:bottom w:val="nil"/>
              <w:right w:val="nil"/>
            </w:tcBorders>
            <w:shd w:val="clear" w:color="auto" w:fill="auto"/>
            <w:vAlign w:val="bottom"/>
            <w:hideMark/>
          </w:tcPr>
          <w:p w14:paraId="42B280E6" w14:textId="77777777" w:rsidR="00D37A31" w:rsidRPr="00887108" w:rsidRDefault="00D37A31" w:rsidP="00E9118E">
            <w:pPr>
              <w:rPr>
                <w:rFonts w:cs="Times New Roman"/>
                <w:color w:val="000000"/>
                <w:sz w:val="18"/>
                <w:szCs w:val="18"/>
              </w:rPr>
            </w:pPr>
          </w:p>
        </w:tc>
        <w:tc>
          <w:tcPr>
            <w:tcW w:w="921" w:type="dxa"/>
            <w:gridSpan w:val="2"/>
            <w:tcBorders>
              <w:top w:val="nil"/>
              <w:left w:val="nil"/>
              <w:bottom w:val="nil"/>
              <w:right w:val="nil"/>
            </w:tcBorders>
            <w:shd w:val="clear" w:color="auto" w:fill="auto"/>
            <w:hideMark/>
          </w:tcPr>
          <w:p w14:paraId="5507C5C7" w14:textId="77777777" w:rsidR="00D37A31" w:rsidRPr="00887108" w:rsidRDefault="00D37A31" w:rsidP="00E9118E">
            <w:pPr>
              <w:jc w:val="center"/>
              <w:rPr>
                <w:color w:val="000000"/>
                <w:sz w:val="18"/>
                <w:szCs w:val="18"/>
              </w:rPr>
            </w:pPr>
            <w:r w:rsidRPr="00887108">
              <w:rPr>
                <w:sz w:val="18"/>
                <w:szCs w:val="18"/>
              </w:rPr>
              <w:t>1,2</w:t>
            </w:r>
          </w:p>
        </w:tc>
        <w:tc>
          <w:tcPr>
            <w:tcW w:w="926" w:type="dxa"/>
            <w:gridSpan w:val="2"/>
            <w:tcBorders>
              <w:top w:val="nil"/>
              <w:left w:val="nil"/>
              <w:bottom w:val="nil"/>
              <w:right w:val="nil"/>
            </w:tcBorders>
            <w:shd w:val="clear" w:color="auto" w:fill="auto"/>
            <w:noWrap/>
            <w:hideMark/>
          </w:tcPr>
          <w:p w14:paraId="263B5569" w14:textId="77777777" w:rsidR="00D37A31" w:rsidRPr="00887108" w:rsidRDefault="00D37A31" w:rsidP="00E9118E">
            <w:pPr>
              <w:jc w:val="center"/>
              <w:rPr>
                <w:color w:val="000000"/>
                <w:sz w:val="18"/>
                <w:szCs w:val="18"/>
              </w:rPr>
            </w:pPr>
            <w:r w:rsidRPr="00887108">
              <w:rPr>
                <w:sz w:val="18"/>
                <w:szCs w:val="18"/>
              </w:rPr>
              <w:t>5,6</w:t>
            </w:r>
          </w:p>
        </w:tc>
        <w:tc>
          <w:tcPr>
            <w:tcW w:w="925" w:type="dxa"/>
            <w:gridSpan w:val="2"/>
            <w:tcBorders>
              <w:top w:val="nil"/>
              <w:left w:val="nil"/>
              <w:bottom w:val="nil"/>
              <w:right w:val="nil"/>
            </w:tcBorders>
            <w:shd w:val="clear" w:color="auto" w:fill="auto"/>
            <w:noWrap/>
            <w:hideMark/>
          </w:tcPr>
          <w:p w14:paraId="4D48691F" w14:textId="77777777" w:rsidR="00D37A31" w:rsidRPr="00887108" w:rsidRDefault="00D37A31" w:rsidP="00E9118E">
            <w:pPr>
              <w:jc w:val="center"/>
              <w:rPr>
                <w:color w:val="000000"/>
                <w:sz w:val="18"/>
                <w:szCs w:val="18"/>
              </w:rPr>
            </w:pPr>
            <w:r w:rsidRPr="00887108">
              <w:rPr>
                <w:sz w:val="18"/>
                <w:szCs w:val="18"/>
              </w:rPr>
              <w:t>4,9</w:t>
            </w:r>
          </w:p>
        </w:tc>
        <w:tc>
          <w:tcPr>
            <w:tcW w:w="921" w:type="dxa"/>
            <w:gridSpan w:val="2"/>
            <w:tcBorders>
              <w:top w:val="nil"/>
              <w:left w:val="nil"/>
              <w:bottom w:val="nil"/>
              <w:right w:val="nil"/>
            </w:tcBorders>
            <w:shd w:val="clear" w:color="auto" w:fill="auto"/>
            <w:noWrap/>
            <w:hideMark/>
          </w:tcPr>
          <w:p w14:paraId="6DF5AB24" w14:textId="77777777" w:rsidR="00D37A31" w:rsidRPr="00887108" w:rsidRDefault="00D37A31" w:rsidP="00E9118E">
            <w:pPr>
              <w:jc w:val="center"/>
              <w:rPr>
                <w:color w:val="000000"/>
                <w:sz w:val="18"/>
                <w:szCs w:val="18"/>
              </w:rPr>
            </w:pPr>
            <w:r w:rsidRPr="00887108">
              <w:rPr>
                <w:sz w:val="18"/>
                <w:szCs w:val="18"/>
              </w:rPr>
              <w:t>2,4</w:t>
            </w:r>
          </w:p>
        </w:tc>
        <w:tc>
          <w:tcPr>
            <w:tcW w:w="921" w:type="dxa"/>
            <w:gridSpan w:val="3"/>
            <w:tcBorders>
              <w:top w:val="nil"/>
              <w:left w:val="nil"/>
              <w:bottom w:val="nil"/>
              <w:right w:val="nil"/>
            </w:tcBorders>
            <w:shd w:val="clear" w:color="auto" w:fill="auto"/>
            <w:noWrap/>
            <w:hideMark/>
          </w:tcPr>
          <w:p w14:paraId="04B37EF7" w14:textId="77777777" w:rsidR="00D37A31" w:rsidRPr="00887108" w:rsidRDefault="00D37A31" w:rsidP="00E9118E">
            <w:pPr>
              <w:jc w:val="center"/>
              <w:rPr>
                <w:color w:val="000000"/>
                <w:sz w:val="18"/>
                <w:szCs w:val="18"/>
              </w:rPr>
            </w:pPr>
            <w:r w:rsidRPr="00887108">
              <w:rPr>
                <w:sz w:val="18"/>
                <w:szCs w:val="18"/>
              </w:rPr>
              <w:t>2,5</w:t>
            </w:r>
          </w:p>
        </w:tc>
        <w:tc>
          <w:tcPr>
            <w:tcW w:w="923" w:type="dxa"/>
            <w:gridSpan w:val="2"/>
            <w:tcBorders>
              <w:top w:val="nil"/>
              <w:left w:val="nil"/>
              <w:bottom w:val="nil"/>
              <w:right w:val="nil"/>
            </w:tcBorders>
            <w:shd w:val="clear" w:color="auto" w:fill="auto"/>
            <w:noWrap/>
            <w:hideMark/>
          </w:tcPr>
          <w:p w14:paraId="751A7902" w14:textId="77777777" w:rsidR="00D37A31" w:rsidRPr="00887108" w:rsidRDefault="00D37A31" w:rsidP="00E9118E">
            <w:pPr>
              <w:jc w:val="center"/>
              <w:rPr>
                <w:color w:val="000000"/>
                <w:sz w:val="18"/>
                <w:szCs w:val="18"/>
              </w:rPr>
            </w:pPr>
            <w:r w:rsidRPr="00887108">
              <w:rPr>
                <w:sz w:val="18"/>
                <w:szCs w:val="18"/>
              </w:rPr>
              <w:t>2,6</w:t>
            </w:r>
          </w:p>
        </w:tc>
      </w:tr>
      <w:tr w:rsidR="00D37A31" w:rsidRPr="00887108" w14:paraId="649C9807" w14:textId="77777777" w:rsidTr="00E9118E">
        <w:trPr>
          <w:gridAfter w:val="1"/>
          <w:wAfter w:w="180" w:type="dxa"/>
          <w:trHeight w:val="283"/>
        </w:trPr>
        <w:tc>
          <w:tcPr>
            <w:tcW w:w="2494" w:type="dxa"/>
            <w:tcBorders>
              <w:top w:val="nil"/>
              <w:left w:val="nil"/>
              <w:bottom w:val="nil"/>
              <w:right w:val="nil"/>
            </w:tcBorders>
            <w:shd w:val="clear" w:color="auto" w:fill="auto"/>
            <w:vAlign w:val="center"/>
            <w:hideMark/>
          </w:tcPr>
          <w:p w14:paraId="2A34D2C3" w14:textId="77777777" w:rsidR="00D37A31" w:rsidRPr="00887108" w:rsidRDefault="00D37A31" w:rsidP="00E9118E">
            <w:pPr>
              <w:rPr>
                <w:rFonts w:cs="Times New Roman"/>
                <w:color w:val="000000"/>
                <w:sz w:val="18"/>
                <w:szCs w:val="18"/>
              </w:rPr>
            </w:pPr>
            <w:r w:rsidRPr="00887108">
              <w:rPr>
                <w:rFonts w:cs="Times New Roman"/>
                <w:color w:val="000000"/>
                <w:sz w:val="18"/>
                <w:szCs w:val="18"/>
              </w:rPr>
              <w:t>5. Deflátor investícií</w:t>
            </w:r>
          </w:p>
        </w:tc>
        <w:tc>
          <w:tcPr>
            <w:tcW w:w="921" w:type="dxa"/>
            <w:tcBorders>
              <w:top w:val="nil"/>
              <w:left w:val="nil"/>
              <w:bottom w:val="nil"/>
              <w:right w:val="nil"/>
            </w:tcBorders>
            <w:shd w:val="clear" w:color="auto" w:fill="auto"/>
            <w:vAlign w:val="bottom"/>
            <w:hideMark/>
          </w:tcPr>
          <w:p w14:paraId="47864A06" w14:textId="77777777" w:rsidR="00D37A31" w:rsidRPr="00887108" w:rsidRDefault="00D37A31" w:rsidP="00E9118E">
            <w:pPr>
              <w:rPr>
                <w:rFonts w:cs="Times New Roman"/>
                <w:color w:val="000000"/>
                <w:sz w:val="18"/>
                <w:szCs w:val="18"/>
              </w:rPr>
            </w:pPr>
          </w:p>
        </w:tc>
        <w:tc>
          <w:tcPr>
            <w:tcW w:w="921" w:type="dxa"/>
            <w:gridSpan w:val="2"/>
            <w:tcBorders>
              <w:top w:val="nil"/>
              <w:left w:val="nil"/>
              <w:bottom w:val="nil"/>
              <w:right w:val="nil"/>
            </w:tcBorders>
            <w:shd w:val="clear" w:color="auto" w:fill="auto"/>
            <w:hideMark/>
          </w:tcPr>
          <w:p w14:paraId="05D29117" w14:textId="77777777" w:rsidR="00D37A31" w:rsidRPr="00887108" w:rsidRDefault="00D37A31" w:rsidP="00E9118E">
            <w:pPr>
              <w:jc w:val="center"/>
              <w:rPr>
                <w:color w:val="000000"/>
                <w:sz w:val="18"/>
                <w:szCs w:val="18"/>
              </w:rPr>
            </w:pPr>
            <w:r w:rsidRPr="00887108">
              <w:rPr>
                <w:sz w:val="18"/>
                <w:szCs w:val="18"/>
              </w:rPr>
              <w:t>1,0</w:t>
            </w:r>
          </w:p>
        </w:tc>
        <w:tc>
          <w:tcPr>
            <w:tcW w:w="926" w:type="dxa"/>
            <w:gridSpan w:val="2"/>
            <w:tcBorders>
              <w:top w:val="nil"/>
              <w:left w:val="nil"/>
              <w:bottom w:val="nil"/>
              <w:right w:val="nil"/>
            </w:tcBorders>
            <w:shd w:val="clear" w:color="auto" w:fill="auto"/>
            <w:noWrap/>
            <w:hideMark/>
          </w:tcPr>
          <w:p w14:paraId="7A14C8B6" w14:textId="77777777" w:rsidR="00D37A31" w:rsidRPr="00887108" w:rsidRDefault="00D37A31" w:rsidP="00E9118E">
            <w:pPr>
              <w:jc w:val="center"/>
              <w:rPr>
                <w:color w:val="000000"/>
                <w:sz w:val="18"/>
                <w:szCs w:val="18"/>
              </w:rPr>
            </w:pPr>
            <w:r w:rsidRPr="00887108">
              <w:rPr>
                <w:sz w:val="18"/>
                <w:szCs w:val="18"/>
              </w:rPr>
              <w:t>1,2</w:t>
            </w:r>
          </w:p>
        </w:tc>
        <w:tc>
          <w:tcPr>
            <w:tcW w:w="925" w:type="dxa"/>
            <w:gridSpan w:val="2"/>
            <w:tcBorders>
              <w:top w:val="nil"/>
              <w:left w:val="nil"/>
              <w:bottom w:val="nil"/>
              <w:right w:val="nil"/>
            </w:tcBorders>
            <w:shd w:val="clear" w:color="auto" w:fill="auto"/>
            <w:noWrap/>
            <w:hideMark/>
          </w:tcPr>
          <w:p w14:paraId="0A64F883" w14:textId="77777777" w:rsidR="00D37A31" w:rsidRPr="00887108" w:rsidRDefault="00D37A31" w:rsidP="00E9118E">
            <w:pPr>
              <w:jc w:val="center"/>
              <w:rPr>
                <w:color w:val="000000"/>
                <w:sz w:val="18"/>
                <w:szCs w:val="18"/>
              </w:rPr>
            </w:pPr>
            <w:r w:rsidRPr="00887108">
              <w:rPr>
                <w:sz w:val="18"/>
                <w:szCs w:val="18"/>
              </w:rPr>
              <w:t>0,9</w:t>
            </w:r>
          </w:p>
        </w:tc>
        <w:tc>
          <w:tcPr>
            <w:tcW w:w="921" w:type="dxa"/>
            <w:gridSpan w:val="2"/>
            <w:tcBorders>
              <w:top w:val="nil"/>
              <w:left w:val="nil"/>
              <w:bottom w:val="nil"/>
              <w:right w:val="nil"/>
            </w:tcBorders>
            <w:shd w:val="clear" w:color="auto" w:fill="auto"/>
            <w:noWrap/>
            <w:hideMark/>
          </w:tcPr>
          <w:p w14:paraId="5E9E7FF2" w14:textId="77777777" w:rsidR="00D37A31" w:rsidRPr="00887108" w:rsidRDefault="00D37A31" w:rsidP="00E9118E">
            <w:pPr>
              <w:jc w:val="center"/>
              <w:rPr>
                <w:color w:val="000000"/>
                <w:sz w:val="18"/>
                <w:szCs w:val="18"/>
              </w:rPr>
            </w:pPr>
            <w:r w:rsidRPr="00887108">
              <w:rPr>
                <w:sz w:val="18"/>
                <w:szCs w:val="18"/>
              </w:rPr>
              <w:t>0,4</w:t>
            </w:r>
          </w:p>
        </w:tc>
        <w:tc>
          <w:tcPr>
            <w:tcW w:w="921" w:type="dxa"/>
            <w:gridSpan w:val="3"/>
            <w:tcBorders>
              <w:top w:val="nil"/>
              <w:left w:val="nil"/>
              <w:bottom w:val="nil"/>
              <w:right w:val="nil"/>
            </w:tcBorders>
            <w:shd w:val="clear" w:color="auto" w:fill="auto"/>
            <w:noWrap/>
            <w:hideMark/>
          </w:tcPr>
          <w:p w14:paraId="019F5643" w14:textId="77777777" w:rsidR="00D37A31" w:rsidRPr="00887108" w:rsidRDefault="00D37A31" w:rsidP="00E9118E">
            <w:pPr>
              <w:jc w:val="center"/>
              <w:rPr>
                <w:color w:val="000000"/>
                <w:sz w:val="18"/>
                <w:szCs w:val="18"/>
              </w:rPr>
            </w:pPr>
            <w:r w:rsidRPr="00887108">
              <w:rPr>
                <w:sz w:val="18"/>
                <w:szCs w:val="18"/>
              </w:rPr>
              <w:t>1,8</w:t>
            </w:r>
          </w:p>
        </w:tc>
        <w:tc>
          <w:tcPr>
            <w:tcW w:w="923" w:type="dxa"/>
            <w:gridSpan w:val="2"/>
            <w:tcBorders>
              <w:top w:val="nil"/>
              <w:left w:val="nil"/>
              <w:bottom w:val="nil"/>
              <w:right w:val="nil"/>
            </w:tcBorders>
            <w:shd w:val="clear" w:color="auto" w:fill="auto"/>
            <w:noWrap/>
            <w:hideMark/>
          </w:tcPr>
          <w:p w14:paraId="58BCF8AB" w14:textId="77777777" w:rsidR="00D37A31" w:rsidRPr="00887108" w:rsidRDefault="00D37A31" w:rsidP="00E9118E">
            <w:pPr>
              <w:jc w:val="center"/>
              <w:rPr>
                <w:color w:val="000000"/>
                <w:sz w:val="18"/>
                <w:szCs w:val="18"/>
              </w:rPr>
            </w:pPr>
            <w:r w:rsidRPr="00887108">
              <w:rPr>
                <w:sz w:val="18"/>
                <w:szCs w:val="18"/>
              </w:rPr>
              <w:t>2,4</w:t>
            </w:r>
          </w:p>
        </w:tc>
      </w:tr>
      <w:tr w:rsidR="00D37A31" w:rsidRPr="00887108" w14:paraId="315EB35F" w14:textId="77777777" w:rsidTr="00E9118E">
        <w:trPr>
          <w:gridAfter w:val="1"/>
          <w:wAfter w:w="180" w:type="dxa"/>
          <w:trHeight w:val="283"/>
        </w:trPr>
        <w:tc>
          <w:tcPr>
            <w:tcW w:w="2494" w:type="dxa"/>
            <w:tcBorders>
              <w:top w:val="nil"/>
              <w:left w:val="nil"/>
              <w:bottom w:val="nil"/>
              <w:right w:val="nil"/>
            </w:tcBorders>
            <w:shd w:val="clear" w:color="auto" w:fill="auto"/>
            <w:vAlign w:val="center"/>
            <w:hideMark/>
          </w:tcPr>
          <w:p w14:paraId="66813D07" w14:textId="77777777" w:rsidR="00D37A31" w:rsidRPr="00887108" w:rsidRDefault="00D37A31" w:rsidP="00E9118E">
            <w:pPr>
              <w:rPr>
                <w:rFonts w:cs="Times New Roman"/>
                <w:color w:val="000000"/>
                <w:sz w:val="18"/>
                <w:szCs w:val="18"/>
              </w:rPr>
            </w:pPr>
            <w:r w:rsidRPr="00887108">
              <w:rPr>
                <w:rFonts w:cs="Times New Roman"/>
                <w:color w:val="000000"/>
                <w:sz w:val="18"/>
                <w:szCs w:val="18"/>
              </w:rPr>
              <w:t>6. Deflátor exportu tovarov a služieb</w:t>
            </w:r>
          </w:p>
        </w:tc>
        <w:tc>
          <w:tcPr>
            <w:tcW w:w="921" w:type="dxa"/>
            <w:tcBorders>
              <w:top w:val="nil"/>
              <w:left w:val="nil"/>
              <w:bottom w:val="nil"/>
              <w:right w:val="nil"/>
            </w:tcBorders>
            <w:shd w:val="clear" w:color="auto" w:fill="auto"/>
            <w:vAlign w:val="bottom"/>
            <w:hideMark/>
          </w:tcPr>
          <w:p w14:paraId="070F1262" w14:textId="77777777" w:rsidR="00D37A31" w:rsidRPr="00887108" w:rsidRDefault="00D37A31" w:rsidP="00E9118E">
            <w:pPr>
              <w:rPr>
                <w:rFonts w:cs="Times New Roman"/>
                <w:color w:val="000000"/>
                <w:sz w:val="18"/>
                <w:szCs w:val="18"/>
              </w:rPr>
            </w:pPr>
          </w:p>
        </w:tc>
        <w:tc>
          <w:tcPr>
            <w:tcW w:w="921" w:type="dxa"/>
            <w:gridSpan w:val="2"/>
            <w:tcBorders>
              <w:top w:val="nil"/>
              <w:left w:val="nil"/>
              <w:bottom w:val="nil"/>
              <w:right w:val="nil"/>
            </w:tcBorders>
            <w:shd w:val="clear" w:color="auto" w:fill="auto"/>
            <w:hideMark/>
          </w:tcPr>
          <w:p w14:paraId="6840EF19" w14:textId="77777777" w:rsidR="00D37A31" w:rsidRPr="00887108" w:rsidRDefault="00D37A31" w:rsidP="00E9118E">
            <w:pPr>
              <w:jc w:val="center"/>
              <w:rPr>
                <w:color w:val="000000"/>
                <w:sz w:val="18"/>
                <w:szCs w:val="18"/>
              </w:rPr>
            </w:pPr>
            <w:r w:rsidRPr="00887108">
              <w:rPr>
                <w:sz w:val="18"/>
                <w:szCs w:val="18"/>
              </w:rPr>
              <w:t>1,0</w:t>
            </w:r>
          </w:p>
        </w:tc>
        <w:tc>
          <w:tcPr>
            <w:tcW w:w="926" w:type="dxa"/>
            <w:gridSpan w:val="2"/>
            <w:tcBorders>
              <w:top w:val="nil"/>
              <w:left w:val="nil"/>
              <w:bottom w:val="nil"/>
              <w:right w:val="nil"/>
            </w:tcBorders>
            <w:shd w:val="clear" w:color="auto" w:fill="auto"/>
            <w:noWrap/>
            <w:hideMark/>
          </w:tcPr>
          <w:p w14:paraId="1E218673" w14:textId="77777777" w:rsidR="00D37A31" w:rsidRPr="00887108" w:rsidRDefault="00D37A31" w:rsidP="00E9118E">
            <w:pPr>
              <w:jc w:val="center"/>
              <w:rPr>
                <w:color w:val="000000"/>
                <w:sz w:val="18"/>
                <w:szCs w:val="18"/>
              </w:rPr>
            </w:pPr>
            <w:r w:rsidRPr="00887108">
              <w:rPr>
                <w:sz w:val="18"/>
                <w:szCs w:val="18"/>
              </w:rPr>
              <w:t>0,0</w:t>
            </w:r>
          </w:p>
        </w:tc>
        <w:tc>
          <w:tcPr>
            <w:tcW w:w="925" w:type="dxa"/>
            <w:gridSpan w:val="2"/>
            <w:tcBorders>
              <w:top w:val="nil"/>
              <w:left w:val="nil"/>
              <w:bottom w:val="nil"/>
              <w:right w:val="nil"/>
            </w:tcBorders>
            <w:shd w:val="clear" w:color="auto" w:fill="auto"/>
            <w:noWrap/>
            <w:hideMark/>
          </w:tcPr>
          <w:p w14:paraId="072FA0A1" w14:textId="77777777" w:rsidR="00D37A31" w:rsidRPr="00887108" w:rsidRDefault="00D37A31" w:rsidP="00E9118E">
            <w:pPr>
              <w:jc w:val="center"/>
              <w:rPr>
                <w:color w:val="000000"/>
                <w:sz w:val="18"/>
                <w:szCs w:val="18"/>
              </w:rPr>
            </w:pPr>
            <w:r w:rsidRPr="00887108">
              <w:rPr>
                <w:sz w:val="18"/>
                <w:szCs w:val="18"/>
              </w:rPr>
              <w:t>0,3</w:t>
            </w:r>
          </w:p>
        </w:tc>
        <w:tc>
          <w:tcPr>
            <w:tcW w:w="921" w:type="dxa"/>
            <w:gridSpan w:val="2"/>
            <w:tcBorders>
              <w:top w:val="nil"/>
              <w:left w:val="nil"/>
              <w:bottom w:val="nil"/>
              <w:right w:val="nil"/>
            </w:tcBorders>
            <w:shd w:val="clear" w:color="auto" w:fill="auto"/>
            <w:noWrap/>
            <w:hideMark/>
          </w:tcPr>
          <w:p w14:paraId="4931F277" w14:textId="77777777" w:rsidR="00D37A31" w:rsidRPr="00887108" w:rsidRDefault="00D37A31" w:rsidP="00E9118E">
            <w:pPr>
              <w:jc w:val="center"/>
              <w:rPr>
                <w:color w:val="000000"/>
                <w:sz w:val="18"/>
                <w:szCs w:val="18"/>
              </w:rPr>
            </w:pPr>
            <w:r w:rsidRPr="00887108">
              <w:rPr>
                <w:sz w:val="18"/>
                <w:szCs w:val="18"/>
              </w:rPr>
              <w:t>0,5</w:t>
            </w:r>
          </w:p>
        </w:tc>
        <w:tc>
          <w:tcPr>
            <w:tcW w:w="921" w:type="dxa"/>
            <w:gridSpan w:val="3"/>
            <w:tcBorders>
              <w:top w:val="nil"/>
              <w:left w:val="nil"/>
              <w:bottom w:val="nil"/>
              <w:right w:val="nil"/>
            </w:tcBorders>
            <w:shd w:val="clear" w:color="auto" w:fill="auto"/>
            <w:noWrap/>
            <w:hideMark/>
          </w:tcPr>
          <w:p w14:paraId="1C2F9EFE" w14:textId="77777777" w:rsidR="00D37A31" w:rsidRPr="00887108" w:rsidRDefault="00D37A31" w:rsidP="00E9118E">
            <w:pPr>
              <w:jc w:val="center"/>
              <w:rPr>
                <w:color w:val="000000"/>
                <w:sz w:val="18"/>
                <w:szCs w:val="18"/>
              </w:rPr>
            </w:pPr>
            <w:r w:rsidRPr="00887108">
              <w:rPr>
                <w:sz w:val="18"/>
                <w:szCs w:val="18"/>
              </w:rPr>
              <w:t>1,7</w:t>
            </w:r>
          </w:p>
        </w:tc>
        <w:tc>
          <w:tcPr>
            <w:tcW w:w="923" w:type="dxa"/>
            <w:gridSpan w:val="2"/>
            <w:tcBorders>
              <w:top w:val="nil"/>
              <w:left w:val="nil"/>
              <w:bottom w:val="nil"/>
              <w:right w:val="nil"/>
            </w:tcBorders>
            <w:shd w:val="clear" w:color="auto" w:fill="auto"/>
            <w:noWrap/>
            <w:hideMark/>
          </w:tcPr>
          <w:p w14:paraId="69F32EFE" w14:textId="77777777" w:rsidR="00D37A31" w:rsidRPr="00887108" w:rsidRDefault="00D37A31" w:rsidP="00E9118E">
            <w:pPr>
              <w:jc w:val="center"/>
              <w:rPr>
                <w:color w:val="000000"/>
                <w:sz w:val="18"/>
                <w:szCs w:val="18"/>
              </w:rPr>
            </w:pPr>
            <w:r w:rsidRPr="00887108">
              <w:rPr>
                <w:sz w:val="18"/>
                <w:szCs w:val="18"/>
              </w:rPr>
              <w:t>2,1</w:t>
            </w:r>
          </w:p>
        </w:tc>
      </w:tr>
      <w:tr w:rsidR="00D37A31" w:rsidRPr="00887108" w14:paraId="559DBB1C" w14:textId="77777777" w:rsidTr="00E9118E">
        <w:trPr>
          <w:gridAfter w:val="1"/>
          <w:wAfter w:w="180" w:type="dxa"/>
          <w:trHeight w:val="283"/>
        </w:trPr>
        <w:tc>
          <w:tcPr>
            <w:tcW w:w="2494" w:type="dxa"/>
            <w:tcBorders>
              <w:top w:val="nil"/>
              <w:left w:val="nil"/>
              <w:bottom w:val="single" w:sz="8" w:space="0" w:color="auto"/>
              <w:right w:val="nil"/>
            </w:tcBorders>
            <w:shd w:val="clear" w:color="auto" w:fill="auto"/>
            <w:vAlign w:val="center"/>
            <w:hideMark/>
          </w:tcPr>
          <w:p w14:paraId="191408F9" w14:textId="77777777" w:rsidR="00D37A31" w:rsidRPr="00887108" w:rsidRDefault="00D37A31" w:rsidP="00E9118E">
            <w:pPr>
              <w:rPr>
                <w:rFonts w:cs="Times New Roman"/>
                <w:color w:val="000000"/>
                <w:sz w:val="18"/>
                <w:szCs w:val="18"/>
              </w:rPr>
            </w:pPr>
            <w:r w:rsidRPr="00887108">
              <w:rPr>
                <w:rFonts w:cs="Times New Roman"/>
                <w:color w:val="000000"/>
                <w:sz w:val="18"/>
                <w:szCs w:val="18"/>
              </w:rPr>
              <w:t>7. Deflátor importu tovarov a služieb</w:t>
            </w:r>
          </w:p>
        </w:tc>
        <w:tc>
          <w:tcPr>
            <w:tcW w:w="921" w:type="dxa"/>
            <w:tcBorders>
              <w:top w:val="nil"/>
              <w:left w:val="nil"/>
              <w:bottom w:val="single" w:sz="8" w:space="0" w:color="auto"/>
              <w:right w:val="nil"/>
            </w:tcBorders>
            <w:shd w:val="clear" w:color="auto" w:fill="auto"/>
            <w:vAlign w:val="bottom"/>
            <w:hideMark/>
          </w:tcPr>
          <w:p w14:paraId="30A8FA8C"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 </w:t>
            </w:r>
          </w:p>
        </w:tc>
        <w:tc>
          <w:tcPr>
            <w:tcW w:w="921" w:type="dxa"/>
            <w:gridSpan w:val="2"/>
            <w:tcBorders>
              <w:top w:val="nil"/>
              <w:left w:val="nil"/>
              <w:bottom w:val="single" w:sz="8" w:space="0" w:color="auto"/>
              <w:right w:val="nil"/>
            </w:tcBorders>
            <w:shd w:val="clear" w:color="auto" w:fill="auto"/>
            <w:hideMark/>
          </w:tcPr>
          <w:p w14:paraId="5DA08847" w14:textId="77777777" w:rsidR="00D37A31" w:rsidRPr="00887108" w:rsidRDefault="00D37A31" w:rsidP="00E9118E">
            <w:pPr>
              <w:jc w:val="center"/>
              <w:rPr>
                <w:color w:val="000000"/>
                <w:sz w:val="18"/>
                <w:szCs w:val="18"/>
              </w:rPr>
            </w:pPr>
            <w:r w:rsidRPr="00887108">
              <w:rPr>
                <w:sz w:val="18"/>
                <w:szCs w:val="18"/>
              </w:rPr>
              <w:t>1,0</w:t>
            </w:r>
          </w:p>
        </w:tc>
        <w:tc>
          <w:tcPr>
            <w:tcW w:w="926" w:type="dxa"/>
            <w:gridSpan w:val="2"/>
            <w:tcBorders>
              <w:top w:val="nil"/>
              <w:left w:val="nil"/>
              <w:bottom w:val="single" w:sz="8" w:space="0" w:color="auto"/>
              <w:right w:val="nil"/>
            </w:tcBorders>
            <w:shd w:val="clear" w:color="auto" w:fill="auto"/>
            <w:noWrap/>
            <w:hideMark/>
          </w:tcPr>
          <w:p w14:paraId="7298E734" w14:textId="77777777" w:rsidR="00D37A31" w:rsidRPr="00887108" w:rsidRDefault="00D37A31" w:rsidP="00E9118E">
            <w:pPr>
              <w:jc w:val="center"/>
              <w:rPr>
                <w:color w:val="000000"/>
                <w:sz w:val="18"/>
                <w:szCs w:val="18"/>
              </w:rPr>
            </w:pPr>
            <w:r w:rsidRPr="00887108">
              <w:rPr>
                <w:sz w:val="18"/>
                <w:szCs w:val="18"/>
              </w:rPr>
              <w:t>0,2</w:t>
            </w:r>
          </w:p>
        </w:tc>
        <w:tc>
          <w:tcPr>
            <w:tcW w:w="925" w:type="dxa"/>
            <w:gridSpan w:val="2"/>
            <w:tcBorders>
              <w:top w:val="nil"/>
              <w:left w:val="nil"/>
              <w:bottom w:val="single" w:sz="8" w:space="0" w:color="auto"/>
              <w:right w:val="nil"/>
            </w:tcBorders>
            <w:shd w:val="clear" w:color="auto" w:fill="auto"/>
            <w:noWrap/>
            <w:hideMark/>
          </w:tcPr>
          <w:p w14:paraId="6EEAA6CE" w14:textId="77777777" w:rsidR="00D37A31" w:rsidRPr="00887108" w:rsidRDefault="00D37A31" w:rsidP="00E9118E">
            <w:pPr>
              <w:jc w:val="center"/>
              <w:rPr>
                <w:color w:val="000000"/>
                <w:sz w:val="18"/>
                <w:szCs w:val="18"/>
              </w:rPr>
            </w:pPr>
            <w:r w:rsidRPr="00887108">
              <w:rPr>
                <w:sz w:val="18"/>
                <w:szCs w:val="18"/>
              </w:rPr>
              <w:t>-0,3</w:t>
            </w:r>
          </w:p>
        </w:tc>
        <w:tc>
          <w:tcPr>
            <w:tcW w:w="921" w:type="dxa"/>
            <w:gridSpan w:val="2"/>
            <w:tcBorders>
              <w:top w:val="nil"/>
              <w:left w:val="nil"/>
              <w:bottom w:val="single" w:sz="8" w:space="0" w:color="auto"/>
              <w:right w:val="nil"/>
            </w:tcBorders>
            <w:shd w:val="clear" w:color="auto" w:fill="auto"/>
            <w:noWrap/>
            <w:hideMark/>
          </w:tcPr>
          <w:p w14:paraId="3B0E22D9" w14:textId="77777777" w:rsidR="00D37A31" w:rsidRPr="00887108" w:rsidRDefault="00D37A31" w:rsidP="00E9118E">
            <w:pPr>
              <w:jc w:val="center"/>
              <w:rPr>
                <w:color w:val="000000"/>
                <w:sz w:val="18"/>
                <w:szCs w:val="18"/>
              </w:rPr>
            </w:pPr>
            <w:r w:rsidRPr="00887108">
              <w:rPr>
                <w:sz w:val="18"/>
                <w:szCs w:val="18"/>
              </w:rPr>
              <w:t>0,5</w:t>
            </w:r>
          </w:p>
        </w:tc>
        <w:tc>
          <w:tcPr>
            <w:tcW w:w="921" w:type="dxa"/>
            <w:gridSpan w:val="3"/>
            <w:tcBorders>
              <w:top w:val="nil"/>
              <w:left w:val="nil"/>
              <w:bottom w:val="single" w:sz="8" w:space="0" w:color="auto"/>
              <w:right w:val="nil"/>
            </w:tcBorders>
            <w:shd w:val="clear" w:color="auto" w:fill="auto"/>
            <w:noWrap/>
            <w:hideMark/>
          </w:tcPr>
          <w:p w14:paraId="285BBBF8" w14:textId="77777777" w:rsidR="00D37A31" w:rsidRPr="00887108" w:rsidRDefault="00D37A31" w:rsidP="00E9118E">
            <w:pPr>
              <w:jc w:val="center"/>
              <w:rPr>
                <w:color w:val="000000"/>
                <w:sz w:val="18"/>
                <w:szCs w:val="18"/>
              </w:rPr>
            </w:pPr>
            <w:r w:rsidRPr="00887108">
              <w:rPr>
                <w:sz w:val="18"/>
                <w:szCs w:val="18"/>
              </w:rPr>
              <w:t>1,8</w:t>
            </w:r>
          </w:p>
        </w:tc>
        <w:tc>
          <w:tcPr>
            <w:tcW w:w="923" w:type="dxa"/>
            <w:gridSpan w:val="2"/>
            <w:tcBorders>
              <w:top w:val="nil"/>
              <w:left w:val="nil"/>
              <w:bottom w:val="single" w:sz="8" w:space="0" w:color="auto"/>
              <w:right w:val="nil"/>
            </w:tcBorders>
            <w:shd w:val="clear" w:color="auto" w:fill="auto"/>
            <w:noWrap/>
            <w:hideMark/>
          </w:tcPr>
          <w:p w14:paraId="6246EA77" w14:textId="77777777" w:rsidR="00D37A31" w:rsidRPr="00887108" w:rsidRDefault="00D37A31" w:rsidP="00E9118E">
            <w:pPr>
              <w:jc w:val="center"/>
              <w:rPr>
                <w:color w:val="000000"/>
                <w:sz w:val="18"/>
                <w:szCs w:val="18"/>
              </w:rPr>
            </w:pPr>
            <w:r w:rsidRPr="00887108">
              <w:rPr>
                <w:sz w:val="18"/>
                <w:szCs w:val="18"/>
              </w:rPr>
              <w:t>2,3</w:t>
            </w:r>
          </w:p>
        </w:tc>
      </w:tr>
      <w:tr w:rsidR="00D37A31" w:rsidRPr="00887108" w14:paraId="29A84B5B" w14:textId="77777777" w:rsidTr="00F61127">
        <w:trPr>
          <w:gridAfter w:val="1"/>
          <w:wAfter w:w="180" w:type="dxa"/>
          <w:trHeight w:val="283"/>
        </w:trPr>
        <w:tc>
          <w:tcPr>
            <w:tcW w:w="8952" w:type="dxa"/>
            <w:gridSpan w:val="15"/>
            <w:tcBorders>
              <w:top w:val="single" w:sz="8" w:space="0" w:color="auto"/>
              <w:left w:val="nil"/>
              <w:right w:val="nil"/>
            </w:tcBorders>
            <w:shd w:val="clear" w:color="auto" w:fill="auto"/>
            <w:noWrap/>
            <w:vAlign w:val="center"/>
            <w:hideMark/>
          </w:tcPr>
          <w:p w14:paraId="1F1FFFE2" w14:textId="77777777" w:rsidR="00D37A31" w:rsidRPr="00887108" w:rsidRDefault="00D37A31" w:rsidP="00E9118E">
            <w:pPr>
              <w:jc w:val="right"/>
              <w:rPr>
                <w:rFonts w:cs="Times New Roman"/>
                <w:i/>
                <w:iCs/>
                <w:color w:val="000000"/>
                <w:sz w:val="18"/>
                <w:szCs w:val="18"/>
              </w:rPr>
            </w:pPr>
            <w:r w:rsidRPr="00887108">
              <w:rPr>
                <w:rFonts w:cs="Times New Roman"/>
                <w:i/>
                <w:iCs/>
                <w:color w:val="000000"/>
                <w:sz w:val="18"/>
                <w:szCs w:val="18"/>
              </w:rPr>
              <w:t>Zdroj: MF SR</w:t>
            </w:r>
          </w:p>
        </w:tc>
      </w:tr>
      <w:tr w:rsidR="00D37A31" w:rsidRPr="00887108" w14:paraId="4BC0D7D7" w14:textId="77777777" w:rsidTr="00F61127">
        <w:trPr>
          <w:gridAfter w:val="1"/>
          <w:wAfter w:w="180" w:type="dxa"/>
          <w:trHeight w:val="283"/>
        </w:trPr>
        <w:tc>
          <w:tcPr>
            <w:tcW w:w="8952" w:type="dxa"/>
            <w:gridSpan w:val="15"/>
            <w:tcBorders>
              <w:left w:val="nil"/>
              <w:bottom w:val="nil"/>
              <w:right w:val="nil"/>
            </w:tcBorders>
            <w:shd w:val="clear" w:color="auto" w:fill="auto"/>
            <w:noWrap/>
            <w:vAlign w:val="center"/>
            <w:hideMark/>
          </w:tcPr>
          <w:p w14:paraId="385FBC20" w14:textId="77777777" w:rsidR="00D37A31" w:rsidRPr="00887108" w:rsidRDefault="00D37A31" w:rsidP="00E9118E">
            <w:pPr>
              <w:rPr>
                <w:rFonts w:eastAsiaTheme="minorHAnsi"/>
                <w:b/>
                <w:color w:val="2C9ADC"/>
                <w:sz w:val="20"/>
                <w:lang w:eastAsia="en-US"/>
              </w:rPr>
            </w:pPr>
            <w:bookmarkStart w:id="161" w:name="_Toc480905414"/>
            <w:bookmarkStart w:id="162" w:name="_Toc40186690"/>
            <w:r w:rsidRPr="00887108">
              <w:rPr>
                <w:rFonts w:eastAsiaTheme="minorHAnsi"/>
                <w:b/>
                <w:color w:val="2C9ADC"/>
                <w:sz w:val="20"/>
                <w:lang w:eastAsia="en-US"/>
              </w:rPr>
              <w:t xml:space="preserve">TABUĽKA </w:t>
            </w:r>
            <w:r w:rsidRPr="00887108">
              <w:rPr>
                <w:rFonts w:eastAsiaTheme="minorHAnsi"/>
                <w:b/>
                <w:color w:val="2C9ADC"/>
                <w:sz w:val="20"/>
                <w:lang w:eastAsia="en-US"/>
              </w:rPr>
              <w:fldChar w:fldCharType="begin"/>
            </w:r>
            <w:r w:rsidRPr="00887108">
              <w:rPr>
                <w:rFonts w:eastAsiaTheme="minorHAnsi"/>
                <w:b/>
                <w:color w:val="2C9ADC"/>
                <w:sz w:val="20"/>
                <w:lang w:eastAsia="en-US"/>
              </w:rPr>
              <w:instrText xml:space="preserve"> SEQ TABUĽKA \* ARABIC </w:instrText>
            </w:r>
            <w:r w:rsidRPr="00887108">
              <w:rPr>
                <w:rFonts w:eastAsiaTheme="minorHAnsi"/>
                <w:b/>
                <w:color w:val="2C9ADC"/>
                <w:sz w:val="20"/>
                <w:lang w:eastAsia="en-US"/>
              </w:rPr>
              <w:fldChar w:fldCharType="separate"/>
            </w:r>
            <w:r w:rsidR="00D47A36">
              <w:rPr>
                <w:rFonts w:eastAsiaTheme="minorHAnsi"/>
                <w:b/>
                <w:noProof/>
                <w:color w:val="2C9ADC"/>
                <w:sz w:val="20"/>
                <w:lang w:eastAsia="en-US"/>
              </w:rPr>
              <w:t>13</w:t>
            </w:r>
            <w:r w:rsidRPr="00887108">
              <w:rPr>
                <w:rFonts w:eastAsiaTheme="minorHAnsi"/>
                <w:b/>
                <w:color w:val="2C9ADC"/>
                <w:sz w:val="20"/>
                <w:lang w:eastAsia="en-US"/>
              </w:rPr>
              <w:fldChar w:fldCharType="end"/>
            </w:r>
            <w:r w:rsidRPr="00887108">
              <w:rPr>
                <w:rFonts w:eastAsiaTheme="minorHAnsi"/>
                <w:b/>
                <w:color w:val="2C9ADC"/>
                <w:sz w:val="20"/>
                <w:lang w:eastAsia="en-US"/>
              </w:rPr>
              <w:t xml:space="preserve"> (Tabuľka 2a) - Vývoj rozpočtov verejnej správy</w:t>
            </w:r>
            <w:bookmarkEnd w:id="161"/>
            <w:bookmarkEnd w:id="162"/>
          </w:p>
        </w:tc>
      </w:tr>
      <w:tr w:rsidR="00D37A31" w:rsidRPr="00887108" w14:paraId="5C393F01" w14:textId="77777777" w:rsidTr="00E9118E">
        <w:trPr>
          <w:trHeight w:val="283"/>
        </w:trPr>
        <w:tc>
          <w:tcPr>
            <w:tcW w:w="3519" w:type="dxa"/>
            <w:gridSpan w:val="3"/>
            <w:tcBorders>
              <w:top w:val="single" w:sz="8" w:space="0" w:color="auto"/>
              <w:left w:val="nil"/>
              <w:bottom w:val="nil"/>
              <w:right w:val="nil"/>
            </w:tcBorders>
            <w:shd w:val="clear" w:color="auto" w:fill="auto"/>
            <w:hideMark/>
          </w:tcPr>
          <w:p w14:paraId="40252022" w14:textId="77777777" w:rsidR="00D37A31" w:rsidRPr="00887108" w:rsidRDefault="00D37A31" w:rsidP="00E9118E">
            <w:pPr>
              <w:rPr>
                <w:rFonts w:cs="Times New Roman"/>
                <w:sz w:val="18"/>
                <w:szCs w:val="18"/>
              </w:rPr>
            </w:pPr>
            <w:r w:rsidRPr="00887108">
              <w:rPr>
                <w:rFonts w:cs="Times New Roman"/>
                <w:sz w:val="18"/>
                <w:szCs w:val="18"/>
              </w:rPr>
              <w:t> </w:t>
            </w:r>
          </w:p>
        </w:tc>
        <w:tc>
          <w:tcPr>
            <w:tcW w:w="1272" w:type="dxa"/>
            <w:gridSpan w:val="2"/>
            <w:vMerge w:val="restart"/>
            <w:tcBorders>
              <w:top w:val="single" w:sz="8" w:space="0" w:color="auto"/>
              <w:left w:val="nil"/>
              <w:right w:val="nil"/>
            </w:tcBorders>
            <w:shd w:val="clear" w:color="auto" w:fill="auto"/>
            <w:vAlign w:val="center"/>
            <w:hideMark/>
          </w:tcPr>
          <w:p w14:paraId="6B4E87B3" w14:textId="77777777" w:rsidR="00D37A31" w:rsidRPr="00887108" w:rsidRDefault="00D37A31" w:rsidP="00E9118E">
            <w:pPr>
              <w:jc w:val="center"/>
              <w:rPr>
                <w:rFonts w:cs="Times New Roman"/>
                <w:sz w:val="18"/>
                <w:szCs w:val="18"/>
              </w:rPr>
            </w:pPr>
            <w:r w:rsidRPr="00887108">
              <w:rPr>
                <w:rFonts w:cs="Times New Roman"/>
                <w:sz w:val="18"/>
                <w:szCs w:val="18"/>
              </w:rPr>
              <w:t>ESA kód</w:t>
            </w:r>
          </w:p>
        </w:tc>
        <w:tc>
          <w:tcPr>
            <w:tcW w:w="793" w:type="dxa"/>
            <w:gridSpan w:val="2"/>
            <w:tcBorders>
              <w:top w:val="single" w:sz="8" w:space="0" w:color="auto"/>
              <w:left w:val="nil"/>
              <w:bottom w:val="nil"/>
              <w:right w:val="nil"/>
            </w:tcBorders>
            <w:shd w:val="clear" w:color="auto" w:fill="auto"/>
            <w:hideMark/>
          </w:tcPr>
          <w:p w14:paraId="3EB8C594" w14:textId="77777777" w:rsidR="00D37A31" w:rsidRPr="00887108" w:rsidRDefault="00D37A31" w:rsidP="00E9118E">
            <w:pPr>
              <w:jc w:val="center"/>
              <w:rPr>
                <w:rFonts w:cs="Times New Roman"/>
                <w:b/>
                <w:bCs/>
                <w:sz w:val="18"/>
                <w:szCs w:val="18"/>
              </w:rPr>
            </w:pPr>
            <w:r w:rsidRPr="00887108">
              <w:rPr>
                <w:b/>
                <w:sz w:val="18"/>
                <w:szCs w:val="18"/>
              </w:rPr>
              <w:t>2019</w:t>
            </w:r>
          </w:p>
        </w:tc>
        <w:tc>
          <w:tcPr>
            <w:tcW w:w="747" w:type="dxa"/>
            <w:gridSpan w:val="2"/>
            <w:tcBorders>
              <w:top w:val="single" w:sz="8" w:space="0" w:color="auto"/>
              <w:left w:val="nil"/>
              <w:bottom w:val="nil"/>
              <w:right w:val="nil"/>
            </w:tcBorders>
            <w:shd w:val="clear" w:color="auto" w:fill="auto"/>
            <w:hideMark/>
          </w:tcPr>
          <w:p w14:paraId="518099CE" w14:textId="77777777" w:rsidR="00D37A31" w:rsidRPr="00887108" w:rsidRDefault="00D37A31" w:rsidP="00E9118E">
            <w:pPr>
              <w:jc w:val="center"/>
              <w:rPr>
                <w:rFonts w:cs="Times New Roman"/>
                <w:b/>
                <w:bCs/>
                <w:sz w:val="18"/>
                <w:szCs w:val="18"/>
              </w:rPr>
            </w:pPr>
            <w:r w:rsidRPr="00887108">
              <w:rPr>
                <w:b/>
                <w:sz w:val="18"/>
                <w:szCs w:val="18"/>
              </w:rPr>
              <w:t>2019</w:t>
            </w:r>
          </w:p>
        </w:tc>
        <w:tc>
          <w:tcPr>
            <w:tcW w:w="820" w:type="dxa"/>
            <w:gridSpan w:val="2"/>
            <w:tcBorders>
              <w:top w:val="single" w:sz="8" w:space="0" w:color="auto"/>
              <w:left w:val="nil"/>
              <w:bottom w:val="nil"/>
              <w:right w:val="nil"/>
            </w:tcBorders>
            <w:shd w:val="clear" w:color="auto" w:fill="auto"/>
            <w:hideMark/>
          </w:tcPr>
          <w:p w14:paraId="4D9941E9" w14:textId="77777777" w:rsidR="00D37A31" w:rsidRPr="00887108" w:rsidRDefault="00D37A31" w:rsidP="00E9118E">
            <w:pPr>
              <w:jc w:val="center"/>
              <w:rPr>
                <w:rFonts w:cs="Times New Roman"/>
                <w:b/>
                <w:bCs/>
                <w:sz w:val="18"/>
                <w:szCs w:val="18"/>
              </w:rPr>
            </w:pPr>
            <w:r w:rsidRPr="00887108">
              <w:rPr>
                <w:b/>
                <w:sz w:val="18"/>
                <w:szCs w:val="18"/>
              </w:rPr>
              <w:t>2020</w:t>
            </w:r>
          </w:p>
        </w:tc>
        <w:tc>
          <w:tcPr>
            <w:tcW w:w="684" w:type="dxa"/>
            <w:tcBorders>
              <w:top w:val="single" w:sz="8" w:space="0" w:color="auto"/>
              <w:left w:val="nil"/>
              <w:bottom w:val="nil"/>
              <w:right w:val="nil"/>
            </w:tcBorders>
            <w:shd w:val="clear" w:color="auto" w:fill="auto"/>
            <w:hideMark/>
          </w:tcPr>
          <w:p w14:paraId="0B826BD4" w14:textId="77777777" w:rsidR="00D37A31" w:rsidRPr="00887108" w:rsidRDefault="00D37A31" w:rsidP="00E9118E">
            <w:pPr>
              <w:jc w:val="center"/>
              <w:rPr>
                <w:rFonts w:cs="Times New Roman"/>
                <w:b/>
                <w:bCs/>
                <w:sz w:val="18"/>
                <w:szCs w:val="18"/>
              </w:rPr>
            </w:pPr>
            <w:r w:rsidRPr="00887108">
              <w:rPr>
                <w:b/>
                <w:sz w:val="18"/>
                <w:szCs w:val="18"/>
              </w:rPr>
              <w:t>2021</w:t>
            </w:r>
          </w:p>
        </w:tc>
        <w:tc>
          <w:tcPr>
            <w:tcW w:w="659" w:type="dxa"/>
            <w:gridSpan w:val="2"/>
            <w:tcBorders>
              <w:top w:val="single" w:sz="8" w:space="0" w:color="auto"/>
              <w:left w:val="nil"/>
              <w:bottom w:val="nil"/>
              <w:right w:val="nil"/>
            </w:tcBorders>
            <w:shd w:val="clear" w:color="auto" w:fill="auto"/>
            <w:hideMark/>
          </w:tcPr>
          <w:p w14:paraId="256F51E0" w14:textId="77777777" w:rsidR="00D37A31" w:rsidRPr="00887108" w:rsidRDefault="00D37A31" w:rsidP="00E9118E">
            <w:pPr>
              <w:jc w:val="center"/>
              <w:rPr>
                <w:rFonts w:cs="Times New Roman"/>
                <w:b/>
                <w:bCs/>
                <w:sz w:val="18"/>
                <w:szCs w:val="18"/>
              </w:rPr>
            </w:pPr>
            <w:r w:rsidRPr="00887108">
              <w:rPr>
                <w:b/>
                <w:sz w:val="18"/>
                <w:szCs w:val="18"/>
              </w:rPr>
              <w:t>2022</w:t>
            </w:r>
          </w:p>
        </w:tc>
        <w:tc>
          <w:tcPr>
            <w:tcW w:w="638" w:type="dxa"/>
            <w:gridSpan w:val="2"/>
            <w:tcBorders>
              <w:top w:val="single" w:sz="8" w:space="0" w:color="auto"/>
              <w:left w:val="nil"/>
              <w:bottom w:val="nil"/>
              <w:right w:val="nil"/>
            </w:tcBorders>
            <w:shd w:val="clear" w:color="auto" w:fill="auto"/>
            <w:hideMark/>
          </w:tcPr>
          <w:p w14:paraId="3AA4B825" w14:textId="77777777" w:rsidR="00D37A31" w:rsidRPr="00887108" w:rsidRDefault="00D37A31" w:rsidP="00E9118E">
            <w:pPr>
              <w:jc w:val="center"/>
              <w:rPr>
                <w:rFonts w:cs="Times New Roman"/>
                <w:b/>
                <w:bCs/>
                <w:sz w:val="18"/>
                <w:szCs w:val="18"/>
              </w:rPr>
            </w:pPr>
            <w:r w:rsidRPr="00887108">
              <w:rPr>
                <w:b/>
                <w:sz w:val="18"/>
                <w:szCs w:val="18"/>
              </w:rPr>
              <w:t>2023</w:t>
            </w:r>
          </w:p>
        </w:tc>
      </w:tr>
      <w:tr w:rsidR="00D37A31" w:rsidRPr="00887108" w14:paraId="0B4E3FB7" w14:textId="77777777" w:rsidTr="00E9118E">
        <w:trPr>
          <w:trHeight w:val="283"/>
        </w:trPr>
        <w:tc>
          <w:tcPr>
            <w:tcW w:w="3519" w:type="dxa"/>
            <w:gridSpan w:val="3"/>
            <w:tcBorders>
              <w:top w:val="nil"/>
              <w:left w:val="nil"/>
              <w:bottom w:val="single" w:sz="4" w:space="0" w:color="auto"/>
              <w:right w:val="nil"/>
            </w:tcBorders>
            <w:shd w:val="clear" w:color="auto" w:fill="auto"/>
            <w:hideMark/>
          </w:tcPr>
          <w:p w14:paraId="1B32E1DB" w14:textId="77777777" w:rsidR="00D37A31" w:rsidRPr="00887108" w:rsidRDefault="00D37A31" w:rsidP="00E9118E">
            <w:pPr>
              <w:tabs>
                <w:tab w:val="left" w:pos="2500"/>
              </w:tabs>
              <w:rPr>
                <w:rFonts w:cs="Times New Roman"/>
                <w:sz w:val="18"/>
                <w:szCs w:val="18"/>
              </w:rPr>
            </w:pPr>
            <w:r w:rsidRPr="00887108">
              <w:rPr>
                <w:rFonts w:cs="Times New Roman"/>
                <w:sz w:val="18"/>
                <w:szCs w:val="18"/>
              </w:rPr>
              <w:t> </w:t>
            </w:r>
            <w:r w:rsidRPr="00887108">
              <w:rPr>
                <w:rFonts w:cs="Times New Roman"/>
                <w:sz w:val="18"/>
                <w:szCs w:val="18"/>
              </w:rPr>
              <w:tab/>
            </w:r>
          </w:p>
        </w:tc>
        <w:tc>
          <w:tcPr>
            <w:tcW w:w="1272" w:type="dxa"/>
            <w:gridSpan w:val="2"/>
            <w:vMerge/>
            <w:tcBorders>
              <w:left w:val="nil"/>
              <w:bottom w:val="single" w:sz="4" w:space="0" w:color="auto"/>
              <w:right w:val="nil"/>
            </w:tcBorders>
            <w:shd w:val="clear" w:color="auto" w:fill="auto"/>
            <w:vAlign w:val="center"/>
            <w:hideMark/>
          </w:tcPr>
          <w:p w14:paraId="0A0F55E5" w14:textId="77777777" w:rsidR="00D37A31" w:rsidRPr="00887108" w:rsidRDefault="00D37A31" w:rsidP="00E9118E">
            <w:pPr>
              <w:rPr>
                <w:rFonts w:cs="Times New Roman"/>
                <w:sz w:val="18"/>
                <w:szCs w:val="18"/>
              </w:rPr>
            </w:pPr>
          </w:p>
        </w:tc>
        <w:tc>
          <w:tcPr>
            <w:tcW w:w="793" w:type="dxa"/>
            <w:gridSpan w:val="2"/>
            <w:tcBorders>
              <w:top w:val="nil"/>
              <w:left w:val="nil"/>
              <w:bottom w:val="single" w:sz="4" w:space="0" w:color="auto"/>
              <w:right w:val="nil"/>
            </w:tcBorders>
            <w:shd w:val="clear" w:color="auto" w:fill="auto"/>
            <w:hideMark/>
          </w:tcPr>
          <w:p w14:paraId="095EE2AC" w14:textId="77777777" w:rsidR="00D37A31" w:rsidRPr="00887108" w:rsidRDefault="00D37A31" w:rsidP="00E9118E">
            <w:pPr>
              <w:jc w:val="center"/>
              <w:rPr>
                <w:rFonts w:cs="Times New Roman"/>
                <w:sz w:val="18"/>
                <w:szCs w:val="18"/>
              </w:rPr>
            </w:pPr>
            <w:r w:rsidRPr="00887108">
              <w:rPr>
                <w:sz w:val="18"/>
                <w:szCs w:val="18"/>
              </w:rPr>
              <w:t>level</w:t>
            </w:r>
          </w:p>
        </w:tc>
        <w:tc>
          <w:tcPr>
            <w:tcW w:w="747" w:type="dxa"/>
            <w:gridSpan w:val="2"/>
            <w:tcBorders>
              <w:top w:val="nil"/>
              <w:left w:val="nil"/>
              <w:bottom w:val="single" w:sz="4" w:space="0" w:color="auto"/>
              <w:right w:val="nil"/>
            </w:tcBorders>
            <w:shd w:val="clear" w:color="auto" w:fill="auto"/>
            <w:hideMark/>
          </w:tcPr>
          <w:p w14:paraId="182AA7F8" w14:textId="77777777" w:rsidR="00D37A31" w:rsidRPr="00887108" w:rsidRDefault="00D37A31" w:rsidP="00E9118E">
            <w:pPr>
              <w:jc w:val="center"/>
              <w:rPr>
                <w:rFonts w:cs="Times New Roman"/>
                <w:sz w:val="18"/>
                <w:szCs w:val="18"/>
              </w:rPr>
            </w:pPr>
            <w:r w:rsidRPr="00887108">
              <w:rPr>
                <w:sz w:val="18"/>
                <w:szCs w:val="18"/>
              </w:rPr>
              <w:t>% HDP</w:t>
            </w:r>
          </w:p>
        </w:tc>
        <w:tc>
          <w:tcPr>
            <w:tcW w:w="820" w:type="dxa"/>
            <w:gridSpan w:val="2"/>
            <w:tcBorders>
              <w:top w:val="nil"/>
              <w:left w:val="nil"/>
              <w:bottom w:val="single" w:sz="4" w:space="0" w:color="auto"/>
              <w:right w:val="nil"/>
            </w:tcBorders>
            <w:shd w:val="clear" w:color="auto" w:fill="auto"/>
            <w:hideMark/>
          </w:tcPr>
          <w:p w14:paraId="377A9383" w14:textId="77777777" w:rsidR="00D37A31" w:rsidRPr="00887108" w:rsidRDefault="00D37A31" w:rsidP="00E9118E">
            <w:pPr>
              <w:jc w:val="center"/>
              <w:rPr>
                <w:rFonts w:cs="Times New Roman"/>
                <w:sz w:val="18"/>
                <w:szCs w:val="18"/>
              </w:rPr>
            </w:pPr>
            <w:r w:rsidRPr="00887108">
              <w:rPr>
                <w:sz w:val="18"/>
                <w:szCs w:val="18"/>
              </w:rPr>
              <w:t>% HDP</w:t>
            </w:r>
          </w:p>
        </w:tc>
        <w:tc>
          <w:tcPr>
            <w:tcW w:w="684" w:type="dxa"/>
            <w:tcBorders>
              <w:top w:val="nil"/>
              <w:left w:val="nil"/>
              <w:bottom w:val="single" w:sz="4" w:space="0" w:color="auto"/>
              <w:right w:val="nil"/>
            </w:tcBorders>
            <w:shd w:val="clear" w:color="auto" w:fill="auto"/>
            <w:hideMark/>
          </w:tcPr>
          <w:p w14:paraId="7479C7D4" w14:textId="77777777" w:rsidR="00D37A31" w:rsidRPr="00887108" w:rsidRDefault="00D37A31" w:rsidP="00E9118E">
            <w:pPr>
              <w:jc w:val="center"/>
              <w:rPr>
                <w:rFonts w:cs="Times New Roman"/>
                <w:sz w:val="18"/>
                <w:szCs w:val="18"/>
              </w:rPr>
            </w:pPr>
            <w:r w:rsidRPr="00887108">
              <w:rPr>
                <w:sz w:val="18"/>
                <w:szCs w:val="18"/>
              </w:rPr>
              <w:t>% HDP</w:t>
            </w:r>
          </w:p>
        </w:tc>
        <w:tc>
          <w:tcPr>
            <w:tcW w:w="659" w:type="dxa"/>
            <w:gridSpan w:val="2"/>
            <w:tcBorders>
              <w:top w:val="nil"/>
              <w:left w:val="nil"/>
              <w:bottom w:val="single" w:sz="4" w:space="0" w:color="auto"/>
              <w:right w:val="nil"/>
            </w:tcBorders>
            <w:shd w:val="clear" w:color="auto" w:fill="auto"/>
            <w:hideMark/>
          </w:tcPr>
          <w:p w14:paraId="7EF3F58A" w14:textId="77777777" w:rsidR="00D37A31" w:rsidRPr="00887108" w:rsidRDefault="00D37A31" w:rsidP="00E9118E">
            <w:pPr>
              <w:jc w:val="center"/>
              <w:rPr>
                <w:rFonts w:cs="Times New Roman"/>
                <w:sz w:val="18"/>
                <w:szCs w:val="18"/>
              </w:rPr>
            </w:pPr>
            <w:r w:rsidRPr="00887108">
              <w:rPr>
                <w:sz w:val="18"/>
                <w:szCs w:val="18"/>
              </w:rPr>
              <w:t>% HDP</w:t>
            </w:r>
          </w:p>
        </w:tc>
        <w:tc>
          <w:tcPr>
            <w:tcW w:w="638" w:type="dxa"/>
            <w:gridSpan w:val="2"/>
            <w:tcBorders>
              <w:top w:val="nil"/>
              <w:left w:val="nil"/>
              <w:bottom w:val="single" w:sz="4" w:space="0" w:color="auto"/>
              <w:right w:val="nil"/>
            </w:tcBorders>
            <w:shd w:val="clear" w:color="auto" w:fill="auto"/>
            <w:hideMark/>
          </w:tcPr>
          <w:p w14:paraId="701FB421" w14:textId="77777777" w:rsidR="00D37A31" w:rsidRPr="00887108" w:rsidRDefault="00D37A31" w:rsidP="00E9118E">
            <w:pPr>
              <w:jc w:val="center"/>
              <w:rPr>
                <w:rFonts w:cs="Times New Roman"/>
                <w:sz w:val="18"/>
                <w:szCs w:val="18"/>
              </w:rPr>
            </w:pPr>
            <w:r w:rsidRPr="00887108">
              <w:rPr>
                <w:sz w:val="18"/>
                <w:szCs w:val="18"/>
              </w:rPr>
              <w:t>% HDP</w:t>
            </w:r>
          </w:p>
        </w:tc>
      </w:tr>
      <w:tr w:rsidR="00D37A31" w:rsidRPr="00887108" w14:paraId="15062F05" w14:textId="77777777" w:rsidTr="00E9118E">
        <w:trPr>
          <w:trHeight w:val="283"/>
        </w:trPr>
        <w:tc>
          <w:tcPr>
            <w:tcW w:w="9132" w:type="dxa"/>
            <w:gridSpan w:val="16"/>
            <w:tcBorders>
              <w:top w:val="single" w:sz="4" w:space="0" w:color="auto"/>
              <w:left w:val="nil"/>
              <w:bottom w:val="single" w:sz="6" w:space="0" w:color="auto"/>
              <w:right w:val="nil"/>
            </w:tcBorders>
            <w:shd w:val="clear" w:color="auto" w:fill="auto"/>
            <w:vAlign w:val="center"/>
            <w:hideMark/>
          </w:tcPr>
          <w:p w14:paraId="53EF0E58" w14:textId="77777777" w:rsidR="00D37A31" w:rsidRPr="00887108" w:rsidRDefault="00D37A31" w:rsidP="00E9118E">
            <w:pPr>
              <w:jc w:val="center"/>
              <w:rPr>
                <w:rFonts w:cs="Times New Roman"/>
                <w:b/>
                <w:bCs/>
                <w:sz w:val="18"/>
                <w:szCs w:val="18"/>
              </w:rPr>
            </w:pPr>
            <w:r w:rsidRPr="00887108">
              <w:rPr>
                <w:rFonts w:cs="Times New Roman"/>
                <w:b/>
                <w:bCs/>
                <w:sz w:val="18"/>
                <w:szCs w:val="18"/>
              </w:rPr>
              <w:t>Čisté pôžičky (B.9) podsektorov verejnej správy</w:t>
            </w:r>
          </w:p>
        </w:tc>
      </w:tr>
      <w:tr w:rsidR="00D37A31" w:rsidRPr="00887108" w14:paraId="546EE942" w14:textId="77777777" w:rsidTr="00E9118E">
        <w:trPr>
          <w:trHeight w:val="283"/>
        </w:trPr>
        <w:tc>
          <w:tcPr>
            <w:tcW w:w="3519" w:type="dxa"/>
            <w:gridSpan w:val="3"/>
            <w:tcBorders>
              <w:top w:val="single" w:sz="6" w:space="0" w:color="auto"/>
              <w:left w:val="nil"/>
              <w:bottom w:val="nil"/>
              <w:right w:val="nil"/>
            </w:tcBorders>
            <w:shd w:val="clear" w:color="auto" w:fill="auto"/>
            <w:vAlign w:val="center"/>
            <w:hideMark/>
          </w:tcPr>
          <w:p w14:paraId="29469F9F" w14:textId="77777777" w:rsidR="00D37A31" w:rsidRPr="00887108" w:rsidRDefault="00D37A31" w:rsidP="00E9118E">
            <w:pPr>
              <w:rPr>
                <w:rFonts w:cs="Times New Roman"/>
                <w:sz w:val="18"/>
                <w:szCs w:val="18"/>
              </w:rPr>
            </w:pPr>
            <w:r w:rsidRPr="00887108">
              <w:rPr>
                <w:rFonts w:cs="Times New Roman"/>
                <w:sz w:val="18"/>
                <w:szCs w:val="18"/>
              </w:rPr>
              <w:t>1. Verejná správa</w:t>
            </w:r>
          </w:p>
        </w:tc>
        <w:tc>
          <w:tcPr>
            <w:tcW w:w="1272" w:type="dxa"/>
            <w:gridSpan w:val="2"/>
            <w:tcBorders>
              <w:top w:val="single" w:sz="6" w:space="0" w:color="auto"/>
              <w:left w:val="nil"/>
              <w:bottom w:val="nil"/>
              <w:right w:val="nil"/>
            </w:tcBorders>
            <w:shd w:val="clear" w:color="auto" w:fill="auto"/>
            <w:vAlign w:val="center"/>
            <w:hideMark/>
          </w:tcPr>
          <w:p w14:paraId="15665135" w14:textId="77777777" w:rsidR="00D37A31" w:rsidRPr="00887108" w:rsidRDefault="00D37A31" w:rsidP="00E9118E">
            <w:pPr>
              <w:jc w:val="center"/>
              <w:rPr>
                <w:rFonts w:cs="Times New Roman"/>
                <w:sz w:val="18"/>
                <w:szCs w:val="18"/>
              </w:rPr>
            </w:pPr>
            <w:r w:rsidRPr="00887108">
              <w:rPr>
                <w:rFonts w:cs="Times New Roman"/>
                <w:sz w:val="18"/>
                <w:szCs w:val="18"/>
              </w:rPr>
              <w:t>S.13</w:t>
            </w:r>
          </w:p>
        </w:tc>
        <w:tc>
          <w:tcPr>
            <w:tcW w:w="793" w:type="dxa"/>
            <w:gridSpan w:val="2"/>
            <w:tcBorders>
              <w:top w:val="nil"/>
              <w:left w:val="nil"/>
              <w:bottom w:val="nil"/>
              <w:right w:val="nil"/>
            </w:tcBorders>
            <w:shd w:val="clear" w:color="auto" w:fill="auto"/>
          </w:tcPr>
          <w:p w14:paraId="11462BCF" w14:textId="77777777" w:rsidR="00D37A31" w:rsidRPr="00887108" w:rsidRDefault="00D37A31" w:rsidP="00E9118E">
            <w:pPr>
              <w:jc w:val="center"/>
              <w:rPr>
                <w:rFonts w:cs="Times New Roman"/>
                <w:sz w:val="18"/>
                <w:szCs w:val="18"/>
              </w:rPr>
            </w:pPr>
            <w:r w:rsidRPr="00887108">
              <w:rPr>
                <w:sz w:val="18"/>
                <w:szCs w:val="18"/>
              </w:rPr>
              <w:t>-1219,7</w:t>
            </w:r>
          </w:p>
        </w:tc>
        <w:tc>
          <w:tcPr>
            <w:tcW w:w="747" w:type="dxa"/>
            <w:gridSpan w:val="2"/>
            <w:tcBorders>
              <w:top w:val="nil"/>
              <w:left w:val="nil"/>
              <w:bottom w:val="nil"/>
              <w:right w:val="nil"/>
            </w:tcBorders>
            <w:shd w:val="clear" w:color="auto" w:fill="auto"/>
          </w:tcPr>
          <w:p w14:paraId="4C0B579A" w14:textId="77777777" w:rsidR="00D37A31" w:rsidRPr="00887108" w:rsidRDefault="00D37A31" w:rsidP="00E9118E">
            <w:pPr>
              <w:jc w:val="center"/>
              <w:rPr>
                <w:rFonts w:cs="Times New Roman"/>
                <w:sz w:val="18"/>
                <w:szCs w:val="18"/>
              </w:rPr>
            </w:pPr>
            <w:r w:rsidRPr="00887108">
              <w:rPr>
                <w:sz w:val="18"/>
                <w:szCs w:val="18"/>
              </w:rPr>
              <w:t>-1,3</w:t>
            </w:r>
          </w:p>
        </w:tc>
        <w:tc>
          <w:tcPr>
            <w:tcW w:w="820" w:type="dxa"/>
            <w:gridSpan w:val="2"/>
            <w:tcBorders>
              <w:top w:val="nil"/>
              <w:left w:val="nil"/>
              <w:bottom w:val="nil"/>
              <w:right w:val="nil"/>
            </w:tcBorders>
            <w:shd w:val="clear" w:color="auto" w:fill="auto"/>
          </w:tcPr>
          <w:p w14:paraId="6A2C79A6" w14:textId="77777777" w:rsidR="00D37A31" w:rsidRPr="00887108" w:rsidRDefault="00D37A31" w:rsidP="00E9118E">
            <w:pPr>
              <w:jc w:val="center"/>
              <w:rPr>
                <w:rFonts w:cs="Times New Roman"/>
                <w:sz w:val="18"/>
                <w:szCs w:val="18"/>
              </w:rPr>
            </w:pPr>
            <w:r w:rsidRPr="00887108">
              <w:rPr>
                <w:sz w:val="18"/>
                <w:szCs w:val="18"/>
              </w:rPr>
              <w:t>-8,4</w:t>
            </w:r>
          </w:p>
        </w:tc>
        <w:tc>
          <w:tcPr>
            <w:tcW w:w="684" w:type="dxa"/>
            <w:tcBorders>
              <w:top w:val="nil"/>
              <w:left w:val="nil"/>
              <w:bottom w:val="nil"/>
              <w:right w:val="nil"/>
            </w:tcBorders>
            <w:shd w:val="clear" w:color="auto" w:fill="auto"/>
          </w:tcPr>
          <w:p w14:paraId="4743B2D1" w14:textId="77777777" w:rsidR="00D37A31" w:rsidRPr="00887108" w:rsidRDefault="00D37A31" w:rsidP="00E9118E">
            <w:pPr>
              <w:jc w:val="center"/>
              <w:rPr>
                <w:rFonts w:cs="Times New Roman"/>
                <w:sz w:val="18"/>
                <w:szCs w:val="18"/>
              </w:rPr>
            </w:pPr>
            <w:r w:rsidRPr="00887108">
              <w:rPr>
                <w:sz w:val="18"/>
                <w:szCs w:val="18"/>
              </w:rPr>
              <w:t>-4,9</w:t>
            </w:r>
          </w:p>
        </w:tc>
        <w:tc>
          <w:tcPr>
            <w:tcW w:w="659" w:type="dxa"/>
            <w:gridSpan w:val="2"/>
            <w:tcBorders>
              <w:top w:val="nil"/>
              <w:left w:val="nil"/>
              <w:bottom w:val="nil"/>
              <w:right w:val="nil"/>
            </w:tcBorders>
            <w:shd w:val="clear" w:color="auto" w:fill="auto"/>
          </w:tcPr>
          <w:p w14:paraId="0B2FC9C8" w14:textId="77777777" w:rsidR="00D37A31" w:rsidRPr="00887108" w:rsidRDefault="00D37A31" w:rsidP="00E9118E">
            <w:pPr>
              <w:jc w:val="center"/>
              <w:rPr>
                <w:rFonts w:cs="Times New Roman"/>
                <w:sz w:val="18"/>
                <w:szCs w:val="18"/>
              </w:rPr>
            </w:pPr>
            <w:r w:rsidRPr="00887108">
              <w:rPr>
                <w:sz w:val="18"/>
                <w:szCs w:val="18"/>
              </w:rPr>
              <w:t>-3,7</w:t>
            </w:r>
          </w:p>
        </w:tc>
        <w:tc>
          <w:tcPr>
            <w:tcW w:w="638" w:type="dxa"/>
            <w:gridSpan w:val="2"/>
            <w:tcBorders>
              <w:top w:val="nil"/>
              <w:left w:val="nil"/>
              <w:bottom w:val="nil"/>
              <w:right w:val="nil"/>
            </w:tcBorders>
            <w:shd w:val="clear" w:color="auto" w:fill="auto"/>
          </w:tcPr>
          <w:p w14:paraId="435CA691" w14:textId="77777777" w:rsidR="00D37A31" w:rsidRPr="00887108" w:rsidRDefault="00D37A31" w:rsidP="00E9118E">
            <w:pPr>
              <w:jc w:val="center"/>
              <w:rPr>
                <w:rFonts w:cs="Times New Roman"/>
                <w:sz w:val="18"/>
                <w:szCs w:val="18"/>
              </w:rPr>
            </w:pPr>
            <w:r w:rsidRPr="00887108">
              <w:rPr>
                <w:sz w:val="18"/>
                <w:szCs w:val="18"/>
              </w:rPr>
              <w:t>-2,9</w:t>
            </w:r>
          </w:p>
        </w:tc>
      </w:tr>
      <w:tr w:rsidR="00D37A31" w:rsidRPr="00887108" w14:paraId="5CB331EA" w14:textId="77777777" w:rsidTr="00E9118E">
        <w:trPr>
          <w:trHeight w:val="283"/>
        </w:trPr>
        <w:tc>
          <w:tcPr>
            <w:tcW w:w="3519" w:type="dxa"/>
            <w:gridSpan w:val="3"/>
            <w:tcBorders>
              <w:top w:val="nil"/>
              <w:left w:val="nil"/>
              <w:bottom w:val="nil"/>
              <w:right w:val="nil"/>
            </w:tcBorders>
            <w:shd w:val="clear" w:color="auto" w:fill="auto"/>
            <w:vAlign w:val="center"/>
            <w:hideMark/>
          </w:tcPr>
          <w:p w14:paraId="3DF767FC" w14:textId="77777777" w:rsidR="00D37A31" w:rsidRPr="00887108" w:rsidRDefault="00D37A31" w:rsidP="00E9118E">
            <w:pPr>
              <w:rPr>
                <w:rFonts w:cs="Times New Roman"/>
                <w:sz w:val="18"/>
                <w:szCs w:val="18"/>
              </w:rPr>
            </w:pPr>
            <w:r w:rsidRPr="00887108">
              <w:rPr>
                <w:rFonts w:cs="Times New Roman"/>
                <w:sz w:val="18"/>
                <w:szCs w:val="18"/>
              </w:rPr>
              <w:t>2. Ústredná štátna správa</w:t>
            </w:r>
          </w:p>
        </w:tc>
        <w:tc>
          <w:tcPr>
            <w:tcW w:w="1272" w:type="dxa"/>
            <w:gridSpan w:val="2"/>
            <w:tcBorders>
              <w:top w:val="nil"/>
              <w:left w:val="nil"/>
              <w:bottom w:val="nil"/>
              <w:right w:val="nil"/>
            </w:tcBorders>
            <w:shd w:val="clear" w:color="auto" w:fill="auto"/>
            <w:hideMark/>
          </w:tcPr>
          <w:p w14:paraId="575D14AC" w14:textId="77777777" w:rsidR="00D37A31" w:rsidRPr="00887108" w:rsidRDefault="00D37A31" w:rsidP="00E9118E">
            <w:pPr>
              <w:jc w:val="center"/>
              <w:rPr>
                <w:rFonts w:cs="Times New Roman"/>
                <w:sz w:val="18"/>
                <w:szCs w:val="18"/>
              </w:rPr>
            </w:pPr>
            <w:r w:rsidRPr="00887108">
              <w:rPr>
                <w:rFonts w:cs="Times New Roman"/>
                <w:sz w:val="18"/>
                <w:szCs w:val="18"/>
              </w:rPr>
              <w:t>S.1311</w:t>
            </w:r>
          </w:p>
        </w:tc>
        <w:tc>
          <w:tcPr>
            <w:tcW w:w="793" w:type="dxa"/>
            <w:gridSpan w:val="2"/>
            <w:tcBorders>
              <w:top w:val="nil"/>
              <w:left w:val="nil"/>
              <w:bottom w:val="nil"/>
              <w:right w:val="nil"/>
            </w:tcBorders>
            <w:shd w:val="clear" w:color="auto" w:fill="auto"/>
          </w:tcPr>
          <w:p w14:paraId="28EEFA6E" w14:textId="77777777" w:rsidR="00D37A31" w:rsidRPr="00887108" w:rsidRDefault="00D37A31" w:rsidP="00E9118E">
            <w:pPr>
              <w:jc w:val="center"/>
              <w:rPr>
                <w:rFonts w:cs="Times New Roman"/>
                <w:sz w:val="18"/>
                <w:szCs w:val="18"/>
              </w:rPr>
            </w:pPr>
            <w:r w:rsidRPr="00887108">
              <w:rPr>
                <w:sz w:val="18"/>
                <w:szCs w:val="18"/>
              </w:rPr>
              <w:t>-1532,2</w:t>
            </w:r>
          </w:p>
        </w:tc>
        <w:tc>
          <w:tcPr>
            <w:tcW w:w="747" w:type="dxa"/>
            <w:gridSpan w:val="2"/>
            <w:tcBorders>
              <w:top w:val="nil"/>
              <w:left w:val="nil"/>
              <w:bottom w:val="nil"/>
              <w:right w:val="nil"/>
            </w:tcBorders>
            <w:shd w:val="clear" w:color="auto" w:fill="auto"/>
          </w:tcPr>
          <w:p w14:paraId="730A0FAC" w14:textId="77777777" w:rsidR="00D37A31" w:rsidRPr="00887108" w:rsidRDefault="00D37A31" w:rsidP="00E9118E">
            <w:pPr>
              <w:jc w:val="center"/>
              <w:rPr>
                <w:rFonts w:cs="Times New Roman"/>
                <w:sz w:val="18"/>
                <w:szCs w:val="18"/>
              </w:rPr>
            </w:pPr>
            <w:r w:rsidRPr="00887108">
              <w:rPr>
                <w:sz w:val="18"/>
                <w:szCs w:val="18"/>
              </w:rPr>
              <w:t>-1,6</w:t>
            </w:r>
          </w:p>
        </w:tc>
        <w:tc>
          <w:tcPr>
            <w:tcW w:w="820" w:type="dxa"/>
            <w:gridSpan w:val="2"/>
            <w:tcBorders>
              <w:top w:val="nil"/>
              <w:left w:val="nil"/>
              <w:bottom w:val="nil"/>
              <w:right w:val="nil"/>
            </w:tcBorders>
            <w:shd w:val="clear" w:color="auto" w:fill="auto"/>
          </w:tcPr>
          <w:p w14:paraId="64081EC9"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84" w:type="dxa"/>
            <w:tcBorders>
              <w:top w:val="nil"/>
              <w:left w:val="nil"/>
              <w:bottom w:val="nil"/>
              <w:right w:val="nil"/>
            </w:tcBorders>
            <w:shd w:val="clear" w:color="auto" w:fill="auto"/>
          </w:tcPr>
          <w:p w14:paraId="2691F50A"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48724950"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6373633E"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5E4CA463" w14:textId="77777777" w:rsidTr="00E9118E">
        <w:trPr>
          <w:trHeight w:val="283"/>
        </w:trPr>
        <w:tc>
          <w:tcPr>
            <w:tcW w:w="3519" w:type="dxa"/>
            <w:gridSpan w:val="3"/>
            <w:tcBorders>
              <w:top w:val="nil"/>
              <w:left w:val="nil"/>
              <w:bottom w:val="nil"/>
              <w:right w:val="nil"/>
            </w:tcBorders>
            <w:shd w:val="clear" w:color="auto" w:fill="auto"/>
            <w:vAlign w:val="center"/>
            <w:hideMark/>
          </w:tcPr>
          <w:p w14:paraId="618EC987" w14:textId="77777777" w:rsidR="00D37A31" w:rsidRPr="00887108" w:rsidRDefault="00D37A31" w:rsidP="00E9118E">
            <w:pPr>
              <w:rPr>
                <w:rFonts w:cs="Times New Roman"/>
                <w:sz w:val="18"/>
                <w:szCs w:val="18"/>
              </w:rPr>
            </w:pPr>
            <w:r w:rsidRPr="00887108">
              <w:rPr>
                <w:rFonts w:cs="Times New Roman"/>
                <w:sz w:val="18"/>
                <w:szCs w:val="18"/>
              </w:rPr>
              <w:t>3. Regionálna štátna správa</w:t>
            </w:r>
          </w:p>
        </w:tc>
        <w:tc>
          <w:tcPr>
            <w:tcW w:w="1272" w:type="dxa"/>
            <w:gridSpan w:val="2"/>
            <w:tcBorders>
              <w:top w:val="nil"/>
              <w:left w:val="nil"/>
              <w:bottom w:val="nil"/>
              <w:right w:val="nil"/>
            </w:tcBorders>
            <w:shd w:val="clear" w:color="auto" w:fill="auto"/>
            <w:hideMark/>
          </w:tcPr>
          <w:p w14:paraId="3DD632FC" w14:textId="77777777" w:rsidR="00D37A31" w:rsidRPr="00887108" w:rsidRDefault="00D37A31" w:rsidP="00E9118E">
            <w:pPr>
              <w:jc w:val="center"/>
              <w:rPr>
                <w:rFonts w:cs="Times New Roman"/>
                <w:sz w:val="18"/>
                <w:szCs w:val="18"/>
              </w:rPr>
            </w:pPr>
            <w:r w:rsidRPr="00887108">
              <w:rPr>
                <w:rFonts w:cs="Times New Roman"/>
                <w:sz w:val="18"/>
                <w:szCs w:val="18"/>
              </w:rPr>
              <w:t>S.1312</w:t>
            </w:r>
          </w:p>
        </w:tc>
        <w:tc>
          <w:tcPr>
            <w:tcW w:w="793" w:type="dxa"/>
            <w:gridSpan w:val="2"/>
            <w:tcBorders>
              <w:top w:val="nil"/>
              <w:left w:val="nil"/>
              <w:bottom w:val="nil"/>
              <w:right w:val="nil"/>
            </w:tcBorders>
            <w:shd w:val="clear" w:color="auto" w:fill="auto"/>
          </w:tcPr>
          <w:p w14:paraId="5D6EB97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747" w:type="dxa"/>
            <w:gridSpan w:val="2"/>
            <w:tcBorders>
              <w:top w:val="nil"/>
              <w:left w:val="nil"/>
              <w:bottom w:val="nil"/>
              <w:right w:val="nil"/>
            </w:tcBorders>
            <w:shd w:val="clear" w:color="auto" w:fill="auto"/>
          </w:tcPr>
          <w:p w14:paraId="7BCD4AB0"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820" w:type="dxa"/>
            <w:gridSpan w:val="2"/>
            <w:tcBorders>
              <w:top w:val="nil"/>
              <w:left w:val="nil"/>
              <w:bottom w:val="nil"/>
              <w:right w:val="nil"/>
            </w:tcBorders>
            <w:shd w:val="clear" w:color="auto" w:fill="auto"/>
          </w:tcPr>
          <w:p w14:paraId="0DB740F2"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84" w:type="dxa"/>
            <w:tcBorders>
              <w:top w:val="nil"/>
              <w:left w:val="nil"/>
              <w:bottom w:val="nil"/>
              <w:right w:val="nil"/>
            </w:tcBorders>
            <w:shd w:val="clear" w:color="auto" w:fill="auto"/>
          </w:tcPr>
          <w:p w14:paraId="4A4332E5"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0F0450C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39B0CF3"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5C0E1688" w14:textId="77777777" w:rsidTr="00E9118E">
        <w:trPr>
          <w:trHeight w:val="283"/>
        </w:trPr>
        <w:tc>
          <w:tcPr>
            <w:tcW w:w="3519" w:type="dxa"/>
            <w:gridSpan w:val="3"/>
            <w:tcBorders>
              <w:top w:val="nil"/>
              <w:left w:val="nil"/>
              <w:bottom w:val="nil"/>
              <w:right w:val="nil"/>
            </w:tcBorders>
            <w:shd w:val="clear" w:color="auto" w:fill="auto"/>
            <w:vAlign w:val="center"/>
            <w:hideMark/>
          </w:tcPr>
          <w:p w14:paraId="3D4B4933" w14:textId="77777777" w:rsidR="00D37A31" w:rsidRPr="00887108" w:rsidRDefault="00D37A31" w:rsidP="00E9118E">
            <w:pPr>
              <w:rPr>
                <w:rFonts w:cs="Times New Roman"/>
                <w:sz w:val="18"/>
                <w:szCs w:val="18"/>
              </w:rPr>
            </w:pPr>
            <w:r w:rsidRPr="00887108">
              <w:rPr>
                <w:rFonts w:cs="Times New Roman"/>
                <w:sz w:val="18"/>
                <w:szCs w:val="18"/>
              </w:rPr>
              <w:t>4. Miestna štátna správa</w:t>
            </w:r>
          </w:p>
        </w:tc>
        <w:tc>
          <w:tcPr>
            <w:tcW w:w="1272" w:type="dxa"/>
            <w:gridSpan w:val="2"/>
            <w:tcBorders>
              <w:top w:val="nil"/>
              <w:left w:val="nil"/>
              <w:bottom w:val="nil"/>
              <w:right w:val="nil"/>
            </w:tcBorders>
            <w:shd w:val="clear" w:color="auto" w:fill="auto"/>
            <w:hideMark/>
          </w:tcPr>
          <w:p w14:paraId="0C43FE33" w14:textId="77777777" w:rsidR="00D37A31" w:rsidRPr="00887108" w:rsidRDefault="00D37A31" w:rsidP="00E9118E">
            <w:pPr>
              <w:jc w:val="center"/>
              <w:rPr>
                <w:rFonts w:cs="Times New Roman"/>
                <w:sz w:val="18"/>
                <w:szCs w:val="18"/>
              </w:rPr>
            </w:pPr>
            <w:r w:rsidRPr="00887108">
              <w:rPr>
                <w:rFonts w:cs="Times New Roman"/>
                <w:sz w:val="18"/>
                <w:szCs w:val="18"/>
              </w:rPr>
              <w:t>S.1313</w:t>
            </w:r>
          </w:p>
        </w:tc>
        <w:tc>
          <w:tcPr>
            <w:tcW w:w="793" w:type="dxa"/>
            <w:gridSpan w:val="2"/>
            <w:tcBorders>
              <w:top w:val="nil"/>
              <w:left w:val="nil"/>
              <w:bottom w:val="nil"/>
              <w:right w:val="nil"/>
            </w:tcBorders>
            <w:shd w:val="clear" w:color="auto" w:fill="auto"/>
          </w:tcPr>
          <w:p w14:paraId="277BA7BF" w14:textId="77777777" w:rsidR="00D37A31" w:rsidRPr="00887108" w:rsidRDefault="00D37A31" w:rsidP="00E9118E">
            <w:pPr>
              <w:jc w:val="center"/>
              <w:rPr>
                <w:rFonts w:cs="Times New Roman"/>
                <w:sz w:val="18"/>
                <w:szCs w:val="18"/>
              </w:rPr>
            </w:pPr>
            <w:r w:rsidRPr="00887108">
              <w:rPr>
                <w:sz w:val="18"/>
                <w:szCs w:val="18"/>
              </w:rPr>
              <w:t>115,5</w:t>
            </w:r>
          </w:p>
        </w:tc>
        <w:tc>
          <w:tcPr>
            <w:tcW w:w="747" w:type="dxa"/>
            <w:gridSpan w:val="2"/>
            <w:tcBorders>
              <w:top w:val="nil"/>
              <w:left w:val="nil"/>
              <w:bottom w:val="nil"/>
              <w:right w:val="nil"/>
            </w:tcBorders>
            <w:shd w:val="clear" w:color="auto" w:fill="auto"/>
          </w:tcPr>
          <w:p w14:paraId="4DDF0D39" w14:textId="77777777" w:rsidR="00D37A31" w:rsidRPr="00887108" w:rsidRDefault="00D37A31" w:rsidP="00E9118E">
            <w:pPr>
              <w:jc w:val="center"/>
              <w:rPr>
                <w:rFonts w:cs="Times New Roman"/>
                <w:sz w:val="18"/>
                <w:szCs w:val="18"/>
              </w:rPr>
            </w:pPr>
            <w:r w:rsidRPr="00887108">
              <w:rPr>
                <w:sz w:val="18"/>
                <w:szCs w:val="18"/>
              </w:rPr>
              <w:t>0,1</w:t>
            </w:r>
          </w:p>
        </w:tc>
        <w:tc>
          <w:tcPr>
            <w:tcW w:w="820" w:type="dxa"/>
            <w:gridSpan w:val="2"/>
            <w:tcBorders>
              <w:top w:val="nil"/>
              <w:left w:val="nil"/>
              <w:bottom w:val="nil"/>
              <w:right w:val="nil"/>
            </w:tcBorders>
            <w:shd w:val="clear" w:color="auto" w:fill="auto"/>
          </w:tcPr>
          <w:p w14:paraId="010B1E7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84" w:type="dxa"/>
            <w:tcBorders>
              <w:top w:val="nil"/>
              <w:left w:val="nil"/>
              <w:bottom w:val="nil"/>
              <w:right w:val="nil"/>
            </w:tcBorders>
            <w:shd w:val="clear" w:color="auto" w:fill="auto"/>
          </w:tcPr>
          <w:p w14:paraId="229BD3FB"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4F20127C"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1C71FD46"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2E1E0C79" w14:textId="77777777" w:rsidTr="00E9118E">
        <w:trPr>
          <w:trHeight w:val="283"/>
        </w:trPr>
        <w:tc>
          <w:tcPr>
            <w:tcW w:w="3519" w:type="dxa"/>
            <w:gridSpan w:val="3"/>
            <w:tcBorders>
              <w:top w:val="nil"/>
              <w:left w:val="nil"/>
              <w:bottom w:val="single" w:sz="4" w:space="0" w:color="auto"/>
              <w:right w:val="nil"/>
            </w:tcBorders>
            <w:shd w:val="clear" w:color="auto" w:fill="auto"/>
            <w:vAlign w:val="center"/>
            <w:hideMark/>
          </w:tcPr>
          <w:p w14:paraId="238350C6" w14:textId="77777777" w:rsidR="00D37A31" w:rsidRPr="00887108" w:rsidRDefault="00D37A31" w:rsidP="00E9118E">
            <w:pPr>
              <w:rPr>
                <w:rFonts w:cs="Times New Roman"/>
                <w:sz w:val="18"/>
                <w:szCs w:val="18"/>
              </w:rPr>
            </w:pPr>
            <w:r w:rsidRPr="00887108">
              <w:rPr>
                <w:rFonts w:cs="Times New Roman"/>
                <w:sz w:val="18"/>
                <w:szCs w:val="18"/>
              </w:rPr>
              <w:t>5. Fondy sociálneho zabezpečenia</w:t>
            </w:r>
          </w:p>
        </w:tc>
        <w:tc>
          <w:tcPr>
            <w:tcW w:w="1272" w:type="dxa"/>
            <w:gridSpan w:val="2"/>
            <w:tcBorders>
              <w:top w:val="nil"/>
              <w:left w:val="nil"/>
              <w:bottom w:val="single" w:sz="4" w:space="0" w:color="auto"/>
              <w:right w:val="nil"/>
            </w:tcBorders>
            <w:shd w:val="clear" w:color="auto" w:fill="auto"/>
            <w:hideMark/>
          </w:tcPr>
          <w:p w14:paraId="7FBE8EF2" w14:textId="77777777" w:rsidR="00D37A31" w:rsidRPr="00887108" w:rsidRDefault="00D37A31" w:rsidP="00E9118E">
            <w:pPr>
              <w:jc w:val="center"/>
              <w:rPr>
                <w:rFonts w:cs="Times New Roman"/>
                <w:sz w:val="18"/>
                <w:szCs w:val="18"/>
              </w:rPr>
            </w:pPr>
            <w:r w:rsidRPr="00887108">
              <w:rPr>
                <w:rFonts w:cs="Times New Roman"/>
                <w:sz w:val="18"/>
                <w:szCs w:val="18"/>
              </w:rPr>
              <w:t>S.1314</w:t>
            </w:r>
          </w:p>
        </w:tc>
        <w:tc>
          <w:tcPr>
            <w:tcW w:w="793" w:type="dxa"/>
            <w:gridSpan w:val="2"/>
            <w:tcBorders>
              <w:top w:val="nil"/>
              <w:left w:val="nil"/>
              <w:bottom w:val="nil"/>
              <w:right w:val="nil"/>
            </w:tcBorders>
            <w:shd w:val="clear" w:color="auto" w:fill="auto"/>
          </w:tcPr>
          <w:p w14:paraId="4C7EE402" w14:textId="77777777" w:rsidR="00D37A31" w:rsidRPr="00887108" w:rsidRDefault="00D37A31" w:rsidP="00E9118E">
            <w:pPr>
              <w:jc w:val="center"/>
              <w:rPr>
                <w:rFonts w:cs="Times New Roman"/>
                <w:sz w:val="18"/>
                <w:szCs w:val="18"/>
              </w:rPr>
            </w:pPr>
            <w:r w:rsidRPr="00887108">
              <w:rPr>
                <w:sz w:val="18"/>
                <w:szCs w:val="18"/>
              </w:rPr>
              <w:t>196,9</w:t>
            </w:r>
          </w:p>
        </w:tc>
        <w:tc>
          <w:tcPr>
            <w:tcW w:w="747" w:type="dxa"/>
            <w:gridSpan w:val="2"/>
            <w:tcBorders>
              <w:top w:val="nil"/>
              <w:left w:val="nil"/>
              <w:bottom w:val="nil"/>
              <w:right w:val="nil"/>
            </w:tcBorders>
            <w:shd w:val="clear" w:color="auto" w:fill="auto"/>
          </w:tcPr>
          <w:p w14:paraId="3AFDF193" w14:textId="77777777" w:rsidR="00D37A31" w:rsidRPr="00887108" w:rsidRDefault="00D37A31" w:rsidP="00E9118E">
            <w:pPr>
              <w:jc w:val="center"/>
              <w:rPr>
                <w:rFonts w:cs="Times New Roman"/>
                <w:sz w:val="18"/>
                <w:szCs w:val="18"/>
              </w:rPr>
            </w:pPr>
            <w:r w:rsidRPr="00887108">
              <w:rPr>
                <w:sz w:val="18"/>
                <w:szCs w:val="18"/>
              </w:rPr>
              <w:t>0,2</w:t>
            </w:r>
          </w:p>
        </w:tc>
        <w:tc>
          <w:tcPr>
            <w:tcW w:w="820" w:type="dxa"/>
            <w:gridSpan w:val="2"/>
            <w:tcBorders>
              <w:top w:val="nil"/>
              <w:left w:val="nil"/>
              <w:bottom w:val="nil"/>
              <w:right w:val="nil"/>
            </w:tcBorders>
            <w:shd w:val="clear" w:color="auto" w:fill="auto"/>
          </w:tcPr>
          <w:p w14:paraId="3B296DDE"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84" w:type="dxa"/>
            <w:tcBorders>
              <w:top w:val="nil"/>
              <w:left w:val="nil"/>
              <w:bottom w:val="nil"/>
              <w:right w:val="nil"/>
            </w:tcBorders>
            <w:shd w:val="clear" w:color="auto" w:fill="auto"/>
          </w:tcPr>
          <w:p w14:paraId="3F68B2D8"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2EA1D01A"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single" w:sz="4" w:space="0" w:color="auto"/>
              <w:right w:val="nil"/>
            </w:tcBorders>
            <w:shd w:val="clear" w:color="auto" w:fill="auto"/>
          </w:tcPr>
          <w:p w14:paraId="10B941CD"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633F6B87" w14:textId="77777777" w:rsidTr="00E9118E">
        <w:trPr>
          <w:trHeight w:val="283"/>
        </w:trPr>
        <w:tc>
          <w:tcPr>
            <w:tcW w:w="9132" w:type="dxa"/>
            <w:gridSpan w:val="16"/>
            <w:tcBorders>
              <w:top w:val="single" w:sz="4" w:space="0" w:color="auto"/>
              <w:left w:val="nil"/>
              <w:bottom w:val="single" w:sz="6" w:space="0" w:color="auto"/>
              <w:right w:val="nil"/>
            </w:tcBorders>
            <w:shd w:val="clear" w:color="auto" w:fill="auto"/>
            <w:vAlign w:val="center"/>
            <w:hideMark/>
          </w:tcPr>
          <w:p w14:paraId="51D13DDF" w14:textId="77777777" w:rsidR="00D37A31" w:rsidRPr="00887108" w:rsidRDefault="00D37A31" w:rsidP="00E9118E">
            <w:pPr>
              <w:jc w:val="center"/>
              <w:rPr>
                <w:rFonts w:cs="Times New Roman"/>
                <w:b/>
                <w:bCs/>
                <w:sz w:val="18"/>
                <w:szCs w:val="18"/>
              </w:rPr>
            </w:pPr>
            <w:r w:rsidRPr="00887108">
              <w:rPr>
                <w:rFonts w:cs="Times New Roman"/>
                <w:b/>
                <w:bCs/>
                <w:sz w:val="18"/>
                <w:szCs w:val="18"/>
              </w:rPr>
              <w:t>Verejná správa (S13)</w:t>
            </w:r>
          </w:p>
        </w:tc>
      </w:tr>
      <w:tr w:rsidR="00D37A31" w:rsidRPr="00887108" w14:paraId="63F6E84A" w14:textId="77777777" w:rsidTr="00E9118E">
        <w:trPr>
          <w:trHeight w:val="283"/>
        </w:trPr>
        <w:tc>
          <w:tcPr>
            <w:tcW w:w="3519" w:type="dxa"/>
            <w:gridSpan w:val="3"/>
            <w:tcBorders>
              <w:top w:val="single" w:sz="6" w:space="0" w:color="auto"/>
              <w:left w:val="nil"/>
              <w:bottom w:val="nil"/>
              <w:right w:val="nil"/>
            </w:tcBorders>
            <w:shd w:val="clear" w:color="auto" w:fill="auto"/>
            <w:vAlign w:val="center"/>
            <w:hideMark/>
          </w:tcPr>
          <w:p w14:paraId="130CF9E1" w14:textId="77777777" w:rsidR="00D37A31" w:rsidRPr="00887108" w:rsidRDefault="00D37A31" w:rsidP="00E9118E">
            <w:pPr>
              <w:rPr>
                <w:rFonts w:cs="Times New Roman"/>
                <w:sz w:val="18"/>
                <w:szCs w:val="18"/>
              </w:rPr>
            </w:pPr>
            <w:r w:rsidRPr="00887108">
              <w:rPr>
                <w:rFonts w:cs="Times New Roman"/>
                <w:sz w:val="18"/>
                <w:szCs w:val="18"/>
              </w:rPr>
              <w:t>6. Celkové príjmy</w:t>
            </w:r>
          </w:p>
        </w:tc>
        <w:tc>
          <w:tcPr>
            <w:tcW w:w="1272" w:type="dxa"/>
            <w:gridSpan w:val="2"/>
            <w:tcBorders>
              <w:top w:val="single" w:sz="6" w:space="0" w:color="auto"/>
              <w:left w:val="nil"/>
              <w:bottom w:val="nil"/>
              <w:right w:val="nil"/>
            </w:tcBorders>
            <w:shd w:val="clear" w:color="auto" w:fill="auto"/>
            <w:vAlign w:val="center"/>
            <w:hideMark/>
          </w:tcPr>
          <w:p w14:paraId="73DAEC6D" w14:textId="77777777" w:rsidR="00D37A31" w:rsidRPr="00887108" w:rsidRDefault="00D37A31" w:rsidP="00E9118E">
            <w:pPr>
              <w:jc w:val="center"/>
              <w:rPr>
                <w:rFonts w:cs="Times New Roman"/>
                <w:sz w:val="18"/>
                <w:szCs w:val="18"/>
              </w:rPr>
            </w:pPr>
            <w:r w:rsidRPr="00887108">
              <w:rPr>
                <w:rFonts w:cs="Times New Roman"/>
                <w:sz w:val="18"/>
                <w:szCs w:val="18"/>
              </w:rPr>
              <w:t>TR</w:t>
            </w:r>
          </w:p>
        </w:tc>
        <w:tc>
          <w:tcPr>
            <w:tcW w:w="793" w:type="dxa"/>
            <w:gridSpan w:val="2"/>
            <w:tcBorders>
              <w:top w:val="nil"/>
              <w:left w:val="nil"/>
              <w:bottom w:val="nil"/>
              <w:right w:val="nil"/>
            </w:tcBorders>
            <w:shd w:val="clear" w:color="auto" w:fill="auto"/>
          </w:tcPr>
          <w:p w14:paraId="30ACFA93" w14:textId="77777777" w:rsidR="00D37A31" w:rsidRPr="00887108" w:rsidRDefault="00D37A31" w:rsidP="00E9118E">
            <w:pPr>
              <w:jc w:val="center"/>
              <w:rPr>
                <w:rFonts w:cs="Times New Roman"/>
                <w:sz w:val="18"/>
                <w:szCs w:val="18"/>
              </w:rPr>
            </w:pPr>
            <w:r w:rsidRPr="00887108">
              <w:rPr>
                <w:sz w:val="18"/>
                <w:szCs w:val="18"/>
              </w:rPr>
              <w:t>39084,7</w:t>
            </w:r>
          </w:p>
        </w:tc>
        <w:tc>
          <w:tcPr>
            <w:tcW w:w="747" w:type="dxa"/>
            <w:gridSpan w:val="2"/>
            <w:tcBorders>
              <w:top w:val="nil"/>
              <w:left w:val="nil"/>
              <w:bottom w:val="nil"/>
              <w:right w:val="nil"/>
            </w:tcBorders>
            <w:shd w:val="clear" w:color="auto" w:fill="auto"/>
          </w:tcPr>
          <w:p w14:paraId="77159F4F" w14:textId="77777777" w:rsidR="00D37A31" w:rsidRPr="00887108" w:rsidRDefault="00D37A31" w:rsidP="00E9118E">
            <w:pPr>
              <w:jc w:val="center"/>
              <w:rPr>
                <w:rFonts w:cs="Times New Roman"/>
                <w:sz w:val="18"/>
                <w:szCs w:val="18"/>
              </w:rPr>
            </w:pPr>
            <w:r w:rsidRPr="00887108">
              <w:rPr>
                <w:sz w:val="18"/>
                <w:szCs w:val="18"/>
              </w:rPr>
              <w:t>41,5</w:t>
            </w:r>
          </w:p>
        </w:tc>
        <w:tc>
          <w:tcPr>
            <w:tcW w:w="820" w:type="dxa"/>
            <w:gridSpan w:val="2"/>
            <w:tcBorders>
              <w:top w:val="nil"/>
              <w:left w:val="nil"/>
              <w:bottom w:val="nil"/>
              <w:right w:val="nil"/>
            </w:tcBorders>
            <w:shd w:val="clear" w:color="auto" w:fill="auto"/>
          </w:tcPr>
          <w:p w14:paraId="138D8599" w14:textId="77777777" w:rsidR="00D37A31" w:rsidRPr="00887108" w:rsidRDefault="00D37A31" w:rsidP="00E9118E">
            <w:pPr>
              <w:jc w:val="center"/>
              <w:rPr>
                <w:rFonts w:cs="Times New Roman"/>
                <w:sz w:val="18"/>
                <w:szCs w:val="18"/>
              </w:rPr>
            </w:pPr>
            <w:r w:rsidRPr="00887108">
              <w:rPr>
                <w:sz w:val="18"/>
                <w:szCs w:val="18"/>
              </w:rPr>
              <w:t>41,4</w:t>
            </w:r>
          </w:p>
        </w:tc>
        <w:tc>
          <w:tcPr>
            <w:tcW w:w="684" w:type="dxa"/>
            <w:tcBorders>
              <w:top w:val="nil"/>
              <w:left w:val="nil"/>
              <w:bottom w:val="nil"/>
              <w:right w:val="nil"/>
            </w:tcBorders>
            <w:shd w:val="clear" w:color="auto" w:fill="auto"/>
          </w:tcPr>
          <w:p w14:paraId="374B07A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5470D5E0"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07C9CE2A"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281F4C8E" w14:textId="77777777" w:rsidTr="00E9118E">
        <w:trPr>
          <w:trHeight w:val="283"/>
        </w:trPr>
        <w:tc>
          <w:tcPr>
            <w:tcW w:w="3519" w:type="dxa"/>
            <w:gridSpan w:val="3"/>
            <w:tcBorders>
              <w:top w:val="nil"/>
              <w:left w:val="nil"/>
              <w:bottom w:val="nil"/>
              <w:right w:val="nil"/>
            </w:tcBorders>
            <w:shd w:val="clear" w:color="auto" w:fill="auto"/>
            <w:vAlign w:val="center"/>
            <w:hideMark/>
          </w:tcPr>
          <w:p w14:paraId="123A4038" w14:textId="77777777" w:rsidR="00D37A31" w:rsidRPr="00887108" w:rsidRDefault="00D37A31" w:rsidP="00E9118E">
            <w:pPr>
              <w:rPr>
                <w:rFonts w:cs="Times New Roman"/>
                <w:sz w:val="18"/>
                <w:szCs w:val="18"/>
              </w:rPr>
            </w:pPr>
            <w:r w:rsidRPr="00887108">
              <w:rPr>
                <w:rFonts w:cs="Times New Roman"/>
                <w:sz w:val="18"/>
                <w:szCs w:val="18"/>
              </w:rPr>
              <w:t>7. Celkové výdavky</w:t>
            </w:r>
          </w:p>
        </w:tc>
        <w:tc>
          <w:tcPr>
            <w:tcW w:w="1272" w:type="dxa"/>
            <w:gridSpan w:val="2"/>
            <w:tcBorders>
              <w:top w:val="nil"/>
              <w:left w:val="nil"/>
              <w:bottom w:val="nil"/>
              <w:right w:val="nil"/>
            </w:tcBorders>
            <w:shd w:val="clear" w:color="auto" w:fill="auto"/>
            <w:vAlign w:val="center"/>
            <w:hideMark/>
          </w:tcPr>
          <w:p w14:paraId="5FBE55F2" w14:textId="77777777" w:rsidR="00D37A31" w:rsidRPr="00887108" w:rsidRDefault="00D37A31" w:rsidP="00E9118E">
            <w:pPr>
              <w:jc w:val="center"/>
              <w:rPr>
                <w:rFonts w:cs="Times New Roman"/>
                <w:sz w:val="18"/>
                <w:szCs w:val="18"/>
              </w:rPr>
            </w:pPr>
            <w:r w:rsidRPr="00887108">
              <w:rPr>
                <w:rFonts w:cs="Times New Roman"/>
                <w:sz w:val="18"/>
                <w:szCs w:val="18"/>
              </w:rPr>
              <w:t xml:space="preserve">TE </w:t>
            </w:r>
            <w:r w:rsidRPr="00887108">
              <w:rPr>
                <w:rFonts w:cs="Times New Roman"/>
                <w:sz w:val="18"/>
                <w:szCs w:val="18"/>
                <w:vertAlign w:val="superscript"/>
              </w:rPr>
              <w:t>[1]</w:t>
            </w:r>
          </w:p>
        </w:tc>
        <w:tc>
          <w:tcPr>
            <w:tcW w:w="793" w:type="dxa"/>
            <w:gridSpan w:val="2"/>
            <w:tcBorders>
              <w:top w:val="nil"/>
              <w:left w:val="nil"/>
              <w:bottom w:val="nil"/>
              <w:right w:val="nil"/>
            </w:tcBorders>
            <w:shd w:val="clear" w:color="auto" w:fill="auto"/>
          </w:tcPr>
          <w:p w14:paraId="23F40832" w14:textId="77777777" w:rsidR="00D37A31" w:rsidRPr="00887108" w:rsidRDefault="00D37A31" w:rsidP="00E9118E">
            <w:pPr>
              <w:jc w:val="center"/>
              <w:rPr>
                <w:rFonts w:cs="Times New Roman"/>
                <w:sz w:val="18"/>
                <w:szCs w:val="18"/>
              </w:rPr>
            </w:pPr>
            <w:r w:rsidRPr="00887108">
              <w:rPr>
                <w:sz w:val="18"/>
                <w:szCs w:val="18"/>
              </w:rPr>
              <w:t>40304,4</w:t>
            </w:r>
          </w:p>
        </w:tc>
        <w:tc>
          <w:tcPr>
            <w:tcW w:w="747" w:type="dxa"/>
            <w:gridSpan w:val="2"/>
            <w:tcBorders>
              <w:top w:val="nil"/>
              <w:left w:val="nil"/>
              <w:bottom w:val="nil"/>
              <w:right w:val="nil"/>
            </w:tcBorders>
            <w:shd w:val="clear" w:color="auto" w:fill="auto"/>
          </w:tcPr>
          <w:p w14:paraId="63EB337D" w14:textId="77777777" w:rsidR="00D37A31" w:rsidRPr="00887108" w:rsidRDefault="00D37A31" w:rsidP="00E9118E">
            <w:pPr>
              <w:jc w:val="center"/>
              <w:rPr>
                <w:rFonts w:cs="Times New Roman"/>
                <w:sz w:val="18"/>
                <w:szCs w:val="18"/>
              </w:rPr>
            </w:pPr>
            <w:r w:rsidRPr="00887108">
              <w:rPr>
                <w:sz w:val="18"/>
                <w:szCs w:val="18"/>
              </w:rPr>
              <w:t>42,8</w:t>
            </w:r>
          </w:p>
        </w:tc>
        <w:tc>
          <w:tcPr>
            <w:tcW w:w="820" w:type="dxa"/>
            <w:gridSpan w:val="2"/>
            <w:tcBorders>
              <w:top w:val="nil"/>
              <w:left w:val="nil"/>
              <w:bottom w:val="nil"/>
              <w:right w:val="nil"/>
            </w:tcBorders>
            <w:shd w:val="clear" w:color="auto" w:fill="auto"/>
          </w:tcPr>
          <w:p w14:paraId="51232DA2" w14:textId="77777777" w:rsidR="00D37A31" w:rsidRPr="00887108" w:rsidRDefault="00D37A31" w:rsidP="00E9118E">
            <w:pPr>
              <w:jc w:val="center"/>
              <w:rPr>
                <w:rFonts w:cs="Times New Roman"/>
                <w:sz w:val="18"/>
                <w:szCs w:val="18"/>
              </w:rPr>
            </w:pPr>
            <w:r w:rsidRPr="00887108">
              <w:rPr>
                <w:sz w:val="18"/>
                <w:szCs w:val="18"/>
              </w:rPr>
              <w:t>49,8</w:t>
            </w:r>
          </w:p>
        </w:tc>
        <w:tc>
          <w:tcPr>
            <w:tcW w:w="684" w:type="dxa"/>
            <w:tcBorders>
              <w:top w:val="nil"/>
              <w:left w:val="nil"/>
              <w:bottom w:val="nil"/>
              <w:right w:val="nil"/>
            </w:tcBorders>
            <w:shd w:val="clear" w:color="auto" w:fill="auto"/>
          </w:tcPr>
          <w:p w14:paraId="4D9A76EB"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9D0F1C2"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1FD777E5"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7A745504" w14:textId="77777777" w:rsidTr="00E9118E">
        <w:trPr>
          <w:trHeight w:val="283"/>
        </w:trPr>
        <w:tc>
          <w:tcPr>
            <w:tcW w:w="3519" w:type="dxa"/>
            <w:gridSpan w:val="3"/>
            <w:tcBorders>
              <w:top w:val="nil"/>
              <w:left w:val="nil"/>
              <w:bottom w:val="nil"/>
              <w:right w:val="nil"/>
            </w:tcBorders>
            <w:shd w:val="clear" w:color="auto" w:fill="auto"/>
            <w:vAlign w:val="center"/>
            <w:hideMark/>
          </w:tcPr>
          <w:p w14:paraId="53C8BE8C" w14:textId="77777777" w:rsidR="00D37A31" w:rsidRPr="00887108" w:rsidRDefault="00D37A31" w:rsidP="00E9118E">
            <w:pPr>
              <w:rPr>
                <w:rFonts w:cs="Times New Roman"/>
                <w:sz w:val="18"/>
                <w:szCs w:val="18"/>
              </w:rPr>
            </w:pPr>
            <w:r w:rsidRPr="00887108">
              <w:rPr>
                <w:rFonts w:cs="Times New Roman"/>
                <w:sz w:val="18"/>
                <w:szCs w:val="18"/>
              </w:rPr>
              <w:t>8. Čisté pôžičky poskytnuté / prijaté</w:t>
            </w:r>
          </w:p>
        </w:tc>
        <w:tc>
          <w:tcPr>
            <w:tcW w:w="1272" w:type="dxa"/>
            <w:gridSpan w:val="2"/>
            <w:tcBorders>
              <w:top w:val="nil"/>
              <w:left w:val="nil"/>
              <w:bottom w:val="nil"/>
              <w:right w:val="nil"/>
            </w:tcBorders>
            <w:shd w:val="clear" w:color="auto" w:fill="auto"/>
            <w:vAlign w:val="center"/>
            <w:hideMark/>
          </w:tcPr>
          <w:p w14:paraId="5742EE54" w14:textId="77777777" w:rsidR="00D37A31" w:rsidRPr="00887108" w:rsidRDefault="00D37A31" w:rsidP="00E9118E">
            <w:pPr>
              <w:jc w:val="center"/>
              <w:rPr>
                <w:rFonts w:cs="Times New Roman"/>
                <w:sz w:val="18"/>
                <w:szCs w:val="18"/>
              </w:rPr>
            </w:pPr>
            <w:r w:rsidRPr="00887108">
              <w:rPr>
                <w:rFonts w:cs="Times New Roman"/>
                <w:sz w:val="18"/>
                <w:szCs w:val="18"/>
              </w:rPr>
              <w:t>B.9</w:t>
            </w:r>
          </w:p>
        </w:tc>
        <w:tc>
          <w:tcPr>
            <w:tcW w:w="793" w:type="dxa"/>
            <w:gridSpan w:val="2"/>
            <w:tcBorders>
              <w:top w:val="nil"/>
              <w:left w:val="nil"/>
              <w:bottom w:val="nil"/>
              <w:right w:val="nil"/>
            </w:tcBorders>
            <w:shd w:val="clear" w:color="auto" w:fill="auto"/>
          </w:tcPr>
          <w:p w14:paraId="3DBDF4D1" w14:textId="77777777" w:rsidR="00D37A31" w:rsidRPr="00887108" w:rsidRDefault="00D37A31" w:rsidP="00E9118E">
            <w:pPr>
              <w:jc w:val="center"/>
              <w:rPr>
                <w:rFonts w:cs="Times New Roman"/>
                <w:sz w:val="18"/>
                <w:szCs w:val="18"/>
              </w:rPr>
            </w:pPr>
            <w:r w:rsidRPr="00887108">
              <w:rPr>
                <w:sz w:val="18"/>
                <w:szCs w:val="18"/>
              </w:rPr>
              <w:t>-1219,7</w:t>
            </w:r>
          </w:p>
        </w:tc>
        <w:tc>
          <w:tcPr>
            <w:tcW w:w="747" w:type="dxa"/>
            <w:gridSpan w:val="2"/>
            <w:tcBorders>
              <w:top w:val="nil"/>
              <w:left w:val="nil"/>
              <w:bottom w:val="nil"/>
              <w:right w:val="nil"/>
            </w:tcBorders>
            <w:shd w:val="clear" w:color="auto" w:fill="auto"/>
          </w:tcPr>
          <w:p w14:paraId="3B65C9C5" w14:textId="77777777" w:rsidR="00D37A31" w:rsidRPr="00887108" w:rsidRDefault="00D37A31" w:rsidP="00E9118E">
            <w:pPr>
              <w:jc w:val="center"/>
              <w:rPr>
                <w:rFonts w:cs="Times New Roman"/>
                <w:sz w:val="18"/>
                <w:szCs w:val="18"/>
              </w:rPr>
            </w:pPr>
            <w:r w:rsidRPr="00887108">
              <w:rPr>
                <w:sz w:val="18"/>
                <w:szCs w:val="18"/>
              </w:rPr>
              <w:t>-1,3</w:t>
            </w:r>
          </w:p>
        </w:tc>
        <w:tc>
          <w:tcPr>
            <w:tcW w:w="820" w:type="dxa"/>
            <w:gridSpan w:val="2"/>
            <w:tcBorders>
              <w:top w:val="nil"/>
              <w:left w:val="nil"/>
              <w:bottom w:val="nil"/>
              <w:right w:val="nil"/>
            </w:tcBorders>
            <w:shd w:val="clear" w:color="auto" w:fill="auto"/>
          </w:tcPr>
          <w:p w14:paraId="4AFA6E38" w14:textId="77777777" w:rsidR="00D37A31" w:rsidRPr="00887108" w:rsidRDefault="00D37A31" w:rsidP="00E9118E">
            <w:pPr>
              <w:jc w:val="center"/>
              <w:rPr>
                <w:rFonts w:cs="Times New Roman"/>
                <w:sz w:val="18"/>
                <w:szCs w:val="18"/>
              </w:rPr>
            </w:pPr>
            <w:r w:rsidRPr="00887108">
              <w:rPr>
                <w:sz w:val="18"/>
                <w:szCs w:val="18"/>
              </w:rPr>
              <w:t>-8,4</w:t>
            </w:r>
          </w:p>
        </w:tc>
        <w:tc>
          <w:tcPr>
            <w:tcW w:w="684" w:type="dxa"/>
            <w:tcBorders>
              <w:top w:val="nil"/>
              <w:left w:val="nil"/>
              <w:bottom w:val="nil"/>
              <w:right w:val="nil"/>
            </w:tcBorders>
            <w:shd w:val="clear" w:color="auto" w:fill="auto"/>
          </w:tcPr>
          <w:p w14:paraId="04634A84" w14:textId="77777777" w:rsidR="00D37A31" w:rsidRPr="00887108" w:rsidRDefault="00D37A31" w:rsidP="00E9118E">
            <w:pPr>
              <w:jc w:val="center"/>
              <w:rPr>
                <w:rFonts w:cs="Times New Roman"/>
                <w:sz w:val="18"/>
                <w:szCs w:val="18"/>
              </w:rPr>
            </w:pPr>
            <w:r w:rsidRPr="00887108">
              <w:rPr>
                <w:sz w:val="18"/>
                <w:szCs w:val="18"/>
              </w:rPr>
              <w:t>-4,9</w:t>
            </w:r>
          </w:p>
        </w:tc>
        <w:tc>
          <w:tcPr>
            <w:tcW w:w="659" w:type="dxa"/>
            <w:gridSpan w:val="2"/>
            <w:tcBorders>
              <w:top w:val="nil"/>
              <w:left w:val="nil"/>
              <w:bottom w:val="nil"/>
              <w:right w:val="nil"/>
            </w:tcBorders>
            <w:shd w:val="clear" w:color="auto" w:fill="auto"/>
          </w:tcPr>
          <w:p w14:paraId="702E5A34"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D477C32"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2C865BEE" w14:textId="77777777" w:rsidTr="00E9118E">
        <w:trPr>
          <w:trHeight w:val="283"/>
        </w:trPr>
        <w:tc>
          <w:tcPr>
            <w:tcW w:w="3519" w:type="dxa"/>
            <w:gridSpan w:val="3"/>
            <w:tcBorders>
              <w:top w:val="nil"/>
              <w:left w:val="nil"/>
              <w:bottom w:val="nil"/>
              <w:right w:val="nil"/>
            </w:tcBorders>
            <w:shd w:val="clear" w:color="auto" w:fill="auto"/>
            <w:vAlign w:val="center"/>
            <w:hideMark/>
          </w:tcPr>
          <w:p w14:paraId="5BEE65E6" w14:textId="77777777" w:rsidR="00D37A31" w:rsidRPr="00887108" w:rsidRDefault="00D37A31" w:rsidP="00E9118E">
            <w:pPr>
              <w:rPr>
                <w:rFonts w:cs="Times New Roman"/>
                <w:sz w:val="18"/>
                <w:szCs w:val="18"/>
              </w:rPr>
            </w:pPr>
            <w:r w:rsidRPr="00887108">
              <w:rPr>
                <w:rFonts w:cs="Times New Roman"/>
                <w:sz w:val="18"/>
                <w:szCs w:val="18"/>
              </w:rPr>
              <w:t>9. Úrokové náklady</w:t>
            </w:r>
          </w:p>
        </w:tc>
        <w:tc>
          <w:tcPr>
            <w:tcW w:w="1272" w:type="dxa"/>
            <w:gridSpan w:val="2"/>
            <w:tcBorders>
              <w:top w:val="nil"/>
              <w:left w:val="nil"/>
              <w:bottom w:val="nil"/>
              <w:right w:val="nil"/>
            </w:tcBorders>
            <w:shd w:val="clear" w:color="auto" w:fill="auto"/>
            <w:vAlign w:val="center"/>
            <w:hideMark/>
          </w:tcPr>
          <w:p w14:paraId="63C814AD" w14:textId="77777777" w:rsidR="00D37A31" w:rsidRPr="00887108" w:rsidRDefault="00D37A31" w:rsidP="00E9118E">
            <w:pPr>
              <w:jc w:val="center"/>
              <w:rPr>
                <w:rFonts w:cs="Times New Roman"/>
                <w:sz w:val="18"/>
                <w:szCs w:val="18"/>
              </w:rPr>
            </w:pPr>
            <w:r w:rsidRPr="00887108">
              <w:rPr>
                <w:rFonts w:cs="Times New Roman"/>
                <w:sz w:val="18"/>
                <w:szCs w:val="18"/>
              </w:rPr>
              <w:t>D.41</w:t>
            </w:r>
          </w:p>
        </w:tc>
        <w:tc>
          <w:tcPr>
            <w:tcW w:w="793" w:type="dxa"/>
            <w:gridSpan w:val="2"/>
            <w:tcBorders>
              <w:top w:val="nil"/>
              <w:left w:val="nil"/>
              <w:bottom w:val="nil"/>
              <w:right w:val="nil"/>
            </w:tcBorders>
            <w:shd w:val="clear" w:color="auto" w:fill="auto"/>
          </w:tcPr>
          <w:p w14:paraId="0DCE0ED0" w14:textId="77777777" w:rsidR="00D37A31" w:rsidRPr="00887108" w:rsidRDefault="00D37A31" w:rsidP="00E9118E">
            <w:pPr>
              <w:jc w:val="center"/>
              <w:rPr>
                <w:rFonts w:cs="Times New Roman"/>
                <w:sz w:val="18"/>
                <w:szCs w:val="18"/>
              </w:rPr>
            </w:pPr>
            <w:r w:rsidRPr="00887108">
              <w:rPr>
                <w:sz w:val="18"/>
                <w:szCs w:val="18"/>
              </w:rPr>
              <w:t>1157,1</w:t>
            </w:r>
          </w:p>
        </w:tc>
        <w:tc>
          <w:tcPr>
            <w:tcW w:w="747" w:type="dxa"/>
            <w:gridSpan w:val="2"/>
            <w:tcBorders>
              <w:top w:val="nil"/>
              <w:left w:val="nil"/>
              <w:bottom w:val="nil"/>
              <w:right w:val="nil"/>
            </w:tcBorders>
            <w:shd w:val="clear" w:color="auto" w:fill="auto"/>
          </w:tcPr>
          <w:p w14:paraId="351AEC7F" w14:textId="77777777" w:rsidR="00D37A31" w:rsidRPr="00887108" w:rsidRDefault="00D37A31" w:rsidP="00E9118E">
            <w:pPr>
              <w:jc w:val="center"/>
              <w:rPr>
                <w:rFonts w:cs="Times New Roman"/>
                <w:sz w:val="18"/>
                <w:szCs w:val="18"/>
              </w:rPr>
            </w:pPr>
            <w:r w:rsidRPr="00887108">
              <w:rPr>
                <w:sz w:val="18"/>
                <w:szCs w:val="18"/>
              </w:rPr>
              <w:t>1,2</w:t>
            </w:r>
          </w:p>
        </w:tc>
        <w:tc>
          <w:tcPr>
            <w:tcW w:w="820" w:type="dxa"/>
            <w:gridSpan w:val="2"/>
            <w:tcBorders>
              <w:top w:val="nil"/>
              <w:left w:val="nil"/>
              <w:bottom w:val="nil"/>
              <w:right w:val="nil"/>
            </w:tcBorders>
            <w:shd w:val="clear" w:color="auto" w:fill="auto"/>
          </w:tcPr>
          <w:p w14:paraId="64EFA10C" w14:textId="77777777" w:rsidR="00D37A31" w:rsidRPr="00887108" w:rsidRDefault="00D37A31" w:rsidP="00E9118E">
            <w:pPr>
              <w:jc w:val="center"/>
              <w:rPr>
                <w:rFonts w:cs="Times New Roman"/>
                <w:sz w:val="18"/>
                <w:szCs w:val="18"/>
              </w:rPr>
            </w:pPr>
            <w:r w:rsidRPr="00887108">
              <w:rPr>
                <w:sz w:val="18"/>
                <w:szCs w:val="18"/>
              </w:rPr>
              <w:t>1,2</w:t>
            </w:r>
          </w:p>
        </w:tc>
        <w:tc>
          <w:tcPr>
            <w:tcW w:w="684" w:type="dxa"/>
            <w:tcBorders>
              <w:top w:val="nil"/>
              <w:left w:val="nil"/>
              <w:bottom w:val="nil"/>
              <w:right w:val="nil"/>
            </w:tcBorders>
            <w:shd w:val="clear" w:color="auto" w:fill="auto"/>
          </w:tcPr>
          <w:p w14:paraId="58022C30"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66661DAE"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768D79CB"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4E794F59" w14:textId="77777777" w:rsidTr="00E9118E">
        <w:trPr>
          <w:trHeight w:val="283"/>
        </w:trPr>
        <w:tc>
          <w:tcPr>
            <w:tcW w:w="3519" w:type="dxa"/>
            <w:gridSpan w:val="3"/>
            <w:tcBorders>
              <w:top w:val="nil"/>
              <w:left w:val="nil"/>
              <w:bottom w:val="nil"/>
              <w:right w:val="nil"/>
            </w:tcBorders>
            <w:shd w:val="clear" w:color="auto" w:fill="auto"/>
            <w:vAlign w:val="center"/>
            <w:hideMark/>
          </w:tcPr>
          <w:p w14:paraId="3981849D" w14:textId="77777777" w:rsidR="00D37A31" w:rsidRPr="00887108" w:rsidRDefault="00D37A31" w:rsidP="00E9118E">
            <w:pPr>
              <w:rPr>
                <w:rFonts w:cs="Times New Roman"/>
                <w:sz w:val="18"/>
                <w:szCs w:val="18"/>
              </w:rPr>
            </w:pPr>
            <w:r w:rsidRPr="00887108">
              <w:rPr>
                <w:rFonts w:cs="Times New Roman"/>
                <w:sz w:val="18"/>
                <w:szCs w:val="18"/>
              </w:rPr>
              <w:t>10. Primárne saldo</w:t>
            </w:r>
          </w:p>
        </w:tc>
        <w:tc>
          <w:tcPr>
            <w:tcW w:w="1272" w:type="dxa"/>
            <w:gridSpan w:val="2"/>
            <w:tcBorders>
              <w:top w:val="nil"/>
              <w:left w:val="nil"/>
              <w:bottom w:val="nil"/>
              <w:right w:val="nil"/>
            </w:tcBorders>
            <w:shd w:val="clear" w:color="auto" w:fill="auto"/>
            <w:vAlign w:val="center"/>
            <w:hideMark/>
          </w:tcPr>
          <w:p w14:paraId="38C95BFE" w14:textId="77777777" w:rsidR="00D37A31" w:rsidRPr="00887108" w:rsidRDefault="00D37A31" w:rsidP="00E9118E">
            <w:pPr>
              <w:jc w:val="center"/>
              <w:rPr>
                <w:rFonts w:cs="Times New Roman"/>
                <w:sz w:val="18"/>
                <w:szCs w:val="18"/>
              </w:rPr>
            </w:pPr>
            <w:r w:rsidRPr="00887108">
              <w:rPr>
                <w:rFonts w:cs="Times New Roman"/>
                <w:sz w:val="18"/>
                <w:szCs w:val="18"/>
                <w:vertAlign w:val="superscript"/>
              </w:rPr>
              <w:t>[2]</w:t>
            </w:r>
          </w:p>
        </w:tc>
        <w:tc>
          <w:tcPr>
            <w:tcW w:w="793" w:type="dxa"/>
            <w:gridSpan w:val="2"/>
            <w:tcBorders>
              <w:top w:val="nil"/>
              <w:left w:val="nil"/>
              <w:bottom w:val="nil"/>
              <w:right w:val="nil"/>
            </w:tcBorders>
            <w:shd w:val="clear" w:color="auto" w:fill="auto"/>
          </w:tcPr>
          <w:p w14:paraId="1FDAFAC3" w14:textId="77777777" w:rsidR="00D37A31" w:rsidRPr="00887108" w:rsidRDefault="00D37A31" w:rsidP="00E9118E">
            <w:pPr>
              <w:jc w:val="center"/>
              <w:rPr>
                <w:rFonts w:cs="Times New Roman"/>
                <w:sz w:val="18"/>
                <w:szCs w:val="18"/>
              </w:rPr>
            </w:pPr>
            <w:r w:rsidRPr="00887108">
              <w:rPr>
                <w:sz w:val="18"/>
                <w:szCs w:val="18"/>
              </w:rPr>
              <w:t>-62,6</w:t>
            </w:r>
          </w:p>
        </w:tc>
        <w:tc>
          <w:tcPr>
            <w:tcW w:w="747" w:type="dxa"/>
            <w:gridSpan w:val="2"/>
            <w:tcBorders>
              <w:top w:val="nil"/>
              <w:left w:val="nil"/>
              <w:bottom w:val="nil"/>
              <w:right w:val="nil"/>
            </w:tcBorders>
            <w:shd w:val="clear" w:color="auto" w:fill="auto"/>
          </w:tcPr>
          <w:p w14:paraId="2ED2DC5D" w14:textId="77777777" w:rsidR="00D37A31" w:rsidRPr="00887108" w:rsidRDefault="00D37A31" w:rsidP="00E9118E">
            <w:pPr>
              <w:jc w:val="center"/>
              <w:rPr>
                <w:rFonts w:cs="Times New Roman"/>
                <w:sz w:val="18"/>
                <w:szCs w:val="18"/>
              </w:rPr>
            </w:pPr>
            <w:r w:rsidRPr="00887108">
              <w:rPr>
                <w:sz w:val="18"/>
                <w:szCs w:val="18"/>
              </w:rPr>
              <w:t>-0,1</w:t>
            </w:r>
          </w:p>
        </w:tc>
        <w:tc>
          <w:tcPr>
            <w:tcW w:w="820" w:type="dxa"/>
            <w:gridSpan w:val="2"/>
            <w:tcBorders>
              <w:top w:val="nil"/>
              <w:left w:val="nil"/>
              <w:bottom w:val="nil"/>
              <w:right w:val="nil"/>
            </w:tcBorders>
            <w:shd w:val="clear" w:color="auto" w:fill="auto"/>
          </w:tcPr>
          <w:p w14:paraId="6A5CA73C" w14:textId="77777777" w:rsidR="00D37A31" w:rsidRPr="00887108" w:rsidRDefault="00D37A31" w:rsidP="00E9118E">
            <w:pPr>
              <w:jc w:val="center"/>
              <w:rPr>
                <w:rFonts w:cs="Times New Roman"/>
                <w:sz w:val="18"/>
                <w:szCs w:val="18"/>
              </w:rPr>
            </w:pPr>
            <w:r w:rsidRPr="00887108">
              <w:rPr>
                <w:sz w:val="18"/>
                <w:szCs w:val="18"/>
              </w:rPr>
              <w:t>-7,2</w:t>
            </w:r>
          </w:p>
        </w:tc>
        <w:tc>
          <w:tcPr>
            <w:tcW w:w="684" w:type="dxa"/>
            <w:tcBorders>
              <w:top w:val="nil"/>
              <w:left w:val="nil"/>
              <w:bottom w:val="nil"/>
              <w:right w:val="nil"/>
            </w:tcBorders>
            <w:shd w:val="clear" w:color="auto" w:fill="auto"/>
          </w:tcPr>
          <w:p w14:paraId="7F88A5A0"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846DC7E"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1185A0DF"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2B2009A9" w14:textId="77777777" w:rsidTr="00E9118E">
        <w:trPr>
          <w:trHeight w:val="283"/>
        </w:trPr>
        <w:tc>
          <w:tcPr>
            <w:tcW w:w="3519" w:type="dxa"/>
            <w:gridSpan w:val="3"/>
            <w:tcBorders>
              <w:top w:val="nil"/>
              <w:left w:val="nil"/>
              <w:bottom w:val="single" w:sz="4" w:space="0" w:color="auto"/>
              <w:right w:val="nil"/>
            </w:tcBorders>
            <w:shd w:val="clear" w:color="auto" w:fill="auto"/>
            <w:vAlign w:val="center"/>
            <w:hideMark/>
          </w:tcPr>
          <w:p w14:paraId="1EE5D5FC" w14:textId="77777777" w:rsidR="00D37A31" w:rsidRPr="00887108" w:rsidRDefault="00D37A31" w:rsidP="00E9118E">
            <w:pPr>
              <w:rPr>
                <w:rFonts w:cs="Times New Roman"/>
                <w:sz w:val="18"/>
                <w:szCs w:val="18"/>
              </w:rPr>
            </w:pPr>
            <w:r w:rsidRPr="00887108">
              <w:rPr>
                <w:rFonts w:cs="Times New Roman"/>
                <w:sz w:val="18"/>
                <w:szCs w:val="18"/>
              </w:rPr>
              <w:t>11. Jednorazové a dočasné efekty</w:t>
            </w:r>
          </w:p>
        </w:tc>
        <w:tc>
          <w:tcPr>
            <w:tcW w:w="1272" w:type="dxa"/>
            <w:gridSpan w:val="2"/>
            <w:tcBorders>
              <w:top w:val="nil"/>
              <w:left w:val="nil"/>
              <w:bottom w:val="single" w:sz="4" w:space="0" w:color="auto"/>
              <w:right w:val="nil"/>
            </w:tcBorders>
            <w:shd w:val="clear" w:color="auto" w:fill="auto"/>
            <w:vAlign w:val="center"/>
            <w:hideMark/>
          </w:tcPr>
          <w:p w14:paraId="724EF76A" w14:textId="77777777" w:rsidR="00D37A31" w:rsidRPr="00887108" w:rsidRDefault="00D37A31" w:rsidP="00E9118E">
            <w:pPr>
              <w:jc w:val="center"/>
              <w:rPr>
                <w:rFonts w:cs="Times New Roman"/>
                <w:sz w:val="18"/>
                <w:szCs w:val="18"/>
              </w:rPr>
            </w:pPr>
            <w:r w:rsidRPr="00887108">
              <w:rPr>
                <w:rFonts w:cs="Times New Roman"/>
                <w:sz w:val="18"/>
                <w:szCs w:val="18"/>
                <w:vertAlign w:val="superscript"/>
              </w:rPr>
              <w:t>[3]</w:t>
            </w:r>
          </w:p>
        </w:tc>
        <w:tc>
          <w:tcPr>
            <w:tcW w:w="793" w:type="dxa"/>
            <w:gridSpan w:val="2"/>
            <w:tcBorders>
              <w:top w:val="nil"/>
              <w:left w:val="nil"/>
              <w:bottom w:val="nil"/>
              <w:right w:val="nil"/>
            </w:tcBorders>
            <w:shd w:val="clear" w:color="auto" w:fill="auto"/>
          </w:tcPr>
          <w:p w14:paraId="5A7699AA" w14:textId="77777777" w:rsidR="00D37A31" w:rsidRPr="00887108" w:rsidRDefault="00D37A31" w:rsidP="00E9118E">
            <w:pPr>
              <w:jc w:val="center"/>
              <w:rPr>
                <w:rFonts w:cs="Times New Roman"/>
                <w:sz w:val="18"/>
                <w:szCs w:val="18"/>
              </w:rPr>
            </w:pPr>
            <w:r w:rsidRPr="00887108">
              <w:rPr>
                <w:sz w:val="18"/>
                <w:szCs w:val="18"/>
              </w:rPr>
              <w:t>0,0</w:t>
            </w:r>
          </w:p>
        </w:tc>
        <w:tc>
          <w:tcPr>
            <w:tcW w:w="747" w:type="dxa"/>
            <w:gridSpan w:val="2"/>
            <w:tcBorders>
              <w:top w:val="nil"/>
              <w:left w:val="nil"/>
              <w:bottom w:val="nil"/>
              <w:right w:val="nil"/>
            </w:tcBorders>
            <w:shd w:val="clear" w:color="auto" w:fill="auto"/>
          </w:tcPr>
          <w:p w14:paraId="12F1E7DA" w14:textId="77777777" w:rsidR="00D37A31" w:rsidRPr="00887108" w:rsidRDefault="00D37A31" w:rsidP="00E9118E">
            <w:pPr>
              <w:jc w:val="center"/>
              <w:rPr>
                <w:rFonts w:cs="Times New Roman"/>
                <w:sz w:val="18"/>
                <w:szCs w:val="18"/>
              </w:rPr>
            </w:pPr>
            <w:r w:rsidRPr="00887108">
              <w:rPr>
                <w:sz w:val="18"/>
                <w:szCs w:val="18"/>
              </w:rPr>
              <w:t>0,0</w:t>
            </w:r>
          </w:p>
        </w:tc>
        <w:tc>
          <w:tcPr>
            <w:tcW w:w="820" w:type="dxa"/>
            <w:gridSpan w:val="2"/>
            <w:tcBorders>
              <w:top w:val="nil"/>
              <w:left w:val="nil"/>
              <w:bottom w:val="nil"/>
              <w:right w:val="nil"/>
            </w:tcBorders>
            <w:shd w:val="clear" w:color="auto" w:fill="auto"/>
          </w:tcPr>
          <w:p w14:paraId="6558488C" w14:textId="77777777" w:rsidR="00D37A31" w:rsidRPr="00887108" w:rsidRDefault="00D37A31" w:rsidP="00E9118E">
            <w:pPr>
              <w:jc w:val="center"/>
              <w:rPr>
                <w:rFonts w:cs="Times New Roman"/>
                <w:sz w:val="18"/>
                <w:szCs w:val="18"/>
              </w:rPr>
            </w:pPr>
            <w:r w:rsidRPr="00887108">
              <w:rPr>
                <w:sz w:val="18"/>
                <w:szCs w:val="18"/>
              </w:rPr>
              <w:t>0,0</w:t>
            </w:r>
          </w:p>
        </w:tc>
        <w:tc>
          <w:tcPr>
            <w:tcW w:w="684" w:type="dxa"/>
            <w:tcBorders>
              <w:top w:val="nil"/>
              <w:left w:val="nil"/>
              <w:bottom w:val="nil"/>
              <w:right w:val="nil"/>
            </w:tcBorders>
            <w:shd w:val="clear" w:color="auto" w:fill="auto"/>
          </w:tcPr>
          <w:p w14:paraId="06E3FF1A"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73BE2C8F"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61C058EB"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5BB9219D" w14:textId="77777777" w:rsidTr="00E9118E">
        <w:trPr>
          <w:trHeight w:val="283"/>
        </w:trPr>
        <w:tc>
          <w:tcPr>
            <w:tcW w:w="9132" w:type="dxa"/>
            <w:gridSpan w:val="16"/>
            <w:tcBorders>
              <w:top w:val="single" w:sz="4" w:space="0" w:color="auto"/>
              <w:left w:val="nil"/>
              <w:bottom w:val="single" w:sz="6" w:space="0" w:color="auto"/>
              <w:right w:val="nil"/>
            </w:tcBorders>
            <w:shd w:val="clear" w:color="auto" w:fill="auto"/>
            <w:vAlign w:val="center"/>
            <w:hideMark/>
          </w:tcPr>
          <w:p w14:paraId="071F6D84" w14:textId="77777777" w:rsidR="00D37A31" w:rsidRPr="00887108" w:rsidRDefault="00D37A31" w:rsidP="00E9118E">
            <w:pPr>
              <w:jc w:val="center"/>
              <w:rPr>
                <w:rFonts w:cs="Times New Roman"/>
                <w:b/>
                <w:bCs/>
                <w:sz w:val="18"/>
                <w:szCs w:val="18"/>
              </w:rPr>
            </w:pPr>
            <w:r w:rsidRPr="00887108">
              <w:rPr>
                <w:rFonts w:cs="Times New Roman"/>
                <w:b/>
                <w:bCs/>
                <w:sz w:val="18"/>
                <w:szCs w:val="18"/>
              </w:rPr>
              <w:t>Vybrané zložky príjmov</w:t>
            </w:r>
          </w:p>
        </w:tc>
      </w:tr>
      <w:tr w:rsidR="00D37A31" w:rsidRPr="00887108" w14:paraId="3A96096E" w14:textId="77777777" w:rsidTr="00E9118E">
        <w:trPr>
          <w:trHeight w:val="283"/>
        </w:trPr>
        <w:tc>
          <w:tcPr>
            <w:tcW w:w="3519" w:type="dxa"/>
            <w:gridSpan w:val="3"/>
            <w:tcBorders>
              <w:top w:val="single" w:sz="6" w:space="0" w:color="auto"/>
              <w:left w:val="nil"/>
              <w:bottom w:val="nil"/>
              <w:right w:val="nil"/>
            </w:tcBorders>
            <w:shd w:val="clear" w:color="auto" w:fill="auto"/>
            <w:vAlign w:val="center"/>
            <w:hideMark/>
          </w:tcPr>
          <w:p w14:paraId="684B7ADF" w14:textId="1CA655B6" w:rsidR="00D37A31" w:rsidRPr="00887108" w:rsidRDefault="00DF7D8A" w:rsidP="00E9118E">
            <w:pPr>
              <w:rPr>
                <w:rFonts w:cs="Times New Roman"/>
                <w:sz w:val="18"/>
                <w:szCs w:val="18"/>
              </w:rPr>
            </w:pPr>
            <w:r w:rsidRPr="00887108">
              <w:rPr>
                <w:rFonts w:cs="Times New Roman"/>
                <w:sz w:val="18"/>
                <w:szCs w:val="18"/>
              </w:rPr>
              <w:t>O 7</w:t>
            </w:r>
            <w:r w:rsidR="00D37A31" w:rsidRPr="00887108">
              <w:rPr>
                <w:rFonts w:cs="Times New Roman"/>
                <w:sz w:val="18"/>
                <w:szCs w:val="18"/>
              </w:rPr>
              <w:t>12. Celkové dane (12=12a+12b+12c)</w:t>
            </w:r>
          </w:p>
        </w:tc>
        <w:tc>
          <w:tcPr>
            <w:tcW w:w="1272" w:type="dxa"/>
            <w:gridSpan w:val="2"/>
            <w:tcBorders>
              <w:top w:val="single" w:sz="6" w:space="0" w:color="auto"/>
              <w:left w:val="nil"/>
              <w:bottom w:val="nil"/>
              <w:right w:val="nil"/>
            </w:tcBorders>
            <w:shd w:val="clear" w:color="auto" w:fill="auto"/>
            <w:hideMark/>
          </w:tcPr>
          <w:p w14:paraId="32B59A00" w14:textId="77777777" w:rsidR="00D37A31" w:rsidRPr="00887108" w:rsidRDefault="00D37A31" w:rsidP="00E9118E">
            <w:pPr>
              <w:rPr>
                <w:rFonts w:cs="Times New Roman"/>
                <w:sz w:val="18"/>
                <w:szCs w:val="18"/>
              </w:rPr>
            </w:pPr>
          </w:p>
        </w:tc>
        <w:tc>
          <w:tcPr>
            <w:tcW w:w="793" w:type="dxa"/>
            <w:gridSpan w:val="2"/>
            <w:tcBorders>
              <w:top w:val="nil"/>
              <w:left w:val="nil"/>
              <w:bottom w:val="nil"/>
              <w:right w:val="nil"/>
            </w:tcBorders>
            <w:shd w:val="clear" w:color="auto" w:fill="auto"/>
          </w:tcPr>
          <w:p w14:paraId="7BE1B56F" w14:textId="77777777" w:rsidR="00D37A31" w:rsidRPr="00887108" w:rsidRDefault="00D37A31" w:rsidP="00E9118E">
            <w:pPr>
              <w:jc w:val="center"/>
              <w:rPr>
                <w:rFonts w:cs="Times New Roman"/>
                <w:sz w:val="18"/>
                <w:szCs w:val="18"/>
              </w:rPr>
            </w:pPr>
            <w:r w:rsidRPr="00887108">
              <w:rPr>
                <w:sz w:val="18"/>
                <w:szCs w:val="18"/>
              </w:rPr>
              <w:t>18272,6</w:t>
            </w:r>
          </w:p>
        </w:tc>
        <w:tc>
          <w:tcPr>
            <w:tcW w:w="747" w:type="dxa"/>
            <w:gridSpan w:val="2"/>
            <w:tcBorders>
              <w:top w:val="nil"/>
              <w:left w:val="nil"/>
              <w:bottom w:val="nil"/>
              <w:right w:val="nil"/>
            </w:tcBorders>
            <w:shd w:val="clear" w:color="auto" w:fill="auto"/>
          </w:tcPr>
          <w:p w14:paraId="1CFA4F73" w14:textId="77777777" w:rsidR="00D37A31" w:rsidRPr="00887108" w:rsidRDefault="00D37A31" w:rsidP="00E9118E">
            <w:pPr>
              <w:jc w:val="center"/>
              <w:rPr>
                <w:rFonts w:cs="Times New Roman"/>
                <w:sz w:val="18"/>
                <w:szCs w:val="18"/>
              </w:rPr>
            </w:pPr>
            <w:r w:rsidRPr="00887108">
              <w:rPr>
                <w:sz w:val="18"/>
                <w:szCs w:val="18"/>
              </w:rPr>
              <w:t>0,0</w:t>
            </w:r>
          </w:p>
        </w:tc>
        <w:tc>
          <w:tcPr>
            <w:tcW w:w="820" w:type="dxa"/>
            <w:gridSpan w:val="2"/>
            <w:tcBorders>
              <w:top w:val="nil"/>
              <w:left w:val="nil"/>
              <w:bottom w:val="nil"/>
              <w:right w:val="nil"/>
            </w:tcBorders>
            <w:shd w:val="clear" w:color="auto" w:fill="auto"/>
          </w:tcPr>
          <w:p w14:paraId="49C6A673" w14:textId="77777777" w:rsidR="00D37A31" w:rsidRPr="00887108" w:rsidRDefault="00D37A31" w:rsidP="00E9118E">
            <w:pPr>
              <w:jc w:val="center"/>
              <w:rPr>
                <w:rFonts w:cs="Times New Roman"/>
                <w:sz w:val="18"/>
                <w:szCs w:val="18"/>
              </w:rPr>
            </w:pPr>
            <w:r w:rsidRPr="00887108">
              <w:rPr>
                <w:sz w:val="18"/>
                <w:szCs w:val="18"/>
              </w:rPr>
              <w:t>18,6</w:t>
            </w:r>
          </w:p>
        </w:tc>
        <w:tc>
          <w:tcPr>
            <w:tcW w:w="684" w:type="dxa"/>
            <w:tcBorders>
              <w:top w:val="nil"/>
              <w:left w:val="nil"/>
              <w:bottom w:val="nil"/>
              <w:right w:val="nil"/>
            </w:tcBorders>
            <w:shd w:val="clear" w:color="auto" w:fill="auto"/>
          </w:tcPr>
          <w:p w14:paraId="64EC620A"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5B7A18C9"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7615BA39"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657904A2" w14:textId="77777777" w:rsidTr="00E9118E">
        <w:trPr>
          <w:trHeight w:val="283"/>
        </w:trPr>
        <w:tc>
          <w:tcPr>
            <w:tcW w:w="3519" w:type="dxa"/>
            <w:gridSpan w:val="3"/>
            <w:tcBorders>
              <w:top w:val="nil"/>
              <w:left w:val="nil"/>
              <w:bottom w:val="nil"/>
              <w:right w:val="nil"/>
            </w:tcBorders>
            <w:shd w:val="clear" w:color="auto" w:fill="auto"/>
            <w:vAlign w:val="center"/>
            <w:hideMark/>
          </w:tcPr>
          <w:p w14:paraId="28F48A05" w14:textId="77777777" w:rsidR="00D37A31" w:rsidRPr="00887108" w:rsidRDefault="00D37A31" w:rsidP="00E9118E">
            <w:pPr>
              <w:rPr>
                <w:rFonts w:cs="Times New Roman"/>
                <w:sz w:val="18"/>
                <w:szCs w:val="18"/>
              </w:rPr>
            </w:pPr>
            <w:r w:rsidRPr="00887108">
              <w:rPr>
                <w:rFonts w:cs="Times New Roman"/>
                <w:sz w:val="18"/>
                <w:szCs w:val="18"/>
              </w:rPr>
              <w:t>12a. Dane z produkcie a dovozu</w:t>
            </w:r>
          </w:p>
        </w:tc>
        <w:tc>
          <w:tcPr>
            <w:tcW w:w="1272" w:type="dxa"/>
            <w:gridSpan w:val="2"/>
            <w:tcBorders>
              <w:top w:val="nil"/>
              <w:left w:val="nil"/>
              <w:bottom w:val="nil"/>
              <w:right w:val="nil"/>
            </w:tcBorders>
            <w:shd w:val="clear" w:color="auto" w:fill="auto"/>
            <w:vAlign w:val="center"/>
            <w:hideMark/>
          </w:tcPr>
          <w:p w14:paraId="485F991D" w14:textId="77777777" w:rsidR="00D37A31" w:rsidRPr="00887108" w:rsidRDefault="00D37A31" w:rsidP="00E9118E">
            <w:pPr>
              <w:jc w:val="center"/>
              <w:rPr>
                <w:rFonts w:cs="Times New Roman"/>
                <w:sz w:val="18"/>
                <w:szCs w:val="18"/>
              </w:rPr>
            </w:pPr>
            <w:r w:rsidRPr="00887108">
              <w:rPr>
                <w:rFonts w:cs="Times New Roman"/>
                <w:sz w:val="18"/>
                <w:szCs w:val="18"/>
              </w:rPr>
              <w:t>D.2</w:t>
            </w:r>
          </w:p>
        </w:tc>
        <w:tc>
          <w:tcPr>
            <w:tcW w:w="793" w:type="dxa"/>
            <w:gridSpan w:val="2"/>
            <w:tcBorders>
              <w:top w:val="nil"/>
              <w:left w:val="nil"/>
              <w:bottom w:val="nil"/>
              <w:right w:val="nil"/>
            </w:tcBorders>
            <w:shd w:val="clear" w:color="auto" w:fill="auto"/>
          </w:tcPr>
          <w:p w14:paraId="1681C953" w14:textId="77777777" w:rsidR="00D37A31" w:rsidRPr="00887108" w:rsidRDefault="00D37A31" w:rsidP="00E9118E">
            <w:pPr>
              <w:jc w:val="center"/>
              <w:rPr>
                <w:rFonts w:cs="Times New Roman"/>
                <w:sz w:val="18"/>
                <w:szCs w:val="18"/>
              </w:rPr>
            </w:pPr>
            <w:r w:rsidRPr="00887108">
              <w:rPr>
                <w:sz w:val="18"/>
                <w:szCs w:val="18"/>
              </w:rPr>
              <w:t>11377,3</w:t>
            </w:r>
          </w:p>
        </w:tc>
        <w:tc>
          <w:tcPr>
            <w:tcW w:w="747" w:type="dxa"/>
            <w:gridSpan w:val="2"/>
            <w:tcBorders>
              <w:top w:val="nil"/>
              <w:left w:val="nil"/>
              <w:bottom w:val="nil"/>
              <w:right w:val="nil"/>
            </w:tcBorders>
            <w:shd w:val="clear" w:color="auto" w:fill="auto"/>
          </w:tcPr>
          <w:p w14:paraId="0C153C30" w14:textId="77777777" w:rsidR="00D37A31" w:rsidRPr="00887108" w:rsidRDefault="00D37A31" w:rsidP="00E9118E">
            <w:pPr>
              <w:jc w:val="center"/>
              <w:rPr>
                <w:rFonts w:cs="Times New Roman"/>
                <w:sz w:val="18"/>
                <w:szCs w:val="18"/>
              </w:rPr>
            </w:pPr>
            <w:r w:rsidRPr="00887108">
              <w:rPr>
                <w:sz w:val="18"/>
                <w:szCs w:val="18"/>
              </w:rPr>
              <w:t>12,1</w:t>
            </w:r>
          </w:p>
        </w:tc>
        <w:tc>
          <w:tcPr>
            <w:tcW w:w="820" w:type="dxa"/>
            <w:gridSpan w:val="2"/>
            <w:tcBorders>
              <w:top w:val="nil"/>
              <w:left w:val="nil"/>
              <w:bottom w:val="nil"/>
              <w:right w:val="nil"/>
            </w:tcBorders>
            <w:shd w:val="clear" w:color="auto" w:fill="auto"/>
          </w:tcPr>
          <w:p w14:paraId="25B2B868" w14:textId="77777777" w:rsidR="00D37A31" w:rsidRPr="00887108" w:rsidRDefault="00D37A31" w:rsidP="00E9118E">
            <w:pPr>
              <w:jc w:val="center"/>
              <w:rPr>
                <w:rFonts w:cs="Times New Roman"/>
                <w:sz w:val="18"/>
                <w:szCs w:val="18"/>
              </w:rPr>
            </w:pPr>
            <w:r w:rsidRPr="00887108">
              <w:rPr>
                <w:sz w:val="18"/>
                <w:szCs w:val="18"/>
              </w:rPr>
              <w:t>12,0</w:t>
            </w:r>
          </w:p>
        </w:tc>
        <w:tc>
          <w:tcPr>
            <w:tcW w:w="684" w:type="dxa"/>
            <w:tcBorders>
              <w:top w:val="nil"/>
              <w:left w:val="nil"/>
              <w:bottom w:val="nil"/>
              <w:right w:val="nil"/>
            </w:tcBorders>
            <w:shd w:val="clear" w:color="auto" w:fill="auto"/>
          </w:tcPr>
          <w:p w14:paraId="545945BF"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7FD593AA"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F8ED473"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2E452118" w14:textId="77777777" w:rsidTr="00E9118E">
        <w:trPr>
          <w:trHeight w:val="283"/>
        </w:trPr>
        <w:tc>
          <w:tcPr>
            <w:tcW w:w="3519" w:type="dxa"/>
            <w:gridSpan w:val="3"/>
            <w:tcBorders>
              <w:top w:val="nil"/>
              <w:left w:val="nil"/>
              <w:bottom w:val="nil"/>
              <w:right w:val="nil"/>
            </w:tcBorders>
            <w:shd w:val="clear" w:color="auto" w:fill="auto"/>
            <w:vAlign w:val="center"/>
            <w:hideMark/>
          </w:tcPr>
          <w:p w14:paraId="6EB3B847" w14:textId="77777777" w:rsidR="00D37A31" w:rsidRPr="00887108" w:rsidRDefault="00D37A31" w:rsidP="00E9118E">
            <w:pPr>
              <w:rPr>
                <w:rFonts w:cs="Times New Roman"/>
                <w:sz w:val="18"/>
                <w:szCs w:val="18"/>
              </w:rPr>
            </w:pPr>
            <w:r w:rsidRPr="00887108">
              <w:rPr>
                <w:rFonts w:cs="Times New Roman"/>
                <w:sz w:val="18"/>
                <w:szCs w:val="18"/>
              </w:rPr>
              <w:t>12b. Bežné dane z dôchodkov, majetku atď.</w:t>
            </w:r>
          </w:p>
        </w:tc>
        <w:tc>
          <w:tcPr>
            <w:tcW w:w="1272" w:type="dxa"/>
            <w:gridSpan w:val="2"/>
            <w:tcBorders>
              <w:top w:val="nil"/>
              <w:left w:val="nil"/>
              <w:bottom w:val="nil"/>
              <w:right w:val="nil"/>
            </w:tcBorders>
            <w:shd w:val="clear" w:color="auto" w:fill="auto"/>
            <w:vAlign w:val="center"/>
            <w:hideMark/>
          </w:tcPr>
          <w:p w14:paraId="7FB17E8A" w14:textId="77777777" w:rsidR="00D37A31" w:rsidRPr="00887108" w:rsidRDefault="00D37A31" w:rsidP="00E9118E">
            <w:pPr>
              <w:jc w:val="center"/>
              <w:rPr>
                <w:rFonts w:cs="Times New Roman"/>
                <w:sz w:val="18"/>
                <w:szCs w:val="18"/>
              </w:rPr>
            </w:pPr>
            <w:r w:rsidRPr="00887108">
              <w:rPr>
                <w:rFonts w:cs="Times New Roman"/>
                <w:sz w:val="18"/>
                <w:szCs w:val="18"/>
              </w:rPr>
              <w:t>D.5</w:t>
            </w:r>
          </w:p>
        </w:tc>
        <w:tc>
          <w:tcPr>
            <w:tcW w:w="793" w:type="dxa"/>
            <w:gridSpan w:val="2"/>
            <w:tcBorders>
              <w:top w:val="nil"/>
              <w:left w:val="nil"/>
              <w:bottom w:val="nil"/>
              <w:right w:val="nil"/>
            </w:tcBorders>
            <w:shd w:val="clear" w:color="auto" w:fill="auto"/>
          </w:tcPr>
          <w:p w14:paraId="575072FC" w14:textId="77777777" w:rsidR="00D37A31" w:rsidRPr="00887108" w:rsidRDefault="00D37A31" w:rsidP="00E9118E">
            <w:pPr>
              <w:jc w:val="center"/>
              <w:rPr>
                <w:rFonts w:cs="Times New Roman"/>
                <w:sz w:val="18"/>
                <w:szCs w:val="18"/>
              </w:rPr>
            </w:pPr>
            <w:r w:rsidRPr="00887108">
              <w:rPr>
                <w:sz w:val="18"/>
                <w:szCs w:val="18"/>
              </w:rPr>
              <w:t>6895,2</w:t>
            </w:r>
          </w:p>
        </w:tc>
        <w:tc>
          <w:tcPr>
            <w:tcW w:w="747" w:type="dxa"/>
            <w:gridSpan w:val="2"/>
            <w:tcBorders>
              <w:top w:val="nil"/>
              <w:left w:val="nil"/>
              <w:bottom w:val="nil"/>
              <w:right w:val="nil"/>
            </w:tcBorders>
            <w:shd w:val="clear" w:color="auto" w:fill="auto"/>
          </w:tcPr>
          <w:p w14:paraId="44581B51" w14:textId="77777777" w:rsidR="00D37A31" w:rsidRPr="00887108" w:rsidRDefault="00D37A31" w:rsidP="00E9118E">
            <w:pPr>
              <w:jc w:val="center"/>
              <w:rPr>
                <w:rFonts w:cs="Times New Roman"/>
                <w:sz w:val="18"/>
                <w:szCs w:val="18"/>
              </w:rPr>
            </w:pPr>
            <w:r w:rsidRPr="00887108">
              <w:rPr>
                <w:sz w:val="18"/>
                <w:szCs w:val="18"/>
              </w:rPr>
              <w:t>7,3</w:t>
            </w:r>
          </w:p>
        </w:tc>
        <w:tc>
          <w:tcPr>
            <w:tcW w:w="820" w:type="dxa"/>
            <w:gridSpan w:val="2"/>
            <w:tcBorders>
              <w:top w:val="nil"/>
              <w:left w:val="nil"/>
              <w:bottom w:val="nil"/>
              <w:right w:val="nil"/>
            </w:tcBorders>
            <w:shd w:val="clear" w:color="auto" w:fill="auto"/>
          </w:tcPr>
          <w:p w14:paraId="031CD03D" w14:textId="77777777" w:rsidR="00D37A31" w:rsidRPr="00887108" w:rsidRDefault="00D37A31" w:rsidP="00E9118E">
            <w:pPr>
              <w:jc w:val="center"/>
              <w:rPr>
                <w:rFonts w:cs="Times New Roman"/>
                <w:sz w:val="18"/>
                <w:szCs w:val="18"/>
              </w:rPr>
            </w:pPr>
            <w:r w:rsidRPr="00887108">
              <w:rPr>
                <w:sz w:val="18"/>
                <w:szCs w:val="18"/>
              </w:rPr>
              <w:t>6,6</w:t>
            </w:r>
          </w:p>
        </w:tc>
        <w:tc>
          <w:tcPr>
            <w:tcW w:w="684" w:type="dxa"/>
            <w:tcBorders>
              <w:top w:val="nil"/>
              <w:left w:val="nil"/>
              <w:bottom w:val="nil"/>
              <w:right w:val="nil"/>
            </w:tcBorders>
            <w:shd w:val="clear" w:color="auto" w:fill="auto"/>
          </w:tcPr>
          <w:p w14:paraId="036D7786"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198F0E7A"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202B0AAC"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3D0C63D0" w14:textId="77777777" w:rsidTr="00E9118E">
        <w:trPr>
          <w:trHeight w:val="283"/>
        </w:trPr>
        <w:tc>
          <w:tcPr>
            <w:tcW w:w="3519" w:type="dxa"/>
            <w:gridSpan w:val="3"/>
            <w:tcBorders>
              <w:top w:val="nil"/>
              <w:left w:val="nil"/>
              <w:bottom w:val="nil"/>
              <w:right w:val="nil"/>
            </w:tcBorders>
            <w:shd w:val="clear" w:color="auto" w:fill="auto"/>
            <w:vAlign w:val="center"/>
            <w:hideMark/>
          </w:tcPr>
          <w:p w14:paraId="2D13652F" w14:textId="77777777" w:rsidR="00D37A31" w:rsidRPr="00887108" w:rsidRDefault="00D37A31" w:rsidP="00E9118E">
            <w:pPr>
              <w:rPr>
                <w:rFonts w:cs="Times New Roman"/>
                <w:sz w:val="18"/>
                <w:szCs w:val="18"/>
              </w:rPr>
            </w:pPr>
            <w:r w:rsidRPr="00887108">
              <w:rPr>
                <w:rFonts w:cs="Times New Roman"/>
                <w:sz w:val="18"/>
                <w:szCs w:val="18"/>
              </w:rPr>
              <w:t>12c. Dane z kapitálu</w:t>
            </w:r>
          </w:p>
        </w:tc>
        <w:tc>
          <w:tcPr>
            <w:tcW w:w="1272" w:type="dxa"/>
            <w:gridSpan w:val="2"/>
            <w:tcBorders>
              <w:top w:val="nil"/>
              <w:left w:val="nil"/>
              <w:bottom w:val="nil"/>
              <w:right w:val="nil"/>
            </w:tcBorders>
            <w:shd w:val="clear" w:color="auto" w:fill="auto"/>
            <w:vAlign w:val="center"/>
            <w:hideMark/>
          </w:tcPr>
          <w:p w14:paraId="5C1D7488" w14:textId="77777777" w:rsidR="00D37A31" w:rsidRPr="00887108" w:rsidRDefault="00D37A31" w:rsidP="00E9118E">
            <w:pPr>
              <w:jc w:val="center"/>
              <w:rPr>
                <w:rFonts w:cs="Times New Roman"/>
                <w:sz w:val="18"/>
                <w:szCs w:val="18"/>
              </w:rPr>
            </w:pPr>
            <w:r w:rsidRPr="00887108">
              <w:rPr>
                <w:rFonts w:cs="Times New Roman"/>
                <w:sz w:val="18"/>
                <w:szCs w:val="18"/>
              </w:rPr>
              <w:t>D.91</w:t>
            </w:r>
          </w:p>
        </w:tc>
        <w:tc>
          <w:tcPr>
            <w:tcW w:w="793" w:type="dxa"/>
            <w:gridSpan w:val="2"/>
            <w:tcBorders>
              <w:top w:val="nil"/>
              <w:left w:val="nil"/>
              <w:bottom w:val="nil"/>
              <w:right w:val="nil"/>
            </w:tcBorders>
            <w:shd w:val="clear" w:color="auto" w:fill="auto"/>
          </w:tcPr>
          <w:p w14:paraId="710C6D4B" w14:textId="77777777" w:rsidR="00D37A31" w:rsidRPr="00887108" w:rsidRDefault="00D37A31" w:rsidP="00E9118E">
            <w:pPr>
              <w:jc w:val="center"/>
              <w:rPr>
                <w:rFonts w:cs="Times New Roman"/>
                <w:sz w:val="18"/>
                <w:szCs w:val="18"/>
              </w:rPr>
            </w:pPr>
            <w:r w:rsidRPr="00887108">
              <w:rPr>
                <w:sz w:val="18"/>
                <w:szCs w:val="18"/>
              </w:rPr>
              <w:t>0,0</w:t>
            </w:r>
          </w:p>
        </w:tc>
        <w:tc>
          <w:tcPr>
            <w:tcW w:w="747" w:type="dxa"/>
            <w:gridSpan w:val="2"/>
            <w:tcBorders>
              <w:top w:val="nil"/>
              <w:left w:val="nil"/>
              <w:bottom w:val="nil"/>
              <w:right w:val="nil"/>
            </w:tcBorders>
            <w:shd w:val="clear" w:color="auto" w:fill="auto"/>
          </w:tcPr>
          <w:p w14:paraId="04C9BD5A" w14:textId="77777777" w:rsidR="00D37A31" w:rsidRPr="00887108" w:rsidRDefault="00D37A31" w:rsidP="00E9118E">
            <w:pPr>
              <w:jc w:val="center"/>
              <w:rPr>
                <w:rFonts w:cs="Times New Roman"/>
                <w:sz w:val="18"/>
                <w:szCs w:val="18"/>
              </w:rPr>
            </w:pPr>
            <w:r w:rsidRPr="00887108">
              <w:rPr>
                <w:sz w:val="18"/>
                <w:szCs w:val="18"/>
              </w:rPr>
              <w:t>0,0</w:t>
            </w:r>
          </w:p>
        </w:tc>
        <w:tc>
          <w:tcPr>
            <w:tcW w:w="820" w:type="dxa"/>
            <w:gridSpan w:val="2"/>
            <w:tcBorders>
              <w:top w:val="nil"/>
              <w:left w:val="nil"/>
              <w:bottom w:val="nil"/>
              <w:right w:val="nil"/>
            </w:tcBorders>
            <w:shd w:val="clear" w:color="auto" w:fill="auto"/>
          </w:tcPr>
          <w:p w14:paraId="4A71D6C6" w14:textId="77777777" w:rsidR="00D37A31" w:rsidRPr="00887108" w:rsidRDefault="00D37A31" w:rsidP="00E9118E">
            <w:pPr>
              <w:jc w:val="center"/>
              <w:rPr>
                <w:rFonts w:cs="Times New Roman"/>
                <w:sz w:val="18"/>
                <w:szCs w:val="18"/>
              </w:rPr>
            </w:pPr>
            <w:r w:rsidRPr="00887108">
              <w:rPr>
                <w:sz w:val="18"/>
                <w:szCs w:val="18"/>
              </w:rPr>
              <w:t>0,0</w:t>
            </w:r>
          </w:p>
        </w:tc>
        <w:tc>
          <w:tcPr>
            <w:tcW w:w="684" w:type="dxa"/>
            <w:tcBorders>
              <w:top w:val="nil"/>
              <w:left w:val="nil"/>
              <w:bottom w:val="nil"/>
              <w:right w:val="nil"/>
            </w:tcBorders>
            <w:shd w:val="clear" w:color="auto" w:fill="auto"/>
          </w:tcPr>
          <w:p w14:paraId="0C4942CC"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71944FEB"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61CAD2F8"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35A08532" w14:textId="77777777" w:rsidTr="00E9118E">
        <w:trPr>
          <w:trHeight w:val="283"/>
        </w:trPr>
        <w:tc>
          <w:tcPr>
            <w:tcW w:w="3519" w:type="dxa"/>
            <w:gridSpan w:val="3"/>
            <w:tcBorders>
              <w:top w:val="nil"/>
              <w:left w:val="nil"/>
              <w:bottom w:val="nil"/>
              <w:right w:val="nil"/>
            </w:tcBorders>
            <w:shd w:val="clear" w:color="auto" w:fill="auto"/>
            <w:vAlign w:val="center"/>
            <w:hideMark/>
          </w:tcPr>
          <w:p w14:paraId="1F5DF5BC" w14:textId="77777777" w:rsidR="00D37A31" w:rsidRPr="00887108" w:rsidRDefault="00D37A31" w:rsidP="00E9118E">
            <w:pPr>
              <w:rPr>
                <w:rFonts w:cs="Times New Roman"/>
                <w:sz w:val="18"/>
                <w:szCs w:val="18"/>
              </w:rPr>
            </w:pPr>
            <w:r w:rsidRPr="00887108">
              <w:rPr>
                <w:rFonts w:cs="Times New Roman"/>
                <w:sz w:val="18"/>
                <w:szCs w:val="18"/>
              </w:rPr>
              <w:t xml:space="preserve">13. Príspevky na sociálne zabezpečenie </w:t>
            </w:r>
          </w:p>
        </w:tc>
        <w:tc>
          <w:tcPr>
            <w:tcW w:w="1272" w:type="dxa"/>
            <w:gridSpan w:val="2"/>
            <w:tcBorders>
              <w:top w:val="nil"/>
              <w:left w:val="nil"/>
              <w:bottom w:val="nil"/>
              <w:right w:val="nil"/>
            </w:tcBorders>
            <w:shd w:val="clear" w:color="auto" w:fill="auto"/>
            <w:vAlign w:val="center"/>
            <w:hideMark/>
          </w:tcPr>
          <w:p w14:paraId="72A8F899" w14:textId="77777777" w:rsidR="00D37A31" w:rsidRPr="00887108" w:rsidRDefault="00D37A31" w:rsidP="00E9118E">
            <w:pPr>
              <w:jc w:val="center"/>
              <w:rPr>
                <w:rFonts w:cs="Times New Roman"/>
                <w:sz w:val="18"/>
                <w:szCs w:val="18"/>
              </w:rPr>
            </w:pPr>
            <w:r w:rsidRPr="00887108">
              <w:rPr>
                <w:rFonts w:cs="Times New Roman"/>
                <w:sz w:val="18"/>
                <w:szCs w:val="18"/>
              </w:rPr>
              <w:t>D.61</w:t>
            </w:r>
          </w:p>
        </w:tc>
        <w:tc>
          <w:tcPr>
            <w:tcW w:w="793" w:type="dxa"/>
            <w:gridSpan w:val="2"/>
            <w:tcBorders>
              <w:top w:val="nil"/>
              <w:left w:val="nil"/>
              <w:bottom w:val="nil"/>
              <w:right w:val="nil"/>
            </w:tcBorders>
            <w:shd w:val="clear" w:color="auto" w:fill="auto"/>
          </w:tcPr>
          <w:p w14:paraId="5755F47A" w14:textId="77777777" w:rsidR="00D37A31" w:rsidRPr="00887108" w:rsidRDefault="00D37A31" w:rsidP="00E9118E">
            <w:pPr>
              <w:jc w:val="center"/>
              <w:rPr>
                <w:rFonts w:cs="Times New Roman"/>
                <w:sz w:val="18"/>
                <w:szCs w:val="18"/>
              </w:rPr>
            </w:pPr>
            <w:r w:rsidRPr="00887108">
              <w:rPr>
                <w:sz w:val="18"/>
                <w:szCs w:val="18"/>
              </w:rPr>
              <w:t>14337,3</w:t>
            </w:r>
          </w:p>
        </w:tc>
        <w:tc>
          <w:tcPr>
            <w:tcW w:w="747" w:type="dxa"/>
            <w:gridSpan w:val="2"/>
            <w:tcBorders>
              <w:top w:val="nil"/>
              <w:left w:val="nil"/>
              <w:bottom w:val="nil"/>
              <w:right w:val="nil"/>
            </w:tcBorders>
            <w:shd w:val="clear" w:color="auto" w:fill="auto"/>
          </w:tcPr>
          <w:p w14:paraId="1790BF92" w14:textId="77777777" w:rsidR="00D37A31" w:rsidRPr="00887108" w:rsidRDefault="00D37A31" w:rsidP="00E9118E">
            <w:pPr>
              <w:jc w:val="center"/>
              <w:rPr>
                <w:rFonts w:cs="Times New Roman"/>
                <w:sz w:val="18"/>
                <w:szCs w:val="18"/>
              </w:rPr>
            </w:pPr>
            <w:r w:rsidRPr="00887108">
              <w:rPr>
                <w:sz w:val="18"/>
                <w:szCs w:val="18"/>
              </w:rPr>
              <w:t>15,2</w:t>
            </w:r>
          </w:p>
        </w:tc>
        <w:tc>
          <w:tcPr>
            <w:tcW w:w="820" w:type="dxa"/>
            <w:gridSpan w:val="2"/>
            <w:tcBorders>
              <w:top w:val="nil"/>
              <w:left w:val="nil"/>
              <w:bottom w:val="nil"/>
              <w:right w:val="nil"/>
            </w:tcBorders>
            <w:shd w:val="clear" w:color="auto" w:fill="auto"/>
          </w:tcPr>
          <w:p w14:paraId="2711EFF3" w14:textId="77777777" w:rsidR="00D37A31" w:rsidRPr="00887108" w:rsidRDefault="00D37A31" w:rsidP="00E9118E">
            <w:pPr>
              <w:jc w:val="center"/>
              <w:rPr>
                <w:rFonts w:cs="Times New Roman"/>
                <w:sz w:val="18"/>
                <w:szCs w:val="18"/>
              </w:rPr>
            </w:pPr>
            <w:r w:rsidRPr="00887108">
              <w:rPr>
                <w:sz w:val="18"/>
                <w:szCs w:val="18"/>
              </w:rPr>
              <w:t>16,1</w:t>
            </w:r>
          </w:p>
        </w:tc>
        <w:tc>
          <w:tcPr>
            <w:tcW w:w="684" w:type="dxa"/>
            <w:tcBorders>
              <w:top w:val="nil"/>
              <w:left w:val="nil"/>
              <w:bottom w:val="nil"/>
              <w:right w:val="nil"/>
            </w:tcBorders>
            <w:shd w:val="clear" w:color="auto" w:fill="auto"/>
          </w:tcPr>
          <w:p w14:paraId="762F01AF"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04609090"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07968CB4"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47BCD5C7" w14:textId="77777777" w:rsidTr="00E9118E">
        <w:trPr>
          <w:trHeight w:val="283"/>
        </w:trPr>
        <w:tc>
          <w:tcPr>
            <w:tcW w:w="3519" w:type="dxa"/>
            <w:gridSpan w:val="3"/>
            <w:tcBorders>
              <w:top w:val="nil"/>
              <w:left w:val="nil"/>
              <w:bottom w:val="nil"/>
              <w:right w:val="nil"/>
            </w:tcBorders>
            <w:shd w:val="clear" w:color="auto" w:fill="auto"/>
            <w:vAlign w:val="center"/>
            <w:hideMark/>
          </w:tcPr>
          <w:p w14:paraId="6A22A4A8" w14:textId="77777777" w:rsidR="00D37A31" w:rsidRPr="00887108" w:rsidRDefault="00D37A31" w:rsidP="00E9118E">
            <w:pPr>
              <w:rPr>
                <w:rFonts w:cs="Times New Roman"/>
                <w:sz w:val="18"/>
                <w:szCs w:val="18"/>
              </w:rPr>
            </w:pPr>
            <w:r w:rsidRPr="00887108">
              <w:rPr>
                <w:rFonts w:cs="Times New Roman"/>
                <w:sz w:val="18"/>
                <w:szCs w:val="18"/>
              </w:rPr>
              <w:t>14.Dôchodky z majetku</w:t>
            </w:r>
          </w:p>
        </w:tc>
        <w:tc>
          <w:tcPr>
            <w:tcW w:w="1272" w:type="dxa"/>
            <w:gridSpan w:val="2"/>
            <w:tcBorders>
              <w:top w:val="nil"/>
              <w:left w:val="nil"/>
              <w:bottom w:val="nil"/>
              <w:right w:val="nil"/>
            </w:tcBorders>
            <w:shd w:val="clear" w:color="auto" w:fill="auto"/>
            <w:vAlign w:val="center"/>
            <w:hideMark/>
          </w:tcPr>
          <w:p w14:paraId="4E13A489" w14:textId="77777777" w:rsidR="00D37A31" w:rsidRPr="00887108" w:rsidRDefault="00D37A31" w:rsidP="00E9118E">
            <w:pPr>
              <w:jc w:val="center"/>
              <w:rPr>
                <w:rFonts w:cs="Times New Roman"/>
                <w:sz w:val="18"/>
                <w:szCs w:val="18"/>
              </w:rPr>
            </w:pPr>
            <w:r w:rsidRPr="00887108">
              <w:rPr>
                <w:rFonts w:cs="Times New Roman"/>
                <w:sz w:val="18"/>
                <w:szCs w:val="18"/>
              </w:rPr>
              <w:t>D.4</w:t>
            </w:r>
          </w:p>
        </w:tc>
        <w:tc>
          <w:tcPr>
            <w:tcW w:w="793" w:type="dxa"/>
            <w:gridSpan w:val="2"/>
            <w:tcBorders>
              <w:top w:val="nil"/>
              <w:left w:val="nil"/>
              <w:bottom w:val="nil"/>
              <w:right w:val="nil"/>
            </w:tcBorders>
            <w:shd w:val="clear" w:color="auto" w:fill="auto"/>
          </w:tcPr>
          <w:p w14:paraId="629BFE00" w14:textId="77777777" w:rsidR="00D37A31" w:rsidRPr="00887108" w:rsidRDefault="00D37A31" w:rsidP="00E9118E">
            <w:pPr>
              <w:jc w:val="center"/>
              <w:rPr>
                <w:rFonts w:cs="Times New Roman"/>
                <w:sz w:val="18"/>
                <w:szCs w:val="18"/>
              </w:rPr>
            </w:pPr>
            <w:r w:rsidRPr="00887108">
              <w:rPr>
                <w:sz w:val="18"/>
                <w:szCs w:val="18"/>
              </w:rPr>
              <w:t>564,7</w:t>
            </w:r>
          </w:p>
        </w:tc>
        <w:tc>
          <w:tcPr>
            <w:tcW w:w="747" w:type="dxa"/>
            <w:gridSpan w:val="2"/>
            <w:tcBorders>
              <w:top w:val="nil"/>
              <w:left w:val="nil"/>
              <w:bottom w:val="nil"/>
              <w:right w:val="nil"/>
            </w:tcBorders>
            <w:shd w:val="clear" w:color="auto" w:fill="auto"/>
          </w:tcPr>
          <w:p w14:paraId="156C24DD" w14:textId="77777777" w:rsidR="00D37A31" w:rsidRPr="00887108" w:rsidRDefault="00D37A31" w:rsidP="00E9118E">
            <w:pPr>
              <w:jc w:val="center"/>
              <w:rPr>
                <w:rFonts w:cs="Times New Roman"/>
                <w:sz w:val="18"/>
                <w:szCs w:val="18"/>
              </w:rPr>
            </w:pPr>
            <w:r w:rsidRPr="00887108">
              <w:rPr>
                <w:sz w:val="18"/>
                <w:szCs w:val="18"/>
              </w:rPr>
              <w:t>0,6</w:t>
            </w:r>
          </w:p>
        </w:tc>
        <w:tc>
          <w:tcPr>
            <w:tcW w:w="820" w:type="dxa"/>
            <w:gridSpan w:val="2"/>
            <w:tcBorders>
              <w:top w:val="nil"/>
              <w:left w:val="nil"/>
              <w:bottom w:val="nil"/>
              <w:right w:val="nil"/>
            </w:tcBorders>
            <w:shd w:val="clear" w:color="auto" w:fill="auto"/>
          </w:tcPr>
          <w:p w14:paraId="70CEE41C" w14:textId="77777777" w:rsidR="00D37A31" w:rsidRPr="00887108" w:rsidRDefault="00D37A31" w:rsidP="00E9118E">
            <w:pPr>
              <w:jc w:val="center"/>
              <w:rPr>
                <w:rFonts w:cs="Times New Roman"/>
                <w:sz w:val="18"/>
                <w:szCs w:val="18"/>
              </w:rPr>
            </w:pPr>
            <w:r w:rsidRPr="00887108">
              <w:rPr>
                <w:sz w:val="18"/>
                <w:szCs w:val="18"/>
              </w:rPr>
              <w:t>0,7</w:t>
            </w:r>
          </w:p>
        </w:tc>
        <w:tc>
          <w:tcPr>
            <w:tcW w:w="684" w:type="dxa"/>
            <w:tcBorders>
              <w:top w:val="nil"/>
              <w:left w:val="nil"/>
              <w:bottom w:val="nil"/>
              <w:right w:val="nil"/>
            </w:tcBorders>
            <w:shd w:val="clear" w:color="auto" w:fill="auto"/>
          </w:tcPr>
          <w:p w14:paraId="4C11FE5B"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6957D062"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68E22BF2"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44F56384" w14:textId="77777777" w:rsidTr="00E9118E">
        <w:trPr>
          <w:trHeight w:val="283"/>
        </w:trPr>
        <w:tc>
          <w:tcPr>
            <w:tcW w:w="3519" w:type="dxa"/>
            <w:gridSpan w:val="3"/>
            <w:tcBorders>
              <w:top w:val="nil"/>
              <w:left w:val="nil"/>
              <w:bottom w:val="nil"/>
              <w:right w:val="nil"/>
            </w:tcBorders>
            <w:shd w:val="clear" w:color="auto" w:fill="auto"/>
            <w:vAlign w:val="center"/>
            <w:hideMark/>
          </w:tcPr>
          <w:p w14:paraId="32621E97" w14:textId="77777777" w:rsidR="00D37A31" w:rsidRPr="00887108" w:rsidRDefault="00D37A31" w:rsidP="00E9118E">
            <w:pPr>
              <w:rPr>
                <w:rFonts w:cs="Times New Roman"/>
                <w:sz w:val="18"/>
                <w:szCs w:val="18"/>
              </w:rPr>
            </w:pPr>
            <w:r w:rsidRPr="00887108">
              <w:rPr>
                <w:rFonts w:cs="Times New Roman"/>
                <w:sz w:val="18"/>
                <w:szCs w:val="18"/>
              </w:rPr>
              <w:t>15. Ostatné</w:t>
            </w:r>
          </w:p>
        </w:tc>
        <w:tc>
          <w:tcPr>
            <w:tcW w:w="1272" w:type="dxa"/>
            <w:gridSpan w:val="2"/>
            <w:tcBorders>
              <w:top w:val="nil"/>
              <w:left w:val="nil"/>
              <w:bottom w:val="nil"/>
              <w:right w:val="nil"/>
            </w:tcBorders>
            <w:shd w:val="clear" w:color="auto" w:fill="auto"/>
            <w:vAlign w:val="center"/>
            <w:hideMark/>
          </w:tcPr>
          <w:p w14:paraId="793C64E3" w14:textId="77777777" w:rsidR="00D37A31" w:rsidRPr="00887108" w:rsidRDefault="00D37A31" w:rsidP="00E9118E">
            <w:pPr>
              <w:jc w:val="center"/>
              <w:rPr>
                <w:rFonts w:cs="Times New Roman"/>
                <w:sz w:val="18"/>
                <w:szCs w:val="18"/>
              </w:rPr>
            </w:pPr>
            <w:r w:rsidRPr="00887108">
              <w:rPr>
                <w:rFonts w:cs="Times New Roman"/>
                <w:sz w:val="18"/>
                <w:szCs w:val="18"/>
                <w:vertAlign w:val="superscript"/>
              </w:rPr>
              <w:t>[4]</w:t>
            </w:r>
          </w:p>
        </w:tc>
        <w:tc>
          <w:tcPr>
            <w:tcW w:w="793" w:type="dxa"/>
            <w:gridSpan w:val="2"/>
            <w:tcBorders>
              <w:top w:val="nil"/>
              <w:left w:val="nil"/>
              <w:bottom w:val="nil"/>
              <w:right w:val="nil"/>
            </w:tcBorders>
            <w:shd w:val="clear" w:color="auto" w:fill="auto"/>
          </w:tcPr>
          <w:p w14:paraId="1CF75719" w14:textId="77777777" w:rsidR="00D37A31" w:rsidRPr="00887108" w:rsidRDefault="00D37A31" w:rsidP="00E9118E">
            <w:pPr>
              <w:jc w:val="center"/>
              <w:rPr>
                <w:rFonts w:cs="Times New Roman"/>
                <w:sz w:val="18"/>
                <w:szCs w:val="18"/>
              </w:rPr>
            </w:pPr>
            <w:r w:rsidRPr="00887108">
              <w:rPr>
                <w:sz w:val="18"/>
                <w:szCs w:val="18"/>
              </w:rPr>
              <w:t>5910,2</w:t>
            </w:r>
          </w:p>
        </w:tc>
        <w:tc>
          <w:tcPr>
            <w:tcW w:w="747" w:type="dxa"/>
            <w:gridSpan w:val="2"/>
            <w:tcBorders>
              <w:top w:val="nil"/>
              <w:left w:val="nil"/>
              <w:bottom w:val="nil"/>
              <w:right w:val="nil"/>
            </w:tcBorders>
            <w:shd w:val="clear" w:color="auto" w:fill="auto"/>
          </w:tcPr>
          <w:p w14:paraId="57D50CA8" w14:textId="77777777" w:rsidR="00D37A31" w:rsidRPr="00887108" w:rsidRDefault="00D37A31" w:rsidP="00E9118E">
            <w:pPr>
              <w:jc w:val="center"/>
              <w:rPr>
                <w:rFonts w:cs="Times New Roman"/>
                <w:sz w:val="18"/>
                <w:szCs w:val="18"/>
              </w:rPr>
            </w:pPr>
            <w:r w:rsidRPr="00887108">
              <w:rPr>
                <w:sz w:val="18"/>
                <w:szCs w:val="18"/>
              </w:rPr>
              <w:t>6,3</w:t>
            </w:r>
          </w:p>
        </w:tc>
        <w:tc>
          <w:tcPr>
            <w:tcW w:w="820" w:type="dxa"/>
            <w:gridSpan w:val="2"/>
            <w:tcBorders>
              <w:top w:val="nil"/>
              <w:left w:val="nil"/>
              <w:bottom w:val="nil"/>
              <w:right w:val="nil"/>
            </w:tcBorders>
            <w:shd w:val="clear" w:color="auto" w:fill="auto"/>
          </w:tcPr>
          <w:p w14:paraId="23537A2D" w14:textId="77777777" w:rsidR="00D37A31" w:rsidRPr="00887108" w:rsidRDefault="00D37A31" w:rsidP="00E9118E">
            <w:pPr>
              <w:jc w:val="center"/>
              <w:rPr>
                <w:rFonts w:cs="Times New Roman"/>
                <w:sz w:val="18"/>
                <w:szCs w:val="18"/>
              </w:rPr>
            </w:pPr>
            <w:r w:rsidRPr="00887108">
              <w:rPr>
                <w:sz w:val="18"/>
                <w:szCs w:val="18"/>
              </w:rPr>
              <w:t>6,0</w:t>
            </w:r>
          </w:p>
        </w:tc>
        <w:tc>
          <w:tcPr>
            <w:tcW w:w="684" w:type="dxa"/>
            <w:tcBorders>
              <w:top w:val="nil"/>
              <w:left w:val="nil"/>
              <w:bottom w:val="nil"/>
              <w:right w:val="nil"/>
            </w:tcBorders>
            <w:shd w:val="clear" w:color="auto" w:fill="auto"/>
          </w:tcPr>
          <w:p w14:paraId="5482CE76"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93774F6"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1F8ED105"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6E7E1D0D" w14:textId="77777777" w:rsidTr="00E9118E">
        <w:trPr>
          <w:trHeight w:val="283"/>
        </w:trPr>
        <w:tc>
          <w:tcPr>
            <w:tcW w:w="3519" w:type="dxa"/>
            <w:gridSpan w:val="3"/>
            <w:tcBorders>
              <w:top w:val="nil"/>
              <w:left w:val="nil"/>
              <w:bottom w:val="nil"/>
              <w:right w:val="nil"/>
            </w:tcBorders>
            <w:shd w:val="clear" w:color="auto" w:fill="auto"/>
            <w:vAlign w:val="center"/>
            <w:hideMark/>
          </w:tcPr>
          <w:p w14:paraId="14F7895C" w14:textId="77777777" w:rsidR="00D37A31" w:rsidRPr="00887108" w:rsidRDefault="00D37A31" w:rsidP="00E9118E">
            <w:pPr>
              <w:rPr>
                <w:rFonts w:cs="Times New Roman"/>
                <w:sz w:val="18"/>
                <w:szCs w:val="18"/>
              </w:rPr>
            </w:pPr>
            <w:r w:rsidRPr="00887108">
              <w:rPr>
                <w:rFonts w:cs="Times New Roman"/>
                <w:sz w:val="18"/>
                <w:szCs w:val="18"/>
              </w:rPr>
              <w:t>16=6. Celkové príjmy</w:t>
            </w:r>
          </w:p>
        </w:tc>
        <w:tc>
          <w:tcPr>
            <w:tcW w:w="1272" w:type="dxa"/>
            <w:gridSpan w:val="2"/>
            <w:tcBorders>
              <w:top w:val="nil"/>
              <w:left w:val="nil"/>
              <w:bottom w:val="nil"/>
              <w:right w:val="nil"/>
            </w:tcBorders>
            <w:shd w:val="clear" w:color="auto" w:fill="auto"/>
            <w:vAlign w:val="center"/>
            <w:hideMark/>
          </w:tcPr>
          <w:p w14:paraId="775D500E" w14:textId="77777777" w:rsidR="00D37A31" w:rsidRPr="00887108" w:rsidRDefault="00D37A31" w:rsidP="00E9118E">
            <w:pPr>
              <w:jc w:val="center"/>
              <w:rPr>
                <w:rFonts w:cs="Times New Roman"/>
                <w:sz w:val="18"/>
                <w:szCs w:val="18"/>
              </w:rPr>
            </w:pPr>
            <w:r w:rsidRPr="00887108">
              <w:rPr>
                <w:rFonts w:cs="Times New Roman"/>
                <w:sz w:val="18"/>
                <w:szCs w:val="18"/>
              </w:rPr>
              <w:t>TR</w:t>
            </w:r>
          </w:p>
        </w:tc>
        <w:tc>
          <w:tcPr>
            <w:tcW w:w="793" w:type="dxa"/>
            <w:gridSpan w:val="2"/>
            <w:tcBorders>
              <w:top w:val="nil"/>
              <w:left w:val="nil"/>
              <w:bottom w:val="nil"/>
              <w:right w:val="nil"/>
            </w:tcBorders>
            <w:shd w:val="clear" w:color="auto" w:fill="auto"/>
          </w:tcPr>
          <w:p w14:paraId="51D52DC8" w14:textId="77777777" w:rsidR="00D37A31" w:rsidRPr="00887108" w:rsidRDefault="00D37A31" w:rsidP="00E9118E">
            <w:pPr>
              <w:jc w:val="center"/>
              <w:rPr>
                <w:rFonts w:cs="Times New Roman"/>
                <w:sz w:val="18"/>
                <w:szCs w:val="18"/>
              </w:rPr>
            </w:pPr>
            <w:r w:rsidRPr="00887108">
              <w:rPr>
                <w:sz w:val="18"/>
                <w:szCs w:val="18"/>
              </w:rPr>
              <w:t>39084,7</w:t>
            </w:r>
          </w:p>
        </w:tc>
        <w:tc>
          <w:tcPr>
            <w:tcW w:w="747" w:type="dxa"/>
            <w:gridSpan w:val="2"/>
            <w:tcBorders>
              <w:top w:val="nil"/>
              <w:left w:val="nil"/>
              <w:bottom w:val="nil"/>
              <w:right w:val="nil"/>
            </w:tcBorders>
            <w:shd w:val="clear" w:color="auto" w:fill="auto"/>
          </w:tcPr>
          <w:p w14:paraId="7A4A45DE" w14:textId="77777777" w:rsidR="00D37A31" w:rsidRPr="00887108" w:rsidRDefault="00D37A31" w:rsidP="00E9118E">
            <w:pPr>
              <w:jc w:val="center"/>
              <w:rPr>
                <w:rFonts w:cs="Times New Roman"/>
                <w:sz w:val="18"/>
                <w:szCs w:val="18"/>
              </w:rPr>
            </w:pPr>
            <w:r w:rsidRPr="00887108">
              <w:rPr>
                <w:sz w:val="18"/>
                <w:szCs w:val="18"/>
              </w:rPr>
              <w:t>41,5</w:t>
            </w:r>
          </w:p>
        </w:tc>
        <w:tc>
          <w:tcPr>
            <w:tcW w:w="820" w:type="dxa"/>
            <w:gridSpan w:val="2"/>
            <w:tcBorders>
              <w:top w:val="nil"/>
              <w:left w:val="nil"/>
              <w:bottom w:val="nil"/>
              <w:right w:val="nil"/>
            </w:tcBorders>
            <w:shd w:val="clear" w:color="auto" w:fill="auto"/>
          </w:tcPr>
          <w:p w14:paraId="0E674B4A" w14:textId="77777777" w:rsidR="00D37A31" w:rsidRPr="00887108" w:rsidRDefault="00D37A31" w:rsidP="00E9118E">
            <w:pPr>
              <w:jc w:val="center"/>
              <w:rPr>
                <w:rFonts w:cs="Times New Roman"/>
                <w:sz w:val="18"/>
                <w:szCs w:val="18"/>
              </w:rPr>
            </w:pPr>
            <w:r w:rsidRPr="00887108">
              <w:rPr>
                <w:sz w:val="18"/>
                <w:szCs w:val="18"/>
              </w:rPr>
              <w:t>41,4</w:t>
            </w:r>
          </w:p>
        </w:tc>
        <w:tc>
          <w:tcPr>
            <w:tcW w:w="684" w:type="dxa"/>
            <w:tcBorders>
              <w:top w:val="nil"/>
              <w:left w:val="nil"/>
              <w:bottom w:val="nil"/>
              <w:right w:val="nil"/>
            </w:tcBorders>
            <w:shd w:val="clear" w:color="auto" w:fill="auto"/>
          </w:tcPr>
          <w:p w14:paraId="2BC01041"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023C543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5F76E00C"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3C40EE83" w14:textId="77777777" w:rsidTr="00E9118E">
        <w:trPr>
          <w:trHeight w:val="283"/>
        </w:trPr>
        <w:tc>
          <w:tcPr>
            <w:tcW w:w="3519" w:type="dxa"/>
            <w:gridSpan w:val="3"/>
            <w:tcBorders>
              <w:top w:val="nil"/>
              <w:left w:val="nil"/>
              <w:bottom w:val="single" w:sz="4" w:space="0" w:color="auto"/>
              <w:right w:val="nil"/>
            </w:tcBorders>
            <w:shd w:val="clear" w:color="auto" w:fill="auto"/>
            <w:noWrap/>
            <w:vAlign w:val="center"/>
            <w:hideMark/>
          </w:tcPr>
          <w:p w14:paraId="772D73C1" w14:textId="77777777" w:rsidR="00D37A31" w:rsidRPr="00887108" w:rsidRDefault="00D37A31" w:rsidP="00E9118E">
            <w:pPr>
              <w:rPr>
                <w:rFonts w:cs="Times New Roman"/>
                <w:sz w:val="18"/>
                <w:szCs w:val="18"/>
              </w:rPr>
            </w:pPr>
            <w:r w:rsidRPr="00887108">
              <w:rPr>
                <w:rFonts w:cs="Times New Roman"/>
                <w:sz w:val="18"/>
                <w:szCs w:val="18"/>
              </w:rPr>
              <w:t>p. m.: Daňové zaťaženie (D.2+D.5+D.61+D.91-D.995)</w:t>
            </w:r>
          </w:p>
        </w:tc>
        <w:tc>
          <w:tcPr>
            <w:tcW w:w="1272" w:type="dxa"/>
            <w:gridSpan w:val="2"/>
            <w:tcBorders>
              <w:top w:val="nil"/>
              <w:left w:val="nil"/>
              <w:bottom w:val="single" w:sz="4" w:space="0" w:color="auto"/>
              <w:right w:val="nil"/>
            </w:tcBorders>
            <w:shd w:val="clear" w:color="auto" w:fill="auto"/>
            <w:vAlign w:val="center"/>
            <w:hideMark/>
          </w:tcPr>
          <w:p w14:paraId="25BEB305" w14:textId="77777777" w:rsidR="00D37A31" w:rsidRPr="00887108" w:rsidRDefault="00D37A31" w:rsidP="00E9118E">
            <w:pPr>
              <w:jc w:val="center"/>
              <w:rPr>
                <w:rFonts w:cs="Times New Roman"/>
                <w:sz w:val="18"/>
                <w:szCs w:val="18"/>
              </w:rPr>
            </w:pPr>
            <w:r w:rsidRPr="00887108">
              <w:rPr>
                <w:rFonts w:cs="Times New Roman"/>
                <w:sz w:val="18"/>
                <w:szCs w:val="18"/>
                <w:vertAlign w:val="superscript"/>
              </w:rPr>
              <w:t>[5]</w:t>
            </w:r>
          </w:p>
        </w:tc>
        <w:tc>
          <w:tcPr>
            <w:tcW w:w="793" w:type="dxa"/>
            <w:gridSpan w:val="2"/>
            <w:tcBorders>
              <w:top w:val="nil"/>
              <w:left w:val="nil"/>
              <w:bottom w:val="nil"/>
              <w:right w:val="nil"/>
            </w:tcBorders>
            <w:shd w:val="clear" w:color="auto" w:fill="auto"/>
          </w:tcPr>
          <w:p w14:paraId="1FE67CB1" w14:textId="77777777" w:rsidR="00D37A31" w:rsidRPr="00887108" w:rsidRDefault="00D37A31" w:rsidP="00E9118E">
            <w:pPr>
              <w:jc w:val="center"/>
              <w:rPr>
                <w:rFonts w:cs="Times New Roman"/>
                <w:sz w:val="18"/>
                <w:szCs w:val="18"/>
              </w:rPr>
            </w:pPr>
            <w:r w:rsidRPr="00887108">
              <w:rPr>
                <w:sz w:val="18"/>
                <w:szCs w:val="18"/>
              </w:rPr>
              <w:t>32609,8</w:t>
            </w:r>
          </w:p>
        </w:tc>
        <w:tc>
          <w:tcPr>
            <w:tcW w:w="747" w:type="dxa"/>
            <w:gridSpan w:val="2"/>
            <w:tcBorders>
              <w:top w:val="nil"/>
              <w:left w:val="nil"/>
              <w:bottom w:val="nil"/>
              <w:right w:val="nil"/>
            </w:tcBorders>
            <w:shd w:val="clear" w:color="auto" w:fill="auto"/>
          </w:tcPr>
          <w:p w14:paraId="684A5CC7" w14:textId="77777777" w:rsidR="00D37A31" w:rsidRPr="00887108" w:rsidRDefault="00D37A31" w:rsidP="00E9118E">
            <w:pPr>
              <w:jc w:val="center"/>
              <w:rPr>
                <w:rFonts w:cs="Times New Roman"/>
                <w:sz w:val="18"/>
                <w:szCs w:val="18"/>
              </w:rPr>
            </w:pPr>
            <w:r w:rsidRPr="00887108">
              <w:rPr>
                <w:sz w:val="18"/>
                <w:szCs w:val="18"/>
              </w:rPr>
              <w:t>34,6</w:t>
            </w:r>
          </w:p>
        </w:tc>
        <w:tc>
          <w:tcPr>
            <w:tcW w:w="820" w:type="dxa"/>
            <w:gridSpan w:val="2"/>
            <w:tcBorders>
              <w:top w:val="nil"/>
              <w:left w:val="nil"/>
              <w:bottom w:val="nil"/>
              <w:right w:val="nil"/>
            </w:tcBorders>
            <w:shd w:val="clear" w:color="auto" w:fill="auto"/>
          </w:tcPr>
          <w:p w14:paraId="07D62D44" w14:textId="77777777" w:rsidR="00D37A31" w:rsidRPr="00887108" w:rsidRDefault="00D37A31" w:rsidP="00E9118E">
            <w:pPr>
              <w:jc w:val="center"/>
              <w:rPr>
                <w:rFonts w:cs="Times New Roman"/>
                <w:sz w:val="18"/>
                <w:szCs w:val="18"/>
              </w:rPr>
            </w:pPr>
            <w:r w:rsidRPr="00887108">
              <w:rPr>
                <w:sz w:val="18"/>
                <w:szCs w:val="18"/>
              </w:rPr>
              <w:t>34,6</w:t>
            </w:r>
          </w:p>
        </w:tc>
        <w:tc>
          <w:tcPr>
            <w:tcW w:w="684" w:type="dxa"/>
            <w:tcBorders>
              <w:top w:val="nil"/>
              <w:left w:val="nil"/>
              <w:bottom w:val="nil"/>
              <w:right w:val="nil"/>
            </w:tcBorders>
            <w:shd w:val="clear" w:color="auto" w:fill="auto"/>
          </w:tcPr>
          <w:p w14:paraId="3E933D8E"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1AD3EBD"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single" w:sz="4" w:space="0" w:color="auto"/>
              <w:right w:val="nil"/>
            </w:tcBorders>
            <w:shd w:val="clear" w:color="auto" w:fill="auto"/>
          </w:tcPr>
          <w:p w14:paraId="5E4C9D71"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19DCAF20" w14:textId="77777777" w:rsidTr="00E9118E">
        <w:trPr>
          <w:trHeight w:val="283"/>
        </w:trPr>
        <w:tc>
          <w:tcPr>
            <w:tcW w:w="9132" w:type="dxa"/>
            <w:gridSpan w:val="16"/>
            <w:tcBorders>
              <w:top w:val="single" w:sz="4" w:space="0" w:color="auto"/>
              <w:left w:val="nil"/>
              <w:bottom w:val="single" w:sz="6" w:space="0" w:color="auto"/>
              <w:right w:val="nil"/>
            </w:tcBorders>
            <w:shd w:val="clear" w:color="auto" w:fill="auto"/>
            <w:vAlign w:val="center"/>
            <w:hideMark/>
          </w:tcPr>
          <w:p w14:paraId="220AF81A" w14:textId="77777777" w:rsidR="00D37A31" w:rsidRPr="00887108" w:rsidRDefault="00D37A31" w:rsidP="00E9118E">
            <w:pPr>
              <w:jc w:val="center"/>
              <w:rPr>
                <w:rFonts w:cs="Times New Roman"/>
                <w:b/>
                <w:bCs/>
                <w:sz w:val="18"/>
                <w:szCs w:val="18"/>
              </w:rPr>
            </w:pPr>
            <w:r w:rsidRPr="00887108">
              <w:rPr>
                <w:rFonts w:cs="Times New Roman"/>
                <w:b/>
                <w:bCs/>
                <w:sz w:val="18"/>
                <w:szCs w:val="18"/>
              </w:rPr>
              <w:t>Vybrané zložky výdavkov</w:t>
            </w:r>
          </w:p>
        </w:tc>
      </w:tr>
      <w:tr w:rsidR="00D37A31" w:rsidRPr="00887108" w14:paraId="5275AC80" w14:textId="77777777" w:rsidTr="00E9118E">
        <w:trPr>
          <w:trHeight w:val="283"/>
        </w:trPr>
        <w:tc>
          <w:tcPr>
            <w:tcW w:w="3519" w:type="dxa"/>
            <w:gridSpan w:val="3"/>
            <w:tcBorders>
              <w:top w:val="single" w:sz="6" w:space="0" w:color="auto"/>
              <w:left w:val="nil"/>
              <w:bottom w:val="nil"/>
              <w:right w:val="nil"/>
            </w:tcBorders>
            <w:shd w:val="clear" w:color="auto" w:fill="auto"/>
            <w:hideMark/>
          </w:tcPr>
          <w:p w14:paraId="42372283" w14:textId="77777777" w:rsidR="00D37A31" w:rsidRPr="00887108" w:rsidRDefault="00D37A31" w:rsidP="00E9118E">
            <w:pPr>
              <w:rPr>
                <w:rFonts w:cs="Times New Roman"/>
                <w:sz w:val="18"/>
                <w:szCs w:val="18"/>
              </w:rPr>
            </w:pPr>
            <w:r w:rsidRPr="00887108">
              <w:rPr>
                <w:rFonts w:cs="Times New Roman"/>
                <w:sz w:val="18"/>
                <w:szCs w:val="18"/>
              </w:rPr>
              <w:t>17. Odmeny zamestnancov + Medzispotreba</w:t>
            </w:r>
          </w:p>
        </w:tc>
        <w:tc>
          <w:tcPr>
            <w:tcW w:w="1272" w:type="dxa"/>
            <w:gridSpan w:val="2"/>
            <w:tcBorders>
              <w:top w:val="single" w:sz="6" w:space="0" w:color="auto"/>
              <w:left w:val="nil"/>
              <w:bottom w:val="nil"/>
              <w:right w:val="nil"/>
            </w:tcBorders>
            <w:shd w:val="clear" w:color="auto" w:fill="auto"/>
            <w:hideMark/>
          </w:tcPr>
          <w:p w14:paraId="5833C4CB" w14:textId="77777777" w:rsidR="00D37A31" w:rsidRPr="00887108" w:rsidRDefault="00D37A31" w:rsidP="00E9118E">
            <w:pPr>
              <w:jc w:val="center"/>
              <w:rPr>
                <w:rFonts w:cs="Times New Roman"/>
                <w:sz w:val="18"/>
                <w:szCs w:val="18"/>
              </w:rPr>
            </w:pPr>
            <w:r w:rsidRPr="00887108">
              <w:rPr>
                <w:rFonts w:cs="Times New Roman"/>
                <w:sz w:val="18"/>
                <w:szCs w:val="18"/>
              </w:rPr>
              <w:t>D.1+P.2</w:t>
            </w:r>
          </w:p>
        </w:tc>
        <w:tc>
          <w:tcPr>
            <w:tcW w:w="793" w:type="dxa"/>
            <w:gridSpan w:val="2"/>
            <w:tcBorders>
              <w:top w:val="nil"/>
              <w:left w:val="nil"/>
              <w:bottom w:val="nil"/>
              <w:right w:val="nil"/>
            </w:tcBorders>
            <w:shd w:val="clear" w:color="auto" w:fill="auto"/>
          </w:tcPr>
          <w:p w14:paraId="55118B58" w14:textId="77777777" w:rsidR="00D37A31" w:rsidRPr="00887108" w:rsidRDefault="00D37A31" w:rsidP="00E9118E">
            <w:pPr>
              <w:jc w:val="center"/>
              <w:rPr>
                <w:rFonts w:cs="Times New Roman"/>
                <w:sz w:val="18"/>
                <w:szCs w:val="18"/>
              </w:rPr>
            </w:pPr>
            <w:r w:rsidRPr="00887108">
              <w:rPr>
                <w:sz w:val="18"/>
                <w:szCs w:val="18"/>
              </w:rPr>
              <w:t>14839,7</w:t>
            </w:r>
          </w:p>
        </w:tc>
        <w:tc>
          <w:tcPr>
            <w:tcW w:w="747" w:type="dxa"/>
            <w:gridSpan w:val="2"/>
            <w:tcBorders>
              <w:top w:val="nil"/>
              <w:left w:val="nil"/>
              <w:bottom w:val="nil"/>
              <w:right w:val="nil"/>
            </w:tcBorders>
            <w:shd w:val="clear" w:color="auto" w:fill="auto"/>
          </w:tcPr>
          <w:p w14:paraId="1D1B8284" w14:textId="77777777" w:rsidR="00D37A31" w:rsidRPr="00887108" w:rsidRDefault="00D37A31" w:rsidP="00E9118E">
            <w:pPr>
              <w:jc w:val="center"/>
              <w:rPr>
                <w:rFonts w:cs="Times New Roman"/>
                <w:sz w:val="18"/>
                <w:szCs w:val="18"/>
              </w:rPr>
            </w:pPr>
            <w:r w:rsidRPr="00887108">
              <w:rPr>
                <w:sz w:val="18"/>
                <w:szCs w:val="18"/>
              </w:rPr>
              <w:t>15,8</w:t>
            </w:r>
          </w:p>
        </w:tc>
        <w:tc>
          <w:tcPr>
            <w:tcW w:w="820" w:type="dxa"/>
            <w:gridSpan w:val="2"/>
            <w:tcBorders>
              <w:top w:val="nil"/>
              <w:left w:val="nil"/>
              <w:bottom w:val="nil"/>
              <w:right w:val="nil"/>
            </w:tcBorders>
            <w:shd w:val="clear" w:color="auto" w:fill="auto"/>
          </w:tcPr>
          <w:p w14:paraId="436AC9BC" w14:textId="77777777" w:rsidR="00D37A31" w:rsidRPr="00887108" w:rsidRDefault="00D37A31" w:rsidP="00E9118E">
            <w:pPr>
              <w:jc w:val="center"/>
              <w:rPr>
                <w:rFonts w:cs="Times New Roman"/>
                <w:sz w:val="18"/>
                <w:szCs w:val="18"/>
              </w:rPr>
            </w:pPr>
            <w:r w:rsidRPr="00887108">
              <w:rPr>
                <w:sz w:val="18"/>
                <w:szCs w:val="18"/>
              </w:rPr>
              <w:t>17,7</w:t>
            </w:r>
          </w:p>
        </w:tc>
        <w:tc>
          <w:tcPr>
            <w:tcW w:w="684" w:type="dxa"/>
            <w:tcBorders>
              <w:top w:val="nil"/>
              <w:left w:val="nil"/>
              <w:bottom w:val="nil"/>
              <w:right w:val="nil"/>
            </w:tcBorders>
            <w:shd w:val="clear" w:color="auto" w:fill="auto"/>
          </w:tcPr>
          <w:p w14:paraId="72CA0B95"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4C2B4E9C"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4739DB3"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784B1AA5" w14:textId="77777777" w:rsidTr="00E9118E">
        <w:trPr>
          <w:trHeight w:val="283"/>
        </w:trPr>
        <w:tc>
          <w:tcPr>
            <w:tcW w:w="3519" w:type="dxa"/>
            <w:gridSpan w:val="3"/>
            <w:tcBorders>
              <w:top w:val="nil"/>
              <w:left w:val="nil"/>
              <w:bottom w:val="nil"/>
              <w:right w:val="nil"/>
            </w:tcBorders>
            <w:shd w:val="clear" w:color="auto" w:fill="auto"/>
            <w:hideMark/>
          </w:tcPr>
          <w:p w14:paraId="0767877D" w14:textId="77777777" w:rsidR="00D37A31" w:rsidRPr="00887108" w:rsidRDefault="00D37A31" w:rsidP="00E9118E">
            <w:pPr>
              <w:rPr>
                <w:rFonts w:cs="Times New Roman"/>
                <w:sz w:val="18"/>
                <w:szCs w:val="18"/>
              </w:rPr>
            </w:pPr>
            <w:r w:rsidRPr="00887108">
              <w:rPr>
                <w:rFonts w:cs="Times New Roman"/>
                <w:sz w:val="18"/>
                <w:szCs w:val="18"/>
              </w:rPr>
              <w:t>17a. Odmeny zamestnancov</w:t>
            </w:r>
          </w:p>
        </w:tc>
        <w:tc>
          <w:tcPr>
            <w:tcW w:w="1272" w:type="dxa"/>
            <w:gridSpan w:val="2"/>
            <w:tcBorders>
              <w:top w:val="nil"/>
              <w:left w:val="nil"/>
              <w:bottom w:val="nil"/>
              <w:right w:val="nil"/>
            </w:tcBorders>
            <w:shd w:val="clear" w:color="auto" w:fill="auto"/>
            <w:hideMark/>
          </w:tcPr>
          <w:p w14:paraId="29C589D9" w14:textId="77777777" w:rsidR="00D37A31" w:rsidRPr="00887108" w:rsidRDefault="00D37A31" w:rsidP="00E9118E">
            <w:pPr>
              <w:jc w:val="center"/>
              <w:rPr>
                <w:rFonts w:cs="Times New Roman"/>
                <w:sz w:val="18"/>
                <w:szCs w:val="18"/>
              </w:rPr>
            </w:pPr>
            <w:r w:rsidRPr="00887108">
              <w:rPr>
                <w:rFonts w:cs="Times New Roman"/>
                <w:sz w:val="18"/>
                <w:szCs w:val="18"/>
              </w:rPr>
              <w:t>D.1</w:t>
            </w:r>
          </w:p>
        </w:tc>
        <w:tc>
          <w:tcPr>
            <w:tcW w:w="793" w:type="dxa"/>
            <w:gridSpan w:val="2"/>
            <w:tcBorders>
              <w:top w:val="nil"/>
              <w:left w:val="nil"/>
              <w:bottom w:val="nil"/>
              <w:right w:val="nil"/>
            </w:tcBorders>
            <w:shd w:val="clear" w:color="auto" w:fill="auto"/>
          </w:tcPr>
          <w:p w14:paraId="1A460F98" w14:textId="77777777" w:rsidR="00D37A31" w:rsidRPr="00887108" w:rsidRDefault="00D37A31" w:rsidP="00E9118E">
            <w:pPr>
              <w:jc w:val="center"/>
              <w:rPr>
                <w:rFonts w:cs="Times New Roman"/>
                <w:sz w:val="18"/>
                <w:szCs w:val="18"/>
              </w:rPr>
            </w:pPr>
            <w:r w:rsidRPr="00887108">
              <w:rPr>
                <w:sz w:val="18"/>
                <w:szCs w:val="18"/>
              </w:rPr>
              <w:t>9596,2</w:t>
            </w:r>
          </w:p>
        </w:tc>
        <w:tc>
          <w:tcPr>
            <w:tcW w:w="747" w:type="dxa"/>
            <w:gridSpan w:val="2"/>
            <w:tcBorders>
              <w:top w:val="nil"/>
              <w:left w:val="nil"/>
              <w:bottom w:val="nil"/>
              <w:right w:val="nil"/>
            </w:tcBorders>
            <w:shd w:val="clear" w:color="auto" w:fill="auto"/>
          </w:tcPr>
          <w:p w14:paraId="0CD0F1D2" w14:textId="77777777" w:rsidR="00D37A31" w:rsidRPr="00887108" w:rsidRDefault="00D37A31" w:rsidP="00E9118E">
            <w:pPr>
              <w:jc w:val="center"/>
              <w:rPr>
                <w:rFonts w:cs="Times New Roman"/>
                <w:sz w:val="18"/>
                <w:szCs w:val="18"/>
              </w:rPr>
            </w:pPr>
            <w:r w:rsidRPr="00887108">
              <w:rPr>
                <w:sz w:val="18"/>
                <w:szCs w:val="18"/>
              </w:rPr>
              <w:t>10,2</w:t>
            </w:r>
          </w:p>
        </w:tc>
        <w:tc>
          <w:tcPr>
            <w:tcW w:w="820" w:type="dxa"/>
            <w:gridSpan w:val="2"/>
            <w:tcBorders>
              <w:top w:val="nil"/>
              <w:left w:val="nil"/>
              <w:bottom w:val="nil"/>
              <w:right w:val="nil"/>
            </w:tcBorders>
            <w:shd w:val="clear" w:color="auto" w:fill="auto"/>
          </w:tcPr>
          <w:p w14:paraId="46D9B039" w14:textId="77777777" w:rsidR="00D37A31" w:rsidRPr="00887108" w:rsidRDefault="00D37A31" w:rsidP="00E9118E">
            <w:pPr>
              <w:jc w:val="center"/>
              <w:rPr>
                <w:rFonts w:cs="Times New Roman"/>
                <w:sz w:val="18"/>
                <w:szCs w:val="18"/>
              </w:rPr>
            </w:pPr>
            <w:r w:rsidRPr="00887108">
              <w:rPr>
                <w:sz w:val="18"/>
                <w:szCs w:val="18"/>
              </w:rPr>
              <w:t>11,3</w:t>
            </w:r>
          </w:p>
        </w:tc>
        <w:tc>
          <w:tcPr>
            <w:tcW w:w="684" w:type="dxa"/>
            <w:tcBorders>
              <w:top w:val="nil"/>
              <w:left w:val="nil"/>
              <w:bottom w:val="nil"/>
              <w:right w:val="nil"/>
            </w:tcBorders>
            <w:shd w:val="clear" w:color="auto" w:fill="auto"/>
          </w:tcPr>
          <w:p w14:paraId="284A579F"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47102B3B"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52574050"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14943B44" w14:textId="77777777" w:rsidTr="00E9118E">
        <w:trPr>
          <w:trHeight w:val="283"/>
        </w:trPr>
        <w:tc>
          <w:tcPr>
            <w:tcW w:w="3519" w:type="dxa"/>
            <w:gridSpan w:val="3"/>
            <w:tcBorders>
              <w:top w:val="nil"/>
              <w:left w:val="nil"/>
              <w:bottom w:val="nil"/>
              <w:right w:val="nil"/>
            </w:tcBorders>
            <w:shd w:val="clear" w:color="auto" w:fill="auto"/>
            <w:hideMark/>
          </w:tcPr>
          <w:p w14:paraId="744A271F" w14:textId="77777777" w:rsidR="00D37A31" w:rsidRPr="00887108" w:rsidRDefault="00D37A31" w:rsidP="00E9118E">
            <w:pPr>
              <w:rPr>
                <w:rFonts w:cs="Times New Roman"/>
                <w:sz w:val="18"/>
                <w:szCs w:val="18"/>
              </w:rPr>
            </w:pPr>
            <w:r w:rsidRPr="00887108">
              <w:rPr>
                <w:rFonts w:cs="Times New Roman"/>
                <w:sz w:val="18"/>
                <w:szCs w:val="18"/>
              </w:rPr>
              <w:t>17b. Medzispotreba</w:t>
            </w:r>
          </w:p>
        </w:tc>
        <w:tc>
          <w:tcPr>
            <w:tcW w:w="1272" w:type="dxa"/>
            <w:gridSpan w:val="2"/>
            <w:tcBorders>
              <w:top w:val="nil"/>
              <w:left w:val="nil"/>
              <w:bottom w:val="nil"/>
              <w:right w:val="nil"/>
            </w:tcBorders>
            <w:shd w:val="clear" w:color="auto" w:fill="auto"/>
            <w:hideMark/>
          </w:tcPr>
          <w:p w14:paraId="5BCBC1C7" w14:textId="77777777" w:rsidR="00D37A31" w:rsidRPr="00887108" w:rsidRDefault="00D37A31" w:rsidP="00E9118E">
            <w:pPr>
              <w:jc w:val="center"/>
              <w:rPr>
                <w:rFonts w:cs="Times New Roman"/>
                <w:sz w:val="18"/>
                <w:szCs w:val="18"/>
              </w:rPr>
            </w:pPr>
            <w:r w:rsidRPr="00887108">
              <w:rPr>
                <w:rFonts w:cs="Times New Roman"/>
                <w:sz w:val="18"/>
                <w:szCs w:val="18"/>
              </w:rPr>
              <w:t>P.2</w:t>
            </w:r>
          </w:p>
        </w:tc>
        <w:tc>
          <w:tcPr>
            <w:tcW w:w="793" w:type="dxa"/>
            <w:gridSpan w:val="2"/>
            <w:tcBorders>
              <w:top w:val="nil"/>
              <w:left w:val="nil"/>
              <w:bottom w:val="nil"/>
              <w:right w:val="nil"/>
            </w:tcBorders>
            <w:shd w:val="clear" w:color="auto" w:fill="auto"/>
          </w:tcPr>
          <w:p w14:paraId="32D5D054" w14:textId="77777777" w:rsidR="00D37A31" w:rsidRPr="00887108" w:rsidRDefault="00D37A31" w:rsidP="00E9118E">
            <w:pPr>
              <w:jc w:val="center"/>
              <w:rPr>
                <w:rFonts w:cs="Times New Roman"/>
                <w:sz w:val="18"/>
                <w:szCs w:val="18"/>
              </w:rPr>
            </w:pPr>
            <w:r w:rsidRPr="00887108">
              <w:rPr>
                <w:sz w:val="18"/>
                <w:szCs w:val="18"/>
              </w:rPr>
              <w:t>5243,5</w:t>
            </w:r>
          </w:p>
        </w:tc>
        <w:tc>
          <w:tcPr>
            <w:tcW w:w="747" w:type="dxa"/>
            <w:gridSpan w:val="2"/>
            <w:tcBorders>
              <w:top w:val="nil"/>
              <w:left w:val="nil"/>
              <w:bottom w:val="nil"/>
              <w:right w:val="nil"/>
            </w:tcBorders>
            <w:shd w:val="clear" w:color="auto" w:fill="auto"/>
          </w:tcPr>
          <w:p w14:paraId="4FA5E29C" w14:textId="77777777" w:rsidR="00D37A31" w:rsidRPr="00887108" w:rsidRDefault="00D37A31" w:rsidP="00E9118E">
            <w:pPr>
              <w:jc w:val="center"/>
              <w:rPr>
                <w:rFonts w:cs="Times New Roman"/>
                <w:sz w:val="18"/>
                <w:szCs w:val="18"/>
              </w:rPr>
            </w:pPr>
            <w:r w:rsidRPr="00887108">
              <w:rPr>
                <w:sz w:val="18"/>
                <w:szCs w:val="18"/>
              </w:rPr>
              <w:t>5,6</w:t>
            </w:r>
          </w:p>
        </w:tc>
        <w:tc>
          <w:tcPr>
            <w:tcW w:w="820" w:type="dxa"/>
            <w:gridSpan w:val="2"/>
            <w:tcBorders>
              <w:top w:val="nil"/>
              <w:left w:val="nil"/>
              <w:bottom w:val="nil"/>
              <w:right w:val="nil"/>
            </w:tcBorders>
            <w:shd w:val="clear" w:color="auto" w:fill="auto"/>
          </w:tcPr>
          <w:p w14:paraId="29F34813" w14:textId="77777777" w:rsidR="00D37A31" w:rsidRPr="00887108" w:rsidRDefault="00D37A31" w:rsidP="00E9118E">
            <w:pPr>
              <w:jc w:val="center"/>
              <w:rPr>
                <w:rFonts w:cs="Times New Roman"/>
                <w:sz w:val="18"/>
                <w:szCs w:val="18"/>
              </w:rPr>
            </w:pPr>
            <w:r w:rsidRPr="00887108">
              <w:rPr>
                <w:sz w:val="18"/>
                <w:szCs w:val="18"/>
              </w:rPr>
              <w:t>6,4</w:t>
            </w:r>
          </w:p>
        </w:tc>
        <w:tc>
          <w:tcPr>
            <w:tcW w:w="684" w:type="dxa"/>
            <w:tcBorders>
              <w:top w:val="nil"/>
              <w:left w:val="nil"/>
              <w:bottom w:val="nil"/>
              <w:right w:val="nil"/>
            </w:tcBorders>
            <w:shd w:val="clear" w:color="auto" w:fill="auto"/>
          </w:tcPr>
          <w:p w14:paraId="7520CCBA"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065AF4E2"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6A713892"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05DAC311" w14:textId="77777777" w:rsidTr="00E9118E">
        <w:trPr>
          <w:trHeight w:val="283"/>
        </w:trPr>
        <w:tc>
          <w:tcPr>
            <w:tcW w:w="3519" w:type="dxa"/>
            <w:gridSpan w:val="3"/>
            <w:tcBorders>
              <w:top w:val="nil"/>
              <w:left w:val="nil"/>
              <w:bottom w:val="nil"/>
              <w:right w:val="nil"/>
            </w:tcBorders>
            <w:shd w:val="clear" w:color="auto" w:fill="auto"/>
            <w:hideMark/>
          </w:tcPr>
          <w:p w14:paraId="15B26DB5" w14:textId="77777777" w:rsidR="00D37A31" w:rsidRPr="00887108" w:rsidRDefault="00D37A31" w:rsidP="00E9118E">
            <w:pPr>
              <w:rPr>
                <w:rFonts w:cs="Times New Roman"/>
                <w:sz w:val="18"/>
                <w:szCs w:val="18"/>
              </w:rPr>
            </w:pPr>
            <w:r w:rsidRPr="00887108">
              <w:rPr>
                <w:rFonts w:cs="Times New Roman"/>
                <w:sz w:val="18"/>
                <w:szCs w:val="18"/>
              </w:rPr>
              <w:t>18. Celkové sociálne transfery</w:t>
            </w:r>
          </w:p>
        </w:tc>
        <w:tc>
          <w:tcPr>
            <w:tcW w:w="1272" w:type="dxa"/>
            <w:gridSpan w:val="2"/>
            <w:tcBorders>
              <w:top w:val="nil"/>
              <w:left w:val="nil"/>
              <w:bottom w:val="nil"/>
              <w:right w:val="nil"/>
            </w:tcBorders>
            <w:shd w:val="clear" w:color="auto" w:fill="auto"/>
            <w:hideMark/>
          </w:tcPr>
          <w:p w14:paraId="79276F99" w14:textId="77777777" w:rsidR="00D37A31" w:rsidRPr="00887108" w:rsidRDefault="00D37A31" w:rsidP="00E9118E">
            <w:pPr>
              <w:jc w:val="center"/>
              <w:rPr>
                <w:rFonts w:cs="Times New Roman"/>
                <w:sz w:val="18"/>
                <w:szCs w:val="18"/>
              </w:rPr>
            </w:pPr>
            <w:r w:rsidRPr="00887108">
              <w:rPr>
                <w:rFonts w:cs="Times New Roman"/>
                <w:sz w:val="18"/>
                <w:szCs w:val="18"/>
              </w:rPr>
              <w:t>D6</w:t>
            </w:r>
          </w:p>
        </w:tc>
        <w:tc>
          <w:tcPr>
            <w:tcW w:w="793" w:type="dxa"/>
            <w:gridSpan w:val="2"/>
            <w:tcBorders>
              <w:top w:val="nil"/>
              <w:left w:val="nil"/>
              <w:bottom w:val="nil"/>
              <w:right w:val="nil"/>
            </w:tcBorders>
            <w:shd w:val="clear" w:color="auto" w:fill="auto"/>
          </w:tcPr>
          <w:p w14:paraId="78F13F48" w14:textId="77777777" w:rsidR="00D37A31" w:rsidRPr="00887108" w:rsidRDefault="00D37A31" w:rsidP="00E9118E">
            <w:pPr>
              <w:jc w:val="center"/>
              <w:rPr>
                <w:rFonts w:cs="Times New Roman"/>
                <w:sz w:val="18"/>
                <w:szCs w:val="18"/>
              </w:rPr>
            </w:pPr>
            <w:r w:rsidRPr="00887108">
              <w:rPr>
                <w:sz w:val="18"/>
                <w:szCs w:val="18"/>
              </w:rPr>
              <w:t>17441,7</w:t>
            </w:r>
          </w:p>
        </w:tc>
        <w:tc>
          <w:tcPr>
            <w:tcW w:w="747" w:type="dxa"/>
            <w:gridSpan w:val="2"/>
            <w:tcBorders>
              <w:top w:val="nil"/>
              <w:left w:val="nil"/>
              <w:bottom w:val="nil"/>
              <w:right w:val="nil"/>
            </w:tcBorders>
            <w:shd w:val="clear" w:color="auto" w:fill="auto"/>
          </w:tcPr>
          <w:p w14:paraId="5A15B35A" w14:textId="77777777" w:rsidR="00D37A31" w:rsidRPr="00887108" w:rsidRDefault="00D37A31" w:rsidP="00E9118E">
            <w:pPr>
              <w:jc w:val="center"/>
              <w:rPr>
                <w:rFonts w:cs="Times New Roman"/>
                <w:sz w:val="18"/>
                <w:szCs w:val="18"/>
              </w:rPr>
            </w:pPr>
            <w:r w:rsidRPr="00887108">
              <w:rPr>
                <w:sz w:val="18"/>
                <w:szCs w:val="18"/>
              </w:rPr>
              <w:t>18,5</w:t>
            </w:r>
          </w:p>
        </w:tc>
        <w:tc>
          <w:tcPr>
            <w:tcW w:w="820" w:type="dxa"/>
            <w:gridSpan w:val="2"/>
            <w:tcBorders>
              <w:top w:val="nil"/>
              <w:left w:val="nil"/>
              <w:bottom w:val="nil"/>
              <w:right w:val="nil"/>
            </w:tcBorders>
            <w:shd w:val="clear" w:color="auto" w:fill="auto"/>
          </w:tcPr>
          <w:p w14:paraId="0D8E69D3" w14:textId="77777777" w:rsidR="00D37A31" w:rsidRPr="00887108" w:rsidRDefault="00D37A31" w:rsidP="00E9118E">
            <w:pPr>
              <w:jc w:val="center"/>
              <w:rPr>
                <w:rFonts w:cs="Times New Roman"/>
                <w:sz w:val="18"/>
                <w:szCs w:val="18"/>
              </w:rPr>
            </w:pPr>
            <w:r w:rsidRPr="00887108">
              <w:rPr>
                <w:sz w:val="18"/>
                <w:szCs w:val="18"/>
              </w:rPr>
              <w:t>23,4</w:t>
            </w:r>
          </w:p>
        </w:tc>
        <w:tc>
          <w:tcPr>
            <w:tcW w:w="684" w:type="dxa"/>
            <w:tcBorders>
              <w:top w:val="nil"/>
              <w:left w:val="nil"/>
              <w:bottom w:val="nil"/>
              <w:right w:val="nil"/>
            </w:tcBorders>
            <w:shd w:val="clear" w:color="auto" w:fill="auto"/>
          </w:tcPr>
          <w:p w14:paraId="2B7E8D3C"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0FCF88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73D67887"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5A6D0896" w14:textId="77777777" w:rsidTr="00E9118E">
        <w:trPr>
          <w:trHeight w:val="283"/>
        </w:trPr>
        <w:tc>
          <w:tcPr>
            <w:tcW w:w="3519" w:type="dxa"/>
            <w:gridSpan w:val="3"/>
            <w:tcBorders>
              <w:top w:val="nil"/>
              <w:left w:val="nil"/>
              <w:bottom w:val="nil"/>
              <w:right w:val="nil"/>
            </w:tcBorders>
            <w:shd w:val="clear" w:color="auto" w:fill="auto"/>
            <w:hideMark/>
          </w:tcPr>
          <w:p w14:paraId="347A0592" w14:textId="77777777" w:rsidR="00D37A31" w:rsidRPr="00887108" w:rsidRDefault="00D37A31" w:rsidP="00E9118E">
            <w:pPr>
              <w:rPr>
                <w:rFonts w:cs="Times New Roman"/>
                <w:sz w:val="18"/>
                <w:szCs w:val="18"/>
              </w:rPr>
            </w:pPr>
            <w:r w:rsidRPr="00887108">
              <w:rPr>
                <w:rFonts w:cs="Times New Roman"/>
                <w:sz w:val="18"/>
                <w:szCs w:val="18"/>
              </w:rPr>
              <w:t xml:space="preserve"> z toho: dávky v nezamestnanosti</w:t>
            </w:r>
          </w:p>
        </w:tc>
        <w:tc>
          <w:tcPr>
            <w:tcW w:w="1272" w:type="dxa"/>
            <w:gridSpan w:val="2"/>
            <w:tcBorders>
              <w:top w:val="nil"/>
              <w:left w:val="nil"/>
              <w:bottom w:val="nil"/>
              <w:right w:val="nil"/>
            </w:tcBorders>
            <w:shd w:val="clear" w:color="auto" w:fill="auto"/>
            <w:hideMark/>
          </w:tcPr>
          <w:p w14:paraId="483473D3" w14:textId="77777777" w:rsidR="00D37A31" w:rsidRPr="00887108" w:rsidRDefault="00D37A31" w:rsidP="00E9118E">
            <w:pPr>
              <w:jc w:val="center"/>
              <w:rPr>
                <w:rFonts w:cs="Times New Roman"/>
                <w:sz w:val="18"/>
                <w:szCs w:val="18"/>
              </w:rPr>
            </w:pPr>
            <w:r w:rsidRPr="00887108">
              <w:rPr>
                <w:rFonts w:cs="Times New Roman"/>
                <w:sz w:val="18"/>
                <w:szCs w:val="18"/>
                <w:vertAlign w:val="superscript"/>
              </w:rPr>
              <w:t>[6]</w:t>
            </w:r>
          </w:p>
        </w:tc>
        <w:tc>
          <w:tcPr>
            <w:tcW w:w="793" w:type="dxa"/>
            <w:gridSpan w:val="2"/>
            <w:tcBorders>
              <w:top w:val="nil"/>
              <w:left w:val="nil"/>
              <w:bottom w:val="nil"/>
              <w:right w:val="nil"/>
            </w:tcBorders>
            <w:shd w:val="clear" w:color="auto" w:fill="auto"/>
          </w:tcPr>
          <w:p w14:paraId="1F4C51ED" w14:textId="77777777" w:rsidR="00D37A31" w:rsidRPr="00887108" w:rsidRDefault="00D37A31" w:rsidP="00E9118E">
            <w:pPr>
              <w:jc w:val="center"/>
              <w:rPr>
                <w:rFonts w:cs="Times New Roman"/>
                <w:sz w:val="18"/>
                <w:szCs w:val="18"/>
              </w:rPr>
            </w:pPr>
            <w:r w:rsidRPr="00887108">
              <w:rPr>
                <w:sz w:val="18"/>
                <w:szCs w:val="18"/>
              </w:rPr>
              <w:t>214,2</w:t>
            </w:r>
          </w:p>
        </w:tc>
        <w:tc>
          <w:tcPr>
            <w:tcW w:w="747" w:type="dxa"/>
            <w:gridSpan w:val="2"/>
            <w:tcBorders>
              <w:top w:val="nil"/>
              <w:left w:val="nil"/>
              <w:bottom w:val="nil"/>
              <w:right w:val="nil"/>
            </w:tcBorders>
            <w:shd w:val="clear" w:color="auto" w:fill="auto"/>
          </w:tcPr>
          <w:p w14:paraId="4DEFB6A1" w14:textId="77777777" w:rsidR="00D37A31" w:rsidRPr="00887108" w:rsidRDefault="00D37A31" w:rsidP="00E9118E">
            <w:pPr>
              <w:jc w:val="center"/>
              <w:rPr>
                <w:rFonts w:cs="Times New Roman"/>
                <w:sz w:val="18"/>
                <w:szCs w:val="18"/>
              </w:rPr>
            </w:pPr>
            <w:r w:rsidRPr="00887108">
              <w:rPr>
                <w:sz w:val="18"/>
                <w:szCs w:val="18"/>
              </w:rPr>
              <w:t>0,2</w:t>
            </w:r>
          </w:p>
        </w:tc>
        <w:tc>
          <w:tcPr>
            <w:tcW w:w="820" w:type="dxa"/>
            <w:gridSpan w:val="2"/>
            <w:tcBorders>
              <w:top w:val="nil"/>
              <w:left w:val="nil"/>
              <w:bottom w:val="nil"/>
              <w:right w:val="nil"/>
            </w:tcBorders>
            <w:shd w:val="clear" w:color="auto" w:fill="auto"/>
          </w:tcPr>
          <w:p w14:paraId="003E2DE9" w14:textId="77777777" w:rsidR="00D37A31" w:rsidRPr="00887108" w:rsidRDefault="00D37A31" w:rsidP="00E9118E">
            <w:pPr>
              <w:jc w:val="center"/>
              <w:rPr>
                <w:rFonts w:cs="Times New Roman"/>
                <w:sz w:val="18"/>
                <w:szCs w:val="18"/>
              </w:rPr>
            </w:pPr>
            <w:r w:rsidRPr="00887108">
              <w:rPr>
                <w:sz w:val="18"/>
                <w:szCs w:val="18"/>
              </w:rPr>
              <w:t>0,5</w:t>
            </w:r>
          </w:p>
        </w:tc>
        <w:tc>
          <w:tcPr>
            <w:tcW w:w="684" w:type="dxa"/>
            <w:tcBorders>
              <w:top w:val="nil"/>
              <w:left w:val="nil"/>
              <w:bottom w:val="nil"/>
              <w:right w:val="nil"/>
            </w:tcBorders>
            <w:shd w:val="clear" w:color="auto" w:fill="auto"/>
          </w:tcPr>
          <w:p w14:paraId="6C73FAF0"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86ECB57"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0D7B9E1A"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4F98F73D" w14:textId="77777777" w:rsidTr="00E9118E">
        <w:trPr>
          <w:trHeight w:val="283"/>
        </w:trPr>
        <w:tc>
          <w:tcPr>
            <w:tcW w:w="3519" w:type="dxa"/>
            <w:gridSpan w:val="3"/>
            <w:tcBorders>
              <w:top w:val="nil"/>
              <w:left w:val="nil"/>
              <w:bottom w:val="nil"/>
              <w:right w:val="nil"/>
            </w:tcBorders>
            <w:shd w:val="clear" w:color="auto" w:fill="auto"/>
            <w:hideMark/>
          </w:tcPr>
          <w:p w14:paraId="23EF44BA" w14:textId="77777777" w:rsidR="00D37A31" w:rsidRPr="00887108" w:rsidRDefault="00D37A31" w:rsidP="00E9118E">
            <w:pPr>
              <w:rPr>
                <w:rFonts w:cs="Times New Roman"/>
                <w:sz w:val="18"/>
                <w:szCs w:val="18"/>
              </w:rPr>
            </w:pPr>
            <w:r w:rsidRPr="00887108">
              <w:rPr>
                <w:rFonts w:cs="Times New Roman"/>
                <w:sz w:val="18"/>
                <w:szCs w:val="18"/>
              </w:rPr>
              <w:t>18a. Naturálne sociálne transfery</w:t>
            </w:r>
          </w:p>
        </w:tc>
        <w:tc>
          <w:tcPr>
            <w:tcW w:w="1272" w:type="dxa"/>
            <w:gridSpan w:val="2"/>
            <w:tcBorders>
              <w:top w:val="nil"/>
              <w:left w:val="nil"/>
              <w:bottom w:val="nil"/>
              <w:right w:val="nil"/>
            </w:tcBorders>
            <w:shd w:val="clear" w:color="auto" w:fill="auto"/>
            <w:hideMark/>
          </w:tcPr>
          <w:p w14:paraId="2D2C4C11" w14:textId="77777777" w:rsidR="00D37A31" w:rsidRPr="00887108" w:rsidRDefault="00D37A31" w:rsidP="00E9118E">
            <w:pPr>
              <w:jc w:val="center"/>
              <w:rPr>
                <w:rFonts w:cs="Times New Roman"/>
                <w:sz w:val="18"/>
                <w:szCs w:val="18"/>
              </w:rPr>
            </w:pPr>
            <w:r w:rsidRPr="00887108">
              <w:rPr>
                <w:rFonts w:cs="Times New Roman"/>
                <w:sz w:val="18"/>
                <w:szCs w:val="18"/>
              </w:rPr>
              <w:t>D.632</w:t>
            </w:r>
          </w:p>
        </w:tc>
        <w:tc>
          <w:tcPr>
            <w:tcW w:w="793" w:type="dxa"/>
            <w:gridSpan w:val="2"/>
            <w:tcBorders>
              <w:top w:val="nil"/>
              <w:left w:val="nil"/>
              <w:bottom w:val="nil"/>
              <w:right w:val="nil"/>
            </w:tcBorders>
            <w:shd w:val="clear" w:color="auto" w:fill="auto"/>
          </w:tcPr>
          <w:p w14:paraId="176F005F" w14:textId="77777777" w:rsidR="00D37A31" w:rsidRPr="00887108" w:rsidRDefault="00D37A31" w:rsidP="00E9118E">
            <w:pPr>
              <w:jc w:val="center"/>
              <w:rPr>
                <w:rFonts w:cs="Times New Roman"/>
                <w:sz w:val="18"/>
                <w:szCs w:val="18"/>
              </w:rPr>
            </w:pPr>
            <w:r w:rsidRPr="00887108">
              <w:rPr>
                <w:sz w:val="18"/>
                <w:szCs w:val="18"/>
              </w:rPr>
              <w:t>12599,4</w:t>
            </w:r>
          </w:p>
        </w:tc>
        <w:tc>
          <w:tcPr>
            <w:tcW w:w="747" w:type="dxa"/>
            <w:gridSpan w:val="2"/>
            <w:tcBorders>
              <w:top w:val="nil"/>
              <w:left w:val="nil"/>
              <w:bottom w:val="nil"/>
              <w:right w:val="nil"/>
            </w:tcBorders>
            <w:shd w:val="clear" w:color="auto" w:fill="auto"/>
          </w:tcPr>
          <w:p w14:paraId="186DE7F9" w14:textId="77777777" w:rsidR="00D37A31" w:rsidRPr="00887108" w:rsidRDefault="00D37A31" w:rsidP="00E9118E">
            <w:pPr>
              <w:jc w:val="center"/>
              <w:rPr>
                <w:rFonts w:cs="Times New Roman"/>
                <w:sz w:val="18"/>
                <w:szCs w:val="18"/>
              </w:rPr>
            </w:pPr>
            <w:r w:rsidRPr="00887108">
              <w:rPr>
                <w:sz w:val="18"/>
                <w:szCs w:val="18"/>
              </w:rPr>
              <w:t>13,4</w:t>
            </w:r>
          </w:p>
        </w:tc>
        <w:tc>
          <w:tcPr>
            <w:tcW w:w="820" w:type="dxa"/>
            <w:gridSpan w:val="2"/>
            <w:tcBorders>
              <w:top w:val="nil"/>
              <w:left w:val="nil"/>
              <w:bottom w:val="nil"/>
              <w:right w:val="nil"/>
            </w:tcBorders>
            <w:shd w:val="clear" w:color="auto" w:fill="auto"/>
          </w:tcPr>
          <w:p w14:paraId="4B68FC6B" w14:textId="44186029" w:rsidR="00D37A31" w:rsidRPr="00887108" w:rsidRDefault="009A50A6" w:rsidP="00E9118E">
            <w:pPr>
              <w:jc w:val="center"/>
              <w:rPr>
                <w:rFonts w:cs="Times New Roman"/>
                <w:sz w:val="18"/>
                <w:szCs w:val="18"/>
              </w:rPr>
            </w:pPr>
            <w:r w:rsidRPr="00887108">
              <w:rPr>
                <w:sz w:val="18"/>
                <w:szCs w:val="18"/>
              </w:rPr>
              <w:t>17,6</w:t>
            </w:r>
          </w:p>
        </w:tc>
        <w:tc>
          <w:tcPr>
            <w:tcW w:w="684" w:type="dxa"/>
            <w:tcBorders>
              <w:top w:val="nil"/>
              <w:left w:val="nil"/>
              <w:bottom w:val="nil"/>
              <w:right w:val="nil"/>
            </w:tcBorders>
            <w:shd w:val="clear" w:color="auto" w:fill="auto"/>
          </w:tcPr>
          <w:p w14:paraId="15A88138"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7C720DD8"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E8A02C4"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678A1B09" w14:textId="77777777" w:rsidTr="00E9118E">
        <w:trPr>
          <w:trHeight w:val="283"/>
        </w:trPr>
        <w:tc>
          <w:tcPr>
            <w:tcW w:w="3519" w:type="dxa"/>
            <w:gridSpan w:val="3"/>
            <w:tcBorders>
              <w:top w:val="nil"/>
              <w:left w:val="nil"/>
              <w:bottom w:val="nil"/>
              <w:right w:val="nil"/>
            </w:tcBorders>
            <w:shd w:val="clear" w:color="auto" w:fill="auto"/>
            <w:hideMark/>
          </w:tcPr>
          <w:p w14:paraId="3A51B76D" w14:textId="77777777" w:rsidR="00D37A31" w:rsidRPr="00887108" w:rsidRDefault="00D37A31" w:rsidP="00E9118E">
            <w:pPr>
              <w:rPr>
                <w:rFonts w:cs="Times New Roman"/>
                <w:sz w:val="18"/>
                <w:szCs w:val="18"/>
              </w:rPr>
            </w:pPr>
            <w:r w:rsidRPr="00887108">
              <w:rPr>
                <w:rFonts w:cs="Times New Roman"/>
                <w:sz w:val="18"/>
                <w:szCs w:val="18"/>
              </w:rPr>
              <w:t>18b. Sociálne dávky okrem naturálnych soc. transferov</w:t>
            </w:r>
          </w:p>
        </w:tc>
        <w:tc>
          <w:tcPr>
            <w:tcW w:w="1272" w:type="dxa"/>
            <w:gridSpan w:val="2"/>
            <w:tcBorders>
              <w:top w:val="nil"/>
              <w:left w:val="nil"/>
              <w:bottom w:val="nil"/>
              <w:right w:val="nil"/>
            </w:tcBorders>
            <w:shd w:val="clear" w:color="auto" w:fill="auto"/>
            <w:hideMark/>
          </w:tcPr>
          <w:p w14:paraId="6BF6A963" w14:textId="77777777" w:rsidR="00D37A31" w:rsidRPr="00887108" w:rsidRDefault="00D37A31" w:rsidP="00E9118E">
            <w:pPr>
              <w:jc w:val="center"/>
              <w:rPr>
                <w:rFonts w:cs="Times New Roman"/>
                <w:sz w:val="18"/>
                <w:szCs w:val="18"/>
              </w:rPr>
            </w:pPr>
            <w:r w:rsidRPr="00887108">
              <w:rPr>
                <w:rFonts w:cs="Times New Roman"/>
                <w:sz w:val="18"/>
                <w:szCs w:val="18"/>
              </w:rPr>
              <w:t>D.62</w:t>
            </w:r>
          </w:p>
        </w:tc>
        <w:tc>
          <w:tcPr>
            <w:tcW w:w="793" w:type="dxa"/>
            <w:gridSpan w:val="2"/>
            <w:tcBorders>
              <w:top w:val="nil"/>
              <w:left w:val="nil"/>
              <w:bottom w:val="nil"/>
              <w:right w:val="nil"/>
            </w:tcBorders>
            <w:shd w:val="clear" w:color="auto" w:fill="auto"/>
          </w:tcPr>
          <w:p w14:paraId="70CD1E2B" w14:textId="77777777" w:rsidR="00D37A31" w:rsidRPr="00887108" w:rsidRDefault="00D37A31" w:rsidP="00E9118E">
            <w:pPr>
              <w:jc w:val="center"/>
              <w:rPr>
                <w:rFonts w:cs="Times New Roman"/>
                <w:sz w:val="18"/>
                <w:szCs w:val="18"/>
              </w:rPr>
            </w:pPr>
            <w:r w:rsidRPr="00887108">
              <w:rPr>
                <w:sz w:val="18"/>
                <w:szCs w:val="18"/>
              </w:rPr>
              <w:t>4842,2</w:t>
            </w:r>
          </w:p>
        </w:tc>
        <w:tc>
          <w:tcPr>
            <w:tcW w:w="747" w:type="dxa"/>
            <w:gridSpan w:val="2"/>
            <w:tcBorders>
              <w:top w:val="nil"/>
              <w:left w:val="nil"/>
              <w:bottom w:val="nil"/>
              <w:right w:val="nil"/>
            </w:tcBorders>
            <w:shd w:val="clear" w:color="auto" w:fill="auto"/>
          </w:tcPr>
          <w:p w14:paraId="080B4459" w14:textId="77777777" w:rsidR="00D37A31" w:rsidRPr="00887108" w:rsidRDefault="00D37A31" w:rsidP="00E9118E">
            <w:pPr>
              <w:jc w:val="center"/>
              <w:rPr>
                <w:rFonts w:cs="Times New Roman"/>
                <w:sz w:val="18"/>
                <w:szCs w:val="18"/>
              </w:rPr>
            </w:pPr>
            <w:r w:rsidRPr="00887108">
              <w:rPr>
                <w:sz w:val="18"/>
                <w:szCs w:val="18"/>
              </w:rPr>
              <w:t>5,1</w:t>
            </w:r>
          </w:p>
        </w:tc>
        <w:tc>
          <w:tcPr>
            <w:tcW w:w="820" w:type="dxa"/>
            <w:gridSpan w:val="2"/>
            <w:tcBorders>
              <w:top w:val="nil"/>
              <w:left w:val="nil"/>
              <w:bottom w:val="nil"/>
              <w:right w:val="nil"/>
            </w:tcBorders>
            <w:shd w:val="clear" w:color="auto" w:fill="auto"/>
          </w:tcPr>
          <w:p w14:paraId="3349AD06" w14:textId="762DDE48" w:rsidR="00D37A31" w:rsidRPr="00887108" w:rsidRDefault="00045795" w:rsidP="00E9118E">
            <w:pPr>
              <w:jc w:val="center"/>
              <w:rPr>
                <w:rFonts w:cs="Times New Roman"/>
                <w:sz w:val="18"/>
                <w:szCs w:val="18"/>
              </w:rPr>
            </w:pPr>
            <w:r w:rsidRPr="00887108">
              <w:rPr>
                <w:sz w:val="18"/>
                <w:szCs w:val="18"/>
              </w:rPr>
              <w:t>5,8</w:t>
            </w:r>
          </w:p>
        </w:tc>
        <w:tc>
          <w:tcPr>
            <w:tcW w:w="684" w:type="dxa"/>
            <w:tcBorders>
              <w:top w:val="nil"/>
              <w:left w:val="nil"/>
              <w:bottom w:val="nil"/>
              <w:right w:val="nil"/>
            </w:tcBorders>
            <w:shd w:val="clear" w:color="auto" w:fill="auto"/>
          </w:tcPr>
          <w:p w14:paraId="2C7F9CD7"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6B0BFE5"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5BE7B39"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6604DFA6" w14:textId="77777777" w:rsidTr="00E9118E">
        <w:trPr>
          <w:trHeight w:val="283"/>
        </w:trPr>
        <w:tc>
          <w:tcPr>
            <w:tcW w:w="3519" w:type="dxa"/>
            <w:gridSpan w:val="3"/>
            <w:tcBorders>
              <w:top w:val="nil"/>
              <w:left w:val="nil"/>
              <w:bottom w:val="nil"/>
              <w:right w:val="nil"/>
            </w:tcBorders>
            <w:shd w:val="clear" w:color="auto" w:fill="auto"/>
            <w:hideMark/>
          </w:tcPr>
          <w:p w14:paraId="383C2699" w14:textId="77777777" w:rsidR="00D37A31" w:rsidRPr="00887108" w:rsidRDefault="00D37A31" w:rsidP="00E9118E">
            <w:pPr>
              <w:rPr>
                <w:rFonts w:cs="Times New Roman"/>
                <w:sz w:val="18"/>
                <w:szCs w:val="18"/>
              </w:rPr>
            </w:pPr>
            <w:r w:rsidRPr="00887108">
              <w:rPr>
                <w:rFonts w:cs="Times New Roman"/>
                <w:sz w:val="18"/>
                <w:szCs w:val="18"/>
              </w:rPr>
              <w:t>19.=9. Úrokové náklady</w:t>
            </w:r>
          </w:p>
        </w:tc>
        <w:tc>
          <w:tcPr>
            <w:tcW w:w="1272" w:type="dxa"/>
            <w:gridSpan w:val="2"/>
            <w:tcBorders>
              <w:top w:val="nil"/>
              <w:left w:val="nil"/>
              <w:bottom w:val="nil"/>
              <w:right w:val="nil"/>
            </w:tcBorders>
            <w:shd w:val="clear" w:color="auto" w:fill="auto"/>
            <w:hideMark/>
          </w:tcPr>
          <w:p w14:paraId="76A19EDC" w14:textId="77777777" w:rsidR="00D37A31" w:rsidRPr="00887108" w:rsidRDefault="00D37A31" w:rsidP="00E9118E">
            <w:pPr>
              <w:jc w:val="center"/>
              <w:rPr>
                <w:rFonts w:cs="Times New Roman"/>
                <w:sz w:val="18"/>
                <w:szCs w:val="18"/>
              </w:rPr>
            </w:pPr>
            <w:r w:rsidRPr="00887108">
              <w:rPr>
                <w:rFonts w:cs="Times New Roman"/>
                <w:sz w:val="18"/>
                <w:szCs w:val="18"/>
              </w:rPr>
              <w:t xml:space="preserve">D.41 </w:t>
            </w:r>
          </w:p>
        </w:tc>
        <w:tc>
          <w:tcPr>
            <w:tcW w:w="793" w:type="dxa"/>
            <w:gridSpan w:val="2"/>
            <w:tcBorders>
              <w:top w:val="nil"/>
              <w:left w:val="nil"/>
              <w:bottom w:val="nil"/>
              <w:right w:val="nil"/>
            </w:tcBorders>
            <w:shd w:val="clear" w:color="auto" w:fill="auto"/>
          </w:tcPr>
          <w:p w14:paraId="3158519D" w14:textId="77777777" w:rsidR="00D37A31" w:rsidRPr="00887108" w:rsidRDefault="00D37A31" w:rsidP="00E9118E">
            <w:pPr>
              <w:jc w:val="center"/>
              <w:rPr>
                <w:rFonts w:cs="Times New Roman"/>
                <w:sz w:val="18"/>
                <w:szCs w:val="18"/>
              </w:rPr>
            </w:pPr>
            <w:r w:rsidRPr="00887108">
              <w:rPr>
                <w:sz w:val="18"/>
                <w:szCs w:val="18"/>
              </w:rPr>
              <w:t>1157,1</w:t>
            </w:r>
          </w:p>
        </w:tc>
        <w:tc>
          <w:tcPr>
            <w:tcW w:w="747" w:type="dxa"/>
            <w:gridSpan w:val="2"/>
            <w:tcBorders>
              <w:top w:val="nil"/>
              <w:left w:val="nil"/>
              <w:bottom w:val="nil"/>
              <w:right w:val="nil"/>
            </w:tcBorders>
            <w:shd w:val="clear" w:color="auto" w:fill="auto"/>
          </w:tcPr>
          <w:p w14:paraId="243FB8E5" w14:textId="77777777" w:rsidR="00D37A31" w:rsidRPr="00887108" w:rsidRDefault="00D37A31" w:rsidP="00E9118E">
            <w:pPr>
              <w:jc w:val="center"/>
              <w:rPr>
                <w:rFonts w:cs="Times New Roman"/>
                <w:sz w:val="18"/>
                <w:szCs w:val="18"/>
              </w:rPr>
            </w:pPr>
            <w:r w:rsidRPr="00887108">
              <w:rPr>
                <w:sz w:val="18"/>
                <w:szCs w:val="18"/>
              </w:rPr>
              <w:t>1,2</w:t>
            </w:r>
          </w:p>
        </w:tc>
        <w:tc>
          <w:tcPr>
            <w:tcW w:w="820" w:type="dxa"/>
            <w:gridSpan w:val="2"/>
            <w:tcBorders>
              <w:top w:val="nil"/>
              <w:left w:val="nil"/>
              <w:bottom w:val="nil"/>
              <w:right w:val="nil"/>
            </w:tcBorders>
            <w:shd w:val="clear" w:color="auto" w:fill="auto"/>
          </w:tcPr>
          <w:p w14:paraId="3BA50042" w14:textId="77777777" w:rsidR="00D37A31" w:rsidRPr="00887108" w:rsidRDefault="00D37A31" w:rsidP="00E9118E">
            <w:pPr>
              <w:jc w:val="center"/>
              <w:rPr>
                <w:rFonts w:cs="Times New Roman"/>
                <w:sz w:val="18"/>
                <w:szCs w:val="18"/>
              </w:rPr>
            </w:pPr>
            <w:r w:rsidRPr="00887108">
              <w:rPr>
                <w:sz w:val="18"/>
                <w:szCs w:val="18"/>
              </w:rPr>
              <w:t>1,2</w:t>
            </w:r>
          </w:p>
        </w:tc>
        <w:tc>
          <w:tcPr>
            <w:tcW w:w="684" w:type="dxa"/>
            <w:tcBorders>
              <w:top w:val="nil"/>
              <w:left w:val="nil"/>
              <w:bottom w:val="nil"/>
              <w:right w:val="nil"/>
            </w:tcBorders>
            <w:shd w:val="clear" w:color="auto" w:fill="auto"/>
          </w:tcPr>
          <w:p w14:paraId="4407C05D"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786B883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5054F341"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5A4C9AEC" w14:textId="77777777" w:rsidTr="00E9118E">
        <w:trPr>
          <w:trHeight w:val="283"/>
        </w:trPr>
        <w:tc>
          <w:tcPr>
            <w:tcW w:w="3519" w:type="dxa"/>
            <w:gridSpan w:val="3"/>
            <w:tcBorders>
              <w:top w:val="nil"/>
              <w:left w:val="nil"/>
              <w:bottom w:val="nil"/>
              <w:right w:val="nil"/>
            </w:tcBorders>
            <w:shd w:val="clear" w:color="auto" w:fill="auto"/>
            <w:hideMark/>
          </w:tcPr>
          <w:p w14:paraId="6404D7BE" w14:textId="77777777" w:rsidR="00D37A31" w:rsidRPr="00887108" w:rsidRDefault="00D37A31" w:rsidP="00E9118E">
            <w:pPr>
              <w:rPr>
                <w:rFonts w:cs="Times New Roman"/>
                <w:sz w:val="18"/>
                <w:szCs w:val="18"/>
              </w:rPr>
            </w:pPr>
            <w:r w:rsidRPr="00887108">
              <w:rPr>
                <w:rFonts w:cs="Times New Roman"/>
                <w:sz w:val="18"/>
                <w:szCs w:val="18"/>
              </w:rPr>
              <w:t>20. Subvencie</w:t>
            </w:r>
          </w:p>
        </w:tc>
        <w:tc>
          <w:tcPr>
            <w:tcW w:w="1272" w:type="dxa"/>
            <w:gridSpan w:val="2"/>
            <w:tcBorders>
              <w:top w:val="nil"/>
              <w:left w:val="nil"/>
              <w:bottom w:val="nil"/>
              <w:right w:val="nil"/>
            </w:tcBorders>
            <w:shd w:val="clear" w:color="auto" w:fill="auto"/>
            <w:hideMark/>
          </w:tcPr>
          <w:p w14:paraId="28D57834" w14:textId="77777777" w:rsidR="00D37A31" w:rsidRPr="00887108" w:rsidRDefault="00D37A31" w:rsidP="00E9118E">
            <w:pPr>
              <w:jc w:val="center"/>
              <w:rPr>
                <w:rFonts w:cs="Times New Roman"/>
                <w:sz w:val="18"/>
                <w:szCs w:val="18"/>
              </w:rPr>
            </w:pPr>
            <w:r w:rsidRPr="00887108">
              <w:rPr>
                <w:rFonts w:cs="Times New Roman"/>
                <w:sz w:val="18"/>
                <w:szCs w:val="18"/>
              </w:rPr>
              <w:t>D.3</w:t>
            </w:r>
          </w:p>
        </w:tc>
        <w:tc>
          <w:tcPr>
            <w:tcW w:w="793" w:type="dxa"/>
            <w:gridSpan w:val="2"/>
            <w:tcBorders>
              <w:top w:val="nil"/>
              <w:left w:val="nil"/>
              <w:bottom w:val="nil"/>
              <w:right w:val="nil"/>
            </w:tcBorders>
            <w:shd w:val="clear" w:color="auto" w:fill="auto"/>
          </w:tcPr>
          <w:p w14:paraId="2071371D" w14:textId="77777777" w:rsidR="00D37A31" w:rsidRPr="00887108" w:rsidRDefault="00D37A31" w:rsidP="00E9118E">
            <w:pPr>
              <w:jc w:val="center"/>
              <w:rPr>
                <w:rFonts w:cs="Times New Roman"/>
                <w:sz w:val="18"/>
                <w:szCs w:val="18"/>
              </w:rPr>
            </w:pPr>
            <w:r w:rsidRPr="00887108">
              <w:rPr>
                <w:sz w:val="18"/>
                <w:szCs w:val="18"/>
              </w:rPr>
              <w:t>1030,2</w:t>
            </w:r>
          </w:p>
        </w:tc>
        <w:tc>
          <w:tcPr>
            <w:tcW w:w="747" w:type="dxa"/>
            <w:gridSpan w:val="2"/>
            <w:tcBorders>
              <w:top w:val="nil"/>
              <w:left w:val="nil"/>
              <w:bottom w:val="nil"/>
              <w:right w:val="nil"/>
            </w:tcBorders>
            <w:shd w:val="clear" w:color="auto" w:fill="auto"/>
          </w:tcPr>
          <w:p w14:paraId="325C0D4E" w14:textId="77777777" w:rsidR="00D37A31" w:rsidRPr="00887108" w:rsidRDefault="00D37A31" w:rsidP="00E9118E">
            <w:pPr>
              <w:jc w:val="center"/>
              <w:rPr>
                <w:rFonts w:cs="Times New Roman"/>
                <w:sz w:val="18"/>
                <w:szCs w:val="18"/>
              </w:rPr>
            </w:pPr>
            <w:r w:rsidRPr="00887108">
              <w:rPr>
                <w:sz w:val="18"/>
                <w:szCs w:val="18"/>
              </w:rPr>
              <w:t>1,1</w:t>
            </w:r>
          </w:p>
        </w:tc>
        <w:tc>
          <w:tcPr>
            <w:tcW w:w="820" w:type="dxa"/>
            <w:gridSpan w:val="2"/>
            <w:tcBorders>
              <w:top w:val="nil"/>
              <w:left w:val="nil"/>
              <w:bottom w:val="nil"/>
              <w:right w:val="nil"/>
            </w:tcBorders>
            <w:shd w:val="clear" w:color="auto" w:fill="auto"/>
          </w:tcPr>
          <w:p w14:paraId="107744E7" w14:textId="77777777" w:rsidR="00D37A31" w:rsidRPr="00887108" w:rsidRDefault="00D37A31" w:rsidP="00E9118E">
            <w:pPr>
              <w:jc w:val="center"/>
              <w:rPr>
                <w:rFonts w:cs="Times New Roman"/>
                <w:sz w:val="18"/>
                <w:szCs w:val="18"/>
              </w:rPr>
            </w:pPr>
            <w:r w:rsidRPr="00887108">
              <w:rPr>
                <w:sz w:val="18"/>
                <w:szCs w:val="18"/>
              </w:rPr>
              <w:t>1,2</w:t>
            </w:r>
          </w:p>
        </w:tc>
        <w:tc>
          <w:tcPr>
            <w:tcW w:w="684" w:type="dxa"/>
            <w:tcBorders>
              <w:top w:val="nil"/>
              <w:left w:val="nil"/>
              <w:bottom w:val="nil"/>
              <w:right w:val="nil"/>
            </w:tcBorders>
            <w:shd w:val="clear" w:color="auto" w:fill="auto"/>
          </w:tcPr>
          <w:p w14:paraId="4A9B040B"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37F707B1"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1AEEE825"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33954344" w14:textId="77777777" w:rsidTr="00E9118E">
        <w:trPr>
          <w:trHeight w:val="283"/>
        </w:trPr>
        <w:tc>
          <w:tcPr>
            <w:tcW w:w="3519" w:type="dxa"/>
            <w:gridSpan w:val="3"/>
            <w:tcBorders>
              <w:top w:val="nil"/>
              <w:left w:val="nil"/>
              <w:bottom w:val="nil"/>
              <w:right w:val="nil"/>
            </w:tcBorders>
            <w:shd w:val="clear" w:color="auto" w:fill="auto"/>
            <w:hideMark/>
          </w:tcPr>
          <w:p w14:paraId="47E03483" w14:textId="77777777" w:rsidR="00D37A31" w:rsidRPr="00887108" w:rsidRDefault="00D37A31" w:rsidP="00E9118E">
            <w:pPr>
              <w:rPr>
                <w:rFonts w:cs="Times New Roman"/>
                <w:sz w:val="18"/>
                <w:szCs w:val="18"/>
              </w:rPr>
            </w:pPr>
            <w:r w:rsidRPr="00887108">
              <w:rPr>
                <w:rFonts w:cs="Times New Roman"/>
                <w:sz w:val="18"/>
                <w:szCs w:val="18"/>
              </w:rPr>
              <w:t>21. Tvorba hrubého fixného kapitálu</w:t>
            </w:r>
          </w:p>
        </w:tc>
        <w:tc>
          <w:tcPr>
            <w:tcW w:w="1272" w:type="dxa"/>
            <w:gridSpan w:val="2"/>
            <w:tcBorders>
              <w:top w:val="nil"/>
              <w:left w:val="nil"/>
              <w:bottom w:val="nil"/>
              <w:right w:val="nil"/>
            </w:tcBorders>
            <w:shd w:val="clear" w:color="auto" w:fill="auto"/>
            <w:hideMark/>
          </w:tcPr>
          <w:p w14:paraId="7F4B6B30" w14:textId="77777777" w:rsidR="00D37A31" w:rsidRPr="00887108" w:rsidRDefault="00D37A31" w:rsidP="00E9118E">
            <w:pPr>
              <w:jc w:val="center"/>
              <w:rPr>
                <w:rFonts w:cs="Times New Roman"/>
                <w:sz w:val="18"/>
                <w:szCs w:val="18"/>
              </w:rPr>
            </w:pPr>
            <w:r w:rsidRPr="00887108">
              <w:rPr>
                <w:rFonts w:cs="Times New Roman"/>
                <w:sz w:val="18"/>
                <w:szCs w:val="18"/>
              </w:rPr>
              <w:t>P.51g</w:t>
            </w:r>
          </w:p>
        </w:tc>
        <w:tc>
          <w:tcPr>
            <w:tcW w:w="793" w:type="dxa"/>
            <w:gridSpan w:val="2"/>
            <w:tcBorders>
              <w:top w:val="nil"/>
              <w:left w:val="nil"/>
              <w:bottom w:val="nil"/>
              <w:right w:val="nil"/>
            </w:tcBorders>
            <w:shd w:val="clear" w:color="auto" w:fill="auto"/>
          </w:tcPr>
          <w:p w14:paraId="0B5C1C55" w14:textId="77777777" w:rsidR="00D37A31" w:rsidRPr="00887108" w:rsidRDefault="00D37A31" w:rsidP="00E9118E">
            <w:pPr>
              <w:jc w:val="center"/>
              <w:rPr>
                <w:rFonts w:cs="Times New Roman"/>
                <w:sz w:val="18"/>
                <w:szCs w:val="18"/>
              </w:rPr>
            </w:pPr>
            <w:r w:rsidRPr="00887108">
              <w:rPr>
                <w:sz w:val="18"/>
                <w:szCs w:val="18"/>
              </w:rPr>
              <w:t>3350,9</w:t>
            </w:r>
          </w:p>
        </w:tc>
        <w:tc>
          <w:tcPr>
            <w:tcW w:w="747" w:type="dxa"/>
            <w:gridSpan w:val="2"/>
            <w:tcBorders>
              <w:top w:val="nil"/>
              <w:left w:val="nil"/>
              <w:bottom w:val="nil"/>
              <w:right w:val="nil"/>
            </w:tcBorders>
            <w:shd w:val="clear" w:color="auto" w:fill="auto"/>
          </w:tcPr>
          <w:p w14:paraId="67B7A126" w14:textId="77777777" w:rsidR="00D37A31" w:rsidRPr="00887108" w:rsidRDefault="00D37A31" w:rsidP="00E9118E">
            <w:pPr>
              <w:jc w:val="center"/>
              <w:rPr>
                <w:rFonts w:cs="Times New Roman"/>
                <w:sz w:val="18"/>
                <w:szCs w:val="18"/>
              </w:rPr>
            </w:pPr>
            <w:r w:rsidRPr="00887108">
              <w:rPr>
                <w:sz w:val="18"/>
                <w:szCs w:val="18"/>
              </w:rPr>
              <w:t>3,6</w:t>
            </w:r>
          </w:p>
        </w:tc>
        <w:tc>
          <w:tcPr>
            <w:tcW w:w="820" w:type="dxa"/>
            <w:gridSpan w:val="2"/>
            <w:tcBorders>
              <w:top w:val="nil"/>
              <w:left w:val="nil"/>
              <w:bottom w:val="nil"/>
              <w:right w:val="nil"/>
            </w:tcBorders>
            <w:shd w:val="clear" w:color="auto" w:fill="auto"/>
          </w:tcPr>
          <w:p w14:paraId="0AAE1875" w14:textId="77777777" w:rsidR="00D37A31" w:rsidRPr="00887108" w:rsidRDefault="00D37A31" w:rsidP="00E9118E">
            <w:pPr>
              <w:jc w:val="center"/>
              <w:rPr>
                <w:rFonts w:cs="Times New Roman"/>
                <w:sz w:val="18"/>
                <w:szCs w:val="18"/>
              </w:rPr>
            </w:pPr>
            <w:r w:rsidRPr="00887108">
              <w:rPr>
                <w:sz w:val="18"/>
                <w:szCs w:val="18"/>
              </w:rPr>
              <w:t>3,2</w:t>
            </w:r>
          </w:p>
        </w:tc>
        <w:tc>
          <w:tcPr>
            <w:tcW w:w="684" w:type="dxa"/>
            <w:tcBorders>
              <w:top w:val="nil"/>
              <w:left w:val="nil"/>
              <w:bottom w:val="nil"/>
              <w:right w:val="nil"/>
            </w:tcBorders>
            <w:shd w:val="clear" w:color="auto" w:fill="auto"/>
          </w:tcPr>
          <w:p w14:paraId="53ECF853"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44FF6E5B"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1639699C"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1C094FDA" w14:textId="77777777" w:rsidTr="00E9118E">
        <w:trPr>
          <w:trHeight w:val="283"/>
        </w:trPr>
        <w:tc>
          <w:tcPr>
            <w:tcW w:w="3519" w:type="dxa"/>
            <w:gridSpan w:val="3"/>
            <w:tcBorders>
              <w:top w:val="nil"/>
              <w:left w:val="nil"/>
              <w:bottom w:val="nil"/>
              <w:right w:val="nil"/>
            </w:tcBorders>
            <w:shd w:val="clear" w:color="auto" w:fill="auto"/>
            <w:hideMark/>
          </w:tcPr>
          <w:p w14:paraId="00424706" w14:textId="77777777" w:rsidR="00D37A31" w:rsidRPr="00887108" w:rsidRDefault="00D37A31" w:rsidP="00E9118E">
            <w:pPr>
              <w:rPr>
                <w:rFonts w:cs="Times New Roman"/>
                <w:sz w:val="18"/>
                <w:szCs w:val="18"/>
              </w:rPr>
            </w:pPr>
            <w:r w:rsidRPr="00887108">
              <w:rPr>
                <w:rFonts w:cs="Times New Roman"/>
                <w:sz w:val="18"/>
                <w:szCs w:val="18"/>
              </w:rPr>
              <w:t>22. Kapitálové transfery</w:t>
            </w:r>
          </w:p>
        </w:tc>
        <w:tc>
          <w:tcPr>
            <w:tcW w:w="1272" w:type="dxa"/>
            <w:gridSpan w:val="2"/>
            <w:tcBorders>
              <w:top w:val="nil"/>
              <w:left w:val="nil"/>
              <w:bottom w:val="nil"/>
              <w:right w:val="nil"/>
            </w:tcBorders>
            <w:shd w:val="clear" w:color="auto" w:fill="auto"/>
            <w:hideMark/>
          </w:tcPr>
          <w:p w14:paraId="09AB50F4" w14:textId="77777777" w:rsidR="00D37A31" w:rsidRPr="00887108" w:rsidRDefault="00D37A31" w:rsidP="00E9118E">
            <w:pPr>
              <w:jc w:val="center"/>
              <w:rPr>
                <w:rFonts w:cs="Times New Roman"/>
                <w:sz w:val="18"/>
                <w:szCs w:val="18"/>
              </w:rPr>
            </w:pPr>
            <w:r w:rsidRPr="00887108">
              <w:rPr>
                <w:rFonts w:cs="Times New Roman"/>
                <w:sz w:val="18"/>
                <w:szCs w:val="18"/>
              </w:rPr>
              <w:t>D.9</w:t>
            </w:r>
          </w:p>
        </w:tc>
        <w:tc>
          <w:tcPr>
            <w:tcW w:w="793" w:type="dxa"/>
            <w:gridSpan w:val="2"/>
            <w:tcBorders>
              <w:top w:val="nil"/>
              <w:left w:val="nil"/>
              <w:bottom w:val="nil"/>
              <w:right w:val="nil"/>
            </w:tcBorders>
            <w:shd w:val="clear" w:color="auto" w:fill="auto"/>
          </w:tcPr>
          <w:p w14:paraId="0C4D54B9" w14:textId="77777777" w:rsidR="00D37A31" w:rsidRPr="00887108" w:rsidRDefault="00D37A31" w:rsidP="00E9118E">
            <w:pPr>
              <w:jc w:val="center"/>
              <w:rPr>
                <w:rFonts w:cs="Times New Roman"/>
                <w:sz w:val="18"/>
                <w:szCs w:val="18"/>
              </w:rPr>
            </w:pPr>
            <w:r w:rsidRPr="00887108">
              <w:rPr>
                <w:sz w:val="18"/>
                <w:szCs w:val="18"/>
              </w:rPr>
              <w:t>370,6</w:t>
            </w:r>
          </w:p>
        </w:tc>
        <w:tc>
          <w:tcPr>
            <w:tcW w:w="747" w:type="dxa"/>
            <w:gridSpan w:val="2"/>
            <w:tcBorders>
              <w:top w:val="nil"/>
              <w:left w:val="nil"/>
              <w:bottom w:val="nil"/>
              <w:right w:val="nil"/>
            </w:tcBorders>
            <w:shd w:val="clear" w:color="auto" w:fill="auto"/>
          </w:tcPr>
          <w:p w14:paraId="0DB7E1EA" w14:textId="77777777" w:rsidR="00D37A31" w:rsidRPr="00887108" w:rsidRDefault="00D37A31" w:rsidP="00E9118E">
            <w:pPr>
              <w:jc w:val="center"/>
              <w:rPr>
                <w:rFonts w:cs="Times New Roman"/>
                <w:sz w:val="18"/>
                <w:szCs w:val="18"/>
              </w:rPr>
            </w:pPr>
            <w:r w:rsidRPr="00887108">
              <w:rPr>
                <w:sz w:val="18"/>
                <w:szCs w:val="18"/>
              </w:rPr>
              <w:t>0,4</w:t>
            </w:r>
          </w:p>
        </w:tc>
        <w:tc>
          <w:tcPr>
            <w:tcW w:w="820" w:type="dxa"/>
            <w:gridSpan w:val="2"/>
            <w:tcBorders>
              <w:top w:val="nil"/>
              <w:left w:val="nil"/>
              <w:bottom w:val="nil"/>
              <w:right w:val="nil"/>
            </w:tcBorders>
            <w:shd w:val="clear" w:color="auto" w:fill="auto"/>
          </w:tcPr>
          <w:p w14:paraId="626298BD" w14:textId="77777777" w:rsidR="00D37A31" w:rsidRPr="00887108" w:rsidRDefault="00D37A31" w:rsidP="00E9118E">
            <w:pPr>
              <w:jc w:val="center"/>
              <w:rPr>
                <w:rFonts w:cs="Times New Roman"/>
                <w:sz w:val="18"/>
                <w:szCs w:val="18"/>
              </w:rPr>
            </w:pPr>
            <w:r w:rsidRPr="00887108">
              <w:rPr>
                <w:sz w:val="18"/>
                <w:szCs w:val="18"/>
              </w:rPr>
              <w:t>0,7</w:t>
            </w:r>
          </w:p>
        </w:tc>
        <w:tc>
          <w:tcPr>
            <w:tcW w:w="684" w:type="dxa"/>
            <w:tcBorders>
              <w:top w:val="nil"/>
              <w:left w:val="nil"/>
              <w:bottom w:val="nil"/>
              <w:right w:val="nil"/>
            </w:tcBorders>
            <w:shd w:val="clear" w:color="auto" w:fill="auto"/>
          </w:tcPr>
          <w:p w14:paraId="7B8A6F96"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08E7C109"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DE52D58"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724A679E" w14:textId="77777777" w:rsidTr="00E9118E">
        <w:trPr>
          <w:trHeight w:val="283"/>
        </w:trPr>
        <w:tc>
          <w:tcPr>
            <w:tcW w:w="3519" w:type="dxa"/>
            <w:gridSpan w:val="3"/>
            <w:tcBorders>
              <w:top w:val="nil"/>
              <w:left w:val="nil"/>
              <w:bottom w:val="nil"/>
              <w:right w:val="nil"/>
            </w:tcBorders>
            <w:shd w:val="clear" w:color="auto" w:fill="auto"/>
            <w:hideMark/>
          </w:tcPr>
          <w:p w14:paraId="2C493198" w14:textId="77777777" w:rsidR="00D37A31" w:rsidRPr="00887108" w:rsidRDefault="00D37A31" w:rsidP="00E9118E">
            <w:pPr>
              <w:rPr>
                <w:rFonts w:cs="Times New Roman"/>
                <w:sz w:val="18"/>
                <w:szCs w:val="18"/>
              </w:rPr>
            </w:pPr>
            <w:r w:rsidRPr="00887108">
              <w:rPr>
                <w:rFonts w:cs="Times New Roman"/>
                <w:sz w:val="18"/>
                <w:szCs w:val="18"/>
              </w:rPr>
              <w:t>23. Ostatné</w:t>
            </w:r>
          </w:p>
        </w:tc>
        <w:tc>
          <w:tcPr>
            <w:tcW w:w="1272" w:type="dxa"/>
            <w:gridSpan w:val="2"/>
            <w:tcBorders>
              <w:top w:val="nil"/>
              <w:left w:val="nil"/>
              <w:bottom w:val="nil"/>
              <w:right w:val="nil"/>
            </w:tcBorders>
            <w:shd w:val="clear" w:color="auto" w:fill="auto"/>
            <w:hideMark/>
          </w:tcPr>
          <w:p w14:paraId="0F004E11" w14:textId="77777777" w:rsidR="00D37A31" w:rsidRPr="00887108" w:rsidRDefault="00D37A31" w:rsidP="00E9118E">
            <w:pPr>
              <w:jc w:val="center"/>
              <w:rPr>
                <w:rFonts w:cs="Times New Roman"/>
                <w:sz w:val="18"/>
                <w:szCs w:val="18"/>
              </w:rPr>
            </w:pPr>
            <w:r w:rsidRPr="00887108">
              <w:rPr>
                <w:rFonts w:cs="Times New Roman"/>
                <w:sz w:val="18"/>
                <w:szCs w:val="18"/>
                <w:vertAlign w:val="superscript"/>
              </w:rPr>
              <w:t>[7]</w:t>
            </w:r>
          </w:p>
        </w:tc>
        <w:tc>
          <w:tcPr>
            <w:tcW w:w="793" w:type="dxa"/>
            <w:gridSpan w:val="2"/>
            <w:tcBorders>
              <w:top w:val="nil"/>
              <w:left w:val="nil"/>
              <w:bottom w:val="nil"/>
              <w:right w:val="nil"/>
            </w:tcBorders>
            <w:shd w:val="clear" w:color="auto" w:fill="auto"/>
          </w:tcPr>
          <w:p w14:paraId="19BF9E59" w14:textId="77777777" w:rsidR="00D37A31" w:rsidRPr="00887108" w:rsidRDefault="00D37A31" w:rsidP="00E9118E">
            <w:pPr>
              <w:jc w:val="center"/>
              <w:rPr>
                <w:rFonts w:cs="Times New Roman"/>
                <w:sz w:val="18"/>
                <w:szCs w:val="18"/>
              </w:rPr>
            </w:pPr>
            <w:r w:rsidRPr="00887108">
              <w:rPr>
                <w:sz w:val="18"/>
                <w:szCs w:val="18"/>
              </w:rPr>
              <w:t>2114,3</w:t>
            </w:r>
          </w:p>
        </w:tc>
        <w:tc>
          <w:tcPr>
            <w:tcW w:w="747" w:type="dxa"/>
            <w:gridSpan w:val="2"/>
            <w:tcBorders>
              <w:top w:val="nil"/>
              <w:left w:val="nil"/>
              <w:bottom w:val="nil"/>
              <w:right w:val="nil"/>
            </w:tcBorders>
            <w:shd w:val="clear" w:color="auto" w:fill="auto"/>
          </w:tcPr>
          <w:p w14:paraId="672A6A56" w14:textId="77777777" w:rsidR="00D37A31" w:rsidRPr="00887108" w:rsidRDefault="00D37A31" w:rsidP="00E9118E">
            <w:pPr>
              <w:jc w:val="center"/>
              <w:rPr>
                <w:rFonts w:cs="Times New Roman"/>
                <w:sz w:val="18"/>
                <w:szCs w:val="18"/>
              </w:rPr>
            </w:pPr>
            <w:r w:rsidRPr="00887108">
              <w:rPr>
                <w:sz w:val="18"/>
                <w:szCs w:val="18"/>
              </w:rPr>
              <w:t>2,2</w:t>
            </w:r>
          </w:p>
        </w:tc>
        <w:tc>
          <w:tcPr>
            <w:tcW w:w="820" w:type="dxa"/>
            <w:gridSpan w:val="2"/>
            <w:tcBorders>
              <w:top w:val="nil"/>
              <w:left w:val="nil"/>
              <w:bottom w:val="nil"/>
              <w:right w:val="nil"/>
            </w:tcBorders>
            <w:shd w:val="clear" w:color="auto" w:fill="auto"/>
          </w:tcPr>
          <w:p w14:paraId="613E534F" w14:textId="77777777" w:rsidR="00D37A31" w:rsidRPr="00887108" w:rsidRDefault="00D37A31" w:rsidP="00E9118E">
            <w:pPr>
              <w:jc w:val="center"/>
              <w:rPr>
                <w:rFonts w:cs="Times New Roman"/>
                <w:sz w:val="18"/>
                <w:szCs w:val="18"/>
              </w:rPr>
            </w:pPr>
            <w:r w:rsidRPr="00887108">
              <w:rPr>
                <w:sz w:val="18"/>
                <w:szCs w:val="18"/>
              </w:rPr>
              <w:t>2,3</w:t>
            </w:r>
          </w:p>
        </w:tc>
        <w:tc>
          <w:tcPr>
            <w:tcW w:w="684" w:type="dxa"/>
            <w:tcBorders>
              <w:top w:val="nil"/>
              <w:left w:val="nil"/>
              <w:bottom w:val="nil"/>
              <w:right w:val="nil"/>
            </w:tcBorders>
            <w:shd w:val="clear" w:color="auto" w:fill="auto"/>
          </w:tcPr>
          <w:p w14:paraId="2F0EF762"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6C3543D7"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527875C2"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6743F8C1" w14:textId="77777777" w:rsidTr="00E9118E">
        <w:trPr>
          <w:trHeight w:val="283"/>
        </w:trPr>
        <w:tc>
          <w:tcPr>
            <w:tcW w:w="3519" w:type="dxa"/>
            <w:gridSpan w:val="3"/>
            <w:tcBorders>
              <w:top w:val="nil"/>
              <w:left w:val="nil"/>
              <w:right w:val="nil"/>
            </w:tcBorders>
            <w:shd w:val="clear" w:color="auto" w:fill="auto"/>
            <w:hideMark/>
          </w:tcPr>
          <w:p w14:paraId="2B7617EE" w14:textId="77777777" w:rsidR="00D37A31" w:rsidRPr="00887108" w:rsidRDefault="00D37A31" w:rsidP="00E9118E">
            <w:pPr>
              <w:rPr>
                <w:rFonts w:cs="Times New Roman"/>
                <w:sz w:val="18"/>
                <w:szCs w:val="18"/>
              </w:rPr>
            </w:pPr>
            <w:r w:rsidRPr="00887108">
              <w:rPr>
                <w:rFonts w:cs="Times New Roman"/>
                <w:sz w:val="18"/>
                <w:szCs w:val="18"/>
              </w:rPr>
              <w:t>24=7. Celkové výdavky</w:t>
            </w:r>
          </w:p>
        </w:tc>
        <w:tc>
          <w:tcPr>
            <w:tcW w:w="1272" w:type="dxa"/>
            <w:gridSpan w:val="2"/>
            <w:tcBorders>
              <w:top w:val="nil"/>
              <w:left w:val="nil"/>
              <w:right w:val="nil"/>
            </w:tcBorders>
            <w:shd w:val="clear" w:color="auto" w:fill="auto"/>
            <w:hideMark/>
          </w:tcPr>
          <w:p w14:paraId="6C80BEEE" w14:textId="77777777" w:rsidR="00D37A31" w:rsidRPr="00887108" w:rsidRDefault="00D37A31" w:rsidP="00E9118E">
            <w:pPr>
              <w:jc w:val="center"/>
              <w:rPr>
                <w:rFonts w:cs="Times New Roman"/>
                <w:sz w:val="18"/>
                <w:szCs w:val="18"/>
              </w:rPr>
            </w:pPr>
            <w:r w:rsidRPr="00887108">
              <w:rPr>
                <w:rFonts w:cs="Times New Roman"/>
                <w:sz w:val="18"/>
                <w:szCs w:val="18"/>
              </w:rPr>
              <w:t>TE [1]</w:t>
            </w:r>
          </w:p>
        </w:tc>
        <w:tc>
          <w:tcPr>
            <w:tcW w:w="793" w:type="dxa"/>
            <w:gridSpan w:val="2"/>
            <w:tcBorders>
              <w:top w:val="nil"/>
              <w:left w:val="nil"/>
              <w:bottom w:val="nil"/>
              <w:right w:val="nil"/>
            </w:tcBorders>
            <w:shd w:val="clear" w:color="auto" w:fill="auto"/>
          </w:tcPr>
          <w:p w14:paraId="22299684" w14:textId="77777777" w:rsidR="00D37A31" w:rsidRPr="00887108" w:rsidRDefault="00D37A31" w:rsidP="00E9118E">
            <w:pPr>
              <w:jc w:val="center"/>
              <w:rPr>
                <w:rFonts w:cs="Times New Roman"/>
                <w:sz w:val="18"/>
                <w:szCs w:val="18"/>
              </w:rPr>
            </w:pPr>
            <w:r w:rsidRPr="00887108">
              <w:rPr>
                <w:sz w:val="18"/>
                <w:szCs w:val="18"/>
              </w:rPr>
              <w:t>38190,1</w:t>
            </w:r>
          </w:p>
        </w:tc>
        <w:tc>
          <w:tcPr>
            <w:tcW w:w="747" w:type="dxa"/>
            <w:gridSpan w:val="2"/>
            <w:tcBorders>
              <w:top w:val="nil"/>
              <w:left w:val="nil"/>
              <w:bottom w:val="nil"/>
              <w:right w:val="nil"/>
            </w:tcBorders>
            <w:shd w:val="clear" w:color="auto" w:fill="auto"/>
          </w:tcPr>
          <w:p w14:paraId="308008B7" w14:textId="77777777" w:rsidR="00D37A31" w:rsidRPr="00887108" w:rsidRDefault="00D37A31" w:rsidP="00E9118E">
            <w:pPr>
              <w:jc w:val="center"/>
              <w:rPr>
                <w:rFonts w:cs="Times New Roman"/>
                <w:sz w:val="18"/>
                <w:szCs w:val="18"/>
              </w:rPr>
            </w:pPr>
            <w:r w:rsidRPr="00887108">
              <w:rPr>
                <w:sz w:val="18"/>
                <w:szCs w:val="18"/>
              </w:rPr>
              <w:t>40,6</w:t>
            </w:r>
          </w:p>
        </w:tc>
        <w:tc>
          <w:tcPr>
            <w:tcW w:w="820" w:type="dxa"/>
            <w:gridSpan w:val="2"/>
            <w:tcBorders>
              <w:top w:val="nil"/>
              <w:left w:val="nil"/>
              <w:bottom w:val="nil"/>
              <w:right w:val="nil"/>
            </w:tcBorders>
            <w:shd w:val="clear" w:color="auto" w:fill="auto"/>
          </w:tcPr>
          <w:p w14:paraId="3ADB2840" w14:textId="77777777" w:rsidR="00D37A31" w:rsidRPr="00887108" w:rsidRDefault="00D37A31" w:rsidP="00E9118E">
            <w:pPr>
              <w:jc w:val="center"/>
              <w:rPr>
                <w:rFonts w:cs="Times New Roman"/>
                <w:sz w:val="18"/>
                <w:szCs w:val="18"/>
              </w:rPr>
            </w:pPr>
            <w:r w:rsidRPr="00887108">
              <w:rPr>
                <w:sz w:val="18"/>
                <w:szCs w:val="18"/>
              </w:rPr>
              <w:t>49,8</w:t>
            </w:r>
          </w:p>
        </w:tc>
        <w:tc>
          <w:tcPr>
            <w:tcW w:w="684" w:type="dxa"/>
            <w:tcBorders>
              <w:top w:val="nil"/>
              <w:left w:val="nil"/>
              <w:bottom w:val="nil"/>
              <w:right w:val="nil"/>
            </w:tcBorders>
            <w:shd w:val="clear" w:color="auto" w:fill="auto"/>
          </w:tcPr>
          <w:p w14:paraId="04A3FBF1"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nil"/>
              <w:right w:val="nil"/>
            </w:tcBorders>
            <w:shd w:val="clear" w:color="auto" w:fill="auto"/>
          </w:tcPr>
          <w:p w14:paraId="2204F41D"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nil"/>
              <w:right w:val="nil"/>
            </w:tcBorders>
            <w:shd w:val="clear" w:color="auto" w:fill="auto"/>
          </w:tcPr>
          <w:p w14:paraId="3315D2C7"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62DAEAD2" w14:textId="77777777" w:rsidTr="00E9118E">
        <w:trPr>
          <w:trHeight w:val="283"/>
        </w:trPr>
        <w:tc>
          <w:tcPr>
            <w:tcW w:w="3519" w:type="dxa"/>
            <w:gridSpan w:val="3"/>
            <w:tcBorders>
              <w:top w:val="nil"/>
              <w:left w:val="nil"/>
              <w:bottom w:val="single" w:sz="8" w:space="0" w:color="auto"/>
              <w:right w:val="nil"/>
            </w:tcBorders>
            <w:shd w:val="clear" w:color="auto" w:fill="auto"/>
            <w:hideMark/>
          </w:tcPr>
          <w:p w14:paraId="35AAE37F" w14:textId="77777777" w:rsidR="00D37A31" w:rsidRPr="00887108" w:rsidRDefault="00D37A31" w:rsidP="00E9118E">
            <w:pPr>
              <w:rPr>
                <w:rFonts w:cs="Times New Roman"/>
                <w:sz w:val="18"/>
                <w:szCs w:val="18"/>
              </w:rPr>
            </w:pPr>
            <w:r w:rsidRPr="00887108">
              <w:rPr>
                <w:rFonts w:cs="Times New Roman"/>
                <w:sz w:val="18"/>
                <w:szCs w:val="18"/>
              </w:rPr>
              <w:t>p. m.: Spotreba vlády (nominálna)</w:t>
            </w:r>
          </w:p>
        </w:tc>
        <w:tc>
          <w:tcPr>
            <w:tcW w:w="1272" w:type="dxa"/>
            <w:gridSpan w:val="2"/>
            <w:tcBorders>
              <w:top w:val="nil"/>
              <w:left w:val="nil"/>
              <w:bottom w:val="single" w:sz="8" w:space="0" w:color="auto"/>
              <w:right w:val="nil"/>
            </w:tcBorders>
            <w:shd w:val="clear" w:color="auto" w:fill="auto"/>
            <w:hideMark/>
          </w:tcPr>
          <w:p w14:paraId="77E661BD" w14:textId="77777777" w:rsidR="00D37A31" w:rsidRPr="00887108" w:rsidRDefault="00D37A31" w:rsidP="00E9118E">
            <w:pPr>
              <w:jc w:val="center"/>
              <w:rPr>
                <w:rFonts w:cs="Times New Roman"/>
                <w:sz w:val="18"/>
                <w:szCs w:val="18"/>
              </w:rPr>
            </w:pPr>
            <w:r w:rsidRPr="00887108">
              <w:rPr>
                <w:rFonts w:cs="Times New Roman"/>
                <w:sz w:val="18"/>
                <w:szCs w:val="18"/>
              </w:rPr>
              <w:t>P.3</w:t>
            </w:r>
          </w:p>
        </w:tc>
        <w:tc>
          <w:tcPr>
            <w:tcW w:w="793" w:type="dxa"/>
            <w:gridSpan w:val="2"/>
            <w:tcBorders>
              <w:top w:val="nil"/>
              <w:left w:val="nil"/>
              <w:bottom w:val="single" w:sz="4" w:space="0" w:color="auto"/>
              <w:right w:val="nil"/>
            </w:tcBorders>
            <w:shd w:val="clear" w:color="auto" w:fill="auto"/>
          </w:tcPr>
          <w:p w14:paraId="5C40915C" w14:textId="77777777" w:rsidR="00D37A31" w:rsidRPr="00887108" w:rsidRDefault="00D37A31" w:rsidP="00E9118E">
            <w:pPr>
              <w:jc w:val="center"/>
              <w:rPr>
                <w:rFonts w:cs="Times New Roman"/>
                <w:sz w:val="18"/>
                <w:szCs w:val="18"/>
              </w:rPr>
            </w:pPr>
            <w:r w:rsidRPr="00887108">
              <w:rPr>
                <w:sz w:val="18"/>
                <w:szCs w:val="18"/>
              </w:rPr>
              <w:t>18444,4</w:t>
            </w:r>
          </w:p>
        </w:tc>
        <w:tc>
          <w:tcPr>
            <w:tcW w:w="747" w:type="dxa"/>
            <w:gridSpan w:val="2"/>
            <w:tcBorders>
              <w:top w:val="nil"/>
              <w:left w:val="nil"/>
              <w:bottom w:val="single" w:sz="4" w:space="0" w:color="auto"/>
              <w:right w:val="nil"/>
            </w:tcBorders>
            <w:shd w:val="clear" w:color="auto" w:fill="auto"/>
          </w:tcPr>
          <w:p w14:paraId="34156072" w14:textId="77777777" w:rsidR="00D37A31" w:rsidRPr="00887108" w:rsidRDefault="00D37A31" w:rsidP="00E9118E">
            <w:pPr>
              <w:jc w:val="center"/>
              <w:rPr>
                <w:rFonts w:cs="Times New Roman"/>
                <w:sz w:val="18"/>
                <w:szCs w:val="18"/>
              </w:rPr>
            </w:pPr>
            <w:r w:rsidRPr="00887108">
              <w:rPr>
                <w:sz w:val="18"/>
                <w:szCs w:val="18"/>
              </w:rPr>
              <w:t>19,6</w:t>
            </w:r>
          </w:p>
        </w:tc>
        <w:tc>
          <w:tcPr>
            <w:tcW w:w="820" w:type="dxa"/>
            <w:gridSpan w:val="2"/>
            <w:tcBorders>
              <w:top w:val="nil"/>
              <w:left w:val="nil"/>
              <w:bottom w:val="single" w:sz="4" w:space="0" w:color="auto"/>
              <w:right w:val="nil"/>
            </w:tcBorders>
            <w:shd w:val="clear" w:color="auto" w:fill="auto"/>
          </w:tcPr>
          <w:p w14:paraId="3321D014" w14:textId="77777777" w:rsidR="00D37A31" w:rsidRPr="00887108" w:rsidRDefault="00D37A31" w:rsidP="00E9118E">
            <w:pPr>
              <w:jc w:val="center"/>
              <w:rPr>
                <w:rFonts w:cs="Times New Roman"/>
                <w:sz w:val="18"/>
                <w:szCs w:val="18"/>
              </w:rPr>
            </w:pPr>
            <w:r w:rsidRPr="00887108">
              <w:rPr>
                <w:sz w:val="18"/>
                <w:szCs w:val="18"/>
              </w:rPr>
              <w:t>22,0</w:t>
            </w:r>
          </w:p>
        </w:tc>
        <w:tc>
          <w:tcPr>
            <w:tcW w:w="684" w:type="dxa"/>
            <w:tcBorders>
              <w:top w:val="nil"/>
              <w:left w:val="nil"/>
              <w:bottom w:val="single" w:sz="4" w:space="0" w:color="auto"/>
              <w:right w:val="nil"/>
            </w:tcBorders>
            <w:shd w:val="clear" w:color="auto" w:fill="auto"/>
          </w:tcPr>
          <w:p w14:paraId="333860DD"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59" w:type="dxa"/>
            <w:gridSpan w:val="2"/>
            <w:tcBorders>
              <w:top w:val="nil"/>
              <w:left w:val="nil"/>
              <w:bottom w:val="single" w:sz="4" w:space="0" w:color="auto"/>
              <w:right w:val="nil"/>
            </w:tcBorders>
            <w:shd w:val="clear" w:color="auto" w:fill="auto"/>
          </w:tcPr>
          <w:p w14:paraId="14E8D0B6" w14:textId="77777777" w:rsidR="00D37A31" w:rsidRPr="00887108" w:rsidRDefault="00D37A31" w:rsidP="00E9118E">
            <w:pPr>
              <w:jc w:val="center"/>
              <w:rPr>
                <w:rFonts w:cs="Times New Roman"/>
                <w:sz w:val="18"/>
                <w:szCs w:val="18"/>
              </w:rPr>
            </w:pPr>
            <w:r w:rsidRPr="00887108">
              <w:rPr>
                <w:rFonts w:cs="Times New Roman"/>
                <w:sz w:val="18"/>
                <w:szCs w:val="18"/>
              </w:rPr>
              <w:t>n.a</w:t>
            </w:r>
          </w:p>
        </w:tc>
        <w:tc>
          <w:tcPr>
            <w:tcW w:w="638" w:type="dxa"/>
            <w:gridSpan w:val="2"/>
            <w:tcBorders>
              <w:top w:val="nil"/>
              <w:left w:val="nil"/>
              <w:bottom w:val="single" w:sz="4" w:space="0" w:color="auto"/>
              <w:right w:val="nil"/>
            </w:tcBorders>
            <w:shd w:val="clear" w:color="auto" w:fill="auto"/>
          </w:tcPr>
          <w:p w14:paraId="429B821A" w14:textId="77777777" w:rsidR="00D37A31" w:rsidRPr="00887108" w:rsidRDefault="00D37A31" w:rsidP="00E9118E">
            <w:pPr>
              <w:jc w:val="center"/>
              <w:rPr>
                <w:rFonts w:cs="Times New Roman"/>
                <w:sz w:val="18"/>
                <w:szCs w:val="18"/>
              </w:rPr>
            </w:pPr>
            <w:r w:rsidRPr="00887108">
              <w:rPr>
                <w:rFonts w:cs="Times New Roman"/>
                <w:sz w:val="18"/>
                <w:szCs w:val="18"/>
              </w:rPr>
              <w:t>n.a</w:t>
            </w:r>
          </w:p>
        </w:tc>
      </w:tr>
      <w:tr w:rsidR="00D37A31" w:rsidRPr="00887108" w14:paraId="14ABE8A6" w14:textId="77777777" w:rsidTr="00E9118E">
        <w:trPr>
          <w:trHeight w:val="227"/>
        </w:trPr>
        <w:tc>
          <w:tcPr>
            <w:tcW w:w="5584" w:type="dxa"/>
            <w:gridSpan w:val="7"/>
            <w:tcBorders>
              <w:top w:val="single" w:sz="8" w:space="0" w:color="auto"/>
              <w:left w:val="nil"/>
              <w:bottom w:val="nil"/>
              <w:right w:val="nil"/>
            </w:tcBorders>
            <w:shd w:val="clear" w:color="auto" w:fill="auto"/>
            <w:noWrap/>
            <w:vAlign w:val="center"/>
            <w:hideMark/>
          </w:tcPr>
          <w:p w14:paraId="036F7028" w14:textId="77777777" w:rsidR="00D37A31" w:rsidRPr="00887108" w:rsidRDefault="00D37A31" w:rsidP="00E9118E">
            <w:pPr>
              <w:rPr>
                <w:rFonts w:cs="Times New Roman"/>
                <w:i/>
                <w:sz w:val="18"/>
                <w:szCs w:val="18"/>
              </w:rPr>
            </w:pPr>
            <w:r w:rsidRPr="00887108">
              <w:rPr>
                <w:rFonts w:cs="Times New Roman"/>
                <w:i/>
                <w:sz w:val="18"/>
                <w:szCs w:val="18"/>
              </w:rPr>
              <w:t>[1] Upravené o čisté toky týkajúce sa swapov tak, aby TR-TE=B.9</w:t>
            </w:r>
          </w:p>
        </w:tc>
        <w:tc>
          <w:tcPr>
            <w:tcW w:w="747" w:type="dxa"/>
            <w:gridSpan w:val="2"/>
            <w:tcBorders>
              <w:top w:val="single" w:sz="8" w:space="0" w:color="auto"/>
              <w:left w:val="nil"/>
              <w:bottom w:val="nil"/>
              <w:right w:val="nil"/>
            </w:tcBorders>
            <w:shd w:val="clear" w:color="auto" w:fill="auto"/>
            <w:noWrap/>
            <w:vAlign w:val="bottom"/>
            <w:hideMark/>
          </w:tcPr>
          <w:p w14:paraId="652E574A" w14:textId="77777777" w:rsidR="00D37A31" w:rsidRPr="00887108" w:rsidRDefault="00D37A31" w:rsidP="00E9118E">
            <w:pPr>
              <w:rPr>
                <w:rFonts w:cs="Times New Roman"/>
                <w:i/>
                <w:color w:val="000000"/>
                <w:sz w:val="18"/>
                <w:szCs w:val="18"/>
              </w:rPr>
            </w:pPr>
            <w:r w:rsidRPr="00887108">
              <w:rPr>
                <w:rFonts w:cs="Times New Roman"/>
                <w:i/>
                <w:color w:val="000000"/>
                <w:sz w:val="18"/>
                <w:szCs w:val="18"/>
              </w:rPr>
              <w:t> </w:t>
            </w:r>
          </w:p>
        </w:tc>
        <w:tc>
          <w:tcPr>
            <w:tcW w:w="820" w:type="dxa"/>
            <w:gridSpan w:val="2"/>
            <w:tcBorders>
              <w:top w:val="single" w:sz="8" w:space="0" w:color="auto"/>
              <w:left w:val="nil"/>
              <w:bottom w:val="nil"/>
              <w:right w:val="nil"/>
            </w:tcBorders>
            <w:shd w:val="clear" w:color="auto" w:fill="auto"/>
            <w:noWrap/>
            <w:vAlign w:val="bottom"/>
            <w:hideMark/>
          </w:tcPr>
          <w:p w14:paraId="3DD7AAE4" w14:textId="77777777" w:rsidR="00D37A31" w:rsidRPr="00887108" w:rsidRDefault="00D37A31" w:rsidP="00E9118E">
            <w:pPr>
              <w:rPr>
                <w:rFonts w:cs="Times New Roman"/>
                <w:i/>
                <w:color w:val="000000"/>
                <w:sz w:val="18"/>
                <w:szCs w:val="18"/>
              </w:rPr>
            </w:pPr>
            <w:r w:rsidRPr="00887108">
              <w:rPr>
                <w:rFonts w:cs="Times New Roman"/>
                <w:i/>
                <w:color w:val="000000"/>
                <w:sz w:val="18"/>
                <w:szCs w:val="18"/>
              </w:rPr>
              <w:t> </w:t>
            </w:r>
          </w:p>
        </w:tc>
        <w:tc>
          <w:tcPr>
            <w:tcW w:w="1981" w:type="dxa"/>
            <w:gridSpan w:val="5"/>
            <w:tcBorders>
              <w:top w:val="single" w:sz="8" w:space="0" w:color="auto"/>
              <w:left w:val="nil"/>
              <w:bottom w:val="nil"/>
              <w:right w:val="nil"/>
            </w:tcBorders>
            <w:shd w:val="clear" w:color="auto" w:fill="auto"/>
            <w:noWrap/>
            <w:vAlign w:val="center"/>
            <w:hideMark/>
          </w:tcPr>
          <w:p w14:paraId="15C3D415" w14:textId="77777777" w:rsidR="00D37A31" w:rsidRPr="00887108" w:rsidRDefault="00D37A31" w:rsidP="00E9118E">
            <w:pPr>
              <w:jc w:val="right"/>
              <w:rPr>
                <w:rFonts w:cs="Times New Roman"/>
                <w:i/>
                <w:iCs/>
                <w:sz w:val="18"/>
                <w:szCs w:val="18"/>
              </w:rPr>
            </w:pPr>
            <w:r w:rsidRPr="00887108">
              <w:rPr>
                <w:rFonts w:cs="Times New Roman"/>
                <w:i/>
                <w:iCs/>
                <w:sz w:val="18"/>
                <w:szCs w:val="18"/>
              </w:rPr>
              <w:t>Zdroj: MFSR</w:t>
            </w:r>
          </w:p>
        </w:tc>
      </w:tr>
      <w:tr w:rsidR="00D37A31" w:rsidRPr="00887108" w14:paraId="7F6EE45A" w14:textId="77777777" w:rsidTr="00E9118E">
        <w:trPr>
          <w:trHeight w:val="227"/>
        </w:trPr>
        <w:tc>
          <w:tcPr>
            <w:tcW w:w="8494" w:type="dxa"/>
            <w:gridSpan w:val="14"/>
            <w:tcBorders>
              <w:top w:val="nil"/>
              <w:left w:val="nil"/>
              <w:bottom w:val="nil"/>
              <w:right w:val="nil"/>
            </w:tcBorders>
            <w:shd w:val="clear" w:color="auto" w:fill="auto"/>
            <w:vAlign w:val="center"/>
            <w:hideMark/>
          </w:tcPr>
          <w:p w14:paraId="2208D291" w14:textId="77777777" w:rsidR="00D37A31" w:rsidRPr="00887108" w:rsidRDefault="00D37A31" w:rsidP="00E9118E">
            <w:pPr>
              <w:rPr>
                <w:rFonts w:cs="Times New Roman"/>
                <w:i/>
                <w:sz w:val="18"/>
                <w:szCs w:val="18"/>
              </w:rPr>
            </w:pPr>
            <w:r w:rsidRPr="00887108">
              <w:rPr>
                <w:rFonts w:cs="Times New Roman"/>
                <w:i/>
                <w:sz w:val="18"/>
                <w:szCs w:val="18"/>
              </w:rPr>
              <w:t>[2] Primárne saldo je počítané ako (B.9, položka 8) plus (D.41, položka 9)</w:t>
            </w:r>
          </w:p>
        </w:tc>
        <w:tc>
          <w:tcPr>
            <w:tcW w:w="638" w:type="dxa"/>
            <w:gridSpan w:val="2"/>
            <w:tcBorders>
              <w:top w:val="nil"/>
              <w:left w:val="nil"/>
              <w:bottom w:val="nil"/>
              <w:right w:val="nil"/>
            </w:tcBorders>
            <w:shd w:val="clear" w:color="auto" w:fill="auto"/>
            <w:noWrap/>
            <w:vAlign w:val="bottom"/>
            <w:hideMark/>
          </w:tcPr>
          <w:p w14:paraId="4782C93C" w14:textId="77777777" w:rsidR="00D37A31" w:rsidRPr="00887108" w:rsidRDefault="00D37A31" w:rsidP="00E9118E">
            <w:pPr>
              <w:rPr>
                <w:rFonts w:cs="Times New Roman"/>
                <w:i/>
                <w:sz w:val="18"/>
                <w:szCs w:val="18"/>
              </w:rPr>
            </w:pPr>
          </w:p>
        </w:tc>
      </w:tr>
      <w:tr w:rsidR="00D37A31" w:rsidRPr="00887108" w14:paraId="41C7078A" w14:textId="77777777" w:rsidTr="00E9118E">
        <w:trPr>
          <w:trHeight w:val="227"/>
        </w:trPr>
        <w:tc>
          <w:tcPr>
            <w:tcW w:w="8494" w:type="dxa"/>
            <w:gridSpan w:val="14"/>
            <w:tcBorders>
              <w:top w:val="nil"/>
              <w:left w:val="nil"/>
              <w:bottom w:val="nil"/>
              <w:right w:val="nil"/>
            </w:tcBorders>
            <w:shd w:val="clear" w:color="auto" w:fill="auto"/>
            <w:vAlign w:val="center"/>
            <w:hideMark/>
          </w:tcPr>
          <w:p w14:paraId="5C3B3D91" w14:textId="77777777" w:rsidR="00D37A31" w:rsidRPr="00887108" w:rsidRDefault="00D37A31" w:rsidP="00E9118E">
            <w:pPr>
              <w:rPr>
                <w:rFonts w:cs="Times New Roman"/>
                <w:i/>
                <w:sz w:val="18"/>
                <w:szCs w:val="18"/>
              </w:rPr>
            </w:pPr>
            <w:r w:rsidRPr="00887108">
              <w:rPr>
                <w:rFonts w:cs="Times New Roman"/>
                <w:i/>
                <w:sz w:val="18"/>
                <w:szCs w:val="18"/>
              </w:rPr>
              <w:t>[3] Kladné znamienko predstavuje pozitívny vplyv jednorazového opatrenia na saldo VS</w:t>
            </w:r>
          </w:p>
        </w:tc>
        <w:tc>
          <w:tcPr>
            <w:tcW w:w="638" w:type="dxa"/>
            <w:gridSpan w:val="2"/>
            <w:tcBorders>
              <w:top w:val="nil"/>
              <w:left w:val="nil"/>
              <w:bottom w:val="nil"/>
              <w:right w:val="nil"/>
            </w:tcBorders>
            <w:shd w:val="clear" w:color="auto" w:fill="auto"/>
            <w:noWrap/>
            <w:vAlign w:val="bottom"/>
            <w:hideMark/>
          </w:tcPr>
          <w:p w14:paraId="67B5BAAA" w14:textId="77777777" w:rsidR="00D37A31" w:rsidRPr="00887108" w:rsidRDefault="00D37A31" w:rsidP="00E9118E">
            <w:pPr>
              <w:rPr>
                <w:rFonts w:cs="Times New Roman"/>
                <w:i/>
                <w:sz w:val="18"/>
                <w:szCs w:val="18"/>
              </w:rPr>
            </w:pPr>
          </w:p>
        </w:tc>
      </w:tr>
      <w:tr w:rsidR="00D37A31" w:rsidRPr="00887108" w14:paraId="41942B71" w14:textId="77777777" w:rsidTr="00E9118E">
        <w:trPr>
          <w:trHeight w:val="227"/>
        </w:trPr>
        <w:tc>
          <w:tcPr>
            <w:tcW w:w="8494" w:type="dxa"/>
            <w:gridSpan w:val="14"/>
            <w:tcBorders>
              <w:top w:val="nil"/>
              <w:left w:val="nil"/>
              <w:bottom w:val="nil"/>
              <w:right w:val="nil"/>
            </w:tcBorders>
            <w:shd w:val="clear" w:color="auto" w:fill="auto"/>
            <w:vAlign w:val="center"/>
            <w:hideMark/>
          </w:tcPr>
          <w:p w14:paraId="0B7915AC" w14:textId="77777777" w:rsidR="00D37A31" w:rsidRPr="00887108" w:rsidRDefault="00D37A31" w:rsidP="00E9118E">
            <w:pPr>
              <w:rPr>
                <w:rFonts w:cs="Times New Roman"/>
                <w:i/>
                <w:sz w:val="18"/>
                <w:szCs w:val="18"/>
              </w:rPr>
            </w:pPr>
            <w:r w:rsidRPr="00887108">
              <w:rPr>
                <w:rFonts w:cs="Times New Roman"/>
                <w:i/>
                <w:sz w:val="18"/>
                <w:szCs w:val="18"/>
              </w:rPr>
              <w:t>[4] P.11+P.12+P.131+D.39+D.7+D.9 (okrem D.91)</w:t>
            </w:r>
          </w:p>
        </w:tc>
        <w:tc>
          <w:tcPr>
            <w:tcW w:w="638" w:type="dxa"/>
            <w:gridSpan w:val="2"/>
            <w:tcBorders>
              <w:top w:val="nil"/>
              <w:left w:val="nil"/>
              <w:bottom w:val="nil"/>
              <w:right w:val="nil"/>
            </w:tcBorders>
            <w:shd w:val="clear" w:color="auto" w:fill="auto"/>
            <w:noWrap/>
            <w:vAlign w:val="bottom"/>
            <w:hideMark/>
          </w:tcPr>
          <w:p w14:paraId="3F412779" w14:textId="77777777" w:rsidR="00D37A31" w:rsidRPr="00887108" w:rsidRDefault="00D37A31" w:rsidP="00E9118E">
            <w:pPr>
              <w:rPr>
                <w:rFonts w:cs="Times New Roman"/>
                <w:i/>
                <w:sz w:val="18"/>
                <w:szCs w:val="18"/>
              </w:rPr>
            </w:pPr>
          </w:p>
        </w:tc>
      </w:tr>
      <w:tr w:rsidR="00D37A31" w:rsidRPr="00887108" w14:paraId="3300CA3B" w14:textId="77777777" w:rsidTr="00E9118E">
        <w:trPr>
          <w:trHeight w:val="227"/>
        </w:trPr>
        <w:tc>
          <w:tcPr>
            <w:tcW w:w="8494" w:type="dxa"/>
            <w:gridSpan w:val="14"/>
            <w:tcBorders>
              <w:top w:val="nil"/>
              <w:left w:val="nil"/>
              <w:bottom w:val="nil"/>
              <w:right w:val="nil"/>
            </w:tcBorders>
            <w:shd w:val="clear" w:color="auto" w:fill="auto"/>
            <w:vAlign w:val="center"/>
            <w:hideMark/>
          </w:tcPr>
          <w:p w14:paraId="6C5369C3" w14:textId="77777777" w:rsidR="00D37A31" w:rsidRPr="00887108" w:rsidRDefault="00D37A31" w:rsidP="00E9118E">
            <w:pPr>
              <w:rPr>
                <w:rFonts w:cs="Times New Roman"/>
                <w:i/>
                <w:sz w:val="18"/>
                <w:szCs w:val="18"/>
              </w:rPr>
            </w:pPr>
            <w:r w:rsidRPr="00887108">
              <w:rPr>
                <w:rFonts w:cs="Times New Roman"/>
                <w:i/>
                <w:sz w:val="18"/>
                <w:szCs w:val="18"/>
              </w:rPr>
              <w:t>[5] Vrátane vyberaných EÚ</w:t>
            </w:r>
          </w:p>
        </w:tc>
        <w:tc>
          <w:tcPr>
            <w:tcW w:w="638" w:type="dxa"/>
            <w:gridSpan w:val="2"/>
            <w:tcBorders>
              <w:top w:val="nil"/>
              <w:left w:val="nil"/>
              <w:bottom w:val="nil"/>
              <w:right w:val="nil"/>
            </w:tcBorders>
            <w:shd w:val="clear" w:color="auto" w:fill="auto"/>
            <w:noWrap/>
            <w:vAlign w:val="bottom"/>
            <w:hideMark/>
          </w:tcPr>
          <w:p w14:paraId="570D4444" w14:textId="77777777" w:rsidR="00D37A31" w:rsidRPr="00887108" w:rsidRDefault="00D37A31" w:rsidP="00E9118E">
            <w:pPr>
              <w:rPr>
                <w:rFonts w:cs="Times New Roman"/>
                <w:i/>
                <w:sz w:val="18"/>
                <w:szCs w:val="18"/>
              </w:rPr>
            </w:pPr>
          </w:p>
        </w:tc>
      </w:tr>
      <w:tr w:rsidR="00D37A31" w:rsidRPr="00887108" w14:paraId="7D1F6BF1" w14:textId="77777777" w:rsidTr="00E9118E">
        <w:trPr>
          <w:trHeight w:val="227"/>
        </w:trPr>
        <w:tc>
          <w:tcPr>
            <w:tcW w:w="8494" w:type="dxa"/>
            <w:gridSpan w:val="14"/>
            <w:tcBorders>
              <w:top w:val="nil"/>
              <w:left w:val="nil"/>
              <w:bottom w:val="nil"/>
              <w:right w:val="nil"/>
            </w:tcBorders>
            <w:shd w:val="clear" w:color="auto" w:fill="auto"/>
            <w:vAlign w:val="center"/>
            <w:hideMark/>
          </w:tcPr>
          <w:p w14:paraId="405B17FE" w14:textId="77777777" w:rsidR="00D37A31" w:rsidRPr="00887108" w:rsidRDefault="00D37A31" w:rsidP="00E9118E">
            <w:pPr>
              <w:rPr>
                <w:rFonts w:cs="Times New Roman"/>
                <w:i/>
                <w:sz w:val="18"/>
                <w:szCs w:val="18"/>
              </w:rPr>
            </w:pPr>
            <w:r w:rsidRPr="00887108">
              <w:rPr>
                <w:rFonts w:cs="Times New Roman"/>
                <w:i/>
                <w:sz w:val="18"/>
                <w:szCs w:val="18"/>
              </w:rPr>
              <w:t>[6] Zahŕňa hotovostné dávky (D.621 a D.624) a naturálne dávky (D.631) súvisiace s dávkami v nezamestnanosti</w:t>
            </w:r>
          </w:p>
        </w:tc>
        <w:tc>
          <w:tcPr>
            <w:tcW w:w="638" w:type="dxa"/>
            <w:gridSpan w:val="2"/>
            <w:tcBorders>
              <w:top w:val="nil"/>
              <w:left w:val="nil"/>
              <w:bottom w:val="nil"/>
              <w:right w:val="nil"/>
            </w:tcBorders>
            <w:shd w:val="clear" w:color="auto" w:fill="auto"/>
            <w:noWrap/>
            <w:vAlign w:val="bottom"/>
            <w:hideMark/>
          </w:tcPr>
          <w:p w14:paraId="01B44DF5" w14:textId="77777777" w:rsidR="00D37A31" w:rsidRPr="00887108" w:rsidRDefault="00D37A31" w:rsidP="00E9118E">
            <w:pPr>
              <w:rPr>
                <w:rFonts w:cs="Times New Roman"/>
                <w:i/>
                <w:sz w:val="18"/>
                <w:szCs w:val="18"/>
              </w:rPr>
            </w:pPr>
          </w:p>
        </w:tc>
      </w:tr>
      <w:tr w:rsidR="00D37A31" w:rsidRPr="00887108" w14:paraId="0CC54C19" w14:textId="77777777" w:rsidTr="00E9118E">
        <w:trPr>
          <w:trHeight w:val="227"/>
        </w:trPr>
        <w:tc>
          <w:tcPr>
            <w:tcW w:w="9132" w:type="dxa"/>
            <w:gridSpan w:val="16"/>
            <w:tcBorders>
              <w:top w:val="nil"/>
              <w:left w:val="nil"/>
              <w:bottom w:val="nil"/>
              <w:right w:val="nil"/>
            </w:tcBorders>
            <w:shd w:val="clear" w:color="auto" w:fill="auto"/>
            <w:vAlign w:val="center"/>
            <w:hideMark/>
          </w:tcPr>
          <w:p w14:paraId="397D08BF" w14:textId="77777777" w:rsidR="00D37A31" w:rsidRPr="00887108" w:rsidRDefault="00D37A31" w:rsidP="00E9118E">
            <w:pPr>
              <w:rPr>
                <w:rFonts w:cs="Times New Roman"/>
                <w:i/>
                <w:sz w:val="18"/>
                <w:szCs w:val="18"/>
              </w:rPr>
            </w:pPr>
            <w:r w:rsidRPr="00887108">
              <w:rPr>
                <w:rFonts w:cs="Times New Roman"/>
                <w:i/>
                <w:sz w:val="18"/>
                <w:szCs w:val="18"/>
              </w:rPr>
              <w:t>[7] D.29+D4 (okrem D.41)+ D.5+D.7+P.52+P.53+K.2+D.8</w:t>
            </w:r>
          </w:p>
        </w:tc>
      </w:tr>
    </w:tbl>
    <w:p w14:paraId="08052437" w14:textId="77777777" w:rsidR="00D37A31" w:rsidRPr="00887108" w:rsidRDefault="00D37A31" w:rsidP="00D37A31">
      <w:pPr>
        <w:rPr>
          <w:color w:val="2C9ADC" w:themeColor="accent1"/>
          <w:sz w:val="24"/>
          <w:szCs w:val="24"/>
        </w:rPr>
      </w:pPr>
    </w:p>
    <w:tbl>
      <w:tblPr>
        <w:tblW w:w="9072" w:type="dxa"/>
        <w:jc w:val="center"/>
        <w:tblLayout w:type="fixed"/>
        <w:tblCellMar>
          <w:left w:w="70" w:type="dxa"/>
          <w:right w:w="70" w:type="dxa"/>
        </w:tblCellMar>
        <w:tblLook w:val="04A0" w:firstRow="1" w:lastRow="0" w:firstColumn="1" w:lastColumn="0" w:noHBand="0" w:noVBand="1"/>
      </w:tblPr>
      <w:tblGrid>
        <w:gridCol w:w="4920"/>
        <w:gridCol w:w="488"/>
        <w:gridCol w:w="938"/>
        <w:gridCol w:w="637"/>
        <w:gridCol w:w="635"/>
        <w:gridCol w:w="795"/>
        <w:gridCol w:w="659"/>
      </w:tblGrid>
      <w:tr w:rsidR="00D37A31" w:rsidRPr="00887108" w14:paraId="02BB188F" w14:textId="77777777" w:rsidTr="00EA7E15">
        <w:trPr>
          <w:gridAfter w:val="3"/>
          <w:wAfter w:w="2073" w:type="dxa"/>
          <w:trHeight w:val="211"/>
          <w:jc w:val="center"/>
        </w:trPr>
        <w:tc>
          <w:tcPr>
            <w:tcW w:w="6931" w:type="dxa"/>
            <w:gridSpan w:val="4"/>
            <w:tcBorders>
              <w:top w:val="nil"/>
              <w:left w:val="nil"/>
              <w:bottom w:val="single" w:sz="4" w:space="0" w:color="auto"/>
            </w:tcBorders>
            <w:shd w:val="clear" w:color="auto" w:fill="auto"/>
            <w:noWrap/>
            <w:vAlign w:val="bottom"/>
            <w:hideMark/>
          </w:tcPr>
          <w:p w14:paraId="484B103F" w14:textId="77777777" w:rsidR="00D37A31" w:rsidRPr="00887108" w:rsidRDefault="00D37A31" w:rsidP="00E9118E">
            <w:pPr>
              <w:rPr>
                <w:rFonts w:eastAsiaTheme="minorHAnsi"/>
                <w:b/>
                <w:color w:val="2C9ADC"/>
                <w:sz w:val="20"/>
                <w:lang w:eastAsia="en-US"/>
              </w:rPr>
            </w:pPr>
            <w:bookmarkStart w:id="163" w:name="_Toc480905418"/>
            <w:bookmarkStart w:id="164" w:name="_Toc40186691"/>
            <w:r w:rsidRPr="00887108">
              <w:rPr>
                <w:rFonts w:eastAsiaTheme="minorHAnsi"/>
                <w:b/>
                <w:color w:val="2C9ADC"/>
                <w:sz w:val="20"/>
                <w:lang w:eastAsia="en-US"/>
              </w:rPr>
              <w:t xml:space="preserve">TABUĽKA </w:t>
            </w:r>
            <w:r w:rsidRPr="00887108">
              <w:rPr>
                <w:rFonts w:eastAsiaTheme="minorHAnsi"/>
                <w:b/>
                <w:color w:val="2C9ADC"/>
                <w:sz w:val="20"/>
                <w:lang w:eastAsia="en-US"/>
              </w:rPr>
              <w:fldChar w:fldCharType="begin"/>
            </w:r>
            <w:r w:rsidRPr="00887108">
              <w:rPr>
                <w:rFonts w:eastAsiaTheme="minorHAnsi"/>
                <w:b/>
                <w:color w:val="2C9ADC"/>
                <w:sz w:val="20"/>
                <w:lang w:eastAsia="en-US"/>
              </w:rPr>
              <w:instrText xml:space="preserve"> SEQ TABUĽKA \* ARABIC </w:instrText>
            </w:r>
            <w:r w:rsidRPr="00887108">
              <w:rPr>
                <w:rFonts w:eastAsiaTheme="minorHAnsi"/>
                <w:b/>
                <w:color w:val="2C9ADC"/>
                <w:sz w:val="20"/>
                <w:lang w:eastAsia="en-US"/>
              </w:rPr>
              <w:fldChar w:fldCharType="separate"/>
            </w:r>
            <w:r w:rsidR="00D47A36">
              <w:rPr>
                <w:rFonts w:eastAsiaTheme="minorHAnsi"/>
                <w:b/>
                <w:noProof/>
                <w:color w:val="2C9ADC"/>
                <w:sz w:val="20"/>
                <w:lang w:eastAsia="en-US"/>
              </w:rPr>
              <w:t>14</w:t>
            </w:r>
            <w:r w:rsidRPr="00887108">
              <w:rPr>
                <w:rFonts w:eastAsiaTheme="minorHAnsi"/>
                <w:b/>
                <w:color w:val="2C9ADC"/>
                <w:sz w:val="20"/>
                <w:lang w:eastAsia="en-US"/>
              </w:rPr>
              <w:fldChar w:fldCharType="end"/>
            </w:r>
            <w:r w:rsidRPr="00887108">
              <w:rPr>
                <w:rFonts w:eastAsiaTheme="minorHAnsi"/>
                <w:b/>
                <w:color w:val="2C9ADC"/>
                <w:sz w:val="20"/>
                <w:lang w:eastAsia="en-US"/>
              </w:rPr>
              <w:t xml:space="preserve"> (Tabuľka 4) - Vývoj dlhu verejnej správy (% HDP)</w:t>
            </w:r>
            <w:bookmarkEnd w:id="163"/>
            <w:bookmarkEnd w:id="164"/>
          </w:p>
        </w:tc>
      </w:tr>
      <w:tr w:rsidR="00D37A31" w:rsidRPr="00887108" w14:paraId="685607BE" w14:textId="77777777" w:rsidTr="00EA7E15">
        <w:trPr>
          <w:trHeight w:val="173"/>
          <w:jc w:val="center"/>
        </w:trPr>
        <w:tc>
          <w:tcPr>
            <w:tcW w:w="4884" w:type="dxa"/>
            <w:tcBorders>
              <w:top w:val="single" w:sz="4" w:space="0" w:color="auto"/>
              <w:left w:val="nil"/>
              <w:bottom w:val="single" w:sz="4" w:space="0" w:color="auto"/>
              <w:right w:val="nil"/>
            </w:tcBorders>
            <w:shd w:val="clear" w:color="auto" w:fill="auto"/>
            <w:vAlign w:val="center"/>
            <w:hideMark/>
          </w:tcPr>
          <w:p w14:paraId="5EA9C6FE"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 </w:t>
            </w:r>
          </w:p>
        </w:tc>
        <w:tc>
          <w:tcPr>
            <w:tcW w:w="484" w:type="dxa"/>
            <w:tcBorders>
              <w:top w:val="single" w:sz="4" w:space="0" w:color="auto"/>
              <w:left w:val="nil"/>
              <w:bottom w:val="single" w:sz="4" w:space="0" w:color="auto"/>
              <w:right w:val="nil"/>
            </w:tcBorders>
            <w:shd w:val="clear" w:color="auto" w:fill="auto"/>
            <w:vAlign w:val="center"/>
            <w:hideMark/>
          </w:tcPr>
          <w:p w14:paraId="3243DC16"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ESA kód</w:t>
            </w:r>
          </w:p>
        </w:tc>
        <w:tc>
          <w:tcPr>
            <w:tcW w:w="931" w:type="dxa"/>
            <w:tcBorders>
              <w:top w:val="single" w:sz="4" w:space="0" w:color="auto"/>
              <w:left w:val="nil"/>
              <w:bottom w:val="single" w:sz="4" w:space="0" w:color="auto"/>
              <w:right w:val="nil"/>
            </w:tcBorders>
            <w:shd w:val="clear" w:color="auto" w:fill="auto"/>
            <w:hideMark/>
          </w:tcPr>
          <w:p w14:paraId="705F125A" w14:textId="77777777" w:rsidR="00D37A31" w:rsidRPr="00887108" w:rsidRDefault="00D37A31" w:rsidP="00E9118E">
            <w:pPr>
              <w:jc w:val="center"/>
              <w:rPr>
                <w:rFonts w:cs="Times New Roman"/>
                <w:b/>
                <w:bCs/>
                <w:color w:val="000000"/>
                <w:sz w:val="18"/>
                <w:szCs w:val="18"/>
              </w:rPr>
            </w:pPr>
            <w:r w:rsidRPr="00887108">
              <w:rPr>
                <w:b/>
                <w:sz w:val="18"/>
                <w:szCs w:val="18"/>
              </w:rPr>
              <w:t>2019</w:t>
            </w:r>
          </w:p>
        </w:tc>
        <w:tc>
          <w:tcPr>
            <w:tcW w:w="632" w:type="dxa"/>
            <w:tcBorders>
              <w:top w:val="single" w:sz="4" w:space="0" w:color="auto"/>
              <w:left w:val="nil"/>
              <w:bottom w:val="single" w:sz="4" w:space="0" w:color="auto"/>
              <w:right w:val="nil"/>
            </w:tcBorders>
            <w:shd w:val="clear" w:color="auto" w:fill="auto"/>
            <w:hideMark/>
          </w:tcPr>
          <w:p w14:paraId="0A500926" w14:textId="77777777" w:rsidR="00D37A31" w:rsidRPr="00887108" w:rsidRDefault="00D37A31" w:rsidP="00E9118E">
            <w:pPr>
              <w:jc w:val="center"/>
              <w:rPr>
                <w:rFonts w:cs="Times New Roman"/>
                <w:b/>
                <w:bCs/>
                <w:color w:val="000000"/>
                <w:sz w:val="18"/>
                <w:szCs w:val="18"/>
              </w:rPr>
            </w:pPr>
            <w:r w:rsidRPr="00887108">
              <w:rPr>
                <w:b/>
                <w:sz w:val="18"/>
                <w:szCs w:val="18"/>
              </w:rPr>
              <w:t>2020</w:t>
            </w:r>
          </w:p>
        </w:tc>
        <w:tc>
          <w:tcPr>
            <w:tcW w:w="630" w:type="dxa"/>
            <w:tcBorders>
              <w:top w:val="nil"/>
              <w:left w:val="nil"/>
              <w:bottom w:val="single" w:sz="4" w:space="0" w:color="auto"/>
              <w:right w:val="nil"/>
            </w:tcBorders>
            <w:shd w:val="clear" w:color="auto" w:fill="auto"/>
            <w:hideMark/>
          </w:tcPr>
          <w:p w14:paraId="3B7BB36C" w14:textId="77777777" w:rsidR="00D37A31" w:rsidRPr="00887108" w:rsidRDefault="00D37A31" w:rsidP="00E9118E">
            <w:pPr>
              <w:jc w:val="center"/>
              <w:rPr>
                <w:rFonts w:cs="Times New Roman"/>
                <w:b/>
                <w:bCs/>
                <w:color w:val="000000"/>
                <w:sz w:val="18"/>
                <w:szCs w:val="18"/>
              </w:rPr>
            </w:pPr>
            <w:r w:rsidRPr="00887108">
              <w:rPr>
                <w:b/>
                <w:sz w:val="18"/>
                <w:szCs w:val="18"/>
              </w:rPr>
              <w:t>2021</w:t>
            </w:r>
          </w:p>
        </w:tc>
        <w:tc>
          <w:tcPr>
            <w:tcW w:w="789" w:type="dxa"/>
            <w:tcBorders>
              <w:top w:val="nil"/>
              <w:left w:val="nil"/>
              <w:bottom w:val="single" w:sz="4" w:space="0" w:color="auto"/>
              <w:right w:val="nil"/>
            </w:tcBorders>
            <w:shd w:val="clear" w:color="auto" w:fill="auto"/>
            <w:hideMark/>
          </w:tcPr>
          <w:p w14:paraId="139F0E0E" w14:textId="77777777" w:rsidR="00D37A31" w:rsidRPr="00887108" w:rsidRDefault="00D37A31" w:rsidP="00E9118E">
            <w:pPr>
              <w:jc w:val="center"/>
              <w:rPr>
                <w:rFonts w:cs="Times New Roman"/>
                <w:b/>
                <w:bCs/>
                <w:color w:val="000000"/>
                <w:sz w:val="18"/>
                <w:szCs w:val="18"/>
              </w:rPr>
            </w:pPr>
            <w:r w:rsidRPr="00887108">
              <w:rPr>
                <w:b/>
                <w:sz w:val="18"/>
                <w:szCs w:val="18"/>
              </w:rPr>
              <w:t>2022</w:t>
            </w:r>
          </w:p>
        </w:tc>
        <w:tc>
          <w:tcPr>
            <w:tcW w:w="654" w:type="dxa"/>
            <w:tcBorders>
              <w:top w:val="nil"/>
              <w:left w:val="nil"/>
              <w:bottom w:val="single" w:sz="4" w:space="0" w:color="auto"/>
              <w:right w:val="nil"/>
            </w:tcBorders>
            <w:shd w:val="clear" w:color="auto" w:fill="auto"/>
            <w:hideMark/>
          </w:tcPr>
          <w:p w14:paraId="57EADE11" w14:textId="77777777" w:rsidR="00D37A31" w:rsidRPr="00887108" w:rsidRDefault="00D37A31" w:rsidP="00E9118E">
            <w:pPr>
              <w:jc w:val="center"/>
              <w:rPr>
                <w:rFonts w:cs="Times New Roman"/>
                <w:b/>
                <w:bCs/>
                <w:color w:val="000000"/>
                <w:sz w:val="18"/>
                <w:szCs w:val="18"/>
              </w:rPr>
            </w:pPr>
            <w:r w:rsidRPr="00887108">
              <w:rPr>
                <w:b/>
                <w:sz w:val="18"/>
                <w:szCs w:val="18"/>
              </w:rPr>
              <w:t>2023</w:t>
            </w:r>
          </w:p>
        </w:tc>
      </w:tr>
      <w:tr w:rsidR="00D37A31" w:rsidRPr="00887108" w14:paraId="699928DE" w14:textId="77777777" w:rsidTr="00EA7E15">
        <w:trPr>
          <w:trHeight w:val="173"/>
          <w:jc w:val="center"/>
        </w:trPr>
        <w:tc>
          <w:tcPr>
            <w:tcW w:w="4884" w:type="dxa"/>
            <w:tcBorders>
              <w:top w:val="nil"/>
              <w:left w:val="nil"/>
              <w:bottom w:val="nil"/>
              <w:right w:val="nil"/>
            </w:tcBorders>
            <w:shd w:val="clear" w:color="auto" w:fill="auto"/>
            <w:noWrap/>
            <w:vAlign w:val="center"/>
            <w:hideMark/>
          </w:tcPr>
          <w:p w14:paraId="4773EE7F" w14:textId="77777777" w:rsidR="00D37A31" w:rsidRPr="00887108" w:rsidRDefault="00D37A31" w:rsidP="00E9118E">
            <w:pPr>
              <w:rPr>
                <w:rFonts w:cs="Times New Roman"/>
                <w:color w:val="000000"/>
                <w:sz w:val="18"/>
                <w:szCs w:val="18"/>
              </w:rPr>
            </w:pPr>
            <w:r w:rsidRPr="00887108">
              <w:rPr>
                <w:rFonts w:cs="Times New Roman"/>
                <w:color w:val="000000"/>
                <w:sz w:val="18"/>
                <w:szCs w:val="18"/>
              </w:rPr>
              <w:t>1. Hrubý dlh</w:t>
            </w:r>
          </w:p>
        </w:tc>
        <w:tc>
          <w:tcPr>
            <w:tcW w:w="484" w:type="dxa"/>
            <w:tcBorders>
              <w:top w:val="nil"/>
              <w:left w:val="nil"/>
              <w:bottom w:val="nil"/>
              <w:right w:val="nil"/>
            </w:tcBorders>
            <w:shd w:val="clear" w:color="auto" w:fill="auto"/>
            <w:noWrap/>
            <w:vAlign w:val="center"/>
            <w:hideMark/>
          </w:tcPr>
          <w:p w14:paraId="45915C3F"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748CBC1E" w14:textId="77777777" w:rsidR="00D37A31" w:rsidRPr="00887108" w:rsidRDefault="00D37A31" w:rsidP="00E9118E">
            <w:pPr>
              <w:jc w:val="center"/>
              <w:rPr>
                <w:rFonts w:cs="Times New Roman"/>
                <w:color w:val="000000"/>
                <w:sz w:val="18"/>
                <w:szCs w:val="18"/>
              </w:rPr>
            </w:pPr>
            <w:r w:rsidRPr="00887108">
              <w:rPr>
                <w:sz w:val="18"/>
                <w:szCs w:val="18"/>
              </w:rPr>
              <w:t>48,0</w:t>
            </w:r>
          </w:p>
        </w:tc>
        <w:tc>
          <w:tcPr>
            <w:tcW w:w="632" w:type="dxa"/>
            <w:tcBorders>
              <w:top w:val="nil"/>
              <w:left w:val="nil"/>
              <w:bottom w:val="nil"/>
              <w:right w:val="nil"/>
            </w:tcBorders>
            <w:shd w:val="clear" w:color="auto" w:fill="auto"/>
            <w:vAlign w:val="center"/>
            <w:hideMark/>
          </w:tcPr>
          <w:p w14:paraId="5619C5EE" w14:textId="77777777" w:rsidR="00D37A31" w:rsidRPr="00887108" w:rsidRDefault="00D37A31" w:rsidP="00E9118E">
            <w:pPr>
              <w:jc w:val="center"/>
              <w:rPr>
                <w:rFonts w:cs="Times New Roman"/>
                <w:color w:val="000000"/>
                <w:sz w:val="18"/>
                <w:szCs w:val="18"/>
              </w:rPr>
            </w:pPr>
            <w:r w:rsidRPr="00887108">
              <w:rPr>
                <w:sz w:val="18"/>
                <w:szCs w:val="18"/>
              </w:rPr>
              <w:t>61,3</w:t>
            </w:r>
          </w:p>
        </w:tc>
        <w:tc>
          <w:tcPr>
            <w:tcW w:w="630" w:type="dxa"/>
            <w:tcBorders>
              <w:top w:val="nil"/>
              <w:left w:val="nil"/>
              <w:bottom w:val="nil"/>
              <w:right w:val="nil"/>
            </w:tcBorders>
            <w:shd w:val="clear" w:color="auto" w:fill="auto"/>
            <w:vAlign w:val="center"/>
            <w:hideMark/>
          </w:tcPr>
          <w:p w14:paraId="35CB1F31" w14:textId="77777777" w:rsidR="00D37A31" w:rsidRPr="00887108" w:rsidRDefault="00D37A31" w:rsidP="00E9118E">
            <w:pPr>
              <w:jc w:val="center"/>
              <w:rPr>
                <w:rFonts w:cs="Times New Roman"/>
                <w:color w:val="000000"/>
                <w:sz w:val="18"/>
                <w:szCs w:val="18"/>
              </w:rPr>
            </w:pPr>
            <w:r w:rsidRPr="00887108">
              <w:rPr>
                <w:sz w:val="18"/>
                <w:szCs w:val="18"/>
              </w:rPr>
              <w:t>62,0</w:t>
            </w:r>
          </w:p>
        </w:tc>
        <w:tc>
          <w:tcPr>
            <w:tcW w:w="789" w:type="dxa"/>
            <w:tcBorders>
              <w:top w:val="nil"/>
              <w:left w:val="nil"/>
              <w:bottom w:val="nil"/>
              <w:right w:val="nil"/>
            </w:tcBorders>
            <w:shd w:val="clear" w:color="auto" w:fill="auto"/>
            <w:vAlign w:val="center"/>
            <w:hideMark/>
          </w:tcPr>
          <w:p w14:paraId="4C786B93" w14:textId="77777777" w:rsidR="00D37A31" w:rsidRPr="00887108" w:rsidRDefault="00D37A31" w:rsidP="00E9118E">
            <w:pPr>
              <w:jc w:val="center"/>
              <w:rPr>
                <w:rFonts w:cs="Times New Roman"/>
                <w:color w:val="000000"/>
                <w:sz w:val="18"/>
                <w:szCs w:val="18"/>
              </w:rPr>
            </w:pPr>
            <w:r w:rsidRPr="00887108">
              <w:rPr>
                <w:sz w:val="18"/>
                <w:szCs w:val="18"/>
              </w:rPr>
              <w:t>61,6</w:t>
            </w:r>
          </w:p>
        </w:tc>
        <w:tc>
          <w:tcPr>
            <w:tcW w:w="654" w:type="dxa"/>
            <w:tcBorders>
              <w:top w:val="nil"/>
              <w:left w:val="nil"/>
              <w:bottom w:val="nil"/>
              <w:right w:val="nil"/>
            </w:tcBorders>
            <w:shd w:val="clear" w:color="auto" w:fill="auto"/>
            <w:vAlign w:val="center"/>
            <w:hideMark/>
          </w:tcPr>
          <w:p w14:paraId="42C3B8E6" w14:textId="77777777" w:rsidR="00D37A31" w:rsidRPr="00887108" w:rsidRDefault="00D37A31" w:rsidP="00E9118E">
            <w:pPr>
              <w:jc w:val="center"/>
              <w:rPr>
                <w:rFonts w:cs="Times New Roman"/>
                <w:color w:val="000000"/>
                <w:sz w:val="18"/>
                <w:szCs w:val="18"/>
              </w:rPr>
            </w:pPr>
            <w:r w:rsidRPr="00887108">
              <w:rPr>
                <w:sz w:val="18"/>
                <w:szCs w:val="18"/>
              </w:rPr>
              <w:t>60,2</w:t>
            </w:r>
          </w:p>
        </w:tc>
      </w:tr>
      <w:tr w:rsidR="00D37A31" w:rsidRPr="00887108" w14:paraId="06DDBC5D" w14:textId="77777777" w:rsidTr="00EA7E15">
        <w:trPr>
          <w:trHeight w:val="173"/>
          <w:jc w:val="center"/>
        </w:trPr>
        <w:tc>
          <w:tcPr>
            <w:tcW w:w="4884" w:type="dxa"/>
            <w:tcBorders>
              <w:top w:val="nil"/>
              <w:left w:val="nil"/>
              <w:bottom w:val="single" w:sz="4" w:space="0" w:color="auto"/>
              <w:right w:val="nil"/>
            </w:tcBorders>
            <w:shd w:val="clear" w:color="auto" w:fill="auto"/>
            <w:vAlign w:val="center"/>
            <w:hideMark/>
          </w:tcPr>
          <w:p w14:paraId="33C1BA45" w14:textId="77777777" w:rsidR="00D37A31" w:rsidRPr="00887108" w:rsidRDefault="00D37A31" w:rsidP="00E9118E">
            <w:pPr>
              <w:rPr>
                <w:rFonts w:cs="Times New Roman"/>
                <w:color w:val="000000"/>
                <w:sz w:val="18"/>
                <w:szCs w:val="18"/>
              </w:rPr>
            </w:pPr>
            <w:r w:rsidRPr="00887108">
              <w:rPr>
                <w:rFonts w:cs="Times New Roman"/>
                <w:color w:val="000000"/>
                <w:sz w:val="18"/>
                <w:szCs w:val="18"/>
              </w:rPr>
              <w:t>2. Zmena hrubého dlhu</w:t>
            </w:r>
          </w:p>
        </w:tc>
        <w:tc>
          <w:tcPr>
            <w:tcW w:w="484" w:type="dxa"/>
            <w:tcBorders>
              <w:top w:val="nil"/>
              <w:left w:val="nil"/>
              <w:bottom w:val="single" w:sz="4" w:space="0" w:color="auto"/>
              <w:right w:val="nil"/>
            </w:tcBorders>
            <w:shd w:val="clear" w:color="auto" w:fill="auto"/>
            <w:vAlign w:val="center"/>
            <w:hideMark/>
          </w:tcPr>
          <w:p w14:paraId="2A13B8F1"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51AAC127" w14:textId="77777777" w:rsidR="00D37A31" w:rsidRPr="00887108" w:rsidRDefault="00D37A31" w:rsidP="00E9118E">
            <w:pPr>
              <w:jc w:val="center"/>
              <w:rPr>
                <w:rFonts w:cs="Times New Roman"/>
                <w:color w:val="000000"/>
                <w:sz w:val="18"/>
                <w:szCs w:val="18"/>
              </w:rPr>
            </w:pPr>
            <w:r w:rsidRPr="00887108">
              <w:rPr>
                <w:sz w:val="18"/>
                <w:szCs w:val="18"/>
              </w:rPr>
              <w:t>-1,4</w:t>
            </w:r>
          </w:p>
        </w:tc>
        <w:tc>
          <w:tcPr>
            <w:tcW w:w="632" w:type="dxa"/>
            <w:tcBorders>
              <w:top w:val="nil"/>
              <w:left w:val="nil"/>
              <w:bottom w:val="nil"/>
              <w:right w:val="nil"/>
            </w:tcBorders>
            <w:shd w:val="clear" w:color="auto" w:fill="auto"/>
            <w:vAlign w:val="center"/>
            <w:hideMark/>
          </w:tcPr>
          <w:p w14:paraId="1EC0D993" w14:textId="77777777" w:rsidR="00D37A31" w:rsidRPr="00887108" w:rsidRDefault="00D37A31" w:rsidP="00E9118E">
            <w:pPr>
              <w:jc w:val="center"/>
              <w:rPr>
                <w:rFonts w:cs="Times New Roman"/>
                <w:color w:val="000000"/>
                <w:sz w:val="18"/>
                <w:szCs w:val="18"/>
              </w:rPr>
            </w:pPr>
            <w:r w:rsidRPr="00887108">
              <w:rPr>
                <w:sz w:val="18"/>
                <w:szCs w:val="18"/>
              </w:rPr>
              <w:t>13,3</w:t>
            </w:r>
          </w:p>
        </w:tc>
        <w:tc>
          <w:tcPr>
            <w:tcW w:w="630" w:type="dxa"/>
            <w:tcBorders>
              <w:top w:val="nil"/>
              <w:left w:val="nil"/>
              <w:bottom w:val="nil"/>
              <w:right w:val="nil"/>
            </w:tcBorders>
            <w:shd w:val="clear" w:color="auto" w:fill="auto"/>
            <w:vAlign w:val="center"/>
            <w:hideMark/>
          </w:tcPr>
          <w:p w14:paraId="67679F29" w14:textId="77777777" w:rsidR="00D37A31" w:rsidRPr="00887108" w:rsidRDefault="00D37A31" w:rsidP="00E9118E">
            <w:pPr>
              <w:jc w:val="center"/>
              <w:rPr>
                <w:rFonts w:cs="Times New Roman"/>
                <w:color w:val="000000"/>
                <w:sz w:val="18"/>
                <w:szCs w:val="18"/>
              </w:rPr>
            </w:pPr>
            <w:r w:rsidRPr="00887108">
              <w:rPr>
                <w:sz w:val="18"/>
                <w:szCs w:val="18"/>
              </w:rPr>
              <w:t>0,7</w:t>
            </w:r>
          </w:p>
        </w:tc>
        <w:tc>
          <w:tcPr>
            <w:tcW w:w="789" w:type="dxa"/>
            <w:tcBorders>
              <w:top w:val="nil"/>
              <w:left w:val="nil"/>
              <w:bottom w:val="nil"/>
              <w:right w:val="nil"/>
            </w:tcBorders>
            <w:shd w:val="clear" w:color="auto" w:fill="auto"/>
            <w:vAlign w:val="center"/>
            <w:hideMark/>
          </w:tcPr>
          <w:p w14:paraId="0D51E208" w14:textId="77777777" w:rsidR="00D37A31" w:rsidRPr="00887108" w:rsidRDefault="00D37A31" w:rsidP="00E9118E">
            <w:pPr>
              <w:jc w:val="center"/>
              <w:rPr>
                <w:rFonts w:cs="Times New Roman"/>
                <w:color w:val="000000"/>
                <w:sz w:val="18"/>
                <w:szCs w:val="18"/>
              </w:rPr>
            </w:pPr>
            <w:r w:rsidRPr="00887108">
              <w:rPr>
                <w:sz w:val="18"/>
                <w:szCs w:val="18"/>
              </w:rPr>
              <w:t>-0,4</w:t>
            </w:r>
          </w:p>
        </w:tc>
        <w:tc>
          <w:tcPr>
            <w:tcW w:w="654" w:type="dxa"/>
            <w:tcBorders>
              <w:top w:val="nil"/>
              <w:left w:val="nil"/>
              <w:bottom w:val="nil"/>
              <w:right w:val="nil"/>
            </w:tcBorders>
            <w:shd w:val="clear" w:color="auto" w:fill="auto"/>
            <w:vAlign w:val="center"/>
            <w:hideMark/>
          </w:tcPr>
          <w:p w14:paraId="1959033B" w14:textId="77777777" w:rsidR="00D37A31" w:rsidRPr="00887108" w:rsidRDefault="00D37A31" w:rsidP="00E9118E">
            <w:pPr>
              <w:jc w:val="center"/>
              <w:rPr>
                <w:rFonts w:cs="Times New Roman"/>
                <w:color w:val="000000"/>
                <w:sz w:val="18"/>
                <w:szCs w:val="18"/>
              </w:rPr>
            </w:pPr>
            <w:r w:rsidRPr="00887108">
              <w:rPr>
                <w:sz w:val="18"/>
                <w:szCs w:val="18"/>
              </w:rPr>
              <w:t>-1,4</w:t>
            </w:r>
          </w:p>
        </w:tc>
      </w:tr>
      <w:tr w:rsidR="00D37A31" w:rsidRPr="00887108" w14:paraId="0A4504BB" w14:textId="77777777" w:rsidTr="00EA7E15">
        <w:trPr>
          <w:trHeight w:val="173"/>
          <w:jc w:val="center"/>
        </w:trPr>
        <w:tc>
          <w:tcPr>
            <w:tcW w:w="8350" w:type="dxa"/>
            <w:gridSpan w:val="6"/>
            <w:tcBorders>
              <w:top w:val="single" w:sz="4" w:space="0" w:color="auto"/>
              <w:left w:val="nil"/>
              <w:bottom w:val="single" w:sz="6" w:space="0" w:color="auto"/>
              <w:right w:val="nil"/>
            </w:tcBorders>
            <w:shd w:val="clear" w:color="auto" w:fill="auto"/>
            <w:vAlign w:val="center"/>
            <w:hideMark/>
          </w:tcPr>
          <w:p w14:paraId="038FEBAB"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Príspevky k zmene hrubého dlhu</w:t>
            </w:r>
          </w:p>
        </w:tc>
        <w:tc>
          <w:tcPr>
            <w:tcW w:w="654" w:type="dxa"/>
            <w:tcBorders>
              <w:top w:val="single" w:sz="4" w:space="0" w:color="auto"/>
              <w:left w:val="nil"/>
              <w:bottom w:val="single" w:sz="6" w:space="0" w:color="auto"/>
              <w:right w:val="nil"/>
            </w:tcBorders>
            <w:shd w:val="clear" w:color="auto" w:fill="auto"/>
            <w:vAlign w:val="center"/>
            <w:hideMark/>
          </w:tcPr>
          <w:p w14:paraId="4350B538" w14:textId="77777777" w:rsidR="00D37A31" w:rsidRPr="00887108" w:rsidRDefault="00D37A31" w:rsidP="00E9118E">
            <w:pPr>
              <w:jc w:val="center"/>
              <w:rPr>
                <w:rFonts w:cs="Times New Roman"/>
                <w:b/>
                <w:bCs/>
                <w:color w:val="000000"/>
                <w:sz w:val="18"/>
                <w:szCs w:val="18"/>
              </w:rPr>
            </w:pPr>
          </w:p>
        </w:tc>
      </w:tr>
      <w:tr w:rsidR="00D37A31" w:rsidRPr="00887108" w14:paraId="113CA63A" w14:textId="77777777" w:rsidTr="00EA7E15">
        <w:trPr>
          <w:trHeight w:val="173"/>
          <w:jc w:val="center"/>
        </w:trPr>
        <w:tc>
          <w:tcPr>
            <w:tcW w:w="4884" w:type="dxa"/>
            <w:tcBorders>
              <w:top w:val="single" w:sz="6" w:space="0" w:color="auto"/>
              <w:left w:val="nil"/>
              <w:bottom w:val="nil"/>
              <w:right w:val="nil"/>
            </w:tcBorders>
            <w:shd w:val="clear" w:color="auto" w:fill="auto"/>
            <w:noWrap/>
            <w:vAlign w:val="center"/>
            <w:hideMark/>
          </w:tcPr>
          <w:p w14:paraId="14D3362E" w14:textId="77777777" w:rsidR="00D37A31" w:rsidRPr="00887108" w:rsidRDefault="00D37A31" w:rsidP="00E9118E">
            <w:pPr>
              <w:rPr>
                <w:rFonts w:cs="Times New Roman"/>
                <w:color w:val="000000"/>
                <w:sz w:val="18"/>
                <w:szCs w:val="18"/>
              </w:rPr>
            </w:pPr>
            <w:r w:rsidRPr="00887108">
              <w:rPr>
                <w:rFonts w:cs="Times New Roman"/>
                <w:color w:val="000000"/>
                <w:sz w:val="18"/>
                <w:szCs w:val="18"/>
              </w:rPr>
              <w:t>3. Primárne saldo</w:t>
            </w:r>
          </w:p>
        </w:tc>
        <w:tc>
          <w:tcPr>
            <w:tcW w:w="484" w:type="dxa"/>
            <w:tcBorders>
              <w:top w:val="single" w:sz="6" w:space="0" w:color="auto"/>
              <w:left w:val="nil"/>
              <w:bottom w:val="nil"/>
              <w:right w:val="nil"/>
            </w:tcBorders>
            <w:shd w:val="clear" w:color="auto" w:fill="auto"/>
            <w:noWrap/>
            <w:vAlign w:val="center"/>
            <w:hideMark/>
          </w:tcPr>
          <w:p w14:paraId="05D237B0"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6CAF1E85" w14:textId="77777777" w:rsidR="00D37A31" w:rsidRPr="00887108" w:rsidRDefault="00D37A31" w:rsidP="00E9118E">
            <w:pPr>
              <w:jc w:val="center"/>
              <w:rPr>
                <w:rFonts w:cs="Times New Roman"/>
                <w:color w:val="000000"/>
                <w:sz w:val="18"/>
                <w:szCs w:val="18"/>
              </w:rPr>
            </w:pPr>
            <w:r w:rsidRPr="00887108">
              <w:rPr>
                <w:sz w:val="18"/>
                <w:szCs w:val="18"/>
              </w:rPr>
              <w:t>0,1</w:t>
            </w:r>
          </w:p>
        </w:tc>
        <w:tc>
          <w:tcPr>
            <w:tcW w:w="632" w:type="dxa"/>
            <w:tcBorders>
              <w:top w:val="nil"/>
              <w:left w:val="nil"/>
              <w:bottom w:val="nil"/>
              <w:right w:val="nil"/>
            </w:tcBorders>
            <w:shd w:val="clear" w:color="auto" w:fill="auto"/>
            <w:vAlign w:val="center"/>
            <w:hideMark/>
          </w:tcPr>
          <w:p w14:paraId="1532CE61" w14:textId="77777777" w:rsidR="00D37A31" w:rsidRPr="00887108" w:rsidRDefault="00D37A31" w:rsidP="00E9118E">
            <w:pPr>
              <w:jc w:val="center"/>
              <w:rPr>
                <w:rFonts w:cs="Times New Roman"/>
                <w:color w:val="000000"/>
                <w:sz w:val="18"/>
                <w:szCs w:val="18"/>
              </w:rPr>
            </w:pPr>
            <w:r w:rsidRPr="00887108">
              <w:rPr>
                <w:sz w:val="18"/>
                <w:szCs w:val="18"/>
              </w:rPr>
              <w:t>7,2</w:t>
            </w:r>
          </w:p>
        </w:tc>
        <w:tc>
          <w:tcPr>
            <w:tcW w:w="630" w:type="dxa"/>
            <w:tcBorders>
              <w:top w:val="nil"/>
              <w:left w:val="nil"/>
              <w:bottom w:val="nil"/>
              <w:right w:val="nil"/>
            </w:tcBorders>
            <w:shd w:val="clear" w:color="auto" w:fill="auto"/>
            <w:vAlign w:val="center"/>
            <w:hideMark/>
          </w:tcPr>
          <w:p w14:paraId="59240EAB" w14:textId="77777777" w:rsidR="00D37A31" w:rsidRPr="00887108" w:rsidRDefault="00D37A31" w:rsidP="00E9118E">
            <w:pPr>
              <w:jc w:val="center"/>
              <w:rPr>
                <w:rFonts w:cs="Times New Roman"/>
                <w:color w:val="000000"/>
                <w:sz w:val="18"/>
                <w:szCs w:val="18"/>
              </w:rPr>
            </w:pPr>
            <w:r w:rsidRPr="00887108">
              <w:rPr>
                <w:sz w:val="18"/>
                <w:szCs w:val="18"/>
              </w:rPr>
              <w:t>3,8</w:t>
            </w:r>
          </w:p>
        </w:tc>
        <w:tc>
          <w:tcPr>
            <w:tcW w:w="789" w:type="dxa"/>
            <w:tcBorders>
              <w:top w:val="nil"/>
              <w:left w:val="nil"/>
              <w:bottom w:val="nil"/>
              <w:right w:val="nil"/>
            </w:tcBorders>
            <w:shd w:val="clear" w:color="auto" w:fill="auto"/>
            <w:vAlign w:val="center"/>
            <w:hideMark/>
          </w:tcPr>
          <w:p w14:paraId="57538F23" w14:textId="77777777" w:rsidR="00D37A31" w:rsidRPr="00887108" w:rsidRDefault="00D37A31" w:rsidP="00E9118E">
            <w:pPr>
              <w:jc w:val="center"/>
              <w:rPr>
                <w:rFonts w:cs="Times New Roman"/>
                <w:color w:val="000000"/>
                <w:sz w:val="18"/>
                <w:szCs w:val="18"/>
              </w:rPr>
            </w:pPr>
            <w:r w:rsidRPr="00887108">
              <w:rPr>
                <w:sz w:val="18"/>
                <w:szCs w:val="18"/>
              </w:rPr>
              <w:t>2,7</w:t>
            </w:r>
          </w:p>
        </w:tc>
        <w:tc>
          <w:tcPr>
            <w:tcW w:w="654" w:type="dxa"/>
            <w:tcBorders>
              <w:top w:val="nil"/>
              <w:left w:val="nil"/>
              <w:bottom w:val="nil"/>
              <w:right w:val="nil"/>
            </w:tcBorders>
            <w:shd w:val="clear" w:color="auto" w:fill="auto"/>
            <w:vAlign w:val="center"/>
            <w:hideMark/>
          </w:tcPr>
          <w:p w14:paraId="3BA70376" w14:textId="77777777" w:rsidR="00D37A31" w:rsidRPr="00887108" w:rsidRDefault="00D37A31" w:rsidP="00E9118E">
            <w:pPr>
              <w:jc w:val="center"/>
              <w:rPr>
                <w:rFonts w:cs="Times New Roman"/>
                <w:color w:val="000000"/>
                <w:sz w:val="18"/>
                <w:szCs w:val="18"/>
              </w:rPr>
            </w:pPr>
            <w:r w:rsidRPr="00887108">
              <w:rPr>
                <w:sz w:val="18"/>
                <w:szCs w:val="18"/>
              </w:rPr>
              <w:t>1,9</w:t>
            </w:r>
          </w:p>
        </w:tc>
      </w:tr>
      <w:tr w:rsidR="00D37A31" w:rsidRPr="00887108" w14:paraId="5305E690" w14:textId="77777777" w:rsidTr="00EA7E15">
        <w:trPr>
          <w:trHeight w:val="173"/>
          <w:jc w:val="center"/>
        </w:trPr>
        <w:tc>
          <w:tcPr>
            <w:tcW w:w="5368" w:type="dxa"/>
            <w:gridSpan w:val="2"/>
            <w:tcBorders>
              <w:top w:val="nil"/>
              <w:left w:val="nil"/>
              <w:bottom w:val="nil"/>
              <w:right w:val="nil"/>
            </w:tcBorders>
            <w:shd w:val="clear" w:color="auto" w:fill="auto"/>
            <w:noWrap/>
            <w:vAlign w:val="center"/>
            <w:hideMark/>
          </w:tcPr>
          <w:p w14:paraId="5EC1C92C"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4. Úroky                                                                                        </w:t>
            </w:r>
          </w:p>
        </w:tc>
        <w:tc>
          <w:tcPr>
            <w:tcW w:w="931" w:type="dxa"/>
            <w:tcBorders>
              <w:top w:val="nil"/>
              <w:left w:val="nil"/>
              <w:bottom w:val="nil"/>
              <w:right w:val="nil"/>
            </w:tcBorders>
            <w:shd w:val="clear" w:color="auto" w:fill="auto"/>
            <w:vAlign w:val="center"/>
            <w:hideMark/>
          </w:tcPr>
          <w:p w14:paraId="4B4F8F79"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1,2</w:t>
            </w:r>
          </w:p>
        </w:tc>
        <w:tc>
          <w:tcPr>
            <w:tcW w:w="632" w:type="dxa"/>
            <w:tcBorders>
              <w:top w:val="nil"/>
              <w:left w:val="nil"/>
              <w:bottom w:val="nil"/>
              <w:right w:val="nil"/>
            </w:tcBorders>
            <w:shd w:val="clear" w:color="auto" w:fill="auto"/>
            <w:vAlign w:val="center"/>
            <w:hideMark/>
          </w:tcPr>
          <w:p w14:paraId="464003C7" w14:textId="77777777" w:rsidR="00D37A31" w:rsidRPr="00887108" w:rsidRDefault="00D37A31" w:rsidP="00E9118E">
            <w:pPr>
              <w:jc w:val="center"/>
              <w:rPr>
                <w:rFonts w:cs="Times New Roman"/>
                <w:color w:val="000000"/>
                <w:sz w:val="18"/>
                <w:szCs w:val="18"/>
              </w:rPr>
            </w:pPr>
            <w:r w:rsidRPr="00887108">
              <w:rPr>
                <w:sz w:val="18"/>
                <w:szCs w:val="18"/>
              </w:rPr>
              <w:t>1,2</w:t>
            </w:r>
          </w:p>
        </w:tc>
        <w:tc>
          <w:tcPr>
            <w:tcW w:w="630" w:type="dxa"/>
            <w:tcBorders>
              <w:top w:val="nil"/>
              <w:left w:val="nil"/>
              <w:bottom w:val="nil"/>
              <w:right w:val="nil"/>
            </w:tcBorders>
            <w:shd w:val="clear" w:color="auto" w:fill="auto"/>
            <w:vAlign w:val="center"/>
            <w:hideMark/>
          </w:tcPr>
          <w:p w14:paraId="20DDB592" w14:textId="77777777" w:rsidR="00D37A31" w:rsidRPr="00887108" w:rsidRDefault="00D37A31" w:rsidP="00E9118E">
            <w:pPr>
              <w:jc w:val="center"/>
              <w:rPr>
                <w:rFonts w:cs="Times New Roman"/>
                <w:color w:val="000000"/>
                <w:sz w:val="18"/>
                <w:szCs w:val="18"/>
              </w:rPr>
            </w:pPr>
            <w:r w:rsidRPr="00887108">
              <w:rPr>
                <w:sz w:val="18"/>
                <w:szCs w:val="18"/>
              </w:rPr>
              <w:t>1,2</w:t>
            </w:r>
          </w:p>
        </w:tc>
        <w:tc>
          <w:tcPr>
            <w:tcW w:w="789" w:type="dxa"/>
            <w:tcBorders>
              <w:top w:val="nil"/>
              <w:left w:val="nil"/>
              <w:bottom w:val="nil"/>
              <w:right w:val="nil"/>
            </w:tcBorders>
            <w:shd w:val="clear" w:color="auto" w:fill="auto"/>
            <w:vAlign w:val="center"/>
            <w:hideMark/>
          </w:tcPr>
          <w:p w14:paraId="748B786E" w14:textId="77777777" w:rsidR="00D37A31" w:rsidRPr="00887108" w:rsidRDefault="00D37A31" w:rsidP="00E9118E">
            <w:pPr>
              <w:jc w:val="center"/>
              <w:rPr>
                <w:rFonts w:cs="Times New Roman"/>
                <w:color w:val="000000"/>
                <w:sz w:val="18"/>
                <w:szCs w:val="18"/>
              </w:rPr>
            </w:pPr>
            <w:r w:rsidRPr="00887108">
              <w:rPr>
                <w:sz w:val="18"/>
                <w:szCs w:val="18"/>
              </w:rPr>
              <w:t>1,1</w:t>
            </w:r>
          </w:p>
        </w:tc>
        <w:tc>
          <w:tcPr>
            <w:tcW w:w="654" w:type="dxa"/>
            <w:tcBorders>
              <w:top w:val="nil"/>
              <w:left w:val="nil"/>
              <w:bottom w:val="nil"/>
              <w:right w:val="nil"/>
            </w:tcBorders>
            <w:shd w:val="clear" w:color="auto" w:fill="auto"/>
            <w:vAlign w:val="center"/>
            <w:hideMark/>
          </w:tcPr>
          <w:p w14:paraId="2597FE5C" w14:textId="77777777" w:rsidR="00D37A31" w:rsidRPr="00887108" w:rsidRDefault="00D37A31" w:rsidP="00E9118E">
            <w:pPr>
              <w:jc w:val="center"/>
              <w:rPr>
                <w:rFonts w:cs="Times New Roman"/>
                <w:color w:val="000000"/>
                <w:sz w:val="18"/>
                <w:szCs w:val="18"/>
              </w:rPr>
            </w:pPr>
            <w:r w:rsidRPr="00887108">
              <w:rPr>
                <w:sz w:val="18"/>
                <w:szCs w:val="18"/>
              </w:rPr>
              <w:t>1,0</w:t>
            </w:r>
          </w:p>
        </w:tc>
      </w:tr>
      <w:tr w:rsidR="00D37A31" w:rsidRPr="00887108" w14:paraId="1687F509" w14:textId="77777777" w:rsidTr="00EA7E15">
        <w:trPr>
          <w:trHeight w:val="173"/>
          <w:jc w:val="center"/>
        </w:trPr>
        <w:tc>
          <w:tcPr>
            <w:tcW w:w="4884" w:type="dxa"/>
            <w:tcBorders>
              <w:top w:val="nil"/>
              <w:left w:val="nil"/>
              <w:bottom w:val="nil"/>
              <w:right w:val="nil"/>
            </w:tcBorders>
            <w:shd w:val="clear" w:color="auto" w:fill="auto"/>
            <w:vAlign w:val="center"/>
            <w:hideMark/>
          </w:tcPr>
          <w:p w14:paraId="246B05AB" w14:textId="77777777" w:rsidR="00D37A31" w:rsidRPr="00887108" w:rsidRDefault="00D37A31" w:rsidP="00E9118E">
            <w:pPr>
              <w:rPr>
                <w:rFonts w:cs="Times New Roman"/>
                <w:color w:val="000000"/>
                <w:sz w:val="18"/>
                <w:szCs w:val="18"/>
              </w:rPr>
            </w:pPr>
            <w:r w:rsidRPr="00887108">
              <w:rPr>
                <w:rFonts w:cs="Times New Roman"/>
                <w:color w:val="000000"/>
                <w:sz w:val="18"/>
                <w:szCs w:val="18"/>
              </w:rPr>
              <w:t>5. Zosúladenie dlhu a deficitu</w:t>
            </w:r>
          </w:p>
        </w:tc>
        <w:tc>
          <w:tcPr>
            <w:tcW w:w="484" w:type="dxa"/>
            <w:tcBorders>
              <w:top w:val="nil"/>
              <w:left w:val="nil"/>
              <w:bottom w:val="nil"/>
              <w:right w:val="nil"/>
            </w:tcBorders>
            <w:shd w:val="clear" w:color="auto" w:fill="auto"/>
            <w:vAlign w:val="center"/>
            <w:hideMark/>
          </w:tcPr>
          <w:p w14:paraId="38C5456B"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0304DA9D" w14:textId="77777777" w:rsidR="00D37A31" w:rsidRPr="00887108" w:rsidRDefault="00D37A31" w:rsidP="00E9118E">
            <w:pPr>
              <w:jc w:val="center"/>
              <w:rPr>
                <w:rFonts w:cs="Times New Roman"/>
                <w:color w:val="000000"/>
                <w:sz w:val="18"/>
                <w:szCs w:val="18"/>
              </w:rPr>
            </w:pPr>
            <w:r w:rsidRPr="00887108">
              <w:rPr>
                <w:sz w:val="18"/>
                <w:szCs w:val="18"/>
              </w:rPr>
              <w:t>-0,4</w:t>
            </w:r>
          </w:p>
        </w:tc>
        <w:tc>
          <w:tcPr>
            <w:tcW w:w="632" w:type="dxa"/>
            <w:tcBorders>
              <w:top w:val="nil"/>
              <w:left w:val="nil"/>
              <w:bottom w:val="nil"/>
              <w:right w:val="nil"/>
            </w:tcBorders>
            <w:shd w:val="clear" w:color="auto" w:fill="auto"/>
            <w:vAlign w:val="center"/>
            <w:hideMark/>
          </w:tcPr>
          <w:p w14:paraId="6C436A1C" w14:textId="77777777" w:rsidR="00D37A31" w:rsidRPr="00887108" w:rsidRDefault="00D37A31" w:rsidP="00E9118E">
            <w:pPr>
              <w:jc w:val="center"/>
              <w:rPr>
                <w:rFonts w:cs="Times New Roman"/>
                <w:color w:val="000000"/>
                <w:sz w:val="18"/>
                <w:szCs w:val="18"/>
              </w:rPr>
            </w:pPr>
            <w:r w:rsidRPr="00887108">
              <w:rPr>
                <w:sz w:val="18"/>
                <w:szCs w:val="18"/>
              </w:rPr>
              <w:t>2,1</w:t>
            </w:r>
          </w:p>
        </w:tc>
        <w:tc>
          <w:tcPr>
            <w:tcW w:w="630" w:type="dxa"/>
            <w:tcBorders>
              <w:top w:val="nil"/>
              <w:left w:val="nil"/>
              <w:bottom w:val="nil"/>
              <w:right w:val="nil"/>
            </w:tcBorders>
            <w:shd w:val="clear" w:color="auto" w:fill="auto"/>
            <w:vAlign w:val="center"/>
            <w:hideMark/>
          </w:tcPr>
          <w:p w14:paraId="714AB366" w14:textId="77777777" w:rsidR="00D37A31" w:rsidRPr="00887108" w:rsidRDefault="00D37A31" w:rsidP="00E9118E">
            <w:pPr>
              <w:jc w:val="center"/>
              <w:rPr>
                <w:rFonts w:cs="Times New Roman"/>
                <w:color w:val="000000"/>
                <w:sz w:val="18"/>
                <w:szCs w:val="18"/>
              </w:rPr>
            </w:pPr>
            <w:r w:rsidRPr="00887108">
              <w:rPr>
                <w:sz w:val="18"/>
                <w:szCs w:val="18"/>
              </w:rPr>
              <w:t>-0,2</w:t>
            </w:r>
          </w:p>
        </w:tc>
        <w:tc>
          <w:tcPr>
            <w:tcW w:w="789" w:type="dxa"/>
            <w:tcBorders>
              <w:top w:val="nil"/>
              <w:left w:val="nil"/>
              <w:bottom w:val="nil"/>
              <w:right w:val="nil"/>
            </w:tcBorders>
            <w:shd w:val="clear" w:color="auto" w:fill="auto"/>
            <w:vAlign w:val="center"/>
            <w:hideMark/>
          </w:tcPr>
          <w:p w14:paraId="59D1514E" w14:textId="77777777" w:rsidR="00D37A31" w:rsidRPr="00887108" w:rsidRDefault="00D37A31" w:rsidP="00E9118E">
            <w:pPr>
              <w:jc w:val="center"/>
              <w:rPr>
                <w:rFonts w:cs="Times New Roman"/>
                <w:color w:val="000000"/>
                <w:sz w:val="18"/>
                <w:szCs w:val="18"/>
              </w:rPr>
            </w:pPr>
            <w:r w:rsidRPr="00887108">
              <w:rPr>
                <w:sz w:val="18"/>
                <w:szCs w:val="18"/>
              </w:rPr>
              <w:t>-0,9</w:t>
            </w:r>
          </w:p>
        </w:tc>
        <w:tc>
          <w:tcPr>
            <w:tcW w:w="654" w:type="dxa"/>
            <w:tcBorders>
              <w:top w:val="nil"/>
              <w:left w:val="nil"/>
              <w:bottom w:val="nil"/>
              <w:right w:val="nil"/>
            </w:tcBorders>
            <w:shd w:val="clear" w:color="auto" w:fill="auto"/>
            <w:vAlign w:val="center"/>
            <w:hideMark/>
          </w:tcPr>
          <w:p w14:paraId="4E2903EA" w14:textId="77777777" w:rsidR="00D37A31" w:rsidRPr="00887108" w:rsidRDefault="00D37A31" w:rsidP="00E9118E">
            <w:pPr>
              <w:jc w:val="center"/>
              <w:rPr>
                <w:rFonts w:cs="Times New Roman"/>
                <w:color w:val="000000"/>
                <w:sz w:val="18"/>
                <w:szCs w:val="18"/>
              </w:rPr>
            </w:pPr>
            <w:r w:rsidRPr="00887108">
              <w:rPr>
                <w:sz w:val="18"/>
                <w:szCs w:val="18"/>
              </w:rPr>
              <w:t>-1,2</w:t>
            </w:r>
          </w:p>
        </w:tc>
      </w:tr>
      <w:tr w:rsidR="00D37A31" w:rsidRPr="00887108" w14:paraId="11530C49" w14:textId="77777777" w:rsidTr="00EA7E15">
        <w:trPr>
          <w:trHeight w:val="173"/>
          <w:jc w:val="center"/>
        </w:trPr>
        <w:tc>
          <w:tcPr>
            <w:tcW w:w="4884" w:type="dxa"/>
            <w:tcBorders>
              <w:top w:val="nil"/>
              <w:left w:val="nil"/>
              <w:bottom w:val="nil"/>
              <w:right w:val="nil"/>
            </w:tcBorders>
            <w:shd w:val="clear" w:color="auto" w:fill="auto"/>
            <w:vAlign w:val="center"/>
            <w:hideMark/>
          </w:tcPr>
          <w:p w14:paraId="78D0299E" w14:textId="77777777" w:rsidR="00D37A31" w:rsidRPr="00887108" w:rsidRDefault="00D37A31" w:rsidP="00E9118E">
            <w:pPr>
              <w:rPr>
                <w:rFonts w:cs="Times New Roman"/>
                <w:color w:val="000000"/>
                <w:sz w:val="18"/>
                <w:szCs w:val="18"/>
              </w:rPr>
            </w:pPr>
            <w:r w:rsidRPr="00887108">
              <w:rPr>
                <w:rFonts w:cs="Times New Roman"/>
                <w:color w:val="000000"/>
                <w:sz w:val="18"/>
                <w:szCs w:val="18"/>
              </w:rPr>
              <w:t>z toho:</w:t>
            </w:r>
          </w:p>
        </w:tc>
        <w:tc>
          <w:tcPr>
            <w:tcW w:w="484" w:type="dxa"/>
            <w:tcBorders>
              <w:top w:val="nil"/>
              <w:left w:val="nil"/>
              <w:bottom w:val="nil"/>
              <w:right w:val="nil"/>
            </w:tcBorders>
            <w:shd w:val="clear" w:color="auto" w:fill="auto"/>
            <w:vAlign w:val="center"/>
            <w:hideMark/>
          </w:tcPr>
          <w:p w14:paraId="64D979F3"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06283A52" w14:textId="77777777" w:rsidR="00D37A31" w:rsidRPr="00887108" w:rsidRDefault="00D37A31" w:rsidP="00E9118E">
            <w:pPr>
              <w:jc w:val="center"/>
              <w:rPr>
                <w:rFonts w:cs="Times New Roman"/>
                <w:sz w:val="18"/>
                <w:szCs w:val="18"/>
              </w:rPr>
            </w:pPr>
          </w:p>
        </w:tc>
        <w:tc>
          <w:tcPr>
            <w:tcW w:w="632" w:type="dxa"/>
            <w:tcBorders>
              <w:top w:val="nil"/>
              <w:left w:val="nil"/>
              <w:bottom w:val="nil"/>
              <w:right w:val="nil"/>
            </w:tcBorders>
            <w:shd w:val="clear" w:color="auto" w:fill="auto"/>
            <w:vAlign w:val="center"/>
            <w:hideMark/>
          </w:tcPr>
          <w:p w14:paraId="50520380" w14:textId="77777777" w:rsidR="00D37A31" w:rsidRPr="00887108" w:rsidRDefault="00D37A31" w:rsidP="00E9118E">
            <w:pPr>
              <w:jc w:val="center"/>
              <w:rPr>
                <w:rFonts w:cs="Times New Roman"/>
                <w:sz w:val="18"/>
                <w:szCs w:val="18"/>
              </w:rPr>
            </w:pPr>
          </w:p>
        </w:tc>
        <w:tc>
          <w:tcPr>
            <w:tcW w:w="630" w:type="dxa"/>
            <w:tcBorders>
              <w:top w:val="nil"/>
              <w:left w:val="nil"/>
              <w:bottom w:val="nil"/>
              <w:right w:val="nil"/>
            </w:tcBorders>
            <w:shd w:val="clear" w:color="auto" w:fill="auto"/>
            <w:vAlign w:val="center"/>
            <w:hideMark/>
          </w:tcPr>
          <w:p w14:paraId="755D29AD" w14:textId="77777777" w:rsidR="00D37A31" w:rsidRPr="00887108" w:rsidRDefault="00D37A31" w:rsidP="00E9118E">
            <w:pPr>
              <w:jc w:val="center"/>
              <w:rPr>
                <w:rFonts w:cs="Times New Roman"/>
                <w:sz w:val="18"/>
                <w:szCs w:val="18"/>
              </w:rPr>
            </w:pPr>
          </w:p>
        </w:tc>
        <w:tc>
          <w:tcPr>
            <w:tcW w:w="789" w:type="dxa"/>
            <w:tcBorders>
              <w:top w:val="nil"/>
              <w:left w:val="nil"/>
              <w:bottom w:val="nil"/>
              <w:right w:val="nil"/>
            </w:tcBorders>
            <w:shd w:val="clear" w:color="auto" w:fill="auto"/>
            <w:vAlign w:val="center"/>
            <w:hideMark/>
          </w:tcPr>
          <w:p w14:paraId="1214CC6F" w14:textId="77777777" w:rsidR="00D37A31" w:rsidRPr="00887108" w:rsidRDefault="00D37A31" w:rsidP="00E9118E">
            <w:pPr>
              <w:jc w:val="center"/>
              <w:rPr>
                <w:rFonts w:cs="Times New Roman"/>
                <w:sz w:val="18"/>
                <w:szCs w:val="18"/>
              </w:rPr>
            </w:pPr>
          </w:p>
        </w:tc>
        <w:tc>
          <w:tcPr>
            <w:tcW w:w="654" w:type="dxa"/>
            <w:tcBorders>
              <w:top w:val="nil"/>
              <w:left w:val="nil"/>
              <w:bottom w:val="nil"/>
              <w:right w:val="nil"/>
            </w:tcBorders>
            <w:shd w:val="clear" w:color="auto" w:fill="auto"/>
            <w:vAlign w:val="center"/>
            <w:hideMark/>
          </w:tcPr>
          <w:p w14:paraId="42F37818" w14:textId="77777777" w:rsidR="00D37A31" w:rsidRPr="00887108" w:rsidRDefault="00D37A31" w:rsidP="00E9118E">
            <w:pPr>
              <w:jc w:val="center"/>
              <w:rPr>
                <w:rFonts w:cs="Times New Roman"/>
                <w:sz w:val="18"/>
                <w:szCs w:val="18"/>
              </w:rPr>
            </w:pPr>
          </w:p>
        </w:tc>
      </w:tr>
      <w:tr w:rsidR="00D37A31" w:rsidRPr="00887108" w14:paraId="113CB5B6" w14:textId="77777777" w:rsidTr="00EA7E15">
        <w:trPr>
          <w:trHeight w:val="173"/>
          <w:jc w:val="center"/>
        </w:trPr>
        <w:tc>
          <w:tcPr>
            <w:tcW w:w="4884" w:type="dxa"/>
            <w:tcBorders>
              <w:top w:val="nil"/>
              <w:left w:val="nil"/>
              <w:bottom w:val="nil"/>
              <w:right w:val="nil"/>
            </w:tcBorders>
            <w:shd w:val="clear" w:color="auto" w:fill="auto"/>
            <w:noWrap/>
            <w:vAlign w:val="center"/>
            <w:hideMark/>
          </w:tcPr>
          <w:p w14:paraId="3A0AFEA6" w14:textId="77777777" w:rsidR="00D37A31" w:rsidRPr="00887108" w:rsidRDefault="00D37A31" w:rsidP="00E9118E">
            <w:pPr>
              <w:ind w:firstLineChars="100" w:firstLine="180"/>
              <w:rPr>
                <w:rFonts w:cs="Times New Roman"/>
                <w:color w:val="000000"/>
                <w:sz w:val="18"/>
                <w:szCs w:val="18"/>
              </w:rPr>
            </w:pPr>
            <w:r w:rsidRPr="00887108">
              <w:rPr>
                <w:rFonts w:cs="Times New Roman"/>
                <w:color w:val="000000"/>
                <w:sz w:val="18"/>
                <w:szCs w:val="18"/>
              </w:rPr>
              <w:t>- Rozdiely medzi cash a akruálom</w:t>
            </w:r>
          </w:p>
        </w:tc>
        <w:tc>
          <w:tcPr>
            <w:tcW w:w="484" w:type="dxa"/>
            <w:tcBorders>
              <w:top w:val="nil"/>
              <w:left w:val="nil"/>
              <w:bottom w:val="nil"/>
              <w:right w:val="nil"/>
            </w:tcBorders>
            <w:shd w:val="clear" w:color="auto" w:fill="auto"/>
            <w:noWrap/>
            <w:vAlign w:val="center"/>
            <w:hideMark/>
          </w:tcPr>
          <w:p w14:paraId="52D7EDA3" w14:textId="77777777" w:rsidR="00D37A31" w:rsidRPr="00887108" w:rsidRDefault="00D37A31" w:rsidP="00E9118E">
            <w:pPr>
              <w:ind w:firstLineChars="100" w:firstLine="180"/>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40C45D0F" w14:textId="77777777" w:rsidR="00D37A31" w:rsidRPr="00887108" w:rsidRDefault="00D37A31" w:rsidP="00E9118E">
            <w:pPr>
              <w:jc w:val="center"/>
              <w:rPr>
                <w:rFonts w:cs="Times New Roman"/>
                <w:color w:val="000000"/>
                <w:sz w:val="18"/>
                <w:szCs w:val="18"/>
              </w:rPr>
            </w:pPr>
            <w:r w:rsidRPr="00887108">
              <w:rPr>
                <w:sz w:val="18"/>
                <w:szCs w:val="18"/>
              </w:rPr>
              <w:t>-0,4</w:t>
            </w:r>
          </w:p>
        </w:tc>
        <w:tc>
          <w:tcPr>
            <w:tcW w:w="632" w:type="dxa"/>
            <w:tcBorders>
              <w:top w:val="nil"/>
              <w:left w:val="nil"/>
              <w:bottom w:val="nil"/>
              <w:right w:val="nil"/>
            </w:tcBorders>
            <w:shd w:val="clear" w:color="auto" w:fill="auto"/>
            <w:vAlign w:val="center"/>
            <w:hideMark/>
          </w:tcPr>
          <w:p w14:paraId="4832CFEE" w14:textId="77777777" w:rsidR="00D37A31" w:rsidRPr="00887108" w:rsidRDefault="00D37A31" w:rsidP="00E9118E">
            <w:pPr>
              <w:jc w:val="center"/>
              <w:rPr>
                <w:rFonts w:cs="Times New Roman"/>
                <w:color w:val="000000"/>
                <w:sz w:val="18"/>
                <w:szCs w:val="18"/>
              </w:rPr>
            </w:pPr>
            <w:r w:rsidRPr="00887108">
              <w:rPr>
                <w:sz w:val="18"/>
                <w:szCs w:val="18"/>
              </w:rPr>
              <w:t>0,1</w:t>
            </w:r>
          </w:p>
        </w:tc>
        <w:tc>
          <w:tcPr>
            <w:tcW w:w="630" w:type="dxa"/>
            <w:tcBorders>
              <w:top w:val="nil"/>
              <w:left w:val="nil"/>
              <w:bottom w:val="nil"/>
              <w:right w:val="nil"/>
            </w:tcBorders>
            <w:shd w:val="clear" w:color="auto" w:fill="auto"/>
            <w:vAlign w:val="center"/>
            <w:hideMark/>
          </w:tcPr>
          <w:p w14:paraId="605FC23D" w14:textId="77777777" w:rsidR="00D37A31" w:rsidRPr="00887108" w:rsidRDefault="00D37A31" w:rsidP="00E9118E">
            <w:pPr>
              <w:jc w:val="center"/>
              <w:rPr>
                <w:rFonts w:cs="Times New Roman"/>
                <w:color w:val="000000"/>
                <w:sz w:val="18"/>
                <w:szCs w:val="18"/>
              </w:rPr>
            </w:pPr>
            <w:r w:rsidRPr="00887108">
              <w:rPr>
                <w:sz w:val="18"/>
                <w:szCs w:val="18"/>
              </w:rPr>
              <w:t>1,0</w:t>
            </w:r>
          </w:p>
        </w:tc>
        <w:tc>
          <w:tcPr>
            <w:tcW w:w="789" w:type="dxa"/>
            <w:tcBorders>
              <w:top w:val="nil"/>
              <w:left w:val="nil"/>
              <w:bottom w:val="nil"/>
              <w:right w:val="nil"/>
            </w:tcBorders>
            <w:shd w:val="clear" w:color="auto" w:fill="auto"/>
            <w:vAlign w:val="center"/>
            <w:hideMark/>
          </w:tcPr>
          <w:p w14:paraId="54AB83C3" w14:textId="77777777" w:rsidR="00D37A31" w:rsidRPr="00887108" w:rsidRDefault="00D37A31" w:rsidP="00E9118E">
            <w:pPr>
              <w:jc w:val="center"/>
              <w:rPr>
                <w:rFonts w:cs="Times New Roman"/>
                <w:color w:val="000000"/>
                <w:sz w:val="18"/>
                <w:szCs w:val="18"/>
              </w:rPr>
            </w:pPr>
            <w:r w:rsidRPr="00887108">
              <w:rPr>
                <w:sz w:val="18"/>
                <w:szCs w:val="18"/>
              </w:rPr>
              <w:t>-0,1</w:t>
            </w:r>
          </w:p>
        </w:tc>
        <w:tc>
          <w:tcPr>
            <w:tcW w:w="654" w:type="dxa"/>
            <w:tcBorders>
              <w:top w:val="nil"/>
              <w:left w:val="nil"/>
              <w:bottom w:val="nil"/>
              <w:right w:val="nil"/>
            </w:tcBorders>
            <w:shd w:val="clear" w:color="auto" w:fill="auto"/>
            <w:vAlign w:val="center"/>
            <w:hideMark/>
          </w:tcPr>
          <w:p w14:paraId="52EAB55E" w14:textId="77777777" w:rsidR="00D37A31" w:rsidRPr="00887108" w:rsidRDefault="00D37A31" w:rsidP="00E9118E">
            <w:pPr>
              <w:jc w:val="center"/>
              <w:rPr>
                <w:rFonts w:cs="Times New Roman"/>
                <w:color w:val="000000"/>
                <w:sz w:val="18"/>
                <w:szCs w:val="18"/>
              </w:rPr>
            </w:pPr>
            <w:r w:rsidRPr="00887108">
              <w:rPr>
                <w:sz w:val="18"/>
                <w:szCs w:val="18"/>
              </w:rPr>
              <w:t>-0,5</w:t>
            </w:r>
          </w:p>
        </w:tc>
      </w:tr>
      <w:tr w:rsidR="00D37A31" w:rsidRPr="00887108" w14:paraId="245D18CE" w14:textId="77777777" w:rsidTr="00EA7E15">
        <w:trPr>
          <w:trHeight w:val="173"/>
          <w:jc w:val="center"/>
        </w:trPr>
        <w:tc>
          <w:tcPr>
            <w:tcW w:w="4884" w:type="dxa"/>
            <w:tcBorders>
              <w:top w:val="nil"/>
              <w:left w:val="nil"/>
              <w:bottom w:val="nil"/>
              <w:right w:val="nil"/>
            </w:tcBorders>
            <w:shd w:val="clear" w:color="auto" w:fill="auto"/>
            <w:noWrap/>
            <w:vAlign w:val="center"/>
            <w:hideMark/>
          </w:tcPr>
          <w:p w14:paraId="6113C36F" w14:textId="77777777" w:rsidR="00D37A31" w:rsidRPr="00887108" w:rsidRDefault="00D37A31" w:rsidP="00E9118E">
            <w:pPr>
              <w:ind w:firstLineChars="100" w:firstLine="180"/>
              <w:rPr>
                <w:rFonts w:cs="Times New Roman"/>
                <w:color w:val="000000"/>
                <w:sz w:val="18"/>
                <w:szCs w:val="18"/>
              </w:rPr>
            </w:pPr>
            <w:r w:rsidRPr="00887108">
              <w:rPr>
                <w:rFonts w:cs="Times New Roman"/>
                <w:color w:val="000000"/>
                <w:sz w:val="18"/>
                <w:szCs w:val="18"/>
              </w:rPr>
              <w:t>- Čistý nárast finančných aktív</w:t>
            </w:r>
          </w:p>
        </w:tc>
        <w:tc>
          <w:tcPr>
            <w:tcW w:w="484" w:type="dxa"/>
            <w:tcBorders>
              <w:top w:val="nil"/>
              <w:left w:val="nil"/>
              <w:bottom w:val="nil"/>
              <w:right w:val="nil"/>
            </w:tcBorders>
            <w:shd w:val="clear" w:color="auto" w:fill="auto"/>
            <w:noWrap/>
            <w:vAlign w:val="center"/>
            <w:hideMark/>
          </w:tcPr>
          <w:p w14:paraId="4E3D5BA1" w14:textId="77777777" w:rsidR="00D37A31" w:rsidRPr="00887108" w:rsidRDefault="00D37A31" w:rsidP="00E9118E">
            <w:pPr>
              <w:ind w:firstLineChars="100" w:firstLine="180"/>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22F11551"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632" w:type="dxa"/>
            <w:tcBorders>
              <w:top w:val="nil"/>
              <w:left w:val="nil"/>
              <w:bottom w:val="nil"/>
              <w:right w:val="nil"/>
            </w:tcBorders>
            <w:shd w:val="clear" w:color="auto" w:fill="auto"/>
            <w:vAlign w:val="center"/>
            <w:hideMark/>
          </w:tcPr>
          <w:p w14:paraId="15CB9880" w14:textId="77777777" w:rsidR="00D37A31" w:rsidRPr="00887108" w:rsidRDefault="00D37A31" w:rsidP="00E9118E">
            <w:pPr>
              <w:jc w:val="center"/>
              <w:rPr>
                <w:rFonts w:cs="Times New Roman"/>
                <w:color w:val="000000"/>
                <w:sz w:val="18"/>
                <w:szCs w:val="18"/>
              </w:rPr>
            </w:pPr>
            <w:r w:rsidRPr="00887108">
              <w:rPr>
                <w:sz w:val="18"/>
                <w:szCs w:val="18"/>
              </w:rPr>
              <w:t>2,0</w:t>
            </w:r>
          </w:p>
        </w:tc>
        <w:tc>
          <w:tcPr>
            <w:tcW w:w="630" w:type="dxa"/>
            <w:tcBorders>
              <w:top w:val="nil"/>
              <w:left w:val="nil"/>
              <w:bottom w:val="nil"/>
              <w:right w:val="nil"/>
            </w:tcBorders>
            <w:shd w:val="clear" w:color="auto" w:fill="auto"/>
            <w:vAlign w:val="center"/>
            <w:hideMark/>
          </w:tcPr>
          <w:p w14:paraId="3EA61255" w14:textId="77777777" w:rsidR="00D37A31" w:rsidRPr="00887108" w:rsidRDefault="00D37A31" w:rsidP="00E9118E">
            <w:pPr>
              <w:jc w:val="center"/>
              <w:rPr>
                <w:rFonts w:cs="Times New Roman"/>
                <w:color w:val="000000"/>
                <w:sz w:val="18"/>
                <w:szCs w:val="18"/>
              </w:rPr>
            </w:pPr>
            <w:r w:rsidRPr="00887108">
              <w:rPr>
                <w:sz w:val="18"/>
                <w:szCs w:val="18"/>
              </w:rPr>
              <w:t>-1,4</w:t>
            </w:r>
          </w:p>
        </w:tc>
        <w:tc>
          <w:tcPr>
            <w:tcW w:w="789" w:type="dxa"/>
            <w:tcBorders>
              <w:top w:val="nil"/>
              <w:left w:val="nil"/>
              <w:bottom w:val="nil"/>
              <w:right w:val="nil"/>
            </w:tcBorders>
            <w:shd w:val="clear" w:color="auto" w:fill="auto"/>
            <w:vAlign w:val="center"/>
            <w:hideMark/>
          </w:tcPr>
          <w:p w14:paraId="041A2AB0" w14:textId="77777777" w:rsidR="00D37A31" w:rsidRPr="00887108" w:rsidRDefault="00D37A31" w:rsidP="00E9118E">
            <w:pPr>
              <w:jc w:val="center"/>
              <w:rPr>
                <w:rFonts w:cs="Times New Roman"/>
                <w:color w:val="000000"/>
                <w:sz w:val="18"/>
                <w:szCs w:val="18"/>
              </w:rPr>
            </w:pPr>
            <w:r w:rsidRPr="00887108">
              <w:rPr>
                <w:sz w:val="18"/>
                <w:szCs w:val="18"/>
              </w:rPr>
              <w:t>-1,0</w:t>
            </w:r>
          </w:p>
        </w:tc>
        <w:tc>
          <w:tcPr>
            <w:tcW w:w="654" w:type="dxa"/>
            <w:tcBorders>
              <w:top w:val="nil"/>
              <w:left w:val="nil"/>
              <w:bottom w:val="nil"/>
              <w:right w:val="nil"/>
            </w:tcBorders>
            <w:shd w:val="clear" w:color="auto" w:fill="auto"/>
            <w:vAlign w:val="center"/>
            <w:hideMark/>
          </w:tcPr>
          <w:p w14:paraId="7AE45350" w14:textId="77777777" w:rsidR="00D37A31" w:rsidRPr="00887108" w:rsidRDefault="00D37A31" w:rsidP="00E9118E">
            <w:pPr>
              <w:jc w:val="center"/>
              <w:rPr>
                <w:rFonts w:cs="Times New Roman"/>
                <w:color w:val="000000"/>
                <w:sz w:val="18"/>
                <w:szCs w:val="18"/>
              </w:rPr>
            </w:pPr>
            <w:r w:rsidRPr="00887108">
              <w:rPr>
                <w:sz w:val="18"/>
                <w:szCs w:val="18"/>
              </w:rPr>
              <w:t>-1,0</w:t>
            </w:r>
          </w:p>
        </w:tc>
      </w:tr>
      <w:tr w:rsidR="00D37A31" w:rsidRPr="00887108" w14:paraId="4175F60B" w14:textId="77777777" w:rsidTr="00EA7E15">
        <w:trPr>
          <w:trHeight w:val="173"/>
          <w:jc w:val="center"/>
        </w:trPr>
        <w:tc>
          <w:tcPr>
            <w:tcW w:w="4884" w:type="dxa"/>
            <w:tcBorders>
              <w:top w:val="nil"/>
              <w:left w:val="nil"/>
              <w:bottom w:val="nil"/>
              <w:right w:val="nil"/>
            </w:tcBorders>
            <w:shd w:val="clear" w:color="auto" w:fill="auto"/>
            <w:noWrap/>
            <w:vAlign w:val="center"/>
            <w:hideMark/>
          </w:tcPr>
          <w:p w14:paraId="228D4A50" w14:textId="77777777" w:rsidR="00D37A31" w:rsidRPr="00887108" w:rsidRDefault="00D37A31" w:rsidP="00E9118E">
            <w:pPr>
              <w:ind w:firstLineChars="100" w:firstLine="180"/>
              <w:rPr>
                <w:rFonts w:cs="Times New Roman"/>
                <w:color w:val="000000"/>
                <w:sz w:val="18"/>
                <w:szCs w:val="18"/>
              </w:rPr>
            </w:pPr>
            <w:r w:rsidRPr="00887108">
              <w:rPr>
                <w:rFonts w:cs="Times New Roman"/>
                <w:color w:val="000000"/>
                <w:sz w:val="18"/>
                <w:szCs w:val="18"/>
              </w:rPr>
              <w:t xml:space="preserve">      z toho: príjmy z privatizácie</w:t>
            </w:r>
          </w:p>
        </w:tc>
        <w:tc>
          <w:tcPr>
            <w:tcW w:w="484" w:type="dxa"/>
            <w:tcBorders>
              <w:top w:val="nil"/>
              <w:left w:val="nil"/>
              <w:bottom w:val="nil"/>
              <w:right w:val="nil"/>
            </w:tcBorders>
            <w:shd w:val="clear" w:color="auto" w:fill="auto"/>
            <w:noWrap/>
            <w:vAlign w:val="center"/>
            <w:hideMark/>
          </w:tcPr>
          <w:p w14:paraId="2168B0BD" w14:textId="77777777" w:rsidR="00D37A31" w:rsidRPr="00887108" w:rsidRDefault="00D37A31" w:rsidP="00E9118E">
            <w:pPr>
              <w:ind w:firstLineChars="100" w:firstLine="180"/>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4850F5B0"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632" w:type="dxa"/>
            <w:tcBorders>
              <w:top w:val="nil"/>
              <w:left w:val="nil"/>
              <w:bottom w:val="nil"/>
              <w:right w:val="nil"/>
            </w:tcBorders>
            <w:shd w:val="clear" w:color="auto" w:fill="auto"/>
            <w:vAlign w:val="center"/>
            <w:hideMark/>
          </w:tcPr>
          <w:p w14:paraId="64EE2F29"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630" w:type="dxa"/>
            <w:tcBorders>
              <w:top w:val="nil"/>
              <w:left w:val="nil"/>
              <w:bottom w:val="nil"/>
              <w:right w:val="nil"/>
            </w:tcBorders>
            <w:shd w:val="clear" w:color="auto" w:fill="auto"/>
            <w:vAlign w:val="center"/>
            <w:hideMark/>
          </w:tcPr>
          <w:p w14:paraId="20942A03"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789" w:type="dxa"/>
            <w:tcBorders>
              <w:top w:val="nil"/>
              <w:left w:val="nil"/>
              <w:bottom w:val="nil"/>
              <w:right w:val="nil"/>
            </w:tcBorders>
            <w:shd w:val="clear" w:color="auto" w:fill="auto"/>
            <w:vAlign w:val="center"/>
            <w:hideMark/>
          </w:tcPr>
          <w:p w14:paraId="6F1C8111"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654" w:type="dxa"/>
            <w:tcBorders>
              <w:top w:val="nil"/>
              <w:left w:val="nil"/>
              <w:bottom w:val="nil"/>
              <w:right w:val="nil"/>
            </w:tcBorders>
            <w:shd w:val="clear" w:color="auto" w:fill="auto"/>
            <w:vAlign w:val="center"/>
            <w:hideMark/>
          </w:tcPr>
          <w:p w14:paraId="33904A0F" w14:textId="77777777" w:rsidR="00D37A31" w:rsidRPr="00887108" w:rsidRDefault="00D37A31" w:rsidP="00E9118E">
            <w:pPr>
              <w:jc w:val="center"/>
              <w:rPr>
                <w:rFonts w:cs="Times New Roman"/>
                <w:color w:val="000000"/>
                <w:sz w:val="18"/>
                <w:szCs w:val="18"/>
              </w:rPr>
            </w:pPr>
            <w:r w:rsidRPr="00887108">
              <w:rPr>
                <w:sz w:val="18"/>
                <w:szCs w:val="18"/>
              </w:rPr>
              <w:t>0,0</w:t>
            </w:r>
          </w:p>
        </w:tc>
      </w:tr>
      <w:tr w:rsidR="00D37A31" w:rsidRPr="00887108" w14:paraId="51E3B851" w14:textId="77777777" w:rsidTr="00EA7E15">
        <w:trPr>
          <w:trHeight w:val="173"/>
          <w:jc w:val="center"/>
        </w:trPr>
        <w:tc>
          <w:tcPr>
            <w:tcW w:w="4884" w:type="dxa"/>
            <w:tcBorders>
              <w:top w:val="nil"/>
              <w:left w:val="nil"/>
              <w:bottom w:val="nil"/>
              <w:right w:val="nil"/>
            </w:tcBorders>
            <w:shd w:val="clear" w:color="auto" w:fill="auto"/>
            <w:noWrap/>
            <w:vAlign w:val="center"/>
            <w:hideMark/>
          </w:tcPr>
          <w:p w14:paraId="656CE09B" w14:textId="77777777" w:rsidR="00D37A31" w:rsidRPr="00887108" w:rsidRDefault="00D37A31" w:rsidP="00E9118E">
            <w:pPr>
              <w:ind w:firstLineChars="100" w:firstLine="180"/>
              <w:rPr>
                <w:rFonts w:cs="Times New Roman"/>
                <w:color w:val="000000"/>
                <w:sz w:val="18"/>
                <w:szCs w:val="18"/>
              </w:rPr>
            </w:pPr>
            <w:r w:rsidRPr="00887108">
              <w:rPr>
                <w:rFonts w:cs="Times New Roman"/>
                <w:color w:val="000000"/>
                <w:sz w:val="18"/>
                <w:szCs w:val="18"/>
              </w:rPr>
              <w:t>- Efekty zhodnotenia a iné</w:t>
            </w:r>
          </w:p>
        </w:tc>
        <w:tc>
          <w:tcPr>
            <w:tcW w:w="484" w:type="dxa"/>
            <w:tcBorders>
              <w:top w:val="nil"/>
              <w:left w:val="nil"/>
              <w:bottom w:val="nil"/>
              <w:right w:val="nil"/>
            </w:tcBorders>
            <w:shd w:val="clear" w:color="auto" w:fill="auto"/>
            <w:noWrap/>
            <w:vAlign w:val="center"/>
            <w:hideMark/>
          </w:tcPr>
          <w:p w14:paraId="1CF187A2" w14:textId="77777777" w:rsidR="00D37A31" w:rsidRPr="00887108" w:rsidRDefault="00D37A31" w:rsidP="00E9118E">
            <w:pPr>
              <w:ind w:firstLineChars="100" w:firstLine="180"/>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78ED05D9"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632" w:type="dxa"/>
            <w:tcBorders>
              <w:top w:val="nil"/>
              <w:left w:val="nil"/>
              <w:bottom w:val="nil"/>
              <w:right w:val="nil"/>
            </w:tcBorders>
            <w:shd w:val="clear" w:color="auto" w:fill="auto"/>
            <w:vAlign w:val="center"/>
            <w:hideMark/>
          </w:tcPr>
          <w:p w14:paraId="38065848"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630" w:type="dxa"/>
            <w:tcBorders>
              <w:top w:val="nil"/>
              <w:left w:val="nil"/>
              <w:bottom w:val="nil"/>
              <w:right w:val="nil"/>
            </w:tcBorders>
            <w:shd w:val="clear" w:color="auto" w:fill="auto"/>
            <w:vAlign w:val="center"/>
            <w:hideMark/>
          </w:tcPr>
          <w:p w14:paraId="6675A522"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789" w:type="dxa"/>
            <w:tcBorders>
              <w:top w:val="nil"/>
              <w:left w:val="nil"/>
              <w:bottom w:val="nil"/>
              <w:right w:val="nil"/>
            </w:tcBorders>
            <w:shd w:val="clear" w:color="auto" w:fill="auto"/>
            <w:vAlign w:val="center"/>
            <w:hideMark/>
          </w:tcPr>
          <w:p w14:paraId="4A4D0788" w14:textId="77777777" w:rsidR="00D37A31" w:rsidRPr="00887108" w:rsidRDefault="00D37A31" w:rsidP="00E9118E">
            <w:pPr>
              <w:jc w:val="center"/>
              <w:rPr>
                <w:rFonts w:cs="Times New Roman"/>
                <w:color w:val="000000"/>
                <w:sz w:val="18"/>
                <w:szCs w:val="18"/>
              </w:rPr>
            </w:pPr>
            <w:r w:rsidRPr="00887108">
              <w:rPr>
                <w:sz w:val="18"/>
                <w:szCs w:val="18"/>
              </w:rPr>
              <w:t>0,0</w:t>
            </w:r>
          </w:p>
        </w:tc>
        <w:tc>
          <w:tcPr>
            <w:tcW w:w="654" w:type="dxa"/>
            <w:tcBorders>
              <w:top w:val="nil"/>
              <w:left w:val="nil"/>
              <w:bottom w:val="nil"/>
              <w:right w:val="nil"/>
            </w:tcBorders>
            <w:shd w:val="clear" w:color="auto" w:fill="auto"/>
            <w:vAlign w:val="center"/>
            <w:hideMark/>
          </w:tcPr>
          <w:p w14:paraId="0826C1C1" w14:textId="77777777" w:rsidR="00D37A31" w:rsidRPr="00887108" w:rsidRDefault="00D37A31" w:rsidP="00E9118E">
            <w:pPr>
              <w:jc w:val="center"/>
              <w:rPr>
                <w:rFonts w:cs="Times New Roman"/>
                <w:color w:val="000000"/>
                <w:sz w:val="18"/>
                <w:szCs w:val="18"/>
              </w:rPr>
            </w:pPr>
            <w:r w:rsidRPr="00887108">
              <w:rPr>
                <w:sz w:val="18"/>
                <w:szCs w:val="18"/>
              </w:rPr>
              <w:t>0,0</w:t>
            </w:r>
          </w:p>
        </w:tc>
      </w:tr>
      <w:tr w:rsidR="00D37A31" w:rsidRPr="00887108" w14:paraId="02339CEB" w14:textId="77777777" w:rsidTr="00EA7E15">
        <w:trPr>
          <w:trHeight w:val="173"/>
          <w:jc w:val="center"/>
        </w:trPr>
        <w:tc>
          <w:tcPr>
            <w:tcW w:w="4884" w:type="dxa"/>
            <w:tcBorders>
              <w:top w:val="nil"/>
              <w:left w:val="nil"/>
              <w:bottom w:val="single" w:sz="4" w:space="0" w:color="auto"/>
              <w:right w:val="nil"/>
            </w:tcBorders>
            <w:shd w:val="clear" w:color="auto" w:fill="auto"/>
            <w:noWrap/>
            <w:vAlign w:val="center"/>
            <w:hideMark/>
          </w:tcPr>
          <w:p w14:paraId="2822E5E7" w14:textId="77777777" w:rsidR="00D37A31" w:rsidRPr="00887108" w:rsidRDefault="00D37A31" w:rsidP="00E9118E">
            <w:pPr>
              <w:rPr>
                <w:rFonts w:cs="Times New Roman"/>
                <w:color w:val="000000"/>
                <w:sz w:val="18"/>
                <w:szCs w:val="18"/>
              </w:rPr>
            </w:pPr>
            <w:r w:rsidRPr="00887108">
              <w:rPr>
                <w:rFonts w:cs="Times New Roman"/>
                <w:color w:val="000000"/>
                <w:sz w:val="18"/>
                <w:szCs w:val="18"/>
              </w:rPr>
              <w:t>p. m. Implicitná úroková miera</w:t>
            </w:r>
          </w:p>
        </w:tc>
        <w:tc>
          <w:tcPr>
            <w:tcW w:w="484" w:type="dxa"/>
            <w:tcBorders>
              <w:top w:val="nil"/>
              <w:left w:val="nil"/>
              <w:bottom w:val="single" w:sz="4" w:space="0" w:color="auto"/>
              <w:right w:val="nil"/>
            </w:tcBorders>
            <w:shd w:val="clear" w:color="auto" w:fill="auto"/>
            <w:noWrap/>
            <w:vAlign w:val="center"/>
            <w:hideMark/>
          </w:tcPr>
          <w:p w14:paraId="5DDA86AA"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236D06FE" w14:textId="77777777" w:rsidR="00D37A31" w:rsidRPr="00887108" w:rsidRDefault="00D37A31" w:rsidP="00E9118E">
            <w:pPr>
              <w:jc w:val="center"/>
              <w:rPr>
                <w:rFonts w:cs="Times New Roman"/>
                <w:color w:val="000000"/>
                <w:sz w:val="18"/>
                <w:szCs w:val="18"/>
              </w:rPr>
            </w:pPr>
            <w:r w:rsidRPr="00887108">
              <w:rPr>
                <w:sz w:val="18"/>
                <w:szCs w:val="18"/>
              </w:rPr>
              <w:t>2,6</w:t>
            </w:r>
          </w:p>
        </w:tc>
        <w:tc>
          <w:tcPr>
            <w:tcW w:w="632" w:type="dxa"/>
            <w:tcBorders>
              <w:top w:val="nil"/>
              <w:left w:val="nil"/>
              <w:bottom w:val="nil"/>
              <w:right w:val="nil"/>
            </w:tcBorders>
            <w:shd w:val="clear" w:color="auto" w:fill="auto"/>
            <w:vAlign w:val="center"/>
            <w:hideMark/>
          </w:tcPr>
          <w:p w14:paraId="28B212F2" w14:textId="77777777" w:rsidR="00D37A31" w:rsidRPr="00887108" w:rsidRDefault="00D37A31" w:rsidP="00E9118E">
            <w:pPr>
              <w:jc w:val="center"/>
              <w:rPr>
                <w:rFonts w:cs="Times New Roman"/>
                <w:color w:val="000000"/>
                <w:sz w:val="18"/>
                <w:szCs w:val="18"/>
              </w:rPr>
            </w:pPr>
            <w:r w:rsidRPr="00887108">
              <w:rPr>
                <w:sz w:val="18"/>
                <w:szCs w:val="18"/>
              </w:rPr>
              <w:t>2,3</w:t>
            </w:r>
          </w:p>
        </w:tc>
        <w:tc>
          <w:tcPr>
            <w:tcW w:w="630" w:type="dxa"/>
            <w:tcBorders>
              <w:top w:val="nil"/>
              <w:left w:val="nil"/>
              <w:bottom w:val="nil"/>
              <w:right w:val="nil"/>
            </w:tcBorders>
            <w:shd w:val="clear" w:color="auto" w:fill="auto"/>
            <w:vAlign w:val="center"/>
            <w:hideMark/>
          </w:tcPr>
          <w:p w14:paraId="528D8B21" w14:textId="77777777" w:rsidR="00D37A31" w:rsidRPr="00887108" w:rsidRDefault="00D37A31" w:rsidP="00E9118E">
            <w:pPr>
              <w:jc w:val="center"/>
              <w:rPr>
                <w:rFonts w:cs="Times New Roman"/>
                <w:color w:val="000000"/>
                <w:sz w:val="18"/>
                <w:szCs w:val="18"/>
              </w:rPr>
            </w:pPr>
            <w:r w:rsidRPr="00887108">
              <w:rPr>
                <w:sz w:val="18"/>
                <w:szCs w:val="18"/>
              </w:rPr>
              <w:t>1,9</w:t>
            </w:r>
          </w:p>
        </w:tc>
        <w:tc>
          <w:tcPr>
            <w:tcW w:w="789" w:type="dxa"/>
            <w:tcBorders>
              <w:top w:val="nil"/>
              <w:left w:val="nil"/>
              <w:bottom w:val="nil"/>
              <w:right w:val="nil"/>
            </w:tcBorders>
            <w:shd w:val="clear" w:color="auto" w:fill="auto"/>
            <w:vAlign w:val="center"/>
            <w:hideMark/>
          </w:tcPr>
          <w:p w14:paraId="1B1F5A31" w14:textId="77777777" w:rsidR="00D37A31" w:rsidRPr="00887108" w:rsidRDefault="00D37A31" w:rsidP="00E9118E">
            <w:pPr>
              <w:jc w:val="center"/>
              <w:rPr>
                <w:rFonts w:cs="Times New Roman"/>
                <w:color w:val="000000"/>
                <w:sz w:val="18"/>
                <w:szCs w:val="18"/>
              </w:rPr>
            </w:pPr>
            <w:r w:rsidRPr="00887108">
              <w:rPr>
                <w:sz w:val="18"/>
                <w:szCs w:val="18"/>
              </w:rPr>
              <w:t>1,8</w:t>
            </w:r>
          </w:p>
        </w:tc>
        <w:tc>
          <w:tcPr>
            <w:tcW w:w="654" w:type="dxa"/>
            <w:tcBorders>
              <w:top w:val="nil"/>
              <w:left w:val="nil"/>
              <w:bottom w:val="nil"/>
              <w:right w:val="nil"/>
            </w:tcBorders>
            <w:shd w:val="clear" w:color="auto" w:fill="auto"/>
            <w:vAlign w:val="center"/>
            <w:hideMark/>
          </w:tcPr>
          <w:p w14:paraId="1CD3BE2E" w14:textId="77777777" w:rsidR="00D37A31" w:rsidRPr="00887108" w:rsidRDefault="00D37A31" w:rsidP="00E9118E">
            <w:pPr>
              <w:jc w:val="center"/>
              <w:rPr>
                <w:rFonts w:cs="Times New Roman"/>
                <w:color w:val="000000"/>
                <w:sz w:val="18"/>
                <w:szCs w:val="18"/>
              </w:rPr>
            </w:pPr>
            <w:r w:rsidRPr="00887108">
              <w:rPr>
                <w:sz w:val="18"/>
                <w:szCs w:val="18"/>
              </w:rPr>
              <w:t>1,7</w:t>
            </w:r>
          </w:p>
        </w:tc>
      </w:tr>
      <w:tr w:rsidR="00D37A31" w:rsidRPr="00887108" w14:paraId="1E439619" w14:textId="77777777" w:rsidTr="00EA7E15">
        <w:trPr>
          <w:trHeight w:val="173"/>
          <w:jc w:val="center"/>
        </w:trPr>
        <w:tc>
          <w:tcPr>
            <w:tcW w:w="8350" w:type="dxa"/>
            <w:gridSpan w:val="6"/>
            <w:tcBorders>
              <w:top w:val="single" w:sz="4" w:space="0" w:color="auto"/>
              <w:left w:val="nil"/>
              <w:bottom w:val="single" w:sz="6" w:space="0" w:color="auto"/>
              <w:right w:val="nil"/>
            </w:tcBorders>
            <w:shd w:val="clear" w:color="auto" w:fill="auto"/>
            <w:vAlign w:val="center"/>
            <w:hideMark/>
          </w:tcPr>
          <w:p w14:paraId="11178B50"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Iné relevantné faktory</w:t>
            </w:r>
          </w:p>
        </w:tc>
        <w:tc>
          <w:tcPr>
            <w:tcW w:w="654" w:type="dxa"/>
            <w:tcBorders>
              <w:top w:val="single" w:sz="4" w:space="0" w:color="auto"/>
              <w:left w:val="nil"/>
              <w:bottom w:val="single" w:sz="6" w:space="0" w:color="auto"/>
              <w:right w:val="nil"/>
            </w:tcBorders>
            <w:shd w:val="clear" w:color="auto" w:fill="auto"/>
            <w:vAlign w:val="center"/>
            <w:hideMark/>
          </w:tcPr>
          <w:p w14:paraId="4F48286C" w14:textId="77777777" w:rsidR="00D37A31" w:rsidRPr="00887108" w:rsidRDefault="00D37A31" w:rsidP="00E9118E">
            <w:pPr>
              <w:jc w:val="center"/>
              <w:rPr>
                <w:rFonts w:cs="Times New Roman"/>
                <w:b/>
                <w:bCs/>
                <w:color w:val="000000"/>
                <w:sz w:val="18"/>
                <w:szCs w:val="18"/>
              </w:rPr>
            </w:pPr>
          </w:p>
        </w:tc>
      </w:tr>
      <w:tr w:rsidR="00D37A31" w:rsidRPr="00887108" w14:paraId="1C7D0533" w14:textId="77777777" w:rsidTr="00EA7E15">
        <w:trPr>
          <w:trHeight w:val="173"/>
          <w:jc w:val="center"/>
        </w:trPr>
        <w:tc>
          <w:tcPr>
            <w:tcW w:w="4884" w:type="dxa"/>
            <w:tcBorders>
              <w:top w:val="single" w:sz="6" w:space="0" w:color="auto"/>
              <w:left w:val="nil"/>
              <w:bottom w:val="nil"/>
              <w:right w:val="nil"/>
            </w:tcBorders>
            <w:shd w:val="clear" w:color="auto" w:fill="auto"/>
            <w:noWrap/>
            <w:vAlign w:val="center"/>
            <w:hideMark/>
          </w:tcPr>
          <w:p w14:paraId="21E1EEE9" w14:textId="77777777" w:rsidR="00D37A31" w:rsidRPr="00887108" w:rsidRDefault="00D37A31" w:rsidP="00E9118E">
            <w:pPr>
              <w:rPr>
                <w:rFonts w:cs="Times New Roman"/>
                <w:color w:val="000000"/>
                <w:sz w:val="18"/>
                <w:szCs w:val="18"/>
              </w:rPr>
            </w:pPr>
            <w:r w:rsidRPr="00887108">
              <w:rPr>
                <w:rFonts w:cs="Times New Roman"/>
                <w:color w:val="000000"/>
                <w:sz w:val="18"/>
                <w:szCs w:val="18"/>
              </w:rPr>
              <w:t>6. Likvidné finančné aktíva</w:t>
            </w:r>
          </w:p>
        </w:tc>
        <w:tc>
          <w:tcPr>
            <w:tcW w:w="484" w:type="dxa"/>
            <w:tcBorders>
              <w:top w:val="single" w:sz="6" w:space="0" w:color="auto"/>
              <w:left w:val="nil"/>
              <w:bottom w:val="nil"/>
              <w:right w:val="nil"/>
            </w:tcBorders>
            <w:shd w:val="clear" w:color="auto" w:fill="auto"/>
            <w:noWrap/>
            <w:vAlign w:val="bottom"/>
            <w:hideMark/>
          </w:tcPr>
          <w:p w14:paraId="73973277"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noWrap/>
            <w:vAlign w:val="center"/>
            <w:hideMark/>
          </w:tcPr>
          <w:p w14:paraId="0A77E68F" w14:textId="77777777" w:rsidR="00D37A31" w:rsidRPr="00887108" w:rsidRDefault="00D37A31" w:rsidP="00E9118E">
            <w:pPr>
              <w:jc w:val="center"/>
              <w:rPr>
                <w:rFonts w:cs="Times New Roman"/>
                <w:color w:val="000000"/>
                <w:sz w:val="18"/>
                <w:szCs w:val="18"/>
              </w:rPr>
            </w:pPr>
            <w:r w:rsidRPr="00887108">
              <w:rPr>
                <w:sz w:val="18"/>
                <w:szCs w:val="18"/>
              </w:rPr>
              <w:t>4,8</w:t>
            </w:r>
          </w:p>
        </w:tc>
        <w:tc>
          <w:tcPr>
            <w:tcW w:w="632" w:type="dxa"/>
            <w:tcBorders>
              <w:top w:val="nil"/>
              <w:left w:val="nil"/>
              <w:bottom w:val="nil"/>
              <w:right w:val="nil"/>
            </w:tcBorders>
            <w:shd w:val="clear" w:color="auto" w:fill="auto"/>
            <w:noWrap/>
            <w:vAlign w:val="center"/>
            <w:hideMark/>
          </w:tcPr>
          <w:p w14:paraId="34D4C202" w14:textId="77777777" w:rsidR="00D37A31" w:rsidRPr="00887108" w:rsidRDefault="00D37A31" w:rsidP="00E9118E">
            <w:pPr>
              <w:jc w:val="center"/>
              <w:rPr>
                <w:rFonts w:cs="Times New Roman"/>
                <w:color w:val="000000"/>
                <w:sz w:val="18"/>
                <w:szCs w:val="18"/>
              </w:rPr>
            </w:pPr>
            <w:r w:rsidRPr="00887108">
              <w:rPr>
                <w:sz w:val="18"/>
                <w:szCs w:val="18"/>
              </w:rPr>
              <w:t>7,2</w:t>
            </w:r>
          </w:p>
        </w:tc>
        <w:tc>
          <w:tcPr>
            <w:tcW w:w="630" w:type="dxa"/>
            <w:tcBorders>
              <w:top w:val="nil"/>
              <w:left w:val="nil"/>
              <w:bottom w:val="nil"/>
              <w:right w:val="nil"/>
            </w:tcBorders>
            <w:shd w:val="clear" w:color="auto" w:fill="auto"/>
            <w:noWrap/>
            <w:vAlign w:val="center"/>
            <w:hideMark/>
          </w:tcPr>
          <w:p w14:paraId="61239A32" w14:textId="77777777" w:rsidR="00D37A31" w:rsidRPr="00887108" w:rsidRDefault="00D37A31" w:rsidP="00E9118E">
            <w:pPr>
              <w:jc w:val="center"/>
              <w:rPr>
                <w:rFonts w:cs="Times New Roman"/>
                <w:color w:val="000000"/>
                <w:sz w:val="18"/>
                <w:szCs w:val="18"/>
              </w:rPr>
            </w:pPr>
            <w:r w:rsidRPr="00887108">
              <w:rPr>
                <w:sz w:val="18"/>
                <w:szCs w:val="18"/>
              </w:rPr>
              <w:t>5,6</w:t>
            </w:r>
          </w:p>
        </w:tc>
        <w:tc>
          <w:tcPr>
            <w:tcW w:w="789" w:type="dxa"/>
            <w:tcBorders>
              <w:top w:val="nil"/>
              <w:left w:val="nil"/>
              <w:bottom w:val="nil"/>
              <w:right w:val="nil"/>
            </w:tcBorders>
            <w:shd w:val="clear" w:color="auto" w:fill="auto"/>
            <w:noWrap/>
            <w:vAlign w:val="center"/>
            <w:hideMark/>
          </w:tcPr>
          <w:p w14:paraId="2DDF5757" w14:textId="77777777" w:rsidR="00D37A31" w:rsidRPr="00887108" w:rsidRDefault="00D37A31" w:rsidP="00E9118E">
            <w:pPr>
              <w:jc w:val="center"/>
              <w:rPr>
                <w:rFonts w:cs="Times New Roman"/>
                <w:color w:val="000000"/>
                <w:sz w:val="18"/>
                <w:szCs w:val="18"/>
              </w:rPr>
            </w:pPr>
            <w:r w:rsidRPr="00887108">
              <w:rPr>
                <w:sz w:val="18"/>
                <w:szCs w:val="18"/>
              </w:rPr>
              <w:t>4,7</w:t>
            </w:r>
          </w:p>
        </w:tc>
        <w:tc>
          <w:tcPr>
            <w:tcW w:w="654" w:type="dxa"/>
            <w:tcBorders>
              <w:top w:val="nil"/>
              <w:left w:val="nil"/>
              <w:bottom w:val="nil"/>
              <w:right w:val="nil"/>
            </w:tcBorders>
            <w:shd w:val="clear" w:color="auto" w:fill="auto"/>
            <w:noWrap/>
            <w:vAlign w:val="center"/>
            <w:hideMark/>
          </w:tcPr>
          <w:p w14:paraId="6C268303" w14:textId="77777777" w:rsidR="00D37A31" w:rsidRPr="00887108" w:rsidRDefault="00D37A31" w:rsidP="00E9118E">
            <w:pPr>
              <w:jc w:val="center"/>
              <w:rPr>
                <w:rFonts w:cs="Times New Roman"/>
                <w:color w:val="000000"/>
                <w:sz w:val="18"/>
                <w:szCs w:val="18"/>
              </w:rPr>
            </w:pPr>
            <w:r w:rsidRPr="00887108">
              <w:rPr>
                <w:sz w:val="18"/>
                <w:szCs w:val="18"/>
              </w:rPr>
              <w:t>3,8</w:t>
            </w:r>
          </w:p>
        </w:tc>
      </w:tr>
      <w:tr w:rsidR="00D37A31" w:rsidRPr="00887108" w14:paraId="47B56E8B" w14:textId="77777777" w:rsidTr="00EA7E15">
        <w:trPr>
          <w:trHeight w:val="173"/>
          <w:jc w:val="center"/>
        </w:trPr>
        <w:tc>
          <w:tcPr>
            <w:tcW w:w="4884" w:type="dxa"/>
            <w:tcBorders>
              <w:top w:val="nil"/>
              <w:left w:val="nil"/>
              <w:bottom w:val="nil"/>
              <w:right w:val="nil"/>
            </w:tcBorders>
            <w:shd w:val="clear" w:color="auto" w:fill="auto"/>
            <w:vAlign w:val="center"/>
            <w:hideMark/>
          </w:tcPr>
          <w:p w14:paraId="033D39CB" w14:textId="77777777" w:rsidR="00D37A31" w:rsidRPr="00887108" w:rsidRDefault="00D37A31" w:rsidP="00E9118E">
            <w:pPr>
              <w:rPr>
                <w:rFonts w:cs="Times New Roman"/>
                <w:color w:val="000000"/>
                <w:sz w:val="18"/>
                <w:szCs w:val="18"/>
              </w:rPr>
            </w:pPr>
            <w:r w:rsidRPr="00887108">
              <w:rPr>
                <w:rFonts w:cs="Times New Roman"/>
                <w:color w:val="000000"/>
                <w:sz w:val="18"/>
                <w:szCs w:val="18"/>
              </w:rPr>
              <w:t>7. Čistý finančný dlh (1-6)</w:t>
            </w:r>
          </w:p>
        </w:tc>
        <w:tc>
          <w:tcPr>
            <w:tcW w:w="484" w:type="dxa"/>
            <w:tcBorders>
              <w:top w:val="nil"/>
              <w:left w:val="nil"/>
              <w:bottom w:val="nil"/>
              <w:right w:val="nil"/>
            </w:tcBorders>
            <w:shd w:val="clear" w:color="auto" w:fill="auto"/>
            <w:vAlign w:val="center"/>
            <w:hideMark/>
          </w:tcPr>
          <w:p w14:paraId="5EDEC011" w14:textId="77777777" w:rsidR="00D37A31" w:rsidRPr="00887108" w:rsidRDefault="00D37A31" w:rsidP="00E9118E">
            <w:pPr>
              <w:rPr>
                <w:rFonts w:cs="Times New Roman"/>
                <w:color w:val="000000"/>
                <w:sz w:val="18"/>
                <w:szCs w:val="18"/>
              </w:rPr>
            </w:pPr>
          </w:p>
        </w:tc>
        <w:tc>
          <w:tcPr>
            <w:tcW w:w="931" w:type="dxa"/>
            <w:tcBorders>
              <w:top w:val="nil"/>
              <w:left w:val="nil"/>
              <w:bottom w:val="nil"/>
              <w:right w:val="nil"/>
            </w:tcBorders>
            <w:shd w:val="clear" w:color="auto" w:fill="auto"/>
            <w:vAlign w:val="center"/>
            <w:hideMark/>
          </w:tcPr>
          <w:p w14:paraId="227B232C" w14:textId="77777777" w:rsidR="00D37A31" w:rsidRPr="00887108" w:rsidRDefault="00D37A31" w:rsidP="00E9118E">
            <w:pPr>
              <w:jc w:val="center"/>
              <w:rPr>
                <w:rFonts w:cs="Times New Roman"/>
                <w:color w:val="000000"/>
                <w:sz w:val="18"/>
                <w:szCs w:val="18"/>
              </w:rPr>
            </w:pPr>
            <w:r w:rsidRPr="00887108">
              <w:rPr>
                <w:sz w:val="18"/>
                <w:szCs w:val="18"/>
              </w:rPr>
              <w:t>43,2</w:t>
            </w:r>
          </w:p>
        </w:tc>
        <w:tc>
          <w:tcPr>
            <w:tcW w:w="632" w:type="dxa"/>
            <w:tcBorders>
              <w:top w:val="nil"/>
              <w:left w:val="nil"/>
              <w:bottom w:val="nil"/>
              <w:right w:val="nil"/>
            </w:tcBorders>
            <w:shd w:val="clear" w:color="auto" w:fill="auto"/>
            <w:vAlign w:val="center"/>
            <w:hideMark/>
          </w:tcPr>
          <w:p w14:paraId="6901150A" w14:textId="77777777" w:rsidR="00D37A31" w:rsidRPr="00887108" w:rsidRDefault="00D37A31" w:rsidP="00E9118E">
            <w:pPr>
              <w:jc w:val="center"/>
              <w:rPr>
                <w:rFonts w:cs="Times New Roman"/>
                <w:color w:val="000000"/>
                <w:sz w:val="18"/>
                <w:szCs w:val="18"/>
              </w:rPr>
            </w:pPr>
            <w:r w:rsidRPr="00887108">
              <w:rPr>
                <w:sz w:val="18"/>
                <w:szCs w:val="18"/>
              </w:rPr>
              <w:t>54,1</w:t>
            </w:r>
          </w:p>
        </w:tc>
        <w:tc>
          <w:tcPr>
            <w:tcW w:w="630" w:type="dxa"/>
            <w:tcBorders>
              <w:top w:val="nil"/>
              <w:left w:val="nil"/>
              <w:bottom w:val="nil"/>
              <w:right w:val="nil"/>
            </w:tcBorders>
            <w:shd w:val="clear" w:color="auto" w:fill="auto"/>
            <w:vAlign w:val="center"/>
            <w:hideMark/>
          </w:tcPr>
          <w:p w14:paraId="69911A77" w14:textId="77777777" w:rsidR="00D37A31" w:rsidRPr="00887108" w:rsidRDefault="00D37A31" w:rsidP="00E9118E">
            <w:pPr>
              <w:jc w:val="center"/>
              <w:rPr>
                <w:rFonts w:cs="Times New Roman"/>
                <w:color w:val="000000"/>
                <w:sz w:val="18"/>
                <w:szCs w:val="18"/>
              </w:rPr>
            </w:pPr>
            <w:r w:rsidRPr="00887108">
              <w:rPr>
                <w:sz w:val="18"/>
                <w:szCs w:val="18"/>
              </w:rPr>
              <w:t>56,3</w:t>
            </w:r>
          </w:p>
        </w:tc>
        <w:tc>
          <w:tcPr>
            <w:tcW w:w="789" w:type="dxa"/>
            <w:tcBorders>
              <w:top w:val="nil"/>
              <w:left w:val="nil"/>
              <w:bottom w:val="nil"/>
              <w:right w:val="nil"/>
            </w:tcBorders>
            <w:shd w:val="clear" w:color="auto" w:fill="auto"/>
            <w:vAlign w:val="center"/>
            <w:hideMark/>
          </w:tcPr>
          <w:p w14:paraId="7EB12E67" w14:textId="77777777" w:rsidR="00D37A31" w:rsidRPr="00887108" w:rsidRDefault="00D37A31" w:rsidP="00E9118E">
            <w:pPr>
              <w:jc w:val="center"/>
              <w:rPr>
                <w:rFonts w:cs="Times New Roman"/>
                <w:color w:val="000000"/>
                <w:sz w:val="18"/>
                <w:szCs w:val="18"/>
              </w:rPr>
            </w:pPr>
            <w:r w:rsidRPr="00887108">
              <w:rPr>
                <w:sz w:val="18"/>
                <w:szCs w:val="18"/>
              </w:rPr>
              <w:t>56,7</w:t>
            </w:r>
          </w:p>
        </w:tc>
        <w:tc>
          <w:tcPr>
            <w:tcW w:w="654" w:type="dxa"/>
            <w:tcBorders>
              <w:top w:val="nil"/>
              <w:left w:val="nil"/>
              <w:bottom w:val="nil"/>
              <w:right w:val="nil"/>
            </w:tcBorders>
            <w:shd w:val="clear" w:color="auto" w:fill="auto"/>
            <w:vAlign w:val="center"/>
            <w:hideMark/>
          </w:tcPr>
          <w:p w14:paraId="6E4E2A30" w14:textId="77777777" w:rsidR="00D37A31" w:rsidRPr="00887108" w:rsidRDefault="00D37A31" w:rsidP="00E9118E">
            <w:pPr>
              <w:jc w:val="center"/>
              <w:rPr>
                <w:rFonts w:cs="Times New Roman"/>
                <w:color w:val="000000"/>
                <w:sz w:val="18"/>
                <w:szCs w:val="18"/>
              </w:rPr>
            </w:pPr>
            <w:r w:rsidRPr="00887108">
              <w:rPr>
                <w:sz w:val="18"/>
                <w:szCs w:val="18"/>
              </w:rPr>
              <w:t>56,4</w:t>
            </w:r>
          </w:p>
        </w:tc>
      </w:tr>
      <w:tr w:rsidR="00D37A31" w:rsidRPr="00887108" w14:paraId="5B6D173E" w14:textId="77777777" w:rsidTr="00EA7E15">
        <w:trPr>
          <w:trHeight w:val="173"/>
          <w:jc w:val="center"/>
        </w:trPr>
        <w:tc>
          <w:tcPr>
            <w:tcW w:w="5368" w:type="dxa"/>
            <w:gridSpan w:val="2"/>
            <w:tcBorders>
              <w:top w:val="nil"/>
              <w:left w:val="nil"/>
              <w:bottom w:val="nil"/>
              <w:right w:val="nil"/>
            </w:tcBorders>
            <w:shd w:val="clear" w:color="auto" w:fill="auto"/>
            <w:vAlign w:val="center"/>
            <w:hideMark/>
          </w:tcPr>
          <w:p w14:paraId="165EB51F" w14:textId="77777777" w:rsidR="00D37A31" w:rsidRPr="00887108" w:rsidRDefault="00D37A31" w:rsidP="00E9118E">
            <w:pPr>
              <w:rPr>
                <w:rFonts w:cs="Times New Roman"/>
                <w:color w:val="000000"/>
                <w:sz w:val="18"/>
                <w:szCs w:val="18"/>
              </w:rPr>
            </w:pPr>
            <w:r w:rsidRPr="00887108">
              <w:rPr>
                <w:rFonts w:cs="Times New Roman"/>
                <w:color w:val="000000"/>
                <w:sz w:val="18"/>
                <w:szCs w:val="18"/>
              </w:rPr>
              <w:t>8. Splátky dlhu (existujúce dlhopisy) od konca predchádzajúceho roka</w:t>
            </w:r>
          </w:p>
        </w:tc>
        <w:tc>
          <w:tcPr>
            <w:tcW w:w="931" w:type="dxa"/>
            <w:tcBorders>
              <w:top w:val="nil"/>
              <w:left w:val="nil"/>
              <w:bottom w:val="nil"/>
              <w:right w:val="nil"/>
            </w:tcBorders>
            <w:shd w:val="clear" w:color="auto" w:fill="auto"/>
            <w:vAlign w:val="center"/>
          </w:tcPr>
          <w:p w14:paraId="4A572BF2"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32" w:type="dxa"/>
            <w:tcBorders>
              <w:top w:val="nil"/>
              <w:left w:val="nil"/>
              <w:bottom w:val="nil"/>
              <w:right w:val="nil"/>
            </w:tcBorders>
            <w:shd w:val="clear" w:color="auto" w:fill="auto"/>
            <w:vAlign w:val="center"/>
          </w:tcPr>
          <w:p w14:paraId="0D3DB9E9"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30" w:type="dxa"/>
            <w:tcBorders>
              <w:top w:val="nil"/>
              <w:left w:val="nil"/>
              <w:bottom w:val="nil"/>
              <w:right w:val="nil"/>
            </w:tcBorders>
            <w:shd w:val="clear" w:color="auto" w:fill="auto"/>
            <w:vAlign w:val="center"/>
          </w:tcPr>
          <w:p w14:paraId="1411CEB4"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789" w:type="dxa"/>
            <w:tcBorders>
              <w:top w:val="nil"/>
              <w:left w:val="nil"/>
              <w:bottom w:val="nil"/>
              <w:right w:val="nil"/>
            </w:tcBorders>
            <w:shd w:val="clear" w:color="auto" w:fill="auto"/>
            <w:vAlign w:val="center"/>
          </w:tcPr>
          <w:p w14:paraId="0A338591"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54" w:type="dxa"/>
            <w:tcBorders>
              <w:top w:val="nil"/>
              <w:left w:val="nil"/>
              <w:bottom w:val="nil"/>
              <w:right w:val="nil"/>
            </w:tcBorders>
            <w:shd w:val="clear" w:color="auto" w:fill="auto"/>
            <w:vAlign w:val="center"/>
          </w:tcPr>
          <w:p w14:paraId="7597CBA9" w14:textId="77777777" w:rsidR="00D37A31" w:rsidRPr="00887108" w:rsidRDefault="00D37A31" w:rsidP="00E9118E">
            <w:pPr>
              <w:jc w:val="center"/>
              <w:rPr>
                <w:rFonts w:cs="Times New Roman"/>
                <w:color w:val="000000"/>
                <w:sz w:val="18"/>
                <w:szCs w:val="18"/>
              </w:rPr>
            </w:pPr>
            <w:r w:rsidRPr="00887108">
              <w:rPr>
                <w:sz w:val="18"/>
                <w:szCs w:val="18"/>
              </w:rPr>
              <w:t>n.a</w:t>
            </w:r>
          </w:p>
        </w:tc>
      </w:tr>
      <w:tr w:rsidR="00D37A31" w:rsidRPr="00887108" w14:paraId="6D84BA97" w14:textId="77777777" w:rsidTr="00EA7E15">
        <w:trPr>
          <w:trHeight w:val="173"/>
          <w:jc w:val="center"/>
        </w:trPr>
        <w:tc>
          <w:tcPr>
            <w:tcW w:w="5368" w:type="dxa"/>
            <w:gridSpan w:val="2"/>
            <w:tcBorders>
              <w:top w:val="nil"/>
              <w:left w:val="nil"/>
              <w:right w:val="nil"/>
            </w:tcBorders>
            <w:shd w:val="clear" w:color="auto" w:fill="auto"/>
            <w:vAlign w:val="center"/>
            <w:hideMark/>
          </w:tcPr>
          <w:p w14:paraId="03218151" w14:textId="77777777" w:rsidR="00D37A31" w:rsidRPr="00887108" w:rsidRDefault="00D37A31" w:rsidP="00E9118E">
            <w:pPr>
              <w:rPr>
                <w:rFonts w:cs="Times New Roman"/>
                <w:color w:val="000000"/>
                <w:sz w:val="18"/>
                <w:szCs w:val="18"/>
              </w:rPr>
            </w:pPr>
            <w:r w:rsidRPr="00887108">
              <w:rPr>
                <w:rFonts w:cs="Times New Roman"/>
                <w:color w:val="000000"/>
                <w:sz w:val="18"/>
                <w:szCs w:val="18"/>
              </w:rPr>
              <w:t>9. Podiel dlhu denominovaného v zahraničnej mene **</w:t>
            </w:r>
          </w:p>
        </w:tc>
        <w:tc>
          <w:tcPr>
            <w:tcW w:w="931" w:type="dxa"/>
            <w:tcBorders>
              <w:top w:val="nil"/>
              <w:left w:val="nil"/>
              <w:right w:val="nil"/>
            </w:tcBorders>
            <w:shd w:val="clear" w:color="auto" w:fill="auto"/>
            <w:vAlign w:val="center"/>
          </w:tcPr>
          <w:p w14:paraId="376AA118"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32" w:type="dxa"/>
            <w:tcBorders>
              <w:top w:val="nil"/>
              <w:left w:val="nil"/>
              <w:bottom w:val="nil"/>
              <w:right w:val="nil"/>
            </w:tcBorders>
            <w:shd w:val="clear" w:color="auto" w:fill="auto"/>
            <w:vAlign w:val="center"/>
          </w:tcPr>
          <w:p w14:paraId="10B2F70E"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30" w:type="dxa"/>
            <w:tcBorders>
              <w:top w:val="nil"/>
              <w:left w:val="nil"/>
              <w:bottom w:val="nil"/>
              <w:right w:val="nil"/>
            </w:tcBorders>
            <w:shd w:val="clear" w:color="auto" w:fill="auto"/>
            <w:vAlign w:val="center"/>
          </w:tcPr>
          <w:p w14:paraId="3CBC9CB1"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789" w:type="dxa"/>
            <w:tcBorders>
              <w:top w:val="nil"/>
              <w:left w:val="nil"/>
              <w:bottom w:val="nil"/>
              <w:right w:val="nil"/>
            </w:tcBorders>
            <w:shd w:val="clear" w:color="auto" w:fill="auto"/>
            <w:vAlign w:val="center"/>
          </w:tcPr>
          <w:p w14:paraId="2AD40C84"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54" w:type="dxa"/>
            <w:tcBorders>
              <w:top w:val="nil"/>
              <w:left w:val="nil"/>
              <w:bottom w:val="nil"/>
              <w:right w:val="nil"/>
            </w:tcBorders>
            <w:shd w:val="clear" w:color="auto" w:fill="auto"/>
            <w:vAlign w:val="center"/>
          </w:tcPr>
          <w:p w14:paraId="23F0F21B" w14:textId="77777777" w:rsidR="00D37A31" w:rsidRPr="00887108" w:rsidRDefault="00D37A31" w:rsidP="00E9118E">
            <w:pPr>
              <w:jc w:val="center"/>
              <w:rPr>
                <w:rFonts w:cs="Times New Roman"/>
                <w:color w:val="000000"/>
                <w:sz w:val="18"/>
                <w:szCs w:val="18"/>
              </w:rPr>
            </w:pPr>
            <w:r w:rsidRPr="00887108">
              <w:rPr>
                <w:sz w:val="18"/>
                <w:szCs w:val="18"/>
              </w:rPr>
              <w:t>n.a</w:t>
            </w:r>
          </w:p>
        </w:tc>
      </w:tr>
      <w:tr w:rsidR="00D37A31" w:rsidRPr="00887108" w14:paraId="4224C292" w14:textId="77777777" w:rsidTr="00EA7E15">
        <w:trPr>
          <w:trHeight w:val="173"/>
          <w:jc w:val="center"/>
        </w:trPr>
        <w:tc>
          <w:tcPr>
            <w:tcW w:w="4884" w:type="dxa"/>
            <w:tcBorders>
              <w:top w:val="nil"/>
              <w:left w:val="nil"/>
              <w:bottom w:val="single" w:sz="8" w:space="0" w:color="auto"/>
              <w:right w:val="nil"/>
            </w:tcBorders>
            <w:shd w:val="clear" w:color="auto" w:fill="auto"/>
            <w:vAlign w:val="center"/>
            <w:hideMark/>
          </w:tcPr>
          <w:p w14:paraId="17F72952" w14:textId="77777777" w:rsidR="00D37A31" w:rsidRPr="00887108" w:rsidRDefault="00D37A31" w:rsidP="00E9118E">
            <w:pPr>
              <w:rPr>
                <w:rFonts w:cs="Times New Roman"/>
                <w:color w:val="000000"/>
                <w:sz w:val="18"/>
                <w:szCs w:val="18"/>
              </w:rPr>
            </w:pPr>
            <w:r w:rsidRPr="00887108">
              <w:rPr>
                <w:rFonts w:cs="Times New Roman"/>
                <w:color w:val="000000"/>
                <w:sz w:val="18"/>
                <w:szCs w:val="18"/>
              </w:rPr>
              <w:t>10. Priemerná splatnosť ***</w:t>
            </w:r>
          </w:p>
        </w:tc>
        <w:tc>
          <w:tcPr>
            <w:tcW w:w="484" w:type="dxa"/>
            <w:tcBorders>
              <w:top w:val="nil"/>
              <w:left w:val="nil"/>
              <w:bottom w:val="single" w:sz="8" w:space="0" w:color="auto"/>
              <w:right w:val="nil"/>
            </w:tcBorders>
            <w:shd w:val="clear" w:color="auto" w:fill="auto"/>
          </w:tcPr>
          <w:p w14:paraId="7FF8E901" w14:textId="77777777" w:rsidR="00D37A31" w:rsidRPr="00887108" w:rsidRDefault="00D37A31" w:rsidP="00E9118E">
            <w:pPr>
              <w:rPr>
                <w:rFonts w:cs="Times New Roman"/>
                <w:color w:val="000000"/>
                <w:sz w:val="18"/>
                <w:szCs w:val="18"/>
              </w:rPr>
            </w:pPr>
          </w:p>
        </w:tc>
        <w:tc>
          <w:tcPr>
            <w:tcW w:w="931" w:type="dxa"/>
            <w:tcBorders>
              <w:top w:val="nil"/>
              <w:left w:val="nil"/>
              <w:bottom w:val="single" w:sz="4" w:space="0" w:color="auto"/>
              <w:right w:val="nil"/>
            </w:tcBorders>
            <w:shd w:val="clear" w:color="auto" w:fill="auto"/>
            <w:vAlign w:val="center"/>
          </w:tcPr>
          <w:p w14:paraId="0B0FD0BD"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32" w:type="dxa"/>
            <w:tcBorders>
              <w:top w:val="nil"/>
              <w:left w:val="nil"/>
              <w:bottom w:val="single" w:sz="4" w:space="0" w:color="auto"/>
              <w:right w:val="nil"/>
            </w:tcBorders>
            <w:shd w:val="clear" w:color="auto" w:fill="auto"/>
            <w:vAlign w:val="center"/>
          </w:tcPr>
          <w:p w14:paraId="78C7A26C"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30" w:type="dxa"/>
            <w:tcBorders>
              <w:top w:val="nil"/>
              <w:left w:val="nil"/>
              <w:bottom w:val="single" w:sz="4" w:space="0" w:color="auto"/>
              <w:right w:val="nil"/>
            </w:tcBorders>
            <w:shd w:val="clear" w:color="auto" w:fill="auto"/>
            <w:vAlign w:val="center"/>
          </w:tcPr>
          <w:p w14:paraId="1DAEF92E"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789" w:type="dxa"/>
            <w:tcBorders>
              <w:top w:val="nil"/>
              <w:left w:val="nil"/>
              <w:bottom w:val="single" w:sz="4" w:space="0" w:color="auto"/>
              <w:right w:val="nil"/>
            </w:tcBorders>
            <w:shd w:val="clear" w:color="auto" w:fill="auto"/>
            <w:vAlign w:val="center"/>
          </w:tcPr>
          <w:p w14:paraId="5C9A1B92" w14:textId="77777777" w:rsidR="00D37A31" w:rsidRPr="00887108" w:rsidRDefault="00D37A31" w:rsidP="00E9118E">
            <w:pPr>
              <w:jc w:val="center"/>
              <w:rPr>
                <w:rFonts w:cs="Times New Roman"/>
                <w:color w:val="000000"/>
                <w:sz w:val="18"/>
                <w:szCs w:val="18"/>
              </w:rPr>
            </w:pPr>
            <w:r w:rsidRPr="00887108">
              <w:rPr>
                <w:sz w:val="18"/>
                <w:szCs w:val="18"/>
              </w:rPr>
              <w:t>n.a</w:t>
            </w:r>
          </w:p>
        </w:tc>
        <w:tc>
          <w:tcPr>
            <w:tcW w:w="654" w:type="dxa"/>
            <w:tcBorders>
              <w:top w:val="nil"/>
              <w:left w:val="nil"/>
              <w:bottom w:val="single" w:sz="4" w:space="0" w:color="auto"/>
              <w:right w:val="nil"/>
            </w:tcBorders>
            <w:shd w:val="clear" w:color="auto" w:fill="auto"/>
            <w:vAlign w:val="center"/>
          </w:tcPr>
          <w:p w14:paraId="1F20A348" w14:textId="77777777" w:rsidR="00D37A31" w:rsidRPr="00887108" w:rsidRDefault="00D37A31" w:rsidP="00E9118E">
            <w:pPr>
              <w:jc w:val="center"/>
              <w:rPr>
                <w:rFonts w:cs="Times New Roman"/>
                <w:color w:val="000000"/>
                <w:sz w:val="18"/>
                <w:szCs w:val="18"/>
              </w:rPr>
            </w:pPr>
            <w:r w:rsidRPr="00887108">
              <w:rPr>
                <w:sz w:val="18"/>
                <w:szCs w:val="18"/>
              </w:rPr>
              <w:t>n.a</w:t>
            </w:r>
          </w:p>
        </w:tc>
      </w:tr>
      <w:tr w:rsidR="00D37A31" w:rsidRPr="00887108" w14:paraId="6C08E9BB" w14:textId="77777777" w:rsidTr="00EA7E15">
        <w:trPr>
          <w:gridAfter w:val="1"/>
          <w:wAfter w:w="654" w:type="dxa"/>
          <w:trHeight w:val="139"/>
          <w:jc w:val="center"/>
        </w:trPr>
        <w:tc>
          <w:tcPr>
            <w:tcW w:w="8350" w:type="dxa"/>
            <w:gridSpan w:val="6"/>
            <w:tcBorders>
              <w:top w:val="nil"/>
              <w:left w:val="nil"/>
              <w:right w:val="nil"/>
            </w:tcBorders>
            <w:shd w:val="clear" w:color="auto" w:fill="auto"/>
            <w:vAlign w:val="center"/>
          </w:tcPr>
          <w:p w14:paraId="17492479" w14:textId="302BB090" w:rsidR="00D37A31" w:rsidRPr="00887108" w:rsidRDefault="00343B57" w:rsidP="00E9118E">
            <w:pPr>
              <w:rPr>
                <w:rFonts w:cs="Times New Roman"/>
                <w:i/>
                <w:color w:val="000000"/>
                <w:sz w:val="18"/>
                <w:szCs w:val="18"/>
              </w:rPr>
            </w:pPr>
            <w:r w:rsidRPr="00887108">
              <w:rPr>
                <w:rFonts w:cs="Times New Roman"/>
                <w:i/>
                <w:color w:val="000000"/>
                <w:sz w:val="16"/>
                <w:szCs w:val="16"/>
              </w:rPr>
              <w:t xml:space="preserve">* Primárne saldo za rok 2020 </w:t>
            </w:r>
            <w:r w:rsidR="00D37A31" w:rsidRPr="00887108">
              <w:rPr>
                <w:rFonts w:cs="Times New Roman"/>
                <w:i/>
                <w:color w:val="000000"/>
                <w:sz w:val="16"/>
                <w:szCs w:val="16"/>
              </w:rPr>
              <w:t>vychádza z očakávanej skutočnosti na rok 2020</w:t>
            </w:r>
          </w:p>
        </w:tc>
      </w:tr>
    </w:tbl>
    <w:p w14:paraId="58EC0F85" w14:textId="4AB51CB0" w:rsidR="00442EEC" w:rsidRPr="00887108" w:rsidRDefault="00442EEC" w:rsidP="00C8250F">
      <w:pPr>
        <w:rPr>
          <w:rFonts w:cs="Arial"/>
          <w:b/>
          <w:bCs/>
          <w:color w:val="2C9ADC" w:themeColor="accent1"/>
          <w:sz w:val="24"/>
          <w:szCs w:val="24"/>
        </w:rPr>
      </w:pPr>
    </w:p>
    <w:p w14:paraId="211A75F7" w14:textId="77777777" w:rsidR="00442EEC" w:rsidRPr="00887108" w:rsidRDefault="00442EEC">
      <w:pPr>
        <w:rPr>
          <w:rFonts w:cs="Arial"/>
          <w:b/>
          <w:bCs/>
          <w:color w:val="2C9ADC" w:themeColor="accent1"/>
          <w:sz w:val="24"/>
          <w:szCs w:val="24"/>
        </w:rPr>
      </w:pPr>
      <w:r w:rsidRPr="00887108">
        <w:rPr>
          <w:rFonts w:cs="Arial"/>
          <w:b/>
          <w:bCs/>
          <w:color w:val="2C9ADC" w:themeColor="accent1"/>
          <w:sz w:val="24"/>
          <w:szCs w:val="24"/>
        </w:rPr>
        <w:br w:type="page"/>
      </w:r>
    </w:p>
    <w:p w14:paraId="3EE42556" w14:textId="1721565D" w:rsidR="00A918CA" w:rsidRPr="00887108" w:rsidRDefault="00A918CA" w:rsidP="00A918CA">
      <w:pPr>
        <w:pStyle w:val="Nadpis3"/>
        <w:spacing w:before="120" w:after="120"/>
        <w:rPr>
          <w:color w:val="2C9ADC" w:themeColor="accent1"/>
          <w:sz w:val="24"/>
          <w:szCs w:val="24"/>
        </w:rPr>
      </w:pPr>
      <w:r w:rsidRPr="00887108">
        <w:rPr>
          <w:color w:val="2C9ADC" w:themeColor="accent1"/>
          <w:sz w:val="24"/>
          <w:szCs w:val="24"/>
        </w:rPr>
        <w:t xml:space="preserve">Príloha 2 - Diskrečné opatrenia prijaté / oznámené v reakcii na vypuknutie nákazy COVID-19 </w:t>
      </w:r>
    </w:p>
    <w:tbl>
      <w:tblPr>
        <w:tblW w:w="0" w:type="auto"/>
        <w:tblLayout w:type="fixed"/>
        <w:tblCellMar>
          <w:left w:w="70" w:type="dxa"/>
          <w:right w:w="70" w:type="dxa"/>
        </w:tblCellMar>
        <w:tblLook w:val="04A0" w:firstRow="1" w:lastRow="0" w:firstColumn="1" w:lastColumn="0" w:noHBand="0" w:noVBand="1"/>
      </w:tblPr>
      <w:tblGrid>
        <w:gridCol w:w="1840"/>
        <w:gridCol w:w="2361"/>
        <w:gridCol w:w="902"/>
        <w:gridCol w:w="851"/>
        <w:gridCol w:w="709"/>
        <w:gridCol w:w="601"/>
        <w:gridCol w:w="602"/>
        <w:gridCol w:w="602"/>
        <w:gridCol w:w="602"/>
      </w:tblGrid>
      <w:tr w:rsidR="00A918CA" w:rsidRPr="00887108" w14:paraId="10C73E02" w14:textId="77777777" w:rsidTr="00EA7E15">
        <w:trPr>
          <w:trHeight w:val="179"/>
        </w:trPr>
        <w:tc>
          <w:tcPr>
            <w:tcW w:w="1840" w:type="dxa"/>
            <w:tcBorders>
              <w:top w:val="nil"/>
              <w:left w:val="nil"/>
              <w:right w:val="nil"/>
            </w:tcBorders>
            <w:shd w:val="clear" w:color="auto" w:fill="auto"/>
            <w:vAlign w:val="bottom"/>
            <w:hideMark/>
          </w:tcPr>
          <w:p w14:paraId="61D34988" w14:textId="77777777" w:rsidR="00A918CA" w:rsidRPr="00887108" w:rsidRDefault="00A918CA" w:rsidP="00A918CA">
            <w:pPr>
              <w:rPr>
                <w:rFonts w:cs="Times New Roman"/>
                <w:b/>
                <w:bCs/>
                <w:color w:val="000000"/>
                <w:sz w:val="15"/>
                <w:szCs w:val="15"/>
              </w:rPr>
            </w:pPr>
            <w:r w:rsidRPr="00887108">
              <w:rPr>
                <w:rFonts w:cs="Times New Roman"/>
                <w:b/>
                <w:bCs/>
                <w:color w:val="000000"/>
                <w:sz w:val="15"/>
                <w:szCs w:val="15"/>
              </w:rPr>
              <w:t>Opatrenie</w:t>
            </w:r>
          </w:p>
        </w:tc>
        <w:tc>
          <w:tcPr>
            <w:tcW w:w="2361" w:type="dxa"/>
            <w:tcBorders>
              <w:top w:val="nil"/>
              <w:left w:val="nil"/>
              <w:right w:val="nil"/>
            </w:tcBorders>
            <w:shd w:val="clear" w:color="auto" w:fill="auto"/>
            <w:vAlign w:val="bottom"/>
            <w:hideMark/>
          </w:tcPr>
          <w:p w14:paraId="01B8C8DE" w14:textId="77777777" w:rsidR="00A918CA" w:rsidRPr="00887108" w:rsidRDefault="00A918CA" w:rsidP="00A918CA">
            <w:pPr>
              <w:rPr>
                <w:rFonts w:cs="Times New Roman"/>
                <w:b/>
                <w:bCs/>
                <w:color w:val="000000"/>
                <w:sz w:val="15"/>
                <w:szCs w:val="15"/>
              </w:rPr>
            </w:pPr>
            <w:r w:rsidRPr="00887108">
              <w:rPr>
                <w:rFonts w:cs="Times New Roman"/>
                <w:b/>
                <w:bCs/>
                <w:color w:val="000000"/>
                <w:sz w:val="15"/>
                <w:szCs w:val="15"/>
              </w:rPr>
              <w:t>Popis</w:t>
            </w:r>
          </w:p>
        </w:tc>
        <w:tc>
          <w:tcPr>
            <w:tcW w:w="902" w:type="dxa"/>
            <w:tcBorders>
              <w:top w:val="nil"/>
              <w:left w:val="nil"/>
              <w:right w:val="nil"/>
            </w:tcBorders>
            <w:shd w:val="clear" w:color="auto" w:fill="auto"/>
            <w:vAlign w:val="bottom"/>
            <w:hideMark/>
          </w:tcPr>
          <w:p w14:paraId="28FE93B0" w14:textId="77777777" w:rsidR="00A918CA" w:rsidRPr="00887108" w:rsidRDefault="00A918CA" w:rsidP="00A918CA">
            <w:pPr>
              <w:jc w:val="center"/>
              <w:rPr>
                <w:rFonts w:cs="Times New Roman"/>
                <w:b/>
                <w:bCs/>
                <w:color w:val="000000"/>
                <w:sz w:val="15"/>
                <w:szCs w:val="15"/>
              </w:rPr>
            </w:pPr>
            <w:r w:rsidRPr="00887108">
              <w:rPr>
                <w:rFonts w:cs="Times New Roman"/>
                <w:b/>
                <w:bCs/>
                <w:color w:val="000000"/>
                <w:sz w:val="15"/>
                <w:szCs w:val="15"/>
              </w:rPr>
              <w:t>ESA kód</w:t>
            </w:r>
          </w:p>
        </w:tc>
        <w:tc>
          <w:tcPr>
            <w:tcW w:w="851" w:type="dxa"/>
            <w:tcBorders>
              <w:top w:val="nil"/>
              <w:left w:val="nil"/>
              <w:right w:val="nil"/>
            </w:tcBorders>
            <w:shd w:val="clear" w:color="auto" w:fill="auto"/>
            <w:vAlign w:val="bottom"/>
            <w:hideMark/>
          </w:tcPr>
          <w:p w14:paraId="497492C4" w14:textId="77777777" w:rsidR="00A918CA" w:rsidRPr="00887108" w:rsidRDefault="00A918CA" w:rsidP="00A918CA">
            <w:pPr>
              <w:jc w:val="center"/>
              <w:rPr>
                <w:rFonts w:cs="Times New Roman"/>
                <w:b/>
                <w:bCs/>
                <w:color w:val="000000"/>
                <w:sz w:val="15"/>
                <w:szCs w:val="15"/>
              </w:rPr>
            </w:pPr>
            <w:r w:rsidRPr="00887108">
              <w:rPr>
                <w:rFonts w:cs="Times New Roman"/>
                <w:b/>
                <w:bCs/>
                <w:color w:val="000000"/>
                <w:sz w:val="15"/>
                <w:szCs w:val="15"/>
              </w:rPr>
              <w:t>Schválenie</w:t>
            </w:r>
          </w:p>
        </w:tc>
        <w:tc>
          <w:tcPr>
            <w:tcW w:w="709" w:type="dxa"/>
            <w:tcBorders>
              <w:top w:val="nil"/>
              <w:left w:val="nil"/>
              <w:right w:val="nil"/>
            </w:tcBorders>
            <w:shd w:val="clear" w:color="auto" w:fill="auto"/>
            <w:vAlign w:val="bottom"/>
            <w:hideMark/>
          </w:tcPr>
          <w:p w14:paraId="182F5328" w14:textId="77777777" w:rsidR="00A918CA" w:rsidRPr="00887108" w:rsidRDefault="00A918CA" w:rsidP="00A918CA">
            <w:pPr>
              <w:jc w:val="center"/>
              <w:rPr>
                <w:rFonts w:cs="Times New Roman"/>
                <w:b/>
                <w:bCs/>
                <w:color w:val="000000"/>
                <w:sz w:val="15"/>
                <w:szCs w:val="15"/>
              </w:rPr>
            </w:pPr>
            <w:r w:rsidRPr="00887108">
              <w:rPr>
                <w:rFonts w:cs="Times New Roman"/>
                <w:b/>
                <w:bCs/>
                <w:color w:val="000000"/>
                <w:sz w:val="15"/>
                <w:szCs w:val="15"/>
              </w:rPr>
              <w:t>Účtovný princíp</w:t>
            </w:r>
          </w:p>
        </w:tc>
        <w:tc>
          <w:tcPr>
            <w:tcW w:w="2407" w:type="dxa"/>
            <w:gridSpan w:val="4"/>
            <w:tcBorders>
              <w:top w:val="nil"/>
              <w:left w:val="nil"/>
              <w:right w:val="nil"/>
            </w:tcBorders>
            <w:shd w:val="clear" w:color="auto" w:fill="auto"/>
            <w:vAlign w:val="bottom"/>
            <w:hideMark/>
          </w:tcPr>
          <w:p w14:paraId="6A95D2DC" w14:textId="77777777" w:rsidR="00A918CA" w:rsidRPr="00887108" w:rsidRDefault="00A918CA" w:rsidP="00A918CA">
            <w:pPr>
              <w:jc w:val="center"/>
              <w:rPr>
                <w:rFonts w:cs="Times New Roman"/>
                <w:b/>
                <w:bCs/>
                <w:color w:val="000000"/>
                <w:sz w:val="15"/>
                <w:szCs w:val="15"/>
              </w:rPr>
            </w:pPr>
            <w:r w:rsidRPr="00887108">
              <w:rPr>
                <w:rFonts w:cs="Times New Roman"/>
                <w:b/>
                <w:bCs/>
                <w:color w:val="000000"/>
                <w:sz w:val="15"/>
                <w:szCs w:val="15"/>
              </w:rPr>
              <w:t>Rozpočtový vplyv (zmena oproti predošlému roku)</w:t>
            </w:r>
          </w:p>
        </w:tc>
      </w:tr>
      <w:tr w:rsidR="007D5DC4" w:rsidRPr="00887108" w14:paraId="1919AAA0" w14:textId="77777777" w:rsidTr="00EA7E15">
        <w:trPr>
          <w:trHeight w:val="173"/>
        </w:trPr>
        <w:tc>
          <w:tcPr>
            <w:tcW w:w="1840" w:type="dxa"/>
            <w:tcBorders>
              <w:top w:val="nil"/>
              <w:left w:val="nil"/>
              <w:bottom w:val="single" w:sz="4" w:space="0" w:color="auto"/>
              <w:right w:val="nil"/>
            </w:tcBorders>
            <w:shd w:val="clear" w:color="auto" w:fill="auto"/>
            <w:vAlign w:val="bottom"/>
            <w:hideMark/>
          </w:tcPr>
          <w:p w14:paraId="46A27E69" w14:textId="77777777" w:rsidR="00A918CA" w:rsidRPr="00887108" w:rsidRDefault="00A918CA" w:rsidP="00A918CA">
            <w:pPr>
              <w:jc w:val="center"/>
              <w:rPr>
                <w:rFonts w:cs="Times New Roman"/>
                <w:b/>
                <w:bCs/>
                <w:color w:val="000000"/>
                <w:sz w:val="15"/>
                <w:szCs w:val="15"/>
              </w:rPr>
            </w:pPr>
          </w:p>
        </w:tc>
        <w:tc>
          <w:tcPr>
            <w:tcW w:w="2361" w:type="dxa"/>
            <w:tcBorders>
              <w:top w:val="nil"/>
              <w:left w:val="nil"/>
              <w:bottom w:val="single" w:sz="4" w:space="0" w:color="auto"/>
              <w:right w:val="nil"/>
            </w:tcBorders>
            <w:shd w:val="clear" w:color="auto" w:fill="auto"/>
            <w:vAlign w:val="bottom"/>
            <w:hideMark/>
          </w:tcPr>
          <w:p w14:paraId="62D85803" w14:textId="77777777" w:rsidR="00A918CA" w:rsidRPr="00887108" w:rsidRDefault="00A918CA" w:rsidP="00A918CA">
            <w:pPr>
              <w:rPr>
                <w:rFonts w:cs="Times New Roman"/>
                <w:sz w:val="15"/>
                <w:szCs w:val="15"/>
              </w:rPr>
            </w:pPr>
          </w:p>
        </w:tc>
        <w:tc>
          <w:tcPr>
            <w:tcW w:w="902" w:type="dxa"/>
            <w:tcBorders>
              <w:top w:val="nil"/>
              <w:left w:val="nil"/>
              <w:bottom w:val="single" w:sz="4" w:space="0" w:color="auto"/>
              <w:right w:val="nil"/>
            </w:tcBorders>
            <w:shd w:val="clear" w:color="auto" w:fill="auto"/>
            <w:vAlign w:val="bottom"/>
            <w:hideMark/>
          </w:tcPr>
          <w:p w14:paraId="20B54B13" w14:textId="77777777" w:rsidR="00A918CA" w:rsidRPr="00887108" w:rsidRDefault="00A918CA" w:rsidP="00A918CA">
            <w:pPr>
              <w:jc w:val="center"/>
              <w:rPr>
                <w:rFonts w:cs="Times New Roman"/>
                <w:sz w:val="15"/>
                <w:szCs w:val="15"/>
              </w:rPr>
            </w:pPr>
          </w:p>
        </w:tc>
        <w:tc>
          <w:tcPr>
            <w:tcW w:w="851" w:type="dxa"/>
            <w:tcBorders>
              <w:top w:val="nil"/>
              <w:left w:val="nil"/>
              <w:bottom w:val="single" w:sz="4" w:space="0" w:color="auto"/>
              <w:right w:val="nil"/>
            </w:tcBorders>
            <w:shd w:val="clear" w:color="auto" w:fill="auto"/>
            <w:vAlign w:val="bottom"/>
            <w:hideMark/>
          </w:tcPr>
          <w:p w14:paraId="660DE587" w14:textId="77777777" w:rsidR="00A918CA" w:rsidRPr="00887108" w:rsidRDefault="00A918CA" w:rsidP="00A918CA">
            <w:pPr>
              <w:jc w:val="center"/>
              <w:rPr>
                <w:rFonts w:cs="Times New Roman"/>
                <w:sz w:val="15"/>
                <w:szCs w:val="15"/>
              </w:rPr>
            </w:pPr>
          </w:p>
        </w:tc>
        <w:tc>
          <w:tcPr>
            <w:tcW w:w="709" w:type="dxa"/>
            <w:tcBorders>
              <w:top w:val="nil"/>
              <w:left w:val="nil"/>
              <w:bottom w:val="single" w:sz="4" w:space="0" w:color="auto"/>
              <w:right w:val="nil"/>
            </w:tcBorders>
            <w:shd w:val="clear" w:color="auto" w:fill="auto"/>
            <w:vAlign w:val="bottom"/>
            <w:hideMark/>
          </w:tcPr>
          <w:p w14:paraId="3E2B4CC7" w14:textId="77777777" w:rsidR="00A918CA" w:rsidRPr="00887108" w:rsidRDefault="00A918CA" w:rsidP="00A918CA">
            <w:pPr>
              <w:jc w:val="center"/>
              <w:rPr>
                <w:rFonts w:cs="Times New Roman"/>
                <w:sz w:val="15"/>
                <w:szCs w:val="15"/>
              </w:rPr>
            </w:pPr>
          </w:p>
        </w:tc>
        <w:tc>
          <w:tcPr>
            <w:tcW w:w="601" w:type="dxa"/>
            <w:tcBorders>
              <w:top w:val="nil"/>
              <w:left w:val="nil"/>
              <w:bottom w:val="single" w:sz="4" w:space="0" w:color="auto"/>
              <w:right w:val="nil"/>
            </w:tcBorders>
            <w:shd w:val="clear" w:color="auto" w:fill="auto"/>
            <w:vAlign w:val="bottom"/>
            <w:hideMark/>
          </w:tcPr>
          <w:p w14:paraId="1E2D34E1" w14:textId="77777777" w:rsidR="00A918CA" w:rsidRPr="00887108" w:rsidRDefault="00A918CA" w:rsidP="00A918CA">
            <w:pPr>
              <w:jc w:val="center"/>
              <w:rPr>
                <w:rFonts w:cs="Times New Roman"/>
                <w:color w:val="000000"/>
                <w:sz w:val="15"/>
                <w:szCs w:val="15"/>
              </w:rPr>
            </w:pPr>
            <w:r w:rsidRPr="00887108">
              <w:rPr>
                <w:rFonts w:cs="Times New Roman"/>
                <w:color w:val="000000"/>
                <w:sz w:val="15"/>
                <w:szCs w:val="15"/>
              </w:rPr>
              <w:t>úroveň 2020</w:t>
            </w:r>
          </w:p>
        </w:tc>
        <w:tc>
          <w:tcPr>
            <w:tcW w:w="602" w:type="dxa"/>
            <w:tcBorders>
              <w:top w:val="nil"/>
              <w:left w:val="nil"/>
              <w:bottom w:val="single" w:sz="4" w:space="0" w:color="auto"/>
              <w:right w:val="nil"/>
            </w:tcBorders>
            <w:shd w:val="clear" w:color="auto" w:fill="auto"/>
            <w:vAlign w:val="bottom"/>
            <w:hideMark/>
          </w:tcPr>
          <w:p w14:paraId="47525343" w14:textId="77777777" w:rsidR="00A918CA" w:rsidRPr="00887108" w:rsidRDefault="00A918CA" w:rsidP="00A918CA">
            <w:pPr>
              <w:jc w:val="center"/>
              <w:rPr>
                <w:rFonts w:cs="Times New Roman"/>
                <w:color w:val="000000"/>
                <w:sz w:val="15"/>
                <w:szCs w:val="15"/>
              </w:rPr>
            </w:pPr>
            <w:r w:rsidRPr="00887108">
              <w:rPr>
                <w:rFonts w:cs="Times New Roman"/>
                <w:color w:val="000000"/>
                <w:sz w:val="15"/>
                <w:szCs w:val="15"/>
              </w:rPr>
              <w:t>% HDP 2020</w:t>
            </w:r>
          </w:p>
        </w:tc>
        <w:tc>
          <w:tcPr>
            <w:tcW w:w="602" w:type="dxa"/>
            <w:tcBorders>
              <w:top w:val="nil"/>
              <w:left w:val="nil"/>
              <w:bottom w:val="single" w:sz="4" w:space="0" w:color="auto"/>
              <w:right w:val="nil"/>
            </w:tcBorders>
            <w:shd w:val="clear" w:color="auto" w:fill="auto"/>
            <w:vAlign w:val="bottom"/>
            <w:hideMark/>
          </w:tcPr>
          <w:p w14:paraId="3C50FBAB" w14:textId="77777777" w:rsidR="00A918CA" w:rsidRPr="00887108" w:rsidRDefault="00A918CA" w:rsidP="00A918CA">
            <w:pPr>
              <w:jc w:val="center"/>
              <w:rPr>
                <w:rFonts w:cs="Times New Roman"/>
                <w:color w:val="000000"/>
                <w:sz w:val="15"/>
                <w:szCs w:val="15"/>
              </w:rPr>
            </w:pPr>
            <w:r w:rsidRPr="00887108">
              <w:rPr>
                <w:rFonts w:cs="Times New Roman"/>
                <w:color w:val="000000"/>
                <w:sz w:val="15"/>
                <w:szCs w:val="15"/>
              </w:rPr>
              <w:t>úroveň 2021</w:t>
            </w:r>
          </w:p>
        </w:tc>
        <w:tc>
          <w:tcPr>
            <w:tcW w:w="602" w:type="dxa"/>
            <w:tcBorders>
              <w:top w:val="nil"/>
              <w:left w:val="nil"/>
              <w:bottom w:val="single" w:sz="4" w:space="0" w:color="auto"/>
              <w:right w:val="nil"/>
            </w:tcBorders>
            <w:shd w:val="clear" w:color="auto" w:fill="auto"/>
            <w:vAlign w:val="bottom"/>
            <w:hideMark/>
          </w:tcPr>
          <w:p w14:paraId="09D3B028" w14:textId="77777777" w:rsidR="00A918CA" w:rsidRPr="00887108" w:rsidRDefault="00A918CA" w:rsidP="00A918CA">
            <w:pPr>
              <w:jc w:val="center"/>
              <w:rPr>
                <w:rFonts w:cs="Times New Roman"/>
                <w:color w:val="000000"/>
                <w:sz w:val="15"/>
                <w:szCs w:val="15"/>
              </w:rPr>
            </w:pPr>
            <w:r w:rsidRPr="00887108">
              <w:rPr>
                <w:rFonts w:cs="Times New Roman"/>
                <w:color w:val="000000"/>
                <w:sz w:val="15"/>
                <w:szCs w:val="15"/>
              </w:rPr>
              <w:t>% HDP 2021</w:t>
            </w:r>
          </w:p>
        </w:tc>
      </w:tr>
      <w:tr w:rsidR="007D5DC4" w:rsidRPr="00887108" w14:paraId="4B240C58" w14:textId="77777777" w:rsidTr="00EA7E15">
        <w:trPr>
          <w:trHeight w:val="173"/>
        </w:trPr>
        <w:tc>
          <w:tcPr>
            <w:tcW w:w="1840" w:type="dxa"/>
            <w:tcBorders>
              <w:top w:val="single" w:sz="4" w:space="0" w:color="auto"/>
              <w:left w:val="nil"/>
              <w:bottom w:val="nil"/>
              <w:right w:val="nil"/>
            </w:tcBorders>
            <w:shd w:val="clear" w:color="auto" w:fill="auto"/>
            <w:hideMark/>
          </w:tcPr>
          <w:p w14:paraId="08B38988" w14:textId="77777777" w:rsidR="00A918CA" w:rsidRPr="00887108" w:rsidRDefault="00A918CA" w:rsidP="00B1418D">
            <w:pPr>
              <w:rPr>
                <w:rFonts w:cs="Times New Roman"/>
                <w:bCs/>
                <w:color w:val="000000"/>
                <w:sz w:val="15"/>
                <w:szCs w:val="15"/>
              </w:rPr>
            </w:pPr>
            <w:r w:rsidRPr="00887108">
              <w:rPr>
                <w:rFonts w:cs="Times New Roman"/>
                <w:bCs/>
                <w:color w:val="000000"/>
                <w:sz w:val="15"/>
                <w:szCs w:val="15"/>
              </w:rPr>
              <w:t>Príspevok na udržanie zamestnanosti - 80% z hrubej mzdy max. 1100 eur (zatvorené prevádzky)</w:t>
            </w:r>
          </w:p>
        </w:tc>
        <w:tc>
          <w:tcPr>
            <w:tcW w:w="2361" w:type="dxa"/>
            <w:tcBorders>
              <w:top w:val="single" w:sz="4" w:space="0" w:color="auto"/>
              <w:left w:val="nil"/>
              <w:bottom w:val="nil"/>
              <w:right w:val="nil"/>
            </w:tcBorders>
            <w:shd w:val="clear" w:color="auto" w:fill="auto"/>
          </w:tcPr>
          <w:p w14:paraId="6AAFCBDE" w14:textId="6C6150E5" w:rsidR="00A918CA" w:rsidRPr="00887108" w:rsidRDefault="00B1418D" w:rsidP="00B1418D">
            <w:pPr>
              <w:rPr>
                <w:rFonts w:cs="Times New Roman"/>
                <w:bCs/>
                <w:color w:val="000000"/>
                <w:sz w:val="15"/>
                <w:szCs w:val="15"/>
              </w:rPr>
            </w:pPr>
            <w:r w:rsidRPr="00887108">
              <w:rPr>
                <w:rFonts w:cs="Times New Roman"/>
                <w:color w:val="000000"/>
                <w:sz w:val="15"/>
                <w:szCs w:val="15"/>
              </w:rPr>
              <w:t>Príspevok pre zamestnávateľov v prípade, keď sú zatvorení v dôsledku vládneho rozhodnutia. Príspevok pokryje 80% hrubej mzdy pracovníkov</w:t>
            </w:r>
            <w:r w:rsidR="00FC54F9" w:rsidRPr="00887108">
              <w:rPr>
                <w:rFonts w:cs="Times New Roman"/>
                <w:color w:val="000000"/>
                <w:sz w:val="15"/>
                <w:szCs w:val="15"/>
              </w:rPr>
              <w:t xml:space="preserve"> na prekážke na strane zamestnávateľa</w:t>
            </w:r>
            <w:r w:rsidRPr="00887108">
              <w:rPr>
                <w:rFonts w:cs="Times New Roman"/>
                <w:color w:val="000000"/>
                <w:sz w:val="15"/>
                <w:szCs w:val="15"/>
              </w:rPr>
              <w:t xml:space="preserve"> (maximálna hrubá mzda 1100 EUR).</w:t>
            </w:r>
          </w:p>
        </w:tc>
        <w:tc>
          <w:tcPr>
            <w:tcW w:w="902" w:type="dxa"/>
            <w:tcBorders>
              <w:top w:val="single" w:sz="4" w:space="0" w:color="auto"/>
              <w:left w:val="nil"/>
              <w:bottom w:val="nil"/>
              <w:right w:val="nil"/>
            </w:tcBorders>
            <w:shd w:val="clear" w:color="auto" w:fill="auto"/>
          </w:tcPr>
          <w:p w14:paraId="752CFCF4" w14:textId="7357F424" w:rsidR="00A918CA" w:rsidRPr="00887108" w:rsidRDefault="00B1418D" w:rsidP="00B1418D">
            <w:pPr>
              <w:rPr>
                <w:rFonts w:cs="Times New Roman"/>
                <w:bCs/>
                <w:color w:val="000000"/>
                <w:sz w:val="15"/>
                <w:szCs w:val="15"/>
              </w:rPr>
            </w:pPr>
            <w:r w:rsidRPr="00887108">
              <w:rPr>
                <w:rFonts w:cs="Times New Roman"/>
                <w:color w:val="000000"/>
                <w:sz w:val="15"/>
                <w:szCs w:val="15"/>
              </w:rPr>
              <w:t>Výdavkové opatrenie</w:t>
            </w:r>
          </w:p>
        </w:tc>
        <w:tc>
          <w:tcPr>
            <w:tcW w:w="851" w:type="dxa"/>
            <w:tcBorders>
              <w:top w:val="single" w:sz="4" w:space="0" w:color="auto"/>
              <w:left w:val="nil"/>
              <w:bottom w:val="nil"/>
              <w:right w:val="nil"/>
            </w:tcBorders>
            <w:shd w:val="clear" w:color="auto" w:fill="auto"/>
            <w:hideMark/>
          </w:tcPr>
          <w:p w14:paraId="59F11FC4" w14:textId="77777777" w:rsidR="00A918CA" w:rsidRPr="00887108" w:rsidRDefault="00A918CA" w:rsidP="00B1418D">
            <w:pPr>
              <w:rPr>
                <w:rFonts w:cs="Times New Roman"/>
                <w:bCs/>
                <w:color w:val="000000"/>
                <w:sz w:val="15"/>
                <w:szCs w:val="15"/>
              </w:rPr>
            </w:pPr>
            <w:r w:rsidRPr="00887108">
              <w:rPr>
                <w:rFonts w:cs="Times New Roman"/>
                <w:bCs/>
                <w:color w:val="000000"/>
                <w:sz w:val="15"/>
                <w:szCs w:val="15"/>
              </w:rPr>
              <w:t>schválené</w:t>
            </w:r>
          </w:p>
        </w:tc>
        <w:tc>
          <w:tcPr>
            <w:tcW w:w="709" w:type="dxa"/>
            <w:tcBorders>
              <w:top w:val="single" w:sz="4" w:space="0" w:color="auto"/>
              <w:left w:val="nil"/>
              <w:bottom w:val="nil"/>
              <w:right w:val="nil"/>
            </w:tcBorders>
            <w:shd w:val="clear" w:color="auto" w:fill="auto"/>
            <w:hideMark/>
          </w:tcPr>
          <w:p w14:paraId="125C7740" w14:textId="77777777" w:rsidR="00A918CA" w:rsidRPr="00887108" w:rsidRDefault="00A918CA" w:rsidP="00B1418D">
            <w:pPr>
              <w:rPr>
                <w:rFonts w:cs="Times New Roman"/>
                <w:bCs/>
                <w:color w:val="000000"/>
                <w:sz w:val="15"/>
                <w:szCs w:val="15"/>
              </w:rPr>
            </w:pPr>
            <w:r w:rsidRPr="00887108">
              <w:rPr>
                <w:rFonts w:cs="Times New Roman"/>
                <w:bCs/>
                <w:color w:val="000000"/>
                <w:sz w:val="15"/>
                <w:szCs w:val="15"/>
              </w:rPr>
              <w:t>akruál</w:t>
            </w:r>
          </w:p>
        </w:tc>
        <w:tc>
          <w:tcPr>
            <w:tcW w:w="601" w:type="dxa"/>
            <w:tcBorders>
              <w:top w:val="single" w:sz="4" w:space="0" w:color="auto"/>
              <w:left w:val="nil"/>
              <w:bottom w:val="nil"/>
              <w:right w:val="nil"/>
            </w:tcBorders>
            <w:shd w:val="clear" w:color="auto" w:fill="auto"/>
            <w:hideMark/>
          </w:tcPr>
          <w:p w14:paraId="00578BF3" w14:textId="5B7F3110" w:rsidR="00A918CA" w:rsidRPr="00887108" w:rsidRDefault="00A918CA" w:rsidP="00B1418D">
            <w:pPr>
              <w:rPr>
                <w:rFonts w:cs="Times New Roman"/>
                <w:bCs/>
                <w:color w:val="000000"/>
                <w:sz w:val="15"/>
                <w:szCs w:val="15"/>
              </w:rPr>
            </w:pPr>
            <w:r w:rsidRPr="00887108">
              <w:rPr>
                <w:sz w:val="15"/>
                <w:szCs w:val="15"/>
              </w:rPr>
              <w:t>-261,6</w:t>
            </w:r>
          </w:p>
        </w:tc>
        <w:tc>
          <w:tcPr>
            <w:tcW w:w="602" w:type="dxa"/>
            <w:tcBorders>
              <w:top w:val="single" w:sz="4" w:space="0" w:color="auto"/>
              <w:left w:val="nil"/>
              <w:bottom w:val="nil"/>
              <w:right w:val="nil"/>
            </w:tcBorders>
            <w:shd w:val="clear" w:color="auto" w:fill="auto"/>
            <w:hideMark/>
          </w:tcPr>
          <w:p w14:paraId="39A09782" w14:textId="7F733B94" w:rsidR="00A918CA" w:rsidRPr="00887108" w:rsidRDefault="00A918CA" w:rsidP="00B1418D">
            <w:pPr>
              <w:rPr>
                <w:rFonts w:cs="Times New Roman"/>
                <w:bCs/>
                <w:color w:val="000000"/>
                <w:sz w:val="15"/>
                <w:szCs w:val="15"/>
              </w:rPr>
            </w:pPr>
            <w:r w:rsidRPr="00887108">
              <w:rPr>
                <w:sz w:val="15"/>
                <w:szCs w:val="15"/>
              </w:rPr>
              <w:t>-0,3</w:t>
            </w:r>
          </w:p>
        </w:tc>
        <w:tc>
          <w:tcPr>
            <w:tcW w:w="602" w:type="dxa"/>
            <w:tcBorders>
              <w:top w:val="single" w:sz="4" w:space="0" w:color="auto"/>
              <w:left w:val="nil"/>
              <w:bottom w:val="nil"/>
              <w:right w:val="nil"/>
            </w:tcBorders>
            <w:shd w:val="clear" w:color="auto" w:fill="auto"/>
            <w:hideMark/>
          </w:tcPr>
          <w:p w14:paraId="60E132D6" w14:textId="58B56795" w:rsidR="00A918CA" w:rsidRPr="00887108" w:rsidRDefault="00A918CA" w:rsidP="00B1418D">
            <w:pPr>
              <w:rPr>
                <w:rFonts w:cs="Times New Roman"/>
                <w:bCs/>
                <w:color w:val="000000"/>
                <w:sz w:val="15"/>
                <w:szCs w:val="15"/>
              </w:rPr>
            </w:pPr>
            <w:r w:rsidRPr="00887108">
              <w:rPr>
                <w:sz w:val="15"/>
                <w:szCs w:val="15"/>
              </w:rPr>
              <w:t>261,6</w:t>
            </w:r>
          </w:p>
        </w:tc>
        <w:tc>
          <w:tcPr>
            <w:tcW w:w="602" w:type="dxa"/>
            <w:tcBorders>
              <w:top w:val="single" w:sz="4" w:space="0" w:color="auto"/>
              <w:left w:val="nil"/>
              <w:bottom w:val="nil"/>
              <w:right w:val="nil"/>
            </w:tcBorders>
            <w:shd w:val="clear" w:color="auto" w:fill="auto"/>
            <w:hideMark/>
          </w:tcPr>
          <w:p w14:paraId="3A683773" w14:textId="1BDE2DBF" w:rsidR="00A918CA" w:rsidRPr="00887108" w:rsidRDefault="00A918CA" w:rsidP="00B1418D">
            <w:pPr>
              <w:rPr>
                <w:rFonts w:cs="Times New Roman"/>
                <w:bCs/>
                <w:color w:val="000000"/>
                <w:sz w:val="15"/>
                <w:szCs w:val="15"/>
              </w:rPr>
            </w:pPr>
            <w:r w:rsidRPr="00887108">
              <w:rPr>
                <w:sz w:val="15"/>
                <w:szCs w:val="15"/>
              </w:rPr>
              <w:t>0,3</w:t>
            </w:r>
          </w:p>
        </w:tc>
      </w:tr>
      <w:tr w:rsidR="007D5DC4" w:rsidRPr="00887108" w14:paraId="541A056A" w14:textId="77777777" w:rsidTr="00EA7E15">
        <w:trPr>
          <w:trHeight w:val="261"/>
        </w:trPr>
        <w:tc>
          <w:tcPr>
            <w:tcW w:w="1840" w:type="dxa"/>
            <w:tcBorders>
              <w:top w:val="single" w:sz="4" w:space="0" w:color="auto"/>
              <w:left w:val="nil"/>
              <w:bottom w:val="single" w:sz="4" w:space="0" w:color="auto"/>
              <w:right w:val="nil"/>
            </w:tcBorders>
            <w:shd w:val="clear" w:color="auto" w:fill="auto"/>
            <w:hideMark/>
          </w:tcPr>
          <w:p w14:paraId="1FB6094F" w14:textId="63477176" w:rsidR="00A918CA" w:rsidRPr="00887108" w:rsidRDefault="00A918CA" w:rsidP="00B1418D">
            <w:pPr>
              <w:rPr>
                <w:rFonts w:cs="Times New Roman"/>
                <w:color w:val="000000"/>
                <w:sz w:val="15"/>
                <w:szCs w:val="15"/>
              </w:rPr>
            </w:pPr>
            <w:r w:rsidRPr="00887108">
              <w:rPr>
                <w:rFonts w:cs="Times New Roman"/>
                <w:color w:val="000000"/>
                <w:sz w:val="15"/>
                <w:szCs w:val="15"/>
              </w:rPr>
              <w:t xml:space="preserve">Príspevok na udržanie </w:t>
            </w:r>
            <w:r w:rsidR="00987C6C" w:rsidRPr="00887108">
              <w:rPr>
                <w:rFonts w:cs="Times New Roman"/>
                <w:color w:val="000000"/>
                <w:sz w:val="15"/>
                <w:szCs w:val="15"/>
              </w:rPr>
              <w:t>zamestnanosť</w:t>
            </w:r>
            <w:r w:rsidRPr="00887108">
              <w:rPr>
                <w:rFonts w:cs="Times New Roman"/>
                <w:color w:val="000000"/>
                <w:sz w:val="15"/>
                <w:szCs w:val="15"/>
              </w:rPr>
              <w:t xml:space="preserve"> pre SZČO na základe poklesu tržieb</w:t>
            </w:r>
          </w:p>
        </w:tc>
        <w:tc>
          <w:tcPr>
            <w:tcW w:w="2361" w:type="dxa"/>
            <w:tcBorders>
              <w:top w:val="single" w:sz="4" w:space="0" w:color="auto"/>
              <w:left w:val="nil"/>
              <w:bottom w:val="single" w:sz="4" w:space="0" w:color="auto"/>
              <w:right w:val="nil"/>
            </w:tcBorders>
            <w:shd w:val="clear" w:color="auto" w:fill="auto"/>
            <w:hideMark/>
          </w:tcPr>
          <w:p w14:paraId="258FD313" w14:textId="5822C257" w:rsidR="00A918CA" w:rsidRPr="00887108" w:rsidRDefault="00A918CA" w:rsidP="002D0FBB">
            <w:pPr>
              <w:rPr>
                <w:rFonts w:cs="Times New Roman"/>
                <w:color w:val="000000"/>
                <w:sz w:val="15"/>
                <w:szCs w:val="15"/>
              </w:rPr>
            </w:pPr>
            <w:r w:rsidRPr="00887108">
              <w:rPr>
                <w:rFonts w:cs="Times New Roman"/>
                <w:color w:val="000000"/>
                <w:sz w:val="15"/>
                <w:szCs w:val="15"/>
              </w:rPr>
              <w:t xml:space="preserve">Paušálny príspevok pre SZČO závisí od poklesu </w:t>
            </w:r>
            <w:r w:rsidR="00640AAA" w:rsidRPr="00887108">
              <w:rPr>
                <w:rFonts w:cs="Times New Roman"/>
                <w:color w:val="000000"/>
                <w:sz w:val="15"/>
                <w:szCs w:val="15"/>
              </w:rPr>
              <w:t>tržieb</w:t>
            </w:r>
            <w:r w:rsidRPr="00887108">
              <w:rPr>
                <w:rFonts w:cs="Times New Roman"/>
                <w:color w:val="000000"/>
                <w:sz w:val="15"/>
                <w:szCs w:val="15"/>
              </w:rPr>
              <w:t xml:space="preserve">. Paušálne transfery vo výške 180/300/420/560 eur spojené s 20/40/60/80 percentným poklesom </w:t>
            </w:r>
            <w:r w:rsidR="00640AAA" w:rsidRPr="00887108">
              <w:rPr>
                <w:rFonts w:cs="Times New Roman"/>
                <w:color w:val="000000"/>
                <w:sz w:val="15"/>
                <w:szCs w:val="15"/>
              </w:rPr>
              <w:t>tržieb</w:t>
            </w:r>
            <w:r w:rsidRPr="00887108">
              <w:rPr>
                <w:rFonts w:cs="Times New Roman"/>
                <w:color w:val="000000"/>
                <w:sz w:val="15"/>
                <w:szCs w:val="15"/>
              </w:rPr>
              <w:t>.</w:t>
            </w:r>
          </w:p>
        </w:tc>
        <w:tc>
          <w:tcPr>
            <w:tcW w:w="902" w:type="dxa"/>
            <w:tcBorders>
              <w:top w:val="single" w:sz="4" w:space="0" w:color="auto"/>
              <w:left w:val="nil"/>
              <w:bottom w:val="single" w:sz="4" w:space="0" w:color="auto"/>
              <w:right w:val="nil"/>
            </w:tcBorders>
            <w:shd w:val="clear" w:color="auto" w:fill="auto"/>
            <w:hideMark/>
          </w:tcPr>
          <w:p w14:paraId="19A13C4C"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single" w:sz="4" w:space="0" w:color="auto"/>
              <w:left w:val="nil"/>
              <w:bottom w:val="single" w:sz="4" w:space="0" w:color="auto"/>
              <w:right w:val="nil"/>
            </w:tcBorders>
            <w:shd w:val="clear" w:color="auto" w:fill="auto"/>
            <w:hideMark/>
          </w:tcPr>
          <w:p w14:paraId="5992F285"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single" w:sz="4" w:space="0" w:color="auto"/>
              <w:left w:val="nil"/>
              <w:bottom w:val="single" w:sz="4" w:space="0" w:color="auto"/>
              <w:right w:val="nil"/>
            </w:tcBorders>
            <w:shd w:val="clear" w:color="auto" w:fill="auto"/>
            <w:hideMark/>
          </w:tcPr>
          <w:p w14:paraId="756EBA05"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single" w:sz="4" w:space="0" w:color="auto"/>
              <w:left w:val="nil"/>
              <w:bottom w:val="single" w:sz="4" w:space="0" w:color="auto"/>
              <w:right w:val="nil"/>
            </w:tcBorders>
            <w:shd w:val="clear" w:color="auto" w:fill="auto"/>
            <w:hideMark/>
          </w:tcPr>
          <w:p w14:paraId="33E34CA0" w14:textId="677685C8" w:rsidR="00A918CA" w:rsidRPr="00887108" w:rsidRDefault="00A918CA" w:rsidP="00B1418D">
            <w:pPr>
              <w:rPr>
                <w:rFonts w:cs="Times New Roman"/>
                <w:color w:val="000000"/>
                <w:sz w:val="15"/>
                <w:szCs w:val="15"/>
              </w:rPr>
            </w:pPr>
            <w:r w:rsidRPr="00887108">
              <w:rPr>
                <w:sz w:val="15"/>
                <w:szCs w:val="15"/>
              </w:rPr>
              <w:t>-110,0</w:t>
            </w:r>
          </w:p>
        </w:tc>
        <w:tc>
          <w:tcPr>
            <w:tcW w:w="602" w:type="dxa"/>
            <w:tcBorders>
              <w:top w:val="single" w:sz="4" w:space="0" w:color="auto"/>
              <w:left w:val="nil"/>
              <w:bottom w:val="single" w:sz="4" w:space="0" w:color="auto"/>
              <w:right w:val="nil"/>
            </w:tcBorders>
            <w:shd w:val="clear" w:color="auto" w:fill="auto"/>
            <w:hideMark/>
          </w:tcPr>
          <w:p w14:paraId="31FF64E0" w14:textId="4E4D02ED" w:rsidR="00A918CA" w:rsidRPr="00887108" w:rsidRDefault="00A918CA" w:rsidP="00B1418D">
            <w:pPr>
              <w:rPr>
                <w:rFonts w:cs="Times New Roman"/>
                <w:color w:val="000000"/>
                <w:sz w:val="15"/>
                <w:szCs w:val="15"/>
              </w:rPr>
            </w:pPr>
            <w:r w:rsidRPr="00887108">
              <w:rPr>
                <w:sz w:val="15"/>
                <w:szCs w:val="15"/>
              </w:rPr>
              <w:t>-0,1</w:t>
            </w:r>
          </w:p>
        </w:tc>
        <w:tc>
          <w:tcPr>
            <w:tcW w:w="602" w:type="dxa"/>
            <w:tcBorders>
              <w:top w:val="single" w:sz="4" w:space="0" w:color="auto"/>
              <w:left w:val="nil"/>
              <w:bottom w:val="single" w:sz="4" w:space="0" w:color="auto"/>
              <w:right w:val="nil"/>
            </w:tcBorders>
            <w:shd w:val="clear" w:color="auto" w:fill="auto"/>
            <w:hideMark/>
          </w:tcPr>
          <w:p w14:paraId="2DCDBB8B" w14:textId="7AEBD617" w:rsidR="00A918CA" w:rsidRPr="00887108" w:rsidRDefault="00A918CA" w:rsidP="00B1418D">
            <w:pPr>
              <w:rPr>
                <w:rFonts w:cs="Times New Roman"/>
                <w:color w:val="000000"/>
                <w:sz w:val="15"/>
                <w:szCs w:val="15"/>
              </w:rPr>
            </w:pPr>
            <w:r w:rsidRPr="00887108">
              <w:rPr>
                <w:sz w:val="15"/>
                <w:szCs w:val="15"/>
              </w:rPr>
              <w:t>110,0</w:t>
            </w:r>
          </w:p>
        </w:tc>
        <w:tc>
          <w:tcPr>
            <w:tcW w:w="602" w:type="dxa"/>
            <w:tcBorders>
              <w:top w:val="single" w:sz="4" w:space="0" w:color="auto"/>
              <w:left w:val="nil"/>
              <w:bottom w:val="single" w:sz="4" w:space="0" w:color="auto"/>
              <w:right w:val="nil"/>
            </w:tcBorders>
            <w:shd w:val="clear" w:color="auto" w:fill="auto"/>
            <w:hideMark/>
          </w:tcPr>
          <w:p w14:paraId="48A098FD" w14:textId="2BF9E6A5" w:rsidR="00A918CA" w:rsidRPr="00887108" w:rsidRDefault="00A918CA" w:rsidP="00B1418D">
            <w:pPr>
              <w:rPr>
                <w:rFonts w:cs="Times New Roman"/>
                <w:color w:val="000000"/>
                <w:sz w:val="15"/>
                <w:szCs w:val="15"/>
              </w:rPr>
            </w:pPr>
            <w:r w:rsidRPr="00887108">
              <w:rPr>
                <w:sz w:val="15"/>
                <w:szCs w:val="15"/>
              </w:rPr>
              <w:t>0,1</w:t>
            </w:r>
          </w:p>
        </w:tc>
      </w:tr>
      <w:tr w:rsidR="007D5DC4" w:rsidRPr="00887108" w14:paraId="06C37DC0" w14:textId="77777777" w:rsidTr="00EA7E15">
        <w:trPr>
          <w:trHeight w:val="86"/>
        </w:trPr>
        <w:tc>
          <w:tcPr>
            <w:tcW w:w="1840" w:type="dxa"/>
            <w:tcBorders>
              <w:top w:val="single" w:sz="4" w:space="0" w:color="auto"/>
              <w:left w:val="nil"/>
              <w:bottom w:val="single" w:sz="4" w:space="0" w:color="auto"/>
              <w:right w:val="nil"/>
            </w:tcBorders>
            <w:shd w:val="clear" w:color="auto" w:fill="auto"/>
            <w:hideMark/>
          </w:tcPr>
          <w:p w14:paraId="054E95BE" w14:textId="30B36CD2" w:rsidR="00A918CA" w:rsidRPr="00887108" w:rsidRDefault="00A918CA" w:rsidP="00126F33">
            <w:pPr>
              <w:rPr>
                <w:rFonts w:cs="Times New Roman"/>
                <w:color w:val="000000"/>
                <w:sz w:val="15"/>
                <w:szCs w:val="15"/>
              </w:rPr>
            </w:pPr>
            <w:r w:rsidRPr="00887108">
              <w:rPr>
                <w:rFonts w:cs="Times New Roman"/>
                <w:color w:val="000000"/>
                <w:sz w:val="15"/>
                <w:szCs w:val="15"/>
              </w:rPr>
              <w:t xml:space="preserve">Úhrada náhrady mzdy zamestnanca </w:t>
            </w:r>
            <w:r w:rsidR="00126F33" w:rsidRPr="00887108">
              <w:rPr>
                <w:rFonts w:cs="Times New Roman"/>
                <w:color w:val="000000"/>
                <w:sz w:val="15"/>
                <w:szCs w:val="15"/>
              </w:rPr>
              <w:t xml:space="preserve">- </w:t>
            </w:r>
            <w:r w:rsidR="008D60CC" w:rsidRPr="00887108">
              <w:rPr>
                <w:rFonts w:cs="Times New Roman"/>
                <w:color w:val="000000"/>
                <w:sz w:val="15"/>
                <w:szCs w:val="15"/>
              </w:rPr>
              <w:t>80% z hrubej mzdy</w:t>
            </w:r>
            <w:r w:rsidRPr="00887108">
              <w:rPr>
                <w:rFonts w:cs="Times New Roman"/>
                <w:color w:val="000000"/>
                <w:sz w:val="15"/>
                <w:szCs w:val="15"/>
              </w:rPr>
              <w:t>, max. 880 eur</w:t>
            </w:r>
          </w:p>
        </w:tc>
        <w:tc>
          <w:tcPr>
            <w:tcW w:w="2361" w:type="dxa"/>
            <w:tcBorders>
              <w:top w:val="single" w:sz="4" w:space="0" w:color="auto"/>
              <w:left w:val="nil"/>
              <w:bottom w:val="single" w:sz="4" w:space="0" w:color="auto"/>
              <w:right w:val="nil"/>
            </w:tcBorders>
            <w:shd w:val="clear" w:color="auto" w:fill="auto"/>
          </w:tcPr>
          <w:p w14:paraId="32D35285" w14:textId="67E39741" w:rsidR="00A918CA" w:rsidRPr="00887108" w:rsidRDefault="00B1418D" w:rsidP="002D0FBB">
            <w:pPr>
              <w:rPr>
                <w:rFonts w:cs="Times New Roman"/>
                <w:color w:val="000000"/>
                <w:sz w:val="15"/>
                <w:szCs w:val="15"/>
              </w:rPr>
            </w:pPr>
            <w:r w:rsidRPr="00887108">
              <w:rPr>
                <w:rFonts w:cs="Times New Roman"/>
                <w:color w:val="000000"/>
                <w:sz w:val="15"/>
                <w:szCs w:val="15"/>
              </w:rPr>
              <w:t xml:space="preserve">Príspevok pre zamestnávateľov </w:t>
            </w:r>
            <w:r w:rsidR="00FC54F9" w:rsidRPr="00887108">
              <w:rPr>
                <w:rFonts w:cs="Times New Roman"/>
                <w:color w:val="000000"/>
                <w:sz w:val="15"/>
                <w:szCs w:val="15"/>
              </w:rPr>
              <w:t>na zamestnancov na prekážke na strane zamestnávateľa</w:t>
            </w:r>
            <w:r w:rsidRPr="00887108">
              <w:rPr>
                <w:rFonts w:cs="Times New Roman"/>
                <w:color w:val="000000"/>
                <w:sz w:val="15"/>
                <w:szCs w:val="15"/>
              </w:rPr>
              <w:t>. Príspevok pokryje 80 percent hrubej mzdy pracovníkov (maximálna hrubá mzda 880 eur).</w:t>
            </w:r>
          </w:p>
        </w:tc>
        <w:tc>
          <w:tcPr>
            <w:tcW w:w="902" w:type="dxa"/>
            <w:tcBorders>
              <w:top w:val="single" w:sz="4" w:space="0" w:color="auto"/>
              <w:left w:val="nil"/>
              <w:bottom w:val="single" w:sz="4" w:space="0" w:color="auto"/>
              <w:right w:val="nil"/>
            </w:tcBorders>
            <w:shd w:val="clear" w:color="auto" w:fill="auto"/>
          </w:tcPr>
          <w:p w14:paraId="70119081" w14:textId="1498EFBF" w:rsidR="00A918CA" w:rsidRPr="00887108" w:rsidRDefault="00B1418D"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single" w:sz="4" w:space="0" w:color="auto"/>
              <w:left w:val="nil"/>
              <w:bottom w:val="single" w:sz="4" w:space="0" w:color="auto"/>
              <w:right w:val="nil"/>
            </w:tcBorders>
            <w:shd w:val="clear" w:color="auto" w:fill="auto"/>
            <w:hideMark/>
          </w:tcPr>
          <w:p w14:paraId="6CE19D0C"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single" w:sz="4" w:space="0" w:color="auto"/>
              <w:left w:val="nil"/>
              <w:bottom w:val="single" w:sz="4" w:space="0" w:color="auto"/>
              <w:right w:val="nil"/>
            </w:tcBorders>
            <w:shd w:val="clear" w:color="auto" w:fill="auto"/>
            <w:hideMark/>
          </w:tcPr>
          <w:p w14:paraId="2652BCB0"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single" w:sz="4" w:space="0" w:color="auto"/>
              <w:left w:val="nil"/>
              <w:bottom w:val="single" w:sz="4" w:space="0" w:color="auto"/>
              <w:right w:val="nil"/>
            </w:tcBorders>
            <w:shd w:val="clear" w:color="auto" w:fill="auto"/>
            <w:hideMark/>
          </w:tcPr>
          <w:p w14:paraId="4F1D71FF" w14:textId="29A43E7B" w:rsidR="00A918CA" w:rsidRPr="00887108" w:rsidRDefault="00A918CA" w:rsidP="00B1418D">
            <w:pPr>
              <w:rPr>
                <w:rFonts w:cs="Times New Roman"/>
                <w:color w:val="000000"/>
                <w:sz w:val="15"/>
                <w:szCs w:val="15"/>
              </w:rPr>
            </w:pPr>
            <w:r w:rsidRPr="00887108">
              <w:rPr>
                <w:sz w:val="15"/>
                <w:szCs w:val="15"/>
              </w:rPr>
              <w:t>-508,0</w:t>
            </w:r>
          </w:p>
        </w:tc>
        <w:tc>
          <w:tcPr>
            <w:tcW w:w="602" w:type="dxa"/>
            <w:tcBorders>
              <w:top w:val="single" w:sz="4" w:space="0" w:color="auto"/>
              <w:left w:val="nil"/>
              <w:bottom w:val="single" w:sz="4" w:space="0" w:color="auto"/>
              <w:right w:val="nil"/>
            </w:tcBorders>
            <w:shd w:val="clear" w:color="auto" w:fill="auto"/>
            <w:hideMark/>
          </w:tcPr>
          <w:p w14:paraId="37AB171C" w14:textId="4B681036" w:rsidR="00A918CA" w:rsidRPr="00887108" w:rsidRDefault="00A918CA" w:rsidP="00B1418D">
            <w:pPr>
              <w:rPr>
                <w:rFonts w:cs="Times New Roman"/>
                <w:color w:val="000000"/>
                <w:sz w:val="15"/>
                <w:szCs w:val="15"/>
              </w:rPr>
            </w:pPr>
            <w:r w:rsidRPr="00887108">
              <w:rPr>
                <w:sz w:val="15"/>
                <w:szCs w:val="15"/>
              </w:rPr>
              <w:t>-0,6</w:t>
            </w:r>
          </w:p>
        </w:tc>
        <w:tc>
          <w:tcPr>
            <w:tcW w:w="602" w:type="dxa"/>
            <w:tcBorders>
              <w:top w:val="single" w:sz="4" w:space="0" w:color="auto"/>
              <w:left w:val="nil"/>
              <w:bottom w:val="single" w:sz="4" w:space="0" w:color="auto"/>
              <w:right w:val="nil"/>
            </w:tcBorders>
            <w:shd w:val="clear" w:color="auto" w:fill="auto"/>
            <w:hideMark/>
          </w:tcPr>
          <w:p w14:paraId="39A24DFC" w14:textId="066352E9" w:rsidR="00A918CA" w:rsidRPr="00887108" w:rsidRDefault="00A918CA" w:rsidP="00B1418D">
            <w:pPr>
              <w:rPr>
                <w:rFonts w:cs="Times New Roman"/>
                <w:color w:val="000000"/>
                <w:sz w:val="15"/>
                <w:szCs w:val="15"/>
              </w:rPr>
            </w:pPr>
            <w:r w:rsidRPr="00887108">
              <w:rPr>
                <w:sz w:val="15"/>
                <w:szCs w:val="15"/>
              </w:rPr>
              <w:t>508,0</w:t>
            </w:r>
          </w:p>
        </w:tc>
        <w:tc>
          <w:tcPr>
            <w:tcW w:w="602" w:type="dxa"/>
            <w:tcBorders>
              <w:top w:val="single" w:sz="4" w:space="0" w:color="auto"/>
              <w:left w:val="nil"/>
              <w:bottom w:val="single" w:sz="4" w:space="0" w:color="auto"/>
              <w:right w:val="nil"/>
            </w:tcBorders>
            <w:shd w:val="clear" w:color="auto" w:fill="auto"/>
            <w:hideMark/>
          </w:tcPr>
          <w:p w14:paraId="22969AF5" w14:textId="14E6A173" w:rsidR="00A918CA" w:rsidRPr="00887108" w:rsidRDefault="00A918CA" w:rsidP="00B1418D">
            <w:pPr>
              <w:rPr>
                <w:rFonts w:cs="Times New Roman"/>
                <w:color w:val="000000"/>
                <w:sz w:val="15"/>
                <w:szCs w:val="15"/>
              </w:rPr>
            </w:pPr>
            <w:r w:rsidRPr="00887108">
              <w:rPr>
                <w:sz w:val="15"/>
                <w:szCs w:val="15"/>
              </w:rPr>
              <w:t>0,5</w:t>
            </w:r>
          </w:p>
        </w:tc>
      </w:tr>
      <w:tr w:rsidR="007D5DC4" w:rsidRPr="00887108" w14:paraId="2F8BDBB9" w14:textId="77777777" w:rsidTr="00EA7E15">
        <w:trPr>
          <w:trHeight w:val="261"/>
        </w:trPr>
        <w:tc>
          <w:tcPr>
            <w:tcW w:w="1840" w:type="dxa"/>
            <w:tcBorders>
              <w:top w:val="single" w:sz="4" w:space="0" w:color="auto"/>
              <w:left w:val="nil"/>
              <w:bottom w:val="single" w:sz="4" w:space="0" w:color="auto"/>
              <w:right w:val="nil"/>
            </w:tcBorders>
            <w:shd w:val="clear" w:color="auto" w:fill="auto"/>
            <w:hideMark/>
          </w:tcPr>
          <w:p w14:paraId="239AAAFF" w14:textId="77777777" w:rsidR="00A918CA" w:rsidRPr="00887108" w:rsidRDefault="00A918CA" w:rsidP="00B1418D">
            <w:pPr>
              <w:rPr>
                <w:rFonts w:cs="Times New Roman"/>
                <w:color w:val="000000"/>
                <w:sz w:val="15"/>
                <w:szCs w:val="15"/>
              </w:rPr>
            </w:pPr>
            <w:r w:rsidRPr="00887108">
              <w:rPr>
                <w:rFonts w:cs="Times New Roman"/>
                <w:color w:val="000000"/>
                <w:sz w:val="15"/>
                <w:szCs w:val="15"/>
              </w:rPr>
              <w:t>Náhrada mzdy zamestnanca (podnikanie ovplyvnené koronavírusom, paušálny príspevok na základe zníženia príjmu)</w:t>
            </w:r>
          </w:p>
        </w:tc>
        <w:tc>
          <w:tcPr>
            <w:tcW w:w="2361" w:type="dxa"/>
            <w:tcBorders>
              <w:top w:val="single" w:sz="4" w:space="0" w:color="auto"/>
              <w:left w:val="nil"/>
              <w:bottom w:val="single" w:sz="4" w:space="0" w:color="auto"/>
              <w:right w:val="nil"/>
            </w:tcBorders>
            <w:shd w:val="clear" w:color="auto" w:fill="auto"/>
            <w:hideMark/>
          </w:tcPr>
          <w:p w14:paraId="7F9EC97B" w14:textId="100045C3" w:rsidR="00A918CA" w:rsidRPr="00887108" w:rsidRDefault="00A918CA" w:rsidP="002D0FBB">
            <w:pPr>
              <w:rPr>
                <w:rFonts w:cs="Times New Roman"/>
                <w:color w:val="000000"/>
                <w:sz w:val="15"/>
                <w:szCs w:val="15"/>
              </w:rPr>
            </w:pPr>
            <w:r w:rsidRPr="00887108">
              <w:rPr>
                <w:rFonts w:cs="Times New Roman"/>
                <w:color w:val="000000"/>
                <w:sz w:val="15"/>
                <w:szCs w:val="15"/>
              </w:rPr>
              <w:t xml:space="preserve">Paušálny príspevok zamestnancom, sadzba závisí od poklesu </w:t>
            </w:r>
            <w:r w:rsidR="00640AAA" w:rsidRPr="00887108">
              <w:rPr>
                <w:rFonts w:cs="Times New Roman"/>
                <w:color w:val="000000"/>
                <w:sz w:val="15"/>
                <w:szCs w:val="15"/>
              </w:rPr>
              <w:t xml:space="preserve">tržieb </w:t>
            </w:r>
            <w:r w:rsidRPr="00887108">
              <w:rPr>
                <w:rFonts w:cs="Times New Roman"/>
                <w:color w:val="000000"/>
                <w:sz w:val="15"/>
                <w:szCs w:val="15"/>
              </w:rPr>
              <w:t xml:space="preserve">spoločnosti. Paušálne transfery vo výške 180/300/420/560 eur spojené s 20/40/60/80 percentným poklesom </w:t>
            </w:r>
            <w:r w:rsidR="00640AAA" w:rsidRPr="00887108">
              <w:rPr>
                <w:rFonts w:cs="Times New Roman"/>
                <w:color w:val="000000"/>
                <w:sz w:val="15"/>
                <w:szCs w:val="15"/>
              </w:rPr>
              <w:t>tržieb</w:t>
            </w:r>
            <w:r w:rsidRPr="00887108">
              <w:rPr>
                <w:rFonts w:cs="Times New Roman"/>
                <w:color w:val="000000"/>
                <w:sz w:val="15"/>
                <w:szCs w:val="15"/>
              </w:rPr>
              <w:t>.</w:t>
            </w:r>
          </w:p>
        </w:tc>
        <w:tc>
          <w:tcPr>
            <w:tcW w:w="902" w:type="dxa"/>
            <w:tcBorders>
              <w:top w:val="single" w:sz="4" w:space="0" w:color="auto"/>
              <w:left w:val="nil"/>
              <w:bottom w:val="single" w:sz="4" w:space="0" w:color="auto"/>
              <w:right w:val="nil"/>
            </w:tcBorders>
            <w:shd w:val="clear" w:color="auto" w:fill="auto"/>
            <w:hideMark/>
          </w:tcPr>
          <w:p w14:paraId="09A47384"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single" w:sz="4" w:space="0" w:color="auto"/>
              <w:left w:val="nil"/>
              <w:bottom w:val="single" w:sz="4" w:space="0" w:color="auto"/>
              <w:right w:val="nil"/>
            </w:tcBorders>
            <w:shd w:val="clear" w:color="auto" w:fill="auto"/>
            <w:hideMark/>
          </w:tcPr>
          <w:p w14:paraId="04F03DF0"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single" w:sz="4" w:space="0" w:color="auto"/>
              <w:left w:val="nil"/>
              <w:bottom w:val="single" w:sz="4" w:space="0" w:color="auto"/>
              <w:right w:val="nil"/>
            </w:tcBorders>
            <w:shd w:val="clear" w:color="auto" w:fill="auto"/>
            <w:hideMark/>
          </w:tcPr>
          <w:p w14:paraId="0F84CF65"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single" w:sz="4" w:space="0" w:color="auto"/>
              <w:left w:val="nil"/>
              <w:bottom w:val="single" w:sz="4" w:space="0" w:color="auto"/>
              <w:right w:val="nil"/>
            </w:tcBorders>
            <w:shd w:val="clear" w:color="auto" w:fill="auto"/>
            <w:hideMark/>
          </w:tcPr>
          <w:p w14:paraId="751519CC" w14:textId="7B1C130E" w:rsidR="00A918CA" w:rsidRPr="00887108" w:rsidRDefault="00A918CA" w:rsidP="00B1418D">
            <w:pPr>
              <w:rPr>
                <w:rFonts w:cs="Times New Roman"/>
                <w:color w:val="000000"/>
                <w:sz w:val="15"/>
                <w:szCs w:val="15"/>
              </w:rPr>
            </w:pPr>
            <w:r w:rsidRPr="00887108">
              <w:rPr>
                <w:sz w:val="15"/>
                <w:szCs w:val="15"/>
              </w:rPr>
              <w:t>-120,0</w:t>
            </w:r>
          </w:p>
        </w:tc>
        <w:tc>
          <w:tcPr>
            <w:tcW w:w="602" w:type="dxa"/>
            <w:tcBorders>
              <w:top w:val="single" w:sz="4" w:space="0" w:color="auto"/>
              <w:left w:val="nil"/>
              <w:bottom w:val="single" w:sz="4" w:space="0" w:color="auto"/>
              <w:right w:val="nil"/>
            </w:tcBorders>
            <w:shd w:val="clear" w:color="auto" w:fill="auto"/>
            <w:hideMark/>
          </w:tcPr>
          <w:p w14:paraId="458BAB95" w14:textId="3DF441B3" w:rsidR="00A918CA" w:rsidRPr="00887108" w:rsidRDefault="00A918CA" w:rsidP="00B1418D">
            <w:pPr>
              <w:rPr>
                <w:rFonts w:cs="Times New Roman"/>
                <w:color w:val="000000"/>
                <w:sz w:val="15"/>
                <w:szCs w:val="15"/>
              </w:rPr>
            </w:pPr>
            <w:r w:rsidRPr="00887108">
              <w:rPr>
                <w:sz w:val="15"/>
                <w:szCs w:val="15"/>
              </w:rPr>
              <w:t>-0,1</w:t>
            </w:r>
          </w:p>
        </w:tc>
        <w:tc>
          <w:tcPr>
            <w:tcW w:w="602" w:type="dxa"/>
            <w:tcBorders>
              <w:top w:val="single" w:sz="4" w:space="0" w:color="auto"/>
              <w:left w:val="nil"/>
              <w:bottom w:val="single" w:sz="4" w:space="0" w:color="auto"/>
              <w:right w:val="nil"/>
            </w:tcBorders>
            <w:shd w:val="clear" w:color="auto" w:fill="auto"/>
            <w:hideMark/>
          </w:tcPr>
          <w:p w14:paraId="1A42525E" w14:textId="559887A9" w:rsidR="00A918CA" w:rsidRPr="00887108" w:rsidRDefault="00A918CA" w:rsidP="00B1418D">
            <w:pPr>
              <w:rPr>
                <w:rFonts w:cs="Times New Roman"/>
                <w:color w:val="000000"/>
                <w:sz w:val="15"/>
                <w:szCs w:val="15"/>
              </w:rPr>
            </w:pPr>
            <w:r w:rsidRPr="00887108">
              <w:rPr>
                <w:sz w:val="15"/>
                <w:szCs w:val="15"/>
              </w:rPr>
              <w:t>120,0</w:t>
            </w:r>
          </w:p>
        </w:tc>
        <w:tc>
          <w:tcPr>
            <w:tcW w:w="602" w:type="dxa"/>
            <w:tcBorders>
              <w:top w:val="single" w:sz="4" w:space="0" w:color="auto"/>
              <w:left w:val="nil"/>
              <w:bottom w:val="single" w:sz="4" w:space="0" w:color="auto"/>
              <w:right w:val="nil"/>
            </w:tcBorders>
            <w:shd w:val="clear" w:color="auto" w:fill="auto"/>
            <w:hideMark/>
          </w:tcPr>
          <w:p w14:paraId="7D5E8E73" w14:textId="2FDABBC2" w:rsidR="00A918CA" w:rsidRPr="00887108" w:rsidRDefault="00A918CA" w:rsidP="00B1418D">
            <w:pPr>
              <w:rPr>
                <w:rFonts w:cs="Times New Roman"/>
                <w:color w:val="000000"/>
                <w:sz w:val="15"/>
                <w:szCs w:val="15"/>
              </w:rPr>
            </w:pPr>
            <w:r w:rsidRPr="00887108">
              <w:rPr>
                <w:sz w:val="15"/>
                <w:szCs w:val="15"/>
              </w:rPr>
              <w:t>0,1</w:t>
            </w:r>
          </w:p>
        </w:tc>
      </w:tr>
      <w:tr w:rsidR="007D5DC4" w:rsidRPr="00887108" w14:paraId="7EBFAE1E" w14:textId="77777777" w:rsidTr="00EA7E15">
        <w:trPr>
          <w:trHeight w:val="261"/>
        </w:trPr>
        <w:tc>
          <w:tcPr>
            <w:tcW w:w="1840" w:type="dxa"/>
            <w:tcBorders>
              <w:top w:val="nil"/>
              <w:left w:val="nil"/>
              <w:bottom w:val="single" w:sz="4" w:space="0" w:color="auto"/>
              <w:right w:val="nil"/>
            </w:tcBorders>
            <w:shd w:val="clear" w:color="auto" w:fill="auto"/>
            <w:hideMark/>
          </w:tcPr>
          <w:p w14:paraId="23790B1F" w14:textId="77777777" w:rsidR="00A918CA" w:rsidRPr="00887108" w:rsidRDefault="00A918CA" w:rsidP="00B1418D">
            <w:pPr>
              <w:rPr>
                <w:rFonts w:cs="Times New Roman"/>
                <w:color w:val="000000"/>
                <w:sz w:val="15"/>
                <w:szCs w:val="15"/>
              </w:rPr>
            </w:pPr>
            <w:r w:rsidRPr="00887108">
              <w:rPr>
                <w:rFonts w:cs="Times New Roman"/>
                <w:color w:val="000000"/>
                <w:sz w:val="15"/>
                <w:szCs w:val="15"/>
              </w:rPr>
              <w:t>Paušálny príspevok vo výške 210 EUR / mesiac</w:t>
            </w:r>
          </w:p>
        </w:tc>
        <w:tc>
          <w:tcPr>
            <w:tcW w:w="2361" w:type="dxa"/>
            <w:tcBorders>
              <w:top w:val="nil"/>
              <w:left w:val="nil"/>
              <w:bottom w:val="single" w:sz="4" w:space="0" w:color="auto"/>
              <w:right w:val="nil"/>
            </w:tcBorders>
            <w:shd w:val="clear" w:color="auto" w:fill="auto"/>
            <w:hideMark/>
          </w:tcPr>
          <w:p w14:paraId="75AC5F9A" w14:textId="77777777" w:rsidR="00A918CA" w:rsidRPr="00887108" w:rsidRDefault="00A918CA" w:rsidP="00B1418D">
            <w:pPr>
              <w:rPr>
                <w:rFonts w:cs="Times New Roman"/>
                <w:color w:val="000000"/>
                <w:sz w:val="15"/>
                <w:szCs w:val="15"/>
              </w:rPr>
            </w:pPr>
            <w:r w:rsidRPr="00887108">
              <w:rPr>
                <w:rFonts w:cs="Times New Roman"/>
                <w:color w:val="000000"/>
                <w:sz w:val="15"/>
                <w:szCs w:val="15"/>
              </w:rPr>
              <w:t>Príspevok pre ľudí bez príjmu (napr. pracovníci na čiastočný úväzok), SZČO s nízkym príjmom bez sociálnych a zdravotných odvodov a 1-osobové firmy</w:t>
            </w:r>
          </w:p>
        </w:tc>
        <w:tc>
          <w:tcPr>
            <w:tcW w:w="902" w:type="dxa"/>
            <w:tcBorders>
              <w:top w:val="nil"/>
              <w:left w:val="nil"/>
              <w:bottom w:val="single" w:sz="4" w:space="0" w:color="auto"/>
              <w:right w:val="nil"/>
            </w:tcBorders>
            <w:shd w:val="clear" w:color="auto" w:fill="auto"/>
            <w:hideMark/>
          </w:tcPr>
          <w:p w14:paraId="70DC91C0"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nil"/>
              <w:left w:val="nil"/>
              <w:bottom w:val="single" w:sz="4" w:space="0" w:color="auto"/>
              <w:right w:val="nil"/>
            </w:tcBorders>
            <w:shd w:val="clear" w:color="auto" w:fill="auto"/>
            <w:hideMark/>
          </w:tcPr>
          <w:p w14:paraId="58D067DD"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4E2D5F87"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3DB69A81" w14:textId="4450194F" w:rsidR="00A918CA" w:rsidRPr="00887108" w:rsidRDefault="00A918CA" w:rsidP="00B1418D">
            <w:pPr>
              <w:rPr>
                <w:rFonts w:cs="Times New Roman"/>
                <w:color w:val="000000"/>
                <w:sz w:val="15"/>
                <w:szCs w:val="15"/>
              </w:rPr>
            </w:pPr>
            <w:r w:rsidRPr="00887108">
              <w:rPr>
                <w:sz w:val="15"/>
                <w:szCs w:val="15"/>
              </w:rPr>
              <w:t>-109,0</w:t>
            </w:r>
          </w:p>
        </w:tc>
        <w:tc>
          <w:tcPr>
            <w:tcW w:w="602" w:type="dxa"/>
            <w:tcBorders>
              <w:top w:val="nil"/>
              <w:left w:val="nil"/>
              <w:bottom w:val="single" w:sz="4" w:space="0" w:color="auto"/>
              <w:right w:val="nil"/>
            </w:tcBorders>
            <w:shd w:val="clear" w:color="auto" w:fill="auto"/>
            <w:hideMark/>
          </w:tcPr>
          <w:p w14:paraId="21522640" w14:textId="07532AAC" w:rsidR="00A918CA" w:rsidRPr="00887108" w:rsidRDefault="00A918CA" w:rsidP="00B1418D">
            <w:pPr>
              <w:rPr>
                <w:rFonts w:cs="Times New Roman"/>
                <w:color w:val="000000"/>
                <w:sz w:val="15"/>
                <w:szCs w:val="15"/>
              </w:rPr>
            </w:pPr>
            <w:r w:rsidRPr="00887108">
              <w:rPr>
                <w:sz w:val="15"/>
                <w:szCs w:val="15"/>
              </w:rPr>
              <w:t>-0,1</w:t>
            </w:r>
          </w:p>
        </w:tc>
        <w:tc>
          <w:tcPr>
            <w:tcW w:w="602" w:type="dxa"/>
            <w:tcBorders>
              <w:top w:val="nil"/>
              <w:left w:val="nil"/>
              <w:bottom w:val="single" w:sz="4" w:space="0" w:color="auto"/>
              <w:right w:val="nil"/>
            </w:tcBorders>
            <w:shd w:val="clear" w:color="auto" w:fill="auto"/>
            <w:hideMark/>
          </w:tcPr>
          <w:p w14:paraId="6792217E" w14:textId="2D273EBE" w:rsidR="00A918CA" w:rsidRPr="00887108" w:rsidRDefault="00A918CA" w:rsidP="00B1418D">
            <w:pPr>
              <w:rPr>
                <w:rFonts w:cs="Times New Roman"/>
                <w:color w:val="000000"/>
                <w:sz w:val="15"/>
                <w:szCs w:val="15"/>
              </w:rPr>
            </w:pPr>
            <w:r w:rsidRPr="00887108">
              <w:rPr>
                <w:sz w:val="15"/>
                <w:szCs w:val="15"/>
              </w:rPr>
              <w:t>109,0</w:t>
            </w:r>
          </w:p>
        </w:tc>
        <w:tc>
          <w:tcPr>
            <w:tcW w:w="602" w:type="dxa"/>
            <w:tcBorders>
              <w:top w:val="nil"/>
              <w:left w:val="nil"/>
              <w:bottom w:val="single" w:sz="4" w:space="0" w:color="auto"/>
              <w:right w:val="nil"/>
            </w:tcBorders>
            <w:shd w:val="clear" w:color="auto" w:fill="auto"/>
            <w:hideMark/>
          </w:tcPr>
          <w:p w14:paraId="6C1BBA1C" w14:textId="49E6E879" w:rsidR="00A918CA" w:rsidRPr="00887108" w:rsidRDefault="00A918CA" w:rsidP="00B1418D">
            <w:pPr>
              <w:rPr>
                <w:rFonts w:cs="Times New Roman"/>
                <w:color w:val="000000"/>
                <w:sz w:val="15"/>
                <w:szCs w:val="15"/>
              </w:rPr>
            </w:pPr>
            <w:r w:rsidRPr="00887108">
              <w:rPr>
                <w:sz w:val="15"/>
                <w:szCs w:val="15"/>
              </w:rPr>
              <w:t>0,1</w:t>
            </w:r>
          </w:p>
        </w:tc>
      </w:tr>
      <w:tr w:rsidR="007D5DC4" w:rsidRPr="00887108" w14:paraId="02808258" w14:textId="77777777" w:rsidTr="00EA7E15">
        <w:trPr>
          <w:trHeight w:val="173"/>
        </w:trPr>
        <w:tc>
          <w:tcPr>
            <w:tcW w:w="1840" w:type="dxa"/>
            <w:tcBorders>
              <w:top w:val="nil"/>
              <w:left w:val="nil"/>
              <w:bottom w:val="nil"/>
              <w:right w:val="nil"/>
            </w:tcBorders>
            <w:shd w:val="clear" w:color="auto" w:fill="auto"/>
            <w:hideMark/>
          </w:tcPr>
          <w:p w14:paraId="1A87AF1C" w14:textId="77777777" w:rsidR="00A918CA" w:rsidRPr="00887108" w:rsidRDefault="00A918CA" w:rsidP="00B1418D">
            <w:pPr>
              <w:rPr>
                <w:rFonts w:cs="Times New Roman"/>
                <w:b/>
                <w:color w:val="000000"/>
                <w:sz w:val="15"/>
                <w:szCs w:val="15"/>
              </w:rPr>
            </w:pPr>
            <w:r w:rsidRPr="00887108">
              <w:rPr>
                <w:rFonts w:cs="Times New Roman"/>
                <w:b/>
                <w:color w:val="000000"/>
                <w:sz w:val="15"/>
                <w:szCs w:val="15"/>
              </w:rPr>
              <w:t>Štát pre zamestnancov v karanténe, ktorí čerpajú PN alebo OČR, uhradí 55 % z ich hrubej mzdy</w:t>
            </w:r>
          </w:p>
        </w:tc>
        <w:tc>
          <w:tcPr>
            <w:tcW w:w="2361" w:type="dxa"/>
            <w:tcBorders>
              <w:top w:val="nil"/>
              <w:left w:val="nil"/>
              <w:bottom w:val="nil"/>
              <w:right w:val="nil"/>
            </w:tcBorders>
            <w:shd w:val="clear" w:color="auto" w:fill="auto"/>
            <w:hideMark/>
          </w:tcPr>
          <w:p w14:paraId="62558289" w14:textId="604DB8FD" w:rsidR="00A918CA" w:rsidRPr="00887108" w:rsidRDefault="002E2F52" w:rsidP="00B1418D">
            <w:pPr>
              <w:rPr>
                <w:rFonts w:cs="Times New Roman"/>
                <w:b/>
                <w:color w:val="000000"/>
                <w:sz w:val="15"/>
                <w:szCs w:val="15"/>
              </w:rPr>
            </w:pPr>
            <w:r w:rsidRPr="00887108">
              <w:rPr>
                <w:rFonts w:cs="Times New Roman"/>
                <w:b/>
                <w:color w:val="000000"/>
                <w:sz w:val="15"/>
                <w:szCs w:val="15"/>
              </w:rPr>
              <w:t>Z toho:</w:t>
            </w:r>
          </w:p>
        </w:tc>
        <w:tc>
          <w:tcPr>
            <w:tcW w:w="902" w:type="dxa"/>
            <w:tcBorders>
              <w:top w:val="nil"/>
              <w:left w:val="nil"/>
              <w:bottom w:val="nil"/>
              <w:right w:val="nil"/>
            </w:tcBorders>
            <w:shd w:val="clear" w:color="auto" w:fill="auto"/>
            <w:hideMark/>
          </w:tcPr>
          <w:p w14:paraId="057DB8E9" w14:textId="20BEAC03" w:rsidR="00A918CA" w:rsidRPr="00887108" w:rsidRDefault="002E2F52" w:rsidP="00B1418D">
            <w:pPr>
              <w:rPr>
                <w:rFonts w:cs="Times New Roman"/>
                <w:b/>
                <w:color w:val="000000"/>
                <w:sz w:val="15"/>
                <w:szCs w:val="15"/>
              </w:rPr>
            </w:pPr>
            <w:r w:rsidRPr="00887108">
              <w:rPr>
                <w:rFonts w:cs="Times New Roman"/>
                <w:b/>
                <w:color w:val="000000"/>
                <w:sz w:val="15"/>
                <w:szCs w:val="15"/>
              </w:rPr>
              <w:t>Spolu</w:t>
            </w:r>
          </w:p>
        </w:tc>
        <w:tc>
          <w:tcPr>
            <w:tcW w:w="851" w:type="dxa"/>
            <w:tcBorders>
              <w:top w:val="nil"/>
              <w:left w:val="nil"/>
              <w:bottom w:val="nil"/>
              <w:right w:val="nil"/>
            </w:tcBorders>
            <w:shd w:val="clear" w:color="auto" w:fill="auto"/>
            <w:hideMark/>
          </w:tcPr>
          <w:p w14:paraId="432B6EC7" w14:textId="77777777" w:rsidR="00A918CA" w:rsidRPr="00887108" w:rsidRDefault="00A918CA" w:rsidP="00B1418D">
            <w:pPr>
              <w:rPr>
                <w:rFonts w:cs="Times New Roman"/>
                <w:b/>
                <w:color w:val="000000"/>
                <w:sz w:val="15"/>
                <w:szCs w:val="15"/>
              </w:rPr>
            </w:pPr>
            <w:r w:rsidRPr="00887108">
              <w:rPr>
                <w:rFonts w:cs="Times New Roman"/>
                <w:b/>
                <w:color w:val="000000"/>
                <w:sz w:val="15"/>
                <w:szCs w:val="15"/>
              </w:rPr>
              <w:t>schválené</w:t>
            </w:r>
          </w:p>
        </w:tc>
        <w:tc>
          <w:tcPr>
            <w:tcW w:w="709" w:type="dxa"/>
            <w:tcBorders>
              <w:top w:val="nil"/>
              <w:left w:val="nil"/>
              <w:bottom w:val="nil"/>
              <w:right w:val="nil"/>
            </w:tcBorders>
            <w:shd w:val="clear" w:color="auto" w:fill="auto"/>
            <w:hideMark/>
          </w:tcPr>
          <w:p w14:paraId="7445A19B" w14:textId="15877416" w:rsidR="00A918CA" w:rsidRPr="00887108" w:rsidRDefault="00A918CA" w:rsidP="00B1418D">
            <w:pPr>
              <w:rPr>
                <w:rFonts w:cs="Times New Roman"/>
                <w:b/>
                <w:color w:val="000000"/>
                <w:sz w:val="15"/>
                <w:szCs w:val="15"/>
              </w:rPr>
            </w:pPr>
          </w:p>
        </w:tc>
        <w:tc>
          <w:tcPr>
            <w:tcW w:w="601" w:type="dxa"/>
            <w:tcBorders>
              <w:top w:val="nil"/>
              <w:left w:val="nil"/>
              <w:bottom w:val="nil"/>
              <w:right w:val="nil"/>
            </w:tcBorders>
            <w:shd w:val="clear" w:color="auto" w:fill="auto"/>
            <w:hideMark/>
          </w:tcPr>
          <w:p w14:paraId="2E55A4EE" w14:textId="28A9DF1B" w:rsidR="00A918CA" w:rsidRPr="00887108" w:rsidRDefault="00A918CA" w:rsidP="00B1418D">
            <w:pPr>
              <w:rPr>
                <w:rFonts w:cs="Times New Roman"/>
                <w:b/>
                <w:color w:val="000000"/>
                <w:sz w:val="15"/>
                <w:szCs w:val="15"/>
              </w:rPr>
            </w:pPr>
            <w:r w:rsidRPr="00887108">
              <w:rPr>
                <w:b/>
                <w:sz w:val="15"/>
                <w:szCs w:val="15"/>
              </w:rPr>
              <w:t>-307,6</w:t>
            </w:r>
          </w:p>
        </w:tc>
        <w:tc>
          <w:tcPr>
            <w:tcW w:w="602" w:type="dxa"/>
            <w:tcBorders>
              <w:top w:val="nil"/>
              <w:left w:val="nil"/>
              <w:bottom w:val="nil"/>
              <w:right w:val="nil"/>
            </w:tcBorders>
            <w:shd w:val="clear" w:color="auto" w:fill="auto"/>
            <w:hideMark/>
          </w:tcPr>
          <w:p w14:paraId="26A50E69" w14:textId="2A49F9FA" w:rsidR="00A918CA" w:rsidRPr="00887108" w:rsidRDefault="00A918CA" w:rsidP="00B1418D">
            <w:pPr>
              <w:rPr>
                <w:rFonts w:cs="Times New Roman"/>
                <w:b/>
                <w:color w:val="000000"/>
                <w:sz w:val="15"/>
                <w:szCs w:val="15"/>
              </w:rPr>
            </w:pPr>
            <w:r w:rsidRPr="00887108">
              <w:rPr>
                <w:b/>
                <w:sz w:val="15"/>
                <w:szCs w:val="15"/>
              </w:rPr>
              <w:t>-0,3</w:t>
            </w:r>
          </w:p>
        </w:tc>
        <w:tc>
          <w:tcPr>
            <w:tcW w:w="602" w:type="dxa"/>
            <w:tcBorders>
              <w:top w:val="nil"/>
              <w:left w:val="nil"/>
              <w:bottom w:val="nil"/>
              <w:right w:val="nil"/>
            </w:tcBorders>
            <w:shd w:val="clear" w:color="auto" w:fill="auto"/>
            <w:hideMark/>
          </w:tcPr>
          <w:p w14:paraId="2526A4B8" w14:textId="0C2576D9" w:rsidR="00A918CA" w:rsidRPr="00887108" w:rsidRDefault="00A918CA" w:rsidP="00B1418D">
            <w:pPr>
              <w:rPr>
                <w:rFonts w:cs="Times New Roman"/>
                <w:b/>
                <w:color w:val="000000"/>
                <w:sz w:val="15"/>
                <w:szCs w:val="15"/>
              </w:rPr>
            </w:pPr>
            <w:r w:rsidRPr="00887108">
              <w:rPr>
                <w:b/>
                <w:sz w:val="15"/>
                <w:szCs w:val="15"/>
              </w:rPr>
              <w:t>307,6</w:t>
            </w:r>
          </w:p>
        </w:tc>
        <w:tc>
          <w:tcPr>
            <w:tcW w:w="602" w:type="dxa"/>
            <w:tcBorders>
              <w:top w:val="nil"/>
              <w:left w:val="nil"/>
              <w:bottom w:val="nil"/>
              <w:right w:val="nil"/>
            </w:tcBorders>
            <w:shd w:val="clear" w:color="auto" w:fill="auto"/>
            <w:hideMark/>
          </w:tcPr>
          <w:p w14:paraId="5689E0C3" w14:textId="6A413EAF" w:rsidR="00A918CA" w:rsidRPr="00887108" w:rsidRDefault="00A918CA" w:rsidP="00B1418D">
            <w:pPr>
              <w:rPr>
                <w:rFonts w:cs="Times New Roman"/>
                <w:b/>
                <w:color w:val="000000"/>
                <w:sz w:val="15"/>
                <w:szCs w:val="15"/>
              </w:rPr>
            </w:pPr>
            <w:r w:rsidRPr="00887108">
              <w:rPr>
                <w:b/>
                <w:sz w:val="15"/>
                <w:szCs w:val="15"/>
              </w:rPr>
              <w:t>0,3</w:t>
            </w:r>
          </w:p>
        </w:tc>
      </w:tr>
      <w:tr w:rsidR="007D5DC4" w:rsidRPr="00887108" w14:paraId="3FC841F9" w14:textId="77777777" w:rsidTr="00EA7E15">
        <w:trPr>
          <w:trHeight w:val="173"/>
        </w:trPr>
        <w:tc>
          <w:tcPr>
            <w:tcW w:w="1840" w:type="dxa"/>
            <w:tcBorders>
              <w:top w:val="nil"/>
              <w:left w:val="nil"/>
              <w:bottom w:val="nil"/>
              <w:right w:val="nil"/>
            </w:tcBorders>
            <w:shd w:val="clear" w:color="auto" w:fill="auto"/>
            <w:hideMark/>
          </w:tcPr>
          <w:p w14:paraId="171513DB" w14:textId="77777777" w:rsidR="00A918CA" w:rsidRPr="00887108" w:rsidRDefault="00A918CA" w:rsidP="00B1418D">
            <w:pPr>
              <w:rPr>
                <w:rFonts w:cs="Times New Roman"/>
                <w:color w:val="000000"/>
                <w:sz w:val="15"/>
                <w:szCs w:val="15"/>
              </w:rPr>
            </w:pPr>
          </w:p>
        </w:tc>
        <w:tc>
          <w:tcPr>
            <w:tcW w:w="2361" w:type="dxa"/>
            <w:tcBorders>
              <w:top w:val="nil"/>
              <w:left w:val="nil"/>
              <w:bottom w:val="nil"/>
              <w:right w:val="nil"/>
            </w:tcBorders>
            <w:shd w:val="clear" w:color="auto" w:fill="auto"/>
            <w:hideMark/>
          </w:tcPr>
          <w:p w14:paraId="1EA780A5" w14:textId="708E5D94" w:rsidR="00A918CA" w:rsidRPr="00887108" w:rsidRDefault="00A918CA" w:rsidP="002D0FBB">
            <w:pPr>
              <w:rPr>
                <w:rFonts w:cs="Times New Roman"/>
                <w:color w:val="000000"/>
                <w:sz w:val="15"/>
                <w:szCs w:val="15"/>
              </w:rPr>
            </w:pPr>
            <w:r w:rsidRPr="00887108">
              <w:rPr>
                <w:rFonts w:cs="Times New Roman"/>
                <w:color w:val="000000"/>
                <w:sz w:val="15"/>
                <w:szCs w:val="15"/>
              </w:rPr>
              <w:t xml:space="preserve">- nemocenské; </w:t>
            </w:r>
            <w:r w:rsidR="00FC54F9" w:rsidRPr="00887108">
              <w:rPr>
                <w:rFonts w:cs="Times New Roman"/>
                <w:color w:val="000000"/>
                <w:sz w:val="15"/>
                <w:szCs w:val="15"/>
              </w:rPr>
              <w:t>osoby</w:t>
            </w:r>
            <w:r w:rsidRPr="00887108">
              <w:rPr>
                <w:rFonts w:cs="Times New Roman"/>
                <w:color w:val="000000"/>
                <w:sz w:val="15"/>
                <w:szCs w:val="15"/>
              </w:rPr>
              <w:t xml:space="preserve">, </w:t>
            </w:r>
            <w:r w:rsidR="00FC54F9" w:rsidRPr="00887108">
              <w:rPr>
                <w:rFonts w:cs="Times New Roman"/>
                <w:color w:val="000000"/>
                <w:sz w:val="15"/>
                <w:szCs w:val="15"/>
              </w:rPr>
              <w:t>ktorým bola nariadená karanténa</w:t>
            </w:r>
            <w:r w:rsidRPr="00887108">
              <w:rPr>
                <w:rFonts w:cs="Times New Roman"/>
                <w:color w:val="000000"/>
                <w:sz w:val="15"/>
                <w:szCs w:val="15"/>
              </w:rPr>
              <w:t>, budú mať nárok na nemocenské počas celého obdobia krízy</w:t>
            </w:r>
          </w:p>
        </w:tc>
        <w:tc>
          <w:tcPr>
            <w:tcW w:w="902" w:type="dxa"/>
            <w:tcBorders>
              <w:top w:val="nil"/>
              <w:left w:val="nil"/>
              <w:bottom w:val="nil"/>
              <w:right w:val="nil"/>
            </w:tcBorders>
            <w:shd w:val="clear" w:color="auto" w:fill="auto"/>
            <w:hideMark/>
          </w:tcPr>
          <w:p w14:paraId="1AFEFA62"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nil"/>
              <w:left w:val="nil"/>
              <w:bottom w:val="nil"/>
              <w:right w:val="nil"/>
            </w:tcBorders>
            <w:shd w:val="clear" w:color="auto" w:fill="auto"/>
            <w:hideMark/>
          </w:tcPr>
          <w:p w14:paraId="42D83D2B" w14:textId="77777777" w:rsidR="00A918CA" w:rsidRPr="00887108" w:rsidRDefault="00A918CA" w:rsidP="00B1418D">
            <w:pPr>
              <w:rPr>
                <w:rFonts w:cs="Times New Roman"/>
                <w:color w:val="000000"/>
                <w:sz w:val="15"/>
                <w:szCs w:val="15"/>
              </w:rPr>
            </w:pPr>
          </w:p>
        </w:tc>
        <w:tc>
          <w:tcPr>
            <w:tcW w:w="709" w:type="dxa"/>
            <w:tcBorders>
              <w:top w:val="nil"/>
              <w:left w:val="nil"/>
              <w:bottom w:val="nil"/>
              <w:right w:val="nil"/>
            </w:tcBorders>
            <w:shd w:val="clear" w:color="auto" w:fill="auto"/>
            <w:hideMark/>
          </w:tcPr>
          <w:p w14:paraId="7CAF83F8"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nil"/>
              <w:right w:val="nil"/>
            </w:tcBorders>
            <w:shd w:val="clear" w:color="auto" w:fill="auto"/>
            <w:hideMark/>
          </w:tcPr>
          <w:p w14:paraId="7466A9C4" w14:textId="202E7D06" w:rsidR="00A918CA" w:rsidRPr="00887108" w:rsidRDefault="00A918CA" w:rsidP="00B1418D">
            <w:pPr>
              <w:rPr>
                <w:rFonts w:cs="Times New Roman"/>
                <w:color w:val="000000"/>
                <w:sz w:val="15"/>
                <w:szCs w:val="15"/>
              </w:rPr>
            </w:pPr>
            <w:r w:rsidRPr="00887108">
              <w:rPr>
                <w:sz w:val="15"/>
                <w:szCs w:val="15"/>
              </w:rPr>
              <w:t>-143,6</w:t>
            </w:r>
          </w:p>
        </w:tc>
        <w:tc>
          <w:tcPr>
            <w:tcW w:w="602" w:type="dxa"/>
            <w:tcBorders>
              <w:top w:val="nil"/>
              <w:left w:val="nil"/>
              <w:bottom w:val="nil"/>
              <w:right w:val="nil"/>
            </w:tcBorders>
            <w:shd w:val="clear" w:color="auto" w:fill="auto"/>
            <w:hideMark/>
          </w:tcPr>
          <w:p w14:paraId="218BBAF7" w14:textId="52B47DBB" w:rsidR="00A918CA" w:rsidRPr="00887108" w:rsidRDefault="00A918CA" w:rsidP="00B1418D">
            <w:pPr>
              <w:rPr>
                <w:rFonts w:cs="Times New Roman"/>
                <w:color w:val="000000"/>
                <w:sz w:val="15"/>
                <w:szCs w:val="15"/>
              </w:rPr>
            </w:pPr>
            <w:r w:rsidRPr="00887108">
              <w:rPr>
                <w:sz w:val="15"/>
                <w:szCs w:val="15"/>
              </w:rPr>
              <w:t>-0,2</w:t>
            </w:r>
          </w:p>
        </w:tc>
        <w:tc>
          <w:tcPr>
            <w:tcW w:w="602" w:type="dxa"/>
            <w:tcBorders>
              <w:top w:val="nil"/>
              <w:left w:val="nil"/>
              <w:bottom w:val="nil"/>
              <w:right w:val="nil"/>
            </w:tcBorders>
            <w:shd w:val="clear" w:color="auto" w:fill="auto"/>
            <w:hideMark/>
          </w:tcPr>
          <w:p w14:paraId="08906BD4" w14:textId="7D226557" w:rsidR="00A918CA" w:rsidRPr="00887108" w:rsidRDefault="00A918CA" w:rsidP="00B1418D">
            <w:pPr>
              <w:rPr>
                <w:rFonts w:cs="Times New Roman"/>
                <w:color w:val="000000"/>
                <w:sz w:val="15"/>
                <w:szCs w:val="15"/>
              </w:rPr>
            </w:pPr>
            <w:r w:rsidRPr="00887108">
              <w:rPr>
                <w:sz w:val="15"/>
                <w:szCs w:val="15"/>
              </w:rPr>
              <w:t>143,6</w:t>
            </w:r>
          </w:p>
        </w:tc>
        <w:tc>
          <w:tcPr>
            <w:tcW w:w="602" w:type="dxa"/>
            <w:tcBorders>
              <w:top w:val="nil"/>
              <w:left w:val="nil"/>
              <w:bottom w:val="nil"/>
              <w:right w:val="nil"/>
            </w:tcBorders>
            <w:shd w:val="clear" w:color="auto" w:fill="auto"/>
            <w:hideMark/>
          </w:tcPr>
          <w:p w14:paraId="27854C2E" w14:textId="4F3BF7F2" w:rsidR="00A918CA" w:rsidRPr="00887108" w:rsidRDefault="00A918CA" w:rsidP="00B1418D">
            <w:pPr>
              <w:rPr>
                <w:rFonts w:cs="Times New Roman"/>
                <w:color w:val="000000"/>
                <w:sz w:val="15"/>
                <w:szCs w:val="15"/>
              </w:rPr>
            </w:pPr>
            <w:r w:rsidRPr="00887108">
              <w:rPr>
                <w:sz w:val="15"/>
                <w:szCs w:val="15"/>
              </w:rPr>
              <w:t>0,2</w:t>
            </w:r>
          </w:p>
        </w:tc>
      </w:tr>
      <w:tr w:rsidR="007D5DC4" w:rsidRPr="00887108" w14:paraId="1819134A" w14:textId="77777777" w:rsidTr="00EA7E15">
        <w:trPr>
          <w:trHeight w:val="261"/>
        </w:trPr>
        <w:tc>
          <w:tcPr>
            <w:tcW w:w="1840" w:type="dxa"/>
            <w:tcBorders>
              <w:top w:val="nil"/>
              <w:left w:val="nil"/>
              <w:bottom w:val="single" w:sz="4" w:space="0" w:color="auto"/>
              <w:right w:val="nil"/>
            </w:tcBorders>
            <w:shd w:val="clear" w:color="auto" w:fill="auto"/>
            <w:hideMark/>
          </w:tcPr>
          <w:p w14:paraId="0097CF51" w14:textId="77777777" w:rsidR="00A918CA" w:rsidRPr="00887108" w:rsidRDefault="00A918CA" w:rsidP="00B1418D">
            <w:pPr>
              <w:rPr>
                <w:rFonts w:cs="Times New Roman"/>
                <w:color w:val="000000"/>
                <w:sz w:val="15"/>
                <w:szCs w:val="15"/>
              </w:rPr>
            </w:pPr>
            <w:r w:rsidRPr="00887108">
              <w:rPr>
                <w:rFonts w:cs="Times New Roman"/>
                <w:color w:val="000000"/>
                <w:sz w:val="15"/>
                <w:szCs w:val="15"/>
              </w:rPr>
              <w:t> </w:t>
            </w:r>
          </w:p>
        </w:tc>
        <w:tc>
          <w:tcPr>
            <w:tcW w:w="2361" w:type="dxa"/>
            <w:tcBorders>
              <w:top w:val="nil"/>
              <w:left w:val="nil"/>
              <w:bottom w:val="single" w:sz="4" w:space="0" w:color="auto"/>
              <w:right w:val="nil"/>
            </w:tcBorders>
            <w:shd w:val="clear" w:color="auto" w:fill="auto"/>
            <w:hideMark/>
          </w:tcPr>
          <w:p w14:paraId="5AF91271" w14:textId="06DE381E" w:rsidR="00A918CA" w:rsidRPr="00887108" w:rsidRDefault="00A918CA" w:rsidP="00B1418D">
            <w:pPr>
              <w:rPr>
                <w:rFonts w:cs="Times New Roman"/>
                <w:color w:val="000000"/>
                <w:sz w:val="15"/>
                <w:szCs w:val="15"/>
              </w:rPr>
            </w:pPr>
            <w:r w:rsidRPr="00887108">
              <w:rPr>
                <w:rFonts w:cs="Times New Roman"/>
                <w:color w:val="000000"/>
                <w:sz w:val="15"/>
                <w:szCs w:val="15"/>
              </w:rPr>
              <w:t>- ošetrovné; vzhľadom na skutočnosť, že školy sú zatvorené, majú rodičia, ktorí zostávajú doma so svojimi deťmi nárok na opatrovateľské dávky počas celého obdobia krízy</w:t>
            </w:r>
          </w:p>
        </w:tc>
        <w:tc>
          <w:tcPr>
            <w:tcW w:w="902" w:type="dxa"/>
            <w:tcBorders>
              <w:top w:val="nil"/>
              <w:left w:val="nil"/>
              <w:bottom w:val="single" w:sz="4" w:space="0" w:color="auto"/>
              <w:right w:val="nil"/>
            </w:tcBorders>
            <w:shd w:val="clear" w:color="auto" w:fill="auto"/>
            <w:hideMark/>
          </w:tcPr>
          <w:p w14:paraId="204565DA" w14:textId="6F39DBC8" w:rsidR="00A918CA" w:rsidRPr="00887108" w:rsidRDefault="00987C6C" w:rsidP="00B1418D">
            <w:pPr>
              <w:rPr>
                <w:rFonts w:cs="Times New Roman"/>
                <w:color w:val="000000"/>
                <w:sz w:val="15"/>
                <w:szCs w:val="15"/>
              </w:rPr>
            </w:pPr>
            <w:r w:rsidRPr="00887108">
              <w:rPr>
                <w:rFonts w:cs="Times New Roman"/>
                <w:color w:val="000000"/>
                <w:sz w:val="15"/>
                <w:szCs w:val="15"/>
              </w:rPr>
              <w:t>Výdavkové</w:t>
            </w:r>
            <w:r w:rsidR="00A918CA" w:rsidRPr="00887108">
              <w:rPr>
                <w:rFonts w:cs="Times New Roman"/>
                <w:color w:val="000000"/>
                <w:sz w:val="15"/>
                <w:szCs w:val="15"/>
              </w:rPr>
              <w:t xml:space="preserve"> opatrenie</w:t>
            </w:r>
          </w:p>
        </w:tc>
        <w:tc>
          <w:tcPr>
            <w:tcW w:w="851" w:type="dxa"/>
            <w:tcBorders>
              <w:top w:val="nil"/>
              <w:left w:val="nil"/>
              <w:bottom w:val="single" w:sz="4" w:space="0" w:color="auto"/>
              <w:right w:val="nil"/>
            </w:tcBorders>
            <w:shd w:val="clear" w:color="auto" w:fill="auto"/>
            <w:hideMark/>
          </w:tcPr>
          <w:p w14:paraId="2161113F" w14:textId="087D1CBA" w:rsidR="00A918CA" w:rsidRPr="00887108" w:rsidRDefault="00A918CA" w:rsidP="00B1418D">
            <w:pPr>
              <w:rPr>
                <w:rFonts w:cs="Times New Roman"/>
                <w:color w:val="000000"/>
                <w:sz w:val="15"/>
                <w:szCs w:val="15"/>
              </w:rPr>
            </w:pPr>
          </w:p>
        </w:tc>
        <w:tc>
          <w:tcPr>
            <w:tcW w:w="709" w:type="dxa"/>
            <w:tcBorders>
              <w:top w:val="nil"/>
              <w:left w:val="nil"/>
              <w:bottom w:val="single" w:sz="4" w:space="0" w:color="auto"/>
              <w:right w:val="nil"/>
            </w:tcBorders>
            <w:shd w:val="clear" w:color="auto" w:fill="auto"/>
            <w:hideMark/>
          </w:tcPr>
          <w:p w14:paraId="23DF6871"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4CB686A0" w14:textId="0E5FAC04" w:rsidR="00A918CA" w:rsidRPr="00887108" w:rsidRDefault="00A918CA" w:rsidP="00B1418D">
            <w:pPr>
              <w:rPr>
                <w:rFonts w:cs="Times New Roman"/>
                <w:color w:val="000000"/>
                <w:sz w:val="15"/>
                <w:szCs w:val="15"/>
              </w:rPr>
            </w:pPr>
            <w:r w:rsidRPr="00887108">
              <w:rPr>
                <w:sz w:val="15"/>
                <w:szCs w:val="15"/>
              </w:rPr>
              <w:t>-164,0</w:t>
            </w:r>
          </w:p>
        </w:tc>
        <w:tc>
          <w:tcPr>
            <w:tcW w:w="602" w:type="dxa"/>
            <w:tcBorders>
              <w:top w:val="nil"/>
              <w:left w:val="nil"/>
              <w:bottom w:val="single" w:sz="4" w:space="0" w:color="auto"/>
              <w:right w:val="nil"/>
            </w:tcBorders>
            <w:shd w:val="clear" w:color="auto" w:fill="auto"/>
            <w:hideMark/>
          </w:tcPr>
          <w:p w14:paraId="11577E39" w14:textId="291370DD" w:rsidR="00A918CA" w:rsidRPr="00887108" w:rsidRDefault="00A918CA" w:rsidP="00B1418D">
            <w:pPr>
              <w:rPr>
                <w:rFonts w:cs="Times New Roman"/>
                <w:color w:val="000000"/>
                <w:sz w:val="15"/>
                <w:szCs w:val="15"/>
              </w:rPr>
            </w:pPr>
            <w:r w:rsidRPr="00887108">
              <w:rPr>
                <w:sz w:val="15"/>
                <w:szCs w:val="15"/>
              </w:rPr>
              <w:t>-0,2</w:t>
            </w:r>
          </w:p>
        </w:tc>
        <w:tc>
          <w:tcPr>
            <w:tcW w:w="602" w:type="dxa"/>
            <w:tcBorders>
              <w:top w:val="nil"/>
              <w:left w:val="nil"/>
              <w:bottom w:val="single" w:sz="4" w:space="0" w:color="auto"/>
              <w:right w:val="nil"/>
            </w:tcBorders>
            <w:shd w:val="clear" w:color="auto" w:fill="auto"/>
            <w:hideMark/>
          </w:tcPr>
          <w:p w14:paraId="6491F8DE" w14:textId="776DC675" w:rsidR="00A918CA" w:rsidRPr="00887108" w:rsidRDefault="00A918CA" w:rsidP="00B1418D">
            <w:pPr>
              <w:rPr>
                <w:rFonts w:cs="Times New Roman"/>
                <w:color w:val="000000"/>
                <w:sz w:val="15"/>
                <w:szCs w:val="15"/>
              </w:rPr>
            </w:pPr>
            <w:r w:rsidRPr="00887108">
              <w:rPr>
                <w:sz w:val="15"/>
                <w:szCs w:val="15"/>
              </w:rPr>
              <w:t>164,0</w:t>
            </w:r>
          </w:p>
        </w:tc>
        <w:tc>
          <w:tcPr>
            <w:tcW w:w="602" w:type="dxa"/>
            <w:tcBorders>
              <w:top w:val="nil"/>
              <w:left w:val="nil"/>
              <w:bottom w:val="single" w:sz="4" w:space="0" w:color="auto"/>
              <w:right w:val="nil"/>
            </w:tcBorders>
            <w:shd w:val="clear" w:color="auto" w:fill="auto"/>
            <w:hideMark/>
          </w:tcPr>
          <w:p w14:paraId="4F054446" w14:textId="078BB267" w:rsidR="00A918CA" w:rsidRPr="00887108" w:rsidRDefault="00A918CA" w:rsidP="00B1418D">
            <w:pPr>
              <w:rPr>
                <w:rFonts w:cs="Times New Roman"/>
                <w:color w:val="000000"/>
                <w:sz w:val="15"/>
                <w:szCs w:val="15"/>
              </w:rPr>
            </w:pPr>
            <w:r w:rsidRPr="00887108">
              <w:rPr>
                <w:sz w:val="15"/>
                <w:szCs w:val="15"/>
              </w:rPr>
              <w:t>0,2</w:t>
            </w:r>
          </w:p>
        </w:tc>
      </w:tr>
      <w:tr w:rsidR="007D5DC4" w:rsidRPr="00887108" w14:paraId="0A421B04" w14:textId="77777777" w:rsidTr="00EA7E15">
        <w:trPr>
          <w:trHeight w:val="173"/>
        </w:trPr>
        <w:tc>
          <w:tcPr>
            <w:tcW w:w="1840" w:type="dxa"/>
            <w:tcBorders>
              <w:top w:val="nil"/>
              <w:left w:val="nil"/>
              <w:bottom w:val="single" w:sz="4" w:space="0" w:color="auto"/>
              <w:right w:val="nil"/>
            </w:tcBorders>
            <w:shd w:val="clear" w:color="auto" w:fill="auto"/>
            <w:hideMark/>
          </w:tcPr>
          <w:p w14:paraId="1505B9E7" w14:textId="08CB1A14" w:rsidR="00A918CA" w:rsidRPr="00887108" w:rsidRDefault="00A918CA" w:rsidP="007D5DC4">
            <w:pPr>
              <w:rPr>
                <w:rFonts w:cs="Times New Roman"/>
                <w:color w:val="000000"/>
                <w:sz w:val="15"/>
                <w:szCs w:val="15"/>
              </w:rPr>
            </w:pPr>
            <w:r w:rsidRPr="00887108">
              <w:rPr>
                <w:rFonts w:cs="Times New Roman"/>
                <w:color w:val="000000"/>
                <w:sz w:val="15"/>
                <w:szCs w:val="15"/>
              </w:rPr>
              <w:t>Možnosť zahrnúť straty z</w:t>
            </w:r>
            <w:r w:rsidR="007D5DC4" w:rsidRPr="00887108">
              <w:rPr>
                <w:rFonts w:cs="Times New Roman"/>
                <w:color w:val="000000"/>
                <w:sz w:val="15"/>
                <w:szCs w:val="15"/>
              </w:rPr>
              <w:t> </w:t>
            </w:r>
            <w:r w:rsidRPr="00887108">
              <w:rPr>
                <w:rFonts w:cs="Times New Roman"/>
                <w:color w:val="000000"/>
                <w:sz w:val="15"/>
                <w:szCs w:val="15"/>
              </w:rPr>
              <w:t>rok</w:t>
            </w:r>
            <w:r w:rsidR="007D5DC4" w:rsidRPr="00887108">
              <w:rPr>
                <w:rFonts w:cs="Times New Roman"/>
                <w:color w:val="000000"/>
                <w:sz w:val="15"/>
                <w:szCs w:val="15"/>
              </w:rPr>
              <w:t xml:space="preserve">ov </w:t>
            </w:r>
            <w:r w:rsidRPr="00887108">
              <w:rPr>
                <w:rFonts w:cs="Times New Roman"/>
                <w:color w:val="000000"/>
                <w:sz w:val="15"/>
                <w:szCs w:val="15"/>
              </w:rPr>
              <w:t>201</w:t>
            </w:r>
            <w:r w:rsidR="007D5DC4" w:rsidRPr="00887108">
              <w:rPr>
                <w:rFonts w:cs="Times New Roman"/>
                <w:color w:val="000000"/>
                <w:sz w:val="15"/>
                <w:szCs w:val="15"/>
              </w:rPr>
              <w:t>5 až 2018</w:t>
            </w:r>
            <w:r w:rsidRPr="00887108">
              <w:rPr>
                <w:rFonts w:cs="Times New Roman"/>
                <w:color w:val="000000"/>
                <w:sz w:val="15"/>
                <w:szCs w:val="15"/>
              </w:rPr>
              <w:t xml:space="preserve"> do</w:t>
            </w:r>
            <w:r w:rsidR="00887108">
              <w:rPr>
                <w:rFonts w:cs="Times New Roman"/>
                <w:color w:val="000000"/>
                <w:sz w:val="15"/>
                <w:szCs w:val="15"/>
              </w:rPr>
              <w:t xml:space="preserve"> </w:t>
            </w:r>
            <w:r w:rsidRPr="00887108">
              <w:rPr>
                <w:rFonts w:cs="Times New Roman"/>
                <w:color w:val="000000"/>
                <w:sz w:val="15"/>
                <w:szCs w:val="15"/>
              </w:rPr>
              <w:t>daňových priznaní za rok 2019</w:t>
            </w:r>
          </w:p>
        </w:tc>
        <w:tc>
          <w:tcPr>
            <w:tcW w:w="2361" w:type="dxa"/>
            <w:tcBorders>
              <w:top w:val="nil"/>
              <w:left w:val="nil"/>
              <w:bottom w:val="single" w:sz="4" w:space="0" w:color="auto"/>
              <w:right w:val="nil"/>
            </w:tcBorders>
            <w:shd w:val="clear" w:color="auto" w:fill="auto"/>
            <w:hideMark/>
          </w:tcPr>
          <w:p w14:paraId="17B9995A" w14:textId="20A8E630" w:rsidR="00A918CA" w:rsidRPr="00887108" w:rsidRDefault="00A918CA" w:rsidP="002D0FBB">
            <w:pPr>
              <w:rPr>
                <w:rFonts w:cs="Times New Roman"/>
                <w:color w:val="000000"/>
                <w:sz w:val="15"/>
                <w:szCs w:val="15"/>
              </w:rPr>
            </w:pPr>
            <w:r w:rsidRPr="00887108">
              <w:rPr>
                <w:rFonts w:cs="Times New Roman"/>
                <w:color w:val="000000"/>
                <w:sz w:val="15"/>
                <w:szCs w:val="15"/>
              </w:rPr>
              <w:t xml:space="preserve">Spoločnosti </w:t>
            </w:r>
            <w:r w:rsidR="007D5DC4" w:rsidRPr="00887108">
              <w:rPr>
                <w:rFonts w:cs="Times New Roman"/>
                <w:color w:val="000000"/>
                <w:sz w:val="15"/>
                <w:szCs w:val="15"/>
              </w:rPr>
              <w:t xml:space="preserve">si </w:t>
            </w:r>
            <w:r w:rsidRPr="00887108">
              <w:rPr>
                <w:rFonts w:cs="Times New Roman"/>
                <w:color w:val="000000"/>
                <w:sz w:val="15"/>
                <w:szCs w:val="15"/>
              </w:rPr>
              <w:t xml:space="preserve">môžu vo svojom daňovom priznaní za rok 2019 </w:t>
            </w:r>
            <w:r w:rsidR="007D5DC4" w:rsidRPr="00887108">
              <w:rPr>
                <w:rFonts w:cs="Times New Roman"/>
                <w:color w:val="000000"/>
                <w:sz w:val="15"/>
                <w:szCs w:val="15"/>
              </w:rPr>
              <w:t xml:space="preserve">umoriť </w:t>
            </w:r>
            <w:r w:rsidRPr="00887108">
              <w:rPr>
                <w:rFonts w:cs="Times New Roman"/>
                <w:color w:val="000000"/>
                <w:sz w:val="15"/>
                <w:szCs w:val="15"/>
              </w:rPr>
              <w:t xml:space="preserve">straty </w:t>
            </w:r>
            <w:r w:rsidR="00FC54F9" w:rsidRPr="00887108">
              <w:rPr>
                <w:rFonts w:cs="Times New Roman"/>
                <w:color w:val="000000"/>
                <w:sz w:val="15"/>
                <w:szCs w:val="15"/>
              </w:rPr>
              <w:t>od roku 2015</w:t>
            </w:r>
          </w:p>
        </w:tc>
        <w:tc>
          <w:tcPr>
            <w:tcW w:w="902" w:type="dxa"/>
            <w:tcBorders>
              <w:top w:val="nil"/>
              <w:left w:val="nil"/>
              <w:bottom w:val="single" w:sz="4" w:space="0" w:color="auto"/>
              <w:right w:val="nil"/>
            </w:tcBorders>
            <w:shd w:val="clear" w:color="auto" w:fill="auto"/>
            <w:hideMark/>
          </w:tcPr>
          <w:p w14:paraId="53C99082" w14:textId="219CE8E5" w:rsidR="00A918CA" w:rsidRPr="00887108" w:rsidRDefault="007D5DC4" w:rsidP="007D5DC4">
            <w:pPr>
              <w:rPr>
                <w:rFonts w:cs="Times New Roman"/>
                <w:color w:val="000000"/>
                <w:sz w:val="15"/>
                <w:szCs w:val="15"/>
              </w:rPr>
            </w:pPr>
            <w:r w:rsidRPr="00887108">
              <w:rPr>
                <w:rFonts w:cs="Times New Roman"/>
                <w:color w:val="000000"/>
                <w:sz w:val="15"/>
                <w:szCs w:val="15"/>
              </w:rPr>
              <w:t>Korporátna</w:t>
            </w:r>
          </w:p>
          <w:p w14:paraId="463CE1A5" w14:textId="4BE44480" w:rsidR="007D5DC4" w:rsidRPr="00887108" w:rsidRDefault="007D5DC4" w:rsidP="007D5DC4">
            <w:pPr>
              <w:rPr>
                <w:rFonts w:cs="Times New Roman"/>
                <w:color w:val="000000"/>
                <w:sz w:val="15"/>
                <w:szCs w:val="15"/>
              </w:rPr>
            </w:pPr>
            <w:r w:rsidRPr="00887108">
              <w:rPr>
                <w:rFonts w:cs="Times New Roman"/>
                <w:color w:val="000000"/>
                <w:sz w:val="15"/>
                <w:szCs w:val="15"/>
              </w:rPr>
              <w:t>daň</w:t>
            </w:r>
          </w:p>
        </w:tc>
        <w:tc>
          <w:tcPr>
            <w:tcW w:w="851" w:type="dxa"/>
            <w:tcBorders>
              <w:top w:val="nil"/>
              <w:left w:val="nil"/>
              <w:bottom w:val="single" w:sz="4" w:space="0" w:color="auto"/>
              <w:right w:val="nil"/>
            </w:tcBorders>
            <w:shd w:val="clear" w:color="auto" w:fill="auto"/>
            <w:hideMark/>
          </w:tcPr>
          <w:p w14:paraId="28A94984"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017606E0"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27F28283" w14:textId="012FC07A" w:rsidR="00A918CA" w:rsidRPr="00887108" w:rsidRDefault="00A918CA" w:rsidP="00B1418D">
            <w:pPr>
              <w:rPr>
                <w:rFonts w:cs="Times New Roman"/>
                <w:color w:val="000000"/>
                <w:sz w:val="15"/>
                <w:szCs w:val="15"/>
              </w:rPr>
            </w:pPr>
            <w:r w:rsidRPr="00887108">
              <w:rPr>
                <w:sz w:val="15"/>
                <w:szCs w:val="15"/>
              </w:rPr>
              <w:t>-42,5</w:t>
            </w:r>
          </w:p>
        </w:tc>
        <w:tc>
          <w:tcPr>
            <w:tcW w:w="602" w:type="dxa"/>
            <w:tcBorders>
              <w:top w:val="nil"/>
              <w:left w:val="nil"/>
              <w:bottom w:val="single" w:sz="4" w:space="0" w:color="auto"/>
              <w:right w:val="nil"/>
            </w:tcBorders>
            <w:shd w:val="clear" w:color="auto" w:fill="auto"/>
            <w:hideMark/>
          </w:tcPr>
          <w:p w14:paraId="1D85ABD7" w14:textId="7C73C3B9"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single" w:sz="4" w:space="0" w:color="auto"/>
              <w:right w:val="nil"/>
            </w:tcBorders>
            <w:shd w:val="clear" w:color="auto" w:fill="auto"/>
            <w:hideMark/>
          </w:tcPr>
          <w:p w14:paraId="2C1E2AB1" w14:textId="2B8B7836" w:rsidR="00A918CA" w:rsidRPr="00887108" w:rsidRDefault="00A918CA" w:rsidP="00B1418D">
            <w:pPr>
              <w:rPr>
                <w:rFonts w:cs="Times New Roman"/>
                <w:color w:val="000000"/>
                <w:sz w:val="15"/>
                <w:szCs w:val="15"/>
              </w:rPr>
            </w:pPr>
            <w:r w:rsidRPr="00887108">
              <w:rPr>
                <w:sz w:val="15"/>
                <w:szCs w:val="15"/>
              </w:rPr>
              <w:t>42,5</w:t>
            </w:r>
          </w:p>
        </w:tc>
        <w:tc>
          <w:tcPr>
            <w:tcW w:w="602" w:type="dxa"/>
            <w:tcBorders>
              <w:top w:val="nil"/>
              <w:left w:val="nil"/>
              <w:bottom w:val="single" w:sz="4" w:space="0" w:color="auto"/>
              <w:right w:val="nil"/>
            </w:tcBorders>
            <w:shd w:val="clear" w:color="auto" w:fill="auto"/>
            <w:hideMark/>
          </w:tcPr>
          <w:p w14:paraId="1C588063" w14:textId="3957BE94" w:rsidR="00A918CA" w:rsidRPr="00887108" w:rsidRDefault="00A918CA" w:rsidP="00B1418D">
            <w:pPr>
              <w:rPr>
                <w:rFonts w:cs="Times New Roman"/>
                <w:color w:val="000000"/>
                <w:sz w:val="15"/>
                <w:szCs w:val="15"/>
              </w:rPr>
            </w:pPr>
            <w:r w:rsidRPr="00887108">
              <w:rPr>
                <w:sz w:val="15"/>
                <w:szCs w:val="15"/>
              </w:rPr>
              <w:t>0,0</w:t>
            </w:r>
          </w:p>
        </w:tc>
      </w:tr>
      <w:tr w:rsidR="007D5DC4" w:rsidRPr="00887108" w14:paraId="59A75B17" w14:textId="77777777" w:rsidTr="00EA7E15">
        <w:trPr>
          <w:trHeight w:val="261"/>
        </w:trPr>
        <w:tc>
          <w:tcPr>
            <w:tcW w:w="1840" w:type="dxa"/>
            <w:tcBorders>
              <w:top w:val="nil"/>
              <w:left w:val="nil"/>
              <w:bottom w:val="single" w:sz="4" w:space="0" w:color="auto"/>
              <w:right w:val="nil"/>
            </w:tcBorders>
            <w:shd w:val="clear" w:color="auto" w:fill="auto"/>
            <w:hideMark/>
          </w:tcPr>
          <w:p w14:paraId="25131766" w14:textId="4A2A9506" w:rsidR="00A918CA" w:rsidRPr="00887108" w:rsidRDefault="00A918CA" w:rsidP="00A367D7">
            <w:pPr>
              <w:rPr>
                <w:rFonts w:cs="Times New Roman"/>
                <w:color w:val="000000"/>
                <w:sz w:val="15"/>
                <w:szCs w:val="15"/>
              </w:rPr>
            </w:pPr>
            <w:r w:rsidRPr="00887108">
              <w:rPr>
                <w:rFonts w:cs="Times New Roman"/>
                <w:color w:val="000000"/>
                <w:sz w:val="15"/>
                <w:szCs w:val="15"/>
              </w:rPr>
              <w:t>Predĺženie pobe</w:t>
            </w:r>
            <w:r w:rsidR="00A367D7" w:rsidRPr="00887108">
              <w:rPr>
                <w:rFonts w:cs="Times New Roman"/>
                <w:color w:val="000000"/>
                <w:sz w:val="15"/>
                <w:szCs w:val="15"/>
              </w:rPr>
              <w:t>rania dávky v</w:t>
            </w:r>
            <w:r w:rsidR="00DF7D8A" w:rsidRPr="00887108">
              <w:rPr>
                <w:rFonts w:cs="Times New Roman"/>
                <w:color w:val="000000"/>
                <w:sz w:val="15"/>
                <w:szCs w:val="15"/>
              </w:rPr>
              <w:t> </w:t>
            </w:r>
            <w:r w:rsidR="00A367D7" w:rsidRPr="00887108">
              <w:rPr>
                <w:rFonts w:cs="Times New Roman"/>
                <w:color w:val="000000"/>
                <w:sz w:val="15"/>
                <w:szCs w:val="15"/>
              </w:rPr>
              <w:t>nezamestnanosti</w:t>
            </w:r>
            <w:r w:rsidR="00DF7D8A" w:rsidRPr="00887108">
              <w:rPr>
                <w:rFonts w:cs="Times New Roman"/>
                <w:color w:val="000000"/>
                <w:sz w:val="15"/>
                <w:szCs w:val="15"/>
              </w:rPr>
              <w:t xml:space="preserve"> o 2 mesiace dlhšie</w:t>
            </w:r>
          </w:p>
        </w:tc>
        <w:tc>
          <w:tcPr>
            <w:tcW w:w="2361" w:type="dxa"/>
            <w:tcBorders>
              <w:top w:val="nil"/>
              <w:left w:val="nil"/>
              <w:bottom w:val="single" w:sz="4" w:space="0" w:color="auto"/>
              <w:right w:val="nil"/>
            </w:tcBorders>
            <w:shd w:val="clear" w:color="auto" w:fill="auto"/>
            <w:hideMark/>
          </w:tcPr>
          <w:p w14:paraId="687562F4" w14:textId="3EA0E747" w:rsidR="00A918CA" w:rsidRPr="00887108" w:rsidRDefault="00DF7D8A" w:rsidP="00B1418D">
            <w:pPr>
              <w:rPr>
                <w:rFonts w:ascii="Calibri" w:hAnsi="Calibri" w:cs="Times New Roman"/>
                <w:color w:val="1F497D"/>
                <w:sz w:val="15"/>
                <w:szCs w:val="15"/>
                <w:lang w:eastAsia="en-US"/>
              </w:rPr>
            </w:pPr>
            <w:r w:rsidRPr="00887108">
              <w:rPr>
                <w:color w:val="000000"/>
                <w:sz w:val="15"/>
                <w:szCs w:val="15"/>
              </w:rPr>
              <w:t>Osoby, ktorým končí obdobie poberania dávky v nezamestnanosti v čase pandémie (štandardne 6 mesiacov) budú môcť poberať dávku o 2 mesiace dlhšie.  </w:t>
            </w:r>
          </w:p>
        </w:tc>
        <w:tc>
          <w:tcPr>
            <w:tcW w:w="902" w:type="dxa"/>
            <w:tcBorders>
              <w:top w:val="nil"/>
              <w:left w:val="nil"/>
              <w:bottom w:val="single" w:sz="4" w:space="0" w:color="auto"/>
              <w:right w:val="nil"/>
            </w:tcBorders>
            <w:shd w:val="clear" w:color="auto" w:fill="auto"/>
            <w:hideMark/>
          </w:tcPr>
          <w:p w14:paraId="7A622A5A"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nil"/>
              <w:left w:val="nil"/>
              <w:bottom w:val="single" w:sz="4" w:space="0" w:color="auto"/>
              <w:right w:val="nil"/>
            </w:tcBorders>
            <w:shd w:val="clear" w:color="auto" w:fill="auto"/>
            <w:hideMark/>
          </w:tcPr>
          <w:p w14:paraId="22FFC305"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48E96843"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3D51BD30" w14:textId="36A2010C" w:rsidR="00A918CA" w:rsidRPr="00887108" w:rsidRDefault="00A918CA" w:rsidP="00B1418D">
            <w:pPr>
              <w:rPr>
                <w:rFonts w:cs="Times New Roman"/>
                <w:color w:val="000000"/>
                <w:sz w:val="15"/>
                <w:szCs w:val="15"/>
              </w:rPr>
            </w:pPr>
            <w:r w:rsidRPr="00887108">
              <w:rPr>
                <w:sz w:val="15"/>
                <w:szCs w:val="15"/>
              </w:rPr>
              <w:t>-15,0</w:t>
            </w:r>
          </w:p>
        </w:tc>
        <w:tc>
          <w:tcPr>
            <w:tcW w:w="602" w:type="dxa"/>
            <w:tcBorders>
              <w:top w:val="nil"/>
              <w:left w:val="nil"/>
              <w:bottom w:val="single" w:sz="4" w:space="0" w:color="auto"/>
              <w:right w:val="nil"/>
            </w:tcBorders>
            <w:shd w:val="clear" w:color="auto" w:fill="auto"/>
            <w:hideMark/>
          </w:tcPr>
          <w:p w14:paraId="03D3B508" w14:textId="56F57B7F"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single" w:sz="4" w:space="0" w:color="auto"/>
              <w:right w:val="nil"/>
            </w:tcBorders>
            <w:shd w:val="clear" w:color="auto" w:fill="auto"/>
            <w:hideMark/>
          </w:tcPr>
          <w:p w14:paraId="6BD4982B" w14:textId="7B4908A4" w:rsidR="00A918CA" w:rsidRPr="00887108" w:rsidRDefault="00A918CA" w:rsidP="00B1418D">
            <w:pPr>
              <w:rPr>
                <w:rFonts w:cs="Times New Roman"/>
                <w:color w:val="000000"/>
                <w:sz w:val="15"/>
                <w:szCs w:val="15"/>
              </w:rPr>
            </w:pPr>
            <w:r w:rsidRPr="00887108">
              <w:rPr>
                <w:sz w:val="15"/>
                <w:szCs w:val="15"/>
              </w:rPr>
              <w:t>15,0</w:t>
            </w:r>
          </w:p>
        </w:tc>
        <w:tc>
          <w:tcPr>
            <w:tcW w:w="602" w:type="dxa"/>
            <w:tcBorders>
              <w:top w:val="nil"/>
              <w:left w:val="nil"/>
              <w:bottom w:val="single" w:sz="4" w:space="0" w:color="auto"/>
              <w:right w:val="nil"/>
            </w:tcBorders>
            <w:shd w:val="clear" w:color="auto" w:fill="auto"/>
            <w:hideMark/>
          </w:tcPr>
          <w:p w14:paraId="55DEA687" w14:textId="385316E4" w:rsidR="00A918CA" w:rsidRPr="00887108" w:rsidRDefault="00A918CA" w:rsidP="00B1418D">
            <w:pPr>
              <w:rPr>
                <w:rFonts w:cs="Times New Roman"/>
                <w:color w:val="000000"/>
                <w:sz w:val="15"/>
                <w:szCs w:val="15"/>
              </w:rPr>
            </w:pPr>
            <w:r w:rsidRPr="00887108">
              <w:rPr>
                <w:sz w:val="15"/>
                <w:szCs w:val="15"/>
              </w:rPr>
              <w:t>0,0</w:t>
            </w:r>
          </w:p>
        </w:tc>
      </w:tr>
      <w:tr w:rsidR="007D5DC4" w:rsidRPr="00887108" w14:paraId="6D09414C" w14:textId="77777777" w:rsidTr="00EA7E15">
        <w:trPr>
          <w:trHeight w:val="173"/>
        </w:trPr>
        <w:tc>
          <w:tcPr>
            <w:tcW w:w="1840" w:type="dxa"/>
            <w:tcBorders>
              <w:top w:val="nil"/>
              <w:left w:val="nil"/>
              <w:bottom w:val="single" w:sz="4" w:space="0" w:color="auto"/>
              <w:right w:val="nil"/>
            </w:tcBorders>
            <w:shd w:val="clear" w:color="auto" w:fill="auto"/>
            <w:hideMark/>
          </w:tcPr>
          <w:p w14:paraId="045E573A" w14:textId="77777777" w:rsidR="00A918CA" w:rsidRPr="00887108" w:rsidRDefault="00A918CA" w:rsidP="00B1418D">
            <w:pPr>
              <w:rPr>
                <w:rFonts w:cs="Times New Roman"/>
                <w:color w:val="000000"/>
                <w:sz w:val="15"/>
                <w:szCs w:val="15"/>
              </w:rPr>
            </w:pPr>
            <w:r w:rsidRPr="00887108">
              <w:rPr>
                <w:rFonts w:cs="Times New Roman"/>
                <w:color w:val="000000"/>
                <w:sz w:val="15"/>
                <w:szCs w:val="15"/>
              </w:rPr>
              <w:t>Pozastavenie daňových kontrol a konaní</w:t>
            </w:r>
          </w:p>
        </w:tc>
        <w:tc>
          <w:tcPr>
            <w:tcW w:w="2361" w:type="dxa"/>
            <w:tcBorders>
              <w:top w:val="nil"/>
              <w:left w:val="nil"/>
              <w:bottom w:val="single" w:sz="4" w:space="0" w:color="auto"/>
              <w:right w:val="nil"/>
            </w:tcBorders>
            <w:shd w:val="clear" w:color="auto" w:fill="auto"/>
            <w:hideMark/>
          </w:tcPr>
          <w:p w14:paraId="324505B1" w14:textId="161B9C82" w:rsidR="00A918CA" w:rsidRPr="00887108" w:rsidRDefault="00A918CA" w:rsidP="00B1418D">
            <w:pPr>
              <w:rPr>
                <w:rFonts w:cs="Times New Roman"/>
                <w:color w:val="000000"/>
                <w:sz w:val="15"/>
                <w:szCs w:val="15"/>
              </w:rPr>
            </w:pPr>
          </w:p>
        </w:tc>
        <w:tc>
          <w:tcPr>
            <w:tcW w:w="902" w:type="dxa"/>
            <w:tcBorders>
              <w:top w:val="nil"/>
              <w:left w:val="nil"/>
              <w:bottom w:val="single" w:sz="4" w:space="0" w:color="auto"/>
              <w:right w:val="nil"/>
            </w:tcBorders>
            <w:shd w:val="clear" w:color="auto" w:fill="auto"/>
            <w:hideMark/>
          </w:tcPr>
          <w:p w14:paraId="1CF824EE" w14:textId="4B3D0598" w:rsidR="00A918CA" w:rsidRPr="00887108" w:rsidRDefault="00987C6C" w:rsidP="00B1418D">
            <w:pPr>
              <w:rPr>
                <w:rFonts w:cs="Times New Roman"/>
                <w:color w:val="000000"/>
                <w:sz w:val="15"/>
                <w:szCs w:val="15"/>
              </w:rPr>
            </w:pPr>
            <w:r w:rsidRPr="00887108">
              <w:rPr>
                <w:rFonts w:cs="Times New Roman"/>
                <w:color w:val="000000"/>
                <w:sz w:val="15"/>
                <w:szCs w:val="15"/>
              </w:rPr>
              <w:t>Daňové</w:t>
            </w:r>
            <w:r w:rsidR="00A918CA" w:rsidRPr="00887108">
              <w:rPr>
                <w:rFonts w:cs="Times New Roman"/>
                <w:color w:val="000000"/>
                <w:sz w:val="15"/>
                <w:szCs w:val="15"/>
              </w:rPr>
              <w:t xml:space="preserve"> príjmy</w:t>
            </w:r>
          </w:p>
        </w:tc>
        <w:tc>
          <w:tcPr>
            <w:tcW w:w="851" w:type="dxa"/>
            <w:tcBorders>
              <w:top w:val="nil"/>
              <w:left w:val="nil"/>
              <w:bottom w:val="single" w:sz="4" w:space="0" w:color="auto"/>
              <w:right w:val="nil"/>
            </w:tcBorders>
            <w:shd w:val="clear" w:color="auto" w:fill="auto"/>
            <w:hideMark/>
          </w:tcPr>
          <w:p w14:paraId="76AD78D4"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780149F5"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647F4066" w14:textId="6E5BE22A" w:rsidR="00A918CA" w:rsidRPr="00887108" w:rsidRDefault="00A918CA" w:rsidP="00B1418D">
            <w:pPr>
              <w:rPr>
                <w:rFonts w:cs="Times New Roman"/>
                <w:color w:val="000000"/>
                <w:sz w:val="15"/>
                <w:szCs w:val="15"/>
              </w:rPr>
            </w:pPr>
            <w:r w:rsidRPr="00887108">
              <w:rPr>
                <w:sz w:val="15"/>
                <w:szCs w:val="15"/>
              </w:rPr>
              <w:t>-13,0</w:t>
            </w:r>
          </w:p>
        </w:tc>
        <w:tc>
          <w:tcPr>
            <w:tcW w:w="602" w:type="dxa"/>
            <w:tcBorders>
              <w:top w:val="nil"/>
              <w:left w:val="nil"/>
              <w:bottom w:val="single" w:sz="4" w:space="0" w:color="auto"/>
              <w:right w:val="nil"/>
            </w:tcBorders>
            <w:shd w:val="clear" w:color="auto" w:fill="auto"/>
            <w:hideMark/>
          </w:tcPr>
          <w:p w14:paraId="00D687C3" w14:textId="65CBADDC"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single" w:sz="4" w:space="0" w:color="auto"/>
              <w:right w:val="nil"/>
            </w:tcBorders>
            <w:shd w:val="clear" w:color="auto" w:fill="auto"/>
            <w:hideMark/>
          </w:tcPr>
          <w:p w14:paraId="4122FD3C" w14:textId="296CCA80" w:rsidR="00A918CA" w:rsidRPr="00887108" w:rsidRDefault="00A918CA" w:rsidP="00B1418D">
            <w:pPr>
              <w:rPr>
                <w:rFonts w:cs="Times New Roman"/>
                <w:color w:val="000000"/>
                <w:sz w:val="15"/>
                <w:szCs w:val="15"/>
              </w:rPr>
            </w:pPr>
            <w:r w:rsidRPr="00887108">
              <w:rPr>
                <w:sz w:val="15"/>
                <w:szCs w:val="15"/>
              </w:rPr>
              <w:t>13,0</w:t>
            </w:r>
          </w:p>
        </w:tc>
        <w:tc>
          <w:tcPr>
            <w:tcW w:w="602" w:type="dxa"/>
            <w:tcBorders>
              <w:top w:val="nil"/>
              <w:left w:val="nil"/>
              <w:bottom w:val="single" w:sz="4" w:space="0" w:color="auto"/>
              <w:right w:val="nil"/>
            </w:tcBorders>
            <w:shd w:val="clear" w:color="auto" w:fill="auto"/>
            <w:hideMark/>
          </w:tcPr>
          <w:p w14:paraId="7659C5E1" w14:textId="42F54EBD" w:rsidR="00A918CA" w:rsidRPr="00887108" w:rsidRDefault="00A918CA" w:rsidP="00B1418D">
            <w:pPr>
              <w:rPr>
                <w:rFonts w:cs="Times New Roman"/>
                <w:color w:val="000000"/>
                <w:sz w:val="15"/>
                <w:szCs w:val="15"/>
              </w:rPr>
            </w:pPr>
            <w:r w:rsidRPr="00887108">
              <w:rPr>
                <w:sz w:val="15"/>
                <w:szCs w:val="15"/>
              </w:rPr>
              <w:t>0,0</w:t>
            </w:r>
          </w:p>
        </w:tc>
      </w:tr>
      <w:tr w:rsidR="007D5DC4" w:rsidRPr="00887108" w14:paraId="198A347C" w14:textId="77777777" w:rsidTr="00EA7E15">
        <w:trPr>
          <w:trHeight w:val="173"/>
        </w:trPr>
        <w:tc>
          <w:tcPr>
            <w:tcW w:w="1840" w:type="dxa"/>
            <w:tcBorders>
              <w:top w:val="nil"/>
              <w:left w:val="nil"/>
              <w:bottom w:val="single" w:sz="4" w:space="0" w:color="auto"/>
              <w:right w:val="nil"/>
            </w:tcBorders>
            <w:shd w:val="clear" w:color="auto" w:fill="auto"/>
            <w:hideMark/>
          </w:tcPr>
          <w:p w14:paraId="171AE47E" w14:textId="77777777" w:rsidR="00A918CA" w:rsidRPr="00887108" w:rsidRDefault="00A918CA" w:rsidP="00B1418D">
            <w:pPr>
              <w:rPr>
                <w:rFonts w:cs="Times New Roman"/>
                <w:color w:val="000000"/>
                <w:sz w:val="15"/>
                <w:szCs w:val="15"/>
              </w:rPr>
            </w:pPr>
            <w:r w:rsidRPr="00887108">
              <w:rPr>
                <w:rFonts w:cs="Times New Roman"/>
                <w:color w:val="000000"/>
                <w:sz w:val="15"/>
                <w:szCs w:val="15"/>
              </w:rPr>
              <w:t>Lehota na podanie daňového priznania dani z motorových vozidiel</w:t>
            </w:r>
          </w:p>
        </w:tc>
        <w:tc>
          <w:tcPr>
            <w:tcW w:w="2361" w:type="dxa"/>
            <w:tcBorders>
              <w:top w:val="nil"/>
              <w:left w:val="nil"/>
              <w:bottom w:val="single" w:sz="4" w:space="0" w:color="auto"/>
              <w:right w:val="nil"/>
            </w:tcBorders>
            <w:shd w:val="clear" w:color="auto" w:fill="auto"/>
            <w:hideMark/>
          </w:tcPr>
          <w:p w14:paraId="7DBC6E31" w14:textId="3C4FF740" w:rsidR="00A918CA" w:rsidRPr="00887108" w:rsidRDefault="00A918CA" w:rsidP="00B1418D">
            <w:pPr>
              <w:rPr>
                <w:rFonts w:cs="Times New Roman"/>
                <w:color w:val="000000"/>
                <w:sz w:val="15"/>
                <w:szCs w:val="15"/>
              </w:rPr>
            </w:pPr>
          </w:p>
        </w:tc>
        <w:tc>
          <w:tcPr>
            <w:tcW w:w="902" w:type="dxa"/>
            <w:tcBorders>
              <w:top w:val="nil"/>
              <w:left w:val="nil"/>
              <w:bottom w:val="single" w:sz="4" w:space="0" w:color="auto"/>
              <w:right w:val="nil"/>
            </w:tcBorders>
            <w:shd w:val="clear" w:color="auto" w:fill="auto"/>
            <w:hideMark/>
          </w:tcPr>
          <w:p w14:paraId="40DC4563" w14:textId="1AD6E2C1" w:rsidR="00A918CA" w:rsidRPr="00887108" w:rsidRDefault="00987C6C" w:rsidP="00B1418D">
            <w:pPr>
              <w:rPr>
                <w:rFonts w:cs="Times New Roman"/>
                <w:color w:val="000000"/>
                <w:sz w:val="15"/>
                <w:szCs w:val="15"/>
              </w:rPr>
            </w:pPr>
            <w:r w:rsidRPr="00887108">
              <w:rPr>
                <w:rFonts w:cs="Times New Roman"/>
                <w:color w:val="000000"/>
                <w:sz w:val="15"/>
                <w:szCs w:val="15"/>
              </w:rPr>
              <w:t>Daňové</w:t>
            </w:r>
            <w:r w:rsidR="00A918CA" w:rsidRPr="00887108">
              <w:rPr>
                <w:rFonts w:cs="Times New Roman"/>
                <w:color w:val="000000"/>
                <w:sz w:val="15"/>
                <w:szCs w:val="15"/>
              </w:rPr>
              <w:t xml:space="preserve"> príjmy</w:t>
            </w:r>
          </w:p>
        </w:tc>
        <w:tc>
          <w:tcPr>
            <w:tcW w:w="851" w:type="dxa"/>
            <w:tcBorders>
              <w:top w:val="nil"/>
              <w:left w:val="nil"/>
              <w:bottom w:val="single" w:sz="4" w:space="0" w:color="auto"/>
              <w:right w:val="nil"/>
            </w:tcBorders>
            <w:shd w:val="clear" w:color="auto" w:fill="auto"/>
            <w:hideMark/>
          </w:tcPr>
          <w:p w14:paraId="5D5EBCE8"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1681F73C"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12F6824E" w14:textId="71DEFBEC" w:rsidR="00A918CA" w:rsidRPr="00887108" w:rsidRDefault="00A918CA" w:rsidP="00B1418D">
            <w:pPr>
              <w:rPr>
                <w:rFonts w:cs="Times New Roman"/>
                <w:color w:val="000000"/>
                <w:sz w:val="15"/>
                <w:szCs w:val="15"/>
              </w:rPr>
            </w:pPr>
            <w:r w:rsidRPr="00887108">
              <w:rPr>
                <w:sz w:val="15"/>
                <w:szCs w:val="15"/>
              </w:rPr>
              <w:t>-5,0</w:t>
            </w:r>
          </w:p>
        </w:tc>
        <w:tc>
          <w:tcPr>
            <w:tcW w:w="602" w:type="dxa"/>
            <w:tcBorders>
              <w:top w:val="nil"/>
              <w:left w:val="nil"/>
              <w:bottom w:val="single" w:sz="4" w:space="0" w:color="auto"/>
              <w:right w:val="nil"/>
            </w:tcBorders>
            <w:shd w:val="clear" w:color="auto" w:fill="auto"/>
            <w:hideMark/>
          </w:tcPr>
          <w:p w14:paraId="15F1A515" w14:textId="7618032D"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single" w:sz="4" w:space="0" w:color="auto"/>
              <w:right w:val="nil"/>
            </w:tcBorders>
            <w:shd w:val="clear" w:color="auto" w:fill="auto"/>
            <w:hideMark/>
          </w:tcPr>
          <w:p w14:paraId="7256D9B0" w14:textId="0D3A8F14" w:rsidR="00A918CA" w:rsidRPr="00887108" w:rsidRDefault="00A918CA" w:rsidP="00B1418D">
            <w:pPr>
              <w:rPr>
                <w:rFonts w:cs="Times New Roman"/>
                <w:color w:val="000000"/>
                <w:sz w:val="15"/>
                <w:szCs w:val="15"/>
              </w:rPr>
            </w:pPr>
            <w:r w:rsidRPr="00887108">
              <w:rPr>
                <w:sz w:val="15"/>
                <w:szCs w:val="15"/>
              </w:rPr>
              <w:t>5,0</w:t>
            </w:r>
          </w:p>
        </w:tc>
        <w:tc>
          <w:tcPr>
            <w:tcW w:w="602" w:type="dxa"/>
            <w:tcBorders>
              <w:top w:val="nil"/>
              <w:left w:val="nil"/>
              <w:bottom w:val="single" w:sz="4" w:space="0" w:color="auto"/>
              <w:right w:val="nil"/>
            </w:tcBorders>
            <w:shd w:val="clear" w:color="auto" w:fill="auto"/>
            <w:hideMark/>
          </w:tcPr>
          <w:p w14:paraId="08EA2496" w14:textId="12B3E8C3" w:rsidR="00A918CA" w:rsidRPr="00887108" w:rsidRDefault="00A918CA" w:rsidP="00B1418D">
            <w:pPr>
              <w:rPr>
                <w:rFonts w:cs="Times New Roman"/>
                <w:color w:val="000000"/>
                <w:sz w:val="15"/>
                <w:szCs w:val="15"/>
              </w:rPr>
            </w:pPr>
            <w:r w:rsidRPr="00887108">
              <w:rPr>
                <w:sz w:val="15"/>
                <w:szCs w:val="15"/>
              </w:rPr>
              <w:t>0,0</w:t>
            </w:r>
          </w:p>
        </w:tc>
      </w:tr>
      <w:tr w:rsidR="007D5DC4" w:rsidRPr="00887108" w14:paraId="06AA2B65" w14:textId="77777777" w:rsidTr="00EA7E15">
        <w:trPr>
          <w:trHeight w:val="173"/>
        </w:trPr>
        <w:tc>
          <w:tcPr>
            <w:tcW w:w="1840" w:type="dxa"/>
            <w:tcBorders>
              <w:top w:val="nil"/>
              <w:left w:val="nil"/>
              <w:bottom w:val="single" w:sz="4" w:space="0" w:color="auto"/>
              <w:right w:val="nil"/>
            </w:tcBorders>
            <w:shd w:val="clear" w:color="auto" w:fill="auto"/>
            <w:hideMark/>
          </w:tcPr>
          <w:p w14:paraId="660C300B" w14:textId="77777777" w:rsidR="00A918CA" w:rsidRPr="00887108" w:rsidRDefault="00A918CA" w:rsidP="00B1418D">
            <w:pPr>
              <w:rPr>
                <w:rFonts w:cs="Times New Roman"/>
                <w:color w:val="000000"/>
                <w:sz w:val="15"/>
                <w:szCs w:val="15"/>
              </w:rPr>
            </w:pPr>
            <w:r w:rsidRPr="00887108">
              <w:rPr>
                <w:rFonts w:cs="Times New Roman"/>
                <w:color w:val="000000"/>
                <w:sz w:val="15"/>
                <w:szCs w:val="15"/>
              </w:rPr>
              <w:t>Odpustenie soc. a zdravotného poistného zamestnávateľa (zavreté prevádzky)</w:t>
            </w:r>
          </w:p>
        </w:tc>
        <w:tc>
          <w:tcPr>
            <w:tcW w:w="2361" w:type="dxa"/>
            <w:tcBorders>
              <w:top w:val="nil"/>
              <w:left w:val="nil"/>
              <w:bottom w:val="single" w:sz="4" w:space="0" w:color="auto"/>
              <w:right w:val="nil"/>
            </w:tcBorders>
            <w:shd w:val="clear" w:color="auto" w:fill="auto"/>
            <w:hideMark/>
          </w:tcPr>
          <w:p w14:paraId="7C9BFC45" w14:textId="77777777" w:rsidR="00A918CA" w:rsidRPr="00887108" w:rsidRDefault="00A918CA" w:rsidP="00B1418D">
            <w:pPr>
              <w:rPr>
                <w:rFonts w:cs="Times New Roman"/>
                <w:color w:val="000000"/>
                <w:sz w:val="15"/>
                <w:szCs w:val="15"/>
              </w:rPr>
            </w:pPr>
            <w:r w:rsidRPr="00887108">
              <w:rPr>
                <w:rFonts w:cs="Times New Roman"/>
                <w:color w:val="000000"/>
                <w:sz w:val="15"/>
                <w:szCs w:val="15"/>
              </w:rPr>
              <w:t>V prípade, že prevádzka bola zavretá rozhodnutím štátu, platba odvodov je v danom období odpustená</w:t>
            </w:r>
          </w:p>
        </w:tc>
        <w:tc>
          <w:tcPr>
            <w:tcW w:w="902" w:type="dxa"/>
            <w:tcBorders>
              <w:top w:val="nil"/>
              <w:left w:val="nil"/>
              <w:bottom w:val="single" w:sz="4" w:space="0" w:color="auto"/>
              <w:right w:val="nil"/>
            </w:tcBorders>
            <w:shd w:val="clear" w:color="auto" w:fill="auto"/>
            <w:hideMark/>
          </w:tcPr>
          <w:p w14:paraId="0729E0F3" w14:textId="77777777" w:rsidR="00A918CA" w:rsidRPr="00887108" w:rsidRDefault="00A918CA" w:rsidP="00B1418D">
            <w:pPr>
              <w:rPr>
                <w:rFonts w:cs="Times New Roman"/>
                <w:color w:val="000000"/>
                <w:sz w:val="15"/>
                <w:szCs w:val="15"/>
              </w:rPr>
            </w:pPr>
            <w:r w:rsidRPr="00887108">
              <w:rPr>
                <w:rFonts w:cs="Times New Roman"/>
                <w:color w:val="000000"/>
                <w:sz w:val="15"/>
                <w:szCs w:val="15"/>
              </w:rPr>
              <w:t>Sociálne odvody</w:t>
            </w:r>
          </w:p>
        </w:tc>
        <w:tc>
          <w:tcPr>
            <w:tcW w:w="851" w:type="dxa"/>
            <w:tcBorders>
              <w:top w:val="nil"/>
              <w:left w:val="nil"/>
              <w:bottom w:val="single" w:sz="4" w:space="0" w:color="auto"/>
              <w:right w:val="nil"/>
            </w:tcBorders>
            <w:shd w:val="clear" w:color="auto" w:fill="auto"/>
            <w:hideMark/>
          </w:tcPr>
          <w:p w14:paraId="6CA783BF"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71761C70"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5B2DDDD0" w14:textId="4AF643D5" w:rsidR="00A918CA" w:rsidRPr="00887108" w:rsidRDefault="00A918CA" w:rsidP="00B1418D">
            <w:pPr>
              <w:rPr>
                <w:rFonts w:cs="Times New Roman"/>
                <w:color w:val="000000"/>
                <w:sz w:val="15"/>
                <w:szCs w:val="15"/>
              </w:rPr>
            </w:pPr>
            <w:r w:rsidRPr="00887108">
              <w:rPr>
                <w:sz w:val="15"/>
                <w:szCs w:val="15"/>
              </w:rPr>
              <w:t>-44,5</w:t>
            </w:r>
          </w:p>
        </w:tc>
        <w:tc>
          <w:tcPr>
            <w:tcW w:w="602" w:type="dxa"/>
            <w:tcBorders>
              <w:top w:val="nil"/>
              <w:left w:val="nil"/>
              <w:bottom w:val="single" w:sz="4" w:space="0" w:color="auto"/>
              <w:right w:val="nil"/>
            </w:tcBorders>
            <w:shd w:val="clear" w:color="auto" w:fill="auto"/>
            <w:hideMark/>
          </w:tcPr>
          <w:p w14:paraId="09A34869" w14:textId="46DB885A"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single" w:sz="4" w:space="0" w:color="auto"/>
              <w:right w:val="nil"/>
            </w:tcBorders>
            <w:shd w:val="clear" w:color="auto" w:fill="auto"/>
            <w:hideMark/>
          </w:tcPr>
          <w:p w14:paraId="581DA16F" w14:textId="0BAF2EC3" w:rsidR="00A918CA" w:rsidRPr="00887108" w:rsidRDefault="00A918CA" w:rsidP="00B1418D">
            <w:pPr>
              <w:rPr>
                <w:rFonts w:cs="Times New Roman"/>
                <w:color w:val="000000"/>
                <w:sz w:val="15"/>
                <w:szCs w:val="15"/>
              </w:rPr>
            </w:pPr>
            <w:r w:rsidRPr="00887108">
              <w:rPr>
                <w:sz w:val="15"/>
                <w:szCs w:val="15"/>
              </w:rPr>
              <w:t>44,5</w:t>
            </w:r>
          </w:p>
        </w:tc>
        <w:tc>
          <w:tcPr>
            <w:tcW w:w="602" w:type="dxa"/>
            <w:tcBorders>
              <w:top w:val="nil"/>
              <w:left w:val="nil"/>
              <w:bottom w:val="single" w:sz="4" w:space="0" w:color="auto"/>
              <w:right w:val="nil"/>
            </w:tcBorders>
            <w:shd w:val="clear" w:color="auto" w:fill="auto"/>
            <w:hideMark/>
          </w:tcPr>
          <w:p w14:paraId="03C70F7F" w14:textId="06A0464F" w:rsidR="00A918CA" w:rsidRPr="00887108" w:rsidRDefault="00A918CA" w:rsidP="00B1418D">
            <w:pPr>
              <w:rPr>
                <w:rFonts w:cs="Times New Roman"/>
                <w:color w:val="000000"/>
                <w:sz w:val="15"/>
                <w:szCs w:val="15"/>
              </w:rPr>
            </w:pPr>
            <w:r w:rsidRPr="00887108">
              <w:rPr>
                <w:sz w:val="15"/>
                <w:szCs w:val="15"/>
              </w:rPr>
              <w:t>0,0</w:t>
            </w:r>
          </w:p>
        </w:tc>
      </w:tr>
      <w:tr w:rsidR="007D5DC4" w:rsidRPr="00887108" w14:paraId="75477CF7" w14:textId="77777777" w:rsidTr="00EA7E15">
        <w:trPr>
          <w:trHeight w:val="173"/>
        </w:trPr>
        <w:tc>
          <w:tcPr>
            <w:tcW w:w="1840" w:type="dxa"/>
            <w:tcBorders>
              <w:top w:val="nil"/>
              <w:left w:val="nil"/>
              <w:bottom w:val="single" w:sz="4" w:space="0" w:color="auto"/>
              <w:right w:val="nil"/>
            </w:tcBorders>
            <w:shd w:val="clear" w:color="auto" w:fill="auto"/>
            <w:hideMark/>
          </w:tcPr>
          <w:p w14:paraId="494F7445" w14:textId="77777777" w:rsidR="00A918CA" w:rsidRPr="00887108" w:rsidRDefault="00A918CA" w:rsidP="00B1418D">
            <w:pPr>
              <w:rPr>
                <w:rFonts w:cs="Times New Roman"/>
                <w:color w:val="000000"/>
                <w:sz w:val="15"/>
                <w:szCs w:val="15"/>
              </w:rPr>
            </w:pPr>
            <w:r w:rsidRPr="00887108">
              <w:rPr>
                <w:rFonts w:cs="Times New Roman"/>
                <w:color w:val="000000"/>
                <w:sz w:val="15"/>
                <w:szCs w:val="15"/>
              </w:rPr>
              <w:t>Pomoc v hmotnej núdzi</w:t>
            </w:r>
          </w:p>
        </w:tc>
        <w:tc>
          <w:tcPr>
            <w:tcW w:w="2361" w:type="dxa"/>
            <w:tcBorders>
              <w:top w:val="nil"/>
              <w:left w:val="nil"/>
              <w:bottom w:val="single" w:sz="4" w:space="0" w:color="auto"/>
              <w:right w:val="nil"/>
            </w:tcBorders>
            <w:shd w:val="clear" w:color="auto" w:fill="auto"/>
            <w:hideMark/>
          </w:tcPr>
          <w:p w14:paraId="082C45D9" w14:textId="5641C5F4" w:rsidR="00A918CA" w:rsidRPr="00887108" w:rsidRDefault="002D0FBB" w:rsidP="002D0FBB">
            <w:pPr>
              <w:rPr>
                <w:rFonts w:cs="Times New Roman"/>
                <w:color w:val="000000"/>
                <w:sz w:val="15"/>
                <w:szCs w:val="15"/>
              </w:rPr>
            </w:pPr>
            <w:r w:rsidRPr="00887108">
              <w:rPr>
                <w:rFonts w:cs="Times New Roman"/>
                <w:color w:val="000000"/>
                <w:sz w:val="15"/>
                <w:szCs w:val="15"/>
              </w:rPr>
              <w:t>Zaviedol sa ochranný príspevok pre ľudí, ktorí počas koronakrízy nemôžu vykonávať aktivačné práce</w:t>
            </w:r>
          </w:p>
        </w:tc>
        <w:tc>
          <w:tcPr>
            <w:tcW w:w="902" w:type="dxa"/>
            <w:tcBorders>
              <w:top w:val="nil"/>
              <w:left w:val="nil"/>
              <w:bottom w:val="single" w:sz="4" w:space="0" w:color="auto"/>
              <w:right w:val="nil"/>
            </w:tcBorders>
            <w:shd w:val="clear" w:color="auto" w:fill="auto"/>
            <w:hideMark/>
          </w:tcPr>
          <w:p w14:paraId="258053F3"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nil"/>
              <w:left w:val="nil"/>
              <w:bottom w:val="single" w:sz="4" w:space="0" w:color="auto"/>
              <w:right w:val="nil"/>
            </w:tcBorders>
            <w:shd w:val="clear" w:color="auto" w:fill="auto"/>
            <w:hideMark/>
          </w:tcPr>
          <w:p w14:paraId="47215B02"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65AD2B60"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3F65DEF0" w14:textId="572CFCF8" w:rsidR="00A918CA" w:rsidRPr="00887108" w:rsidRDefault="00A918CA" w:rsidP="00B1418D">
            <w:pPr>
              <w:rPr>
                <w:rFonts w:cs="Times New Roman"/>
                <w:color w:val="000000"/>
                <w:sz w:val="15"/>
                <w:szCs w:val="15"/>
              </w:rPr>
            </w:pPr>
            <w:r w:rsidRPr="00887108">
              <w:rPr>
                <w:sz w:val="15"/>
                <w:szCs w:val="15"/>
              </w:rPr>
              <w:t>-5,1</w:t>
            </w:r>
          </w:p>
        </w:tc>
        <w:tc>
          <w:tcPr>
            <w:tcW w:w="602" w:type="dxa"/>
            <w:tcBorders>
              <w:top w:val="nil"/>
              <w:left w:val="nil"/>
              <w:bottom w:val="single" w:sz="4" w:space="0" w:color="auto"/>
              <w:right w:val="nil"/>
            </w:tcBorders>
            <w:shd w:val="clear" w:color="auto" w:fill="auto"/>
            <w:hideMark/>
          </w:tcPr>
          <w:p w14:paraId="42266797" w14:textId="176A7BA2"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single" w:sz="4" w:space="0" w:color="auto"/>
              <w:right w:val="nil"/>
            </w:tcBorders>
            <w:shd w:val="clear" w:color="auto" w:fill="auto"/>
            <w:hideMark/>
          </w:tcPr>
          <w:p w14:paraId="5660F3DB" w14:textId="3BF92B90" w:rsidR="00A918CA" w:rsidRPr="00887108" w:rsidRDefault="00A918CA" w:rsidP="00B1418D">
            <w:pPr>
              <w:rPr>
                <w:rFonts w:cs="Times New Roman"/>
                <w:color w:val="000000"/>
                <w:sz w:val="15"/>
                <w:szCs w:val="15"/>
              </w:rPr>
            </w:pPr>
            <w:r w:rsidRPr="00887108">
              <w:rPr>
                <w:sz w:val="15"/>
                <w:szCs w:val="15"/>
              </w:rPr>
              <w:t>5,1</w:t>
            </w:r>
          </w:p>
        </w:tc>
        <w:tc>
          <w:tcPr>
            <w:tcW w:w="602" w:type="dxa"/>
            <w:tcBorders>
              <w:top w:val="nil"/>
              <w:left w:val="nil"/>
              <w:bottom w:val="single" w:sz="4" w:space="0" w:color="auto"/>
              <w:right w:val="nil"/>
            </w:tcBorders>
            <w:shd w:val="clear" w:color="auto" w:fill="auto"/>
            <w:hideMark/>
          </w:tcPr>
          <w:p w14:paraId="6077F6E4" w14:textId="33A65EB4" w:rsidR="00A918CA" w:rsidRPr="00887108" w:rsidRDefault="00A918CA" w:rsidP="00B1418D">
            <w:pPr>
              <w:rPr>
                <w:rFonts w:cs="Times New Roman"/>
                <w:color w:val="000000"/>
                <w:sz w:val="15"/>
                <w:szCs w:val="15"/>
              </w:rPr>
            </w:pPr>
            <w:r w:rsidRPr="00887108">
              <w:rPr>
                <w:sz w:val="15"/>
                <w:szCs w:val="15"/>
              </w:rPr>
              <w:t>0,0</w:t>
            </w:r>
          </w:p>
        </w:tc>
      </w:tr>
      <w:tr w:rsidR="007D5DC4" w:rsidRPr="00887108" w14:paraId="63E1E2CC" w14:textId="77777777" w:rsidTr="00EA7E15">
        <w:trPr>
          <w:trHeight w:val="173"/>
        </w:trPr>
        <w:tc>
          <w:tcPr>
            <w:tcW w:w="1840" w:type="dxa"/>
            <w:tcBorders>
              <w:top w:val="nil"/>
              <w:left w:val="nil"/>
              <w:bottom w:val="nil"/>
              <w:right w:val="nil"/>
            </w:tcBorders>
            <w:shd w:val="clear" w:color="auto" w:fill="auto"/>
            <w:hideMark/>
          </w:tcPr>
          <w:p w14:paraId="5291FE66" w14:textId="77777777" w:rsidR="00A918CA" w:rsidRPr="00887108" w:rsidRDefault="00A918CA" w:rsidP="00B1418D">
            <w:pPr>
              <w:rPr>
                <w:rFonts w:cs="Times New Roman"/>
                <w:b/>
                <w:color w:val="000000"/>
                <w:sz w:val="15"/>
                <w:szCs w:val="15"/>
              </w:rPr>
            </w:pPr>
            <w:r w:rsidRPr="00887108">
              <w:rPr>
                <w:rFonts w:cs="Times New Roman"/>
                <w:b/>
                <w:color w:val="000000"/>
                <w:sz w:val="15"/>
                <w:szCs w:val="15"/>
              </w:rPr>
              <w:t>Predĺženie rodičovského príspevku pre rodičov s deťmi vo veku 3 rokov</w:t>
            </w:r>
          </w:p>
        </w:tc>
        <w:tc>
          <w:tcPr>
            <w:tcW w:w="2361" w:type="dxa"/>
            <w:tcBorders>
              <w:top w:val="nil"/>
              <w:left w:val="nil"/>
              <w:bottom w:val="nil"/>
              <w:right w:val="nil"/>
            </w:tcBorders>
            <w:shd w:val="clear" w:color="auto" w:fill="auto"/>
            <w:hideMark/>
          </w:tcPr>
          <w:p w14:paraId="45D973D5" w14:textId="14085CEA" w:rsidR="00A918CA" w:rsidRPr="00887108" w:rsidRDefault="002E2F52" w:rsidP="00B1418D">
            <w:pPr>
              <w:rPr>
                <w:rFonts w:cs="Times New Roman"/>
                <w:b/>
                <w:color w:val="000000"/>
                <w:sz w:val="15"/>
                <w:szCs w:val="15"/>
              </w:rPr>
            </w:pPr>
            <w:r w:rsidRPr="00887108">
              <w:rPr>
                <w:rFonts w:cs="Times New Roman"/>
                <w:b/>
                <w:color w:val="000000"/>
                <w:sz w:val="15"/>
                <w:szCs w:val="15"/>
              </w:rPr>
              <w:t>Z toho:</w:t>
            </w:r>
          </w:p>
        </w:tc>
        <w:tc>
          <w:tcPr>
            <w:tcW w:w="902" w:type="dxa"/>
            <w:tcBorders>
              <w:top w:val="nil"/>
              <w:left w:val="nil"/>
              <w:bottom w:val="nil"/>
              <w:right w:val="nil"/>
            </w:tcBorders>
            <w:shd w:val="clear" w:color="auto" w:fill="auto"/>
            <w:hideMark/>
          </w:tcPr>
          <w:p w14:paraId="423D97FB" w14:textId="65E6D080" w:rsidR="00A918CA" w:rsidRPr="00887108" w:rsidRDefault="00B1418D" w:rsidP="00B1418D">
            <w:pPr>
              <w:rPr>
                <w:rFonts w:cs="Times New Roman"/>
                <w:b/>
                <w:color w:val="000000"/>
                <w:sz w:val="15"/>
                <w:szCs w:val="15"/>
              </w:rPr>
            </w:pPr>
            <w:r w:rsidRPr="00887108">
              <w:rPr>
                <w:rFonts w:cs="Times New Roman"/>
                <w:b/>
                <w:color w:val="000000"/>
                <w:sz w:val="15"/>
                <w:szCs w:val="15"/>
              </w:rPr>
              <w:t>Spolu</w:t>
            </w:r>
          </w:p>
        </w:tc>
        <w:tc>
          <w:tcPr>
            <w:tcW w:w="851" w:type="dxa"/>
            <w:tcBorders>
              <w:top w:val="nil"/>
              <w:left w:val="nil"/>
              <w:bottom w:val="nil"/>
              <w:right w:val="nil"/>
            </w:tcBorders>
            <w:shd w:val="clear" w:color="auto" w:fill="auto"/>
            <w:hideMark/>
          </w:tcPr>
          <w:p w14:paraId="4FFC5DB6" w14:textId="77777777" w:rsidR="00A918CA" w:rsidRPr="00887108" w:rsidRDefault="00A918CA" w:rsidP="00B1418D">
            <w:pPr>
              <w:rPr>
                <w:rFonts w:cs="Times New Roman"/>
                <w:b/>
                <w:color w:val="000000"/>
                <w:sz w:val="15"/>
                <w:szCs w:val="15"/>
              </w:rPr>
            </w:pPr>
            <w:r w:rsidRPr="00887108">
              <w:rPr>
                <w:rFonts w:cs="Times New Roman"/>
                <w:b/>
                <w:color w:val="000000"/>
                <w:sz w:val="15"/>
                <w:szCs w:val="15"/>
              </w:rPr>
              <w:t>schválené</w:t>
            </w:r>
          </w:p>
        </w:tc>
        <w:tc>
          <w:tcPr>
            <w:tcW w:w="709" w:type="dxa"/>
            <w:tcBorders>
              <w:top w:val="nil"/>
              <w:left w:val="nil"/>
              <w:bottom w:val="nil"/>
              <w:right w:val="nil"/>
            </w:tcBorders>
            <w:shd w:val="clear" w:color="auto" w:fill="auto"/>
            <w:hideMark/>
          </w:tcPr>
          <w:p w14:paraId="1FA3EDAE" w14:textId="77777777" w:rsidR="00A918CA" w:rsidRPr="00887108" w:rsidRDefault="00A918CA" w:rsidP="00B1418D">
            <w:pPr>
              <w:rPr>
                <w:rFonts w:cs="Times New Roman"/>
                <w:b/>
                <w:color w:val="000000"/>
                <w:sz w:val="15"/>
                <w:szCs w:val="15"/>
              </w:rPr>
            </w:pPr>
            <w:r w:rsidRPr="00887108">
              <w:rPr>
                <w:rFonts w:cs="Times New Roman"/>
                <w:b/>
                <w:color w:val="000000"/>
                <w:sz w:val="15"/>
                <w:szCs w:val="15"/>
              </w:rPr>
              <w:t>akruál</w:t>
            </w:r>
          </w:p>
        </w:tc>
        <w:tc>
          <w:tcPr>
            <w:tcW w:w="601" w:type="dxa"/>
            <w:tcBorders>
              <w:top w:val="nil"/>
              <w:left w:val="nil"/>
              <w:bottom w:val="nil"/>
              <w:right w:val="nil"/>
            </w:tcBorders>
            <w:shd w:val="clear" w:color="auto" w:fill="auto"/>
            <w:hideMark/>
          </w:tcPr>
          <w:p w14:paraId="6EE1E887" w14:textId="624FFBD9" w:rsidR="00A918CA" w:rsidRPr="00887108" w:rsidRDefault="00A918CA" w:rsidP="00B1418D">
            <w:pPr>
              <w:rPr>
                <w:rFonts w:cs="Times New Roman"/>
                <w:b/>
                <w:color w:val="000000"/>
                <w:sz w:val="15"/>
                <w:szCs w:val="15"/>
              </w:rPr>
            </w:pPr>
            <w:r w:rsidRPr="00887108">
              <w:rPr>
                <w:b/>
                <w:sz w:val="15"/>
                <w:szCs w:val="15"/>
              </w:rPr>
              <w:t>-10,9</w:t>
            </w:r>
          </w:p>
        </w:tc>
        <w:tc>
          <w:tcPr>
            <w:tcW w:w="602" w:type="dxa"/>
            <w:tcBorders>
              <w:top w:val="nil"/>
              <w:left w:val="nil"/>
              <w:bottom w:val="nil"/>
              <w:right w:val="nil"/>
            </w:tcBorders>
            <w:shd w:val="clear" w:color="auto" w:fill="auto"/>
            <w:hideMark/>
          </w:tcPr>
          <w:p w14:paraId="6BA26559" w14:textId="3CB0231E" w:rsidR="00A918CA" w:rsidRPr="00887108" w:rsidRDefault="00A918CA" w:rsidP="00B1418D">
            <w:pPr>
              <w:rPr>
                <w:rFonts w:cs="Times New Roman"/>
                <w:b/>
                <w:color w:val="000000"/>
                <w:sz w:val="15"/>
                <w:szCs w:val="15"/>
              </w:rPr>
            </w:pPr>
            <w:r w:rsidRPr="00887108">
              <w:rPr>
                <w:b/>
                <w:sz w:val="15"/>
                <w:szCs w:val="15"/>
              </w:rPr>
              <w:t>0,0</w:t>
            </w:r>
          </w:p>
        </w:tc>
        <w:tc>
          <w:tcPr>
            <w:tcW w:w="602" w:type="dxa"/>
            <w:tcBorders>
              <w:top w:val="nil"/>
              <w:left w:val="nil"/>
              <w:bottom w:val="nil"/>
              <w:right w:val="nil"/>
            </w:tcBorders>
            <w:shd w:val="clear" w:color="auto" w:fill="auto"/>
            <w:hideMark/>
          </w:tcPr>
          <w:p w14:paraId="5016ED29" w14:textId="4F32E825" w:rsidR="00A918CA" w:rsidRPr="00887108" w:rsidRDefault="00A918CA" w:rsidP="00B1418D">
            <w:pPr>
              <w:rPr>
                <w:rFonts w:cs="Times New Roman"/>
                <w:b/>
                <w:color w:val="000000"/>
                <w:sz w:val="15"/>
                <w:szCs w:val="15"/>
              </w:rPr>
            </w:pPr>
            <w:r w:rsidRPr="00887108">
              <w:rPr>
                <w:b/>
                <w:sz w:val="15"/>
                <w:szCs w:val="15"/>
              </w:rPr>
              <w:t>10,9</w:t>
            </w:r>
          </w:p>
        </w:tc>
        <w:tc>
          <w:tcPr>
            <w:tcW w:w="602" w:type="dxa"/>
            <w:tcBorders>
              <w:top w:val="nil"/>
              <w:left w:val="nil"/>
              <w:bottom w:val="nil"/>
              <w:right w:val="nil"/>
            </w:tcBorders>
            <w:shd w:val="clear" w:color="auto" w:fill="auto"/>
            <w:hideMark/>
          </w:tcPr>
          <w:p w14:paraId="1A95120B" w14:textId="07BF77F0" w:rsidR="00A918CA" w:rsidRPr="00887108" w:rsidRDefault="00A918CA" w:rsidP="00B1418D">
            <w:pPr>
              <w:rPr>
                <w:rFonts w:cs="Times New Roman"/>
                <w:b/>
                <w:color w:val="000000"/>
                <w:sz w:val="15"/>
                <w:szCs w:val="15"/>
              </w:rPr>
            </w:pPr>
            <w:r w:rsidRPr="00887108">
              <w:rPr>
                <w:b/>
                <w:sz w:val="15"/>
                <w:szCs w:val="15"/>
              </w:rPr>
              <w:t>0,0</w:t>
            </w:r>
          </w:p>
        </w:tc>
      </w:tr>
      <w:tr w:rsidR="007D5DC4" w:rsidRPr="00887108" w14:paraId="2BB04DD8" w14:textId="77777777" w:rsidTr="00EA7E15">
        <w:trPr>
          <w:trHeight w:val="173"/>
        </w:trPr>
        <w:tc>
          <w:tcPr>
            <w:tcW w:w="1840" w:type="dxa"/>
            <w:tcBorders>
              <w:top w:val="nil"/>
              <w:left w:val="nil"/>
              <w:bottom w:val="nil"/>
              <w:right w:val="nil"/>
            </w:tcBorders>
            <w:shd w:val="clear" w:color="auto" w:fill="auto"/>
            <w:hideMark/>
          </w:tcPr>
          <w:p w14:paraId="6BC68BCA" w14:textId="77777777" w:rsidR="00A918CA" w:rsidRPr="00887108" w:rsidRDefault="00A918CA" w:rsidP="00B1418D">
            <w:pPr>
              <w:rPr>
                <w:rFonts w:cs="Times New Roman"/>
                <w:color w:val="000000"/>
                <w:sz w:val="15"/>
                <w:szCs w:val="15"/>
              </w:rPr>
            </w:pPr>
          </w:p>
        </w:tc>
        <w:tc>
          <w:tcPr>
            <w:tcW w:w="2361" w:type="dxa"/>
            <w:tcBorders>
              <w:top w:val="nil"/>
              <w:left w:val="nil"/>
              <w:bottom w:val="nil"/>
              <w:right w:val="nil"/>
            </w:tcBorders>
            <w:shd w:val="clear" w:color="auto" w:fill="auto"/>
            <w:hideMark/>
          </w:tcPr>
          <w:p w14:paraId="3AEDC2DD" w14:textId="34540AEA" w:rsidR="00A918CA" w:rsidRPr="00887108" w:rsidRDefault="00A918CA" w:rsidP="002D0FBB">
            <w:pPr>
              <w:rPr>
                <w:rFonts w:cs="Times New Roman"/>
                <w:color w:val="000000"/>
                <w:sz w:val="15"/>
                <w:szCs w:val="15"/>
              </w:rPr>
            </w:pPr>
            <w:r w:rsidRPr="00887108">
              <w:rPr>
                <w:rFonts w:cs="Times New Roman"/>
                <w:color w:val="000000"/>
                <w:sz w:val="15"/>
                <w:szCs w:val="15"/>
              </w:rPr>
              <w:t>- možnosť čerpať dávky</w:t>
            </w:r>
            <w:r w:rsidR="002D0FBB" w:rsidRPr="00887108">
              <w:rPr>
                <w:rFonts w:cs="Times New Roman"/>
                <w:color w:val="000000"/>
                <w:sz w:val="15"/>
                <w:szCs w:val="15"/>
              </w:rPr>
              <w:t xml:space="preserve"> ošetrovného</w:t>
            </w:r>
            <w:r w:rsidRPr="00887108">
              <w:rPr>
                <w:rFonts w:cs="Times New Roman"/>
                <w:color w:val="000000"/>
                <w:sz w:val="15"/>
                <w:szCs w:val="15"/>
              </w:rPr>
              <w:t xml:space="preserve"> po skončení rodičovskej dovolenky počas krízy</w:t>
            </w:r>
          </w:p>
        </w:tc>
        <w:tc>
          <w:tcPr>
            <w:tcW w:w="902" w:type="dxa"/>
            <w:tcBorders>
              <w:top w:val="nil"/>
              <w:left w:val="nil"/>
              <w:bottom w:val="nil"/>
              <w:right w:val="nil"/>
            </w:tcBorders>
            <w:shd w:val="clear" w:color="auto" w:fill="auto"/>
            <w:hideMark/>
          </w:tcPr>
          <w:p w14:paraId="4E596323"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nil"/>
              <w:left w:val="nil"/>
              <w:bottom w:val="nil"/>
              <w:right w:val="nil"/>
            </w:tcBorders>
            <w:shd w:val="clear" w:color="auto" w:fill="auto"/>
            <w:hideMark/>
          </w:tcPr>
          <w:p w14:paraId="563D2129"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nil"/>
              <w:right w:val="nil"/>
            </w:tcBorders>
            <w:shd w:val="clear" w:color="auto" w:fill="auto"/>
            <w:hideMark/>
          </w:tcPr>
          <w:p w14:paraId="022E0DDF"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nil"/>
              <w:right w:val="nil"/>
            </w:tcBorders>
            <w:shd w:val="clear" w:color="auto" w:fill="auto"/>
            <w:hideMark/>
          </w:tcPr>
          <w:p w14:paraId="3BD6CDAC" w14:textId="6BC718E1" w:rsidR="00A918CA" w:rsidRPr="00887108" w:rsidRDefault="00A918CA" w:rsidP="00B1418D">
            <w:pPr>
              <w:rPr>
                <w:rFonts w:cs="Times New Roman"/>
                <w:color w:val="000000"/>
                <w:sz w:val="15"/>
                <w:szCs w:val="15"/>
              </w:rPr>
            </w:pPr>
            <w:r w:rsidRPr="00887108">
              <w:rPr>
                <w:sz w:val="15"/>
                <w:szCs w:val="15"/>
              </w:rPr>
              <w:t>-3,0</w:t>
            </w:r>
          </w:p>
        </w:tc>
        <w:tc>
          <w:tcPr>
            <w:tcW w:w="602" w:type="dxa"/>
            <w:tcBorders>
              <w:top w:val="nil"/>
              <w:left w:val="nil"/>
              <w:bottom w:val="nil"/>
              <w:right w:val="nil"/>
            </w:tcBorders>
            <w:shd w:val="clear" w:color="auto" w:fill="auto"/>
            <w:hideMark/>
          </w:tcPr>
          <w:p w14:paraId="3A9D1907" w14:textId="6C2F9B62"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nil"/>
              <w:right w:val="nil"/>
            </w:tcBorders>
            <w:shd w:val="clear" w:color="auto" w:fill="auto"/>
            <w:hideMark/>
          </w:tcPr>
          <w:p w14:paraId="37D5EE58" w14:textId="4C1255DC" w:rsidR="00A918CA" w:rsidRPr="00887108" w:rsidRDefault="00A918CA" w:rsidP="00B1418D">
            <w:pPr>
              <w:rPr>
                <w:rFonts w:cs="Times New Roman"/>
                <w:color w:val="000000"/>
                <w:sz w:val="15"/>
                <w:szCs w:val="15"/>
              </w:rPr>
            </w:pPr>
            <w:r w:rsidRPr="00887108">
              <w:rPr>
                <w:sz w:val="15"/>
                <w:szCs w:val="15"/>
              </w:rPr>
              <w:t>3,0</w:t>
            </w:r>
          </w:p>
        </w:tc>
        <w:tc>
          <w:tcPr>
            <w:tcW w:w="602" w:type="dxa"/>
            <w:tcBorders>
              <w:top w:val="nil"/>
              <w:left w:val="nil"/>
              <w:bottom w:val="nil"/>
              <w:right w:val="nil"/>
            </w:tcBorders>
            <w:shd w:val="clear" w:color="auto" w:fill="auto"/>
            <w:hideMark/>
          </w:tcPr>
          <w:p w14:paraId="252586C7" w14:textId="78959681" w:rsidR="00A918CA" w:rsidRPr="00887108" w:rsidRDefault="00A918CA" w:rsidP="00B1418D">
            <w:pPr>
              <w:rPr>
                <w:rFonts w:cs="Times New Roman"/>
                <w:color w:val="000000"/>
                <w:sz w:val="15"/>
                <w:szCs w:val="15"/>
              </w:rPr>
            </w:pPr>
            <w:r w:rsidRPr="00887108">
              <w:rPr>
                <w:sz w:val="15"/>
                <w:szCs w:val="15"/>
              </w:rPr>
              <w:t>0,0</w:t>
            </w:r>
          </w:p>
        </w:tc>
      </w:tr>
      <w:tr w:rsidR="007D5DC4" w:rsidRPr="00887108" w14:paraId="62D183C6" w14:textId="77777777" w:rsidTr="00EA7E15">
        <w:trPr>
          <w:trHeight w:val="173"/>
        </w:trPr>
        <w:tc>
          <w:tcPr>
            <w:tcW w:w="1840" w:type="dxa"/>
            <w:tcBorders>
              <w:top w:val="nil"/>
              <w:left w:val="nil"/>
              <w:bottom w:val="single" w:sz="4" w:space="0" w:color="auto"/>
              <w:right w:val="nil"/>
            </w:tcBorders>
            <w:shd w:val="clear" w:color="auto" w:fill="auto"/>
            <w:hideMark/>
          </w:tcPr>
          <w:p w14:paraId="25A7313C" w14:textId="77777777" w:rsidR="00A918CA" w:rsidRPr="00887108" w:rsidRDefault="00A918CA" w:rsidP="00B1418D">
            <w:pPr>
              <w:rPr>
                <w:rFonts w:cs="Times New Roman"/>
                <w:color w:val="000000"/>
                <w:sz w:val="15"/>
                <w:szCs w:val="15"/>
              </w:rPr>
            </w:pPr>
            <w:r w:rsidRPr="00887108">
              <w:rPr>
                <w:rFonts w:cs="Times New Roman"/>
                <w:color w:val="000000"/>
                <w:sz w:val="15"/>
                <w:szCs w:val="15"/>
              </w:rPr>
              <w:t> </w:t>
            </w:r>
          </w:p>
        </w:tc>
        <w:tc>
          <w:tcPr>
            <w:tcW w:w="2361" w:type="dxa"/>
            <w:tcBorders>
              <w:top w:val="nil"/>
              <w:left w:val="nil"/>
              <w:bottom w:val="single" w:sz="4" w:space="0" w:color="auto"/>
              <w:right w:val="nil"/>
            </w:tcBorders>
            <w:shd w:val="clear" w:color="auto" w:fill="auto"/>
            <w:hideMark/>
          </w:tcPr>
          <w:p w14:paraId="1A189581" w14:textId="7415C08B" w:rsidR="00A918CA" w:rsidRPr="00887108" w:rsidRDefault="00A918CA" w:rsidP="00B1418D">
            <w:pPr>
              <w:rPr>
                <w:rFonts w:cs="Times New Roman"/>
                <w:color w:val="000000"/>
                <w:sz w:val="15"/>
                <w:szCs w:val="15"/>
              </w:rPr>
            </w:pPr>
            <w:r w:rsidRPr="00887108">
              <w:rPr>
                <w:rFonts w:cs="Times New Roman"/>
                <w:color w:val="000000"/>
                <w:sz w:val="15"/>
                <w:szCs w:val="15"/>
              </w:rPr>
              <w:t>- predĺženie rodičovského príspevku pre rodičov s deťmi vo veku 3 rokov počas krízy</w:t>
            </w:r>
          </w:p>
        </w:tc>
        <w:tc>
          <w:tcPr>
            <w:tcW w:w="902" w:type="dxa"/>
            <w:tcBorders>
              <w:top w:val="nil"/>
              <w:left w:val="nil"/>
              <w:bottom w:val="single" w:sz="4" w:space="0" w:color="auto"/>
              <w:right w:val="nil"/>
            </w:tcBorders>
            <w:shd w:val="clear" w:color="auto" w:fill="auto"/>
            <w:hideMark/>
          </w:tcPr>
          <w:p w14:paraId="3C2C2D03"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nil"/>
              <w:left w:val="nil"/>
              <w:bottom w:val="single" w:sz="4" w:space="0" w:color="auto"/>
              <w:right w:val="nil"/>
            </w:tcBorders>
            <w:shd w:val="clear" w:color="auto" w:fill="auto"/>
            <w:hideMark/>
          </w:tcPr>
          <w:p w14:paraId="05C799F2"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556981D3"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4BA65C3C" w14:textId="4A048044" w:rsidR="00A918CA" w:rsidRPr="00887108" w:rsidRDefault="00A918CA" w:rsidP="00B1418D">
            <w:pPr>
              <w:rPr>
                <w:rFonts w:cs="Times New Roman"/>
                <w:color w:val="000000"/>
                <w:sz w:val="15"/>
                <w:szCs w:val="15"/>
              </w:rPr>
            </w:pPr>
            <w:r w:rsidRPr="00887108">
              <w:rPr>
                <w:sz w:val="15"/>
                <w:szCs w:val="15"/>
              </w:rPr>
              <w:t>-7,9</w:t>
            </w:r>
          </w:p>
        </w:tc>
        <w:tc>
          <w:tcPr>
            <w:tcW w:w="602" w:type="dxa"/>
            <w:tcBorders>
              <w:top w:val="nil"/>
              <w:left w:val="nil"/>
              <w:bottom w:val="single" w:sz="4" w:space="0" w:color="auto"/>
              <w:right w:val="nil"/>
            </w:tcBorders>
            <w:shd w:val="clear" w:color="auto" w:fill="auto"/>
            <w:hideMark/>
          </w:tcPr>
          <w:p w14:paraId="482D48CE" w14:textId="4FC2541F" w:rsidR="00A918CA" w:rsidRPr="00887108" w:rsidRDefault="00A918CA" w:rsidP="00B1418D">
            <w:pPr>
              <w:rPr>
                <w:rFonts w:cs="Times New Roman"/>
                <w:color w:val="000000"/>
                <w:sz w:val="15"/>
                <w:szCs w:val="15"/>
              </w:rPr>
            </w:pPr>
            <w:r w:rsidRPr="00887108">
              <w:rPr>
                <w:sz w:val="15"/>
                <w:szCs w:val="15"/>
              </w:rPr>
              <w:t>0,0</w:t>
            </w:r>
          </w:p>
        </w:tc>
        <w:tc>
          <w:tcPr>
            <w:tcW w:w="602" w:type="dxa"/>
            <w:tcBorders>
              <w:top w:val="nil"/>
              <w:left w:val="nil"/>
              <w:bottom w:val="single" w:sz="4" w:space="0" w:color="auto"/>
              <w:right w:val="nil"/>
            </w:tcBorders>
            <w:shd w:val="clear" w:color="auto" w:fill="auto"/>
            <w:hideMark/>
          </w:tcPr>
          <w:p w14:paraId="0C4EECF7" w14:textId="4ECF17BE" w:rsidR="00A918CA" w:rsidRPr="00887108" w:rsidRDefault="00A918CA" w:rsidP="00B1418D">
            <w:pPr>
              <w:rPr>
                <w:rFonts w:cs="Times New Roman"/>
                <w:color w:val="000000"/>
                <w:sz w:val="15"/>
                <w:szCs w:val="15"/>
              </w:rPr>
            </w:pPr>
            <w:r w:rsidRPr="00887108">
              <w:rPr>
                <w:sz w:val="15"/>
                <w:szCs w:val="15"/>
              </w:rPr>
              <w:t>7,9</w:t>
            </w:r>
          </w:p>
        </w:tc>
        <w:tc>
          <w:tcPr>
            <w:tcW w:w="602" w:type="dxa"/>
            <w:tcBorders>
              <w:top w:val="nil"/>
              <w:left w:val="nil"/>
              <w:bottom w:val="single" w:sz="4" w:space="0" w:color="auto"/>
              <w:right w:val="nil"/>
            </w:tcBorders>
            <w:shd w:val="clear" w:color="auto" w:fill="auto"/>
            <w:hideMark/>
          </w:tcPr>
          <w:p w14:paraId="4AE5894F" w14:textId="0B46AE10" w:rsidR="00A918CA" w:rsidRPr="00887108" w:rsidRDefault="00A918CA" w:rsidP="00B1418D">
            <w:pPr>
              <w:rPr>
                <w:rFonts w:cs="Times New Roman"/>
                <w:color w:val="000000"/>
                <w:sz w:val="15"/>
                <w:szCs w:val="15"/>
              </w:rPr>
            </w:pPr>
            <w:r w:rsidRPr="00887108">
              <w:rPr>
                <w:sz w:val="15"/>
                <w:szCs w:val="15"/>
              </w:rPr>
              <w:t>0,0</w:t>
            </w:r>
          </w:p>
        </w:tc>
      </w:tr>
      <w:tr w:rsidR="007D5DC4" w:rsidRPr="00887108" w14:paraId="3F2A8D9B" w14:textId="77777777" w:rsidTr="00EA7E15">
        <w:trPr>
          <w:trHeight w:val="173"/>
        </w:trPr>
        <w:tc>
          <w:tcPr>
            <w:tcW w:w="1840" w:type="dxa"/>
            <w:tcBorders>
              <w:top w:val="nil"/>
              <w:left w:val="nil"/>
              <w:bottom w:val="single" w:sz="4" w:space="0" w:color="auto"/>
              <w:right w:val="nil"/>
            </w:tcBorders>
            <w:shd w:val="clear" w:color="auto" w:fill="auto"/>
            <w:hideMark/>
          </w:tcPr>
          <w:p w14:paraId="1AB9283C" w14:textId="77777777" w:rsidR="00A918CA" w:rsidRPr="00887108" w:rsidRDefault="00A918CA" w:rsidP="00B1418D">
            <w:pPr>
              <w:rPr>
                <w:rFonts w:cs="Times New Roman"/>
                <w:color w:val="000000"/>
                <w:sz w:val="15"/>
                <w:szCs w:val="15"/>
              </w:rPr>
            </w:pPr>
            <w:r w:rsidRPr="00887108">
              <w:rPr>
                <w:rFonts w:cs="Times New Roman"/>
                <w:color w:val="000000"/>
                <w:sz w:val="15"/>
                <w:szCs w:val="15"/>
              </w:rPr>
              <w:br/>
              <w:t>Nákup zdravotníckeho materiálu v súvislosti s COVID19</w:t>
            </w:r>
          </w:p>
        </w:tc>
        <w:tc>
          <w:tcPr>
            <w:tcW w:w="2361" w:type="dxa"/>
            <w:tcBorders>
              <w:top w:val="nil"/>
              <w:left w:val="nil"/>
              <w:bottom w:val="single" w:sz="4" w:space="0" w:color="auto"/>
              <w:right w:val="nil"/>
            </w:tcBorders>
            <w:shd w:val="clear" w:color="auto" w:fill="auto"/>
            <w:hideMark/>
          </w:tcPr>
          <w:p w14:paraId="4C494F73" w14:textId="01887E60" w:rsidR="00A918CA" w:rsidRPr="00887108" w:rsidRDefault="00A918CA" w:rsidP="00B1418D">
            <w:pPr>
              <w:rPr>
                <w:rFonts w:cs="Times New Roman"/>
                <w:color w:val="000000"/>
                <w:sz w:val="15"/>
                <w:szCs w:val="15"/>
              </w:rPr>
            </w:pPr>
          </w:p>
        </w:tc>
        <w:tc>
          <w:tcPr>
            <w:tcW w:w="902" w:type="dxa"/>
            <w:tcBorders>
              <w:top w:val="nil"/>
              <w:left w:val="nil"/>
              <w:bottom w:val="single" w:sz="4" w:space="0" w:color="auto"/>
              <w:right w:val="nil"/>
            </w:tcBorders>
            <w:shd w:val="clear" w:color="auto" w:fill="auto"/>
            <w:hideMark/>
          </w:tcPr>
          <w:p w14:paraId="3379DDD2" w14:textId="77777777" w:rsidR="00A918CA" w:rsidRPr="00887108" w:rsidRDefault="00A918CA" w:rsidP="00B1418D">
            <w:pPr>
              <w:rPr>
                <w:rFonts w:cs="Times New Roman"/>
                <w:color w:val="000000"/>
                <w:sz w:val="15"/>
                <w:szCs w:val="15"/>
              </w:rPr>
            </w:pPr>
            <w:r w:rsidRPr="00887108">
              <w:rPr>
                <w:rFonts w:cs="Times New Roman"/>
                <w:color w:val="000000"/>
                <w:sz w:val="15"/>
                <w:szCs w:val="15"/>
              </w:rPr>
              <w:t>Výdavkové opatrenie</w:t>
            </w:r>
          </w:p>
        </w:tc>
        <w:tc>
          <w:tcPr>
            <w:tcW w:w="851" w:type="dxa"/>
            <w:tcBorders>
              <w:top w:val="nil"/>
              <w:left w:val="nil"/>
              <w:bottom w:val="single" w:sz="4" w:space="0" w:color="auto"/>
              <w:right w:val="nil"/>
            </w:tcBorders>
            <w:shd w:val="clear" w:color="auto" w:fill="auto"/>
            <w:hideMark/>
          </w:tcPr>
          <w:p w14:paraId="653FA278" w14:textId="77777777" w:rsidR="00A918CA" w:rsidRPr="00887108" w:rsidRDefault="00A918CA" w:rsidP="00B1418D">
            <w:pPr>
              <w:rPr>
                <w:rFonts w:cs="Times New Roman"/>
                <w:color w:val="000000"/>
                <w:sz w:val="15"/>
                <w:szCs w:val="15"/>
              </w:rPr>
            </w:pPr>
            <w:r w:rsidRPr="00887108">
              <w:rPr>
                <w:rFonts w:cs="Times New Roman"/>
                <w:color w:val="000000"/>
                <w:sz w:val="15"/>
                <w:szCs w:val="15"/>
              </w:rPr>
              <w:t>schválené</w:t>
            </w:r>
          </w:p>
        </w:tc>
        <w:tc>
          <w:tcPr>
            <w:tcW w:w="709" w:type="dxa"/>
            <w:tcBorders>
              <w:top w:val="nil"/>
              <w:left w:val="nil"/>
              <w:bottom w:val="single" w:sz="4" w:space="0" w:color="auto"/>
              <w:right w:val="nil"/>
            </w:tcBorders>
            <w:shd w:val="clear" w:color="auto" w:fill="auto"/>
            <w:hideMark/>
          </w:tcPr>
          <w:p w14:paraId="5548C5FC" w14:textId="77777777" w:rsidR="00A918CA" w:rsidRPr="00887108" w:rsidRDefault="00A918CA" w:rsidP="00B1418D">
            <w:pPr>
              <w:rPr>
                <w:rFonts w:cs="Times New Roman"/>
                <w:color w:val="000000"/>
                <w:sz w:val="15"/>
                <w:szCs w:val="15"/>
              </w:rPr>
            </w:pPr>
            <w:r w:rsidRPr="00887108">
              <w:rPr>
                <w:rFonts w:cs="Times New Roman"/>
                <w:color w:val="000000"/>
                <w:sz w:val="15"/>
                <w:szCs w:val="15"/>
              </w:rPr>
              <w:t>akruál</w:t>
            </w:r>
          </w:p>
        </w:tc>
        <w:tc>
          <w:tcPr>
            <w:tcW w:w="601" w:type="dxa"/>
            <w:tcBorders>
              <w:top w:val="nil"/>
              <w:left w:val="nil"/>
              <w:bottom w:val="single" w:sz="4" w:space="0" w:color="auto"/>
              <w:right w:val="nil"/>
            </w:tcBorders>
            <w:shd w:val="clear" w:color="auto" w:fill="auto"/>
            <w:hideMark/>
          </w:tcPr>
          <w:p w14:paraId="63E04011" w14:textId="063932D6" w:rsidR="00A918CA" w:rsidRPr="00887108" w:rsidRDefault="00A918CA" w:rsidP="00B1418D">
            <w:pPr>
              <w:rPr>
                <w:rFonts w:cs="Times New Roman"/>
                <w:color w:val="000000"/>
                <w:sz w:val="15"/>
                <w:szCs w:val="15"/>
              </w:rPr>
            </w:pPr>
            <w:r w:rsidRPr="00887108">
              <w:rPr>
                <w:sz w:val="15"/>
                <w:szCs w:val="15"/>
              </w:rPr>
              <w:t>-160,0</w:t>
            </w:r>
          </w:p>
        </w:tc>
        <w:tc>
          <w:tcPr>
            <w:tcW w:w="602" w:type="dxa"/>
            <w:tcBorders>
              <w:top w:val="nil"/>
              <w:left w:val="nil"/>
              <w:bottom w:val="single" w:sz="4" w:space="0" w:color="auto"/>
              <w:right w:val="nil"/>
            </w:tcBorders>
            <w:shd w:val="clear" w:color="auto" w:fill="auto"/>
            <w:hideMark/>
          </w:tcPr>
          <w:p w14:paraId="2D06BF1E" w14:textId="0C46338D" w:rsidR="00A918CA" w:rsidRPr="00887108" w:rsidRDefault="00A918CA" w:rsidP="00B1418D">
            <w:pPr>
              <w:rPr>
                <w:rFonts w:cs="Times New Roman"/>
                <w:color w:val="000000"/>
                <w:sz w:val="15"/>
                <w:szCs w:val="15"/>
              </w:rPr>
            </w:pPr>
            <w:r w:rsidRPr="00887108">
              <w:rPr>
                <w:sz w:val="15"/>
                <w:szCs w:val="15"/>
              </w:rPr>
              <w:t>-0,2</w:t>
            </w:r>
          </w:p>
        </w:tc>
        <w:tc>
          <w:tcPr>
            <w:tcW w:w="602" w:type="dxa"/>
            <w:tcBorders>
              <w:top w:val="nil"/>
              <w:left w:val="nil"/>
              <w:bottom w:val="single" w:sz="4" w:space="0" w:color="auto"/>
              <w:right w:val="nil"/>
            </w:tcBorders>
            <w:shd w:val="clear" w:color="auto" w:fill="auto"/>
            <w:hideMark/>
          </w:tcPr>
          <w:p w14:paraId="76DEADCC" w14:textId="0094A95B" w:rsidR="00A918CA" w:rsidRPr="00887108" w:rsidRDefault="00A918CA" w:rsidP="00B1418D">
            <w:pPr>
              <w:rPr>
                <w:rFonts w:cs="Times New Roman"/>
                <w:color w:val="000000"/>
                <w:sz w:val="15"/>
                <w:szCs w:val="15"/>
              </w:rPr>
            </w:pPr>
            <w:r w:rsidRPr="00887108">
              <w:rPr>
                <w:sz w:val="15"/>
                <w:szCs w:val="15"/>
              </w:rPr>
              <w:t>160,0</w:t>
            </w:r>
          </w:p>
        </w:tc>
        <w:tc>
          <w:tcPr>
            <w:tcW w:w="602" w:type="dxa"/>
            <w:tcBorders>
              <w:top w:val="nil"/>
              <w:left w:val="nil"/>
              <w:bottom w:val="single" w:sz="4" w:space="0" w:color="auto"/>
              <w:right w:val="nil"/>
            </w:tcBorders>
            <w:shd w:val="clear" w:color="auto" w:fill="auto"/>
            <w:hideMark/>
          </w:tcPr>
          <w:p w14:paraId="57BE6B63" w14:textId="2B3EAE10" w:rsidR="00A918CA" w:rsidRPr="00887108" w:rsidRDefault="00A918CA" w:rsidP="00B1418D">
            <w:pPr>
              <w:rPr>
                <w:rFonts w:cs="Times New Roman"/>
                <w:color w:val="000000"/>
                <w:sz w:val="15"/>
                <w:szCs w:val="15"/>
              </w:rPr>
            </w:pPr>
            <w:r w:rsidRPr="00887108">
              <w:rPr>
                <w:sz w:val="15"/>
                <w:szCs w:val="15"/>
              </w:rPr>
              <w:t>0,2</w:t>
            </w:r>
          </w:p>
        </w:tc>
      </w:tr>
      <w:tr w:rsidR="007D5DC4" w:rsidRPr="00887108" w14:paraId="161341B6" w14:textId="77777777" w:rsidTr="00EA7E15">
        <w:trPr>
          <w:trHeight w:val="86"/>
        </w:trPr>
        <w:tc>
          <w:tcPr>
            <w:tcW w:w="1840" w:type="dxa"/>
            <w:tcBorders>
              <w:top w:val="nil"/>
              <w:left w:val="nil"/>
              <w:bottom w:val="nil"/>
              <w:right w:val="nil"/>
            </w:tcBorders>
            <w:shd w:val="clear" w:color="auto" w:fill="auto"/>
            <w:vAlign w:val="bottom"/>
            <w:hideMark/>
          </w:tcPr>
          <w:p w14:paraId="5E874893" w14:textId="77777777" w:rsidR="00A918CA" w:rsidRPr="00887108" w:rsidRDefault="00A918CA" w:rsidP="00A918CA">
            <w:pPr>
              <w:jc w:val="center"/>
              <w:rPr>
                <w:rFonts w:cs="Times New Roman"/>
                <w:color w:val="000000"/>
                <w:sz w:val="15"/>
                <w:szCs w:val="15"/>
              </w:rPr>
            </w:pPr>
          </w:p>
        </w:tc>
        <w:tc>
          <w:tcPr>
            <w:tcW w:w="2361" w:type="dxa"/>
            <w:tcBorders>
              <w:top w:val="nil"/>
              <w:left w:val="nil"/>
              <w:bottom w:val="nil"/>
              <w:right w:val="nil"/>
            </w:tcBorders>
            <w:shd w:val="clear" w:color="auto" w:fill="auto"/>
            <w:vAlign w:val="bottom"/>
            <w:hideMark/>
          </w:tcPr>
          <w:p w14:paraId="06F8245F" w14:textId="77777777" w:rsidR="00A918CA" w:rsidRPr="00887108" w:rsidRDefault="00A918CA" w:rsidP="00A918CA">
            <w:pPr>
              <w:rPr>
                <w:rFonts w:cs="Times New Roman"/>
                <w:sz w:val="15"/>
                <w:szCs w:val="15"/>
              </w:rPr>
            </w:pPr>
          </w:p>
        </w:tc>
        <w:tc>
          <w:tcPr>
            <w:tcW w:w="902" w:type="dxa"/>
            <w:tcBorders>
              <w:top w:val="nil"/>
              <w:left w:val="nil"/>
              <w:bottom w:val="nil"/>
              <w:right w:val="nil"/>
            </w:tcBorders>
            <w:shd w:val="clear" w:color="auto" w:fill="auto"/>
            <w:vAlign w:val="bottom"/>
            <w:hideMark/>
          </w:tcPr>
          <w:p w14:paraId="7897F260" w14:textId="77777777" w:rsidR="00A918CA" w:rsidRPr="00887108" w:rsidRDefault="00A918CA" w:rsidP="00A918CA">
            <w:pPr>
              <w:jc w:val="center"/>
              <w:rPr>
                <w:rFonts w:cs="Times New Roman"/>
                <w:sz w:val="15"/>
                <w:szCs w:val="15"/>
              </w:rPr>
            </w:pPr>
          </w:p>
        </w:tc>
        <w:tc>
          <w:tcPr>
            <w:tcW w:w="851" w:type="dxa"/>
            <w:tcBorders>
              <w:top w:val="nil"/>
              <w:left w:val="nil"/>
              <w:bottom w:val="nil"/>
              <w:right w:val="nil"/>
            </w:tcBorders>
            <w:shd w:val="clear" w:color="auto" w:fill="auto"/>
            <w:vAlign w:val="bottom"/>
            <w:hideMark/>
          </w:tcPr>
          <w:p w14:paraId="783A50F8" w14:textId="77777777" w:rsidR="00A918CA" w:rsidRPr="00887108" w:rsidRDefault="00A918CA" w:rsidP="00A918CA">
            <w:pPr>
              <w:jc w:val="center"/>
              <w:rPr>
                <w:rFonts w:cs="Times New Roman"/>
                <w:sz w:val="15"/>
                <w:szCs w:val="15"/>
              </w:rPr>
            </w:pPr>
          </w:p>
        </w:tc>
        <w:tc>
          <w:tcPr>
            <w:tcW w:w="709" w:type="dxa"/>
            <w:tcBorders>
              <w:top w:val="nil"/>
              <w:left w:val="nil"/>
              <w:bottom w:val="nil"/>
              <w:right w:val="nil"/>
            </w:tcBorders>
            <w:shd w:val="clear" w:color="auto" w:fill="auto"/>
            <w:vAlign w:val="bottom"/>
            <w:hideMark/>
          </w:tcPr>
          <w:p w14:paraId="70414349" w14:textId="77777777" w:rsidR="00A918CA" w:rsidRPr="00887108" w:rsidRDefault="00A918CA" w:rsidP="00A918CA">
            <w:pPr>
              <w:jc w:val="center"/>
              <w:rPr>
                <w:rFonts w:cs="Times New Roman"/>
                <w:sz w:val="15"/>
                <w:szCs w:val="15"/>
              </w:rPr>
            </w:pPr>
          </w:p>
        </w:tc>
        <w:tc>
          <w:tcPr>
            <w:tcW w:w="601" w:type="dxa"/>
            <w:tcBorders>
              <w:top w:val="nil"/>
              <w:left w:val="nil"/>
              <w:bottom w:val="nil"/>
              <w:right w:val="nil"/>
            </w:tcBorders>
            <w:shd w:val="clear" w:color="auto" w:fill="auto"/>
            <w:hideMark/>
          </w:tcPr>
          <w:p w14:paraId="12BF37D7" w14:textId="77777777" w:rsidR="00A918CA" w:rsidRPr="00887108" w:rsidRDefault="00A918CA" w:rsidP="00A918CA">
            <w:pPr>
              <w:jc w:val="center"/>
              <w:rPr>
                <w:rFonts w:cs="Times New Roman"/>
                <w:sz w:val="15"/>
                <w:szCs w:val="15"/>
              </w:rPr>
            </w:pPr>
          </w:p>
        </w:tc>
        <w:tc>
          <w:tcPr>
            <w:tcW w:w="602" w:type="dxa"/>
            <w:tcBorders>
              <w:top w:val="nil"/>
              <w:left w:val="nil"/>
              <w:bottom w:val="nil"/>
              <w:right w:val="nil"/>
            </w:tcBorders>
            <w:shd w:val="clear" w:color="auto" w:fill="auto"/>
            <w:hideMark/>
          </w:tcPr>
          <w:p w14:paraId="4CCDF15F" w14:textId="77777777" w:rsidR="00A918CA" w:rsidRPr="00887108" w:rsidRDefault="00A918CA" w:rsidP="00A918CA">
            <w:pPr>
              <w:jc w:val="center"/>
              <w:rPr>
                <w:rFonts w:cs="Times New Roman"/>
                <w:sz w:val="15"/>
                <w:szCs w:val="15"/>
              </w:rPr>
            </w:pPr>
          </w:p>
        </w:tc>
        <w:tc>
          <w:tcPr>
            <w:tcW w:w="602" w:type="dxa"/>
            <w:tcBorders>
              <w:top w:val="nil"/>
              <w:left w:val="nil"/>
              <w:bottom w:val="nil"/>
              <w:right w:val="nil"/>
            </w:tcBorders>
            <w:shd w:val="clear" w:color="auto" w:fill="auto"/>
            <w:hideMark/>
          </w:tcPr>
          <w:p w14:paraId="13B1A12E" w14:textId="77777777" w:rsidR="00A918CA" w:rsidRPr="00887108" w:rsidRDefault="00A918CA" w:rsidP="00A918CA">
            <w:pPr>
              <w:jc w:val="center"/>
              <w:rPr>
                <w:rFonts w:cs="Times New Roman"/>
                <w:sz w:val="15"/>
                <w:szCs w:val="15"/>
              </w:rPr>
            </w:pPr>
          </w:p>
        </w:tc>
        <w:tc>
          <w:tcPr>
            <w:tcW w:w="602" w:type="dxa"/>
            <w:tcBorders>
              <w:top w:val="nil"/>
              <w:left w:val="nil"/>
              <w:bottom w:val="nil"/>
              <w:right w:val="nil"/>
            </w:tcBorders>
            <w:shd w:val="clear" w:color="auto" w:fill="auto"/>
            <w:hideMark/>
          </w:tcPr>
          <w:p w14:paraId="2081291F" w14:textId="77777777" w:rsidR="00A918CA" w:rsidRPr="00887108" w:rsidRDefault="00A918CA" w:rsidP="00A918CA">
            <w:pPr>
              <w:jc w:val="center"/>
              <w:rPr>
                <w:rFonts w:cs="Times New Roman"/>
                <w:sz w:val="15"/>
                <w:szCs w:val="15"/>
              </w:rPr>
            </w:pPr>
          </w:p>
        </w:tc>
      </w:tr>
      <w:tr w:rsidR="007D5DC4" w:rsidRPr="00887108" w14:paraId="202F8BAF" w14:textId="77777777" w:rsidTr="00EA7E15">
        <w:trPr>
          <w:trHeight w:val="86"/>
        </w:trPr>
        <w:tc>
          <w:tcPr>
            <w:tcW w:w="1840" w:type="dxa"/>
            <w:tcBorders>
              <w:top w:val="nil"/>
              <w:left w:val="nil"/>
              <w:bottom w:val="nil"/>
              <w:right w:val="nil"/>
            </w:tcBorders>
            <w:shd w:val="clear" w:color="auto" w:fill="auto"/>
            <w:vAlign w:val="bottom"/>
            <w:hideMark/>
          </w:tcPr>
          <w:p w14:paraId="7BCCA679" w14:textId="77777777" w:rsidR="00A918CA" w:rsidRPr="00887108" w:rsidRDefault="00A918CA" w:rsidP="00A918CA">
            <w:pPr>
              <w:rPr>
                <w:rFonts w:cs="Times New Roman"/>
                <w:b/>
                <w:bCs/>
                <w:color w:val="000000"/>
                <w:sz w:val="15"/>
                <w:szCs w:val="15"/>
              </w:rPr>
            </w:pPr>
            <w:r w:rsidRPr="00887108">
              <w:rPr>
                <w:rFonts w:cs="Times New Roman"/>
                <w:b/>
                <w:bCs/>
                <w:color w:val="000000"/>
                <w:sz w:val="15"/>
                <w:szCs w:val="15"/>
              </w:rPr>
              <w:t>Spolu</w:t>
            </w:r>
          </w:p>
        </w:tc>
        <w:tc>
          <w:tcPr>
            <w:tcW w:w="2361" w:type="dxa"/>
            <w:tcBorders>
              <w:top w:val="nil"/>
              <w:left w:val="nil"/>
              <w:bottom w:val="nil"/>
              <w:right w:val="nil"/>
            </w:tcBorders>
            <w:shd w:val="clear" w:color="auto" w:fill="auto"/>
            <w:vAlign w:val="bottom"/>
            <w:hideMark/>
          </w:tcPr>
          <w:p w14:paraId="751B7B78" w14:textId="6C64CF50" w:rsidR="00A918CA" w:rsidRPr="00887108" w:rsidRDefault="00A918CA" w:rsidP="00A918CA">
            <w:pPr>
              <w:rPr>
                <w:rFonts w:cs="Times New Roman"/>
                <w:b/>
                <w:bCs/>
                <w:color w:val="000000"/>
                <w:sz w:val="15"/>
                <w:szCs w:val="15"/>
              </w:rPr>
            </w:pPr>
          </w:p>
        </w:tc>
        <w:tc>
          <w:tcPr>
            <w:tcW w:w="902" w:type="dxa"/>
            <w:tcBorders>
              <w:top w:val="nil"/>
              <w:left w:val="nil"/>
              <w:bottom w:val="nil"/>
              <w:right w:val="nil"/>
            </w:tcBorders>
            <w:shd w:val="clear" w:color="auto" w:fill="auto"/>
            <w:vAlign w:val="bottom"/>
            <w:hideMark/>
          </w:tcPr>
          <w:p w14:paraId="3A5CB330" w14:textId="42C3CFE8" w:rsidR="00A918CA" w:rsidRPr="00887108" w:rsidRDefault="00A918CA" w:rsidP="00A918CA">
            <w:pPr>
              <w:jc w:val="center"/>
              <w:rPr>
                <w:rFonts w:cs="Times New Roman"/>
                <w:b/>
                <w:bCs/>
                <w:color w:val="000000"/>
                <w:sz w:val="15"/>
                <w:szCs w:val="15"/>
              </w:rPr>
            </w:pPr>
          </w:p>
        </w:tc>
        <w:tc>
          <w:tcPr>
            <w:tcW w:w="851" w:type="dxa"/>
            <w:tcBorders>
              <w:top w:val="nil"/>
              <w:left w:val="nil"/>
              <w:bottom w:val="nil"/>
              <w:right w:val="nil"/>
            </w:tcBorders>
            <w:shd w:val="clear" w:color="auto" w:fill="auto"/>
            <w:vAlign w:val="bottom"/>
            <w:hideMark/>
          </w:tcPr>
          <w:p w14:paraId="11531760" w14:textId="6D0BC3EE" w:rsidR="00A918CA" w:rsidRPr="00887108" w:rsidRDefault="00A918CA" w:rsidP="00A918CA">
            <w:pPr>
              <w:jc w:val="center"/>
              <w:rPr>
                <w:rFonts w:cs="Times New Roman"/>
                <w:b/>
                <w:bCs/>
                <w:color w:val="000000"/>
                <w:sz w:val="15"/>
                <w:szCs w:val="15"/>
              </w:rPr>
            </w:pPr>
          </w:p>
        </w:tc>
        <w:tc>
          <w:tcPr>
            <w:tcW w:w="709" w:type="dxa"/>
            <w:tcBorders>
              <w:top w:val="nil"/>
              <w:left w:val="nil"/>
              <w:bottom w:val="nil"/>
              <w:right w:val="nil"/>
            </w:tcBorders>
            <w:shd w:val="clear" w:color="auto" w:fill="auto"/>
            <w:vAlign w:val="bottom"/>
            <w:hideMark/>
          </w:tcPr>
          <w:p w14:paraId="3BB476AC" w14:textId="77687AB1" w:rsidR="00A918CA" w:rsidRPr="00887108" w:rsidRDefault="00A918CA" w:rsidP="00A918CA">
            <w:pPr>
              <w:jc w:val="center"/>
              <w:rPr>
                <w:rFonts w:cs="Times New Roman"/>
                <w:b/>
                <w:bCs/>
                <w:color w:val="000000"/>
                <w:sz w:val="15"/>
                <w:szCs w:val="15"/>
              </w:rPr>
            </w:pPr>
          </w:p>
        </w:tc>
        <w:tc>
          <w:tcPr>
            <w:tcW w:w="601" w:type="dxa"/>
            <w:tcBorders>
              <w:top w:val="nil"/>
              <w:left w:val="nil"/>
              <w:bottom w:val="nil"/>
              <w:right w:val="nil"/>
            </w:tcBorders>
            <w:shd w:val="clear" w:color="auto" w:fill="auto"/>
            <w:hideMark/>
          </w:tcPr>
          <w:p w14:paraId="15397230" w14:textId="3C1BA2DB" w:rsidR="00A918CA" w:rsidRPr="00887108" w:rsidRDefault="00A918CA" w:rsidP="00A918CA">
            <w:pPr>
              <w:jc w:val="center"/>
              <w:rPr>
                <w:rFonts w:cs="Times New Roman"/>
                <w:b/>
                <w:bCs/>
                <w:color w:val="000000"/>
                <w:sz w:val="15"/>
                <w:szCs w:val="15"/>
              </w:rPr>
            </w:pPr>
            <w:r w:rsidRPr="00887108">
              <w:rPr>
                <w:b/>
                <w:sz w:val="15"/>
                <w:szCs w:val="15"/>
              </w:rPr>
              <w:t>-1712,2</w:t>
            </w:r>
          </w:p>
        </w:tc>
        <w:tc>
          <w:tcPr>
            <w:tcW w:w="602" w:type="dxa"/>
            <w:tcBorders>
              <w:top w:val="nil"/>
              <w:left w:val="nil"/>
              <w:bottom w:val="nil"/>
              <w:right w:val="nil"/>
            </w:tcBorders>
            <w:shd w:val="clear" w:color="auto" w:fill="auto"/>
            <w:hideMark/>
          </w:tcPr>
          <w:p w14:paraId="57DE5CC6" w14:textId="35566EC6" w:rsidR="00A918CA" w:rsidRPr="00887108" w:rsidRDefault="00A918CA" w:rsidP="00A918CA">
            <w:pPr>
              <w:jc w:val="center"/>
              <w:rPr>
                <w:rFonts w:cs="Times New Roman"/>
                <w:b/>
                <w:bCs/>
                <w:color w:val="000000"/>
                <w:sz w:val="15"/>
                <w:szCs w:val="15"/>
              </w:rPr>
            </w:pPr>
            <w:r w:rsidRPr="00887108">
              <w:rPr>
                <w:b/>
                <w:sz w:val="15"/>
                <w:szCs w:val="15"/>
              </w:rPr>
              <w:t>-1,9</w:t>
            </w:r>
          </w:p>
        </w:tc>
        <w:tc>
          <w:tcPr>
            <w:tcW w:w="602" w:type="dxa"/>
            <w:tcBorders>
              <w:top w:val="nil"/>
              <w:left w:val="nil"/>
              <w:bottom w:val="nil"/>
              <w:right w:val="nil"/>
            </w:tcBorders>
            <w:shd w:val="clear" w:color="auto" w:fill="auto"/>
            <w:hideMark/>
          </w:tcPr>
          <w:p w14:paraId="089A00C2" w14:textId="0BFF9FA5" w:rsidR="00A918CA" w:rsidRPr="00887108" w:rsidRDefault="00A918CA" w:rsidP="00A918CA">
            <w:pPr>
              <w:jc w:val="center"/>
              <w:rPr>
                <w:rFonts w:cs="Times New Roman"/>
                <w:b/>
                <w:bCs/>
                <w:color w:val="000000"/>
                <w:sz w:val="15"/>
                <w:szCs w:val="15"/>
              </w:rPr>
            </w:pPr>
            <w:r w:rsidRPr="00887108">
              <w:rPr>
                <w:b/>
                <w:sz w:val="15"/>
                <w:szCs w:val="15"/>
              </w:rPr>
              <w:t>1712,2</w:t>
            </w:r>
          </w:p>
        </w:tc>
        <w:tc>
          <w:tcPr>
            <w:tcW w:w="602" w:type="dxa"/>
            <w:tcBorders>
              <w:top w:val="nil"/>
              <w:left w:val="nil"/>
              <w:bottom w:val="nil"/>
              <w:right w:val="nil"/>
            </w:tcBorders>
            <w:shd w:val="clear" w:color="auto" w:fill="auto"/>
            <w:hideMark/>
          </w:tcPr>
          <w:p w14:paraId="171BCA60" w14:textId="4DE888CA" w:rsidR="00A918CA" w:rsidRPr="00887108" w:rsidRDefault="00A918CA" w:rsidP="00A918CA">
            <w:pPr>
              <w:jc w:val="center"/>
              <w:rPr>
                <w:rFonts w:cs="Times New Roman"/>
                <w:b/>
                <w:bCs/>
                <w:color w:val="000000"/>
                <w:sz w:val="15"/>
                <w:szCs w:val="15"/>
              </w:rPr>
            </w:pPr>
            <w:r w:rsidRPr="00887108">
              <w:rPr>
                <w:b/>
                <w:sz w:val="15"/>
                <w:szCs w:val="15"/>
              </w:rPr>
              <w:t>1,8</w:t>
            </w:r>
          </w:p>
        </w:tc>
      </w:tr>
    </w:tbl>
    <w:p w14:paraId="3748B6C9" w14:textId="77777777" w:rsidR="00A918CA" w:rsidRPr="00887108" w:rsidRDefault="00A918CA">
      <w:r w:rsidRPr="00887108">
        <w:rPr>
          <w:b/>
          <w:bCs/>
        </w:rPr>
        <w:br w:type="page"/>
      </w:r>
    </w:p>
    <w:p w14:paraId="457891B1" w14:textId="77777777" w:rsidR="007D5DC4" w:rsidRPr="00887108" w:rsidRDefault="007D5DC4" w:rsidP="007D5DC4"/>
    <w:p w14:paraId="0FC11F75" w14:textId="7C57481F" w:rsidR="007D5DC4" w:rsidRPr="00887108" w:rsidRDefault="007D5DC4" w:rsidP="007D5DC4">
      <w:pPr>
        <w:pStyle w:val="Nadpis3"/>
        <w:framePr w:hSpace="141" w:wrap="around" w:vAnchor="text" w:hAnchor="text" w:xAlign="center" w:y="1"/>
        <w:spacing w:after="120"/>
        <w:suppressOverlap/>
        <w:rPr>
          <w:color w:val="2C9ADC" w:themeColor="accent1"/>
          <w:sz w:val="24"/>
          <w:szCs w:val="24"/>
        </w:rPr>
      </w:pPr>
      <w:r w:rsidRPr="00887108">
        <w:rPr>
          <w:color w:val="2C9ADC" w:themeColor="accent1"/>
          <w:sz w:val="24"/>
          <w:szCs w:val="24"/>
        </w:rPr>
        <w:t>Príloha 3 - Vyhodnotenie daňových príjmov za rok 2019 (prognózované Výborom pre daňové prognózy)</w:t>
      </w:r>
    </w:p>
    <w:p w14:paraId="7EE0905C" w14:textId="39F42713" w:rsidR="007D5DC4" w:rsidRPr="00887108" w:rsidRDefault="002D0FBB" w:rsidP="007D5DC4">
      <w:pPr>
        <w:framePr w:hSpace="141" w:wrap="around" w:vAnchor="text" w:hAnchor="text" w:xAlign="center" w:y="1"/>
        <w:spacing w:after="240"/>
        <w:suppressOverlap/>
        <w:jc w:val="both"/>
        <w:rPr>
          <w:rFonts w:eastAsiaTheme="minorHAnsi" w:cstheme="minorBidi"/>
          <w:lang w:eastAsia="en-US"/>
        </w:rPr>
      </w:pPr>
      <w:r w:rsidRPr="00887108">
        <w:rPr>
          <w:rFonts w:eastAsiaTheme="minorHAnsi" w:cstheme="minorBidi"/>
          <w:b/>
          <w:lang w:eastAsia="en-US"/>
        </w:rPr>
        <w:t>C</w:t>
      </w:r>
      <w:r w:rsidR="007D5DC4" w:rsidRPr="00887108">
        <w:rPr>
          <w:rFonts w:eastAsiaTheme="minorHAnsi" w:cstheme="minorBidi"/>
          <w:b/>
          <w:lang w:eastAsia="en-US"/>
        </w:rPr>
        <w:t>elkový odhad daňovo-odvodových príjmov</w:t>
      </w:r>
      <w:r w:rsidR="007D5DC4" w:rsidRPr="00887108">
        <w:rPr>
          <w:rFonts w:eastAsiaTheme="minorHAnsi" w:cstheme="minorBidi"/>
          <w:lang w:eastAsia="en-US"/>
        </w:rPr>
        <w:t xml:space="preserve"> </w:t>
      </w:r>
      <w:r w:rsidR="0013133E" w:rsidRPr="00887108">
        <w:rPr>
          <w:rFonts w:eastAsiaTheme="minorHAnsi" w:cstheme="minorBidi"/>
          <w:b/>
          <w:lang w:eastAsia="en-US"/>
        </w:rPr>
        <w:t>VS</w:t>
      </w:r>
      <w:r w:rsidR="007D5DC4" w:rsidRPr="00887108">
        <w:rPr>
          <w:rFonts w:eastAsiaTheme="minorHAnsi" w:cstheme="minorBidi"/>
          <w:b/>
          <w:lang w:eastAsia="en-US"/>
        </w:rPr>
        <w:t xml:space="preserve"> na rok 2019 </w:t>
      </w:r>
      <w:r w:rsidRPr="00887108">
        <w:rPr>
          <w:rFonts w:eastAsiaTheme="minorHAnsi" w:cstheme="minorBidi"/>
          <w:b/>
          <w:lang w:eastAsia="en-US"/>
        </w:rPr>
        <w:t xml:space="preserve">je </w:t>
      </w:r>
      <w:r w:rsidR="007D5DC4" w:rsidRPr="00887108">
        <w:rPr>
          <w:rFonts w:eastAsiaTheme="minorHAnsi" w:cstheme="minorBidi"/>
          <w:b/>
          <w:lang w:eastAsia="en-US"/>
        </w:rPr>
        <w:t>oproti schválenému rozpočtu</w:t>
      </w:r>
      <w:r w:rsidR="007D5DC4" w:rsidRPr="00887108">
        <w:rPr>
          <w:rStyle w:val="Odkaznapoznmkupodiarou"/>
          <w:rFonts w:eastAsiaTheme="minorHAnsi"/>
          <w:b/>
          <w:lang w:val="sk-SK"/>
        </w:rPr>
        <w:footnoteReference w:id="78"/>
      </w:r>
      <w:r w:rsidR="007D5DC4" w:rsidRPr="00887108">
        <w:rPr>
          <w:rFonts w:eastAsiaTheme="minorHAnsi" w:cstheme="minorBidi"/>
          <w:b/>
          <w:lang w:eastAsia="en-US"/>
        </w:rPr>
        <w:t xml:space="preserve"> vyšší o 18 mil. eur (</w:t>
      </w:r>
      <w:r w:rsidR="007D5DC4" w:rsidRPr="00887108">
        <w:rPr>
          <w:rFonts w:eastAsiaTheme="minorHAnsi" w:cstheme="minorBidi"/>
          <w:color w:val="2C9ADC" w:themeColor="accent1"/>
          <w:lang w:eastAsia="en-US"/>
        </w:rPr>
        <w:t>Graf 30</w:t>
      </w:r>
      <w:r w:rsidR="007D5DC4" w:rsidRPr="00887108">
        <w:rPr>
          <w:rFonts w:eastAsiaTheme="minorHAnsi" w:cstheme="minorBidi"/>
          <w:b/>
          <w:lang w:eastAsia="en-US"/>
        </w:rPr>
        <w:t>).</w:t>
      </w:r>
      <w:r w:rsidR="007D5DC4" w:rsidRPr="00887108">
        <w:rPr>
          <w:rFonts w:eastAsiaTheme="minorHAnsi" w:cstheme="minorBidi"/>
          <w:lang w:eastAsia="en-US"/>
        </w:rPr>
        <w:t xml:space="preserve"> Rozdiely vo vývoji jednotlivých daní pramenia z vplyvu makroekonomického vývoja, efektívnej daňovej sadzby (EDS), novej legislatívy nezahrnutej v rozpočte a jednorazovým faktorom.</w:t>
      </w:r>
      <w:r w:rsidR="007D5DC4" w:rsidRPr="00887108">
        <w:rPr>
          <w:rStyle w:val="Odkaznapoznmkupodiarou"/>
          <w:rFonts w:eastAsiaTheme="minorHAnsi"/>
          <w:lang w:val="sk-SK"/>
        </w:rPr>
        <w:footnoteReference w:id="79"/>
      </w:r>
      <w:r w:rsidR="007D5DC4" w:rsidRPr="00887108">
        <w:rPr>
          <w:rFonts w:eastAsiaTheme="minorHAnsi" w:cstheme="minorBidi"/>
          <w:lang w:eastAsia="en-US"/>
        </w:rPr>
        <w:t xml:space="preserve"> :</w:t>
      </w:r>
    </w:p>
    <w:p w14:paraId="080F16DB" w14:textId="5424D08D" w:rsidR="007D5DC4" w:rsidRPr="00887108" w:rsidRDefault="007D5DC4" w:rsidP="007D5DC4">
      <w:pPr>
        <w:pStyle w:val="Odsekzoznamu"/>
        <w:framePr w:hSpace="141" w:wrap="around" w:vAnchor="text" w:hAnchor="text" w:xAlign="center" w:y="1"/>
        <w:numPr>
          <w:ilvl w:val="0"/>
          <w:numId w:val="12"/>
        </w:numPr>
        <w:suppressOverlap/>
        <w:jc w:val="both"/>
        <w:rPr>
          <w:rFonts w:eastAsiaTheme="minorHAnsi" w:cstheme="minorBidi"/>
          <w:lang w:eastAsia="en-US"/>
        </w:rPr>
      </w:pPr>
      <w:r w:rsidRPr="00887108">
        <w:rPr>
          <w:rFonts w:eastAsiaTheme="minorHAnsi" w:cstheme="minorBidi"/>
          <w:b/>
          <w:lang w:eastAsia="en-US"/>
        </w:rPr>
        <w:t>Daňovo-odvodové príjmy naviazané na trh práce boli za rok 2019 vyššie, naopak korporátna daň a spotrebné dane zaostali za očakávaniami (</w:t>
      </w:r>
      <w:r w:rsidRPr="00887108">
        <w:rPr>
          <w:rFonts w:eastAsiaTheme="minorHAnsi" w:cstheme="minorBidi"/>
          <w:color w:val="2C9ADC" w:themeColor="accent1"/>
          <w:lang w:eastAsia="en-US"/>
        </w:rPr>
        <w:t>Graf 31</w:t>
      </w:r>
      <w:r w:rsidRPr="00887108">
        <w:rPr>
          <w:rFonts w:eastAsiaTheme="minorHAnsi" w:cstheme="minorBidi"/>
          <w:b/>
          <w:lang w:eastAsia="en-US"/>
        </w:rPr>
        <w:t>).</w:t>
      </w:r>
      <w:r w:rsidRPr="00887108">
        <w:rPr>
          <w:rFonts w:eastAsiaTheme="minorHAnsi" w:cstheme="minorBidi"/>
          <w:lang w:eastAsia="en-US"/>
        </w:rPr>
        <w:t xml:space="preserve"> Napriek pomalšiemu rastu ekonomiky, trh práce prekvapil pozitívne a rast mzdovej bázy prekonal očakávania o 1,3 p.b. Pozitívny vývoj sa pretavil do </w:t>
      </w:r>
      <w:r w:rsidR="002D0FBB" w:rsidRPr="00887108">
        <w:rPr>
          <w:rFonts w:eastAsiaTheme="minorHAnsi" w:cstheme="minorBidi"/>
          <w:lang w:eastAsia="en-US"/>
        </w:rPr>
        <w:t xml:space="preserve">vyššieho </w:t>
      </w:r>
      <w:r w:rsidRPr="00887108">
        <w:rPr>
          <w:rFonts w:eastAsiaTheme="minorHAnsi" w:cstheme="minorBidi"/>
          <w:lang w:eastAsia="en-US"/>
        </w:rPr>
        <w:t xml:space="preserve">výnosu dane z príjmov fyzických osôb, sociálnych a zdravotných odvodov. Rast nominálneho HDP, ktorý bol oproti očakávaniam nižší o 2,1, p.b. (na úrovni 5 %), spôsobil nižší výnos korporátnej dane. Dynamika reálneho hospodárstva, ktorá bola 2,2 p.b. pod rozpočtovým odhadom, negatívne ovplyvnila výnos napr. spotrebnej dane z minerálnych olejov. </w:t>
      </w:r>
    </w:p>
    <w:p w14:paraId="45EC85BB" w14:textId="77777777" w:rsidR="007D5DC4" w:rsidRPr="00887108" w:rsidRDefault="007D5DC4" w:rsidP="007D5DC4">
      <w:pPr>
        <w:pStyle w:val="Odsekzoznamu"/>
        <w:framePr w:hSpace="141" w:wrap="around" w:vAnchor="text" w:hAnchor="text" w:xAlign="center" w:y="1"/>
        <w:ind w:left="360"/>
        <w:suppressOverlap/>
        <w:jc w:val="both"/>
        <w:rPr>
          <w:rFonts w:eastAsiaTheme="minorHAnsi" w:cstheme="minorBidi"/>
          <w:lang w:eastAsia="en-US"/>
        </w:rPr>
      </w:pPr>
    </w:p>
    <w:p w14:paraId="1DD33D4A" w14:textId="77777777" w:rsidR="007D5DC4" w:rsidRPr="00887108" w:rsidRDefault="007D5DC4" w:rsidP="007D5DC4">
      <w:pPr>
        <w:pStyle w:val="Odsekzoznamu"/>
        <w:framePr w:hSpace="141" w:wrap="around" w:vAnchor="text" w:hAnchor="text" w:xAlign="center" w:y="1"/>
        <w:numPr>
          <w:ilvl w:val="0"/>
          <w:numId w:val="12"/>
        </w:numPr>
        <w:spacing w:after="240"/>
        <w:suppressOverlap/>
        <w:jc w:val="both"/>
        <w:rPr>
          <w:rFonts w:eastAsiaTheme="minorHAnsi" w:cstheme="minorBidi"/>
          <w:lang w:eastAsia="en-US"/>
        </w:rPr>
      </w:pPr>
      <w:r w:rsidRPr="00887108">
        <w:rPr>
          <w:rFonts w:eastAsiaTheme="minorHAnsi" w:cstheme="minorBidi"/>
          <w:b/>
          <w:lang w:eastAsia="en-US"/>
        </w:rPr>
        <w:t>Výber dane z príjmov fyzických osôb zo závislej činnosti a DPH pozitívne prekvapil aj nad rámec makroekonomického vývoja.</w:t>
      </w:r>
      <w:r w:rsidRPr="00887108">
        <w:rPr>
          <w:rFonts w:eastAsiaTheme="minorHAnsi" w:cstheme="minorBidi"/>
          <w:lang w:eastAsia="en-US"/>
        </w:rPr>
        <w:t xml:space="preserve"> V prípade DPFO sa jednalo o situáciu vyplývajúcu z legislatívneho nastavenia, keď pomalší rast NČZD prispieval k vyššiemu rastu daňových výnosov. </w:t>
      </w:r>
    </w:p>
    <w:p w14:paraId="4BE2F801" w14:textId="77777777" w:rsidR="007D5DC4" w:rsidRPr="00887108" w:rsidRDefault="007D5DC4" w:rsidP="007D5DC4">
      <w:pPr>
        <w:pStyle w:val="Odsekzoznamu"/>
        <w:framePr w:hSpace="141" w:wrap="around" w:vAnchor="text" w:hAnchor="text" w:xAlign="center" w:y="1"/>
        <w:spacing w:after="240"/>
        <w:ind w:left="360"/>
        <w:suppressOverlap/>
        <w:jc w:val="both"/>
        <w:rPr>
          <w:rFonts w:eastAsiaTheme="minorHAnsi" w:cstheme="minorBidi"/>
          <w:lang w:eastAsia="en-US"/>
        </w:rPr>
      </w:pPr>
    </w:p>
    <w:p w14:paraId="5D511A13" w14:textId="0330DFBF" w:rsidR="007D5DC4" w:rsidRPr="00887108" w:rsidRDefault="007D5DC4" w:rsidP="007D5DC4">
      <w:pPr>
        <w:pStyle w:val="Odsekzoznamu"/>
        <w:framePr w:hSpace="141" w:wrap="around" w:vAnchor="text" w:hAnchor="text" w:xAlign="center" w:y="1"/>
        <w:numPr>
          <w:ilvl w:val="0"/>
          <w:numId w:val="12"/>
        </w:numPr>
        <w:suppressOverlap/>
        <w:rPr>
          <w:rFonts w:eastAsiaTheme="minorHAnsi" w:cstheme="minorBidi"/>
          <w:lang w:eastAsia="en-US"/>
        </w:rPr>
      </w:pPr>
      <w:r w:rsidRPr="00887108">
        <w:rPr>
          <w:rFonts w:eastAsiaTheme="minorHAnsi" w:cstheme="minorBidi"/>
          <w:b/>
          <w:lang w:eastAsia="en-US"/>
        </w:rPr>
        <w:t>Nepriaznivý vplyv na výber daní mal</w:t>
      </w:r>
      <w:r w:rsidR="002D0FBB" w:rsidRPr="00887108">
        <w:rPr>
          <w:rFonts w:eastAsiaTheme="minorHAnsi" w:cstheme="minorBidi"/>
          <w:b/>
          <w:lang w:eastAsia="en-US"/>
        </w:rPr>
        <w:t>i</w:t>
      </w:r>
      <w:r w:rsidRPr="00887108">
        <w:rPr>
          <w:rFonts w:eastAsiaTheme="minorHAnsi" w:cstheme="minorBidi"/>
          <w:b/>
          <w:lang w:eastAsia="en-US"/>
        </w:rPr>
        <w:t xml:space="preserve"> legislatív</w:t>
      </w:r>
      <w:r w:rsidR="002D0FBB" w:rsidRPr="00887108">
        <w:rPr>
          <w:rFonts w:eastAsiaTheme="minorHAnsi" w:cstheme="minorBidi"/>
          <w:b/>
          <w:lang w:eastAsia="en-US"/>
        </w:rPr>
        <w:t>ne zmeny</w:t>
      </w:r>
      <w:r w:rsidRPr="00887108">
        <w:rPr>
          <w:rFonts w:eastAsiaTheme="minorHAnsi" w:cstheme="minorBidi"/>
          <w:b/>
          <w:lang w:eastAsia="en-US"/>
        </w:rPr>
        <w:t>, ktor</w:t>
      </w:r>
      <w:r w:rsidR="002D0FBB" w:rsidRPr="00887108">
        <w:rPr>
          <w:rFonts w:eastAsiaTheme="minorHAnsi" w:cstheme="minorBidi"/>
          <w:b/>
          <w:lang w:eastAsia="en-US"/>
        </w:rPr>
        <w:t>é</w:t>
      </w:r>
      <w:r w:rsidRPr="00887108">
        <w:rPr>
          <w:rFonts w:eastAsiaTheme="minorHAnsi" w:cstheme="minorBidi"/>
          <w:b/>
          <w:lang w:eastAsia="en-US"/>
        </w:rPr>
        <w:t xml:space="preserve"> vstúpil</w:t>
      </w:r>
      <w:r w:rsidR="002D0FBB" w:rsidRPr="00887108">
        <w:rPr>
          <w:rFonts w:eastAsiaTheme="minorHAnsi" w:cstheme="minorBidi"/>
          <w:b/>
          <w:lang w:eastAsia="en-US"/>
        </w:rPr>
        <w:t>i</w:t>
      </w:r>
      <w:r w:rsidRPr="00887108">
        <w:rPr>
          <w:rFonts w:eastAsiaTheme="minorHAnsi" w:cstheme="minorBidi"/>
          <w:b/>
          <w:lang w:eastAsia="en-US"/>
        </w:rPr>
        <w:t xml:space="preserve"> do platnosti v priebehu roku.</w:t>
      </w:r>
      <w:r w:rsidRPr="00887108">
        <w:rPr>
          <w:rFonts w:eastAsiaTheme="minorHAnsi" w:cstheme="minorBidi"/>
          <w:lang w:eastAsia="en-US"/>
        </w:rPr>
        <w:t xml:space="preserve"> Predovšetkým ide o zrušenie osobitného odvodu z obchodných reťazcov pred akýmkoľvek výnosom (čistý efekt -112 mil. eur). Úprava podmienky čerpania 13. platu taktiež prispela k zníženiu výnosu daní z príjmov a odvodov (-20 mil. eur).</w:t>
      </w:r>
    </w:p>
    <w:p w14:paraId="0B623155" w14:textId="77777777" w:rsidR="007D5DC4" w:rsidRPr="00887108" w:rsidRDefault="007D5DC4" w:rsidP="007D5DC4">
      <w:pPr>
        <w:pStyle w:val="Odsekzoznamu"/>
        <w:framePr w:hSpace="141" w:wrap="around" w:vAnchor="text" w:hAnchor="text" w:xAlign="center" w:y="1"/>
        <w:ind w:left="360"/>
        <w:suppressOverlap/>
        <w:rPr>
          <w:rFonts w:eastAsiaTheme="minorHAnsi" w:cstheme="minorBidi"/>
          <w:lang w:eastAsia="en-US"/>
        </w:rPr>
      </w:pPr>
    </w:p>
    <w:p w14:paraId="510B48F8" w14:textId="25DB307A" w:rsidR="007D5DC4" w:rsidRPr="00887108" w:rsidRDefault="007D5DC4" w:rsidP="007D5DC4">
      <w:pPr>
        <w:pStyle w:val="Odsekzoznamu"/>
        <w:framePr w:hSpace="141" w:wrap="around" w:vAnchor="text" w:hAnchor="text" w:xAlign="center" w:y="1"/>
        <w:numPr>
          <w:ilvl w:val="0"/>
          <w:numId w:val="12"/>
        </w:numPr>
        <w:spacing w:after="240"/>
        <w:suppressOverlap/>
        <w:jc w:val="both"/>
        <w:rPr>
          <w:rFonts w:eastAsiaTheme="minorHAnsi" w:cstheme="minorBidi"/>
          <w:lang w:eastAsia="en-US"/>
        </w:rPr>
      </w:pPr>
      <w:r w:rsidRPr="00887108">
        <w:rPr>
          <w:rFonts w:eastAsiaTheme="minorHAnsi" w:cstheme="minorBidi"/>
          <w:b/>
          <w:lang w:eastAsia="en-US"/>
        </w:rPr>
        <w:t>Predpokladané rozpočtové príjmy zo zavedenia eKasy a nanomarkerov sa nepotvrdili.</w:t>
      </w:r>
      <w:r w:rsidRPr="00887108">
        <w:rPr>
          <w:rFonts w:eastAsiaTheme="minorHAnsi" w:cstheme="minorBidi"/>
          <w:lang w:eastAsia="en-US"/>
        </w:rPr>
        <w:t xml:space="preserve"> Zavedenie identifikačnej látky do pohonných hmôt (t.z. nanomarkerov), nebolo zavedené do praxe (viď vývoj 2020) a pri eKase došlo k efektívnemu posunutiu účinnosti eKasy na začiatok roku 2020. </w:t>
      </w:r>
    </w:p>
    <w:tbl>
      <w:tblPr>
        <w:tblStyle w:val="Mriekatabuky"/>
        <w:tblW w:w="9072"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326"/>
        <w:gridCol w:w="252"/>
        <w:gridCol w:w="4494"/>
      </w:tblGrid>
      <w:tr w:rsidR="007D5DC4" w:rsidRPr="00887108" w14:paraId="34736930" w14:textId="77777777" w:rsidTr="00EA7E15">
        <w:trPr>
          <w:trHeight w:val="157"/>
          <w:jc w:val="center"/>
        </w:trPr>
        <w:tc>
          <w:tcPr>
            <w:tcW w:w="4181" w:type="dxa"/>
          </w:tcPr>
          <w:p w14:paraId="38FB29B0" w14:textId="77777777" w:rsidR="007D5DC4" w:rsidRPr="00887108" w:rsidRDefault="007D5DC4" w:rsidP="00231E05">
            <w:pPr>
              <w:pStyle w:val="Nadpis3"/>
              <w:framePr w:hSpace="141" w:wrap="around" w:vAnchor="text" w:hAnchor="text" w:xAlign="center" w:y="1"/>
              <w:suppressOverlap/>
              <w:outlineLvl w:val="2"/>
              <w:rPr>
                <w:rFonts w:eastAsiaTheme="minorHAnsi"/>
                <w:color w:val="2C9ADC"/>
                <w:szCs w:val="20"/>
              </w:rPr>
            </w:pPr>
            <w:bookmarkStart w:id="165" w:name="_Toc40181281"/>
            <w:r w:rsidRPr="00887108">
              <w:rPr>
                <w:rFonts w:eastAsiaTheme="minorHAnsi"/>
                <w:color w:val="2C9ADC"/>
                <w:szCs w:val="20"/>
              </w:rPr>
              <w:t xml:space="preserve">GRAF </w:t>
            </w:r>
            <w:r w:rsidRPr="00887108">
              <w:rPr>
                <w:rFonts w:eastAsiaTheme="minorHAnsi"/>
                <w:color w:val="2C9ADC"/>
                <w:szCs w:val="20"/>
              </w:rPr>
              <w:fldChar w:fldCharType="begin"/>
            </w:r>
            <w:r w:rsidRPr="00887108">
              <w:rPr>
                <w:rFonts w:eastAsiaTheme="minorHAnsi"/>
                <w:color w:val="2C9ADC"/>
                <w:szCs w:val="20"/>
              </w:rPr>
              <w:instrText xml:space="preserve"> SEQ GRAF \* ARABIC </w:instrText>
            </w:r>
            <w:r w:rsidRPr="00887108">
              <w:rPr>
                <w:rFonts w:eastAsiaTheme="minorHAnsi"/>
                <w:color w:val="2C9ADC"/>
                <w:szCs w:val="20"/>
              </w:rPr>
              <w:fldChar w:fldCharType="separate"/>
            </w:r>
            <w:r w:rsidR="00D47A36">
              <w:rPr>
                <w:rFonts w:eastAsiaTheme="minorHAnsi"/>
                <w:noProof/>
                <w:color w:val="2C9ADC"/>
                <w:szCs w:val="20"/>
              </w:rPr>
              <w:t>30</w:t>
            </w:r>
            <w:r w:rsidRPr="00887108">
              <w:rPr>
                <w:rFonts w:eastAsiaTheme="minorHAnsi"/>
                <w:color w:val="2C9ADC"/>
                <w:szCs w:val="20"/>
              </w:rPr>
              <w:fldChar w:fldCharType="end"/>
            </w:r>
            <w:r w:rsidRPr="00887108">
              <w:rPr>
                <w:rFonts w:eastAsiaTheme="minorHAnsi"/>
                <w:color w:val="2C9ADC"/>
                <w:szCs w:val="20"/>
              </w:rPr>
              <w:t xml:space="preserve"> - </w:t>
            </w:r>
            <w:r w:rsidRPr="00887108">
              <w:rPr>
                <w:rFonts w:eastAsiaTheme="minorHAnsi"/>
                <w:color w:val="2C9ADC"/>
                <w:szCs w:val="20"/>
                <w:lang w:eastAsia="sk-SK"/>
              </w:rPr>
              <w:t>Príspevky k zmene odhadu daňových príjmov 2019 oproti rozpočtu (mil. eur)</w:t>
            </w:r>
            <w:bookmarkEnd w:id="165"/>
          </w:p>
        </w:tc>
        <w:tc>
          <w:tcPr>
            <w:tcW w:w="244" w:type="dxa"/>
            <w:tcBorders>
              <w:top w:val="nil"/>
              <w:bottom w:val="nil"/>
            </w:tcBorders>
          </w:tcPr>
          <w:p w14:paraId="167B0561" w14:textId="77777777" w:rsidR="007D5DC4" w:rsidRPr="00887108" w:rsidRDefault="007D5DC4" w:rsidP="00231E05">
            <w:pPr>
              <w:pStyle w:val="Nadpis3"/>
              <w:framePr w:hSpace="141" w:wrap="around" w:vAnchor="text" w:hAnchor="text" w:xAlign="center" w:y="1"/>
              <w:suppressOverlap/>
              <w:outlineLvl w:val="2"/>
              <w:rPr>
                <w:rFonts w:eastAsiaTheme="minorHAnsi"/>
                <w:color w:val="2C9ADC"/>
                <w:sz w:val="22"/>
                <w:szCs w:val="22"/>
              </w:rPr>
            </w:pPr>
          </w:p>
        </w:tc>
        <w:tc>
          <w:tcPr>
            <w:tcW w:w="4344" w:type="dxa"/>
          </w:tcPr>
          <w:p w14:paraId="088A15CF" w14:textId="77777777" w:rsidR="007D5DC4" w:rsidRPr="00887108" w:rsidRDefault="007D5DC4" w:rsidP="00231E05">
            <w:pPr>
              <w:pStyle w:val="Nadpis3"/>
              <w:framePr w:hSpace="141" w:wrap="around" w:vAnchor="text" w:hAnchor="text" w:xAlign="center" w:y="1"/>
              <w:suppressOverlap/>
              <w:outlineLvl w:val="2"/>
              <w:rPr>
                <w:rFonts w:eastAsiaTheme="minorHAnsi"/>
                <w:color w:val="2C9ADC"/>
                <w:szCs w:val="20"/>
              </w:rPr>
            </w:pPr>
            <w:bookmarkStart w:id="166" w:name="_Toc40181282"/>
            <w:r w:rsidRPr="00887108">
              <w:rPr>
                <w:rFonts w:eastAsiaTheme="minorHAnsi"/>
                <w:color w:val="2C9ADC" w:themeColor="accent1"/>
                <w:szCs w:val="20"/>
              </w:rPr>
              <w:t xml:space="preserve">GRAF </w:t>
            </w:r>
            <w:r w:rsidRPr="00887108">
              <w:rPr>
                <w:rFonts w:eastAsiaTheme="minorHAnsi"/>
                <w:color w:val="2C9ADC" w:themeColor="accent1"/>
                <w:szCs w:val="20"/>
              </w:rPr>
              <w:fldChar w:fldCharType="begin"/>
            </w:r>
            <w:r w:rsidRPr="00887108">
              <w:rPr>
                <w:rFonts w:eastAsiaTheme="minorHAnsi"/>
                <w:color w:val="2C9ADC" w:themeColor="accent1"/>
                <w:szCs w:val="20"/>
              </w:rPr>
              <w:instrText xml:space="preserve"> SEQ GRAF \* ARABIC </w:instrText>
            </w:r>
            <w:r w:rsidRPr="00887108">
              <w:rPr>
                <w:rFonts w:eastAsiaTheme="minorHAnsi"/>
                <w:color w:val="2C9ADC" w:themeColor="accent1"/>
                <w:szCs w:val="20"/>
              </w:rPr>
              <w:fldChar w:fldCharType="separate"/>
            </w:r>
            <w:r w:rsidR="00D47A36">
              <w:rPr>
                <w:rFonts w:eastAsiaTheme="minorHAnsi"/>
                <w:noProof/>
                <w:color w:val="2C9ADC" w:themeColor="accent1"/>
                <w:szCs w:val="20"/>
              </w:rPr>
              <w:t>31</w:t>
            </w:r>
            <w:r w:rsidRPr="00887108">
              <w:rPr>
                <w:rFonts w:eastAsiaTheme="minorHAnsi"/>
                <w:color w:val="2C9ADC" w:themeColor="accent1"/>
                <w:szCs w:val="20"/>
              </w:rPr>
              <w:fldChar w:fldCharType="end"/>
            </w:r>
            <w:r w:rsidRPr="00887108">
              <w:rPr>
                <w:rFonts w:eastAsiaTheme="minorHAnsi"/>
                <w:color w:val="2C9ADC" w:themeColor="accent1"/>
                <w:szCs w:val="20"/>
              </w:rPr>
              <w:t xml:space="preserve"> - </w:t>
            </w:r>
            <w:r w:rsidRPr="00887108">
              <w:rPr>
                <w:rFonts w:eastAsiaTheme="minorHAnsi"/>
                <w:color w:val="2C9ADC" w:themeColor="accent1"/>
                <w:szCs w:val="20"/>
                <w:lang w:eastAsia="sk-SK"/>
              </w:rPr>
              <w:t>Príspevky k zmene odhadu daňovo-odvodových príjmov 2019 oproti rozpočtu (mil. eur)</w:t>
            </w:r>
            <w:bookmarkEnd w:id="166"/>
          </w:p>
        </w:tc>
      </w:tr>
      <w:tr w:rsidR="007D5DC4" w:rsidRPr="00887108" w14:paraId="7BC34551" w14:textId="77777777" w:rsidTr="00EA7E15">
        <w:trPr>
          <w:trHeight w:val="1754"/>
          <w:jc w:val="center"/>
        </w:trPr>
        <w:tc>
          <w:tcPr>
            <w:tcW w:w="4181" w:type="dxa"/>
          </w:tcPr>
          <w:p w14:paraId="4A9718C0" w14:textId="77777777" w:rsidR="007D5DC4" w:rsidRPr="00887108" w:rsidRDefault="007D5DC4" w:rsidP="00231E05">
            <w:pPr>
              <w:framePr w:hSpace="141" w:wrap="around" w:vAnchor="text" w:hAnchor="text" w:xAlign="center" w:y="1"/>
              <w:suppressOverlap/>
              <w:jc w:val="both"/>
            </w:pPr>
            <w:r w:rsidRPr="00887108">
              <w:drawing>
                <wp:inline distT="0" distB="0" distL="0" distR="0" wp14:anchorId="00F2F962" wp14:editId="0455DDC7">
                  <wp:extent cx="2140493" cy="2027784"/>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7835" cy="2034739"/>
                          </a:xfrm>
                          <a:prstGeom prst="rect">
                            <a:avLst/>
                          </a:prstGeom>
                          <a:noFill/>
                        </pic:spPr>
                      </pic:pic>
                    </a:graphicData>
                  </a:graphic>
                </wp:inline>
              </w:drawing>
            </w:r>
          </w:p>
        </w:tc>
        <w:tc>
          <w:tcPr>
            <w:tcW w:w="244" w:type="dxa"/>
            <w:tcBorders>
              <w:top w:val="nil"/>
              <w:bottom w:val="nil"/>
            </w:tcBorders>
          </w:tcPr>
          <w:p w14:paraId="219D4E13" w14:textId="77777777" w:rsidR="007D5DC4" w:rsidRPr="00887108" w:rsidRDefault="007D5DC4" w:rsidP="00231E05">
            <w:pPr>
              <w:framePr w:hSpace="141" w:wrap="around" w:vAnchor="text" w:hAnchor="text" w:xAlign="center" w:y="1"/>
              <w:suppressOverlap/>
              <w:jc w:val="both"/>
            </w:pPr>
          </w:p>
        </w:tc>
        <w:tc>
          <w:tcPr>
            <w:tcW w:w="4344" w:type="dxa"/>
          </w:tcPr>
          <w:p w14:paraId="2AC8FDF4" w14:textId="77777777" w:rsidR="007D5DC4" w:rsidRPr="00887108" w:rsidRDefault="007D5DC4" w:rsidP="00231E05">
            <w:pPr>
              <w:framePr w:hSpace="141" w:wrap="around" w:vAnchor="text" w:hAnchor="text" w:xAlign="center" w:y="1"/>
              <w:suppressOverlap/>
            </w:pPr>
            <w:r w:rsidRPr="00887108">
              <w:drawing>
                <wp:inline distT="0" distB="0" distL="0" distR="0" wp14:anchorId="6D29BF1C" wp14:editId="759573C3">
                  <wp:extent cx="2674785" cy="2053641"/>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2318" cy="2059425"/>
                          </a:xfrm>
                          <a:prstGeom prst="rect">
                            <a:avLst/>
                          </a:prstGeom>
                          <a:noFill/>
                        </pic:spPr>
                      </pic:pic>
                    </a:graphicData>
                  </a:graphic>
                </wp:inline>
              </w:drawing>
            </w:r>
          </w:p>
        </w:tc>
      </w:tr>
      <w:tr w:rsidR="007D5DC4" w:rsidRPr="00887108" w14:paraId="7FC95C43" w14:textId="77777777" w:rsidTr="00EA7E15">
        <w:trPr>
          <w:trHeight w:val="199"/>
          <w:jc w:val="center"/>
        </w:trPr>
        <w:tc>
          <w:tcPr>
            <w:tcW w:w="4181" w:type="dxa"/>
          </w:tcPr>
          <w:p w14:paraId="0D471FCD" w14:textId="77777777" w:rsidR="007D5DC4" w:rsidRPr="00887108" w:rsidRDefault="007D5DC4" w:rsidP="00231E05">
            <w:pPr>
              <w:framePr w:hSpace="141" w:wrap="around" w:vAnchor="text" w:hAnchor="text" w:xAlign="center" w:y="1"/>
              <w:suppressOverlap/>
              <w:jc w:val="right"/>
              <w:rPr>
                <w:i/>
                <w:sz w:val="18"/>
              </w:rPr>
            </w:pPr>
            <w:r w:rsidRPr="00887108">
              <w:rPr>
                <w:i/>
                <w:sz w:val="18"/>
              </w:rPr>
              <w:t>Zdroj: MF SR</w:t>
            </w:r>
          </w:p>
        </w:tc>
        <w:tc>
          <w:tcPr>
            <w:tcW w:w="244" w:type="dxa"/>
            <w:tcBorders>
              <w:top w:val="nil"/>
              <w:bottom w:val="nil"/>
            </w:tcBorders>
          </w:tcPr>
          <w:p w14:paraId="7C9BBA2F" w14:textId="77777777" w:rsidR="007D5DC4" w:rsidRPr="00887108" w:rsidRDefault="007D5DC4" w:rsidP="00231E05">
            <w:pPr>
              <w:framePr w:hSpace="141" w:wrap="around" w:vAnchor="text" w:hAnchor="text" w:xAlign="center" w:y="1"/>
              <w:suppressOverlap/>
              <w:jc w:val="both"/>
              <w:rPr>
                <w:sz w:val="18"/>
              </w:rPr>
            </w:pPr>
          </w:p>
        </w:tc>
        <w:tc>
          <w:tcPr>
            <w:tcW w:w="4344" w:type="dxa"/>
          </w:tcPr>
          <w:p w14:paraId="7D429E8C" w14:textId="77777777" w:rsidR="007D5DC4" w:rsidRPr="00887108" w:rsidRDefault="007D5DC4" w:rsidP="00231E05">
            <w:pPr>
              <w:framePr w:hSpace="141" w:wrap="around" w:vAnchor="text" w:hAnchor="text" w:xAlign="center" w:y="1"/>
              <w:suppressOverlap/>
              <w:jc w:val="right"/>
              <w:rPr>
                <w:sz w:val="18"/>
              </w:rPr>
            </w:pPr>
            <w:r w:rsidRPr="00887108">
              <w:rPr>
                <w:i/>
                <w:sz w:val="18"/>
              </w:rPr>
              <w:t>Zdroj: MF SR</w:t>
            </w:r>
          </w:p>
        </w:tc>
      </w:tr>
    </w:tbl>
    <w:p w14:paraId="3D7A1695" w14:textId="6AE57CD5" w:rsidR="007D5DC4" w:rsidRPr="00887108" w:rsidRDefault="007D5DC4" w:rsidP="007D5DC4">
      <w:r w:rsidRPr="00887108">
        <w:rPr>
          <w:bCs/>
          <w:i/>
          <w:sz w:val="16"/>
          <w:szCs w:val="16"/>
        </w:rPr>
        <w:t>Výbor pre daňové prognózy (VpDP)</w:t>
      </w:r>
      <w:r w:rsidRPr="00887108">
        <w:rPr>
          <w:rFonts w:eastAsiaTheme="minorHAnsi" w:cstheme="minorBidi"/>
          <w:i/>
          <w:sz w:val="16"/>
          <w:szCs w:val="16"/>
          <w:lang w:eastAsia="en-US"/>
        </w:rPr>
        <w:t xml:space="preserve"> hodnotí</w:t>
      </w:r>
      <w:r w:rsidRPr="00887108">
        <w:rPr>
          <w:bCs/>
          <w:i/>
          <w:sz w:val="16"/>
          <w:szCs w:val="16"/>
        </w:rPr>
        <w:t xml:space="preserve"> v súlade so svojim</w:t>
      </w:r>
      <w:r w:rsidRPr="00887108">
        <w:rPr>
          <w:bCs/>
          <w:i/>
          <w:color w:val="2C9ADC" w:themeColor="accent1"/>
          <w:sz w:val="16"/>
          <w:szCs w:val="16"/>
        </w:rPr>
        <w:t xml:space="preserve"> </w:t>
      </w:r>
      <w:hyperlink r:id="rId44" w:history="1">
        <w:r w:rsidRPr="00887108">
          <w:rPr>
            <w:rStyle w:val="Hypertextovprepojenie"/>
            <w:bCs/>
            <w:i/>
            <w:color w:val="2C9ADC" w:themeColor="accent1"/>
            <w:sz w:val="16"/>
            <w:szCs w:val="16"/>
          </w:rPr>
          <w:t>štatútom</w:t>
        </w:r>
      </w:hyperlink>
      <w:r w:rsidRPr="00887108">
        <w:rPr>
          <w:bCs/>
          <w:i/>
          <w:sz w:val="16"/>
          <w:szCs w:val="16"/>
        </w:rPr>
        <w:t xml:space="preserve"> </w:t>
      </w:r>
      <w:r w:rsidRPr="00887108">
        <w:rPr>
          <w:rFonts w:eastAsiaTheme="minorHAnsi" w:cstheme="minorBidi"/>
          <w:i/>
          <w:sz w:val="16"/>
          <w:szCs w:val="16"/>
          <w:lang w:eastAsia="en-US"/>
        </w:rPr>
        <w:t>len akruálne daňové a odvodové príjmy, ktoré sú považované za dane aj v súlade s národnou ekonomickou klasifikáciou.</w:t>
      </w:r>
      <w:r w:rsidRPr="00887108">
        <w:rPr>
          <w:rFonts w:eastAsiaTheme="minorHAnsi" w:cstheme="minorBidi"/>
          <w:sz w:val="16"/>
          <w:szCs w:val="16"/>
          <w:lang w:eastAsia="en-US"/>
        </w:rPr>
        <w:t xml:space="preserve"> </w:t>
      </w:r>
      <w:r w:rsidRPr="00887108">
        <w:rPr>
          <w:rFonts w:eastAsiaTheme="minorHAnsi" w:cstheme="minorBidi"/>
          <w:i/>
          <w:sz w:val="16"/>
          <w:szCs w:val="16"/>
          <w:lang w:eastAsia="en-US"/>
        </w:rPr>
        <w:t>Neprognózované príjmy tvoria približne 10 % na celkových príjmoch VS. Výbor neprognózuje napr. vývoj štátom plateného poistného (cca. 1,4 mld. eur), ktoré má neutrálny vplyv na výsledné saldo VS.</w:t>
      </w:r>
      <w:r w:rsidRPr="00887108">
        <w:rPr>
          <w:rFonts w:eastAsiaTheme="minorHAnsi" w:cstheme="minorBidi"/>
          <w:sz w:val="16"/>
          <w:szCs w:val="16"/>
          <w:lang w:eastAsia="en-US"/>
        </w:rPr>
        <w:t xml:space="preserve"> </w:t>
      </w:r>
      <w:r w:rsidRPr="00887108">
        <w:rPr>
          <w:rFonts w:eastAsiaTheme="minorHAnsi" w:cstheme="minorBidi"/>
          <w:i/>
          <w:sz w:val="16"/>
          <w:szCs w:val="16"/>
          <w:lang w:eastAsia="en-US"/>
        </w:rPr>
        <w:t>Nie je tak možné zjednodušene bez analytických úprav porovnávať prognózu výboru s celkovými notifikovanými daňovými a odvodovými príjmami v metodike ESA.</w:t>
      </w:r>
    </w:p>
    <w:p w14:paraId="37BB54F7" w14:textId="77777777" w:rsidR="007D5DC4" w:rsidRPr="00887108" w:rsidRDefault="007D5DC4">
      <w:pPr>
        <w:rPr>
          <w:rFonts w:cs="Arial"/>
          <w:b/>
          <w:bCs/>
          <w:color w:val="2C9ADC" w:themeColor="accent1"/>
          <w:sz w:val="24"/>
          <w:szCs w:val="24"/>
        </w:rPr>
      </w:pPr>
      <w:r w:rsidRPr="00887108">
        <w:rPr>
          <w:color w:val="2C9ADC" w:themeColor="accent1"/>
          <w:sz w:val="24"/>
          <w:szCs w:val="24"/>
        </w:rPr>
        <w:br w:type="page"/>
      </w:r>
    </w:p>
    <w:p w14:paraId="147991CF" w14:textId="1DA756D8" w:rsidR="00D37A31" w:rsidRPr="00887108" w:rsidRDefault="00A918CA" w:rsidP="00D37A31">
      <w:pPr>
        <w:pStyle w:val="Nadpis3"/>
        <w:spacing w:after="120"/>
        <w:rPr>
          <w:color w:val="2C9ADC" w:themeColor="accent1"/>
          <w:sz w:val="24"/>
          <w:szCs w:val="24"/>
        </w:rPr>
      </w:pPr>
      <w:r w:rsidRPr="00887108">
        <w:rPr>
          <w:color w:val="2C9ADC" w:themeColor="accent1"/>
          <w:sz w:val="24"/>
          <w:szCs w:val="24"/>
        </w:rPr>
        <w:t>Príloha 4</w:t>
      </w:r>
      <w:r w:rsidR="00D37A31" w:rsidRPr="00887108">
        <w:rPr>
          <w:color w:val="2C9ADC" w:themeColor="accent1"/>
          <w:sz w:val="24"/>
          <w:szCs w:val="24"/>
        </w:rPr>
        <w:t xml:space="preserve"> - </w:t>
      </w:r>
      <w:bookmarkStart w:id="167" w:name="_Toc416885947"/>
      <w:bookmarkStart w:id="168" w:name="_Toc416944095"/>
      <w:bookmarkStart w:id="169" w:name="_Toc417647081"/>
      <w:bookmarkStart w:id="170" w:name="_Toc417907515"/>
      <w:bookmarkEnd w:id="153"/>
      <w:bookmarkEnd w:id="154"/>
      <w:bookmarkEnd w:id="155"/>
      <w:r w:rsidR="00D37A31" w:rsidRPr="00887108">
        <w:rPr>
          <w:color w:val="2C9ADC" w:themeColor="accent1"/>
          <w:sz w:val="24"/>
          <w:szCs w:val="24"/>
        </w:rPr>
        <w:t>Štrukturálne saldo</w:t>
      </w:r>
      <w:bookmarkEnd w:id="156"/>
    </w:p>
    <w:p w14:paraId="16DB77F6" w14:textId="77777777" w:rsidR="00D37A31" w:rsidRPr="00887108" w:rsidRDefault="00D37A31" w:rsidP="00D37A31">
      <w:pPr>
        <w:jc w:val="both"/>
      </w:pPr>
      <w:r w:rsidRPr="00887108">
        <w:rPr>
          <w:b/>
        </w:rPr>
        <w:t>Štrukturálne saldo predstavuje rozdiel medzi príjmami a výdavkami verejnej správy bez jednorazových a dočasných vplyvov, a za predpokladu, že ekonomika sa pohybuje na svojej potenciálnej úrovni.</w:t>
      </w:r>
      <w:r w:rsidRPr="00887108">
        <w:t xml:space="preserve"> Štrukturálne saldo vernejšie zobrazuje strednodobú fiškálnu pozíciu krajiny v porovnaní s nominálnym saldom. </w:t>
      </w:r>
    </w:p>
    <w:p w14:paraId="7C95CFF6" w14:textId="77777777" w:rsidR="00D37A31" w:rsidRPr="00887108" w:rsidRDefault="00D37A31" w:rsidP="00D37A31">
      <w:pPr>
        <w:jc w:val="both"/>
      </w:pPr>
    </w:p>
    <w:p w14:paraId="1A580808" w14:textId="26C6DB17" w:rsidR="00D37A31" w:rsidRPr="00887108" w:rsidRDefault="00D37A31" w:rsidP="00D37A31">
      <w:pPr>
        <w:jc w:val="both"/>
        <w:rPr>
          <w:rFonts w:cs="Arial"/>
          <w:color w:val="000000" w:themeColor="text1"/>
        </w:rPr>
      </w:pPr>
      <w:r w:rsidRPr="00887108">
        <w:rPr>
          <w:b/>
          <w:bCs/>
        </w:rPr>
        <w:t>Pakt stability a rastu vychádza z premisy, že členské štáty by mali dosiahnuť symetrický prístup k fiškálnej politike v súlade s cyklickým vývojom ekonomiky</w:t>
      </w:r>
      <w:r w:rsidRPr="00887108">
        <w:t>. Základným cieľom je zvýšená orientácia na rozpočtovú disciplínu v obdobiach hospodárskeho oživenia s cieľom vyhnúť sa pro-cyklickému charakteru fiškálnej politiky a postupne dosiahnuť svoj strednodobý rozpočtový cieľ</w:t>
      </w:r>
      <w:r w:rsidR="006053BA" w:rsidRPr="00887108">
        <w:rPr>
          <w:rStyle w:val="Odkaznapoznmkupodiarou"/>
          <w:color w:val="000000" w:themeColor="text1"/>
          <w:lang w:val="sk-SK"/>
        </w:rPr>
        <w:footnoteReference w:id="80"/>
      </w:r>
      <w:r w:rsidRPr="00887108">
        <w:t>.</w:t>
      </w:r>
      <w:r w:rsidRPr="00887108">
        <w:rPr>
          <w:rFonts w:cs="Arial"/>
          <w:color w:val="000000" w:themeColor="text1"/>
        </w:rPr>
        <w:t xml:space="preserve"> Výsledkom by malo byť vytvorenie fiškálneho priestoru pre obdobia s ekonomickým poklesom a zároveň primeraným tempom znížiť verejný dlh a pozitívne tak ovplyvniť dlhodobú udržateľnosť verejných financií. </w:t>
      </w:r>
    </w:p>
    <w:p w14:paraId="3E38D188" w14:textId="77777777" w:rsidR="00D37A31" w:rsidRPr="00887108" w:rsidRDefault="00D37A31" w:rsidP="00D37A31">
      <w:pPr>
        <w:jc w:val="both"/>
        <w:rPr>
          <w:rFonts w:cs="Arial"/>
          <w:color w:val="000000" w:themeColor="text1"/>
        </w:rPr>
      </w:pPr>
    </w:p>
    <w:p w14:paraId="24CB11D8" w14:textId="77777777" w:rsidR="00D37A31" w:rsidRPr="00887108" w:rsidRDefault="00D37A31" w:rsidP="00D37A31">
      <w:pPr>
        <w:jc w:val="both"/>
        <w:rPr>
          <w:rFonts w:cs="Arial"/>
          <w:color w:val="000000" w:themeColor="text1"/>
        </w:rPr>
      </w:pPr>
      <w:r w:rsidRPr="00887108">
        <w:rPr>
          <w:rFonts w:cs="Arial"/>
          <w:b/>
          <w:color w:val="000000" w:themeColor="text1"/>
        </w:rPr>
        <w:t>Nasledujúca matica špecifikuje požiadavky Paktu stability a rastu na fiškálnu konsolidáciu v rámci jeho preventívnej časti</w:t>
      </w:r>
      <w:r w:rsidRPr="00887108">
        <w:rPr>
          <w:rFonts w:cs="Arial"/>
          <w:color w:val="000000" w:themeColor="text1"/>
        </w:rPr>
        <w:t>. Matica rozlišuje medzi väčším konsolidačným úsilím, ktoré sa má uskutočňovať v lepších časoch a nižším úsilím, požadovaným v čase prepadu ekonomiky pod svoj potenciál.</w:t>
      </w:r>
    </w:p>
    <w:p w14:paraId="1D78513B" w14:textId="77777777" w:rsidR="00D37A31" w:rsidRPr="00887108" w:rsidRDefault="00D37A31" w:rsidP="00D37A31">
      <w:pPr>
        <w:pStyle w:val="Odsekzoznamu1"/>
        <w:autoSpaceDE w:val="0"/>
        <w:autoSpaceDN w:val="0"/>
        <w:adjustRightInd w:val="0"/>
        <w:ind w:left="0"/>
        <w:jc w:val="both"/>
        <w:rPr>
          <w:color w:val="000000" w:themeColor="text1"/>
        </w:rPr>
      </w:pPr>
    </w:p>
    <w:tbl>
      <w:tblPr>
        <w:tblW w:w="9074" w:type="dxa"/>
        <w:tblLayout w:type="fixed"/>
        <w:tblCellMar>
          <w:left w:w="70" w:type="dxa"/>
          <w:right w:w="70" w:type="dxa"/>
        </w:tblCellMar>
        <w:tblLook w:val="04A0" w:firstRow="1" w:lastRow="0" w:firstColumn="1" w:lastColumn="0" w:noHBand="0" w:noVBand="1"/>
      </w:tblPr>
      <w:tblGrid>
        <w:gridCol w:w="2059"/>
        <w:gridCol w:w="2059"/>
        <w:gridCol w:w="2504"/>
        <w:gridCol w:w="2452"/>
      </w:tblGrid>
      <w:tr w:rsidR="00D37A31" w:rsidRPr="00887108" w14:paraId="6960564D" w14:textId="77777777" w:rsidTr="00E9118E">
        <w:trPr>
          <w:trHeight w:val="227"/>
        </w:trPr>
        <w:tc>
          <w:tcPr>
            <w:tcW w:w="2059" w:type="dxa"/>
            <w:tcBorders>
              <w:top w:val="nil"/>
              <w:left w:val="nil"/>
              <w:bottom w:val="single" w:sz="4" w:space="0" w:color="auto"/>
              <w:right w:val="nil"/>
            </w:tcBorders>
          </w:tcPr>
          <w:p w14:paraId="2BD0FC08" w14:textId="77777777" w:rsidR="00D37A31" w:rsidRPr="00887108" w:rsidRDefault="00D37A31" w:rsidP="00E9118E">
            <w:pPr>
              <w:rPr>
                <w:rFonts w:cs="Times New Roman"/>
                <w:color w:val="000000" w:themeColor="text1"/>
                <w:sz w:val="18"/>
                <w:szCs w:val="24"/>
              </w:rPr>
            </w:pPr>
          </w:p>
        </w:tc>
        <w:tc>
          <w:tcPr>
            <w:tcW w:w="2059" w:type="dxa"/>
            <w:tcBorders>
              <w:top w:val="nil"/>
              <w:left w:val="nil"/>
              <w:bottom w:val="nil"/>
              <w:right w:val="nil"/>
            </w:tcBorders>
            <w:shd w:val="clear" w:color="auto" w:fill="auto"/>
            <w:noWrap/>
            <w:vAlign w:val="bottom"/>
            <w:hideMark/>
          </w:tcPr>
          <w:p w14:paraId="0B619035" w14:textId="77777777" w:rsidR="00D37A31" w:rsidRPr="00887108" w:rsidRDefault="00D37A31" w:rsidP="00E9118E">
            <w:pPr>
              <w:rPr>
                <w:rFonts w:cs="Times New Roman"/>
                <w:color w:val="000000" w:themeColor="text1"/>
                <w:sz w:val="18"/>
                <w:szCs w:val="24"/>
              </w:rPr>
            </w:pPr>
          </w:p>
        </w:tc>
        <w:tc>
          <w:tcPr>
            <w:tcW w:w="4956" w:type="dxa"/>
            <w:gridSpan w:val="2"/>
            <w:tcBorders>
              <w:top w:val="single" w:sz="4" w:space="0" w:color="auto"/>
              <w:left w:val="single" w:sz="4" w:space="0" w:color="auto"/>
              <w:bottom w:val="single" w:sz="4" w:space="0" w:color="auto"/>
              <w:right w:val="single" w:sz="4" w:space="0" w:color="auto"/>
            </w:tcBorders>
            <w:shd w:val="clear" w:color="auto" w:fill="D4EAF8" w:themeFill="accent1" w:themeFillTint="33"/>
            <w:noWrap/>
            <w:vAlign w:val="center"/>
            <w:hideMark/>
          </w:tcPr>
          <w:p w14:paraId="38E5F7CD" w14:textId="77777777" w:rsidR="00D37A31" w:rsidRPr="00887108" w:rsidRDefault="00D37A31" w:rsidP="00E9118E">
            <w:pPr>
              <w:jc w:val="center"/>
              <w:rPr>
                <w:rFonts w:cs="Arial"/>
                <w:b/>
                <w:bCs/>
                <w:color w:val="000000" w:themeColor="text1"/>
                <w:sz w:val="18"/>
                <w:szCs w:val="20"/>
              </w:rPr>
            </w:pPr>
            <w:r w:rsidRPr="00887108">
              <w:rPr>
                <w:rFonts w:cs="Arial"/>
                <w:b/>
                <w:bCs/>
                <w:color w:val="000000" w:themeColor="text1"/>
                <w:sz w:val="18"/>
                <w:szCs w:val="20"/>
              </w:rPr>
              <w:t>Požadovaná medziročná konsolidácia</w:t>
            </w:r>
          </w:p>
        </w:tc>
      </w:tr>
      <w:tr w:rsidR="00D37A31" w:rsidRPr="00887108" w14:paraId="7099A4D6" w14:textId="77777777" w:rsidTr="00E9118E">
        <w:trPr>
          <w:trHeight w:val="285"/>
        </w:trPr>
        <w:tc>
          <w:tcPr>
            <w:tcW w:w="2059" w:type="dxa"/>
            <w:tcBorders>
              <w:top w:val="single" w:sz="4" w:space="0" w:color="auto"/>
              <w:left w:val="single" w:sz="4" w:space="0" w:color="auto"/>
              <w:right w:val="single" w:sz="4" w:space="0" w:color="auto"/>
            </w:tcBorders>
            <w:shd w:val="clear" w:color="auto" w:fill="D4EAF8" w:themeFill="accent1" w:themeFillTint="33"/>
          </w:tcPr>
          <w:p w14:paraId="2FDBB837" w14:textId="77777777" w:rsidR="00D37A31" w:rsidRPr="00887108" w:rsidRDefault="00D37A31" w:rsidP="00E9118E">
            <w:pPr>
              <w:jc w:val="center"/>
              <w:rPr>
                <w:rFonts w:cs="Arial"/>
                <w:b/>
                <w:color w:val="000000" w:themeColor="text1"/>
                <w:sz w:val="18"/>
                <w:szCs w:val="20"/>
              </w:rPr>
            </w:pPr>
          </w:p>
        </w:tc>
        <w:tc>
          <w:tcPr>
            <w:tcW w:w="2059" w:type="dxa"/>
            <w:vMerge w:val="restart"/>
            <w:tcBorders>
              <w:top w:val="single" w:sz="4" w:space="0" w:color="auto"/>
              <w:left w:val="single" w:sz="4" w:space="0" w:color="auto"/>
              <w:bottom w:val="single" w:sz="4" w:space="0" w:color="auto"/>
              <w:right w:val="single" w:sz="4" w:space="0" w:color="auto"/>
            </w:tcBorders>
            <w:shd w:val="clear" w:color="auto" w:fill="D4EAF8" w:themeFill="accent1" w:themeFillTint="33"/>
            <w:noWrap/>
            <w:vAlign w:val="center"/>
            <w:hideMark/>
          </w:tcPr>
          <w:p w14:paraId="1B36F392"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Podmienka</w:t>
            </w:r>
          </w:p>
        </w:tc>
        <w:tc>
          <w:tcPr>
            <w:tcW w:w="2504" w:type="dxa"/>
            <w:vMerge w:val="restart"/>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262AD67F"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Dlh pod 60 % a nízke až stredné riziko udržateľnosti</w:t>
            </w:r>
          </w:p>
        </w:tc>
        <w:tc>
          <w:tcPr>
            <w:tcW w:w="2451" w:type="dxa"/>
            <w:vMerge w:val="restart"/>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5473914A"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Dlh nad 60 % alebo vysoké riziko udržateľnosti</w:t>
            </w:r>
          </w:p>
        </w:tc>
      </w:tr>
      <w:tr w:rsidR="00D37A31" w:rsidRPr="00887108" w14:paraId="7963F9A9" w14:textId="77777777" w:rsidTr="00E9118E">
        <w:trPr>
          <w:trHeight w:val="292"/>
        </w:trPr>
        <w:tc>
          <w:tcPr>
            <w:tcW w:w="2059" w:type="dxa"/>
            <w:tcBorders>
              <w:left w:val="single" w:sz="4" w:space="0" w:color="auto"/>
              <w:bottom w:val="single" w:sz="4" w:space="0" w:color="auto"/>
              <w:right w:val="single" w:sz="4" w:space="0" w:color="auto"/>
            </w:tcBorders>
            <w:shd w:val="clear" w:color="auto" w:fill="D4EAF8" w:themeFill="accent1" w:themeFillTint="33"/>
          </w:tcPr>
          <w:p w14:paraId="5155A798" w14:textId="77777777" w:rsidR="00D37A31" w:rsidRPr="00887108" w:rsidRDefault="00D37A31" w:rsidP="00E9118E">
            <w:pPr>
              <w:rPr>
                <w:rFonts w:cs="Arial"/>
                <w:color w:val="000000" w:themeColor="text1"/>
                <w:sz w:val="18"/>
                <w:szCs w:val="20"/>
              </w:rPr>
            </w:pPr>
          </w:p>
        </w:tc>
        <w:tc>
          <w:tcPr>
            <w:tcW w:w="2059" w:type="dxa"/>
            <w:vMerge/>
            <w:tcBorders>
              <w:top w:val="single" w:sz="4" w:space="0" w:color="auto"/>
              <w:left w:val="single" w:sz="4" w:space="0" w:color="auto"/>
              <w:bottom w:val="single" w:sz="4" w:space="0" w:color="auto"/>
              <w:right w:val="single" w:sz="4" w:space="0" w:color="auto"/>
            </w:tcBorders>
            <w:shd w:val="clear" w:color="auto" w:fill="D4EAF8" w:themeFill="accent1" w:themeFillTint="33"/>
            <w:vAlign w:val="center"/>
            <w:hideMark/>
          </w:tcPr>
          <w:p w14:paraId="5E0B43D0" w14:textId="77777777" w:rsidR="00D37A31" w:rsidRPr="00887108" w:rsidRDefault="00D37A31" w:rsidP="00E9118E">
            <w:pPr>
              <w:rPr>
                <w:rFonts w:cs="Arial"/>
                <w:color w:val="000000" w:themeColor="text1"/>
                <w:sz w:val="18"/>
                <w:szCs w:val="20"/>
              </w:rPr>
            </w:pPr>
          </w:p>
        </w:tc>
        <w:tc>
          <w:tcPr>
            <w:tcW w:w="2504" w:type="dxa"/>
            <w:vMerge/>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71357B58" w14:textId="77777777" w:rsidR="00D37A31" w:rsidRPr="00887108" w:rsidRDefault="00D37A31" w:rsidP="00E9118E">
            <w:pPr>
              <w:rPr>
                <w:rFonts w:cs="Arial"/>
                <w:color w:val="000000" w:themeColor="text1"/>
                <w:sz w:val="18"/>
                <w:szCs w:val="20"/>
              </w:rPr>
            </w:pPr>
          </w:p>
        </w:tc>
        <w:tc>
          <w:tcPr>
            <w:tcW w:w="2451" w:type="dxa"/>
            <w:vMerge/>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2BC9D7AE" w14:textId="77777777" w:rsidR="00D37A31" w:rsidRPr="00887108" w:rsidRDefault="00D37A31" w:rsidP="00E9118E">
            <w:pPr>
              <w:rPr>
                <w:rFonts w:cs="Arial"/>
                <w:color w:val="000000" w:themeColor="text1"/>
                <w:sz w:val="18"/>
                <w:szCs w:val="20"/>
              </w:rPr>
            </w:pPr>
          </w:p>
        </w:tc>
      </w:tr>
      <w:tr w:rsidR="00D37A31" w:rsidRPr="00887108" w14:paraId="1E47693F" w14:textId="77777777" w:rsidTr="00E9118E">
        <w:trPr>
          <w:trHeight w:val="258"/>
        </w:trPr>
        <w:tc>
          <w:tcPr>
            <w:tcW w:w="2059" w:type="dxa"/>
            <w:tcBorders>
              <w:top w:val="single" w:sz="4" w:space="0" w:color="auto"/>
              <w:left w:val="single" w:sz="4" w:space="0" w:color="auto"/>
              <w:bottom w:val="single" w:sz="4" w:space="0" w:color="auto"/>
              <w:right w:val="nil"/>
            </w:tcBorders>
            <w:shd w:val="clear" w:color="auto" w:fill="D4EAF8" w:themeFill="accent1" w:themeFillTint="33"/>
          </w:tcPr>
          <w:p w14:paraId="0B6DC53B"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Výnimočne zlé obdobie</w:t>
            </w:r>
          </w:p>
        </w:tc>
        <w:tc>
          <w:tcPr>
            <w:tcW w:w="2059" w:type="dxa"/>
            <w:tcBorders>
              <w:top w:val="single" w:sz="4" w:space="0" w:color="auto"/>
              <w:left w:val="single" w:sz="4" w:space="0" w:color="auto"/>
              <w:bottom w:val="single" w:sz="4" w:space="0" w:color="auto"/>
              <w:right w:val="nil"/>
            </w:tcBorders>
            <w:shd w:val="clear" w:color="auto" w:fill="D4EAF8" w:themeFill="accent1" w:themeFillTint="33"/>
            <w:vAlign w:val="center"/>
            <w:hideMark/>
          </w:tcPr>
          <w:p w14:paraId="0D340D3A"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Reálny rast HDP &lt; 0 alebo produkčná medzera &lt; -4</w:t>
            </w:r>
          </w:p>
        </w:tc>
        <w:tc>
          <w:tcPr>
            <w:tcW w:w="4956"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0EC24AB"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Bez potreby konsolidácie</w:t>
            </w:r>
          </w:p>
        </w:tc>
      </w:tr>
      <w:tr w:rsidR="00D37A31" w:rsidRPr="00887108" w14:paraId="5152F997" w14:textId="77777777" w:rsidTr="00E9118E">
        <w:trPr>
          <w:trHeight w:val="221"/>
        </w:trPr>
        <w:tc>
          <w:tcPr>
            <w:tcW w:w="2059" w:type="dxa"/>
            <w:tcBorders>
              <w:top w:val="nil"/>
              <w:left w:val="single" w:sz="4" w:space="0" w:color="auto"/>
              <w:bottom w:val="single" w:sz="4" w:space="0" w:color="auto"/>
              <w:right w:val="nil"/>
            </w:tcBorders>
            <w:shd w:val="clear" w:color="auto" w:fill="D4EAF8" w:themeFill="accent1" w:themeFillTint="33"/>
          </w:tcPr>
          <w:p w14:paraId="349D6769"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Veľmi zlé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1594F29A"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xml:space="preserve"> -4 ≤ produkčná medzera (PM) &lt; -3</w:t>
            </w:r>
          </w:p>
        </w:tc>
        <w:tc>
          <w:tcPr>
            <w:tcW w:w="2504" w:type="dxa"/>
            <w:tcBorders>
              <w:top w:val="nil"/>
              <w:left w:val="single" w:sz="8" w:space="0" w:color="auto"/>
              <w:bottom w:val="single" w:sz="4" w:space="0" w:color="auto"/>
              <w:right w:val="single" w:sz="4" w:space="0" w:color="auto"/>
            </w:tcBorders>
            <w:shd w:val="clear" w:color="auto" w:fill="auto"/>
            <w:noWrap/>
            <w:vAlign w:val="center"/>
            <w:hideMark/>
          </w:tcPr>
          <w:p w14:paraId="0E2BAE0D"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0</w:t>
            </w:r>
          </w:p>
        </w:tc>
        <w:tc>
          <w:tcPr>
            <w:tcW w:w="2451" w:type="dxa"/>
            <w:tcBorders>
              <w:top w:val="nil"/>
              <w:left w:val="nil"/>
              <w:bottom w:val="single" w:sz="4" w:space="0" w:color="auto"/>
              <w:right w:val="single" w:sz="8" w:space="0" w:color="auto"/>
            </w:tcBorders>
            <w:shd w:val="clear" w:color="auto" w:fill="auto"/>
            <w:noWrap/>
            <w:vAlign w:val="center"/>
            <w:hideMark/>
          </w:tcPr>
          <w:p w14:paraId="3CC0F3BA"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0,25</w:t>
            </w:r>
          </w:p>
        </w:tc>
      </w:tr>
      <w:tr w:rsidR="00D37A31" w:rsidRPr="00887108" w14:paraId="070ED3C2" w14:textId="77777777" w:rsidTr="00E9118E">
        <w:trPr>
          <w:trHeight w:val="331"/>
        </w:trPr>
        <w:tc>
          <w:tcPr>
            <w:tcW w:w="2059" w:type="dxa"/>
            <w:tcBorders>
              <w:top w:val="nil"/>
              <w:left w:val="single" w:sz="4" w:space="0" w:color="auto"/>
              <w:bottom w:val="single" w:sz="4" w:space="0" w:color="auto"/>
              <w:right w:val="nil"/>
            </w:tcBorders>
            <w:shd w:val="clear" w:color="auto" w:fill="D4EAF8" w:themeFill="accent1" w:themeFillTint="33"/>
          </w:tcPr>
          <w:p w14:paraId="773DF995"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Zlé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1F9CC044"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xml:space="preserve"> -3 ≤ produkčná medzera (PM) &lt; -1,5</w:t>
            </w:r>
          </w:p>
        </w:tc>
        <w:tc>
          <w:tcPr>
            <w:tcW w:w="2504" w:type="dxa"/>
            <w:tcBorders>
              <w:top w:val="nil"/>
              <w:left w:val="single" w:sz="8" w:space="0" w:color="auto"/>
              <w:bottom w:val="single" w:sz="4" w:space="0" w:color="auto"/>
              <w:right w:val="single" w:sz="4" w:space="0" w:color="auto"/>
            </w:tcBorders>
            <w:shd w:val="clear" w:color="auto" w:fill="auto"/>
            <w:vAlign w:val="center"/>
            <w:hideMark/>
          </w:tcPr>
          <w:p w14:paraId="5B88C359"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xml:space="preserve">0 v prípade otvárajúcej sa PM, </w:t>
            </w:r>
          </w:p>
          <w:p w14:paraId="28BB1496"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0,25 v prípade zatvárajúcej sa PM</w:t>
            </w:r>
          </w:p>
        </w:tc>
        <w:tc>
          <w:tcPr>
            <w:tcW w:w="2451" w:type="dxa"/>
            <w:tcBorders>
              <w:top w:val="nil"/>
              <w:left w:val="nil"/>
              <w:bottom w:val="single" w:sz="4" w:space="0" w:color="auto"/>
              <w:right w:val="single" w:sz="8" w:space="0" w:color="auto"/>
            </w:tcBorders>
            <w:shd w:val="clear" w:color="auto" w:fill="auto"/>
            <w:vAlign w:val="center"/>
            <w:hideMark/>
          </w:tcPr>
          <w:p w14:paraId="2C117D82"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xml:space="preserve"> 0,25 v prípade otvárajúcej sa PM, </w:t>
            </w:r>
          </w:p>
          <w:p w14:paraId="3608B4DA"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0,5 v prípade zatvárajúcej sa PM</w:t>
            </w:r>
          </w:p>
        </w:tc>
      </w:tr>
      <w:tr w:rsidR="00D37A31" w:rsidRPr="00887108" w14:paraId="34F814FC" w14:textId="77777777" w:rsidTr="00E9118E">
        <w:trPr>
          <w:trHeight w:val="326"/>
        </w:trPr>
        <w:tc>
          <w:tcPr>
            <w:tcW w:w="2059" w:type="dxa"/>
            <w:tcBorders>
              <w:top w:val="nil"/>
              <w:left w:val="single" w:sz="4" w:space="0" w:color="auto"/>
              <w:bottom w:val="single" w:sz="4" w:space="0" w:color="auto"/>
              <w:right w:val="nil"/>
            </w:tcBorders>
            <w:shd w:val="clear" w:color="auto" w:fill="D4EAF8" w:themeFill="accent1" w:themeFillTint="33"/>
          </w:tcPr>
          <w:p w14:paraId="5EDE74AB"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Normálne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172EB0FF"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xml:space="preserve"> -1,5 ≤ produkčná medzera (PM) &lt; 1,5</w:t>
            </w:r>
          </w:p>
        </w:tc>
        <w:tc>
          <w:tcPr>
            <w:tcW w:w="2504" w:type="dxa"/>
            <w:tcBorders>
              <w:top w:val="nil"/>
              <w:left w:val="single" w:sz="8" w:space="0" w:color="auto"/>
              <w:bottom w:val="single" w:sz="4" w:space="0" w:color="auto"/>
              <w:right w:val="single" w:sz="4" w:space="0" w:color="auto"/>
            </w:tcBorders>
            <w:shd w:val="clear" w:color="auto" w:fill="auto"/>
            <w:noWrap/>
            <w:vAlign w:val="center"/>
            <w:hideMark/>
          </w:tcPr>
          <w:p w14:paraId="7548D730"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0,5</w:t>
            </w:r>
          </w:p>
        </w:tc>
        <w:tc>
          <w:tcPr>
            <w:tcW w:w="2451" w:type="dxa"/>
            <w:tcBorders>
              <w:top w:val="nil"/>
              <w:left w:val="nil"/>
              <w:bottom w:val="single" w:sz="4" w:space="0" w:color="auto"/>
              <w:right w:val="single" w:sz="8" w:space="0" w:color="auto"/>
            </w:tcBorders>
            <w:shd w:val="clear" w:color="auto" w:fill="auto"/>
            <w:noWrap/>
            <w:vAlign w:val="center"/>
            <w:hideMark/>
          </w:tcPr>
          <w:p w14:paraId="06744141"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&gt; 0,5</w:t>
            </w:r>
          </w:p>
        </w:tc>
      </w:tr>
      <w:tr w:rsidR="00D37A31" w:rsidRPr="00887108" w14:paraId="72C49337" w14:textId="77777777" w:rsidTr="00E9118E">
        <w:trPr>
          <w:trHeight w:val="331"/>
        </w:trPr>
        <w:tc>
          <w:tcPr>
            <w:tcW w:w="2059" w:type="dxa"/>
            <w:tcBorders>
              <w:top w:val="nil"/>
              <w:left w:val="single" w:sz="4" w:space="0" w:color="auto"/>
              <w:bottom w:val="single" w:sz="4" w:space="0" w:color="auto"/>
              <w:right w:val="nil"/>
            </w:tcBorders>
            <w:shd w:val="clear" w:color="auto" w:fill="D4EAF8" w:themeFill="accent1" w:themeFillTint="33"/>
          </w:tcPr>
          <w:p w14:paraId="2C49CE21" w14:textId="77777777" w:rsidR="00D37A31" w:rsidRPr="00887108" w:rsidRDefault="00D37A31" w:rsidP="00E9118E">
            <w:pPr>
              <w:jc w:val="center"/>
              <w:rPr>
                <w:rFonts w:cs="Arial"/>
                <w:b/>
                <w:color w:val="000000" w:themeColor="text1"/>
                <w:sz w:val="18"/>
                <w:szCs w:val="20"/>
              </w:rPr>
            </w:pPr>
            <w:r w:rsidRPr="00887108">
              <w:rPr>
                <w:rFonts w:cs="Arial"/>
                <w:b/>
                <w:color w:val="000000" w:themeColor="text1"/>
                <w:sz w:val="18"/>
                <w:szCs w:val="20"/>
              </w:rPr>
              <w:t>Dobré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2675A5E0"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produkčná medzera (PM) ≥ 1,5</w:t>
            </w:r>
          </w:p>
        </w:tc>
        <w:tc>
          <w:tcPr>
            <w:tcW w:w="2504" w:type="dxa"/>
            <w:tcBorders>
              <w:top w:val="nil"/>
              <w:left w:val="single" w:sz="8" w:space="0" w:color="auto"/>
              <w:bottom w:val="single" w:sz="8" w:space="0" w:color="auto"/>
              <w:right w:val="single" w:sz="4" w:space="0" w:color="auto"/>
            </w:tcBorders>
            <w:shd w:val="clear" w:color="auto" w:fill="auto"/>
            <w:vAlign w:val="center"/>
            <w:hideMark/>
          </w:tcPr>
          <w:p w14:paraId="0A694CB5"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xml:space="preserve">&gt; 0,5 v prípade otvárajúcej sa PM, </w:t>
            </w:r>
          </w:p>
          <w:p w14:paraId="04B0766D"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0,75 v prípade zatvárajúcej sa PM</w:t>
            </w:r>
          </w:p>
        </w:tc>
        <w:tc>
          <w:tcPr>
            <w:tcW w:w="2451" w:type="dxa"/>
            <w:tcBorders>
              <w:top w:val="nil"/>
              <w:left w:val="nil"/>
              <w:bottom w:val="single" w:sz="8" w:space="0" w:color="auto"/>
              <w:right w:val="single" w:sz="8" w:space="0" w:color="auto"/>
            </w:tcBorders>
            <w:shd w:val="clear" w:color="auto" w:fill="auto"/>
            <w:vAlign w:val="center"/>
            <w:hideMark/>
          </w:tcPr>
          <w:p w14:paraId="00BBEFB2"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xml:space="preserve">≥ 0,75 v prípade otvárajúcej sa PM, </w:t>
            </w:r>
          </w:p>
          <w:p w14:paraId="44E726B4" w14:textId="77777777" w:rsidR="00D37A31" w:rsidRPr="00887108" w:rsidRDefault="00D37A31" w:rsidP="00E9118E">
            <w:pPr>
              <w:jc w:val="center"/>
              <w:rPr>
                <w:rFonts w:cs="Arial"/>
                <w:color w:val="000000" w:themeColor="text1"/>
                <w:sz w:val="18"/>
                <w:szCs w:val="20"/>
              </w:rPr>
            </w:pPr>
            <w:r w:rsidRPr="00887108">
              <w:rPr>
                <w:rFonts w:cs="Arial"/>
                <w:color w:val="000000" w:themeColor="text1"/>
                <w:sz w:val="18"/>
                <w:szCs w:val="20"/>
              </w:rPr>
              <w:t>≥ 1 v prípade zatvárajúcej sa PM</w:t>
            </w:r>
          </w:p>
        </w:tc>
      </w:tr>
    </w:tbl>
    <w:p w14:paraId="7A50A9C0" w14:textId="77777777" w:rsidR="00D37A31" w:rsidRPr="00887108" w:rsidRDefault="00D37A31" w:rsidP="00D37A31">
      <w:pPr>
        <w:spacing w:before="240"/>
        <w:jc w:val="both"/>
      </w:pPr>
      <w:r w:rsidRPr="00887108">
        <w:rPr>
          <w:b/>
        </w:rPr>
        <w:t xml:space="preserve">Hodnotenie súladu (odchýlenie v % HDP) oproti požadovanému poklesu štrukturálneho salda sa posudzuje z jednoročného a dvojročného pohľadu (na základe priemeru v posudzovaných rokoch). </w:t>
      </w:r>
      <w:r w:rsidRPr="00887108">
        <w:t xml:space="preserve">Jednoročná odchýlka s limitom -0,5 % HDP a dvojročná s limitom -0,25 % HDP. </w:t>
      </w:r>
    </w:p>
    <w:p w14:paraId="038D25DC" w14:textId="77777777" w:rsidR="00D37A31" w:rsidRPr="00887108" w:rsidRDefault="00D37A31" w:rsidP="00D37A31">
      <w:pPr>
        <w:spacing w:before="240" w:after="120"/>
        <w:jc w:val="both"/>
        <w:rPr>
          <w:b/>
          <w:color w:val="2C9ADC"/>
        </w:rPr>
      </w:pPr>
      <w:r w:rsidRPr="00887108">
        <w:rPr>
          <w:b/>
          <w:color w:val="2C9ADC"/>
        </w:rPr>
        <w:t>Výpočet štrukturálneho salda</w:t>
      </w:r>
    </w:p>
    <w:p w14:paraId="58F22D2E" w14:textId="77777777" w:rsidR="00D37A31" w:rsidRPr="00887108" w:rsidRDefault="00D37A31" w:rsidP="00D37A31">
      <w:pPr>
        <w:jc w:val="both"/>
        <w:rPr>
          <w:b/>
        </w:rPr>
      </w:pPr>
      <w:r w:rsidRPr="00887108">
        <w:rPr>
          <w:b/>
        </w:rPr>
        <w:t xml:space="preserve">1. krok - </w:t>
      </w:r>
      <w:r w:rsidRPr="00887108">
        <w:t>nominálne saldo verejných financií očisťuje pomocou cyklickej zložky o vplyv hospodárskych výkyvov</w:t>
      </w:r>
      <w:r w:rsidRPr="00887108">
        <w:rPr>
          <w:rStyle w:val="Odkaznapoznmkupodiarou"/>
          <w:lang w:val="sk-SK"/>
        </w:rPr>
        <w:footnoteReference w:id="81"/>
      </w:r>
      <w:r w:rsidRPr="00887108">
        <w:t>. Odhad produkčnej medzery vychádza z aktuálnej makroekonomickej prognózy Ministerstva financií SR z februára 2019. Odhad senzitivity salda verejnej správy na zmeny v produkčnej medzere vychádzajúci z metodiky OECD</w:t>
      </w:r>
      <w:r w:rsidRPr="00887108">
        <w:rPr>
          <w:vertAlign w:val="superscript"/>
        </w:rPr>
        <w:footnoteReference w:id="82"/>
      </w:r>
      <w:r w:rsidRPr="00887108">
        <w:t xml:space="preserve"> preberá Ministerstvo financií SR v plnej miere od EK. </w:t>
      </w:r>
    </w:p>
    <w:p w14:paraId="5DBC29C2" w14:textId="77777777" w:rsidR="00D37A31" w:rsidRPr="00887108" w:rsidRDefault="00D37A31" w:rsidP="00D37A31">
      <w:pPr>
        <w:jc w:val="both"/>
      </w:pPr>
    </w:p>
    <w:p w14:paraId="169ACE79" w14:textId="77777777" w:rsidR="00D37A31" w:rsidRPr="00887108" w:rsidRDefault="00D37A31" w:rsidP="00D37A31">
      <w:pPr>
        <w:jc w:val="both"/>
      </w:pPr>
      <w:r w:rsidRPr="00887108">
        <w:rPr>
          <w:b/>
        </w:rPr>
        <w:t xml:space="preserve">2. krok </w:t>
      </w:r>
      <w:r w:rsidRPr="00887108">
        <w:t>- upravené saldo sa očisťuje o jednorazové a dočasné opatrenia</w:t>
      </w:r>
      <w:r w:rsidRPr="00887108">
        <w:rPr>
          <w:rStyle w:val="Odkaznapoznmkupodiarou"/>
          <w:lang w:val="sk-SK"/>
        </w:rPr>
        <w:footnoteReference w:id="83"/>
      </w:r>
      <w:r w:rsidRPr="00887108">
        <w:t xml:space="preserve">, ktorých fiškálnych vplyv sa neopakuje v ďalších rokoch. Pre potreby návrhu rozpočtového plánu postupuje Ministerstvo financií SR pri ich identifikácii v súlade s </w:t>
      </w:r>
      <w:r w:rsidRPr="00887108">
        <w:rPr>
          <w:rFonts w:cs="Times New Roman"/>
        </w:rPr>
        <w:t>metodikou EK</w:t>
      </w:r>
      <w:r w:rsidRPr="00887108">
        <w:rPr>
          <w:rStyle w:val="Odkaznapoznmkupodiarou"/>
          <w:lang w:val="sk-SK"/>
        </w:rPr>
        <w:footnoteReference w:id="84"/>
      </w:r>
      <w:r w:rsidRPr="00887108">
        <w:rPr>
          <w:rFonts w:cs="Times New Roman"/>
        </w:rPr>
        <w:t>.</w:t>
      </w:r>
    </w:p>
    <w:p w14:paraId="4BEFA703" w14:textId="77777777" w:rsidR="00D37A31" w:rsidRPr="00887108" w:rsidRDefault="00D37A31" w:rsidP="00D37A31">
      <w:pPr>
        <w:ind w:firstLine="708"/>
        <w:jc w:val="both"/>
        <w:rPr>
          <w:rFonts w:cs="Times New Roman"/>
        </w:rPr>
      </w:pPr>
    </w:p>
    <w:p w14:paraId="41EF4139" w14:textId="00009AD3" w:rsidR="00AF3E9C" w:rsidRPr="00887108" w:rsidRDefault="00AF3E9C" w:rsidP="00D37A31">
      <w:pPr>
        <w:jc w:val="both"/>
        <w:rPr>
          <w:b/>
        </w:rPr>
      </w:pPr>
      <w:r w:rsidRPr="00887108">
        <w:rPr>
          <w:b/>
        </w:rPr>
        <w:t xml:space="preserve">Na výpočet štrukturálneho salda na rok 2020 boli vyhodnotené ako jednorazové vplyvy nasledujúce opatrenia. </w:t>
      </w:r>
    </w:p>
    <w:p w14:paraId="49CAF09E" w14:textId="77777777" w:rsidR="00E454E6" w:rsidRPr="00887108" w:rsidRDefault="00E454E6" w:rsidP="00D37A31">
      <w:pPr>
        <w:jc w:val="both"/>
        <w:rPr>
          <w:b/>
        </w:rPr>
      </w:pPr>
    </w:p>
    <w:tbl>
      <w:tblPr>
        <w:tblW w:w="8670" w:type="dxa"/>
        <w:tblCellMar>
          <w:left w:w="70" w:type="dxa"/>
          <w:right w:w="70" w:type="dxa"/>
        </w:tblCellMar>
        <w:tblLook w:val="04A0" w:firstRow="1" w:lastRow="0" w:firstColumn="1" w:lastColumn="0" w:noHBand="0" w:noVBand="1"/>
      </w:tblPr>
      <w:tblGrid>
        <w:gridCol w:w="323"/>
        <w:gridCol w:w="6470"/>
        <w:gridCol w:w="902"/>
        <w:gridCol w:w="975"/>
      </w:tblGrid>
      <w:tr w:rsidR="00965459" w:rsidRPr="00887108" w14:paraId="4212CDFF" w14:textId="77777777" w:rsidTr="00EA0A06">
        <w:trPr>
          <w:trHeight w:val="288"/>
        </w:trPr>
        <w:tc>
          <w:tcPr>
            <w:tcW w:w="8670" w:type="dxa"/>
            <w:gridSpan w:val="4"/>
            <w:tcBorders>
              <w:top w:val="nil"/>
              <w:left w:val="nil"/>
              <w:bottom w:val="nil"/>
              <w:right w:val="nil"/>
            </w:tcBorders>
            <w:shd w:val="clear" w:color="auto" w:fill="auto"/>
            <w:noWrap/>
            <w:vAlign w:val="bottom"/>
            <w:hideMark/>
          </w:tcPr>
          <w:p w14:paraId="2D12B768" w14:textId="32322BE6" w:rsidR="00965459" w:rsidRPr="00887108" w:rsidRDefault="00E454E6" w:rsidP="00965459">
            <w:pPr>
              <w:rPr>
                <w:rFonts w:cs="Times New Roman"/>
                <w:b/>
                <w:bCs/>
                <w:color w:val="2C9ADC"/>
              </w:rPr>
            </w:pPr>
            <w:r w:rsidRPr="00887108">
              <w:rPr>
                <w:rFonts w:cs="Times New Roman"/>
                <w:b/>
                <w:bCs/>
                <w:color w:val="2C9ADC"/>
              </w:rPr>
              <w:t>Tabuľka 15</w:t>
            </w:r>
            <w:r w:rsidR="00965459" w:rsidRPr="00887108">
              <w:rPr>
                <w:rFonts w:cs="Times New Roman"/>
                <w:b/>
                <w:bCs/>
                <w:color w:val="2C9ADC"/>
              </w:rPr>
              <w:t>: Zoznam jednorazových opatrení v roku 2020</w:t>
            </w:r>
          </w:p>
        </w:tc>
      </w:tr>
      <w:tr w:rsidR="00965459" w:rsidRPr="00887108" w14:paraId="3BA617F2" w14:textId="77777777" w:rsidTr="00EA0A06">
        <w:trPr>
          <w:trHeight w:val="300"/>
        </w:trPr>
        <w:tc>
          <w:tcPr>
            <w:tcW w:w="323" w:type="dxa"/>
            <w:tcBorders>
              <w:top w:val="nil"/>
              <w:left w:val="nil"/>
              <w:bottom w:val="single" w:sz="8" w:space="0" w:color="auto"/>
              <w:right w:val="nil"/>
            </w:tcBorders>
            <w:shd w:val="clear" w:color="auto" w:fill="auto"/>
            <w:noWrap/>
            <w:vAlign w:val="center"/>
            <w:hideMark/>
          </w:tcPr>
          <w:p w14:paraId="667598D6" w14:textId="77777777" w:rsidR="00965459" w:rsidRPr="00887108" w:rsidRDefault="00965459" w:rsidP="00965459">
            <w:pPr>
              <w:jc w:val="center"/>
              <w:rPr>
                <w:rFonts w:cs="Times New Roman"/>
                <w:b/>
                <w:bCs/>
                <w:color w:val="000000"/>
                <w:sz w:val="20"/>
                <w:szCs w:val="20"/>
              </w:rPr>
            </w:pPr>
            <w:r w:rsidRPr="00887108">
              <w:rPr>
                <w:rFonts w:cs="Times New Roman"/>
                <w:b/>
                <w:bCs/>
                <w:color w:val="000000"/>
                <w:sz w:val="20"/>
                <w:szCs w:val="20"/>
              </w:rPr>
              <w:t> </w:t>
            </w:r>
          </w:p>
        </w:tc>
        <w:tc>
          <w:tcPr>
            <w:tcW w:w="6470" w:type="dxa"/>
            <w:tcBorders>
              <w:top w:val="nil"/>
              <w:left w:val="nil"/>
              <w:bottom w:val="single" w:sz="8" w:space="0" w:color="auto"/>
              <w:right w:val="nil"/>
            </w:tcBorders>
            <w:shd w:val="clear" w:color="auto" w:fill="auto"/>
            <w:noWrap/>
            <w:vAlign w:val="bottom"/>
            <w:hideMark/>
          </w:tcPr>
          <w:p w14:paraId="4875247B" w14:textId="77777777" w:rsidR="00965459" w:rsidRPr="00887108" w:rsidRDefault="00965459" w:rsidP="00965459">
            <w:pPr>
              <w:rPr>
                <w:rFonts w:ascii="Calibri" w:hAnsi="Calibri" w:cs="Times New Roman"/>
                <w:color w:val="000000"/>
              </w:rPr>
            </w:pPr>
            <w:r w:rsidRPr="00887108">
              <w:rPr>
                <w:rFonts w:ascii="Calibri" w:hAnsi="Calibri" w:cs="Times New Roman"/>
                <w:color w:val="000000"/>
              </w:rPr>
              <w:t> </w:t>
            </w:r>
          </w:p>
        </w:tc>
        <w:tc>
          <w:tcPr>
            <w:tcW w:w="902" w:type="dxa"/>
            <w:tcBorders>
              <w:top w:val="nil"/>
              <w:left w:val="nil"/>
              <w:bottom w:val="single" w:sz="8" w:space="0" w:color="auto"/>
              <w:right w:val="nil"/>
            </w:tcBorders>
            <w:shd w:val="clear" w:color="auto" w:fill="auto"/>
            <w:noWrap/>
            <w:vAlign w:val="bottom"/>
            <w:hideMark/>
          </w:tcPr>
          <w:p w14:paraId="51055B40" w14:textId="77777777" w:rsidR="00965459" w:rsidRPr="00887108" w:rsidRDefault="00965459" w:rsidP="00965459">
            <w:pPr>
              <w:jc w:val="center"/>
              <w:rPr>
                <w:rFonts w:cs="Times New Roman"/>
                <w:b/>
                <w:bCs/>
                <w:color w:val="000000"/>
                <w:sz w:val="20"/>
                <w:szCs w:val="20"/>
              </w:rPr>
            </w:pPr>
            <w:r w:rsidRPr="00887108">
              <w:rPr>
                <w:rFonts w:cs="Times New Roman"/>
                <w:b/>
                <w:bCs/>
                <w:color w:val="000000"/>
                <w:sz w:val="20"/>
                <w:szCs w:val="20"/>
              </w:rPr>
              <w:t>v mil. eur</w:t>
            </w:r>
          </w:p>
        </w:tc>
        <w:tc>
          <w:tcPr>
            <w:tcW w:w="975" w:type="dxa"/>
            <w:tcBorders>
              <w:top w:val="nil"/>
              <w:left w:val="nil"/>
              <w:bottom w:val="single" w:sz="8" w:space="0" w:color="auto"/>
              <w:right w:val="nil"/>
            </w:tcBorders>
            <w:shd w:val="clear" w:color="auto" w:fill="auto"/>
            <w:noWrap/>
            <w:vAlign w:val="bottom"/>
            <w:hideMark/>
          </w:tcPr>
          <w:p w14:paraId="558A748D" w14:textId="77777777" w:rsidR="00965459" w:rsidRPr="00887108" w:rsidRDefault="00965459" w:rsidP="00965459">
            <w:pPr>
              <w:jc w:val="center"/>
              <w:rPr>
                <w:rFonts w:cs="Times New Roman"/>
                <w:b/>
                <w:bCs/>
                <w:color w:val="000000"/>
                <w:sz w:val="20"/>
                <w:szCs w:val="20"/>
              </w:rPr>
            </w:pPr>
            <w:r w:rsidRPr="00887108">
              <w:rPr>
                <w:rFonts w:cs="Times New Roman"/>
                <w:b/>
                <w:bCs/>
                <w:color w:val="000000"/>
                <w:sz w:val="20"/>
                <w:szCs w:val="20"/>
              </w:rPr>
              <w:t>v % HDP</w:t>
            </w:r>
          </w:p>
        </w:tc>
      </w:tr>
      <w:tr w:rsidR="00965459" w:rsidRPr="00887108" w14:paraId="4070767D" w14:textId="77777777" w:rsidTr="00EA0A06">
        <w:trPr>
          <w:trHeight w:val="552"/>
        </w:trPr>
        <w:tc>
          <w:tcPr>
            <w:tcW w:w="323" w:type="dxa"/>
            <w:tcBorders>
              <w:top w:val="nil"/>
              <w:left w:val="nil"/>
              <w:bottom w:val="nil"/>
              <w:right w:val="nil"/>
            </w:tcBorders>
            <w:shd w:val="clear" w:color="auto" w:fill="auto"/>
            <w:noWrap/>
            <w:vAlign w:val="center"/>
            <w:hideMark/>
          </w:tcPr>
          <w:p w14:paraId="6DF166C5"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1</w:t>
            </w:r>
          </w:p>
        </w:tc>
        <w:tc>
          <w:tcPr>
            <w:tcW w:w="6470" w:type="dxa"/>
            <w:tcBorders>
              <w:top w:val="nil"/>
              <w:left w:val="nil"/>
              <w:bottom w:val="nil"/>
              <w:right w:val="nil"/>
            </w:tcBorders>
            <w:shd w:val="clear" w:color="auto" w:fill="auto"/>
            <w:vAlign w:val="center"/>
            <w:hideMark/>
          </w:tcPr>
          <w:p w14:paraId="610074D2" w14:textId="77777777" w:rsidR="00965459" w:rsidRPr="00887108" w:rsidRDefault="00965459" w:rsidP="00965459">
            <w:pPr>
              <w:rPr>
                <w:rFonts w:cs="Times New Roman"/>
                <w:color w:val="000000"/>
                <w:sz w:val="18"/>
                <w:szCs w:val="18"/>
              </w:rPr>
            </w:pPr>
            <w:r w:rsidRPr="00887108">
              <w:rPr>
                <w:rFonts w:cs="Times New Roman"/>
                <w:color w:val="000000"/>
                <w:sz w:val="18"/>
                <w:szCs w:val="18"/>
              </w:rPr>
              <w:t>Úhrada PN v karanténe alebo domácej izolácii a OČR pre zamestnancov vo výške 55 % ich hrubej mzdy</w:t>
            </w:r>
          </w:p>
        </w:tc>
        <w:tc>
          <w:tcPr>
            <w:tcW w:w="902" w:type="dxa"/>
            <w:tcBorders>
              <w:top w:val="nil"/>
              <w:left w:val="nil"/>
              <w:bottom w:val="nil"/>
              <w:right w:val="nil"/>
            </w:tcBorders>
            <w:shd w:val="clear" w:color="auto" w:fill="auto"/>
            <w:noWrap/>
            <w:vAlign w:val="bottom"/>
            <w:hideMark/>
          </w:tcPr>
          <w:p w14:paraId="698E93CC"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308</w:t>
            </w:r>
          </w:p>
        </w:tc>
        <w:tc>
          <w:tcPr>
            <w:tcW w:w="975" w:type="dxa"/>
            <w:tcBorders>
              <w:top w:val="nil"/>
              <w:left w:val="nil"/>
              <w:bottom w:val="nil"/>
              <w:right w:val="nil"/>
            </w:tcBorders>
            <w:shd w:val="clear" w:color="auto" w:fill="auto"/>
            <w:noWrap/>
            <w:vAlign w:val="bottom"/>
            <w:hideMark/>
          </w:tcPr>
          <w:p w14:paraId="1DC8EE73"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0,35</w:t>
            </w:r>
          </w:p>
        </w:tc>
      </w:tr>
      <w:tr w:rsidR="00965459" w:rsidRPr="00887108" w14:paraId="6ED38AA9" w14:textId="77777777" w:rsidTr="00EA0A06">
        <w:trPr>
          <w:trHeight w:val="624"/>
        </w:trPr>
        <w:tc>
          <w:tcPr>
            <w:tcW w:w="323" w:type="dxa"/>
            <w:tcBorders>
              <w:top w:val="nil"/>
              <w:left w:val="nil"/>
              <w:bottom w:val="nil"/>
              <w:right w:val="nil"/>
            </w:tcBorders>
            <w:shd w:val="clear" w:color="auto" w:fill="auto"/>
            <w:noWrap/>
            <w:vAlign w:val="center"/>
            <w:hideMark/>
          </w:tcPr>
          <w:p w14:paraId="357E628B"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2</w:t>
            </w:r>
          </w:p>
        </w:tc>
        <w:tc>
          <w:tcPr>
            <w:tcW w:w="6470" w:type="dxa"/>
            <w:tcBorders>
              <w:top w:val="nil"/>
              <w:left w:val="nil"/>
              <w:bottom w:val="nil"/>
              <w:right w:val="nil"/>
            </w:tcBorders>
            <w:shd w:val="clear" w:color="auto" w:fill="auto"/>
            <w:vAlign w:val="center"/>
            <w:hideMark/>
          </w:tcPr>
          <w:p w14:paraId="4C972CC3" w14:textId="77777777" w:rsidR="00965459" w:rsidRPr="00887108" w:rsidRDefault="00965459" w:rsidP="00965459">
            <w:pPr>
              <w:rPr>
                <w:rFonts w:cs="Times New Roman"/>
                <w:color w:val="000000"/>
                <w:sz w:val="18"/>
                <w:szCs w:val="18"/>
              </w:rPr>
            </w:pPr>
            <w:r w:rsidRPr="00887108">
              <w:rPr>
                <w:rFonts w:cs="Times New Roman"/>
                <w:color w:val="000000"/>
                <w:sz w:val="18"/>
                <w:szCs w:val="18"/>
              </w:rPr>
              <w:t>Príspevok na udržania zamestnanosti pre podniky zasiahnuté krízou (80 % hrubej mzdy, max. 880 eur, alebo paušálny príspevok podľa poklesu tržieb)</w:t>
            </w:r>
          </w:p>
        </w:tc>
        <w:tc>
          <w:tcPr>
            <w:tcW w:w="902" w:type="dxa"/>
            <w:tcBorders>
              <w:top w:val="nil"/>
              <w:left w:val="nil"/>
              <w:bottom w:val="nil"/>
              <w:right w:val="nil"/>
            </w:tcBorders>
            <w:shd w:val="clear" w:color="auto" w:fill="auto"/>
            <w:noWrap/>
            <w:vAlign w:val="bottom"/>
            <w:hideMark/>
          </w:tcPr>
          <w:p w14:paraId="5E9D0C81"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628</w:t>
            </w:r>
          </w:p>
        </w:tc>
        <w:tc>
          <w:tcPr>
            <w:tcW w:w="975" w:type="dxa"/>
            <w:tcBorders>
              <w:top w:val="nil"/>
              <w:left w:val="nil"/>
              <w:bottom w:val="nil"/>
              <w:right w:val="nil"/>
            </w:tcBorders>
            <w:shd w:val="clear" w:color="auto" w:fill="auto"/>
            <w:noWrap/>
            <w:vAlign w:val="bottom"/>
            <w:hideMark/>
          </w:tcPr>
          <w:p w14:paraId="49F59EA2"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0,71</w:t>
            </w:r>
          </w:p>
        </w:tc>
      </w:tr>
      <w:tr w:rsidR="00965459" w:rsidRPr="00887108" w14:paraId="4BDFCD1D" w14:textId="77777777" w:rsidTr="00EA0A06">
        <w:trPr>
          <w:trHeight w:val="324"/>
        </w:trPr>
        <w:tc>
          <w:tcPr>
            <w:tcW w:w="323" w:type="dxa"/>
            <w:tcBorders>
              <w:top w:val="nil"/>
              <w:left w:val="nil"/>
              <w:bottom w:val="nil"/>
              <w:right w:val="nil"/>
            </w:tcBorders>
            <w:shd w:val="clear" w:color="auto" w:fill="auto"/>
            <w:noWrap/>
            <w:vAlign w:val="bottom"/>
            <w:hideMark/>
          </w:tcPr>
          <w:p w14:paraId="447B5F1E"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3</w:t>
            </w:r>
          </w:p>
        </w:tc>
        <w:tc>
          <w:tcPr>
            <w:tcW w:w="6470" w:type="dxa"/>
            <w:tcBorders>
              <w:top w:val="nil"/>
              <w:left w:val="nil"/>
              <w:bottom w:val="nil"/>
              <w:right w:val="nil"/>
            </w:tcBorders>
            <w:shd w:val="clear" w:color="auto" w:fill="auto"/>
            <w:vAlign w:val="center"/>
            <w:hideMark/>
          </w:tcPr>
          <w:p w14:paraId="4BFCE720" w14:textId="3C5CAC72" w:rsidR="00965459" w:rsidRPr="00887108" w:rsidRDefault="00965459" w:rsidP="00965459">
            <w:pPr>
              <w:rPr>
                <w:rFonts w:cs="Times New Roman"/>
                <w:color w:val="000000"/>
                <w:sz w:val="18"/>
                <w:szCs w:val="18"/>
              </w:rPr>
            </w:pPr>
            <w:r w:rsidRPr="00887108">
              <w:rPr>
                <w:rFonts w:cs="Times New Roman"/>
                <w:color w:val="000000"/>
                <w:sz w:val="18"/>
                <w:szCs w:val="18"/>
              </w:rPr>
              <w:t>Príspevok na udržanie zamestnanosti pre zavreté podniky (80 % hrubej mzdy, max. 1100 eur)</w:t>
            </w:r>
          </w:p>
        </w:tc>
        <w:tc>
          <w:tcPr>
            <w:tcW w:w="902" w:type="dxa"/>
            <w:tcBorders>
              <w:top w:val="nil"/>
              <w:left w:val="nil"/>
              <w:bottom w:val="nil"/>
              <w:right w:val="nil"/>
            </w:tcBorders>
            <w:shd w:val="clear" w:color="auto" w:fill="auto"/>
            <w:noWrap/>
            <w:vAlign w:val="bottom"/>
            <w:hideMark/>
          </w:tcPr>
          <w:p w14:paraId="403B9FAD"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262</w:t>
            </w:r>
          </w:p>
        </w:tc>
        <w:tc>
          <w:tcPr>
            <w:tcW w:w="975" w:type="dxa"/>
            <w:tcBorders>
              <w:top w:val="nil"/>
              <w:left w:val="nil"/>
              <w:bottom w:val="nil"/>
              <w:right w:val="nil"/>
            </w:tcBorders>
            <w:shd w:val="clear" w:color="auto" w:fill="auto"/>
            <w:noWrap/>
            <w:vAlign w:val="bottom"/>
            <w:hideMark/>
          </w:tcPr>
          <w:p w14:paraId="4A697CA6"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0,29</w:t>
            </w:r>
          </w:p>
        </w:tc>
      </w:tr>
      <w:tr w:rsidR="00965459" w:rsidRPr="00887108" w14:paraId="5055DF8F" w14:textId="77777777" w:rsidTr="00EA0A06">
        <w:trPr>
          <w:trHeight w:val="288"/>
        </w:trPr>
        <w:tc>
          <w:tcPr>
            <w:tcW w:w="323" w:type="dxa"/>
            <w:tcBorders>
              <w:top w:val="nil"/>
              <w:left w:val="nil"/>
              <w:bottom w:val="nil"/>
              <w:right w:val="nil"/>
            </w:tcBorders>
            <w:shd w:val="clear" w:color="auto" w:fill="auto"/>
            <w:noWrap/>
            <w:vAlign w:val="bottom"/>
            <w:hideMark/>
          </w:tcPr>
          <w:p w14:paraId="63CC9F16"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4</w:t>
            </w:r>
          </w:p>
        </w:tc>
        <w:tc>
          <w:tcPr>
            <w:tcW w:w="6470" w:type="dxa"/>
            <w:tcBorders>
              <w:top w:val="nil"/>
              <w:left w:val="nil"/>
              <w:bottom w:val="nil"/>
              <w:right w:val="nil"/>
            </w:tcBorders>
            <w:shd w:val="clear" w:color="auto" w:fill="auto"/>
            <w:noWrap/>
            <w:vAlign w:val="bottom"/>
            <w:hideMark/>
          </w:tcPr>
          <w:p w14:paraId="3BFFE8C2" w14:textId="77777777" w:rsidR="00965459" w:rsidRPr="00887108" w:rsidRDefault="00965459" w:rsidP="00965459">
            <w:pPr>
              <w:rPr>
                <w:rFonts w:cs="Times New Roman"/>
                <w:color w:val="000000"/>
                <w:sz w:val="18"/>
                <w:szCs w:val="18"/>
              </w:rPr>
            </w:pPr>
            <w:r w:rsidRPr="00887108">
              <w:rPr>
                <w:rFonts w:cs="Times New Roman"/>
                <w:color w:val="000000"/>
                <w:sz w:val="18"/>
                <w:szCs w:val="18"/>
              </w:rPr>
              <w:t>Príspevok pre SZČO (zatvorené prevádzky + pokles tržieb)</w:t>
            </w:r>
          </w:p>
        </w:tc>
        <w:tc>
          <w:tcPr>
            <w:tcW w:w="902" w:type="dxa"/>
            <w:tcBorders>
              <w:top w:val="nil"/>
              <w:left w:val="nil"/>
              <w:bottom w:val="nil"/>
              <w:right w:val="nil"/>
            </w:tcBorders>
            <w:shd w:val="clear" w:color="auto" w:fill="auto"/>
            <w:noWrap/>
            <w:vAlign w:val="bottom"/>
            <w:hideMark/>
          </w:tcPr>
          <w:p w14:paraId="6391252E"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110</w:t>
            </w:r>
          </w:p>
        </w:tc>
        <w:tc>
          <w:tcPr>
            <w:tcW w:w="975" w:type="dxa"/>
            <w:tcBorders>
              <w:top w:val="nil"/>
              <w:left w:val="nil"/>
              <w:bottom w:val="nil"/>
              <w:right w:val="nil"/>
            </w:tcBorders>
            <w:shd w:val="clear" w:color="auto" w:fill="auto"/>
            <w:noWrap/>
            <w:vAlign w:val="bottom"/>
            <w:hideMark/>
          </w:tcPr>
          <w:p w14:paraId="524C3338"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0,12</w:t>
            </w:r>
          </w:p>
        </w:tc>
      </w:tr>
      <w:tr w:rsidR="00965459" w:rsidRPr="00887108" w14:paraId="3B200496" w14:textId="77777777" w:rsidTr="00EA0A06">
        <w:trPr>
          <w:trHeight w:val="288"/>
        </w:trPr>
        <w:tc>
          <w:tcPr>
            <w:tcW w:w="323" w:type="dxa"/>
            <w:tcBorders>
              <w:top w:val="nil"/>
              <w:left w:val="nil"/>
              <w:bottom w:val="nil"/>
              <w:right w:val="nil"/>
            </w:tcBorders>
            <w:shd w:val="clear" w:color="auto" w:fill="auto"/>
            <w:noWrap/>
            <w:vAlign w:val="bottom"/>
            <w:hideMark/>
          </w:tcPr>
          <w:p w14:paraId="096E403A" w14:textId="77777777" w:rsidR="00965459" w:rsidRPr="00887108" w:rsidRDefault="00965459" w:rsidP="00965459">
            <w:pPr>
              <w:jc w:val="right"/>
              <w:rPr>
                <w:rFonts w:ascii="Calibri" w:hAnsi="Calibri" w:cs="Times New Roman"/>
                <w:color w:val="000000"/>
              </w:rPr>
            </w:pPr>
            <w:r w:rsidRPr="00887108">
              <w:rPr>
                <w:rFonts w:ascii="Calibri" w:hAnsi="Calibri" w:cs="Times New Roman"/>
                <w:color w:val="000000"/>
              </w:rPr>
              <w:t>5</w:t>
            </w:r>
          </w:p>
        </w:tc>
        <w:tc>
          <w:tcPr>
            <w:tcW w:w="6470" w:type="dxa"/>
            <w:tcBorders>
              <w:top w:val="nil"/>
              <w:left w:val="nil"/>
              <w:bottom w:val="nil"/>
              <w:right w:val="nil"/>
            </w:tcBorders>
            <w:shd w:val="clear" w:color="auto" w:fill="auto"/>
            <w:noWrap/>
            <w:vAlign w:val="bottom"/>
            <w:hideMark/>
          </w:tcPr>
          <w:p w14:paraId="65A2AB4A" w14:textId="77777777" w:rsidR="00965459" w:rsidRPr="00887108" w:rsidRDefault="00965459" w:rsidP="00965459">
            <w:pPr>
              <w:rPr>
                <w:rFonts w:cs="Times New Roman"/>
                <w:color w:val="000000"/>
                <w:sz w:val="18"/>
                <w:szCs w:val="18"/>
              </w:rPr>
            </w:pPr>
            <w:r w:rsidRPr="00887108">
              <w:rPr>
                <w:rFonts w:cs="Times New Roman"/>
                <w:color w:val="000000"/>
                <w:sz w:val="18"/>
                <w:szCs w:val="18"/>
              </w:rPr>
              <w:t>Dohodári, 1-osobové s.r.o., SZČO bez odvodov - 210 eur</w:t>
            </w:r>
          </w:p>
        </w:tc>
        <w:tc>
          <w:tcPr>
            <w:tcW w:w="902" w:type="dxa"/>
            <w:tcBorders>
              <w:top w:val="nil"/>
              <w:left w:val="nil"/>
              <w:bottom w:val="nil"/>
              <w:right w:val="nil"/>
            </w:tcBorders>
            <w:shd w:val="clear" w:color="auto" w:fill="auto"/>
            <w:noWrap/>
            <w:vAlign w:val="bottom"/>
            <w:hideMark/>
          </w:tcPr>
          <w:p w14:paraId="2C9214E5"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109</w:t>
            </w:r>
          </w:p>
        </w:tc>
        <w:tc>
          <w:tcPr>
            <w:tcW w:w="975" w:type="dxa"/>
            <w:tcBorders>
              <w:top w:val="nil"/>
              <w:left w:val="nil"/>
              <w:bottom w:val="nil"/>
              <w:right w:val="nil"/>
            </w:tcBorders>
            <w:shd w:val="clear" w:color="auto" w:fill="auto"/>
            <w:noWrap/>
            <w:vAlign w:val="bottom"/>
            <w:hideMark/>
          </w:tcPr>
          <w:p w14:paraId="7B3854F4"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0,12</w:t>
            </w:r>
          </w:p>
        </w:tc>
      </w:tr>
      <w:tr w:rsidR="00965459" w:rsidRPr="00887108" w14:paraId="5AC0D903" w14:textId="77777777" w:rsidTr="00EA0A06">
        <w:trPr>
          <w:trHeight w:val="324"/>
        </w:trPr>
        <w:tc>
          <w:tcPr>
            <w:tcW w:w="323" w:type="dxa"/>
            <w:tcBorders>
              <w:top w:val="nil"/>
              <w:left w:val="nil"/>
              <w:bottom w:val="nil"/>
              <w:right w:val="nil"/>
            </w:tcBorders>
            <w:shd w:val="clear" w:color="auto" w:fill="auto"/>
            <w:noWrap/>
            <w:vAlign w:val="bottom"/>
            <w:hideMark/>
          </w:tcPr>
          <w:p w14:paraId="565CB05A"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6</w:t>
            </w:r>
          </w:p>
        </w:tc>
        <w:tc>
          <w:tcPr>
            <w:tcW w:w="6470" w:type="dxa"/>
            <w:tcBorders>
              <w:top w:val="nil"/>
              <w:left w:val="nil"/>
              <w:bottom w:val="nil"/>
              <w:right w:val="nil"/>
            </w:tcBorders>
            <w:shd w:val="clear" w:color="auto" w:fill="auto"/>
            <w:noWrap/>
            <w:vAlign w:val="bottom"/>
            <w:hideMark/>
          </w:tcPr>
          <w:p w14:paraId="3CE65FEF" w14:textId="1C90AC09" w:rsidR="00965459" w:rsidRPr="00887108" w:rsidRDefault="00965459" w:rsidP="00987C6C">
            <w:pPr>
              <w:rPr>
                <w:rFonts w:cs="Times New Roman"/>
                <w:color w:val="000000"/>
                <w:sz w:val="18"/>
                <w:szCs w:val="18"/>
              </w:rPr>
            </w:pPr>
            <w:r w:rsidRPr="00887108">
              <w:rPr>
                <w:rFonts w:cs="Times New Roman"/>
                <w:color w:val="000000"/>
                <w:sz w:val="18"/>
                <w:szCs w:val="18"/>
              </w:rPr>
              <w:t>N</w:t>
            </w:r>
            <w:r w:rsidR="00987C6C" w:rsidRPr="00887108">
              <w:rPr>
                <w:rFonts w:cs="Times New Roman"/>
                <w:color w:val="000000"/>
                <w:sz w:val="18"/>
                <w:szCs w:val="18"/>
              </w:rPr>
              <w:t>á</w:t>
            </w:r>
            <w:r w:rsidRPr="00887108">
              <w:rPr>
                <w:rFonts w:cs="Times New Roman"/>
                <w:color w:val="000000"/>
                <w:sz w:val="18"/>
                <w:szCs w:val="18"/>
              </w:rPr>
              <w:t xml:space="preserve">kupy </w:t>
            </w:r>
            <w:r w:rsidR="00987C6C" w:rsidRPr="00887108">
              <w:rPr>
                <w:rFonts w:cs="Times New Roman"/>
                <w:color w:val="000000"/>
                <w:sz w:val="18"/>
                <w:szCs w:val="18"/>
              </w:rPr>
              <w:t>zdravotníckeho</w:t>
            </w:r>
            <w:r w:rsidRPr="00887108">
              <w:rPr>
                <w:rFonts w:cs="Times New Roman"/>
                <w:color w:val="000000"/>
                <w:sz w:val="18"/>
                <w:szCs w:val="18"/>
              </w:rPr>
              <w:t xml:space="preserve"> </w:t>
            </w:r>
            <w:r w:rsidR="00987C6C" w:rsidRPr="00887108">
              <w:rPr>
                <w:rFonts w:cs="Times New Roman"/>
                <w:color w:val="000000"/>
                <w:sz w:val="18"/>
                <w:szCs w:val="18"/>
              </w:rPr>
              <w:t>materiálu</w:t>
            </w:r>
            <w:r w:rsidRPr="00887108">
              <w:rPr>
                <w:rFonts w:cs="Times New Roman"/>
                <w:color w:val="000000"/>
                <w:sz w:val="18"/>
                <w:szCs w:val="18"/>
              </w:rPr>
              <w:t xml:space="preserve"> spojené s COVID 19</w:t>
            </w:r>
          </w:p>
        </w:tc>
        <w:tc>
          <w:tcPr>
            <w:tcW w:w="902" w:type="dxa"/>
            <w:tcBorders>
              <w:top w:val="nil"/>
              <w:left w:val="nil"/>
              <w:bottom w:val="nil"/>
              <w:right w:val="nil"/>
            </w:tcBorders>
            <w:shd w:val="clear" w:color="auto" w:fill="auto"/>
            <w:noWrap/>
            <w:vAlign w:val="bottom"/>
            <w:hideMark/>
          </w:tcPr>
          <w:p w14:paraId="6CFB3B99"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160</w:t>
            </w:r>
          </w:p>
        </w:tc>
        <w:tc>
          <w:tcPr>
            <w:tcW w:w="975" w:type="dxa"/>
            <w:tcBorders>
              <w:top w:val="nil"/>
              <w:left w:val="nil"/>
              <w:bottom w:val="nil"/>
              <w:right w:val="nil"/>
            </w:tcBorders>
            <w:shd w:val="clear" w:color="auto" w:fill="auto"/>
            <w:noWrap/>
            <w:vAlign w:val="bottom"/>
            <w:hideMark/>
          </w:tcPr>
          <w:p w14:paraId="7D2A4C5F"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0,18</w:t>
            </w:r>
          </w:p>
        </w:tc>
      </w:tr>
      <w:tr w:rsidR="00965459" w:rsidRPr="00887108" w14:paraId="6CA9BD5C" w14:textId="77777777" w:rsidTr="00EA0A06">
        <w:trPr>
          <w:trHeight w:val="288"/>
        </w:trPr>
        <w:tc>
          <w:tcPr>
            <w:tcW w:w="323" w:type="dxa"/>
            <w:tcBorders>
              <w:top w:val="nil"/>
              <w:left w:val="nil"/>
              <w:bottom w:val="nil"/>
              <w:right w:val="nil"/>
            </w:tcBorders>
            <w:shd w:val="clear" w:color="auto" w:fill="auto"/>
            <w:noWrap/>
            <w:vAlign w:val="bottom"/>
            <w:hideMark/>
          </w:tcPr>
          <w:p w14:paraId="335235B6"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7</w:t>
            </w:r>
          </w:p>
        </w:tc>
        <w:tc>
          <w:tcPr>
            <w:tcW w:w="6470" w:type="dxa"/>
            <w:tcBorders>
              <w:top w:val="nil"/>
              <w:left w:val="nil"/>
              <w:bottom w:val="nil"/>
              <w:right w:val="nil"/>
            </w:tcBorders>
            <w:shd w:val="clear" w:color="auto" w:fill="auto"/>
            <w:vAlign w:val="bottom"/>
            <w:hideMark/>
          </w:tcPr>
          <w:p w14:paraId="73E356FD" w14:textId="77777777" w:rsidR="00965459" w:rsidRPr="00887108" w:rsidRDefault="00965459" w:rsidP="00965459">
            <w:pPr>
              <w:rPr>
                <w:rFonts w:cs="Times New Roman"/>
                <w:color w:val="000000"/>
                <w:sz w:val="18"/>
                <w:szCs w:val="18"/>
              </w:rPr>
            </w:pPr>
            <w:r w:rsidRPr="00887108">
              <w:rPr>
                <w:rFonts w:cs="Times New Roman"/>
                <w:color w:val="000000"/>
                <w:sz w:val="18"/>
                <w:szCs w:val="18"/>
              </w:rPr>
              <w:t>Odpustenie platby odvodov pre zavreté prevádzky</w:t>
            </w:r>
          </w:p>
        </w:tc>
        <w:tc>
          <w:tcPr>
            <w:tcW w:w="902" w:type="dxa"/>
            <w:tcBorders>
              <w:top w:val="nil"/>
              <w:left w:val="nil"/>
              <w:bottom w:val="nil"/>
              <w:right w:val="nil"/>
            </w:tcBorders>
            <w:shd w:val="clear" w:color="auto" w:fill="auto"/>
            <w:noWrap/>
            <w:vAlign w:val="bottom"/>
            <w:hideMark/>
          </w:tcPr>
          <w:p w14:paraId="738D19E0"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44</w:t>
            </w:r>
          </w:p>
        </w:tc>
        <w:tc>
          <w:tcPr>
            <w:tcW w:w="975" w:type="dxa"/>
            <w:tcBorders>
              <w:top w:val="nil"/>
              <w:left w:val="nil"/>
              <w:bottom w:val="nil"/>
              <w:right w:val="nil"/>
            </w:tcBorders>
            <w:shd w:val="clear" w:color="auto" w:fill="auto"/>
            <w:noWrap/>
            <w:vAlign w:val="bottom"/>
            <w:hideMark/>
          </w:tcPr>
          <w:p w14:paraId="07268ADC"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0,05</w:t>
            </w:r>
          </w:p>
        </w:tc>
      </w:tr>
      <w:tr w:rsidR="00965459" w:rsidRPr="00887108" w14:paraId="253E1688" w14:textId="77777777" w:rsidTr="00EA0A06">
        <w:trPr>
          <w:trHeight w:val="288"/>
        </w:trPr>
        <w:tc>
          <w:tcPr>
            <w:tcW w:w="323" w:type="dxa"/>
            <w:tcBorders>
              <w:top w:val="nil"/>
              <w:left w:val="nil"/>
              <w:bottom w:val="nil"/>
              <w:right w:val="nil"/>
            </w:tcBorders>
            <w:shd w:val="clear" w:color="auto" w:fill="auto"/>
            <w:noWrap/>
            <w:vAlign w:val="bottom"/>
            <w:hideMark/>
          </w:tcPr>
          <w:p w14:paraId="46D26F67"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8</w:t>
            </w:r>
          </w:p>
        </w:tc>
        <w:tc>
          <w:tcPr>
            <w:tcW w:w="6470" w:type="dxa"/>
            <w:tcBorders>
              <w:top w:val="nil"/>
              <w:left w:val="nil"/>
              <w:bottom w:val="nil"/>
              <w:right w:val="nil"/>
            </w:tcBorders>
            <w:shd w:val="clear" w:color="auto" w:fill="auto"/>
            <w:noWrap/>
            <w:vAlign w:val="bottom"/>
            <w:hideMark/>
          </w:tcPr>
          <w:p w14:paraId="12089B5C" w14:textId="77777777" w:rsidR="00965459" w:rsidRPr="00887108" w:rsidRDefault="00965459" w:rsidP="00965459">
            <w:pPr>
              <w:rPr>
                <w:rFonts w:cs="Times New Roman"/>
                <w:color w:val="000000"/>
                <w:sz w:val="18"/>
                <w:szCs w:val="18"/>
              </w:rPr>
            </w:pPr>
            <w:r w:rsidRPr="00887108">
              <w:rPr>
                <w:rFonts w:cs="Times New Roman"/>
                <w:color w:val="000000"/>
                <w:sz w:val="18"/>
                <w:szCs w:val="18"/>
              </w:rPr>
              <w:t>Predlženie poberania dávky v nezamestnanosti o dva mesiace</w:t>
            </w:r>
          </w:p>
        </w:tc>
        <w:tc>
          <w:tcPr>
            <w:tcW w:w="902" w:type="dxa"/>
            <w:tcBorders>
              <w:top w:val="nil"/>
              <w:left w:val="nil"/>
              <w:bottom w:val="nil"/>
              <w:right w:val="nil"/>
            </w:tcBorders>
            <w:shd w:val="clear" w:color="auto" w:fill="auto"/>
            <w:noWrap/>
            <w:vAlign w:val="bottom"/>
            <w:hideMark/>
          </w:tcPr>
          <w:p w14:paraId="6F3CE333" w14:textId="77777777" w:rsidR="00965459" w:rsidRPr="00887108" w:rsidRDefault="00965459" w:rsidP="00965459">
            <w:pPr>
              <w:jc w:val="center"/>
              <w:rPr>
                <w:rFonts w:cs="Times New Roman"/>
                <w:color w:val="000000"/>
              </w:rPr>
            </w:pPr>
            <w:r w:rsidRPr="00887108">
              <w:rPr>
                <w:rFonts w:cs="Times New Roman"/>
                <w:color w:val="000000"/>
              </w:rPr>
              <w:t>15</w:t>
            </w:r>
          </w:p>
        </w:tc>
        <w:tc>
          <w:tcPr>
            <w:tcW w:w="975" w:type="dxa"/>
            <w:tcBorders>
              <w:top w:val="nil"/>
              <w:left w:val="nil"/>
              <w:bottom w:val="nil"/>
              <w:right w:val="nil"/>
            </w:tcBorders>
            <w:shd w:val="clear" w:color="auto" w:fill="auto"/>
            <w:noWrap/>
            <w:vAlign w:val="bottom"/>
            <w:hideMark/>
          </w:tcPr>
          <w:p w14:paraId="0DE50002"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0,02</w:t>
            </w:r>
          </w:p>
        </w:tc>
      </w:tr>
      <w:tr w:rsidR="00965459" w:rsidRPr="00887108" w14:paraId="7E4A3756" w14:textId="77777777" w:rsidTr="00EA0A06">
        <w:trPr>
          <w:trHeight w:val="288"/>
        </w:trPr>
        <w:tc>
          <w:tcPr>
            <w:tcW w:w="323" w:type="dxa"/>
            <w:tcBorders>
              <w:top w:val="nil"/>
              <w:left w:val="nil"/>
              <w:right w:val="nil"/>
            </w:tcBorders>
            <w:shd w:val="clear" w:color="auto" w:fill="auto"/>
            <w:noWrap/>
            <w:vAlign w:val="bottom"/>
            <w:hideMark/>
          </w:tcPr>
          <w:p w14:paraId="59F33606"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9</w:t>
            </w:r>
          </w:p>
        </w:tc>
        <w:tc>
          <w:tcPr>
            <w:tcW w:w="6470" w:type="dxa"/>
            <w:tcBorders>
              <w:top w:val="nil"/>
              <w:left w:val="nil"/>
              <w:right w:val="nil"/>
            </w:tcBorders>
            <w:shd w:val="clear" w:color="auto" w:fill="auto"/>
            <w:noWrap/>
            <w:vAlign w:val="bottom"/>
            <w:hideMark/>
          </w:tcPr>
          <w:p w14:paraId="626C5D1E" w14:textId="77777777" w:rsidR="00965459" w:rsidRPr="00887108" w:rsidRDefault="00965459" w:rsidP="00965459">
            <w:pPr>
              <w:rPr>
                <w:rFonts w:cs="Times New Roman"/>
                <w:color w:val="000000"/>
                <w:sz w:val="18"/>
                <w:szCs w:val="18"/>
              </w:rPr>
            </w:pPr>
            <w:r w:rsidRPr="00887108">
              <w:rPr>
                <w:rFonts w:cs="Times New Roman"/>
                <w:color w:val="000000"/>
                <w:sz w:val="18"/>
                <w:szCs w:val="18"/>
              </w:rPr>
              <w:t>Rodičovský príspevok</w:t>
            </w:r>
          </w:p>
        </w:tc>
        <w:tc>
          <w:tcPr>
            <w:tcW w:w="902" w:type="dxa"/>
            <w:tcBorders>
              <w:top w:val="nil"/>
              <w:left w:val="nil"/>
              <w:right w:val="nil"/>
            </w:tcBorders>
            <w:shd w:val="clear" w:color="auto" w:fill="auto"/>
            <w:noWrap/>
            <w:vAlign w:val="bottom"/>
            <w:hideMark/>
          </w:tcPr>
          <w:p w14:paraId="723D390A" w14:textId="77777777" w:rsidR="00965459" w:rsidRPr="00887108" w:rsidRDefault="00965459" w:rsidP="00965459">
            <w:pPr>
              <w:jc w:val="center"/>
              <w:rPr>
                <w:rFonts w:cs="Times New Roman"/>
                <w:color w:val="000000"/>
              </w:rPr>
            </w:pPr>
            <w:r w:rsidRPr="00887108">
              <w:rPr>
                <w:rFonts w:cs="Times New Roman"/>
                <w:color w:val="000000"/>
              </w:rPr>
              <w:t>11</w:t>
            </w:r>
          </w:p>
        </w:tc>
        <w:tc>
          <w:tcPr>
            <w:tcW w:w="975" w:type="dxa"/>
            <w:tcBorders>
              <w:top w:val="nil"/>
              <w:left w:val="nil"/>
              <w:right w:val="nil"/>
            </w:tcBorders>
            <w:shd w:val="clear" w:color="auto" w:fill="auto"/>
            <w:noWrap/>
            <w:vAlign w:val="bottom"/>
            <w:hideMark/>
          </w:tcPr>
          <w:p w14:paraId="31C2191D"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0,01</w:t>
            </w:r>
          </w:p>
        </w:tc>
      </w:tr>
      <w:tr w:rsidR="00965459" w:rsidRPr="00887108" w14:paraId="34768212" w14:textId="77777777" w:rsidTr="00EA0A06">
        <w:trPr>
          <w:trHeight w:val="288"/>
        </w:trPr>
        <w:tc>
          <w:tcPr>
            <w:tcW w:w="323" w:type="dxa"/>
            <w:tcBorders>
              <w:top w:val="nil"/>
              <w:left w:val="nil"/>
              <w:bottom w:val="single" w:sz="4" w:space="0" w:color="auto"/>
              <w:right w:val="nil"/>
            </w:tcBorders>
            <w:shd w:val="clear" w:color="auto" w:fill="auto"/>
            <w:noWrap/>
            <w:vAlign w:val="bottom"/>
            <w:hideMark/>
          </w:tcPr>
          <w:p w14:paraId="0039DB3A" w14:textId="77777777" w:rsidR="00965459" w:rsidRPr="00887108" w:rsidRDefault="00965459" w:rsidP="00965459">
            <w:pPr>
              <w:jc w:val="right"/>
              <w:rPr>
                <w:rFonts w:cs="Times New Roman"/>
                <w:color w:val="000000"/>
                <w:sz w:val="20"/>
                <w:szCs w:val="20"/>
              </w:rPr>
            </w:pPr>
            <w:r w:rsidRPr="00887108">
              <w:rPr>
                <w:rFonts w:cs="Times New Roman"/>
                <w:color w:val="000000"/>
                <w:sz w:val="20"/>
                <w:szCs w:val="20"/>
              </w:rPr>
              <w:t>10</w:t>
            </w:r>
          </w:p>
        </w:tc>
        <w:tc>
          <w:tcPr>
            <w:tcW w:w="6470" w:type="dxa"/>
            <w:tcBorders>
              <w:top w:val="nil"/>
              <w:left w:val="nil"/>
              <w:bottom w:val="single" w:sz="4" w:space="0" w:color="auto"/>
              <w:right w:val="nil"/>
            </w:tcBorders>
            <w:shd w:val="clear" w:color="auto" w:fill="auto"/>
            <w:noWrap/>
            <w:vAlign w:val="bottom"/>
            <w:hideMark/>
          </w:tcPr>
          <w:p w14:paraId="469BF2A6" w14:textId="77777777" w:rsidR="00965459" w:rsidRPr="00887108" w:rsidRDefault="00965459" w:rsidP="00965459">
            <w:pPr>
              <w:rPr>
                <w:rFonts w:cs="Times New Roman"/>
                <w:color w:val="000000"/>
                <w:sz w:val="18"/>
                <w:szCs w:val="18"/>
              </w:rPr>
            </w:pPr>
            <w:r w:rsidRPr="00887108">
              <w:rPr>
                <w:rFonts w:cs="Times New Roman"/>
                <w:color w:val="000000"/>
                <w:sz w:val="18"/>
                <w:szCs w:val="18"/>
              </w:rPr>
              <w:t>Pomoc v hmotnej núdzi</w:t>
            </w:r>
          </w:p>
        </w:tc>
        <w:tc>
          <w:tcPr>
            <w:tcW w:w="902" w:type="dxa"/>
            <w:tcBorders>
              <w:top w:val="nil"/>
              <w:left w:val="nil"/>
              <w:bottom w:val="single" w:sz="4" w:space="0" w:color="auto"/>
              <w:right w:val="nil"/>
            </w:tcBorders>
            <w:shd w:val="clear" w:color="auto" w:fill="auto"/>
            <w:noWrap/>
            <w:vAlign w:val="bottom"/>
            <w:hideMark/>
          </w:tcPr>
          <w:p w14:paraId="67B89515" w14:textId="77777777" w:rsidR="00965459" w:rsidRPr="00887108" w:rsidRDefault="00965459" w:rsidP="00965459">
            <w:pPr>
              <w:jc w:val="center"/>
              <w:rPr>
                <w:rFonts w:cs="Times New Roman"/>
                <w:color w:val="000000"/>
              </w:rPr>
            </w:pPr>
            <w:r w:rsidRPr="00887108">
              <w:rPr>
                <w:rFonts w:cs="Times New Roman"/>
                <w:color w:val="000000"/>
              </w:rPr>
              <w:t>5</w:t>
            </w:r>
          </w:p>
        </w:tc>
        <w:tc>
          <w:tcPr>
            <w:tcW w:w="975" w:type="dxa"/>
            <w:tcBorders>
              <w:top w:val="nil"/>
              <w:left w:val="nil"/>
              <w:bottom w:val="single" w:sz="4" w:space="0" w:color="auto"/>
              <w:right w:val="nil"/>
            </w:tcBorders>
            <w:shd w:val="clear" w:color="auto" w:fill="auto"/>
            <w:noWrap/>
            <w:vAlign w:val="bottom"/>
            <w:hideMark/>
          </w:tcPr>
          <w:p w14:paraId="2F3C397F" w14:textId="77777777" w:rsidR="00965459" w:rsidRPr="00887108" w:rsidRDefault="00965459" w:rsidP="00965459">
            <w:pPr>
              <w:jc w:val="center"/>
              <w:rPr>
                <w:rFonts w:cs="Times New Roman"/>
                <w:color w:val="000000"/>
                <w:sz w:val="20"/>
                <w:szCs w:val="20"/>
              </w:rPr>
            </w:pPr>
            <w:r w:rsidRPr="00887108">
              <w:rPr>
                <w:rFonts w:cs="Times New Roman"/>
                <w:color w:val="000000"/>
                <w:sz w:val="20"/>
                <w:szCs w:val="20"/>
              </w:rPr>
              <w:t>0,01</w:t>
            </w:r>
          </w:p>
        </w:tc>
      </w:tr>
      <w:tr w:rsidR="00965459" w:rsidRPr="00887108" w14:paraId="0F2824B1" w14:textId="77777777" w:rsidTr="00EA0A06">
        <w:trPr>
          <w:trHeight w:val="300"/>
        </w:trPr>
        <w:tc>
          <w:tcPr>
            <w:tcW w:w="323" w:type="dxa"/>
            <w:tcBorders>
              <w:top w:val="single" w:sz="4" w:space="0" w:color="auto"/>
              <w:left w:val="nil"/>
              <w:bottom w:val="single" w:sz="8" w:space="0" w:color="auto"/>
              <w:right w:val="nil"/>
            </w:tcBorders>
            <w:shd w:val="clear" w:color="auto" w:fill="auto"/>
            <w:noWrap/>
            <w:vAlign w:val="bottom"/>
            <w:hideMark/>
          </w:tcPr>
          <w:p w14:paraId="189DE576" w14:textId="77777777" w:rsidR="00965459" w:rsidRPr="00887108" w:rsidRDefault="00965459" w:rsidP="00965459">
            <w:pPr>
              <w:rPr>
                <w:rFonts w:ascii="Calibri" w:hAnsi="Calibri" w:cs="Times New Roman"/>
                <w:color w:val="000000"/>
              </w:rPr>
            </w:pPr>
            <w:r w:rsidRPr="00887108">
              <w:rPr>
                <w:rFonts w:ascii="Calibri" w:hAnsi="Calibri" w:cs="Times New Roman"/>
                <w:color w:val="000000"/>
              </w:rPr>
              <w:t> </w:t>
            </w:r>
          </w:p>
        </w:tc>
        <w:tc>
          <w:tcPr>
            <w:tcW w:w="6470" w:type="dxa"/>
            <w:tcBorders>
              <w:top w:val="single" w:sz="4" w:space="0" w:color="auto"/>
              <w:left w:val="nil"/>
              <w:bottom w:val="single" w:sz="8" w:space="0" w:color="auto"/>
              <w:right w:val="nil"/>
            </w:tcBorders>
            <w:shd w:val="clear" w:color="auto" w:fill="auto"/>
            <w:noWrap/>
            <w:vAlign w:val="bottom"/>
            <w:hideMark/>
          </w:tcPr>
          <w:p w14:paraId="7C789091" w14:textId="4E98F66E" w:rsidR="00965459" w:rsidRPr="00887108" w:rsidRDefault="00965459" w:rsidP="00965459">
            <w:pPr>
              <w:rPr>
                <w:rFonts w:cs="Times New Roman"/>
                <w:b/>
                <w:bCs/>
                <w:color w:val="000000"/>
                <w:sz w:val="20"/>
                <w:szCs w:val="20"/>
              </w:rPr>
            </w:pPr>
            <w:r w:rsidRPr="00887108">
              <w:rPr>
                <w:rFonts w:cs="Times New Roman"/>
                <w:b/>
                <w:bCs/>
                <w:color w:val="000000"/>
                <w:sz w:val="20"/>
                <w:szCs w:val="20"/>
              </w:rPr>
              <w:t>Spolu</w:t>
            </w:r>
            <w:r w:rsidR="00EA0A06" w:rsidRPr="00887108">
              <w:rPr>
                <w:rFonts w:cs="Times New Roman"/>
                <w:b/>
                <w:bCs/>
                <w:color w:val="000000"/>
                <w:sz w:val="20"/>
                <w:szCs w:val="20"/>
              </w:rPr>
              <w:t xml:space="preserve"> (vplyv na saldo o zohľadnení krytia z EÚ zdrojov)</w:t>
            </w:r>
          </w:p>
        </w:tc>
        <w:tc>
          <w:tcPr>
            <w:tcW w:w="902" w:type="dxa"/>
            <w:tcBorders>
              <w:top w:val="single" w:sz="4" w:space="0" w:color="auto"/>
              <w:left w:val="nil"/>
              <w:bottom w:val="single" w:sz="8" w:space="0" w:color="auto"/>
              <w:right w:val="nil"/>
            </w:tcBorders>
            <w:shd w:val="clear" w:color="auto" w:fill="auto"/>
            <w:noWrap/>
            <w:vAlign w:val="bottom"/>
            <w:hideMark/>
          </w:tcPr>
          <w:p w14:paraId="384F0D6D" w14:textId="77777777" w:rsidR="00965459" w:rsidRPr="00887108" w:rsidRDefault="00965459" w:rsidP="00965459">
            <w:pPr>
              <w:jc w:val="center"/>
              <w:rPr>
                <w:rFonts w:cs="Times New Roman"/>
                <w:b/>
                <w:bCs/>
                <w:color w:val="000000"/>
                <w:sz w:val="20"/>
                <w:szCs w:val="20"/>
              </w:rPr>
            </w:pPr>
            <w:r w:rsidRPr="00887108">
              <w:rPr>
                <w:rFonts w:cs="Times New Roman"/>
                <w:b/>
                <w:bCs/>
                <w:color w:val="000000"/>
                <w:sz w:val="20"/>
                <w:szCs w:val="20"/>
              </w:rPr>
              <w:t>1 455</w:t>
            </w:r>
          </w:p>
        </w:tc>
        <w:tc>
          <w:tcPr>
            <w:tcW w:w="975" w:type="dxa"/>
            <w:tcBorders>
              <w:top w:val="single" w:sz="4" w:space="0" w:color="auto"/>
              <w:left w:val="nil"/>
              <w:bottom w:val="single" w:sz="8" w:space="0" w:color="auto"/>
              <w:right w:val="nil"/>
            </w:tcBorders>
            <w:shd w:val="clear" w:color="auto" w:fill="auto"/>
            <w:noWrap/>
            <w:vAlign w:val="bottom"/>
            <w:hideMark/>
          </w:tcPr>
          <w:p w14:paraId="4BC2E716" w14:textId="77777777" w:rsidR="00965459" w:rsidRPr="00887108" w:rsidRDefault="00965459" w:rsidP="00965459">
            <w:pPr>
              <w:jc w:val="center"/>
              <w:rPr>
                <w:rFonts w:cs="Times New Roman"/>
                <w:b/>
                <w:bCs/>
                <w:color w:val="000000"/>
                <w:sz w:val="20"/>
                <w:szCs w:val="20"/>
              </w:rPr>
            </w:pPr>
            <w:r w:rsidRPr="00887108">
              <w:rPr>
                <w:rFonts w:cs="Times New Roman"/>
                <w:b/>
                <w:bCs/>
                <w:color w:val="000000"/>
                <w:sz w:val="20"/>
                <w:szCs w:val="20"/>
              </w:rPr>
              <w:t>1,63</w:t>
            </w:r>
          </w:p>
        </w:tc>
      </w:tr>
      <w:tr w:rsidR="00EA0A06" w:rsidRPr="00887108" w14:paraId="23BD89E1" w14:textId="77777777" w:rsidTr="00EA0A06">
        <w:trPr>
          <w:trHeight w:val="300"/>
        </w:trPr>
        <w:tc>
          <w:tcPr>
            <w:tcW w:w="323" w:type="dxa"/>
            <w:tcBorders>
              <w:top w:val="nil"/>
              <w:left w:val="nil"/>
              <w:bottom w:val="single" w:sz="8" w:space="0" w:color="auto"/>
              <w:right w:val="nil"/>
            </w:tcBorders>
            <w:shd w:val="clear" w:color="auto" w:fill="auto"/>
            <w:noWrap/>
            <w:vAlign w:val="bottom"/>
          </w:tcPr>
          <w:p w14:paraId="36F1ACA2" w14:textId="77777777" w:rsidR="00EA0A06" w:rsidRPr="00887108" w:rsidRDefault="00EA0A06" w:rsidP="00EA0A06">
            <w:pPr>
              <w:rPr>
                <w:rFonts w:ascii="Calibri" w:hAnsi="Calibri" w:cs="Times New Roman"/>
                <w:color w:val="000000"/>
              </w:rPr>
            </w:pPr>
          </w:p>
        </w:tc>
        <w:tc>
          <w:tcPr>
            <w:tcW w:w="6470" w:type="dxa"/>
            <w:tcBorders>
              <w:top w:val="nil"/>
              <w:left w:val="nil"/>
              <w:bottom w:val="single" w:sz="8" w:space="0" w:color="auto"/>
              <w:right w:val="nil"/>
            </w:tcBorders>
            <w:shd w:val="clear" w:color="auto" w:fill="auto"/>
            <w:noWrap/>
            <w:vAlign w:val="bottom"/>
          </w:tcPr>
          <w:p w14:paraId="70789964" w14:textId="6391F67B" w:rsidR="00EA0A06" w:rsidRPr="00887108" w:rsidRDefault="00EA0A06" w:rsidP="00EA0A06">
            <w:pPr>
              <w:rPr>
                <w:rFonts w:cs="Times New Roman"/>
                <w:b/>
                <w:bCs/>
                <w:color w:val="000000"/>
                <w:sz w:val="20"/>
                <w:szCs w:val="20"/>
              </w:rPr>
            </w:pPr>
            <w:r w:rsidRPr="00887108">
              <w:rPr>
                <w:rFonts w:cs="Times New Roman"/>
                <w:color w:val="000000"/>
                <w:sz w:val="18"/>
                <w:szCs w:val="18"/>
              </w:rPr>
              <w:t>Financovanie časti niektorých jednorazových opatrení cez EÚ fondy</w:t>
            </w:r>
          </w:p>
        </w:tc>
        <w:tc>
          <w:tcPr>
            <w:tcW w:w="902" w:type="dxa"/>
            <w:tcBorders>
              <w:top w:val="nil"/>
              <w:left w:val="nil"/>
              <w:bottom w:val="single" w:sz="8" w:space="0" w:color="auto"/>
              <w:right w:val="nil"/>
            </w:tcBorders>
            <w:shd w:val="clear" w:color="auto" w:fill="auto"/>
            <w:noWrap/>
            <w:vAlign w:val="bottom"/>
          </w:tcPr>
          <w:p w14:paraId="5DA189A9" w14:textId="71A9A71F" w:rsidR="00EA0A06" w:rsidRPr="00887108" w:rsidRDefault="00EA0A06" w:rsidP="00EA0A06">
            <w:pPr>
              <w:jc w:val="center"/>
              <w:rPr>
                <w:rFonts w:cs="Times New Roman"/>
                <w:b/>
                <w:bCs/>
                <w:color w:val="000000"/>
                <w:sz w:val="20"/>
                <w:szCs w:val="20"/>
              </w:rPr>
            </w:pPr>
            <w:r w:rsidRPr="00887108">
              <w:rPr>
                <w:rFonts w:cs="Times New Roman"/>
                <w:color w:val="000000"/>
                <w:sz w:val="20"/>
                <w:szCs w:val="20"/>
              </w:rPr>
              <w:t>-197</w:t>
            </w:r>
          </w:p>
        </w:tc>
        <w:tc>
          <w:tcPr>
            <w:tcW w:w="975" w:type="dxa"/>
            <w:tcBorders>
              <w:top w:val="nil"/>
              <w:left w:val="nil"/>
              <w:bottom w:val="single" w:sz="8" w:space="0" w:color="auto"/>
              <w:right w:val="nil"/>
            </w:tcBorders>
            <w:shd w:val="clear" w:color="auto" w:fill="auto"/>
            <w:noWrap/>
            <w:vAlign w:val="bottom"/>
          </w:tcPr>
          <w:p w14:paraId="192B0DCF" w14:textId="147D3352" w:rsidR="00EA0A06" w:rsidRPr="00887108" w:rsidRDefault="00EA0A06" w:rsidP="00EA0A06">
            <w:pPr>
              <w:jc w:val="center"/>
              <w:rPr>
                <w:rFonts w:cs="Times New Roman"/>
                <w:b/>
                <w:bCs/>
                <w:color w:val="000000"/>
                <w:sz w:val="20"/>
                <w:szCs w:val="20"/>
              </w:rPr>
            </w:pPr>
            <w:r w:rsidRPr="00887108">
              <w:rPr>
                <w:rFonts w:cs="Times New Roman"/>
                <w:color w:val="000000"/>
                <w:sz w:val="20"/>
                <w:szCs w:val="20"/>
              </w:rPr>
              <w:t>-0,22</w:t>
            </w:r>
          </w:p>
        </w:tc>
      </w:tr>
      <w:tr w:rsidR="00EA0A06" w:rsidRPr="00887108" w14:paraId="49713867" w14:textId="77777777" w:rsidTr="00EA0A06">
        <w:trPr>
          <w:trHeight w:val="288"/>
        </w:trPr>
        <w:tc>
          <w:tcPr>
            <w:tcW w:w="323" w:type="dxa"/>
            <w:tcBorders>
              <w:top w:val="nil"/>
              <w:left w:val="nil"/>
              <w:bottom w:val="nil"/>
              <w:right w:val="nil"/>
            </w:tcBorders>
            <w:shd w:val="clear" w:color="auto" w:fill="auto"/>
            <w:noWrap/>
            <w:vAlign w:val="bottom"/>
            <w:hideMark/>
          </w:tcPr>
          <w:p w14:paraId="12144AC8" w14:textId="77777777" w:rsidR="00EA0A06" w:rsidRPr="00887108" w:rsidRDefault="00EA0A06" w:rsidP="00EA0A06">
            <w:pPr>
              <w:jc w:val="center"/>
              <w:rPr>
                <w:rFonts w:cs="Times New Roman"/>
                <w:b/>
                <w:bCs/>
                <w:color w:val="000000"/>
                <w:sz w:val="20"/>
                <w:szCs w:val="20"/>
              </w:rPr>
            </w:pPr>
          </w:p>
        </w:tc>
        <w:tc>
          <w:tcPr>
            <w:tcW w:w="6470" w:type="dxa"/>
            <w:tcBorders>
              <w:top w:val="nil"/>
              <w:left w:val="nil"/>
              <w:bottom w:val="nil"/>
              <w:right w:val="nil"/>
            </w:tcBorders>
            <w:shd w:val="clear" w:color="auto" w:fill="auto"/>
            <w:noWrap/>
            <w:vAlign w:val="bottom"/>
            <w:hideMark/>
          </w:tcPr>
          <w:p w14:paraId="2F85A224" w14:textId="77777777" w:rsidR="00EA0A06" w:rsidRPr="00887108" w:rsidRDefault="00EA0A06" w:rsidP="00EA0A06">
            <w:pPr>
              <w:rPr>
                <w:rFonts w:ascii="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14:paraId="34A9FD7F" w14:textId="77777777" w:rsidR="00EA0A06" w:rsidRPr="00887108" w:rsidRDefault="00EA0A06" w:rsidP="00EA0A06">
            <w:pPr>
              <w:rPr>
                <w:rFonts w:ascii="Times New Roman" w:hAnsi="Times New Roman" w:cs="Times New Roman"/>
                <w:sz w:val="20"/>
                <w:szCs w:val="20"/>
              </w:rPr>
            </w:pPr>
          </w:p>
        </w:tc>
        <w:tc>
          <w:tcPr>
            <w:tcW w:w="975" w:type="dxa"/>
            <w:tcBorders>
              <w:top w:val="nil"/>
              <w:left w:val="nil"/>
              <w:bottom w:val="nil"/>
              <w:right w:val="nil"/>
            </w:tcBorders>
            <w:shd w:val="clear" w:color="auto" w:fill="auto"/>
            <w:noWrap/>
            <w:vAlign w:val="bottom"/>
            <w:hideMark/>
          </w:tcPr>
          <w:p w14:paraId="786EB060" w14:textId="77777777" w:rsidR="00EA0A06" w:rsidRPr="00887108" w:rsidRDefault="00EA0A06" w:rsidP="00EA0A06">
            <w:pPr>
              <w:rPr>
                <w:rFonts w:cs="Times New Roman"/>
                <w:color w:val="000000"/>
                <w:sz w:val="16"/>
                <w:szCs w:val="16"/>
              </w:rPr>
            </w:pPr>
            <w:r w:rsidRPr="00887108">
              <w:rPr>
                <w:rFonts w:cs="Times New Roman"/>
                <w:color w:val="000000"/>
                <w:sz w:val="16"/>
                <w:szCs w:val="16"/>
              </w:rPr>
              <w:t>Zdroj: MF SR</w:t>
            </w:r>
          </w:p>
        </w:tc>
      </w:tr>
    </w:tbl>
    <w:p w14:paraId="12A60658" w14:textId="77777777" w:rsidR="00AF3E9C" w:rsidRPr="00887108" w:rsidRDefault="00AF3E9C" w:rsidP="00D37A31">
      <w:pPr>
        <w:jc w:val="both"/>
        <w:rPr>
          <w:b/>
        </w:rPr>
      </w:pPr>
    </w:p>
    <w:p w14:paraId="43E6FAA0" w14:textId="043A8BB5" w:rsidR="00D37A31" w:rsidRPr="00887108" w:rsidRDefault="00D37A31" w:rsidP="00D37A31">
      <w:pPr>
        <w:jc w:val="both"/>
      </w:pPr>
      <w:r w:rsidRPr="00887108">
        <w:rPr>
          <w:b/>
        </w:rPr>
        <w:t xml:space="preserve">Pre účel výpočtu štrukturálneho salda do tohtoročného Programu stability vydala EK manuál, podľa ktorého sa jednorazové opatrenia súvisiace s pandémiou COVID 19 vykazujú </w:t>
      </w:r>
      <w:r w:rsidR="00402DB5" w:rsidRPr="00887108">
        <w:rPr>
          <w:b/>
        </w:rPr>
        <w:t>pod kategóriou</w:t>
      </w:r>
      <w:r w:rsidRPr="00887108">
        <w:rPr>
          <w:b/>
        </w:rPr>
        <w:t xml:space="preserve"> </w:t>
      </w:r>
      <w:r w:rsidR="00402DB5" w:rsidRPr="00887108">
        <w:rPr>
          <w:b/>
        </w:rPr>
        <w:t>v</w:t>
      </w:r>
      <w:r w:rsidRPr="00887108">
        <w:rPr>
          <w:b/>
        </w:rPr>
        <w:t xml:space="preserve">šeobecná úniková klauzula. </w:t>
      </w:r>
      <w:r w:rsidRPr="00887108">
        <w:t xml:space="preserve">Teda neovplyvňujú výšku štrukturálneho salda cez jednorazové opatrenia. Z tohto dôvodu </w:t>
      </w:r>
      <w:r w:rsidR="00EB30F9" w:rsidRPr="00887108">
        <w:t xml:space="preserve">sa nižšie uvádza </w:t>
      </w:r>
      <w:r w:rsidRPr="00887108">
        <w:t>štrukturálne saldo aj podľa tohtoročného manuálu EK.</w:t>
      </w:r>
    </w:p>
    <w:p w14:paraId="0F29B27B" w14:textId="77777777" w:rsidR="00D37A31" w:rsidRPr="00887108" w:rsidRDefault="00D37A31" w:rsidP="00D37A31">
      <w:pPr>
        <w:jc w:val="both"/>
      </w:pPr>
    </w:p>
    <w:p w14:paraId="4DB0D0CE" w14:textId="77777777" w:rsidR="00D37A31" w:rsidRPr="00887108" w:rsidRDefault="00D37A31" w:rsidP="00D37A31">
      <w:pPr>
        <w:jc w:val="both"/>
        <w:rPr>
          <w:b/>
        </w:rPr>
      </w:pPr>
      <w:bookmarkStart w:id="171" w:name="_Toc40186692"/>
      <w:r w:rsidRPr="00887108">
        <w:rPr>
          <w:rFonts w:eastAsiaTheme="minorHAnsi" w:cs="Arial"/>
          <w:b/>
          <w:color w:val="2C9ADC"/>
          <w:sz w:val="20"/>
          <w:szCs w:val="26"/>
          <w:lang w:eastAsia="en-US"/>
        </w:rPr>
        <w:t xml:space="preserve">TABUĽKA </w:t>
      </w:r>
      <w:r w:rsidRPr="00887108">
        <w:rPr>
          <w:rFonts w:eastAsiaTheme="minorHAnsi" w:cs="Arial"/>
          <w:b/>
          <w:color w:val="2C9ADC"/>
          <w:sz w:val="20"/>
          <w:szCs w:val="26"/>
          <w:lang w:eastAsia="en-US"/>
        </w:rPr>
        <w:fldChar w:fldCharType="begin"/>
      </w:r>
      <w:r w:rsidRPr="00887108">
        <w:rPr>
          <w:rFonts w:eastAsiaTheme="minorHAnsi" w:cs="Arial"/>
          <w:b/>
          <w:color w:val="2C9ADC"/>
          <w:sz w:val="20"/>
          <w:szCs w:val="26"/>
          <w:lang w:eastAsia="en-US"/>
        </w:rPr>
        <w:instrText xml:space="preserve"> SEQ TABUĽKA \* ARABIC </w:instrText>
      </w:r>
      <w:r w:rsidRPr="00887108">
        <w:rPr>
          <w:rFonts w:eastAsiaTheme="minorHAnsi" w:cs="Arial"/>
          <w:b/>
          <w:color w:val="2C9ADC"/>
          <w:sz w:val="20"/>
          <w:szCs w:val="26"/>
          <w:lang w:eastAsia="en-US"/>
        </w:rPr>
        <w:fldChar w:fldCharType="separate"/>
      </w:r>
      <w:r w:rsidR="00D47A36">
        <w:rPr>
          <w:rFonts w:eastAsiaTheme="minorHAnsi" w:cs="Arial"/>
          <w:b/>
          <w:noProof/>
          <w:color w:val="2C9ADC"/>
          <w:sz w:val="20"/>
          <w:szCs w:val="26"/>
          <w:lang w:eastAsia="en-US"/>
        </w:rPr>
        <w:t>15</w:t>
      </w:r>
      <w:r w:rsidRPr="00887108">
        <w:rPr>
          <w:rFonts w:eastAsiaTheme="minorHAnsi" w:cs="Arial"/>
          <w:b/>
          <w:color w:val="2C9ADC"/>
          <w:sz w:val="20"/>
          <w:szCs w:val="26"/>
          <w:lang w:eastAsia="en-US"/>
        </w:rPr>
        <w:fldChar w:fldCharType="end"/>
      </w:r>
      <w:r w:rsidRPr="00887108">
        <w:rPr>
          <w:rFonts w:eastAsiaTheme="minorHAnsi" w:cs="Arial"/>
          <w:b/>
          <w:color w:val="2C9ADC"/>
          <w:sz w:val="20"/>
          <w:szCs w:val="26"/>
          <w:lang w:eastAsia="en-US"/>
        </w:rPr>
        <w:t xml:space="preserve"> - Konsolidačné úsilie podľa tohtoročného manuálu EK (ESA 2010, % HDP)</w:t>
      </w:r>
      <w:bookmarkEnd w:id="171"/>
    </w:p>
    <w:tbl>
      <w:tblPr>
        <w:tblW w:w="8931" w:type="dxa"/>
        <w:tblCellMar>
          <w:left w:w="70" w:type="dxa"/>
          <w:right w:w="70" w:type="dxa"/>
        </w:tblCellMar>
        <w:tblLook w:val="04A0" w:firstRow="1" w:lastRow="0" w:firstColumn="1" w:lastColumn="0" w:noHBand="0" w:noVBand="1"/>
      </w:tblPr>
      <w:tblGrid>
        <w:gridCol w:w="3261"/>
        <w:gridCol w:w="992"/>
        <w:gridCol w:w="992"/>
        <w:gridCol w:w="851"/>
        <w:gridCol w:w="992"/>
        <w:gridCol w:w="709"/>
        <w:gridCol w:w="1134"/>
      </w:tblGrid>
      <w:tr w:rsidR="00D37A31" w:rsidRPr="00887108" w14:paraId="518AB9F4" w14:textId="77777777" w:rsidTr="00E9118E">
        <w:trPr>
          <w:trHeight w:val="324"/>
        </w:trPr>
        <w:tc>
          <w:tcPr>
            <w:tcW w:w="3261" w:type="dxa"/>
            <w:tcBorders>
              <w:top w:val="single" w:sz="8" w:space="0" w:color="auto"/>
              <w:left w:val="nil"/>
              <w:bottom w:val="single" w:sz="8" w:space="0" w:color="auto"/>
              <w:right w:val="nil"/>
            </w:tcBorders>
            <w:shd w:val="clear" w:color="auto" w:fill="auto"/>
            <w:noWrap/>
            <w:vAlign w:val="center"/>
            <w:hideMark/>
          </w:tcPr>
          <w:p w14:paraId="13474A8D" w14:textId="77777777" w:rsidR="00D37A31" w:rsidRPr="00887108" w:rsidRDefault="00D37A31" w:rsidP="00E9118E">
            <w:pPr>
              <w:rPr>
                <w:rFonts w:cs="Times New Roman"/>
                <w:b/>
                <w:bCs/>
                <w:color w:val="000000"/>
                <w:sz w:val="18"/>
                <w:szCs w:val="18"/>
              </w:rPr>
            </w:pPr>
            <w:r w:rsidRPr="00887108">
              <w:rPr>
                <w:rFonts w:cs="Times New Roman"/>
                <w:b/>
                <w:bCs/>
                <w:color w:val="000000"/>
                <w:sz w:val="18"/>
                <w:szCs w:val="18"/>
              </w:rPr>
              <w:t> </w:t>
            </w:r>
          </w:p>
        </w:tc>
        <w:tc>
          <w:tcPr>
            <w:tcW w:w="992" w:type="dxa"/>
            <w:tcBorders>
              <w:top w:val="single" w:sz="8" w:space="0" w:color="auto"/>
              <w:left w:val="nil"/>
              <w:bottom w:val="single" w:sz="8" w:space="0" w:color="auto"/>
              <w:right w:val="nil"/>
            </w:tcBorders>
            <w:shd w:val="clear" w:color="auto" w:fill="auto"/>
            <w:noWrap/>
            <w:vAlign w:val="center"/>
            <w:hideMark/>
          </w:tcPr>
          <w:p w14:paraId="3103C34A"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2018 S</w:t>
            </w:r>
          </w:p>
        </w:tc>
        <w:tc>
          <w:tcPr>
            <w:tcW w:w="992" w:type="dxa"/>
            <w:tcBorders>
              <w:top w:val="single" w:sz="8" w:space="0" w:color="auto"/>
              <w:left w:val="nil"/>
              <w:bottom w:val="single" w:sz="8" w:space="0" w:color="auto"/>
              <w:right w:val="nil"/>
            </w:tcBorders>
            <w:shd w:val="clear" w:color="auto" w:fill="auto"/>
            <w:noWrap/>
            <w:vAlign w:val="center"/>
            <w:hideMark/>
          </w:tcPr>
          <w:p w14:paraId="7867ACF8"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2019 S</w:t>
            </w:r>
          </w:p>
        </w:tc>
        <w:tc>
          <w:tcPr>
            <w:tcW w:w="851" w:type="dxa"/>
            <w:tcBorders>
              <w:top w:val="single" w:sz="8" w:space="0" w:color="auto"/>
              <w:left w:val="nil"/>
              <w:bottom w:val="single" w:sz="8" w:space="0" w:color="auto"/>
              <w:right w:val="nil"/>
            </w:tcBorders>
            <w:shd w:val="clear" w:color="auto" w:fill="auto"/>
            <w:noWrap/>
            <w:vAlign w:val="center"/>
            <w:hideMark/>
          </w:tcPr>
          <w:p w14:paraId="3C63A40C"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2020 OS</w:t>
            </w:r>
          </w:p>
        </w:tc>
        <w:tc>
          <w:tcPr>
            <w:tcW w:w="992" w:type="dxa"/>
            <w:tcBorders>
              <w:top w:val="single" w:sz="8" w:space="0" w:color="auto"/>
              <w:left w:val="nil"/>
              <w:bottom w:val="single" w:sz="8" w:space="0" w:color="auto"/>
              <w:right w:val="nil"/>
            </w:tcBorders>
            <w:shd w:val="clear" w:color="auto" w:fill="auto"/>
            <w:noWrap/>
            <w:vAlign w:val="center"/>
            <w:hideMark/>
          </w:tcPr>
          <w:p w14:paraId="5599473C" w14:textId="576FF72D" w:rsidR="00D37A31" w:rsidRPr="00887108" w:rsidRDefault="00D37A31" w:rsidP="00EA7E15">
            <w:pPr>
              <w:jc w:val="center"/>
              <w:rPr>
                <w:rFonts w:cs="Times New Roman"/>
                <w:b/>
                <w:bCs/>
                <w:color w:val="000000"/>
                <w:sz w:val="18"/>
                <w:szCs w:val="18"/>
              </w:rPr>
            </w:pPr>
            <w:r w:rsidRPr="00887108">
              <w:rPr>
                <w:rFonts w:cs="Times New Roman"/>
                <w:b/>
                <w:bCs/>
                <w:color w:val="000000"/>
                <w:sz w:val="18"/>
                <w:szCs w:val="18"/>
              </w:rPr>
              <w:t xml:space="preserve">2021 </w:t>
            </w:r>
            <w:r w:rsidR="00EA7E15" w:rsidRPr="00887108">
              <w:rPr>
                <w:rFonts w:cs="Times New Roman"/>
                <w:b/>
                <w:bCs/>
                <w:color w:val="000000"/>
                <w:sz w:val="18"/>
                <w:szCs w:val="18"/>
              </w:rPr>
              <w:t>PS</w:t>
            </w:r>
          </w:p>
        </w:tc>
        <w:tc>
          <w:tcPr>
            <w:tcW w:w="709" w:type="dxa"/>
            <w:tcBorders>
              <w:top w:val="single" w:sz="8" w:space="0" w:color="auto"/>
              <w:left w:val="nil"/>
              <w:bottom w:val="single" w:sz="8" w:space="0" w:color="auto"/>
              <w:right w:val="nil"/>
            </w:tcBorders>
            <w:shd w:val="clear" w:color="auto" w:fill="auto"/>
            <w:noWrap/>
            <w:vAlign w:val="center"/>
            <w:hideMark/>
          </w:tcPr>
          <w:p w14:paraId="744EB1B2" w14:textId="3BB09842" w:rsidR="00D37A31" w:rsidRPr="00887108" w:rsidRDefault="00D37A31" w:rsidP="00EA7E15">
            <w:pPr>
              <w:jc w:val="center"/>
              <w:rPr>
                <w:rFonts w:cs="Times New Roman"/>
                <w:b/>
                <w:bCs/>
                <w:color w:val="000000"/>
                <w:sz w:val="18"/>
                <w:szCs w:val="18"/>
              </w:rPr>
            </w:pPr>
            <w:r w:rsidRPr="00887108">
              <w:rPr>
                <w:rFonts w:cs="Times New Roman"/>
                <w:b/>
                <w:bCs/>
                <w:color w:val="000000"/>
                <w:sz w:val="18"/>
                <w:szCs w:val="18"/>
              </w:rPr>
              <w:t xml:space="preserve">2022 </w:t>
            </w:r>
            <w:r w:rsidR="00EA7E15" w:rsidRPr="00887108">
              <w:rPr>
                <w:rFonts w:cs="Times New Roman"/>
                <w:b/>
                <w:bCs/>
                <w:color w:val="000000"/>
                <w:sz w:val="18"/>
                <w:szCs w:val="18"/>
              </w:rPr>
              <w:t>PS</w:t>
            </w:r>
          </w:p>
        </w:tc>
        <w:tc>
          <w:tcPr>
            <w:tcW w:w="1134" w:type="dxa"/>
            <w:tcBorders>
              <w:top w:val="single" w:sz="8" w:space="0" w:color="auto"/>
              <w:left w:val="nil"/>
              <w:bottom w:val="single" w:sz="8" w:space="0" w:color="auto"/>
              <w:right w:val="nil"/>
            </w:tcBorders>
            <w:shd w:val="clear" w:color="auto" w:fill="auto"/>
            <w:noWrap/>
            <w:vAlign w:val="center"/>
            <w:hideMark/>
          </w:tcPr>
          <w:p w14:paraId="0A03DEE5" w14:textId="16F91EDF" w:rsidR="00D37A31" w:rsidRPr="00887108" w:rsidRDefault="00D37A31" w:rsidP="00EA7E15">
            <w:pPr>
              <w:jc w:val="center"/>
              <w:rPr>
                <w:rFonts w:cs="Times New Roman"/>
                <w:b/>
                <w:bCs/>
                <w:color w:val="000000"/>
                <w:sz w:val="18"/>
                <w:szCs w:val="18"/>
              </w:rPr>
            </w:pPr>
            <w:r w:rsidRPr="00887108">
              <w:rPr>
                <w:rFonts w:cs="Times New Roman"/>
                <w:b/>
                <w:bCs/>
                <w:color w:val="000000"/>
                <w:sz w:val="18"/>
                <w:szCs w:val="18"/>
              </w:rPr>
              <w:t xml:space="preserve">2023 </w:t>
            </w:r>
            <w:r w:rsidR="00EA7E15" w:rsidRPr="00887108">
              <w:rPr>
                <w:rFonts w:cs="Times New Roman"/>
                <w:b/>
                <w:bCs/>
                <w:color w:val="000000"/>
                <w:sz w:val="18"/>
                <w:szCs w:val="18"/>
              </w:rPr>
              <w:t>PS</w:t>
            </w:r>
          </w:p>
        </w:tc>
      </w:tr>
      <w:tr w:rsidR="00D37A31" w:rsidRPr="00887108" w14:paraId="07475482" w14:textId="77777777" w:rsidTr="00E9118E">
        <w:trPr>
          <w:trHeight w:val="312"/>
        </w:trPr>
        <w:tc>
          <w:tcPr>
            <w:tcW w:w="3261" w:type="dxa"/>
            <w:tcBorders>
              <w:top w:val="nil"/>
              <w:left w:val="nil"/>
              <w:bottom w:val="nil"/>
              <w:right w:val="nil"/>
            </w:tcBorders>
            <w:shd w:val="clear" w:color="auto" w:fill="auto"/>
            <w:noWrap/>
            <w:vAlign w:val="center"/>
            <w:hideMark/>
          </w:tcPr>
          <w:p w14:paraId="520C9969" w14:textId="77777777" w:rsidR="00D37A31" w:rsidRPr="00887108" w:rsidRDefault="00D37A31" w:rsidP="00E9118E">
            <w:pPr>
              <w:rPr>
                <w:rFonts w:cs="Times New Roman"/>
                <w:b/>
                <w:bCs/>
                <w:color w:val="000000"/>
                <w:sz w:val="18"/>
                <w:szCs w:val="18"/>
              </w:rPr>
            </w:pPr>
            <w:r w:rsidRPr="00887108">
              <w:rPr>
                <w:rFonts w:cs="Times New Roman"/>
                <w:b/>
                <w:bCs/>
                <w:color w:val="000000"/>
                <w:sz w:val="18"/>
                <w:szCs w:val="18"/>
              </w:rPr>
              <w:t>Nominálne saldo</w:t>
            </w:r>
          </w:p>
        </w:tc>
        <w:tc>
          <w:tcPr>
            <w:tcW w:w="992" w:type="dxa"/>
            <w:tcBorders>
              <w:top w:val="nil"/>
              <w:left w:val="nil"/>
              <w:bottom w:val="nil"/>
              <w:right w:val="nil"/>
            </w:tcBorders>
            <w:shd w:val="clear" w:color="auto" w:fill="auto"/>
            <w:noWrap/>
            <w:vAlign w:val="center"/>
            <w:hideMark/>
          </w:tcPr>
          <w:p w14:paraId="48662DD5"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-1,05</w:t>
            </w:r>
          </w:p>
        </w:tc>
        <w:tc>
          <w:tcPr>
            <w:tcW w:w="992" w:type="dxa"/>
            <w:tcBorders>
              <w:top w:val="nil"/>
              <w:left w:val="nil"/>
              <w:bottom w:val="nil"/>
              <w:right w:val="nil"/>
            </w:tcBorders>
            <w:shd w:val="clear" w:color="auto" w:fill="auto"/>
            <w:noWrap/>
            <w:vAlign w:val="center"/>
            <w:hideMark/>
          </w:tcPr>
          <w:p w14:paraId="12F9124F"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-1,30</w:t>
            </w:r>
          </w:p>
        </w:tc>
        <w:tc>
          <w:tcPr>
            <w:tcW w:w="851" w:type="dxa"/>
            <w:tcBorders>
              <w:top w:val="nil"/>
              <w:left w:val="nil"/>
              <w:bottom w:val="nil"/>
              <w:right w:val="nil"/>
            </w:tcBorders>
            <w:shd w:val="clear" w:color="auto" w:fill="auto"/>
            <w:noWrap/>
            <w:vAlign w:val="center"/>
            <w:hideMark/>
          </w:tcPr>
          <w:p w14:paraId="78401093"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-8,4</w:t>
            </w:r>
          </w:p>
        </w:tc>
        <w:tc>
          <w:tcPr>
            <w:tcW w:w="992" w:type="dxa"/>
            <w:tcBorders>
              <w:top w:val="nil"/>
              <w:left w:val="nil"/>
              <w:bottom w:val="nil"/>
              <w:right w:val="nil"/>
            </w:tcBorders>
            <w:shd w:val="clear" w:color="auto" w:fill="auto"/>
            <w:noWrap/>
            <w:vAlign w:val="center"/>
            <w:hideMark/>
          </w:tcPr>
          <w:p w14:paraId="4CC8DA3A"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-4,9</w:t>
            </w:r>
          </w:p>
        </w:tc>
        <w:tc>
          <w:tcPr>
            <w:tcW w:w="709" w:type="dxa"/>
            <w:tcBorders>
              <w:top w:val="nil"/>
              <w:left w:val="nil"/>
              <w:bottom w:val="nil"/>
              <w:right w:val="nil"/>
            </w:tcBorders>
            <w:shd w:val="clear" w:color="auto" w:fill="auto"/>
            <w:noWrap/>
            <w:vAlign w:val="center"/>
            <w:hideMark/>
          </w:tcPr>
          <w:p w14:paraId="5068C29A"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-3,7</w:t>
            </w:r>
          </w:p>
        </w:tc>
        <w:tc>
          <w:tcPr>
            <w:tcW w:w="1134" w:type="dxa"/>
            <w:tcBorders>
              <w:top w:val="nil"/>
              <w:left w:val="nil"/>
              <w:bottom w:val="nil"/>
              <w:right w:val="nil"/>
            </w:tcBorders>
            <w:shd w:val="clear" w:color="auto" w:fill="auto"/>
            <w:noWrap/>
            <w:vAlign w:val="center"/>
            <w:hideMark/>
          </w:tcPr>
          <w:p w14:paraId="5DFE7E7C"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-2,9</w:t>
            </w:r>
          </w:p>
        </w:tc>
      </w:tr>
      <w:tr w:rsidR="00D37A31" w:rsidRPr="00887108" w14:paraId="1F805E06" w14:textId="77777777" w:rsidTr="00E9118E">
        <w:trPr>
          <w:trHeight w:val="360"/>
        </w:trPr>
        <w:tc>
          <w:tcPr>
            <w:tcW w:w="3261" w:type="dxa"/>
            <w:tcBorders>
              <w:top w:val="nil"/>
              <w:left w:val="nil"/>
              <w:bottom w:val="nil"/>
              <w:right w:val="nil"/>
            </w:tcBorders>
            <w:shd w:val="clear" w:color="auto" w:fill="auto"/>
            <w:noWrap/>
            <w:vAlign w:val="center"/>
            <w:hideMark/>
          </w:tcPr>
          <w:p w14:paraId="5681C38F" w14:textId="77777777" w:rsidR="00D37A31" w:rsidRPr="00887108" w:rsidRDefault="00D37A31" w:rsidP="00E9118E">
            <w:pPr>
              <w:rPr>
                <w:rFonts w:cs="Times New Roman"/>
                <w:color w:val="000000"/>
                <w:sz w:val="18"/>
                <w:szCs w:val="18"/>
              </w:rPr>
            </w:pPr>
            <w:r w:rsidRPr="00887108">
              <w:rPr>
                <w:rFonts w:cs="Times New Roman"/>
                <w:color w:val="000000"/>
                <w:sz w:val="18"/>
                <w:szCs w:val="18"/>
              </w:rPr>
              <w:t>Cyklická zložka</w:t>
            </w:r>
          </w:p>
        </w:tc>
        <w:tc>
          <w:tcPr>
            <w:tcW w:w="992" w:type="dxa"/>
            <w:tcBorders>
              <w:top w:val="nil"/>
              <w:left w:val="nil"/>
              <w:bottom w:val="nil"/>
              <w:right w:val="nil"/>
            </w:tcBorders>
            <w:shd w:val="clear" w:color="auto" w:fill="auto"/>
            <w:noWrap/>
            <w:vAlign w:val="center"/>
            <w:hideMark/>
          </w:tcPr>
          <w:p w14:paraId="4B3837F7"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0,7</w:t>
            </w:r>
          </w:p>
        </w:tc>
        <w:tc>
          <w:tcPr>
            <w:tcW w:w="992" w:type="dxa"/>
            <w:tcBorders>
              <w:top w:val="nil"/>
              <w:left w:val="nil"/>
              <w:bottom w:val="nil"/>
              <w:right w:val="nil"/>
            </w:tcBorders>
            <w:shd w:val="clear" w:color="auto" w:fill="auto"/>
            <w:noWrap/>
            <w:vAlign w:val="center"/>
            <w:hideMark/>
          </w:tcPr>
          <w:p w14:paraId="46C7D19A"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0,7</w:t>
            </w:r>
          </w:p>
        </w:tc>
        <w:tc>
          <w:tcPr>
            <w:tcW w:w="851" w:type="dxa"/>
            <w:tcBorders>
              <w:top w:val="nil"/>
              <w:left w:val="nil"/>
              <w:bottom w:val="nil"/>
              <w:right w:val="nil"/>
            </w:tcBorders>
            <w:shd w:val="clear" w:color="auto" w:fill="auto"/>
            <w:noWrap/>
            <w:vAlign w:val="center"/>
            <w:hideMark/>
          </w:tcPr>
          <w:p w14:paraId="7AC0D6BC"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-2,8</w:t>
            </w:r>
          </w:p>
        </w:tc>
        <w:tc>
          <w:tcPr>
            <w:tcW w:w="992" w:type="dxa"/>
            <w:tcBorders>
              <w:top w:val="nil"/>
              <w:left w:val="nil"/>
              <w:bottom w:val="nil"/>
              <w:right w:val="nil"/>
            </w:tcBorders>
            <w:shd w:val="clear" w:color="auto" w:fill="auto"/>
            <w:noWrap/>
            <w:vAlign w:val="center"/>
            <w:hideMark/>
          </w:tcPr>
          <w:p w14:paraId="52FAE9AD"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-1,2</w:t>
            </w:r>
          </w:p>
        </w:tc>
        <w:tc>
          <w:tcPr>
            <w:tcW w:w="709" w:type="dxa"/>
            <w:tcBorders>
              <w:top w:val="nil"/>
              <w:left w:val="nil"/>
              <w:bottom w:val="nil"/>
              <w:right w:val="nil"/>
            </w:tcBorders>
            <w:shd w:val="clear" w:color="auto" w:fill="auto"/>
            <w:noWrap/>
            <w:vAlign w:val="center"/>
            <w:hideMark/>
          </w:tcPr>
          <w:p w14:paraId="7EE36397"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-0,5</w:t>
            </w:r>
          </w:p>
        </w:tc>
        <w:tc>
          <w:tcPr>
            <w:tcW w:w="1134" w:type="dxa"/>
            <w:tcBorders>
              <w:top w:val="nil"/>
              <w:left w:val="nil"/>
              <w:bottom w:val="nil"/>
              <w:right w:val="nil"/>
            </w:tcBorders>
            <w:shd w:val="clear" w:color="auto" w:fill="auto"/>
            <w:noWrap/>
            <w:vAlign w:val="center"/>
            <w:hideMark/>
          </w:tcPr>
          <w:p w14:paraId="74709E93"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-0,2</w:t>
            </w:r>
          </w:p>
        </w:tc>
      </w:tr>
      <w:tr w:rsidR="00D37A31" w:rsidRPr="00887108" w14:paraId="79C271E0" w14:textId="77777777" w:rsidTr="00E9118E">
        <w:trPr>
          <w:trHeight w:val="312"/>
        </w:trPr>
        <w:tc>
          <w:tcPr>
            <w:tcW w:w="3261" w:type="dxa"/>
            <w:tcBorders>
              <w:top w:val="nil"/>
              <w:left w:val="nil"/>
              <w:bottom w:val="nil"/>
              <w:right w:val="nil"/>
            </w:tcBorders>
            <w:shd w:val="clear" w:color="auto" w:fill="auto"/>
            <w:noWrap/>
            <w:vAlign w:val="center"/>
            <w:hideMark/>
          </w:tcPr>
          <w:p w14:paraId="1AA3BFF5" w14:textId="77777777" w:rsidR="00D37A31" w:rsidRPr="00887108" w:rsidRDefault="00D37A31" w:rsidP="00E9118E">
            <w:pPr>
              <w:rPr>
                <w:rFonts w:cs="Times New Roman"/>
                <w:color w:val="000000"/>
                <w:sz w:val="18"/>
                <w:szCs w:val="18"/>
              </w:rPr>
            </w:pPr>
            <w:r w:rsidRPr="00887108">
              <w:rPr>
                <w:rFonts w:cs="Times New Roman"/>
                <w:color w:val="000000"/>
                <w:sz w:val="18"/>
                <w:szCs w:val="18"/>
              </w:rPr>
              <w:t>Jednorazové vplyvy</w:t>
            </w:r>
          </w:p>
        </w:tc>
        <w:tc>
          <w:tcPr>
            <w:tcW w:w="992" w:type="dxa"/>
            <w:tcBorders>
              <w:top w:val="nil"/>
              <w:left w:val="nil"/>
              <w:bottom w:val="nil"/>
              <w:right w:val="nil"/>
            </w:tcBorders>
            <w:shd w:val="clear" w:color="auto" w:fill="auto"/>
            <w:noWrap/>
            <w:vAlign w:val="center"/>
            <w:hideMark/>
          </w:tcPr>
          <w:p w14:paraId="1707E130"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992" w:type="dxa"/>
            <w:tcBorders>
              <w:top w:val="nil"/>
              <w:left w:val="nil"/>
              <w:bottom w:val="nil"/>
              <w:right w:val="nil"/>
            </w:tcBorders>
            <w:shd w:val="clear" w:color="auto" w:fill="auto"/>
            <w:noWrap/>
            <w:vAlign w:val="center"/>
            <w:hideMark/>
          </w:tcPr>
          <w:p w14:paraId="2456B758"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851" w:type="dxa"/>
            <w:tcBorders>
              <w:top w:val="nil"/>
              <w:left w:val="nil"/>
              <w:bottom w:val="nil"/>
              <w:right w:val="nil"/>
            </w:tcBorders>
            <w:shd w:val="clear" w:color="auto" w:fill="auto"/>
            <w:noWrap/>
            <w:vAlign w:val="center"/>
            <w:hideMark/>
          </w:tcPr>
          <w:p w14:paraId="2DC47AB2"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992" w:type="dxa"/>
            <w:tcBorders>
              <w:top w:val="nil"/>
              <w:left w:val="nil"/>
              <w:bottom w:val="nil"/>
              <w:right w:val="nil"/>
            </w:tcBorders>
            <w:shd w:val="clear" w:color="auto" w:fill="auto"/>
            <w:noWrap/>
            <w:vAlign w:val="center"/>
            <w:hideMark/>
          </w:tcPr>
          <w:p w14:paraId="65A3BC54"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709" w:type="dxa"/>
            <w:tcBorders>
              <w:top w:val="nil"/>
              <w:left w:val="nil"/>
              <w:bottom w:val="nil"/>
              <w:right w:val="nil"/>
            </w:tcBorders>
            <w:shd w:val="clear" w:color="auto" w:fill="auto"/>
            <w:noWrap/>
            <w:vAlign w:val="center"/>
            <w:hideMark/>
          </w:tcPr>
          <w:p w14:paraId="557CCF29"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1134" w:type="dxa"/>
            <w:tcBorders>
              <w:top w:val="nil"/>
              <w:left w:val="nil"/>
              <w:bottom w:val="nil"/>
              <w:right w:val="nil"/>
            </w:tcBorders>
            <w:shd w:val="clear" w:color="auto" w:fill="auto"/>
            <w:noWrap/>
            <w:vAlign w:val="center"/>
            <w:hideMark/>
          </w:tcPr>
          <w:p w14:paraId="30244045"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r>
      <w:tr w:rsidR="00D37A31" w:rsidRPr="00887108" w14:paraId="210BF1DC" w14:textId="77777777" w:rsidTr="00E9118E">
        <w:trPr>
          <w:trHeight w:val="360"/>
        </w:trPr>
        <w:tc>
          <w:tcPr>
            <w:tcW w:w="3261" w:type="dxa"/>
            <w:tcBorders>
              <w:top w:val="nil"/>
              <w:left w:val="nil"/>
              <w:bottom w:val="single" w:sz="8" w:space="0" w:color="auto"/>
              <w:right w:val="nil"/>
            </w:tcBorders>
            <w:shd w:val="clear" w:color="auto" w:fill="auto"/>
            <w:noWrap/>
            <w:vAlign w:val="center"/>
            <w:hideMark/>
          </w:tcPr>
          <w:p w14:paraId="3397A446" w14:textId="77777777" w:rsidR="00D37A31" w:rsidRPr="00887108" w:rsidRDefault="00D37A31" w:rsidP="00E9118E">
            <w:pPr>
              <w:rPr>
                <w:rFonts w:cs="Times New Roman"/>
                <w:b/>
                <w:bCs/>
                <w:color w:val="000000"/>
                <w:sz w:val="18"/>
                <w:szCs w:val="18"/>
              </w:rPr>
            </w:pPr>
            <w:r w:rsidRPr="00887108">
              <w:rPr>
                <w:rFonts w:cs="Times New Roman"/>
                <w:b/>
                <w:bCs/>
                <w:color w:val="000000"/>
                <w:sz w:val="18"/>
                <w:szCs w:val="18"/>
              </w:rPr>
              <w:t>Štrukturálne saldo</w:t>
            </w:r>
          </w:p>
        </w:tc>
        <w:tc>
          <w:tcPr>
            <w:tcW w:w="992" w:type="dxa"/>
            <w:tcBorders>
              <w:top w:val="nil"/>
              <w:left w:val="nil"/>
              <w:bottom w:val="single" w:sz="8" w:space="0" w:color="auto"/>
              <w:right w:val="nil"/>
            </w:tcBorders>
            <w:shd w:val="clear" w:color="auto" w:fill="auto"/>
            <w:noWrap/>
            <w:vAlign w:val="center"/>
            <w:hideMark/>
          </w:tcPr>
          <w:p w14:paraId="5B85DBAF"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-1,8</w:t>
            </w:r>
          </w:p>
        </w:tc>
        <w:tc>
          <w:tcPr>
            <w:tcW w:w="992" w:type="dxa"/>
            <w:tcBorders>
              <w:top w:val="nil"/>
              <w:left w:val="nil"/>
              <w:bottom w:val="single" w:sz="8" w:space="0" w:color="auto"/>
              <w:right w:val="nil"/>
            </w:tcBorders>
            <w:shd w:val="clear" w:color="auto" w:fill="auto"/>
            <w:noWrap/>
            <w:vAlign w:val="center"/>
            <w:hideMark/>
          </w:tcPr>
          <w:p w14:paraId="3949A2A4"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-2,0</w:t>
            </w:r>
          </w:p>
        </w:tc>
        <w:tc>
          <w:tcPr>
            <w:tcW w:w="851" w:type="dxa"/>
            <w:tcBorders>
              <w:top w:val="nil"/>
              <w:left w:val="nil"/>
              <w:bottom w:val="single" w:sz="8" w:space="0" w:color="auto"/>
              <w:right w:val="nil"/>
            </w:tcBorders>
            <w:shd w:val="clear" w:color="auto" w:fill="auto"/>
            <w:noWrap/>
            <w:vAlign w:val="center"/>
            <w:hideMark/>
          </w:tcPr>
          <w:p w14:paraId="58F12DCA"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-5,6</w:t>
            </w:r>
          </w:p>
        </w:tc>
        <w:tc>
          <w:tcPr>
            <w:tcW w:w="992" w:type="dxa"/>
            <w:tcBorders>
              <w:top w:val="nil"/>
              <w:left w:val="nil"/>
              <w:bottom w:val="single" w:sz="8" w:space="0" w:color="auto"/>
              <w:right w:val="nil"/>
            </w:tcBorders>
            <w:shd w:val="clear" w:color="auto" w:fill="auto"/>
            <w:noWrap/>
            <w:vAlign w:val="center"/>
            <w:hideMark/>
          </w:tcPr>
          <w:p w14:paraId="377691C6"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-3,7</w:t>
            </w:r>
          </w:p>
        </w:tc>
        <w:tc>
          <w:tcPr>
            <w:tcW w:w="709" w:type="dxa"/>
            <w:tcBorders>
              <w:top w:val="nil"/>
              <w:left w:val="nil"/>
              <w:bottom w:val="single" w:sz="8" w:space="0" w:color="auto"/>
              <w:right w:val="nil"/>
            </w:tcBorders>
            <w:shd w:val="clear" w:color="auto" w:fill="auto"/>
            <w:noWrap/>
            <w:vAlign w:val="center"/>
            <w:hideMark/>
          </w:tcPr>
          <w:p w14:paraId="5AC32847"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-3,2</w:t>
            </w:r>
          </w:p>
        </w:tc>
        <w:tc>
          <w:tcPr>
            <w:tcW w:w="1134" w:type="dxa"/>
            <w:tcBorders>
              <w:top w:val="nil"/>
              <w:left w:val="nil"/>
              <w:bottom w:val="single" w:sz="8" w:space="0" w:color="auto"/>
              <w:right w:val="nil"/>
            </w:tcBorders>
            <w:shd w:val="clear" w:color="auto" w:fill="auto"/>
            <w:noWrap/>
            <w:vAlign w:val="center"/>
            <w:hideMark/>
          </w:tcPr>
          <w:p w14:paraId="0BED1359"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-2,7</w:t>
            </w:r>
          </w:p>
        </w:tc>
      </w:tr>
      <w:tr w:rsidR="00D37A31" w:rsidRPr="00887108" w14:paraId="67CA4FA5" w14:textId="77777777" w:rsidTr="00E9118E">
        <w:trPr>
          <w:trHeight w:val="324"/>
        </w:trPr>
        <w:tc>
          <w:tcPr>
            <w:tcW w:w="3261" w:type="dxa"/>
            <w:tcBorders>
              <w:top w:val="nil"/>
              <w:left w:val="nil"/>
              <w:bottom w:val="single" w:sz="8" w:space="0" w:color="auto"/>
              <w:right w:val="nil"/>
            </w:tcBorders>
            <w:shd w:val="clear" w:color="auto" w:fill="auto"/>
            <w:noWrap/>
            <w:vAlign w:val="center"/>
            <w:hideMark/>
          </w:tcPr>
          <w:p w14:paraId="624A450F" w14:textId="77777777" w:rsidR="00D37A31" w:rsidRPr="00887108" w:rsidRDefault="00D37A31" w:rsidP="00E9118E">
            <w:pPr>
              <w:rPr>
                <w:rFonts w:cs="Times New Roman"/>
                <w:b/>
                <w:bCs/>
                <w:color w:val="000000"/>
                <w:sz w:val="18"/>
                <w:szCs w:val="18"/>
              </w:rPr>
            </w:pPr>
            <w:r w:rsidRPr="00887108">
              <w:rPr>
                <w:rFonts w:cs="Times New Roman"/>
                <w:b/>
                <w:bCs/>
                <w:color w:val="000000"/>
                <w:sz w:val="18"/>
                <w:szCs w:val="18"/>
              </w:rPr>
              <w:t>Konsolidačné úsilie</w:t>
            </w:r>
          </w:p>
        </w:tc>
        <w:tc>
          <w:tcPr>
            <w:tcW w:w="992" w:type="dxa"/>
            <w:tcBorders>
              <w:top w:val="nil"/>
              <w:left w:val="nil"/>
              <w:bottom w:val="single" w:sz="8" w:space="0" w:color="auto"/>
              <w:right w:val="nil"/>
            </w:tcBorders>
            <w:shd w:val="clear" w:color="auto" w:fill="auto"/>
            <w:noWrap/>
            <w:vAlign w:val="center"/>
            <w:hideMark/>
          </w:tcPr>
          <w:p w14:paraId="56483CDF"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-0,7</w:t>
            </w:r>
          </w:p>
        </w:tc>
        <w:tc>
          <w:tcPr>
            <w:tcW w:w="992" w:type="dxa"/>
            <w:tcBorders>
              <w:top w:val="nil"/>
              <w:left w:val="nil"/>
              <w:bottom w:val="single" w:sz="8" w:space="0" w:color="auto"/>
              <w:right w:val="nil"/>
            </w:tcBorders>
            <w:shd w:val="clear" w:color="auto" w:fill="auto"/>
            <w:noWrap/>
            <w:vAlign w:val="center"/>
            <w:hideMark/>
          </w:tcPr>
          <w:p w14:paraId="2C540A7C"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-0,2</w:t>
            </w:r>
          </w:p>
        </w:tc>
        <w:tc>
          <w:tcPr>
            <w:tcW w:w="851" w:type="dxa"/>
            <w:tcBorders>
              <w:top w:val="nil"/>
              <w:left w:val="nil"/>
              <w:bottom w:val="single" w:sz="8" w:space="0" w:color="auto"/>
              <w:right w:val="nil"/>
            </w:tcBorders>
            <w:shd w:val="clear" w:color="auto" w:fill="auto"/>
            <w:noWrap/>
            <w:vAlign w:val="center"/>
            <w:hideMark/>
          </w:tcPr>
          <w:p w14:paraId="2F22F7DC"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-3,6</w:t>
            </w:r>
          </w:p>
        </w:tc>
        <w:tc>
          <w:tcPr>
            <w:tcW w:w="992" w:type="dxa"/>
            <w:tcBorders>
              <w:top w:val="nil"/>
              <w:left w:val="nil"/>
              <w:bottom w:val="single" w:sz="8" w:space="0" w:color="auto"/>
              <w:right w:val="nil"/>
            </w:tcBorders>
            <w:shd w:val="clear" w:color="auto" w:fill="auto"/>
            <w:noWrap/>
            <w:vAlign w:val="center"/>
            <w:hideMark/>
          </w:tcPr>
          <w:p w14:paraId="6B8B9154"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1,9</w:t>
            </w:r>
          </w:p>
        </w:tc>
        <w:tc>
          <w:tcPr>
            <w:tcW w:w="709" w:type="dxa"/>
            <w:tcBorders>
              <w:top w:val="nil"/>
              <w:left w:val="nil"/>
              <w:bottom w:val="single" w:sz="8" w:space="0" w:color="auto"/>
              <w:right w:val="nil"/>
            </w:tcBorders>
            <w:shd w:val="clear" w:color="auto" w:fill="auto"/>
            <w:noWrap/>
            <w:vAlign w:val="center"/>
            <w:hideMark/>
          </w:tcPr>
          <w:p w14:paraId="64533E9F"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0,5</w:t>
            </w:r>
          </w:p>
        </w:tc>
        <w:tc>
          <w:tcPr>
            <w:tcW w:w="1134" w:type="dxa"/>
            <w:tcBorders>
              <w:top w:val="nil"/>
              <w:left w:val="nil"/>
              <w:bottom w:val="single" w:sz="8" w:space="0" w:color="auto"/>
              <w:right w:val="nil"/>
            </w:tcBorders>
            <w:shd w:val="clear" w:color="auto" w:fill="auto"/>
            <w:noWrap/>
            <w:vAlign w:val="center"/>
            <w:hideMark/>
          </w:tcPr>
          <w:p w14:paraId="68964462"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0,5</w:t>
            </w:r>
          </w:p>
        </w:tc>
      </w:tr>
      <w:tr w:rsidR="00D37A31" w:rsidRPr="00887108" w14:paraId="0A2281D9" w14:textId="77777777" w:rsidTr="00E9118E">
        <w:trPr>
          <w:trHeight w:val="312"/>
        </w:trPr>
        <w:tc>
          <w:tcPr>
            <w:tcW w:w="3261" w:type="dxa"/>
            <w:tcBorders>
              <w:top w:val="nil"/>
              <w:left w:val="nil"/>
              <w:bottom w:val="nil"/>
              <w:right w:val="nil"/>
            </w:tcBorders>
            <w:shd w:val="clear" w:color="auto" w:fill="auto"/>
            <w:noWrap/>
            <w:vAlign w:val="center"/>
            <w:hideMark/>
          </w:tcPr>
          <w:p w14:paraId="575E6A4C" w14:textId="77777777" w:rsidR="00D37A31" w:rsidRPr="00887108" w:rsidRDefault="00D37A31" w:rsidP="00E9118E">
            <w:pPr>
              <w:rPr>
                <w:rFonts w:cs="Times New Roman"/>
                <w:color w:val="000000"/>
                <w:sz w:val="18"/>
                <w:szCs w:val="18"/>
              </w:rPr>
            </w:pPr>
            <w:r w:rsidRPr="00887108">
              <w:rPr>
                <w:rFonts w:cs="Times New Roman"/>
                <w:color w:val="000000"/>
                <w:sz w:val="18"/>
                <w:szCs w:val="18"/>
              </w:rPr>
              <w:t>Všeobecná úniková klauzula</w:t>
            </w:r>
          </w:p>
        </w:tc>
        <w:tc>
          <w:tcPr>
            <w:tcW w:w="992" w:type="dxa"/>
            <w:tcBorders>
              <w:top w:val="nil"/>
              <w:left w:val="nil"/>
              <w:bottom w:val="nil"/>
              <w:right w:val="nil"/>
            </w:tcBorders>
            <w:shd w:val="clear" w:color="auto" w:fill="auto"/>
            <w:noWrap/>
            <w:vAlign w:val="center"/>
            <w:hideMark/>
          </w:tcPr>
          <w:p w14:paraId="5C20BB07" w14:textId="77777777" w:rsidR="00D37A31" w:rsidRPr="00887108" w:rsidRDefault="00D37A31" w:rsidP="00E9118E">
            <w:pPr>
              <w:rPr>
                <w:rFonts w:cs="Times New Roman"/>
                <w:color w:val="000000"/>
                <w:sz w:val="18"/>
                <w:szCs w:val="18"/>
              </w:rPr>
            </w:pPr>
          </w:p>
        </w:tc>
        <w:tc>
          <w:tcPr>
            <w:tcW w:w="992" w:type="dxa"/>
            <w:tcBorders>
              <w:top w:val="nil"/>
              <w:left w:val="nil"/>
              <w:bottom w:val="nil"/>
              <w:right w:val="nil"/>
            </w:tcBorders>
            <w:shd w:val="clear" w:color="auto" w:fill="auto"/>
            <w:noWrap/>
            <w:vAlign w:val="center"/>
            <w:hideMark/>
          </w:tcPr>
          <w:p w14:paraId="6EB3D814" w14:textId="77777777" w:rsidR="00D37A31" w:rsidRPr="00887108" w:rsidRDefault="00D37A31" w:rsidP="00E9118E">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14:paraId="04755D9F"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-1,6</w:t>
            </w:r>
          </w:p>
        </w:tc>
        <w:tc>
          <w:tcPr>
            <w:tcW w:w="992" w:type="dxa"/>
            <w:tcBorders>
              <w:top w:val="nil"/>
              <w:left w:val="nil"/>
              <w:bottom w:val="nil"/>
              <w:right w:val="nil"/>
            </w:tcBorders>
            <w:shd w:val="clear" w:color="auto" w:fill="auto"/>
            <w:noWrap/>
            <w:vAlign w:val="center"/>
            <w:hideMark/>
          </w:tcPr>
          <w:p w14:paraId="25955509" w14:textId="77777777" w:rsidR="00D37A31" w:rsidRPr="00887108" w:rsidRDefault="00D37A31" w:rsidP="00E9118E">
            <w:pPr>
              <w:jc w:val="center"/>
              <w:rPr>
                <w:rFonts w:cs="Times New Roman"/>
                <w:color w:val="000000"/>
                <w:sz w:val="18"/>
                <w:szCs w:val="18"/>
              </w:rPr>
            </w:pPr>
          </w:p>
        </w:tc>
        <w:tc>
          <w:tcPr>
            <w:tcW w:w="709" w:type="dxa"/>
            <w:tcBorders>
              <w:top w:val="nil"/>
              <w:left w:val="nil"/>
              <w:bottom w:val="nil"/>
              <w:right w:val="nil"/>
            </w:tcBorders>
            <w:shd w:val="clear" w:color="auto" w:fill="auto"/>
            <w:noWrap/>
            <w:vAlign w:val="center"/>
            <w:hideMark/>
          </w:tcPr>
          <w:p w14:paraId="6CEBFD8D" w14:textId="77777777" w:rsidR="00D37A31" w:rsidRPr="00887108" w:rsidRDefault="00D37A31" w:rsidP="00E9118E">
            <w:pPr>
              <w:jc w:val="center"/>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46B0EC6" w14:textId="77777777" w:rsidR="00D37A31" w:rsidRPr="00887108" w:rsidRDefault="00D37A31" w:rsidP="00E9118E">
            <w:pPr>
              <w:jc w:val="center"/>
              <w:rPr>
                <w:rFonts w:ascii="Times New Roman" w:hAnsi="Times New Roman" w:cs="Times New Roman"/>
                <w:sz w:val="20"/>
                <w:szCs w:val="20"/>
              </w:rPr>
            </w:pPr>
          </w:p>
        </w:tc>
      </w:tr>
      <w:tr w:rsidR="00D37A31" w:rsidRPr="00887108" w14:paraId="162B5D46" w14:textId="77777777" w:rsidTr="00E9118E">
        <w:trPr>
          <w:trHeight w:val="324"/>
        </w:trPr>
        <w:tc>
          <w:tcPr>
            <w:tcW w:w="3261" w:type="dxa"/>
            <w:tcBorders>
              <w:top w:val="nil"/>
              <w:left w:val="nil"/>
              <w:bottom w:val="single" w:sz="8" w:space="0" w:color="auto"/>
              <w:right w:val="nil"/>
            </w:tcBorders>
            <w:shd w:val="clear" w:color="auto" w:fill="auto"/>
            <w:noWrap/>
            <w:vAlign w:val="center"/>
            <w:hideMark/>
          </w:tcPr>
          <w:p w14:paraId="68DC12FC" w14:textId="77777777" w:rsidR="00D37A31" w:rsidRPr="00887108" w:rsidRDefault="00D37A31" w:rsidP="00E9118E">
            <w:pPr>
              <w:rPr>
                <w:rFonts w:cs="Times New Roman"/>
                <w:color w:val="000000"/>
                <w:sz w:val="18"/>
                <w:szCs w:val="18"/>
              </w:rPr>
            </w:pPr>
            <w:r w:rsidRPr="00887108">
              <w:rPr>
                <w:rFonts w:cs="Times New Roman"/>
                <w:color w:val="000000"/>
                <w:sz w:val="18"/>
                <w:szCs w:val="18"/>
              </w:rPr>
              <w:t>Požadované konsolidačné úsilie**</w:t>
            </w:r>
          </w:p>
        </w:tc>
        <w:tc>
          <w:tcPr>
            <w:tcW w:w="992" w:type="dxa"/>
            <w:tcBorders>
              <w:top w:val="nil"/>
              <w:left w:val="nil"/>
              <w:bottom w:val="single" w:sz="8" w:space="0" w:color="auto"/>
              <w:right w:val="nil"/>
            </w:tcBorders>
            <w:shd w:val="clear" w:color="auto" w:fill="auto"/>
            <w:noWrap/>
            <w:vAlign w:val="center"/>
            <w:hideMark/>
          </w:tcPr>
          <w:p w14:paraId="5DD12D61"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0,5</w:t>
            </w:r>
          </w:p>
        </w:tc>
        <w:tc>
          <w:tcPr>
            <w:tcW w:w="992" w:type="dxa"/>
            <w:tcBorders>
              <w:top w:val="nil"/>
              <w:left w:val="nil"/>
              <w:bottom w:val="single" w:sz="8" w:space="0" w:color="auto"/>
              <w:right w:val="nil"/>
            </w:tcBorders>
            <w:shd w:val="clear" w:color="auto" w:fill="auto"/>
            <w:noWrap/>
            <w:vAlign w:val="center"/>
            <w:hideMark/>
          </w:tcPr>
          <w:p w14:paraId="3CC6C84B"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0,4</w:t>
            </w:r>
          </w:p>
        </w:tc>
        <w:tc>
          <w:tcPr>
            <w:tcW w:w="851" w:type="dxa"/>
            <w:tcBorders>
              <w:top w:val="nil"/>
              <w:left w:val="nil"/>
              <w:bottom w:val="single" w:sz="8" w:space="0" w:color="auto"/>
              <w:right w:val="nil"/>
            </w:tcBorders>
            <w:shd w:val="clear" w:color="auto" w:fill="auto"/>
            <w:noWrap/>
            <w:vAlign w:val="center"/>
            <w:hideMark/>
          </w:tcPr>
          <w:p w14:paraId="30FEA7DC"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992" w:type="dxa"/>
            <w:tcBorders>
              <w:top w:val="nil"/>
              <w:left w:val="nil"/>
              <w:bottom w:val="single" w:sz="8" w:space="0" w:color="auto"/>
              <w:right w:val="nil"/>
            </w:tcBorders>
            <w:shd w:val="clear" w:color="auto" w:fill="auto"/>
            <w:noWrap/>
            <w:vAlign w:val="center"/>
            <w:hideMark/>
          </w:tcPr>
          <w:p w14:paraId="347A68C2"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0,3</w:t>
            </w:r>
          </w:p>
        </w:tc>
        <w:tc>
          <w:tcPr>
            <w:tcW w:w="709" w:type="dxa"/>
            <w:tcBorders>
              <w:top w:val="nil"/>
              <w:left w:val="nil"/>
              <w:bottom w:val="single" w:sz="8" w:space="0" w:color="auto"/>
              <w:right w:val="nil"/>
            </w:tcBorders>
            <w:shd w:val="clear" w:color="auto" w:fill="auto"/>
            <w:noWrap/>
            <w:vAlign w:val="center"/>
            <w:hideMark/>
          </w:tcPr>
          <w:p w14:paraId="5711990A"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0,5</w:t>
            </w:r>
          </w:p>
        </w:tc>
        <w:tc>
          <w:tcPr>
            <w:tcW w:w="1134" w:type="dxa"/>
            <w:tcBorders>
              <w:top w:val="nil"/>
              <w:left w:val="nil"/>
              <w:bottom w:val="single" w:sz="8" w:space="0" w:color="auto"/>
              <w:right w:val="nil"/>
            </w:tcBorders>
            <w:shd w:val="clear" w:color="auto" w:fill="auto"/>
            <w:noWrap/>
            <w:vAlign w:val="center"/>
            <w:hideMark/>
          </w:tcPr>
          <w:p w14:paraId="5929082C"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0,5</w:t>
            </w:r>
          </w:p>
        </w:tc>
      </w:tr>
      <w:tr w:rsidR="00D37A31" w:rsidRPr="00887108" w14:paraId="1B2494FA" w14:textId="77777777" w:rsidTr="00D131F6">
        <w:trPr>
          <w:trHeight w:val="312"/>
        </w:trPr>
        <w:tc>
          <w:tcPr>
            <w:tcW w:w="3261" w:type="dxa"/>
            <w:tcBorders>
              <w:top w:val="nil"/>
              <w:left w:val="nil"/>
              <w:bottom w:val="nil"/>
              <w:right w:val="nil"/>
            </w:tcBorders>
            <w:shd w:val="clear" w:color="auto" w:fill="auto"/>
            <w:noWrap/>
            <w:vAlign w:val="center"/>
            <w:hideMark/>
          </w:tcPr>
          <w:p w14:paraId="18A5FF61" w14:textId="77777777" w:rsidR="00D37A31" w:rsidRPr="00887108" w:rsidRDefault="00D37A31" w:rsidP="00E9118E">
            <w:pPr>
              <w:rPr>
                <w:rFonts w:cs="Times New Roman"/>
                <w:b/>
                <w:bCs/>
                <w:color w:val="000000"/>
                <w:sz w:val="18"/>
                <w:szCs w:val="18"/>
              </w:rPr>
            </w:pPr>
            <w:r w:rsidRPr="00887108">
              <w:rPr>
                <w:rFonts w:cs="Times New Roman"/>
                <w:b/>
                <w:bCs/>
                <w:color w:val="000000"/>
                <w:sz w:val="18"/>
                <w:szCs w:val="18"/>
              </w:rPr>
              <w:t>Odchýlka (1r)*</w:t>
            </w:r>
          </w:p>
        </w:tc>
        <w:tc>
          <w:tcPr>
            <w:tcW w:w="992" w:type="dxa"/>
            <w:tcBorders>
              <w:top w:val="single" w:sz="4" w:space="0" w:color="auto"/>
              <w:left w:val="nil"/>
              <w:bottom w:val="nil"/>
              <w:right w:val="nil"/>
            </w:tcBorders>
            <w:shd w:val="clear" w:color="000000" w:fill="FFC7CE"/>
            <w:noWrap/>
            <w:vAlign w:val="center"/>
            <w:hideMark/>
          </w:tcPr>
          <w:p w14:paraId="3342E183" w14:textId="77777777" w:rsidR="00D37A31" w:rsidRPr="00887108" w:rsidRDefault="00D37A31" w:rsidP="00E9118E">
            <w:pPr>
              <w:jc w:val="center"/>
              <w:rPr>
                <w:rFonts w:cs="Times New Roman"/>
                <w:color w:val="9C0006"/>
                <w:sz w:val="18"/>
                <w:szCs w:val="18"/>
              </w:rPr>
            </w:pPr>
            <w:r w:rsidRPr="00887108">
              <w:rPr>
                <w:rFonts w:cs="Times New Roman"/>
                <w:color w:val="9C0006"/>
                <w:sz w:val="18"/>
                <w:szCs w:val="18"/>
              </w:rPr>
              <w:t>-0,8</w:t>
            </w:r>
          </w:p>
        </w:tc>
        <w:tc>
          <w:tcPr>
            <w:tcW w:w="992" w:type="dxa"/>
            <w:tcBorders>
              <w:top w:val="single" w:sz="4" w:space="0" w:color="auto"/>
              <w:left w:val="nil"/>
              <w:bottom w:val="nil"/>
              <w:right w:val="nil"/>
            </w:tcBorders>
            <w:shd w:val="clear" w:color="000000" w:fill="FFC7CE"/>
            <w:noWrap/>
            <w:vAlign w:val="center"/>
            <w:hideMark/>
          </w:tcPr>
          <w:p w14:paraId="27D23E0D" w14:textId="77777777" w:rsidR="00D37A31" w:rsidRPr="00887108" w:rsidRDefault="00D37A31" w:rsidP="00E9118E">
            <w:pPr>
              <w:jc w:val="center"/>
              <w:rPr>
                <w:rFonts w:cs="Times New Roman"/>
                <w:color w:val="9C0006"/>
                <w:sz w:val="18"/>
                <w:szCs w:val="18"/>
              </w:rPr>
            </w:pPr>
            <w:r w:rsidRPr="00887108">
              <w:rPr>
                <w:rFonts w:cs="Times New Roman"/>
                <w:color w:val="9C0006"/>
                <w:sz w:val="18"/>
                <w:szCs w:val="18"/>
              </w:rPr>
              <w:t>-0,5</w:t>
            </w:r>
          </w:p>
        </w:tc>
        <w:tc>
          <w:tcPr>
            <w:tcW w:w="851" w:type="dxa"/>
            <w:tcBorders>
              <w:top w:val="single" w:sz="4" w:space="0" w:color="auto"/>
              <w:left w:val="nil"/>
              <w:bottom w:val="nil"/>
              <w:right w:val="nil"/>
            </w:tcBorders>
            <w:shd w:val="clear" w:color="auto" w:fill="auto"/>
            <w:noWrap/>
            <w:vAlign w:val="center"/>
            <w:hideMark/>
          </w:tcPr>
          <w:p w14:paraId="47A33BEF" w14:textId="77777777" w:rsidR="00D37A31" w:rsidRPr="00887108" w:rsidRDefault="00D37A31" w:rsidP="00E9118E">
            <w:pPr>
              <w:jc w:val="center"/>
              <w:rPr>
                <w:rFonts w:cs="Times New Roman"/>
                <w:color w:val="808080"/>
                <w:sz w:val="18"/>
                <w:szCs w:val="18"/>
              </w:rPr>
            </w:pPr>
            <w:r w:rsidRPr="00887108">
              <w:rPr>
                <w:rFonts w:cs="Times New Roman"/>
                <w:color w:val="808080"/>
                <w:sz w:val="18"/>
                <w:szCs w:val="18"/>
              </w:rPr>
              <w:t> </w:t>
            </w:r>
          </w:p>
        </w:tc>
        <w:tc>
          <w:tcPr>
            <w:tcW w:w="992" w:type="dxa"/>
            <w:tcBorders>
              <w:top w:val="single" w:sz="4" w:space="0" w:color="auto"/>
              <w:left w:val="nil"/>
              <w:bottom w:val="nil"/>
              <w:right w:val="nil"/>
            </w:tcBorders>
            <w:shd w:val="clear" w:color="auto" w:fill="B0D6AF" w:themeFill="accent3"/>
            <w:noWrap/>
            <w:vAlign w:val="center"/>
            <w:hideMark/>
          </w:tcPr>
          <w:p w14:paraId="5C3F170A" w14:textId="60367128" w:rsidR="00D37A31" w:rsidRPr="00887108" w:rsidRDefault="00D37A31" w:rsidP="00E9118E">
            <w:pPr>
              <w:jc w:val="center"/>
              <w:rPr>
                <w:rFonts w:cs="Times New Roman"/>
                <w:color w:val="808080"/>
                <w:sz w:val="18"/>
                <w:szCs w:val="18"/>
              </w:rPr>
            </w:pPr>
            <w:r w:rsidRPr="00887108">
              <w:rPr>
                <w:rFonts w:cs="Times New Roman"/>
                <w:color w:val="006100"/>
                <w:sz w:val="18"/>
                <w:szCs w:val="18"/>
              </w:rPr>
              <w:t> </w:t>
            </w:r>
            <w:r w:rsidR="00D131F6" w:rsidRPr="00887108">
              <w:rPr>
                <w:rFonts w:cs="Times New Roman"/>
                <w:color w:val="006100"/>
                <w:sz w:val="18"/>
                <w:szCs w:val="18"/>
              </w:rPr>
              <w:t>0,0</w:t>
            </w:r>
          </w:p>
        </w:tc>
        <w:tc>
          <w:tcPr>
            <w:tcW w:w="709" w:type="dxa"/>
            <w:tcBorders>
              <w:top w:val="single" w:sz="4" w:space="0" w:color="auto"/>
              <w:left w:val="nil"/>
              <w:bottom w:val="nil"/>
              <w:right w:val="nil"/>
            </w:tcBorders>
            <w:shd w:val="clear" w:color="auto" w:fill="B0D6AF" w:themeFill="accent3"/>
            <w:noWrap/>
            <w:vAlign w:val="center"/>
            <w:hideMark/>
          </w:tcPr>
          <w:p w14:paraId="7B63C4F4" w14:textId="77777777" w:rsidR="00D37A31" w:rsidRPr="00887108" w:rsidRDefault="00D37A31" w:rsidP="00E9118E">
            <w:pPr>
              <w:jc w:val="center"/>
              <w:rPr>
                <w:rFonts w:cs="Times New Roman"/>
                <w:color w:val="006100"/>
                <w:sz w:val="18"/>
                <w:szCs w:val="18"/>
              </w:rPr>
            </w:pPr>
            <w:r w:rsidRPr="00887108">
              <w:rPr>
                <w:rFonts w:cs="Times New Roman"/>
                <w:color w:val="006100"/>
                <w:sz w:val="18"/>
                <w:szCs w:val="18"/>
              </w:rPr>
              <w:t>0,0</w:t>
            </w:r>
          </w:p>
        </w:tc>
        <w:tc>
          <w:tcPr>
            <w:tcW w:w="1134" w:type="dxa"/>
            <w:tcBorders>
              <w:top w:val="single" w:sz="4" w:space="0" w:color="auto"/>
              <w:left w:val="nil"/>
              <w:bottom w:val="nil"/>
              <w:right w:val="nil"/>
            </w:tcBorders>
            <w:shd w:val="clear" w:color="auto" w:fill="B0D6AF" w:themeFill="accent3"/>
            <w:noWrap/>
            <w:vAlign w:val="center"/>
            <w:hideMark/>
          </w:tcPr>
          <w:p w14:paraId="3D87BB2D" w14:textId="41E6BF24" w:rsidR="00D37A31" w:rsidRPr="00887108" w:rsidRDefault="00835DF4" w:rsidP="00E9118E">
            <w:pPr>
              <w:jc w:val="center"/>
              <w:rPr>
                <w:rFonts w:cs="Times New Roman"/>
                <w:color w:val="006100"/>
                <w:sz w:val="18"/>
                <w:szCs w:val="18"/>
              </w:rPr>
            </w:pPr>
            <w:r w:rsidRPr="00887108">
              <w:rPr>
                <w:rFonts w:cs="Times New Roman"/>
                <w:color w:val="006100"/>
                <w:sz w:val="18"/>
                <w:szCs w:val="18"/>
              </w:rPr>
              <w:t>0,0</w:t>
            </w:r>
          </w:p>
        </w:tc>
      </w:tr>
      <w:tr w:rsidR="00D37A31" w:rsidRPr="00887108" w14:paraId="27DB846F" w14:textId="77777777" w:rsidTr="00D131F6">
        <w:trPr>
          <w:trHeight w:val="324"/>
        </w:trPr>
        <w:tc>
          <w:tcPr>
            <w:tcW w:w="3261" w:type="dxa"/>
            <w:tcBorders>
              <w:top w:val="nil"/>
              <w:left w:val="nil"/>
              <w:bottom w:val="single" w:sz="8" w:space="0" w:color="auto"/>
              <w:right w:val="nil"/>
            </w:tcBorders>
            <w:shd w:val="clear" w:color="auto" w:fill="auto"/>
            <w:noWrap/>
            <w:vAlign w:val="center"/>
            <w:hideMark/>
          </w:tcPr>
          <w:p w14:paraId="6573F650" w14:textId="77777777" w:rsidR="00D37A31" w:rsidRPr="00887108" w:rsidRDefault="00D37A31" w:rsidP="00E9118E">
            <w:pPr>
              <w:rPr>
                <w:rFonts w:cs="Times New Roman"/>
                <w:b/>
                <w:bCs/>
                <w:color w:val="000000"/>
                <w:sz w:val="18"/>
                <w:szCs w:val="18"/>
              </w:rPr>
            </w:pPr>
            <w:r w:rsidRPr="00887108">
              <w:rPr>
                <w:rFonts w:cs="Times New Roman"/>
                <w:b/>
                <w:bCs/>
                <w:color w:val="000000"/>
                <w:sz w:val="18"/>
                <w:szCs w:val="18"/>
              </w:rPr>
              <w:t>Odchýlka (2r)*</w:t>
            </w:r>
          </w:p>
        </w:tc>
        <w:tc>
          <w:tcPr>
            <w:tcW w:w="992" w:type="dxa"/>
            <w:tcBorders>
              <w:top w:val="nil"/>
              <w:left w:val="nil"/>
              <w:bottom w:val="single" w:sz="8" w:space="0" w:color="auto"/>
              <w:right w:val="nil"/>
            </w:tcBorders>
            <w:shd w:val="clear" w:color="000000" w:fill="FFEB9C"/>
            <w:noWrap/>
            <w:vAlign w:val="center"/>
            <w:hideMark/>
          </w:tcPr>
          <w:p w14:paraId="2CBD3D72" w14:textId="77777777" w:rsidR="00D37A31" w:rsidRPr="00887108" w:rsidRDefault="00D37A31" w:rsidP="00E9118E">
            <w:pPr>
              <w:jc w:val="center"/>
              <w:rPr>
                <w:rFonts w:cs="Times New Roman"/>
                <w:color w:val="9C6500"/>
                <w:sz w:val="18"/>
                <w:szCs w:val="18"/>
              </w:rPr>
            </w:pPr>
            <w:r w:rsidRPr="00887108">
              <w:rPr>
                <w:rFonts w:cs="Times New Roman"/>
                <w:color w:val="9C6500"/>
                <w:sz w:val="18"/>
                <w:szCs w:val="18"/>
              </w:rPr>
              <w:t>-0,2</w:t>
            </w:r>
          </w:p>
        </w:tc>
        <w:tc>
          <w:tcPr>
            <w:tcW w:w="992" w:type="dxa"/>
            <w:tcBorders>
              <w:top w:val="nil"/>
              <w:left w:val="nil"/>
              <w:bottom w:val="single" w:sz="8" w:space="0" w:color="auto"/>
              <w:right w:val="nil"/>
            </w:tcBorders>
            <w:shd w:val="clear" w:color="000000" w:fill="FFC7CE"/>
            <w:noWrap/>
            <w:vAlign w:val="center"/>
            <w:hideMark/>
          </w:tcPr>
          <w:p w14:paraId="72EB04D8" w14:textId="77777777" w:rsidR="00D37A31" w:rsidRPr="00887108" w:rsidRDefault="00D37A31" w:rsidP="00E9118E">
            <w:pPr>
              <w:jc w:val="center"/>
              <w:rPr>
                <w:rFonts w:cs="Times New Roman"/>
                <w:color w:val="9C0006"/>
                <w:sz w:val="18"/>
                <w:szCs w:val="18"/>
              </w:rPr>
            </w:pPr>
            <w:r w:rsidRPr="00887108">
              <w:rPr>
                <w:rFonts w:cs="Times New Roman"/>
                <w:color w:val="9C0006"/>
                <w:sz w:val="18"/>
                <w:szCs w:val="18"/>
              </w:rPr>
              <w:t>-0,7</w:t>
            </w:r>
          </w:p>
        </w:tc>
        <w:tc>
          <w:tcPr>
            <w:tcW w:w="851" w:type="dxa"/>
            <w:tcBorders>
              <w:top w:val="nil"/>
              <w:left w:val="nil"/>
              <w:bottom w:val="single" w:sz="8" w:space="0" w:color="auto"/>
              <w:right w:val="nil"/>
            </w:tcBorders>
            <w:shd w:val="clear" w:color="auto" w:fill="auto"/>
            <w:noWrap/>
            <w:vAlign w:val="center"/>
            <w:hideMark/>
          </w:tcPr>
          <w:p w14:paraId="3D25C8C8" w14:textId="77777777" w:rsidR="00D37A31" w:rsidRPr="00887108" w:rsidRDefault="00D37A31" w:rsidP="00E9118E">
            <w:pPr>
              <w:jc w:val="center"/>
              <w:rPr>
                <w:rFonts w:cs="Times New Roman"/>
                <w:color w:val="808080"/>
                <w:sz w:val="18"/>
                <w:szCs w:val="18"/>
              </w:rPr>
            </w:pPr>
            <w:r w:rsidRPr="00887108">
              <w:rPr>
                <w:rFonts w:cs="Times New Roman"/>
                <w:color w:val="808080"/>
                <w:sz w:val="18"/>
                <w:szCs w:val="18"/>
              </w:rPr>
              <w:t> </w:t>
            </w:r>
          </w:p>
        </w:tc>
        <w:tc>
          <w:tcPr>
            <w:tcW w:w="992" w:type="dxa"/>
            <w:tcBorders>
              <w:top w:val="nil"/>
              <w:left w:val="nil"/>
              <w:bottom w:val="single" w:sz="8" w:space="0" w:color="auto"/>
              <w:right w:val="nil"/>
            </w:tcBorders>
            <w:shd w:val="clear" w:color="auto" w:fill="B0D6AF" w:themeFill="accent3"/>
            <w:noWrap/>
            <w:vAlign w:val="center"/>
            <w:hideMark/>
          </w:tcPr>
          <w:p w14:paraId="6D94734D" w14:textId="2E58C5D1" w:rsidR="00D37A31" w:rsidRPr="00887108" w:rsidRDefault="00D37A31" w:rsidP="00E9118E">
            <w:pPr>
              <w:jc w:val="center"/>
              <w:rPr>
                <w:rFonts w:cs="Times New Roman"/>
                <w:color w:val="808080"/>
                <w:sz w:val="18"/>
                <w:szCs w:val="18"/>
              </w:rPr>
            </w:pPr>
            <w:r w:rsidRPr="00887108">
              <w:rPr>
                <w:rFonts w:cs="Times New Roman"/>
                <w:color w:val="808080"/>
                <w:sz w:val="18"/>
                <w:szCs w:val="18"/>
              </w:rPr>
              <w:t> </w:t>
            </w:r>
            <w:r w:rsidR="006053BA" w:rsidRPr="00887108">
              <w:rPr>
                <w:rFonts w:cs="Times New Roman"/>
                <w:color w:val="808080"/>
                <w:sz w:val="18"/>
                <w:szCs w:val="18"/>
              </w:rPr>
              <w:t>-</w:t>
            </w:r>
          </w:p>
        </w:tc>
        <w:tc>
          <w:tcPr>
            <w:tcW w:w="709" w:type="dxa"/>
            <w:tcBorders>
              <w:top w:val="nil"/>
              <w:left w:val="nil"/>
              <w:bottom w:val="single" w:sz="8" w:space="0" w:color="auto"/>
              <w:right w:val="nil"/>
            </w:tcBorders>
            <w:shd w:val="clear" w:color="auto" w:fill="B0D6AF" w:themeFill="accent3"/>
            <w:noWrap/>
            <w:vAlign w:val="center"/>
            <w:hideMark/>
          </w:tcPr>
          <w:p w14:paraId="73183839" w14:textId="6EB61427" w:rsidR="00D37A31" w:rsidRPr="00887108" w:rsidRDefault="006053BA" w:rsidP="00E9118E">
            <w:pPr>
              <w:jc w:val="center"/>
              <w:rPr>
                <w:rFonts w:cs="Times New Roman"/>
                <w:color w:val="006100"/>
                <w:sz w:val="18"/>
                <w:szCs w:val="18"/>
              </w:rPr>
            </w:pPr>
            <w:r w:rsidRPr="00887108">
              <w:rPr>
                <w:rFonts w:cs="Times New Roman"/>
                <w:color w:val="006100"/>
                <w:sz w:val="18"/>
                <w:szCs w:val="18"/>
              </w:rPr>
              <w:t>0,0</w:t>
            </w:r>
          </w:p>
        </w:tc>
        <w:tc>
          <w:tcPr>
            <w:tcW w:w="1134" w:type="dxa"/>
            <w:tcBorders>
              <w:top w:val="nil"/>
              <w:left w:val="nil"/>
              <w:bottom w:val="single" w:sz="8" w:space="0" w:color="auto"/>
              <w:right w:val="nil"/>
            </w:tcBorders>
            <w:shd w:val="clear" w:color="auto" w:fill="B0D6AF" w:themeFill="accent3"/>
            <w:noWrap/>
            <w:vAlign w:val="center"/>
            <w:hideMark/>
          </w:tcPr>
          <w:p w14:paraId="0331C83D" w14:textId="77777777" w:rsidR="00D37A31" w:rsidRPr="00887108" w:rsidRDefault="00D37A31" w:rsidP="00E9118E">
            <w:pPr>
              <w:jc w:val="center"/>
              <w:rPr>
                <w:rFonts w:cs="Times New Roman"/>
                <w:color w:val="006100"/>
                <w:sz w:val="18"/>
                <w:szCs w:val="18"/>
              </w:rPr>
            </w:pPr>
            <w:r w:rsidRPr="00887108">
              <w:rPr>
                <w:rFonts w:cs="Times New Roman"/>
                <w:color w:val="006100"/>
                <w:sz w:val="18"/>
                <w:szCs w:val="18"/>
              </w:rPr>
              <w:t>0,0</w:t>
            </w:r>
          </w:p>
        </w:tc>
      </w:tr>
    </w:tbl>
    <w:p w14:paraId="2B74599D" w14:textId="77777777" w:rsidR="00D37A31" w:rsidRPr="00887108" w:rsidRDefault="00D37A31" w:rsidP="00D37A31">
      <w:pPr>
        <w:jc w:val="both"/>
        <w:rPr>
          <w:rFonts w:eastAsiaTheme="minorHAnsi" w:cstheme="minorBidi"/>
          <w:bCs/>
          <w:color w:val="2C9ADC" w:themeColor="accent1"/>
          <w:sz w:val="20"/>
          <w:szCs w:val="20"/>
          <w:lang w:eastAsia="en-US"/>
        </w:rPr>
      </w:pPr>
    </w:p>
    <w:p w14:paraId="299EAADD" w14:textId="1EA9AF48" w:rsidR="00D37A31" w:rsidRPr="00887108" w:rsidRDefault="00D37A31" w:rsidP="00D37A31">
      <w:pPr>
        <w:widowControl w:val="0"/>
        <w:jc w:val="both"/>
        <w:rPr>
          <w:i/>
          <w:sz w:val="16"/>
          <w:szCs w:val="16"/>
        </w:rPr>
      </w:pPr>
      <w:r w:rsidRPr="00887108">
        <w:rPr>
          <w:i/>
          <w:sz w:val="16"/>
          <w:szCs w:val="16"/>
        </w:rPr>
        <w:t>* Odchýlky v roku 2018 vychádzajú zo „zafixovaných“ hodnôt z jarného hodnotenia Európskej komisie v roku 2019. Plnenie pravidla sa nehodnotí v roku 2020 z dôvodu pandémie koronavírusu.</w:t>
      </w:r>
    </w:p>
    <w:p w14:paraId="470D970F" w14:textId="38983861" w:rsidR="00D37A31" w:rsidRPr="00887108" w:rsidRDefault="00D37A31" w:rsidP="00D37A31">
      <w:pPr>
        <w:widowControl w:val="0"/>
        <w:jc w:val="both"/>
        <w:rPr>
          <w:i/>
          <w:sz w:val="16"/>
          <w:szCs w:val="16"/>
        </w:rPr>
      </w:pPr>
      <w:r w:rsidRPr="00887108">
        <w:rPr>
          <w:i/>
          <w:sz w:val="16"/>
          <w:szCs w:val="16"/>
        </w:rPr>
        <w:t xml:space="preserve">** Ide o predpokladanú </w:t>
      </w:r>
      <w:r w:rsidR="00987C6C" w:rsidRPr="00887108">
        <w:rPr>
          <w:i/>
          <w:sz w:val="16"/>
          <w:szCs w:val="16"/>
        </w:rPr>
        <w:t>konsolidáciu</w:t>
      </w:r>
      <w:r w:rsidRPr="00887108">
        <w:rPr>
          <w:i/>
          <w:sz w:val="16"/>
          <w:szCs w:val="16"/>
        </w:rPr>
        <w:t xml:space="preserve"> MF SR, EK nám môže stanoviť inú konsolidáciu, keďže sa bude Slovensko nachádzať v korektívnej časti Paktu.</w:t>
      </w:r>
    </w:p>
    <w:p w14:paraId="6F68EBD2" w14:textId="77777777" w:rsidR="00D37A31" w:rsidRPr="00887108" w:rsidRDefault="00D37A31" w:rsidP="00D37A31">
      <w:pPr>
        <w:spacing w:after="160" w:line="259" w:lineRule="auto"/>
        <w:jc w:val="right"/>
        <w:rPr>
          <w:b/>
          <w:color w:val="2C9ADC" w:themeColor="accent1"/>
          <w:sz w:val="24"/>
          <w:highlight w:val="yellow"/>
        </w:rPr>
      </w:pPr>
      <w:r w:rsidRPr="00887108">
        <w:rPr>
          <w:rFonts w:cs="Times New Roman"/>
          <w:i/>
          <w:iCs/>
          <w:color w:val="000000"/>
          <w:sz w:val="16"/>
          <w:szCs w:val="16"/>
        </w:rPr>
        <w:t>Zdroj: MF SR</w:t>
      </w:r>
      <w:r w:rsidRPr="00887108">
        <w:rPr>
          <w:b/>
          <w:color w:val="2C9ADC" w:themeColor="accent1"/>
          <w:sz w:val="24"/>
          <w:highlight w:val="yellow"/>
        </w:rPr>
        <w:t xml:space="preserve"> </w:t>
      </w:r>
      <w:r w:rsidRPr="00887108">
        <w:rPr>
          <w:b/>
          <w:color w:val="2C9ADC" w:themeColor="accent1"/>
          <w:sz w:val="24"/>
          <w:highlight w:val="yellow"/>
        </w:rPr>
        <w:br w:type="page"/>
      </w:r>
    </w:p>
    <w:p w14:paraId="272BBB2C" w14:textId="01AFA741" w:rsidR="00D37A31" w:rsidRPr="00887108" w:rsidRDefault="00D37A31" w:rsidP="00D37A31">
      <w:pPr>
        <w:pStyle w:val="Nadpis3"/>
        <w:spacing w:after="120"/>
        <w:rPr>
          <w:color w:val="2C9ADC" w:themeColor="accent1"/>
          <w:sz w:val="24"/>
          <w:szCs w:val="24"/>
        </w:rPr>
      </w:pPr>
      <w:bookmarkStart w:id="172" w:name="_Ref6313757"/>
      <w:r w:rsidRPr="00887108">
        <w:rPr>
          <w:color w:val="2C9ADC" w:themeColor="accent1"/>
          <w:sz w:val="24"/>
          <w:szCs w:val="24"/>
        </w:rPr>
        <w:t xml:space="preserve">Príloha </w:t>
      </w:r>
      <w:r w:rsidR="00A918CA" w:rsidRPr="00887108">
        <w:rPr>
          <w:color w:val="2C9ADC" w:themeColor="accent1"/>
          <w:sz w:val="24"/>
          <w:szCs w:val="24"/>
        </w:rPr>
        <w:t>5</w:t>
      </w:r>
      <w:r w:rsidRPr="00887108">
        <w:rPr>
          <w:color w:val="2C9ADC" w:themeColor="accent1"/>
          <w:sz w:val="24"/>
          <w:szCs w:val="24"/>
        </w:rPr>
        <w:t xml:space="preserve"> - Výdavkové pravidlo</w:t>
      </w:r>
      <w:bookmarkEnd w:id="172"/>
    </w:p>
    <w:p w14:paraId="751B5A7E" w14:textId="656F5A0C" w:rsidR="00D37A31" w:rsidRPr="00887108" w:rsidRDefault="00D37A31" w:rsidP="00D37A31">
      <w:pPr>
        <w:pStyle w:val="NormalList"/>
        <w:spacing w:after="240"/>
      </w:pPr>
      <w:r w:rsidRPr="00887108">
        <w:rPr>
          <w:rFonts w:cs="Arial Narrow"/>
          <w:b/>
        </w:rPr>
        <w:t xml:space="preserve">Druhým pilierom preventívnej </w:t>
      </w:r>
      <w:r w:rsidRPr="00887108">
        <w:rPr>
          <w:b/>
        </w:rPr>
        <w:t>č</w:t>
      </w:r>
      <w:r w:rsidRPr="00887108">
        <w:rPr>
          <w:rFonts w:cs="Arial Narrow"/>
          <w:b/>
        </w:rPr>
        <w:t xml:space="preserve">asti Paktu je výdavkové pravidlo, ktoré je v porovnaní s pravidlom </w:t>
      </w:r>
      <w:r w:rsidR="00987C6C" w:rsidRPr="00887108">
        <w:rPr>
          <w:rFonts w:cs="Arial Narrow"/>
          <w:b/>
        </w:rPr>
        <w:t>štrukturálneho</w:t>
      </w:r>
      <w:r w:rsidRPr="00887108">
        <w:rPr>
          <w:rFonts w:cs="Arial Narrow"/>
          <w:b/>
        </w:rPr>
        <w:t xml:space="preserve"> salda proti-cyklickejším indikátorom, pričom významnejšie zohľadňuje vplyvy pod kontrolou vlády</w:t>
      </w:r>
      <w:r w:rsidRPr="00887108">
        <w:rPr>
          <w:rFonts w:cs="Arial Narrow"/>
        </w:rPr>
        <w:t>. Podľa neho nemajú rásť výdavky VS (očistené o položky mimo kontroly vlády a nové príjmové opatrenia</w:t>
      </w:r>
      <w:r w:rsidRPr="00887108">
        <w:rPr>
          <w:rStyle w:val="Odkaznapoznmkupodiarou"/>
          <w:lang w:val="sk-SK"/>
        </w:rPr>
        <w:footnoteReference w:id="85"/>
      </w:r>
      <w:r w:rsidRPr="00887108">
        <w:rPr>
          <w:rFonts w:cs="Arial Narrow"/>
        </w:rPr>
        <w:t>) rýchlejšie ako strednodobý potenciálny rast ekonomiky</w:t>
      </w:r>
      <w:r w:rsidRPr="00887108">
        <w:rPr>
          <w:rStyle w:val="Odkaznapoznmkupodiarou"/>
          <w:lang w:val="sk-SK"/>
        </w:rPr>
        <w:footnoteReference w:id="86"/>
      </w:r>
      <w:r w:rsidRPr="00887108">
        <w:t>.</w:t>
      </w:r>
      <w:r w:rsidRPr="00887108">
        <w:rPr>
          <w:rFonts w:cs="Arial Narrow"/>
        </w:rPr>
        <w:t xml:space="preserve"> Výdavkové pravidlo zároveň abstrahuje od ponukových šokov do ekonomiky – aký zažívame aj v aktuálnom roku, a od odlišnej než štandardnej (priemernej) dynamiky výberu daní</w:t>
      </w:r>
      <w:r w:rsidRPr="00887108">
        <w:rPr>
          <w:rStyle w:val="Odkaznapoznmkupodiarou"/>
          <w:lang w:val="sk-SK"/>
        </w:rPr>
        <w:footnoteReference w:id="87"/>
      </w:r>
      <w:r w:rsidRPr="00887108">
        <w:rPr>
          <w:rFonts w:cs="Arial Narrow"/>
        </w:rPr>
        <w:t>. V dobrých časoch, kedy daňovo-odvodové príjmy rastú rýchlejšie ako HDP a zlepšujú fiškálnu pozíciu vo výraznejšej miere, je výdavkové pravidlo v porovnaní so štrukturálnym saldom prísnejším a viac proti-cyklickým indikátorom pre hodnotenie konsolidačného úsilia. V horších časoch naopak ponúka väčší priestor na stabilizáciu ekonomiky.</w:t>
      </w:r>
    </w:p>
    <w:p w14:paraId="356B940D" w14:textId="35376823" w:rsidR="00D37A31" w:rsidRPr="00887108" w:rsidRDefault="00D37A31" w:rsidP="00D37A31">
      <w:pPr>
        <w:spacing w:after="240"/>
        <w:jc w:val="both"/>
      </w:pPr>
      <w:r w:rsidRPr="00887108">
        <w:rPr>
          <w:b/>
        </w:rPr>
        <w:t>Výdavkové pravidlo identifikuje v rokoch 2018 a 2019 ešte výraznejšie odchýlenie od smerovania k MTO ako vývoj štrukturálneho salda</w:t>
      </w:r>
      <w:r w:rsidRPr="00887108">
        <w:t xml:space="preserve">. Jednoročné odchýlenie v roku 2019 vo výdavkovom pravidle je v porovnaní s odchýlením v štrukturálnom salde až o 0,7 p. b. HDP vyššie. </w:t>
      </w:r>
    </w:p>
    <w:p w14:paraId="7B1B8F5C" w14:textId="3C319DA9" w:rsidR="00D37A31" w:rsidRPr="00887108" w:rsidRDefault="00D37A31" w:rsidP="00D37A31">
      <w:pPr>
        <w:widowControl w:val="0"/>
        <w:spacing w:after="240"/>
        <w:jc w:val="both"/>
        <w:rPr>
          <w:b/>
        </w:rPr>
      </w:pPr>
      <w:r w:rsidRPr="00887108">
        <w:rPr>
          <w:b/>
        </w:rPr>
        <w:t>V roku 2020 sa predpokladá medziročný reálny rast upravených výdavkov na úrovni 5,</w:t>
      </w:r>
      <w:r w:rsidR="0040703B" w:rsidRPr="00887108">
        <w:rPr>
          <w:b/>
        </w:rPr>
        <w:t>6</w:t>
      </w:r>
      <w:r w:rsidRPr="00887108">
        <w:rPr>
          <w:b/>
        </w:rPr>
        <w:t xml:space="preserve"> %.</w:t>
      </w:r>
      <w:r w:rsidRPr="00887108">
        <w:t xml:space="preserve"> V aktuálnom roku vláda ohlásila balík opatrení na boj proti korona vírusu a podporu ekonomiky, ktorý spôsobuje výrazný dodatočný nárast výdavkového agregátu </w:t>
      </w:r>
      <w:r w:rsidR="0040703B" w:rsidRPr="00887108">
        <w:t>takmer</w:t>
      </w:r>
      <w:r w:rsidRPr="00887108">
        <w:t xml:space="preserve"> o </w:t>
      </w:r>
      <w:r w:rsidR="0040703B" w:rsidRPr="00887108">
        <w:t>7</w:t>
      </w:r>
      <w:r w:rsidRPr="00887108">
        <w:t xml:space="preserve"> p. b. (celkovo by tak rast predstavoval až 12,</w:t>
      </w:r>
      <w:r w:rsidR="0040703B" w:rsidRPr="00887108">
        <w:t>4</w:t>
      </w:r>
      <w:r w:rsidRPr="00887108">
        <w:t xml:space="preserve"> %)</w:t>
      </w:r>
      <w:r w:rsidR="00966014" w:rsidRPr="00887108">
        <w:rPr>
          <w:rStyle w:val="Odkaznapoznmkupodiarou"/>
          <w:lang w:val="sk-SK"/>
        </w:rPr>
        <w:footnoteReference w:id="88"/>
      </w:r>
      <w:r w:rsidRPr="00887108">
        <w:t>. Tento vplyv je však z výdavkového agregátu očistený cez jednorazové výdavkové a príjmové opatrenia.</w:t>
      </w:r>
    </w:p>
    <w:p w14:paraId="7BC2563B" w14:textId="3B3ECE4D" w:rsidR="00D37A31" w:rsidRPr="00887108" w:rsidRDefault="00D37A31" w:rsidP="00D37A31">
      <w:pPr>
        <w:pStyle w:val="Popis"/>
        <w:keepNext/>
        <w:spacing w:after="0"/>
        <w:rPr>
          <w:sz w:val="20"/>
          <w:szCs w:val="20"/>
        </w:rPr>
      </w:pPr>
      <w:bookmarkStart w:id="173" w:name="_Toc40186693"/>
      <w:r w:rsidRPr="00887108">
        <w:rPr>
          <w:rFonts w:eastAsiaTheme="minorHAnsi"/>
          <w:color w:val="2C9ADC"/>
          <w:sz w:val="20"/>
          <w:szCs w:val="20"/>
          <w:lang w:eastAsia="en-US"/>
        </w:rPr>
        <w:t xml:space="preserve">TABUĽKA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TABUĽKA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16</w:t>
      </w:r>
      <w:r w:rsidRPr="00887108">
        <w:rPr>
          <w:rFonts w:eastAsiaTheme="minorHAnsi"/>
          <w:color w:val="2C9ADC"/>
          <w:sz w:val="20"/>
          <w:szCs w:val="20"/>
          <w:lang w:eastAsia="en-US"/>
        </w:rPr>
        <w:fldChar w:fldCharType="end"/>
      </w:r>
      <w:r w:rsidRPr="00887108">
        <w:rPr>
          <w:sz w:val="20"/>
          <w:szCs w:val="20"/>
        </w:rPr>
        <w:t xml:space="preserve"> - Výdavkové pravidlo</w:t>
      </w:r>
      <w:bookmarkEnd w:id="173"/>
    </w:p>
    <w:tbl>
      <w:tblPr>
        <w:tblW w:w="9132" w:type="dxa"/>
        <w:tblLayout w:type="fixed"/>
        <w:tblCellMar>
          <w:left w:w="70" w:type="dxa"/>
          <w:right w:w="70" w:type="dxa"/>
        </w:tblCellMar>
        <w:tblLook w:val="04A0" w:firstRow="1" w:lastRow="0" w:firstColumn="1" w:lastColumn="0" w:noHBand="0" w:noVBand="1"/>
      </w:tblPr>
      <w:tblGrid>
        <w:gridCol w:w="5560"/>
        <w:gridCol w:w="1190"/>
        <w:gridCol w:w="1192"/>
        <w:gridCol w:w="1190"/>
      </w:tblGrid>
      <w:tr w:rsidR="00126F33" w:rsidRPr="00887108" w14:paraId="600B715D" w14:textId="77777777" w:rsidTr="00475EA2">
        <w:trPr>
          <w:trHeight w:val="57"/>
        </w:trPr>
        <w:tc>
          <w:tcPr>
            <w:tcW w:w="5560" w:type="dxa"/>
            <w:tcBorders>
              <w:top w:val="single" w:sz="4" w:space="0" w:color="auto"/>
              <w:left w:val="nil"/>
              <w:bottom w:val="single" w:sz="4" w:space="0" w:color="auto"/>
              <w:right w:val="nil"/>
            </w:tcBorders>
            <w:shd w:val="clear" w:color="auto" w:fill="auto"/>
            <w:noWrap/>
            <w:vAlign w:val="bottom"/>
            <w:hideMark/>
          </w:tcPr>
          <w:p w14:paraId="697304DA" w14:textId="77777777" w:rsidR="00126F33" w:rsidRPr="00887108" w:rsidRDefault="00126F33" w:rsidP="00E9118E">
            <w:pPr>
              <w:rPr>
                <w:rFonts w:cs="Times New Roman"/>
                <w:b/>
                <w:bCs/>
                <w:color w:val="000000"/>
                <w:sz w:val="18"/>
                <w:szCs w:val="20"/>
              </w:rPr>
            </w:pPr>
            <w:r w:rsidRPr="00887108">
              <w:rPr>
                <w:rFonts w:cs="Times New Roman"/>
                <w:b/>
                <w:bCs/>
                <w:color w:val="000000"/>
                <w:sz w:val="18"/>
                <w:szCs w:val="20"/>
              </w:rPr>
              <w:t> </w:t>
            </w:r>
          </w:p>
        </w:tc>
        <w:tc>
          <w:tcPr>
            <w:tcW w:w="1190" w:type="dxa"/>
            <w:tcBorders>
              <w:top w:val="single" w:sz="4" w:space="0" w:color="auto"/>
              <w:left w:val="nil"/>
              <w:bottom w:val="single" w:sz="4" w:space="0" w:color="auto"/>
              <w:right w:val="nil"/>
            </w:tcBorders>
            <w:shd w:val="clear" w:color="auto" w:fill="auto"/>
            <w:noWrap/>
            <w:vAlign w:val="center"/>
            <w:hideMark/>
          </w:tcPr>
          <w:p w14:paraId="7C8E13DB" w14:textId="77777777" w:rsidR="00126F33" w:rsidRPr="00887108" w:rsidRDefault="00126F33" w:rsidP="00E9118E">
            <w:pPr>
              <w:jc w:val="right"/>
              <w:rPr>
                <w:rFonts w:cs="Times New Roman"/>
                <w:b/>
                <w:bCs/>
                <w:color w:val="000000"/>
                <w:sz w:val="18"/>
                <w:szCs w:val="20"/>
              </w:rPr>
            </w:pPr>
            <w:r w:rsidRPr="00887108">
              <w:rPr>
                <w:rFonts w:cs="Times New Roman"/>
                <w:b/>
                <w:bCs/>
                <w:color w:val="000000"/>
                <w:sz w:val="18"/>
                <w:szCs w:val="20"/>
              </w:rPr>
              <w:t>2018 S</w:t>
            </w:r>
          </w:p>
        </w:tc>
        <w:tc>
          <w:tcPr>
            <w:tcW w:w="1192" w:type="dxa"/>
            <w:tcBorders>
              <w:top w:val="single" w:sz="4" w:space="0" w:color="auto"/>
              <w:left w:val="nil"/>
              <w:bottom w:val="single" w:sz="4" w:space="0" w:color="auto"/>
              <w:right w:val="nil"/>
            </w:tcBorders>
            <w:shd w:val="clear" w:color="auto" w:fill="auto"/>
            <w:noWrap/>
            <w:vAlign w:val="center"/>
            <w:hideMark/>
          </w:tcPr>
          <w:p w14:paraId="719CB1A4" w14:textId="77777777" w:rsidR="00126F33" w:rsidRPr="00887108" w:rsidRDefault="00126F33" w:rsidP="00E9118E">
            <w:pPr>
              <w:jc w:val="right"/>
              <w:rPr>
                <w:rFonts w:cs="Times New Roman"/>
                <w:b/>
                <w:bCs/>
                <w:color w:val="000000"/>
                <w:sz w:val="18"/>
                <w:szCs w:val="20"/>
              </w:rPr>
            </w:pPr>
            <w:r w:rsidRPr="00887108">
              <w:rPr>
                <w:rFonts w:cs="Times New Roman"/>
                <w:b/>
                <w:bCs/>
                <w:color w:val="000000"/>
                <w:sz w:val="18"/>
                <w:szCs w:val="20"/>
              </w:rPr>
              <w:t>2019 S</w:t>
            </w:r>
          </w:p>
        </w:tc>
        <w:tc>
          <w:tcPr>
            <w:tcW w:w="1190" w:type="dxa"/>
            <w:tcBorders>
              <w:top w:val="single" w:sz="4" w:space="0" w:color="auto"/>
              <w:left w:val="nil"/>
              <w:bottom w:val="single" w:sz="4" w:space="0" w:color="auto"/>
              <w:right w:val="nil"/>
            </w:tcBorders>
            <w:shd w:val="clear" w:color="auto" w:fill="auto"/>
            <w:noWrap/>
            <w:vAlign w:val="center"/>
            <w:hideMark/>
          </w:tcPr>
          <w:p w14:paraId="2357CECD" w14:textId="77777777" w:rsidR="00126F33" w:rsidRPr="00887108" w:rsidRDefault="00126F33" w:rsidP="00E9118E">
            <w:pPr>
              <w:jc w:val="right"/>
              <w:rPr>
                <w:rFonts w:cs="Times New Roman"/>
                <w:b/>
                <w:bCs/>
                <w:color w:val="000000"/>
                <w:sz w:val="18"/>
                <w:szCs w:val="20"/>
              </w:rPr>
            </w:pPr>
            <w:r w:rsidRPr="00887108">
              <w:rPr>
                <w:rFonts w:cs="Times New Roman"/>
                <w:b/>
                <w:bCs/>
                <w:color w:val="000000"/>
                <w:sz w:val="18"/>
                <w:szCs w:val="20"/>
              </w:rPr>
              <w:t>2020 OS</w:t>
            </w:r>
          </w:p>
        </w:tc>
      </w:tr>
      <w:tr w:rsidR="00126F33" w:rsidRPr="00887108" w14:paraId="6AF6318D" w14:textId="77777777" w:rsidTr="00475EA2">
        <w:trPr>
          <w:trHeight w:val="57"/>
        </w:trPr>
        <w:tc>
          <w:tcPr>
            <w:tcW w:w="5560" w:type="dxa"/>
            <w:tcBorders>
              <w:top w:val="nil"/>
              <w:left w:val="nil"/>
              <w:bottom w:val="nil"/>
              <w:right w:val="nil"/>
            </w:tcBorders>
            <w:shd w:val="clear" w:color="auto" w:fill="auto"/>
            <w:vAlign w:val="center"/>
            <w:hideMark/>
          </w:tcPr>
          <w:p w14:paraId="3208DFC4" w14:textId="77777777" w:rsidR="00126F33" w:rsidRPr="00887108" w:rsidRDefault="00126F33" w:rsidP="00733958">
            <w:pPr>
              <w:rPr>
                <w:rFonts w:cs="Times New Roman"/>
                <w:b/>
                <w:bCs/>
                <w:color w:val="000000"/>
                <w:sz w:val="18"/>
                <w:szCs w:val="20"/>
              </w:rPr>
            </w:pPr>
            <w:r w:rsidRPr="00887108">
              <w:rPr>
                <w:rFonts w:cs="Times New Roman"/>
                <w:b/>
                <w:bCs/>
                <w:color w:val="000000"/>
                <w:sz w:val="18"/>
                <w:szCs w:val="20"/>
              </w:rPr>
              <w:t>1.   Celkové výdavky**</w:t>
            </w:r>
          </w:p>
        </w:tc>
        <w:tc>
          <w:tcPr>
            <w:tcW w:w="1190" w:type="dxa"/>
            <w:tcBorders>
              <w:top w:val="nil"/>
              <w:left w:val="nil"/>
              <w:bottom w:val="nil"/>
              <w:right w:val="nil"/>
            </w:tcBorders>
            <w:shd w:val="clear" w:color="auto" w:fill="auto"/>
            <w:noWrap/>
            <w:vAlign w:val="center"/>
            <w:hideMark/>
          </w:tcPr>
          <w:p w14:paraId="197D3A06" w14:textId="77777777" w:rsidR="00126F33" w:rsidRPr="00887108" w:rsidRDefault="00126F33" w:rsidP="00733958">
            <w:pPr>
              <w:jc w:val="right"/>
              <w:rPr>
                <w:rFonts w:cs="Times New Roman"/>
                <w:b/>
                <w:bCs/>
                <w:color w:val="000000"/>
                <w:sz w:val="18"/>
                <w:szCs w:val="18"/>
                <w:highlight w:val="yellow"/>
              </w:rPr>
            </w:pPr>
            <w:r w:rsidRPr="00887108">
              <w:rPr>
                <w:b/>
                <w:bCs/>
                <w:color w:val="000000"/>
                <w:sz w:val="18"/>
                <w:szCs w:val="20"/>
              </w:rPr>
              <w:t>37 501</w:t>
            </w:r>
          </w:p>
        </w:tc>
        <w:tc>
          <w:tcPr>
            <w:tcW w:w="1192" w:type="dxa"/>
            <w:tcBorders>
              <w:top w:val="nil"/>
              <w:left w:val="nil"/>
              <w:bottom w:val="nil"/>
              <w:right w:val="nil"/>
            </w:tcBorders>
            <w:shd w:val="clear" w:color="auto" w:fill="auto"/>
            <w:noWrap/>
            <w:vAlign w:val="center"/>
            <w:hideMark/>
          </w:tcPr>
          <w:p w14:paraId="7427A728" w14:textId="100CF164" w:rsidR="00126F33" w:rsidRPr="00887108" w:rsidRDefault="00126F33" w:rsidP="00733958">
            <w:pPr>
              <w:jc w:val="right"/>
              <w:rPr>
                <w:rFonts w:cs="Times New Roman"/>
                <w:b/>
                <w:bCs/>
                <w:color w:val="000000"/>
                <w:sz w:val="18"/>
                <w:szCs w:val="18"/>
                <w:highlight w:val="yellow"/>
              </w:rPr>
            </w:pPr>
            <w:r w:rsidRPr="00887108">
              <w:rPr>
                <w:b/>
                <w:bCs/>
                <w:color w:val="000000"/>
                <w:sz w:val="18"/>
                <w:szCs w:val="20"/>
              </w:rPr>
              <w:t>40 304</w:t>
            </w:r>
          </w:p>
        </w:tc>
        <w:tc>
          <w:tcPr>
            <w:tcW w:w="1190" w:type="dxa"/>
            <w:tcBorders>
              <w:top w:val="nil"/>
              <w:left w:val="nil"/>
              <w:bottom w:val="nil"/>
              <w:right w:val="nil"/>
            </w:tcBorders>
            <w:shd w:val="clear" w:color="auto" w:fill="auto"/>
            <w:noWrap/>
            <w:vAlign w:val="center"/>
            <w:hideMark/>
          </w:tcPr>
          <w:p w14:paraId="3044A577" w14:textId="08477121" w:rsidR="00126F33" w:rsidRPr="00887108" w:rsidRDefault="00126F33" w:rsidP="00733958">
            <w:pPr>
              <w:jc w:val="right"/>
              <w:rPr>
                <w:rFonts w:cs="Times New Roman"/>
                <w:b/>
                <w:bCs/>
                <w:color w:val="000000"/>
                <w:sz w:val="18"/>
                <w:szCs w:val="18"/>
                <w:highlight w:val="yellow"/>
              </w:rPr>
            </w:pPr>
            <w:r w:rsidRPr="00887108">
              <w:rPr>
                <w:b/>
                <w:bCs/>
                <w:color w:val="000000"/>
                <w:sz w:val="18"/>
                <w:szCs w:val="20"/>
              </w:rPr>
              <w:t>44 295</w:t>
            </w:r>
          </w:p>
        </w:tc>
      </w:tr>
      <w:tr w:rsidR="00126F33" w:rsidRPr="00887108" w14:paraId="4AE5B704" w14:textId="77777777" w:rsidTr="00475EA2">
        <w:trPr>
          <w:trHeight w:val="57"/>
        </w:trPr>
        <w:tc>
          <w:tcPr>
            <w:tcW w:w="5560" w:type="dxa"/>
            <w:tcBorders>
              <w:top w:val="nil"/>
              <w:left w:val="nil"/>
              <w:bottom w:val="nil"/>
              <w:right w:val="nil"/>
            </w:tcBorders>
            <w:shd w:val="clear" w:color="auto" w:fill="auto"/>
            <w:noWrap/>
            <w:vAlign w:val="center"/>
            <w:hideMark/>
          </w:tcPr>
          <w:p w14:paraId="01D7F120" w14:textId="77777777" w:rsidR="00126F33" w:rsidRPr="00887108" w:rsidRDefault="00126F33" w:rsidP="00733958">
            <w:pPr>
              <w:rPr>
                <w:rFonts w:cs="Times New Roman"/>
                <w:color w:val="000000"/>
                <w:sz w:val="18"/>
                <w:szCs w:val="20"/>
              </w:rPr>
            </w:pPr>
            <w:r w:rsidRPr="00887108">
              <w:rPr>
                <w:rFonts w:cs="Times New Roman"/>
                <w:color w:val="000000"/>
                <w:sz w:val="18"/>
                <w:szCs w:val="20"/>
              </w:rPr>
              <w:t>2.   Úrokové náklady</w:t>
            </w:r>
          </w:p>
        </w:tc>
        <w:tc>
          <w:tcPr>
            <w:tcW w:w="1190" w:type="dxa"/>
            <w:tcBorders>
              <w:top w:val="nil"/>
              <w:left w:val="nil"/>
              <w:bottom w:val="nil"/>
              <w:right w:val="nil"/>
            </w:tcBorders>
            <w:shd w:val="clear" w:color="auto" w:fill="auto"/>
            <w:noWrap/>
            <w:vAlign w:val="center"/>
            <w:hideMark/>
          </w:tcPr>
          <w:p w14:paraId="544A18B0"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1 207</w:t>
            </w:r>
          </w:p>
        </w:tc>
        <w:tc>
          <w:tcPr>
            <w:tcW w:w="1192" w:type="dxa"/>
            <w:tcBorders>
              <w:top w:val="nil"/>
              <w:left w:val="nil"/>
              <w:bottom w:val="nil"/>
              <w:right w:val="nil"/>
            </w:tcBorders>
            <w:shd w:val="clear" w:color="auto" w:fill="auto"/>
            <w:noWrap/>
            <w:vAlign w:val="center"/>
            <w:hideMark/>
          </w:tcPr>
          <w:p w14:paraId="39A1FD65" w14:textId="1F9DED78" w:rsidR="00126F33" w:rsidRPr="00887108" w:rsidRDefault="00126F33" w:rsidP="00733958">
            <w:pPr>
              <w:jc w:val="right"/>
              <w:rPr>
                <w:rFonts w:cs="Times New Roman"/>
                <w:color w:val="000000"/>
                <w:sz w:val="18"/>
                <w:szCs w:val="18"/>
                <w:highlight w:val="yellow"/>
              </w:rPr>
            </w:pPr>
            <w:r w:rsidRPr="00887108">
              <w:rPr>
                <w:color w:val="000000"/>
                <w:sz w:val="18"/>
                <w:szCs w:val="20"/>
              </w:rPr>
              <w:t>1 157</w:t>
            </w:r>
          </w:p>
        </w:tc>
        <w:tc>
          <w:tcPr>
            <w:tcW w:w="1190" w:type="dxa"/>
            <w:tcBorders>
              <w:top w:val="nil"/>
              <w:left w:val="nil"/>
              <w:bottom w:val="nil"/>
              <w:right w:val="nil"/>
            </w:tcBorders>
            <w:shd w:val="clear" w:color="auto" w:fill="auto"/>
            <w:noWrap/>
            <w:vAlign w:val="center"/>
            <w:hideMark/>
          </w:tcPr>
          <w:p w14:paraId="1682D3ED" w14:textId="4457877B" w:rsidR="00126F33" w:rsidRPr="00887108" w:rsidRDefault="00126F33" w:rsidP="00733958">
            <w:pPr>
              <w:jc w:val="right"/>
              <w:rPr>
                <w:rFonts w:cs="Times New Roman"/>
                <w:color w:val="000000"/>
                <w:sz w:val="18"/>
                <w:szCs w:val="18"/>
                <w:highlight w:val="yellow"/>
              </w:rPr>
            </w:pPr>
            <w:r w:rsidRPr="00887108">
              <w:rPr>
                <w:color w:val="000000"/>
                <w:sz w:val="18"/>
                <w:szCs w:val="20"/>
              </w:rPr>
              <w:t>1 053</w:t>
            </w:r>
          </w:p>
        </w:tc>
      </w:tr>
      <w:tr w:rsidR="00126F33" w:rsidRPr="00887108" w14:paraId="3EDCA5FC" w14:textId="77777777" w:rsidTr="00475EA2">
        <w:trPr>
          <w:trHeight w:val="57"/>
        </w:trPr>
        <w:tc>
          <w:tcPr>
            <w:tcW w:w="5560" w:type="dxa"/>
            <w:tcBorders>
              <w:top w:val="nil"/>
              <w:left w:val="nil"/>
              <w:bottom w:val="nil"/>
              <w:right w:val="nil"/>
            </w:tcBorders>
            <w:shd w:val="clear" w:color="auto" w:fill="auto"/>
            <w:noWrap/>
            <w:vAlign w:val="center"/>
            <w:hideMark/>
          </w:tcPr>
          <w:p w14:paraId="69AAE8E5" w14:textId="77777777" w:rsidR="00126F33" w:rsidRPr="00887108" w:rsidRDefault="00126F33" w:rsidP="00733958">
            <w:pPr>
              <w:rPr>
                <w:rFonts w:cs="Times New Roman"/>
                <w:color w:val="000000"/>
                <w:sz w:val="18"/>
                <w:szCs w:val="20"/>
              </w:rPr>
            </w:pPr>
            <w:r w:rsidRPr="00887108">
              <w:rPr>
                <w:rFonts w:cs="Times New Roman"/>
                <w:color w:val="000000"/>
                <w:sz w:val="18"/>
                <w:szCs w:val="20"/>
              </w:rPr>
              <w:t>3.   Výdavky kryté EU (kapitálové)</w:t>
            </w:r>
          </w:p>
        </w:tc>
        <w:tc>
          <w:tcPr>
            <w:tcW w:w="1190" w:type="dxa"/>
            <w:tcBorders>
              <w:top w:val="nil"/>
              <w:left w:val="nil"/>
              <w:bottom w:val="nil"/>
              <w:right w:val="nil"/>
            </w:tcBorders>
            <w:shd w:val="clear" w:color="auto" w:fill="auto"/>
            <w:noWrap/>
            <w:vAlign w:val="center"/>
            <w:hideMark/>
          </w:tcPr>
          <w:p w14:paraId="5CB58E3A"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749</w:t>
            </w:r>
          </w:p>
        </w:tc>
        <w:tc>
          <w:tcPr>
            <w:tcW w:w="1192" w:type="dxa"/>
            <w:tcBorders>
              <w:top w:val="nil"/>
              <w:left w:val="nil"/>
              <w:bottom w:val="nil"/>
              <w:right w:val="nil"/>
            </w:tcBorders>
            <w:shd w:val="clear" w:color="auto" w:fill="auto"/>
            <w:noWrap/>
            <w:vAlign w:val="center"/>
            <w:hideMark/>
          </w:tcPr>
          <w:p w14:paraId="3C1E3CA2" w14:textId="1D552D8A" w:rsidR="00126F33" w:rsidRPr="00887108" w:rsidRDefault="00126F33" w:rsidP="00733958">
            <w:pPr>
              <w:jc w:val="right"/>
              <w:rPr>
                <w:rFonts w:cs="Times New Roman"/>
                <w:color w:val="000000"/>
                <w:sz w:val="18"/>
                <w:szCs w:val="18"/>
                <w:highlight w:val="yellow"/>
              </w:rPr>
            </w:pPr>
            <w:r w:rsidRPr="00887108">
              <w:rPr>
                <w:color w:val="000000"/>
                <w:sz w:val="18"/>
                <w:szCs w:val="20"/>
              </w:rPr>
              <w:t>587</w:t>
            </w:r>
          </w:p>
        </w:tc>
        <w:tc>
          <w:tcPr>
            <w:tcW w:w="1190" w:type="dxa"/>
            <w:tcBorders>
              <w:top w:val="nil"/>
              <w:left w:val="nil"/>
              <w:bottom w:val="nil"/>
              <w:right w:val="nil"/>
            </w:tcBorders>
            <w:shd w:val="clear" w:color="auto" w:fill="auto"/>
            <w:noWrap/>
            <w:vAlign w:val="center"/>
            <w:hideMark/>
          </w:tcPr>
          <w:p w14:paraId="6F08EC77" w14:textId="6AFF9F18" w:rsidR="00126F33" w:rsidRPr="00887108" w:rsidRDefault="00126F33" w:rsidP="00733958">
            <w:pPr>
              <w:jc w:val="right"/>
              <w:rPr>
                <w:rFonts w:cs="Times New Roman"/>
                <w:color w:val="000000"/>
                <w:sz w:val="18"/>
                <w:szCs w:val="18"/>
                <w:highlight w:val="yellow"/>
              </w:rPr>
            </w:pPr>
            <w:r w:rsidRPr="00887108">
              <w:rPr>
                <w:color w:val="000000"/>
                <w:sz w:val="18"/>
                <w:szCs w:val="20"/>
              </w:rPr>
              <w:t>483</w:t>
            </w:r>
          </w:p>
        </w:tc>
      </w:tr>
      <w:tr w:rsidR="00126F33" w:rsidRPr="00887108" w14:paraId="50493F4D" w14:textId="77777777" w:rsidTr="00475EA2">
        <w:trPr>
          <w:trHeight w:val="57"/>
        </w:trPr>
        <w:tc>
          <w:tcPr>
            <w:tcW w:w="5560" w:type="dxa"/>
            <w:tcBorders>
              <w:top w:val="nil"/>
              <w:left w:val="nil"/>
              <w:bottom w:val="nil"/>
              <w:right w:val="nil"/>
            </w:tcBorders>
            <w:shd w:val="clear" w:color="auto" w:fill="auto"/>
            <w:noWrap/>
            <w:vAlign w:val="center"/>
            <w:hideMark/>
          </w:tcPr>
          <w:p w14:paraId="31D8985A" w14:textId="77777777" w:rsidR="00126F33" w:rsidRPr="00887108" w:rsidRDefault="00126F33" w:rsidP="00733958">
            <w:pPr>
              <w:rPr>
                <w:rFonts w:cs="Times New Roman"/>
                <w:color w:val="000000"/>
                <w:sz w:val="18"/>
                <w:szCs w:val="20"/>
              </w:rPr>
            </w:pPr>
            <w:r w:rsidRPr="00887108">
              <w:rPr>
                <w:rFonts w:cs="Times New Roman"/>
                <w:color w:val="000000"/>
                <w:sz w:val="18"/>
                <w:szCs w:val="20"/>
              </w:rPr>
              <w:t>3a. Výdavky kryté EÚ zdrojmi (celkové)</w:t>
            </w:r>
          </w:p>
        </w:tc>
        <w:tc>
          <w:tcPr>
            <w:tcW w:w="1190" w:type="dxa"/>
            <w:tcBorders>
              <w:top w:val="nil"/>
              <w:left w:val="nil"/>
              <w:bottom w:val="nil"/>
              <w:right w:val="nil"/>
            </w:tcBorders>
            <w:shd w:val="clear" w:color="auto" w:fill="auto"/>
            <w:noWrap/>
            <w:vAlign w:val="center"/>
            <w:hideMark/>
          </w:tcPr>
          <w:p w14:paraId="5D598C6F"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957</w:t>
            </w:r>
          </w:p>
        </w:tc>
        <w:tc>
          <w:tcPr>
            <w:tcW w:w="1192" w:type="dxa"/>
            <w:tcBorders>
              <w:top w:val="nil"/>
              <w:left w:val="nil"/>
              <w:bottom w:val="nil"/>
              <w:right w:val="nil"/>
            </w:tcBorders>
            <w:shd w:val="clear" w:color="auto" w:fill="auto"/>
            <w:noWrap/>
            <w:vAlign w:val="center"/>
            <w:hideMark/>
          </w:tcPr>
          <w:p w14:paraId="4F6D7310" w14:textId="4328FB1E" w:rsidR="00126F33" w:rsidRPr="00887108" w:rsidRDefault="00126F33" w:rsidP="00733958">
            <w:pPr>
              <w:jc w:val="right"/>
              <w:rPr>
                <w:rFonts w:cs="Times New Roman"/>
                <w:color w:val="000000"/>
                <w:sz w:val="18"/>
                <w:szCs w:val="18"/>
                <w:highlight w:val="yellow"/>
              </w:rPr>
            </w:pPr>
            <w:r w:rsidRPr="00887108">
              <w:rPr>
                <w:color w:val="000000"/>
                <w:sz w:val="18"/>
                <w:szCs w:val="20"/>
              </w:rPr>
              <w:t>890</w:t>
            </w:r>
          </w:p>
        </w:tc>
        <w:tc>
          <w:tcPr>
            <w:tcW w:w="1190" w:type="dxa"/>
            <w:tcBorders>
              <w:top w:val="nil"/>
              <w:left w:val="nil"/>
              <w:bottom w:val="nil"/>
              <w:right w:val="nil"/>
            </w:tcBorders>
            <w:shd w:val="clear" w:color="auto" w:fill="auto"/>
            <w:noWrap/>
            <w:vAlign w:val="center"/>
            <w:hideMark/>
          </w:tcPr>
          <w:p w14:paraId="34E40681" w14:textId="472FD63E" w:rsidR="00126F33" w:rsidRPr="00887108" w:rsidRDefault="00126F33" w:rsidP="00733958">
            <w:pPr>
              <w:jc w:val="right"/>
              <w:rPr>
                <w:rFonts w:cs="Times New Roman"/>
                <w:color w:val="000000"/>
                <w:sz w:val="18"/>
                <w:szCs w:val="18"/>
                <w:highlight w:val="yellow"/>
              </w:rPr>
            </w:pPr>
            <w:r w:rsidRPr="00887108">
              <w:rPr>
                <w:color w:val="000000"/>
                <w:sz w:val="18"/>
                <w:szCs w:val="20"/>
              </w:rPr>
              <w:t>854</w:t>
            </w:r>
          </w:p>
        </w:tc>
      </w:tr>
      <w:tr w:rsidR="00126F33" w:rsidRPr="00887108" w14:paraId="69F5E0C5" w14:textId="77777777" w:rsidTr="00475EA2">
        <w:trPr>
          <w:trHeight w:val="57"/>
        </w:trPr>
        <w:tc>
          <w:tcPr>
            <w:tcW w:w="5560" w:type="dxa"/>
            <w:tcBorders>
              <w:top w:val="nil"/>
              <w:left w:val="nil"/>
              <w:bottom w:val="nil"/>
              <w:right w:val="nil"/>
            </w:tcBorders>
            <w:shd w:val="clear" w:color="auto" w:fill="auto"/>
            <w:vAlign w:val="center"/>
            <w:hideMark/>
          </w:tcPr>
          <w:p w14:paraId="250E3BCD" w14:textId="77777777" w:rsidR="00126F33" w:rsidRPr="00887108" w:rsidRDefault="00126F33" w:rsidP="00733958">
            <w:pPr>
              <w:rPr>
                <w:rFonts w:cs="Times New Roman"/>
                <w:color w:val="000000"/>
                <w:sz w:val="18"/>
                <w:szCs w:val="20"/>
              </w:rPr>
            </w:pPr>
            <w:r w:rsidRPr="00887108">
              <w:rPr>
                <w:rFonts w:cs="Times New Roman"/>
                <w:color w:val="000000"/>
                <w:sz w:val="18"/>
                <w:szCs w:val="20"/>
              </w:rPr>
              <w:t>4.   Kapitálové výdavky kryté národnými zdrojmi</w:t>
            </w:r>
          </w:p>
        </w:tc>
        <w:tc>
          <w:tcPr>
            <w:tcW w:w="1190" w:type="dxa"/>
            <w:tcBorders>
              <w:top w:val="nil"/>
              <w:left w:val="nil"/>
              <w:bottom w:val="nil"/>
              <w:right w:val="nil"/>
            </w:tcBorders>
            <w:shd w:val="clear" w:color="auto" w:fill="auto"/>
            <w:noWrap/>
            <w:vAlign w:val="center"/>
            <w:hideMark/>
          </w:tcPr>
          <w:p w14:paraId="2E18DE3F"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2 604</w:t>
            </w:r>
          </w:p>
        </w:tc>
        <w:tc>
          <w:tcPr>
            <w:tcW w:w="1192" w:type="dxa"/>
            <w:tcBorders>
              <w:top w:val="nil"/>
              <w:left w:val="nil"/>
              <w:bottom w:val="nil"/>
              <w:right w:val="nil"/>
            </w:tcBorders>
            <w:shd w:val="clear" w:color="auto" w:fill="auto"/>
            <w:noWrap/>
            <w:vAlign w:val="center"/>
            <w:hideMark/>
          </w:tcPr>
          <w:p w14:paraId="0B12E843" w14:textId="1BE551A1" w:rsidR="00126F33" w:rsidRPr="00887108" w:rsidRDefault="00126F33" w:rsidP="00733958">
            <w:pPr>
              <w:jc w:val="right"/>
              <w:rPr>
                <w:rFonts w:cs="Times New Roman"/>
                <w:color w:val="000000"/>
                <w:sz w:val="18"/>
                <w:szCs w:val="18"/>
                <w:highlight w:val="yellow"/>
              </w:rPr>
            </w:pPr>
            <w:r w:rsidRPr="00887108">
              <w:rPr>
                <w:color w:val="000000"/>
                <w:sz w:val="18"/>
                <w:szCs w:val="20"/>
              </w:rPr>
              <w:t>2 763</w:t>
            </w:r>
          </w:p>
        </w:tc>
        <w:tc>
          <w:tcPr>
            <w:tcW w:w="1190" w:type="dxa"/>
            <w:tcBorders>
              <w:top w:val="nil"/>
              <w:left w:val="nil"/>
              <w:bottom w:val="nil"/>
              <w:right w:val="nil"/>
            </w:tcBorders>
            <w:shd w:val="clear" w:color="auto" w:fill="auto"/>
            <w:noWrap/>
            <w:vAlign w:val="center"/>
            <w:hideMark/>
          </w:tcPr>
          <w:p w14:paraId="6F650FDA" w14:textId="167B1ED4" w:rsidR="00126F33" w:rsidRPr="00887108" w:rsidRDefault="00126F33" w:rsidP="00733958">
            <w:pPr>
              <w:jc w:val="right"/>
              <w:rPr>
                <w:rFonts w:cs="Times New Roman"/>
                <w:color w:val="000000"/>
                <w:sz w:val="18"/>
                <w:szCs w:val="18"/>
                <w:highlight w:val="yellow"/>
              </w:rPr>
            </w:pPr>
            <w:r w:rsidRPr="00887108">
              <w:rPr>
                <w:color w:val="000000"/>
                <w:sz w:val="18"/>
                <w:szCs w:val="20"/>
              </w:rPr>
              <w:t>2 386</w:t>
            </w:r>
          </w:p>
        </w:tc>
      </w:tr>
      <w:tr w:rsidR="00126F33" w:rsidRPr="00887108" w14:paraId="78612F95" w14:textId="77777777" w:rsidTr="00475EA2">
        <w:trPr>
          <w:trHeight w:val="57"/>
        </w:trPr>
        <w:tc>
          <w:tcPr>
            <w:tcW w:w="5560" w:type="dxa"/>
            <w:tcBorders>
              <w:top w:val="nil"/>
              <w:left w:val="nil"/>
              <w:bottom w:val="nil"/>
              <w:right w:val="nil"/>
            </w:tcBorders>
            <w:shd w:val="clear" w:color="auto" w:fill="auto"/>
            <w:vAlign w:val="center"/>
            <w:hideMark/>
          </w:tcPr>
          <w:p w14:paraId="18BCD8F5" w14:textId="4BCB3775" w:rsidR="00126F33" w:rsidRPr="00887108" w:rsidRDefault="00126F33" w:rsidP="00733958">
            <w:pPr>
              <w:rPr>
                <w:rFonts w:cs="Times New Roman"/>
                <w:color w:val="000000"/>
                <w:sz w:val="18"/>
                <w:szCs w:val="20"/>
              </w:rPr>
            </w:pPr>
            <w:r w:rsidRPr="00887108">
              <w:rPr>
                <w:rFonts w:cs="Times New Roman"/>
                <w:color w:val="000000"/>
                <w:sz w:val="18"/>
                <w:szCs w:val="20"/>
              </w:rPr>
              <w:t>5.   Vyhladené kapitálové výdavky (nár. zdroje 4-ročný pohyblivý priemer)</w:t>
            </w:r>
          </w:p>
        </w:tc>
        <w:tc>
          <w:tcPr>
            <w:tcW w:w="1190" w:type="dxa"/>
            <w:tcBorders>
              <w:top w:val="nil"/>
              <w:left w:val="nil"/>
              <w:bottom w:val="nil"/>
              <w:right w:val="nil"/>
            </w:tcBorders>
            <w:shd w:val="clear" w:color="auto" w:fill="auto"/>
            <w:noWrap/>
            <w:vAlign w:val="center"/>
            <w:hideMark/>
          </w:tcPr>
          <w:p w14:paraId="1FDBFE5B"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2 504</w:t>
            </w:r>
          </w:p>
        </w:tc>
        <w:tc>
          <w:tcPr>
            <w:tcW w:w="1192" w:type="dxa"/>
            <w:tcBorders>
              <w:top w:val="nil"/>
              <w:left w:val="nil"/>
              <w:bottom w:val="nil"/>
              <w:right w:val="nil"/>
            </w:tcBorders>
            <w:shd w:val="clear" w:color="auto" w:fill="auto"/>
            <w:noWrap/>
            <w:vAlign w:val="center"/>
            <w:hideMark/>
          </w:tcPr>
          <w:p w14:paraId="55B9AA3F" w14:textId="05ADADFF" w:rsidR="00126F33" w:rsidRPr="00887108" w:rsidRDefault="00126F33" w:rsidP="00733958">
            <w:pPr>
              <w:jc w:val="right"/>
              <w:rPr>
                <w:rFonts w:cs="Times New Roman"/>
                <w:color w:val="000000"/>
                <w:sz w:val="18"/>
                <w:szCs w:val="18"/>
                <w:highlight w:val="yellow"/>
              </w:rPr>
            </w:pPr>
            <w:r w:rsidRPr="00887108">
              <w:rPr>
                <w:color w:val="000000"/>
                <w:sz w:val="18"/>
                <w:szCs w:val="20"/>
              </w:rPr>
              <w:t>2 507</w:t>
            </w:r>
          </w:p>
        </w:tc>
        <w:tc>
          <w:tcPr>
            <w:tcW w:w="1190" w:type="dxa"/>
            <w:tcBorders>
              <w:top w:val="nil"/>
              <w:left w:val="nil"/>
              <w:bottom w:val="nil"/>
              <w:right w:val="nil"/>
            </w:tcBorders>
            <w:shd w:val="clear" w:color="auto" w:fill="auto"/>
            <w:noWrap/>
            <w:vAlign w:val="center"/>
            <w:hideMark/>
          </w:tcPr>
          <w:p w14:paraId="4EC50DC6" w14:textId="4BC6C831" w:rsidR="00126F33" w:rsidRPr="00887108" w:rsidRDefault="00126F33" w:rsidP="00733958">
            <w:pPr>
              <w:jc w:val="right"/>
              <w:rPr>
                <w:rFonts w:cs="Times New Roman"/>
                <w:color w:val="000000"/>
                <w:sz w:val="18"/>
                <w:szCs w:val="18"/>
                <w:highlight w:val="yellow"/>
              </w:rPr>
            </w:pPr>
            <w:r w:rsidRPr="00887108">
              <w:rPr>
                <w:color w:val="000000"/>
                <w:sz w:val="18"/>
                <w:szCs w:val="20"/>
              </w:rPr>
              <w:t>2 541</w:t>
            </w:r>
          </w:p>
        </w:tc>
      </w:tr>
      <w:tr w:rsidR="00126F33" w:rsidRPr="00887108" w14:paraId="0B95B013" w14:textId="77777777" w:rsidTr="00475EA2">
        <w:trPr>
          <w:trHeight w:val="57"/>
        </w:trPr>
        <w:tc>
          <w:tcPr>
            <w:tcW w:w="5560" w:type="dxa"/>
            <w:tcBorders>
              <w:top w:val="nil"/>
              <w:left w:val="nil"/>
              <w:bottom w:val="nil"/>
              <w:right w:val="nil"/>
            </w:tcBorders>
            <w:shd w:val="clear" w:color="auto" w:fill="auto"/>
            <w:vAlign w:val="center"/>
            <w:hideMark/>
          </w:tcPr>
          <w:p w14:paraId="436B67C8" w14:textId="77777777" w:rsidR="00126F33" w:rsidRPr="00887108" w:rsidRDefault="00126F33" w:rsidP="00733958">
            <w:pPr>
              <w:rPr>
                <w:rFonts w:cs="Times New Roman"/>
                <w:sz w:val="18"/>
                <w:szCs w:val="20"/>
              </w:rPr>
            </w:pPr>
            <w:r w:rsidRPr="00887108">
              <w:rPr>
                <w:rFonts w:cs="Times New Roman"/>
                <w:sz w:val="18"/>
                <w:szCs w:val="20"/>
              </w:rPr>
              <w:t>6.   Cyklické výdavky na dávky v nezamestnanosti</w:t>
            </w:r>
          </w:p>
        </w:tc>
        <w:tc>
          <w:tcPr>
            <w:tcW w:w="1190" w:type="dxa"/>
            <w:tcBorders>
              <w:top w:val="nil"/>
              <w:left w:val="nil"/>
              <w:bottom w:val="nil"/>
              <w:right w:val="nil"/>
            </w:tcBorders>
            <w:shd w:val="clear" w:color="auto" w:fill="auto"/>
            <w:noWrap/>
            <w:vAlign w:val="center"/>
            <w:hideMark/>
          </w:tcPr>
          <w:p w14:paraId="0A7938DA"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-19</w:t>
            </w:r>
          </w:p>
        </w:tc>
        <w:tc>
          <w:tcPr>
            <w:tcW w:w="1192" w:type="dxa"/>
            <w:tcBorders>
              <w:top w:val="nil"/>
              <w:left w:val="nil"/>
              <w:bottom w:val="nil"/>
              <w:right w:val="nil"/>
            </w:tcBorders>
            <w:shd w:val="clear" w:color="auto" w:fill="auto"/>
            <w:noWrap/>
            <w:vAlign w:val="center"/>
            <w:hideMark/>
          </w:tcPr>
          <w:p w14:paraId="6786CAD3" w14:textId="6845C837" w:rsidR="00126F33" w:rsidRPr="00887108" w:rsidRDefault="00126F33" w:rsidP="00733958">
            <w:pPr>
              <w:jc w:val="right"/>
              <w:rPr>
                <w:rFonts w:cs="Times New Roman"/>
                <w:color w:val="000000"/>
                <w:sz w:val="18"/>
                <w:szCs w:val="18"/>
                <w:highlight w:val="yellow"/>
              </w:rPr>
            </w:pPr>
            <w:r w:rsidRPr="00887108">
              <w:rPr>
                <w:color w:val="000000"/>
                <w:sz w:val="18"/>
                <w:szCs w:val="20"/>
              </w:rPr>
              <w:t>-18</w:t>
            </w:r>
          </w:p>
        </w:tc>
        <w:tc>
          <w:tcPr>
            <w:tcW w:w="1190" w:type="dxa"/>
            <w:tcBorders>
              <w:top w:val="nil"/>
              <w:left w:val="nil"/>
              <w:bottom w:val="nil"/>
              <w:right w:val="nil"/>
            </w:tcBorders>
            <w:shd w:val="clear" w:color="auto" w:fill="auto"/>
            <w:noWrap/>
            <w:vAlign w:val="center"/>
            <w:hideMark/>
          </w:tcPr>
          <w:p w14:paraId="391FF35E" w14:textId="3215C5E8" w:rsidR="00126F33" w:rsidRPr="00887108" w:rsidRDefault="00126F33" w:rsidP="00733958">
            <w:pPr>
              <w:jc w:val="right"/>
              <w:rPr>
                <w:rFonts w:cs="Times New Roman"/>
                <w:color w:val="000000"/>
                <w:sz w:val="18"/>
                <w:szCs w:val="18"/>
                <w:highlight w:val="yellow"/>
              </w:rPr>
            </w:pPr>
            <w:r w:rsidRPr="00887108">
              <w:rPr>
                <w:color w:val="000000"/>
                <w:sz w:val="18"/>
                <w:szCs w:val="20"/>
              </w:rPr>
              <w:t>73</w:t>
            </w:r>
          </w:p>
        </w:tc>
      </w:tr>
      <w:tr w:rsidR="00126F33" w:rsidRPr="00887108" w14:paraId="28A76AD5" w14:textId="77777777" w:rsidTr="00475EA2">
        <w:trPr>
          <w:trHeight w:val="57"/>
        </w:trPr>
        <w:tc>
          <w:tcPr>
            <w:tcW w:w="5560" w:type="dxa"/>
            <w:tcBorders>
              <w:top w:val="nil"/>
              <w:left w:val="nil"/>
              <w:bottom w:val="nil"/>
              <w:right w:val="nil"/>
            </w:tcBorders>
            <w:shd w:val="clear" w:color="auto" w:fill="auto"/>
            <w:vAlign w:val="center"/>
            <w:hideMark/>
          </w:tcPr>
          <w:p w14:paraId="08908898" w14:textId="77777777" w:rsidR="00126F33" w:rsidRPr="00887108" w:rsidRDefault="00126F33" w:rsidP="00733958">
            <w:pPr>
              <w:rPr>
                <w:rFonts w:cs="Times New Roman"/>
                <w:color w:val="000000"/>
                <w:sz w:val="18"/>
                <w:szCs w:val="20"/>
              </w:rPr>
            </w:pPr>
            <w:r w:rsidRPr="00887108">
              <w:rPr>
                <w:rFonts w:cs="Times New Roman"/>
                <w:color w:val="000000"/>
                <w:sz w:val="18"/>
                <w:szCs w:val="20"/>
              </w:rPr>
              <w:t xml:space="preserve">7.   Výdavky plne kryté automatickým zvýšením príjmov </w:t>
            </w:r>
          </w:p>
        </w:tc>
        <w:tc>
          <w:tcPr>
            <w:tcW w:w="1190" w:type="dxa"/>
            <w:tcBorders>
              <w:top w:val="nil"/>
              <w:left w:val="nil"/>
              <w:bottom w:val="nil"/>
              <w:right w:val="nil"/>
            </w:tcBorders>
            <w:shd w:val="clear" w:color="auto" w:fill="auto"/>
            <w:noWrap/>
            <w:vAlign w:val="center"/>
            <w:hideMark/>
          </w:tcPr>
          <w:p w14:paraId="2BD4F1D5"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2" w:type="dxa"/>
            <w:tcBorders>
              <w:top w:val="nil"/>
              <w:left w:val="nil"/>
              <w:bottom w:val="nil"/>
              <w:right w:val="nil"/>
            </w:tcBorders>
            <w:shd w:val="clear" w:color="auto" w:fill="auto"/>
            <w:noWrap/>
            <w:vAlign w:val="center"/>
            <w:hideMark/>
          </w:tcPr>
          <w:p w14:paraId="234E3E37" w14:textId="6ABFA7EF"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0" w:type="dxa"/>
            <w:tcBorders>
              <w:top w:val="nil"/>
              <w:left w:val="nil"/>
              <w:bottom w:val="nil"/>
              <w:right w:val="nil"/>
            </w:tcBorders>
            <w:shd w:val="clear" w:color="auto" w:fill="auto"/>
            <w:noWrap/>
            <w:vAlign w:val="center"/>
            <w:hideMark/>
          </w:tcPr>
          <w:p w14:paraId="0BB5828D" w14:textId="2210B02A"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r>
      <w:tr w:rsidR="00126F33" w:rsidRPr="00887108" w14:paraId="04701D9B" w14:textId="77777777" w:rsidTr="00475EA2">
        <w:trPr>
          <w:trHeight w:val="57"/>
        </w:trPr>
        <w:tc>
          <w:tcPr>
            <w:tcW w:w="5560" w:type="dxa"/>
            <w:tcBorders>
              <w:top w:val="nil"/>
              <w:left w:val="nil"/>
              <w:bottom w:val="double" w:sz="6" w:space="0" w:color="auto"/>
              <w:right w:val="nil"/>
            </w:tcBorders>
            <w:shd w:val="clear" w:color="auto" w:fill="auto"/>
            <w:vAlign w:val="center"/>
            <w:hideMark/>
          </w:tcPr>
          <w:p w14:paraId="39BA267A" w14:textId="77777777" w:rsidR="00126F33" w:rsidRPr="00887108" w:rsidRDefault="00126F33" w:rsidP="00733958">
            <w:pPr>
              <w:rPr>
                <w:rFonts w:cs="Times New Roman"/>
                <w:b/>
                <w:bCs/>
                <w:color w:val="000000"/>
                <w:sz w:val="18"/>
                <w:szCs w:val="20"/>
              </w:rPr>
            </w:pPr>
            <w:r w:rsidRPr="00887108">
              <w:rPr>
                <w:rFonts w:cs="Times New Roman"/>
                <w:b/>
                <w:bCs/>
                <w:color w:val="000000"/>
                <w:sz w:val="18"/>
                <w:szCs w:val="20"/>
              </w:rPr>
              <w:t>8.   Primárny výdavkový agregát (1-2-3a-4+5-6-7)</w:t>
            </w:r>
          </w:p>
        </w:tc>
        <w:tc>
          <w:tcPr>
            <w:tcW w:w="1190" w:type="dxa"/>
            <w:tcBorders>
              <w:top w:val="nil"/>
              <w:left w:val="nil"/>
              <w:bottom w:val="double" w:sz="6" w:space="0" w:color="auto"/>
              <w:right w:val="nil"/>
            </w:tcBorders>
            <w:shd w:val="clear" w:color="auto" w:fill="auto"/>
            <w:noWrap/>
            <w:vAlign w:val="center"/>
            <w:hideMark/>
          </w:tcPr>
          <w:p w14:paraId="3562D988" w14:textId="77777777" w:rsidR="00126F33" w:rsidRPr="00887108" w:rsidRDefault="00126F33" w:rsidP="00733958">
            <w:pPr>
              <w:jc w:val="right"/>
              <w:rPr>
                <w:rFonts w:cs="Times New Roman"/>
                <w:b/>
                <w:bCs/>
                <w:color w:val="000000"/>
                <w:sz w:val="18"/>
                <w:szCs w:val="18"/>
                <w:highlight w:val="yellow"/>
              </w:rPr>
            </w:pPr>
            <w:r w:rsidRPr="00887108">
              <w:rPr>
                <w:b/>
                <w:bCs/>
                <w:color w:val="000000"/>
                <w:sz w:val="18"/>
                <w:szCs w:val="20"/>
              </w:rPr>
              <w:t>35 256</w:t>
            </w:r>
          </w:p>
        </w:tc>
        <w:tc>
          <w:tcPr>
            <w:tcW w:w="1192" w:type="dxa"/>
            <w:tcBorders>
              <w:top w:val="nil"/>
              <w:left w:val="nil"/>
              <w:bottom w:val="double" w:sz="6" w:space="0" w:color="auto"/>
              <w:right w:val="nil"/>
            </w:tcBorders>
            <w:shd w:val="clear" w:color="auto" w:fill="auto"/>
            <w:noWrap/>
            <w:vAlign w:val="center"/>
            <w:hideMark/>
          </w:tcPr>
          <w:p w14:paraId="2C400DA0" w14:textId="2925B669" w:rsidR="00126F33" w:rsidRPr="00887108" w:rsidRDefault="00126F33" w:rsidP="00733958">
            <w:pPr>
              <w:jc w:val="right"/>
              <w:rPr>
                <w:rFonts w:cs="Times New Roman"/>
                <w:b/>
                <w:bCs/>
                <w:color w:val="000000"/>
                <w:sz w:val="18"/>
                <w:szCs w:val="18"/>
                <w:highlight w:val="yellow"/>
              </w:rPr>
            </w:pPr>
            <w:r w:rsidRPr="00887108">
              <w:rPr>
                <w:b/>
                <w:bCs/>
                <w:color w:val="000000"/>
                <w:sz w:val="18"/>
                <w:szCs w:val="20"/>
              </w:rPr>
              <w:t>38 020</w:t>
            </w:r>
          </w:p>
        </w:tc>
        <w:tc>
          <w:tcPr>
            <w:tcW w:w="1190" w:type="dxa"/>
            <w:tcBorders>
              <w:top w:val="nil"/>
              <w:left w:val="nil"/>
              <w:bottom w:val="double" w:sz="6" w:space="0" w:color="auto"/>
              <w:right w:val="nil"/>
            </w:tcBorders>
            <w:shd w:val="clear" w:color="auto" w:fill="auto"/>
            <w:noWrap/>
            <w:vAlign w:val="center"/>
            <w:hideMark/>
          </w:tcPr>
          <w:p w14:paraId="30577716" w14:textId="21DDA588" w:rsidR="00126F33" w:rsidRPr="00887108" w:rsidRDefault="00126F33" w:rsidP="00733958">
            <w:pPr>
              <w:jc w:val="right"/>
              <w:rPr>
                <w:rFonts w:cs="Times New Roman"/>
                <w:b/>
                <w:bCs/>
                <w:color w:val="000000"/>
                <w:sz w:val="18"/>
                <w:szCs w:val="18"/>
                <w:highlight w:val="yellow"/>
              </w:rPr>
            </w:pPr>
            <w:r w:rsidRPr="00887108">
              <w:rPr>
                <w:b/>
                <w:bCs/>
                <w:color w:val="000000"/>
                <w:sz w:val="18"/>
                <w:szCs w:val="20"/>
              </w:rPr>
              <w:t>42 470</w:t>
            </w:r>
          </w:p>
        </w:tc>
      </w:tr>
      <w:tr w:rsidR="00126F33" w:rsidRPr="00887108" w14:paraId="779F1735" w14:textId="77777777" w:rsidTr="00475EA2">
        <w:trPr>
          <w:trHeight w:val="57"/>
        </w:trPr>
        <w:tc>
          <w:tcPr>
            <w:tcW w:w="5560" w:type="dxa"/>
            <w:tcBorders>
              <w:top w:val="nil"/>
              <w:left w:val="nil"/>
              <w:bottom w:val="double" w:sz="6" w:space="0" w:color="auto"/>
              <w:right w:val="nil"/>
            </w:tcBorders>
            <w:shd w:val="clear" w:color="auto" w:fill="auto"/>
            <w:vAlign w:val="center"/>
            <w:hideMark/>
          </w:tcPr>
          <w:p w14:paraId="5C2C88FE" w14:textId="77777777" w:rsidR="00126F33" w:rsidRPr="00887108" w:rsidRDefault="00126F33" w:rsidP="00733958">
            <w:pPr>
              <w:rPr>
                <w:rFonts w:cs="Times New Roman"/>
                <w:color w:val="000000"/>
                <w:sz w:val="18"/>
                <w:szCs w:val="20"/>
              </w:rPr>
            </w:pPr>
            <w:r w:rsidRPr="00887108">
              <w:rPr>
                <w:rFonts w:cs="Times New Roman"/>
                <w:color w:val="000000"/>
                <w:sz w:val="18"/>
                <w:szCs w:val="20"/>
              </w:rPr>
              <w:t>9.  Medziročná zmena primárneho výdavkového agregátu (8t-8t-1)</w:t>
            </w:r>
          </w:p>
        </w:tc>
        <w:tc>
          <w:tcPr>
            <w:tcW w:w="1190" w:type="dxa"/>
            <w:tcBorders>
              <w:top w:val="nil"/>
              <w:left w:val="nil"/>
              <w:bottom w:val="double" w:sz="6" w:space="0" w:color="auto"/>
              <w:right w:val="nil"/>
            </w:tcBorders>
            <w:shd w:val="clear" w:color="auto" w:fill="auto"/>
            <w:noWrap/>
            <w:vAlign w:val="center"/>
            <w:hideMark/>
          </w:tcPr>
          <w:p w14:paraId="33904F44"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2 050</w:t>
            </w:r>
          </w:p>
        </w:tc>
        <w:tc>
          <w:tcPr>
            <w:tcW w:w="1192" w:type="dxa"/>
            <w:tcBorders>
              <w:top w:val="nil"/>
              <w:left w:val="nil"/>
              <w:bottom w:val="double" w:sz="6" w:space="0" w:color="auto"/>
              <w:right w:val="nil"/>
            </w:tcBorders>
            <w:shd w:val="clear" w:color="auto" w:fill="auto"/>
            <w:noWrap/>
            <w:vAlign w:val="center"/>
            <w:hideMark/>
          </w:tcPr>
          <w:p w14:paraId="423DB91F" w14:textId="382A10EC" w:rsidR="00126F33" w:rsidRPr="00887108" w:rsidRDefault="00126F33" w:rsidP="00733958">
            <w:pPr>
              <w:jc w:val="right"/>
              <w:rPr>
                <w:rFonts w:cs="Times New Roman"/>
                <w:color w:val="000000"/>
                <w:sz w:val="18"/>
                <w:szCs w:val="18"/>
                <w:highlight w:val="yellow"/>
              </w:rPr>
            </w:pPr>
            <w:r w:rsidRPr="00887108">
              <w:rPr>
                <w:color w:val="000000"/>
                <w:sz w:val="18"/>
                <w:szCs w:val="20"/>
              </w:rPr>
              <w:t>2 764</w:t>
            </w:r>
          </w:p>
        </w:tc>
        <w:tc>
          <w:tcPr>
            <w:tcW w:w="1190" w:type="dxa"/>
            <w:tcBorders>
              <w:top w:val="nil"/>
              <w:left w:val="nil"/>
              <w:bottom w:val="double" w:sz="6" w:space="0" w:color="auto"/>
              <w:right w:val="nil"/>
            </w:tcBorders>
            <w:shd w:val="clear" w:color="auto" w:fill="auto"/>
            <w:noWrap/>
            <w:vAlign w:val="center"/>
            <w:hideMark/>
          </w:tcPr>
          <w:p w14:paraId="54F3B6CC" w14:textId="3C0BD40A" w:rsidR="00126F33" w:rsidRPr="00887108" w:rsidRDefault="00126F33" w:rsidP="00733958">
            <w:pPr>
              <w:jc w:val="right"/>
              <w:rPr>
                <w:rFonts w:cs="Times New Roman"/>
                <w:color w:val="000000"/>
                <w:sz w:val="18"/>
                <w:szCs w:val="18"/>
                <w:highlight w:val="yellow"/>
              </w:rPr>
            </w:pPr>
            <w:r w:rsidRPr="00887108">
              <w:rPr>
                <w:color w:val="000000"/>
                <w:sz w:val="18"/>
                <w:szCs w:val="20"/>
              </w:rPr>
              <w:t>4 450</w:t>
            </w:r>
          </w:p>
        </w:tc>
      </w:tr>
      <w:tr w:rsidR="00126F33" w:rsidRPr="00887108" w14:paraId="3F6DE8C4" w14:textId="77777777" w:rsidTr="00475EA2">
        <w:trPr>
          <w:trHeight w:val="57"/>
        </w:trPr>
        <w:tc>
          <w:tcPr>
            <w:tcW w:w="5560" w:type="dxa"/>
            <w:tcBorders>
              <w:top w:val="nil"/>
              <w:left w:val="nil"/>
              <w:bottom w:val="nil"/>
              <w:right w:val="nil"/>
            </w:tcBorders>
            <w:shd w:val="clear" w:color="auto" w:fill="auto"/>
            <w:vAlign w:val="center"/>
            <w:hideMark/>
          </w:tcPr>
          <w:p w14:paraId="2D4A31B5" w14:textId="77777777" w:rsidR="00126F33" w:rsidRPr="00887108" w:rsidRDefault="00126F33" w:rsidP="00733958">
            <w:pPr>
              <w:rPr>
                <w:rFonts w:cs="Times New Roman"/>
                <w:color w:val="000000"/>
                <w:sz w:val="18"/>
                <w:szCs w:val="20"/>
              </w:rPr>
            </w:pPr>
            <w:r w:rsidRPr="00887108">
              <w:rPr>
                <w:rFonts w:cs="Times New Roman"/>
                <w:color w:val="000000"/>
                <w:sz w:val="18"/>
                <w:szCs w:val="20"/>
              </w:rPr>
              <w:t>10. Zmena v príjmoch z titulu diskrečných príjmových opatrení**</w:t>
            </w:r>
          </w:p>
        </w:tc>
        <w:tc>
          <w:tcPr>
            <w:tcW w:w="1190" w:type="dxa"/>
            <w:tcBorders>
              <w:top w:val="nil"/>
              <w:left w:val="nil"/>
              <w:bottom w:val="nil"/>
              <w:right w:val="nil"/>
            </w:tcBorders>
            <w:shd w:val="clear" w:color="auto" w:fill="auto"/>
            <w:noWrap/>
            <w:vAlign w:val="center"/>
            <w:hideMark/>
          </w:tcPr>
          <w:p w14:paraId="1261C47F"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-130</w:t>
            </w:r>
          </w:p>
        </w:tc>
        <w:tc>
          <w:tcPr>
            <w:tcW w:w="1192" w:type="dxa"/>
            <w:tcBorders>
              <w:top w:val="nil"/>
              <w:left w:val="nil"/>
              <w:bottom w:val="nil"/>
              <w:right w:val="nil"/>
            </w:tcBorders>
            <w:shd w:val="clear" w:color="auto" w:fill="auto"/>
            <w:noWrap/>
            <w:vAlign w:val="center"/>
            <w:hideMark/>
          </w:tcPr>
          <w:p w14:paraId="4BBC0A83" w14:textId="1B70129E"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0" w:type="dxa"/>
            <w:tcBorders>
              <w:top w:val="nil"/>
              <w:left w:val="nil"/>
              <w:bottom w:val="nil"/>
              <w:right w:val="nil"/>
            </w:tcBorders>
            <w:shd w:val="clear" w:color="auto" w:fill="auto"/>
            <w:noWrap/>
            <w:vAlign w:val="center"/>
            <w:hideMark/>
          </w:tcPr>
          <w:p w14:paraId="07EC1D48" w14:textId="2A44BC22" w:rsidR="00126F33" w:rsidRPr="00887108" w:rsidRDefault="00126F33" w:rsidP="00733958">
            <w:pPr>
              <w:jc w:val="right"/>
              <w:rPr>
                <w:rFonts w:cs="Times New Roman"/>
                <w:color w:val="000000"/>
                <w:sz w:val="18"/>
                <w:szCs w:val="18"/>
                <w:highlight w:val="yellow"/>
              </w:rPr>
            </w:pPr>
            <w:r w:rsidRPr="00887108">
              <w:rPr>
                <w:color w:val="000000"/>
                <w:sz w:val="18"/>
                <w:szCs w:val="20"/>
              </w:rPr>
              <w:t>-260</w:t>
            </w:r>
          </w:p>
        </w:tc>
      </w:tr>
      <w:tr w:rsidR="00126F33" w:rsidRPr="00887108" w14:paraId="490C8969" w14:textId="77777777" w:rsidTr="00475EA2">
        <w:trPr>
          <w:trHeight w:val="57"/>
        </w:trPr>
        <w:tc>
          <w:tcPr>
            <w:tcW w:w="5560" w:type="dxa"/>
            <w:tcBorders>
              <w:top w:val="nil"/>
              <w:left w:val="nil"/>
              <w:bottom w:val="nil"/>
              <w:right w:val="nil"/>
            </w:tcBorders>
            <w:shd w:val="clear" w:color="auto" w:fill="auto"/>
            <w:vAlign w:val="center"/>
            <w:hideMark/>
          </w:tcPr>
          <w:p w14:paraId="76877606" w14:textId="77777777" w:rsidR="00126F33" w:rsidRPr="00887108" w:rsidRDefault="00126F33" w:rsidP="00733958">
            <w:pPr>
              <w:rPr>
                <w:rFonts w:cs="Times New Roman"/>
                <w:color w:val="000000"/>
                <w:sz w:val="18"/>
                <w:szCs w:val="20"/>
              </w:rPr>
            </w:pPr>
            <w:r w:rsidRPr="00887108">
              <w:rPr>
                <w:rFonts w:cs="Times New Roman"/>
                <w:color w:val="000000"/>
                <w:sz w:val="18"/>
                <w:szCs w:val="20"/>
              </w:rPr>
              <w:t>11. Jednorazové opatrenia na príjm. strane (COVID 19)</w:t>
            </w:r>
          </w:p>
        </w:tc>
        <w:tc>
          <w:tcPr>
            <w:tcW w:w="1190" w:type="dxa"/>
            <w:tcBorders>
              <w:top w:val="nil"/>
              <w:left w:val="nil"/>
              <w:bottom w:val="nil"/>
              <w:right w:val="nil"/>
            </w:tcBorders>
            <w:shd w:val="clear" w:color="auto" w:fill="auto"/>
            <w:noWrap/>
            <w:vAlign w:val="center"/>
            <w:hideMark/>
          </w:tcPr>
          <w:p w14:paraId="45C7C7AE"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2" w:type="dxa"/>
            <w:tcBorders>
              <w:top w:val="nil"/>
              <w:left w:val="nil"/>
              <w:bottom w:val="nil"/>
              <w:right w:val="nil"/>
            </w:tcBorders>
            <w:shd w:val="clear" w:color="auto" w:fill="auto"/>
            <w:noWrap/>
            <w:vAlign w:val="center"/>
            <w:hideMark/>
          </w:tcPr>
          <w:p w14:paraId="1C442FA9" w14:textId="0616EBEF"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0" w:type="dxa"/>
            <w:tcBorders>
              <w:top w:val="nil"/>
              <w:left w:val="nil"/>
              <w:bottom w:val="nil"/>
              <w:right w:val="nil"/>
            </w:tcBorders>
            <w:shd w:val="clear" w:color="auto" w:fill="auto"/>
            <w:noWrap/>
            <w:vAlign w:val="center"/>
            <w:hideMark/>
          </w:tcPr>
          <w:p w14:paraId="7EE52AE0" w14:textId="37215A68" w:rsidR="00126F33" w:rsidRPr="00887108" w:rsidRDefault="00126F33" w:rsidP="00733958">
            <w:pPr>
              <w:jc w:val="right"/>
              <w:rPr>
                <w:rFonts w:cs="Times New Roman"/>
                <w:color w:val="000000"/>
                <w:sz w:val="18"/>
                <w:szCs w:val="18"/>
                <w:highlight w:val="yellow"/>
              </w:rPr>
            </w:pPr>
            <w:r w:rsidRPr="00887108">
              <w:rPr>
                <w:color w:val="000000"/>
                <w:sz w:val="18"/>
                <w:szCs w:val="20"/>
              </w:rPr>
              <w:t>4</w:t>
            </w:r>
          </w:p>
        </w:tc>
      </w:tr>
      <w:tr w:rsidR="00126F33" w:rsidRPr="00887108" w14:paraId="32548686" w14:textId="77777777" w:rsidTr="00475EA2">
        <w:trPr>
          <w:trHeight w:val="57"/>
        </w:trPr>
        <w:tc>
          <w:tcPr>
            <w:tcW w:w="5560" w:type="dxa"/>
            <w:tcBorders>
              <w:top w:val="nil"/>
              <w:left w:val="nil"/>
              <w:bottom w:val="nil"/>
              <w:right w:val="nil"/>
            </w:tcBorders>
            <w:shd w:val="clear" w:color="auto" w:fill="auto"/>
            <w:vAlign w:val="center"/>
            <w:hideMark/>
          </w:tcPr>
          <w:p w14:paraId="0100506D" w14:textId="77777777" w:rsidR="00126F33" w:rsidRPr="00887108" w:rsidRDefault="00126F33" w:rsidP="00733958">
            <w:pPr>
              <w:rPr>
                <w:rFonts w:cs="Times New Roman"/>
                <w:color w:val="000000"/>
                <w:sz w:val="18"/>
                <w:szCs w:val="20"/>
              </w:rPr>
            </w:pPr>
            <w:r w:rsidRPr="00887108">
              <w:rPr>
                <w:rFonts w:cs="Times New Roman"/>
                <w:color w:val="000000"/>
                <w:sz w:val="18"/>
                <w:szCs w:val="20"/>
              </w:rPr>
              <w:t>12. Jednorazové opatrenia na výdav. strane (COVID 19)</w:t>
            </w:r>
          </w:p>
        </w:tc>
        <w:tc>
          <w:tcPr>
            <w:tcW w:w="1190" w:type="dxa"/>
            <w:tcBorders>
              <w:top w:val="nil"/>
              <w:left w:val="nil"/>
              <w:bottom w:val="nil"/>
              <w:right w:val="nil"/>
            </w:tcBorders>
            <w:shd w:val="clear" w:color="auto" w:fill="auto"/>
            <w:noWrap/>
            <w:vAlign w:val="center"/>
            <w:hideMark/>
          </w:tcPr>
          <w:p w14:paraId="041A07D8"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2" w:type="dxa"/>
            <w:tcBorders>
              <w:top w:val="nil"/>
              <w:left w:val="nil"/>
              <w:bottom w:val="nil"/>
              <w:right w:val="nil"/>
            </w:tcBorders>
            <w:shd w:val="clear" w:color="auto" w:fill="auto"/>
            <w:noWrap/>
            <w:vAlign w:val="center"/>
            <w:hideMark/>
          </w:tcPr>
          <w:p w14:paraId="75AB9D51" w14:textId="385307F0"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0" w:type="dxa"/>
            <w:tcBorders>
              <w:top w:val="nil"/>
              <w:left w:val="nil"/>
              <w:bottom w:val="nil"/>
              <w:right w:val="nil"/>
            </w:tcBorders>
            <w:shd w:val="clear" w:color="auto" w:fill="auto"/>
            <w:noWrap/>
            <w:vAlign w:val="center"/>
            <w:hideMark/>
          </w:tcPr>
          <w:p w14:paraId="53BF2C6F" w14:textId="79FA40E6" w:rsidR="00126F33" w:rsidRPr="00887108" w:rsidRDefault="00126F33" w:rsidP="00733958">
            <w:pPr>
              <w:jc w:val="right"/>
              <w:rPr>
                <w:rFonts w:cs="Times New Roman"/>
                <w:color w:val="000000"/>
                <w:sz w:val="18"/>
                <w:szCs w:val="18"/>
                <w:highlight w:val="yellow"/>
              </w:rPr>
            </w:pPr>
            <w:r w:rsidRPr="00887108">
              <w:rPr>
                <w:color w:val="000000"/>
                <w:sz w:val="18"/>
                <w:szCs w:val="20"/>
              </w:rPr>
              <w:t>-1 607</w:t>
            </w:r>
          </w:p>
        </w:tc>
      </w:tr>
      <w:tr w:rsidR="00126F33" w:rsidRPr="00887108" w14:paraId="5FC7BCD9" w14:textId="77777777" w:rsidTr="00475EA2">
        <w:trPr>
          <w:trHeight w:val="57"/>
        </w:trPr>
        <w:tc>
          <w:tcPr>
            <w:tcW w:w="5560" w:type="dxa"/>
            <w:tcBorders>
              <w:top w:val="nil"/>
              <w:left w:val="nil"/>
              <w:bottom w:val="double" w:sz="6" w:space="0" w:color="auto"/>
              <w:right w:val="nil"/>
            </w:tcBorders>
            <w:shd w:val="clear" w:color="auto" w:fill="auto"/>
            <w:vAlign w:val="center"/>
            <w:hideMark/>
          </w:tcPr>
          <w:p w14:paraId="6FB99147" w14:textId="77777777" w:rsidR="00126F33" w:rsidRPr="00887108" w:rsidRDefault="00126F33" w:rsidP="00733958">
            <w:pPr>
              <w:rPr>
                <w:rFonts w:cs="Times New Roman"/>
                <w:color w:val="000000"/>
                <w:sz w:val="18"/>
                <w:szCs w:val="20"/>
              </w:rPr>
            </w:pPr>
            <w:r w:rsidRPr="00887108">
              <w:rPr>
                <w:rFonts w:cs="Times New Roman"/>
                <w:color w:val="000000"/>
                <w:sz w:val="18"/>
                <w:szCs w:val="20"/>
              </w:rPr>
              <w:t>13. Metodické úpravy</w:t>
            </w:r>
          </w:p>
        </w:tc>
        <w:tc>
          <w:tcPr>
            <w:tcW w:w="1190" w:type="dxa"/>
            <w:tcBorders>
              <w:top w:val="nil"/>
              <w:left w:val="nil"/>
              <w:bottom w:val="nil"/>
              <w:right w:val="nil"/>
            </w:tcBorders>
            <w:shd w:val="clear" w:color="auto" w:fill="auto"/>
            <w:noWrap/>
            <w:vAlign w:val="center"/>
            <w:hideMark/>
          </w:tcPr>
          <w:p w14:paraId="3D073F63"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2" w:type="dxa"/>
            <w:tcBorders>
              <w:top w:val="nil"/>
              <w:left w:val="nil"/>
              <w:bottom w:val="nil"/>
              <w:right w:val="nil"/>
            </w:tcBorders>
            <w:shd w:val="clear" w:color="auto" w:fill="auto"/>
            <w:noWrap/>
            <w:vAlign w:val="center"/>
            <w:hideMark/>
          </w:tcPr>
          <w:p w14:paraId="5A1796B3" w14:textId="4F440E69"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c>
          <w:tcPr>
            <w:tcW w:w="1190" w:type="dxa"/>
            <w:tcBorders>
              <w:top w:val="nil"/>
              <w:left w:val="nil"/>
              <w:bottom w:val="nil"/>
              <w:right w:val="nil"/>
            </w:tcBorders>
            <w:shd w:val="clear" w:color="auto" w:fill="auto"/>
            <w:noWrap/>
            <w:vAlign w:val="center"/>
            <w:hideMark/>
          </w:tcPr>
          <w:p w14:paraId="55FD33C8" w14:textId="20A586A4" w:rsidR="00126F33" w:rsidRPr="00887108" w:rsidRDefault="00126F33" w:rsidP="00733958">
            <w:pPr>
              <w:jc w:val="right"/>
              <w:rPr>
                <w:rFonts w:cs="Times New Roman"/>
                <w:color w:val="000000"/>
                <w:sz w:val="18"/>
                <w:szCs w:val="18"/>
                <w:highlight w:val="yellow"/>
              </w:rPr>
            </w:pPr>
            <w:r w:rsidRPr="00887108">
              <w:rPr>
                <w:color w:val="000000"/>
                <w:sz w:val="18"/>
                <w:szCs w:val="20"/>
              </w:rPr>
              <w:t>0</w:t>
            </w:r>
          </w:p>
        </w:tc>
      </w:tr>
      <w:tr w:rsidR="00126F33" w:rsidRPr="00887108" w14:paraId="12C52F11" w14:textId="77777777" w:rsidTr="00475EA2">
        <w:trPr>
          <w:trHeight w:val="57"/>
        </w:trPr>
        <w:tc>
          <w:tcPr>
            <w:tcW w:w="5560" w:type="dxa"/>
            <w:tcBorders>
              <w:top w:val="nil"/>
              <w:left w:val="nil"/>
              <w:bottom w:val="nil"/>
              <w:right w:val="nil"/>
            </w:tcBorders>
            <w:shd w:val="clear" w:color="auto" w:fill="auto"/>
            <w:vAlign w:val="center"/>
            <w:hideMark/>
          </w:tcPr>
          <w:p w14:paraId="0CA4C666" w14:textId="77777777" w:rsidR="00126F33" w:rsidRPr="00887108" w:rsidRDefault="00126F33" w:rsidP="00733958">
            <w:pPr>
              <w:rPr>
                <w:rFonts w:cs="Times New Roman"/>
                <w:color w:val="000000"/>
                <w:sz w:val="18"/>
                <w:szCs w:val="20"/>
              </w:rPr>
            </w:pPr>
            <w:r w:rsidRPr="00887108">
              <w:rPr>
                <w:rFonts w:cs="Times New Roman"/>
                <w:color w:val="000000"/>
                <w:sz w:val="18"/>
                <w:szCs w:val="20"/>
              </w:rPr>
              <w:t>14. Nominálny rast agregátu výdavkov očisteného o príjmové opatrenia ((9t-10t)/8t-1)</w:t>
            </w:r>
          </w:p>
        </w:tc>
        <w:tc>
          <w:tcPr>
            <w:tcW w:w="1190" w:type="dxa"/>
            <w:tcBorders>
              <w:top w:val="double" w:sz="6" w:space="0" w:color="auto"/>
              <w:left w:val="nil"/>
              <w:bottom w:val="nil"/>
              <w:right w:val="nil"/>
            </w:tcBorders>
            <w:shd w:val="clear" w:color="auto" w:fill="auto"/>
            <w:noWrap/>
            <w:vAlign w:val="center"/>
            <w:hideMark/>
          </w:tcPr>
          <w:p w14:paraId="285BEA4F"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6,6</w:t>
            </w:r>
          </w:p>
        </w:tc>
        <w:tc>
          <w:tcPr>
            <w:tcW w:w="1192" w:type="dxa"/>
            <w:tcBorders>
              <w:top w:val="double" w:sz="6" w:space="0" w:color="auto"/>
              <w:left w:val="nil"/>
              <w:bottom w:val="nil"/>
              <w:right w:val="nil"/>
            </w:tcBorders>
            <w:shd w:val="clear" w:color="auto" w:fill="auto"/>
            <w:noWrap/>
            <w:vAlign w:val="center"/>
            <w:hideMark/>
          </w:tcPr>
          <w:p w14:paraId="69389577" w14:textId="541B6850" w:rsidR="00126F33" w:rsidRPr="00887108" w:rsidRDefault="00126F33" w:rsidP="00733958">
            <w:pPr>
              <w:jc w:val="right"/>
              <w:rPr>
                <w:rFonts w:cs="Times New Roman"/>
                <w:color w:val="000000"/>
                <w:sz w:val="18"/>
                <w:szCs w:val="18"/>
                <w:highlight w:val="yellow"/>
              </w:rPr>
            </w:pPr>
            <w:r w:rsidRPr="00887108">
              <w:rPr>
                <w:color w:val="000000"/>
                <w:sz w:val="18"/>
                <w:szCs w:val="20"/>
              </w:rPr>
              <w:t>7,8</w:t>
            </w:r>
          </w:p>
        </w:tc>
        <w:tc>
          <w:tcPr>
            <w:tcW w:w="1190" w:type="dxa"/>
            <w:tcBorders>
              <w:top w:val="double" w:sz="6" w:space="0" w:color="auto"/>
              <w:left w:val="nil"/>
              <w:bottom w:val="nil"/>
              <w:right w:val="nil"/>
            </w:tcBorders>
            <w:shd w:val="clear" w:color="auto" w:fill="auto"/>
            <w:noWrap/>
            <w:vAlign w:val="center"/>
            <w:hideMark/>
          </w:tcPr>
          <w:p w14:paraId="3ACADBFC" w14:textId="026F2CA9" w:rsidR="00126F33" w:rsidRPr="00887108" w:rsidRDefault="00126F33" w:rsidP="00733958">
            <w:pPr>
              <w:jc w:val="right"/>
              <w:rPr>
                <w:rFonts w:cs="Times New Roman"/>
                <w:color w:val="000000"/>
                <w:sz w:val="18"/>
                <w:szCs w:val="18"/>
                <w:highlight w:val="yellow"/>
              </w:rPr>
            </w:pPr>
            <w:r w:rsidRPr="00887108">
              <w:rPr>
                <w:color w:val="000000"/>
                <w:sz w:val="18"/>
                <w:szCs w:val="20"/>
              </w:rPr>
              <w:t>8,2</w:t>
            </w:r>
          </w:p>
        </w:tc>
      </w:tr>
      <w:tr w:rsidR="00126F33" w:rsidRPr="00887108" w14:paraId="2377E6BA" w14:textId="77777777" w:rsidTr="00475EA2">
        <w:trPr>
          <w:trHeight w:val="57"/>
        </w:trPr>
        <w:tc>
          <w:tcPr>
            <w:tcW w:w="5560" w:type="dxa"/>
            <w:tcBorders>
              <w:top w:val="nil"/>
              <w:left w:val="nil"/>
              <w:bottom w:val="nil"/>
              <w:right w:val="nil"/>
            </w:tcBorders>
            <w:shd w:val="clear" w:color="auto" w:fill="auto"/>
            <w:vAlign w:val="center"/>
            <w:hideMark/>
          </w:tcPr>
          <w:p w14:paraId="31AB5BCB" w14:textId="77777777" w:rsidR="00126F33" w:rsidRPr="00887108" w:rsidRDefault="00126F33" w:rsidP="00733958">
            <w:pPr>
              <w:rPr>
                <w:rFonts w:cs="Times New Roman"/>
                <w:color w:val="000000"/>
                <w:sz w:val="18"/>
                <w:szCs w:val="20"/>
              </w:rPr>
            </w:pPr>
            <w:r w:rsidRPr="00887108">
              <w:rPr>
                <w:rFonts w:cs="Times New Roman"/>
                <w:color w:val="000000"/>
                <w:sz w:val="18"/>
                <w:szCs w:val="20"/>
              </w:rPr>
              <w:t xml:space="preserve">15. Reálny rast agregátu výdavkov očisteného o príjmové opatrenia </w:t>
            </w:r>
          </w:p>
        </w:tc>
        <w:tc>
          <w:tcPr>
            <w:tcW w:w="1190" w:type="dxa"/>
            <w:tcBorders>
              <w:top w:val="nil"/>
              <w:left w:val="nil"/>
              <w:bottom w:val="nil"/>
              <w:right w:val="nil"/>
            </w:tcBorders>
            <w:shd w:val="clear" w:color="auto" w:fill="auto"/>
            <w:noWrap/>
            <w:vAlign w:val="center"/>
            <w:hideMark/>
          </w:tcPr>
          <w:p w14:paraId="15ED5291"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5,0</w:t>
            </w:r>
          </w:p>
        </w:tc>
        <w:tc>
          <w:tcPr>
            <w:tcW w:w="1192" w:type="dxa"/>
            <w:tcBorders>
              <w:top w:val="nil"/>
              <w:left w:val="nil"/>
              <w:bottom w:val="nil"/>
              <w:right w:val="nil"/>
            </w:tcBorders>
            <w:shd w:val="clear" w:color="auto" w:fill="auto"/>
            <w:noWrap/>
            <w:vAlign w:val="center"/>
            <w:hideMark/>
          </w:tcPr>
          <w:p w14:paraId="4C8533A8" w14:textId="6EE9E833" w:rsidR="00126F33" w:rsidRPr="00887108" w:rsidRDefault="00126F33" w:rsidP="00733958">
            <w:pPr>
              <w:jc w:val="right"/>
              <w:rPr>
                <w:rFonts w:cs="Times New Roman"/>
                <w:color w:val="000000"/>
                <w:sz w:val="18"/>
                <w:szCs w:val="18"/>
                <w:highlight w:val="yellow"/>
              </w:rPr>
            </w:pPr>
            <w:r w:rsidRPr="00887108">
              <w:rPr>
                <w:color w:val="000000"/>
                <w:sz w:val="18"/>
                <w:szCs w:val="20"/>
              </w:rPr>
              <w:t>5,2</w:t>
            </w:r>
          </w:p>
        </w:tc>
        <w:tc>
          <w:tcPr>
            <w:tcW w:w="1190" w:type="dxa"/>
            <w:tcBorders>
              <w:top w:val="nil"/>
              <w:left w:val="nil"/>
              <w:bottom w:val="nil"/>
              <w:right w:val="nil"/>
            </w:tcBorders>
            <w:shd w:val="clear" w:color="auto" w:fill="auto"/>
            <w:noWrap/>
            <w:vAlign w:val="center"/>
            <w:hideMark/>
          </w:tcPr>
          <w:p w14:paraId="2D1B899A" w14:textId="5D65F0E8" w:rsidR="00126F33" w:rsidRPr="00887108" w:rsidRDefault="00126F33" w:rsidP="00733958">
            <w:pPr>
              <w:jc w:val="right"/>
              <w:rPr>
                <w:rFonts w:cs="Times New Roman"/>
                <w:color w:val="000000"/>
                <w:sz w:val="18"/>
                <w:szCs w:val="18"/>
              </w:rPr>
            </w:pPr>
            <w:r w:rsidRPr="00887108">
              <w:rPr>
                <w:color w:val="000000"/>
                <w:sz w:val="18"/>
                <w:szCs w:val="20"/>
              </w:rPr>
              <w:t>5,6</w:t>
            </w:r>
          </w:p>
        </w:tc>
      </w:tr>
      <w:tr w:rsidR="00126F33" w:rsidRPr="00887108" w14:paraId="1045F8DC" w14:textId="77777777" w:rsidTr="00475EA2">
        <w:trPr>
          <w:trHeight w:val="57"/>
        </w:trPr>
        <w:tc>
          <w:tcPr>
            <w:tcW w:w="5560" w:type="dxa"/>
            <w:tcBorders>
              <w:top w:val="single" w:sz="4" w:space="0" w:color="auto"/>
              <w:left w:val="nil"/>
              <w:bottom w:val="nil"/>
              <w:right w:val="nil"/>
            </w:tcBorders>
            <w:shd w:val="clear" w:color="auto" w:fill="auto"/>
            <w:vAlign w:val="center"/>
            <w:hideMark/>
          </w:tcPr>
          <w:p w14:paraId="49DB2AC9" w14:textId="77777777" w:rsidR="00126F33" w:rsidRPr="00887108" w:rsidRDefault="00126F33" w:rsidP="00733958">
            <w:pPr>
              <w:rPr>
                <w:rFonts w:cs="Times New Roman"/>
                <w:color w:val="000000"/>
                <w:sz w:val="18"/>
                <w:szCs w:val="20"/>
              </w:rPr>
            </w:pPr>
            <w:r w:rsidRPr="00887108">
              <w:rPr>
                <w:rFonts w:cs="Times New Roman"/>
                <w:color w:val="000000"/>
                <w:sz w:val="18"/>
                <w:szCs w:val="20"/>
              </w:rPr>
              <w:t>16. Výdavkové pravidlo (znížená referenčná miera pot. rastu HDP)</w:t>
            </w:r>
          </w:p>
        </w:tc>
        <w:tc>
          <w:tcPr>
            <w:tcW w:w="1190" w:type="dxa"/>
            <w:tcBorders>
              <w:top w:val="single" w:sz="4" w:space="0" w:color="auto"/>
              <w:left w:val="nil"/>
              <w:bottom w:val="nil"/>
              <w:right w:val="nil"/>
            </w:tcBorders>
            <w:shd w:val="clear" w:color="auto" w:fill="auto"/>
            <w:noWrap/>
            <w:vAlign w:val="center"/>
            <w:hideMark/>
          </w:tcPr>
          <w:p w14:paraId="78054A37"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1,3</w:t>
            </w:r>
          </w:p>
        </w:tc>
        <w:tc>
          <w:tcPr>
            <w:tcW w:w="1192" w:type="dxa"/>
            <w:tcBorders>
              <w:top w:val="single" w:sz="4" w:space="0" w:color="auto"/>
              <w:left w:val="nil"/>
              <w:bottom w:val="nil"/>
              <w:right w:val="nil"/>
            </w:tcBorders>
            <w:shd w:val="clear" w:color="auto" w:fill="auto"/>
            <w:noWrap/>
            <w:vAlign w:val="center"/>
            <w:hideMark/>
          </w:tcPr>
          <w:p w14:paraId="7DFD2114" w14:textId="369D8F52" w:rsidR="00126F33" w:rsidRPr="00887108" w:rsidRDefault="00126F33" w:rsidP="00733958">
            <w:pPr>
              <w:jc w:val="right"/>
              <w:rPr>
                <w:rFonts w:cs="Times New Roman"/>
                <w:color w:val="000000"/>
                <w:sz w:val="18"/>
                <w:szCs w:val="18"/>
                <w:highlight w:val="yellow"/>
              </w:rPr>
            </w:pPr>
            <w:r w:rsidRPr="00887108">
              <w:rPr>
                <w:color w:val="000000"/>
                <w:sz w:val="18"/>
                <w:szCs w:val="20"/>
              </w:rPr>
              <w:t>2,0</w:t>
            </w:r>
          </w:p>
        </w:tc>
        <w:tc>
          <w:tcPr>
            <w:tcW w:w="1190" w:type="dxa"/>
            <w:tcBorders>
              <w:top w:val="single" w:sz="4" w:space="0" w:color="auto"/>
              <w:left w:val="nil"/>
              <w:bottom w:val="nil"/>
              <w:right w:val="nil"/>
            </w:tcBorders>
            <w:shd w:val="clear" w:color="auto" w:fill="auto"/>
            <w:noWrap/>
            <w:vAlign w:val="center"/>
            <w:hideMark/>
          </w:tcPr>
          <w:p w14:paraId="72EAFB44" w14:textId="103D38A4" w:rsidR="00126F33" w:rsidRPr="00887108" w:rsidRDefault="00126F33" w:rsidP="00733958">
            <w:pPr>
              <w:jc w:val="right"/>
              <w:rPr>
                <w:rFonts w:cs="Times New Roman"/>
                <w:color w:val="000000"/>
                <w:sz w:val="18"/>
                <w:szCs w:val="18"/>
                <w:highlight w:val="yellow"/>
              </w:rPr>
            </w:pPr>
            <w:r w:rsidRPr="00887108">
              <w:rPr>
                <w:color w:val="000000"/>
                <w:sz w:val="18"/>
                <w:szCs w:val="20"/>
              </w:rPr>
              <w:t>2,8</w:t>
            </w:r>
          </w:p>
        </w:tc>
      </w:tr>
      <w:tr w:rsidR="00126F33" w:rsidRPr="00887108" w14:paraId="468BB1DA" w14:textId="77777777" w:rsidTr="00475EA2">
        <w:trPr>
          <w:trHeight w:val="57"/>
        </w:trPr>
        <w:tc>
          <w:tcPr>
            <w:tcW w:w="5560" w:type="dxa"/>
            <w:tcBorders>
              <w:top w:val="nil"/>
              <w:left w:val="nil"/>
              <w:bottom w:val="single" w:sz="4" w:space="0" w:color="auto"/>
              <w:right w:val="nil"/>
            </w:tcBorders>
            <w:shd w:val="clear" w:color="auto" w:fill="auto"/>
            <w:vAlign w:val="center"/>
            <w:hideMark/>
          </w:tcPr>
          <w:p w14:paraId="6768C92A" w14:textId="77777777" w:rsidR="00126F33" w:rsidRPr="00887108" w:rsidRDefault="00126F33" w:rsidP="00733958">
            <w:pPr>
              <w:rPr>
                <w:rFonts w:cs="Times New Roman"/>
                <w:color w:val="000000"/>
                <w:sz w:val="18"/>
                <w:szCs w:val="20"/>
              </w:rPr>
            </w:pPr>
            <w:r w:rsidRPr="00887108">
              <w:rPr>
                <w:rFonts w:cs="Times New Roman"/>
                <w:color w:val="000000"/>
                <w:sz w:val="18"/>
                <w:szCs w:val="20"/>
              </w:rPr>
              <w:t>17. Odchýlka od výdavkového pravidla (16-15)</w:t>
            </w:r>
          </w:p>
        </w:tc>
        <w:tc>
          <w:tcPr>
            <w:tcW w:w="1190" w:type="dxa"/>
            <w:tcBorders>
              <w:top w:val="nil"/>
              <w:left w:val="nil"/>
              <w:bottom w:val="single" w:sz="4" w:space="0" w:color="auto"/>
              <w:right w:val="nil"/>
            </w:tcBorders>
            <w:shd w:val="clear" w:color="auto" w:fill="auto"/>
            <w:vAlign w:val="center"/>
            <w:hideMark/>
          </w:tcPr>
          <w:p w14:paraId="39FA47C5" w14:textId="77777777" w:rsidR="00126F33" w:rsidRPr="00887108" w:rsidRDefault="00126F33" w:rsidP="00733958">
            <w:pPr>
              <w:jc w:val="right"/>
              <w:rPr>
                <w:rFonts w:cs="Times New Roman"/>
                <w:color w:val="000000"/>
                <w:sz w:val="18"/>
                <w:szCs w:val="18"/>
                <w:highlight w:val="yellow"/>
              </w:rPr>
            </w:pPr>
            <w:r w:rsidRPr="00887108">
              <w:rPr>
                <w:color w:val="000000"/>
                <w:sz w:val="18"/>
                <w:szCs w:val="20"/>
              </w:rPr>
              <w:t>-3,6</w:t>
            </w:r>
          </w:p>
        </w:tc>
        <w:tc>
          <w:tcPr>
            <w:tcW w:w="1192" w:type="dxa"/>
            <w:tcBorders>
              <w:top w:val="nil"/>
              <w:left w:val="nil"/>
              <w:bottom w:val="single" w:sz="4" w:space="0" w:color="auto"/>
              <w:right w:val="nil"/>
            </w:tcBorders>
            <w:shd w:val="clear" w:color="auto" w:fill="auto"/>
            <w:vAlign w:val="center"/>
            <w:hideMark/>
          </w:tcPr>
          <w:p w14:paraId="51A01F8A" w14:textId="3E106547" w:rsidR="00126F33" w:rsidRPr="00887108" w:rsidRDefault="00126F33" w:rsidP="00733958">
            <w:pPr>
              <w:jc w:val="right"/>
              <w:rPr>
                <w:rFonts w:cs="Times New Roman"/>
                <w:color w:val="000000"/>
                <w:sz w:val="18"/>
                <w:szCs w:val="18"/>
                <w:highlight w:val="yellow"/>
              </w:rPr>
            </w:pPr>
            <w:r w:rsidRPr="00887108">
              <w:rPr>
                <w:color w:val="000000"/>
                <w:sz w:val="18"/>
                <w:szCs w:val="20"/>
              </w:rPr>
              <w:t>-3,2</w:t>
            </w:r>
          </w:p>
        </w:tc>
        <w:tc>
          <w:tcPr>
            <w:tcW w:w="1190" w:type="dxa"/>
            <w:tcBorders>
              <w:top w:val="nil"/>
              <w:left w:val="nil"/>
              <w:bottom w:val="single" w:sz="4" w:space="0" w:color="auto"/>
              <w:right w:val="nil"/>
            </w:tcBorders>
            <w:shd w:val="clear" w:color="auto" w:fill="auto"/>
            <w:vAlign w:val="center"/>
            <w:hideMark/>
          </w:tcPr>
          <w:p w14:paraId="06E6DC36" w14:textId="21C55657" w:rsidR="00126F33" w:rsidRPr="00887108" w:rsidRDefault="00126F33" w:rsidP="00733958">
            <w:pPr>
              <w:jc w:val="right"/>
              <w:rPr>
                <w:rFonts w:cs="Times New Roman"/>
                <w:color w:val="000000"/>
                <w:sz w:val="18"/>
                <w:szCs w:val="18"/>
                <w:highlight w:val="yellow"/>
              </w:rPr>
            </w:pPr>
            <w:r w:rsidRPr="00887108">
              <w:rPr>
                <w:color w:val="000000"/>
                <w:sz w:val="18"/>
                <w:szCs w:val="20"/>
              </w:rPr>
              <w:t>-2,8</w:t>
            </w:r>
          </w:p>
        </w:tc>
      </w:tr>
      <w:tr w:rsidR="00126F33" w:rsidRPr="00887108" w14:paraId="33A9DF62" w14:textId="77777777" w:rsidTr="00475EA2">
        <w:trPr>
          <w:trHeight w:val="57"/>
        </w:trPr>
        <w:tc>
          <w:tcPr>
            <w:tcW w:w="5560" w:type="dxa"/>
            <w:tcBorders>
              <w:top w:val="nil"/>
              <w:left w:val="nil"/>
              <w:bottom w:val="nil"/>
              <w:right w:val="nil"/>
            </w:tcBorders>
            <w:shd w:val="clear" w:color="auto" w:fill="auto"/>
            <w:noWrap/>
            <w:vAlign w:val="bottom"/>
            <w:hideMark/>
          </w:tcPr>
          <w:p w14:paraId="7832D601" w14:textId="77777777" w:rsidR="00126F33" w:rsidRPr="00887108" w:rsidRDefault="00126F33" w:rsidP="00733958">
            <w:pPr>
              <w:rPr>
                <w:rFonts w:cs="Times New Roman"/>
                <w:color w:val="000000"/>
                <w:sz w:val="18"/>
                <w:szCs w:val="20"/>
              </w:rPr>
            </w:pPr>
            <w:r w:rsidRPr="00887108">
              <w:rPr>
                <w:rFonts w:cs="Times New Roman"/>
                <w:color w:val="000000"/>
                <w:sz w:val="18"/>
                <w:szCs w:val="20"/>
              </w:rPr>
              <w:t>Jednoročná odchýlka - zafixované</w:t>
            </w:r>
          </w:p>
        </w:tc>
        <w:tc>
          <w:tcPr>
            <w:tcW w:w="1190" w:type="dxa"/>
            <w:tcBorders>
              <w:top w:val="single" w:sz="4" w:space="0" w:color="auto"/>
              <w:left w:val="nil"/>
              <w:bottom w:val="nil"/>
              <w:right w:val="nil"/>
            </w:tcBorders>
            <w:shd w:val="clear" w:color="auto" w:fill="FFC7CE"/>
            <w:vAlign w:val="center"/>
            <w:hideMark/>
          </w:tcPr>
          <w:p w14:paraId="5148CE16" w14:textId="77777777" w:rsidR="00126F33" w:rsidRPr="00887108" w:rsidRDefault="00126F33" w:rsidP="00733958">
            <w:pPr>
              <w:jc w:val="right"/>
              <w:rPr>
                <w:rFonts w:cs="Times New Roman"/>
                <w:b/>
                <w:bCs/>
                <w:color w:val="9C6500"/>
                <w:sz w:val="18"/>
                <w:szCs w:val="18"/>
                <w:highlight w:val="yellow"/>
              </w:rPr>
            </w:pPr>
            <w:r w:rsidRPr="00887108">
              <w:rPr>
                <w:b/>
                <w:bCs/>
                <w:color w:val="9C0006"/>
                <w:sz w:val="18"/>
                <w:szCs w:val="20"/>
              </w:rPr>
              <w:t>-1,2</w:t>
            </w:r>
          </w:p>
        </w:tc>
        <w:tc>
          <w:tcPr>
            <w:tcW w:w="1192" w:type="dxa"/>
            <w:tcBorders>
              <w:top w:val="single" w:sz="4" w:space="0" w:color="auto"/>
              <w:left w:val="nil"/>
              <w:bottom w:val="nil"/>
              <w:right w:val="nil"/>
            </w:tcBorders>
            <w:shd w:val="clear" w:color="000000" w:fill="FFC7CE"/>
            <w:vAlign w:val="center"/>
            <w:hideMark/>
          </w:tcPr>
          <w:p w14:paraId="71170738" w14:textId="29134AAF" w:rsidR="00126F33" w:rsidRPr="00887108" w:rsidRDefault="00126F33" w:rsidP="00733958">
            <w:pPr>
              <w:jc w:val="right"/>
              <w:rPr>
                <w:rFonts w:cs="Times New Roman"/>
                <w:b/>
                <w:bCs/>
                <w:color w:val="9C0006"/>
                <w:sz w:val="18"/>
                <w:szCs w:val="18"/>
                <w:highlight w:val="yellow"/>
              </w:rPr>
            </w:pPr>
            <w:r w:rsidRPr="00887108">
              <w:rPr>
                <w:b/>
                <w:bCs/>
                <w:color w:val="9C0006"/>
                <w:sz w:val="18"/>
                <w:szCs w:val="20"/>
              </w:rPr>
              <w:t>-1,2</w:t>
            </w:r>
          </w:p>
        </w:tc>
        <w:tc>
          <w:tcPr>
            <w:tcW w:w="1190" w:type="dxa"/>
            <w:tcBorders>
              <w:top w:val="single" w:sz="4" w:space="0" w:color="auto"/>
              <w:left w:val="nil"/>
              <w:bottom w:val="nil"/>
              <w:right w:val="nil"/>
            </w:tcBorders>
            <w:shd w:val="clear" w:color="auto" w:fill="auto"/>
            <w:vAlign w:val="center"/>
            <w:hideMark/>
          </w:tcPr>
          <w:p w14:paraId="1B7CD865" w14:textId="75D6F87C" w:rsidR="00126F33" w:rsidRPr="00887108" w:rsidRDefault="00126F33" w:rsidP="00733958">
            <w:pPr>
              <w:jc w:val="right"/>
              <w:rPr>
                <w:rFonts w:cs="Times New Roman"/>
                <w:b/>
                <w:bCs/>
                <w:color w:val="006100"/>
                <w:sz w:val="18"/>
                <w:szCs w:val="18"/>
                <w:highlight w:val="yellow"/>
              </w:rPr>
            </w:pPr>
            <w:r w:rsidRPr="00887108">
              <w:rPr>
                <w:b/>
                <w:bCs/>
                <w:color w:val="000000"/>
                <w:sz w:val="18"/>
                <w:szCs w:val="20"/>
              </w:rPr>
              <w:t>-</w:t>
            </w:r>
          </w:p>
        </w:tc>
      </w:tr>
      <w:tr w:rsidR="00126F33" w:rsidRPr="00887108" w14:paraId="6858B9EC" w14:textId="77777777" w:rsidTr="00475EA2">
        <w:trPr>
          <w:trHeight w:val="57"/>
        </w:trPr>
        <w:tc>
          <w:tcPr>
            <w:tcW w:w="5560" w:type="dxa"/>
            <w:tcBorders>
              <w:top w:val="nil"/>
              <w:left w:val="nil"/>
              <w:bottom w:val="single" w:sz="4" w:space="0" w:color="auto"/>
              <w:right w:val="nil"/>
            </w:tcBorders>
            <w:shd w:val="clear" w:color="auto" w:fill="auto"/>
            <w:noWrap/>
            <w:vAlign w:val="bottom"/>
            <w:hideMark/>
          </w:tcPr>
          <w:p w14:paraId="16EB8D45" w14:textId="77777777" w:rsidR="00126F33" w:rsidRPr="00887108" w:rsidRDefault="00126F33" w:rsidP="00733958">
            <w:pPr>
              <w:rPr>
                <w:rFonts w:cs="Times New Roman"/>
                <w:color w:val="000000"/>
                <w:sz w:val="18"/>
                <w:szCs w:val="20"/>
              </w:rPr>
            </w:pPr>
            <w:r w:rsidRPr="00887108">
              <w:rPr>
                <w:rFonts w:cs="Times New Roman"/>
                <w:color w:val="000000"/>
                <w:sz w:val="18"/>
                <w:szCs w:val="20"/>
              </w:rPr>
              <w:t>Dvojročná odchýlka - zafixované</w:t>
            </w:r>
          </w:p>
        </w:tc>
        <w:tc>
          <w:tcPr>
            <w:tcW w:w="1190" w:type="dxa"/>
            <w:tcBorders>
              <w:top w:val="nil"/>
              <w:left w:val="nil"/>
              <w:bottom w:val="single" w:sz="4" w:space="0" w:color="auto"/>
              <w:right w:val="nil"/>
            </w:tcBorders>
            <w:shd w:val="clear" w:color="auto" w:fill="FFC7CE"/>
            <w:vAlign w:val="center"/>
            <w:hideMark/>
          </w:tcPr>
          <w:p w14:paraId="65973B4C" w14:textId="77777777" w:rsidR="00126F33" w:rsidRPr="00887108" w:rsidRDefault="00126F33" w:rsidP="00733958">
            <w:pPr>
              <w:jc w:val="right"/>
              <w:rPr>
                <w:rFonts w:cs="Times New Roman"/>
                <w:b/>
                <w:bCs/>
                <w:color w:val="006100"/>
                <w:sz w:val="18"/>
                <w:szCs w:val="18"/>
                <w:highlight w:val="yellow"/>
              </w:rPr>
            </w:pPr>
            <w:r w:rsidRPr="00887108">
              <w:rPr>
                <w:b/>
                <w:bCs/>
                <w:color w:val="9C0006"/>
                <w:sz w:val="18"/>
                <w:szCs w:val="20"/>
              </w:rPr>
              <w:t>-0,6</w:t>
            </w:r>
          </w:p>
        </w:tc>
        <w:tc>
          <w:tcPr>
            <w:tcW w:w="1192" w:type="dxa"/>
            <w:tcBorders>
              <w:top w:val="nil"/>
              <w:left w:val="nil"/>
              <w:bottom w:val="single" w:sz="4" w:space="0" w:color="auto"/>
              <w:right w:val="nil"/>
            </w:tcBorders>
            <w:shd w:val="clear" w:color="000000" w:fill="FFC7CE"/>
            <w:vAlign w:val="center"/>
            <w:hideMark/>
          </w:tcPr>
          <w:p w14:paraId="75CACB64" w14:textId="649D4F50" w:rsidR="00126F33" w:rsidRPr="00887108" w:rsidRDefault="00126F33" w:rsidP="00733958">
            <w:pPr>
              <w:jc w:val="right"/>
              <w:rPr>
                <w:rFonts w:cs="Times New Roman"/>
                <w:b/>
                <w:bCs/>
                <w:color w:val="9C0006"/>
                <w:sz w:val="18"/>
                <w:szCs w:val="18"/>
                <w:highlight w:val="yellow"/>
              </w:rPr>
            </w:pPr>
            <w:r w:rsidRPr="00887108">
              <w:rPr>
                <w:b/>
                <w:bCs/>
                <w:color w:val="9C0006"/>
                <w:sz w:val="18"/>
                <w:szCs w:val="20"/>
              </w:rPr>
              <w:t>-1,2</w:t>
            </w:r>
          </w:p>
        </w:tc>
        <w:tc>
          <w:tcPr>
            <w:tcW w:w="1190" w:type="dxa"/>
            <w:tcBorders>
              <w:top w:val="nil"/>
              <w:left w:val="nil"/>
              <w:bottom w:val="single" w:sz="4" w:space="0" w:color="auto"/>
              <w:right w:val="nil"/>
            </w:tcBorders>
            <w:shd w:val="clear" w:color="auto" w:fill="auto"/>
            <w:vAlign w:val="center"/>
            <w:hideMark/>
          </w:tcPr>
          <w:p w14:paraId="7FE9B409" w14:textId="3ACBA6AE" w:rsidR="00126F33" w:rsidRPr="00887108" w:rsidRDefault="00126F33" w:rsidP="00733958">
            <w:pPr>
              <w:jc w:val="right"/>
              <w:rPr>
                <w:rFonts w:cs="Times New Roman"/>
                <w:b/>
                <w:bCs/>
                <w:color w:val="9C0006"/>
                <w:sz w:val="18"/>
                <w:szCs w:val="18"/>
                <w:highlight w:val="yellow"/>
              </w:rPr>
            </w:pPr>
            <w:r w:rsidRPr="00887108">
              <w:rPr>
                <w:b/>
                <w:bCs/>
                <w:color w:val="000000"/>
                <w:sz w:val="18"/>
                <w:szCs w:val="20"/>
              </w:rPr>
              <w:t>-</w:t>
            </w:r>
          </w:p>
        </w:tc>
      </w:tr>
      <w:tr w:rsidR="00126F33" w:rsidRPr="00887108" w14:paraId="4991C56E" w14:textId="77777777" w:rsidTr="00475EA2">
        <w:trPr>
          <w:trHeight w:val="57"/>
        </w:trPr>
        <w:tc>
          <w:tcPr>
            <w:tcW w:w="5560" w:type="dxa"/>
            <w:tcBorders>
              <w:top w:val="nil"/>
              <w:left w:val="nil"/>
              <w:bottom w:val="nil"/>
              <w:right w:val="nil"/>
            </w:tcBorders>
            <w:shd w:val="clear" w:color="auto" w:fill="auto"/>
            <w:noWrap/>
            <w:vAlign w:val="center"/>
            <w:hideMark/>
          </w:tcPr>
          <w:p w14:paraId="2EE176D7" w14:textId="77777777" w:rsidR="00126F33" w:rsidRPr="00887108" w:rsidRDefault="00126F33" w:rsidP="00E9118E">
            <w:pPr>
              <w:rPr>
                <w:rFonts w:cs="Times New Roman"/>
                <w:i/>
                <w:iCs/>
                <w:color w:val="000000"/>
                <w:sz w:val="18"/>
                <w:szCs w:val="20"/>
              </w:rPr>
            </w:pPr>
            <w:r w:rsidRPr="00887108">
              <w:rPr>
                <w:rFonts w:cs="Times New Roman"/>
                <w:i/>
                <w:iCs/>
                <w:color w:val="000000"/>
                <w:sz w:val="18"/>
                <w:szCs w:val="20"/>
              </w:rPr>
              <w:t>p. m. deflátor HDP</w:t>
            </w:r>
          </w:p>
        </w:tc>
        <w:tc>
          <w:tcPr>
            <w:tcW w:w="1190" w:type="dxa"/>
            <w:tcBorders>
              <w:top w:val="nil"/>
              <w:left w:val="nil"/>
              <w:bottom w:val="nil"/>
              <w:right w:val="nil"/>
            </w:tcBorders>
            <w:shd w:val="clear" w:color="auto" w:fill="auto"/>
            <w:noWrap/>
            <w:vAlign w:val="center"/>
            <w:hideMark/>
          </w:tcPr>
          <w:p w14:paraId="1A98E35C" w14:textId="77777777" w:rsidR="00126F33" w:rsidRPr="00887108" w:rsidRDefault="00126F33" w:rsidP="00E9118E">
            <w:pPr>
              <w:jc w:val="right"/>
              <w:rPr>
                <w:rFonts w:cs="Times New Roman"/>
                <w:i/>
                <w:iCs/>
                <w:color w:val="000000"/>
                <w:sz w:val="18"/>
                <w:szCs w:val="18"/>
                <w:highlight w:val="yellow"/>
              </w:rPr>
            </w:pPr>
            <w:r w:rsidRPr="00887108">
              <w:rPr>
                <w:i/>
                <w:iCs/>
                <w:color w:val="000000"/>
                <w:sz w:val="18"/>
                <w:szCs w:val="20"/>
              </w:rPr>
              <w:t>1,5</w:t>
            </w:r>
          </w:p>
        </w:tc>
        <w:tc>
          <w:tcPr>
            <w:tcW w:w="1192" w:type="dxa"/>
            <w:tcBorders>
              <w:top w:val="nil"/>
              <w:left w:val="nil"/>
              <w:bottom w:val="nil"/>
              <w:right w:val="nil"/>
            </w:tcBorders>
            <w:shd w:val="clear" w:color="auto" w:fill="auto"/>
            <w:noWrap/>
            <w:vAlign w:val="center"/>
            <w:hideMark/>
          </w:tcPr>
          <w:p w14:paraId="7656FE4F" w14:textId="77777777" w:rsidR="00126F33" w:rsidRPr="00887108" w:rsidRDefault="00126F33" w:rsidP="00E9118E">
            <w:pPr>
              <w:jc w:val="right"/>
              <w:rPr>
                <w:rFonts w:cs="Times New Roman"/>
                <w:i/>
                <w:iCs/>
                <w:color w:val="000000"/>
                <w:sz w:val="18"/>
                <w:szCs w:val="18"/>
                <w:highlight w:val="yellow"/>
              </w:rPr>
            </w:pPr>
            <w:r w:rsidRPr="00887108">
              <w:rPr>
                <w:i/>
                <w:iCs/>
                <w:color w:val="000000"/>
                <w:sz w:val="18"/>
                <w:szCs w:val="20"/>
              </w:rPr>
              <w:t>2,5</w:t>
            </w:r>
          </w:p>
        </w:tc>
        <w:tc>
          <w:tcPr>
            <w:tcW w:w="1190" w:type="dxa"/>
            <w:tcBorders>
              <w:top w:val="nil"/>
              <w:left w:val="nil"/>
              <w:bottom w:val="nil"/>
              <w:right w:val="nil"/>
            </w:tcBorders>
            <w:shd w:val="clear" w:color="auto" w:fill="auto"/>
            <w:noWrap/>
            <w:vAlign w:val="center"/>
            <w:hideMark/>
          </w:tcPr>
          <w:p w14:paraId="02671E41" w14:textId="77777777" w:rsidR="00126F33" w:rsidRPr="00887108" w:rsidRDefault="00126F33" w:rsidP="00E9118E">
            <w:pPr>
              <w:jc w:val="right"/>
              <w:rPr>
                <w:rFonts w:cs="Times New Roman"/>
                <w:i/>
                <w:iCs/>
                <w:color w:val="000000"/>
                <w:sz w:val="18"/>
                <w:szCs w:val="18"/>
                <w:highlight w:val="yellow"/>
              </w:rPr>
            </w:pPr>
            <w:r w:rsidRPr="00887108">
              <w:rPr>
                <w:i/>
                <w:iCs/>
                <w:color w:val="000000"/>
                <w:sz w:val="18"/>
                <w:szCs w:val="20"/>
              </w:rPr>
              <w:t>2,5</w:t>
            </w:r>
          </w:p>
        </w:tc>
      </w:tr>
      <w:tr w:rsidR="00126F33" w:rsidRPr="00887108" w14:paraId="707E2F1F" w14:textId="77777777" w:rsidTr="00475EA2">
        <w:trPr>
          <w:trHeight w:val="57"/>
        </w:trPr>
        <w:tc>
          <w:tcPr>
            <w:tcW w:w="5560" w:type="dxa"/>
            <w:tcBorders>
              <w:top w:val="nil"/>
              <w:left w:val="nil"/>
              <w:bottom w:val="nil"/>
              <w:right w:val="nil"/>
            </w:tcBorders>
            <w:shd w:val="clear" w:color="auto" w:fill="auto"/>
            <w:noWrap/>
            <w:vAlign w:val="bottom"/>
            <w:hideMark/>
          </w:tcPr>
          <w:p w14:paraId="784FE2FA" w14:textId="77777777" w:rsidR="00126F33" w:rsidRPr="00887108" w:rsidRDefault="00126F33" w:rsidP="00E9118E">
            <w:pPr>
              <w:rPr>
                <w:rFonts w:cs="Times New Roman"/>
                <w:color w:val="000000"/>
                <w:sz w:val="18"/>
                <w:szCs w:val="20"/>
              </w:rPr>
            </w:pPr>
            <w:r w:rsidRPr="00887108">
              <w:rPr>
                <w:rFonts w:cs="Times New Roman"/>
                <w:color w:val="000000"/>
                <w:sz w:val="18"/>
                <w:szCs w:val="20"/>
              </w:rPr>
              <w:t>Limit odchýlky na 1r. horizonte</w:t>
            </w:r>
          </w:p>
        </w:tc>
        <w:tc>
          <w:tcPr>
            <w:tcW w:w="1190" w:type="dxa"/>
            <w:tcBorders>
              <w:top w:val="nil"/>
              <w:left w:val="nil"/>
              <w:bottom w:val="nil"/>
              <w:right w:val="nil"/>
            </w:tcBorders>
            <w:shd w:val="clear" w:color="auto" w:fill="auto"/>
            <w:noWrap/>
            <w:vAlign w:val="center"/>
            <w:hideMark/>
          </w:tcPr>
          <w:p w14:paraId="2BC37EBE" w14:textId="77777777" w:rsidR="00126F33" w:rsidRPr="00887108" w:rsidRDefault="00126F33" w:rsidP="00E9118E">
            <w:pPr>
              <w:jc w:val="right"/>
              <w:rPr>
                <w:rFonts w:cs="Times New Roman"/>
                <w:color w:val="000000"/>
                <w:sz w:val="18"/>
                <w:szCs w:val="18"/>
              </w:rPr>
            </w:pPr>
            <w:r w:rsidRPr="00887108">
              <w:rPr>
                <w:sz w:val="18"/>
                <w:szCs w:val="18"/>
              </w:rPr>
              <w:t>-0,5</w:t>
            </w:r>
          </w:p>
        </w:tc>
        <w:tc>
          <w:tcPr>
            <w:tcW w:w="1192" w:type="dxa"/>
            <w:tcBorders>
              <w:top w:val="nil"/>
              <w:left w:val="nil"/>
              <w:bottom w:val="nil"/>
              <w:right w:val="nil"/>
            </w:tcBorders>
            <w:shd w:val="clear" w:color="auto" w:fill="auto"/>
            <w:noWrap/>
            <w:vAlign w:val="center"/>
            <w:hideMark/>
          </w:tcPr>
          <w:p w14:paraId="05E2047C" w14:textId="77777777" w:rsidR="00126F33" w:rsidRPr="00887108" w:rsidRDefault="00126F33" w:rsidP="00E9118E">
            <w:pPr>
              <w:jc w:val="right"/>
              <w:rPr>
                <w:rFonts w:cs="Times New Roman"/>
                <w:color w:val="000000"/>
                <w:sz w:val="18"/>
                <w:szCs w:val="18"/>
              </w:rPr>
            </w:pPr>
            <w:r w:rsidRPr="00887108">
              <w:rPr>
                <w:sz w:val="18"/>
                <w:szCs w:val="18"/>
              </w:rPr>
              <w:t>-0,5</w:t>
            </w:r>
          </w:p>
        </w:tc>
        <w:tc>
          <w:tcPr>
            <w:tcW w:w="1190" w:type="dxa"/>
            <w:tcBorders>
              <w:top w:val="nil"/>
              <w:left w:val="nil"/>
              <w:bottom w:val="nil"/>
              <w:right w:val="nil"/>
            </w:tcBorders>
            <w:shd w:val="clear" w:color="auto" w:fill="auto"/>
            <w:noWrap/>
            <w:vAlign w:val="center"/>
            <w:hideMark/>
          </w:tcPr>
          <w:p w14:paraId="4AD2CB22" w14:textId="77777777" w:rsidR="00126F33" w:rsidRPr="00887108" w:rsidRDefault="00126F33" w:rsidP="00E9118E">
            <w:pPr>
              <w:jc w:val="right"/>
              <w:rPr>
                <w:rFonts w:cs="Times New Roman"/>
                <w:color w:val="000000"/>
                <w:sz w:val="18"/>
                <w:szCs w:val="18"/>
              </w:rPr>
            </w:pPr>
            <w:r w:rsidRPr="00887108">
              <w:rPr>
                <w:sz w:val="18"/>
                <w:szCs w:val="18"/>
              </w:rPr>
              <w:t>-0,5</w:t>
            </w:r>
          </w:p>
        </w:tc>
      </w:tr>
      <w:tr w:rsidR="00126F33" w:rsidRPr="00887108" w14:paraId="75805CAB" w14:textId="77777777" w:rsidTr="00475EA2">
        <w:trPr>
          <w:trHeight w:val="57"/>
        </w:trPr>
        <w:tc>
          <w:tcPr>
            <w:tcW w:w="5560" w:type="dxa"/>
            <w:tcBorders>
              <w:top w:val="nil"/>
              <w:left w:val="nil"/>
              <w:bottom w:val="single" w:sz="4" w:space="0" w:color="auto"/>
              <w:right w:val="nil"/>
            </w:tcBorders>
            <w:shd w:val="clear" w:color="auto" w:fill="auto"/>
            <w:noWrap/>
            <w:vAlign w:val="bottom"/>
            <w:hideMark/>
          </w:tcPr>
          <w:p w14:paraId="33E2BBB0" w14:textId="77777777" w:rsidR="00126F33" w:rsidRPr="00887108" w:rsidRDefault="00126F33" w:rsidP="00E9118E">
            <w:pPr>
              <w:rPr>
                <w:rFonts w:cs="Times New Roman"/>
                <w:color w:val="000000"/>
                <w:sz w:val="18"/>
                <w:szCs w:val="20"/>
              </w:rPr>
            </w:pPr>
            <w:r w:rsidRPr="00887108">
              <w:rPr>
                <w:rFonts w:cs="Times New Roman"/>
                <w:color w:val="000000"/>
                <w:sz w:val="18"/>
                <w:szCs w:val="20"/>
              </w:rPr>
              <w:t>Limit odchýlky na 2r. horizonte</w:t>
            </w:r>
          </w:p>
        </w:tc>
        <w:tc>
          <w:tcPr>
            <w:tcW w:w="1190" w:type="dxa"/>
            <w:tcBorders>
              <w:top w:val="nil"/>
              <w:left w:val="nil"/>
              <w:bottom w:val="single" w:sz="4" w:space="0" w:color="auto"/>
              <w:right w:val="nil"/>
            </w:tcBorders>
            <w:shd w:val="clear" w:color="auto" w:fill="auto"/>
            <w:noWrap/>
            <w:vAlign w:val="center"/>
            <w:hideMark/>
          </w:tcPr>
          <w:p w14:paraId="1C47197E" w14:textId="77777777" w:rsidR="00126F33" w:rsidRPr="00887108" w:rsidRDefault="00126F33" w:rsidP="00E9118E">
            <w:pPr>
              <w:jc w:val="right"/>
              <w:rPr>
                <w:rFonts w:cs="Times New Roman"/>
                <w:color w:val="000000"/>
                <w:sz w:val="18"/>
                <w:szCs w:val="18"/>
              </w:rPr>
            </w:pPr>
            <w:r w:rsidRPr="00887108">
              <w:rPr>
                <w:sz w:val="18"/>
                <w:szCs w:val="18"/>
              </w:rPr>
              <w:t>-0,25</w:t>
            </w:r>
          </w:p>
        </w:tc>
        <w:tc>
          <w:tcPr>
            <w:tcW w:w="1192" w:type="dxa"/>
            <w:tcBorders>
              <w:top w:val="nil"/>
              <w:left w:val="nil"/>
              <w:bottom w:val="single" w:sz="4" w:space="0" w:color="auto"/>
              <w:right w:val="nil"/>
            </w:tcBorders>
            <w:shd w:val="clear" w:color="auto" w:fill="auto"/>
            <w:noWrap/>
            <w:vAlign w:val="center"/>
            <w:hideMark/>
          </w:tcPr>
          <w:p w14:paraId="6EA9C658" w14:textId="77777777" w:rsidR="00126F33" w:rsidRPr="00887108" w:rsidRDefault="00126F33" w:rsidP="00E9118E">
            <w:pPr>
              <w:jc w:val="right"/>
              <w:rPr>
                <w:rFonts w:cs="Times New Roman"/>
                <w:color w:val="000000"/>
                <w:sz w:val="18"/>
                <w:szCs w:val="18"/>
              </w:rPr>
            </w:pPr>
            <w:r w:rsidRPr="00887108">
              <w:rPr>
                <w:sz w:val="18"/>
                <w:szCs w:val="18"/>
              </w:rPr>
              <w:t>-0,25</w:t>
            </w:r>
          </w:p>
        </w:tc>
        <w:tc>
          <w:tcPr>
            <w:tcW w:w="1190" w:type="dxa"/>
            <w:tcBorders>
              <w:top w:val="nil"/>
              <w:left w:val="nil"/>
              <w:bottom w:val="single" w:sz="4" w:space="0" w:color="auto"/>
              <w:right w:val="nil"/>
            </w:tcBorders>
            <w:shd w:val="clear" w:color="auto" w:fill="auto"/>
            <w:noWrap/>
            <w:vAlign w:val="center"/>
            <w:hideMark/>
          </w:tcPr>
          <w:p w14:paraId="022B1A6E" w14:textId="77777777" w:rsidR="00126F33" w:rsidRPr="00887108" w:rsidRDefault="00126F33" w:rsidP="00E9118E">
            <w:pPr>
              <w:jc w:val="right"/>
              <w:rPr>
                <w:rFonts w:cs="Times New Roman"/>
                <w:color w:val="000000"/>
                <w:sz w:val="18"/>
                <w:szCs w:val="18"/>
              </w:rPr>
            </w:pPr>
            <w:r w:rsidRPr="00887108">
              <w:rPr>
                <w:sz w:val="18"/>
                <w:szCs w:val="18"/>
              </w:rPr>
              <w:t>-0,25</w:t>
            </w:r>
          </w:p>
        </w:tc>
      </w:tr>
    </w:tbl>
    <w:p w14:paraId="586FF638" w14:textId="77777777" w:rsidR="00D37A31" w:rsidRPr="00887108" w:rsidRDefault="00D37A31" w:rsidP="00D37A31">
      <w:pPr>
        <w:pStyle w:val="NormalList"/>
        <w:rPr>
          <w:sz w:val="16"/>
        </w:rPr>
      </w:pPr>
      <w:bookmarkStart w:id="174" w:name="_Toc449430205"/>
      <w:r w:rsidRPr="00887108">
        <w:rPr>
          <w:sz w:val="16"/>
        </w:rPr>
        <w:t xml:space="preserve">* Konsolidačné úsilie a odchýlky v roku 2018 vychádzajú zo „zafreezovaných“ hodnôt z posledného hodnotenia Európskej komisie.  </w:t>
      </w:r>
    </w:p>
    <w:p w14:paraId="37C81F91" w14:textId="09F91019" w:rsidR="00475EA2" w:rsidRPr="00887108" w:rsidRDefault="00D37A31" w:rsidP="00D37A31">
      <w:pPr>
        <w:pStyle w:val="NormalList"/>
        <w:rPr>
          <w:sz w:val="16"/>
        </w:rPr>
      </w:pPr>
      <w:r w:rsidRPr="00887108">
        <w:rPr>
          <w:sz w:val="16"/>
        </w:rPr>
        <w:t>**</w:t>
      </w:r>
      <w:r w:rsidR="00343B57" w:rsidRPr="00887108">
        <w:rPr>
          <w:sz w:val="16"/>
        </w:rPr>
        <w:t xml:space="preserve"> </w:t>
      </w:r>
      <w:r w:rsidR="00D034F0" w:rsidRPr="00887108">
        <w:rPr>
          <w:sz w:val="16"/>
        </w:rPr>
        <w:t>V roku 2020 nie sú zarátané výdavkové opatrenia z nasledujúcej tabuľky, ktoré majú vplyv na príjmy.</w:t>
      </w:r>
    </w:p>
    <w:p w14:paraId="5A45A3F9" w14:textId="2A15A7A9" w:rsidR="00D37A31" w:rsidRPr="00887108" w:rsidRDefault="00475EA2" w:rsidP="00D37A31">
      <w:pPr>
        <w:pStyle w:val="NormalList"/>
        <w:rPr>
          <w:i/>
          <w:sz w:val="16"/>
        </w:rPr>
      </w:pPr>
      <w:r w:rsidRPr="00887108">
        <w:rPr>
          <w:i/>
          <w:sz w:val="16"/>
        </w:rPr>
        <w:t>Poznámka: V tabuľke sa neuvádzajú roky 2021 až 2023 nakoľko na dosiahnutie rozpočtových cieľov je potrebné prijať dodatočné opatrenia</w:t>
      </w:r>
      <w:r w:rsidR="006053BA" w:rsidRPr="00887108">
        <w:rPr>
          <w:i/>
          <w:sz w:val="16"/>
        </w:rPr>
        <w:t>, ktoré zatiaľ neboli špecifikované.</w:t>
      </w:r>
    </w:p>
    <w:p w14:paraId="3CB07B4C" w14:textId="77777777" w:rsidR="00D37A31" w:rsidRPr="00887108" w:rsidRDefault="00D37A31" w:rsidP="00D37A31">
      <w:pPr>
        <w:pStyle w:val="NormalList"/>
        <w:jc w:val="right"/>
        <w:rPr>
          <w:sz w:val="16"/>
        </w:rPr>
      </w:pPr>
      <w:r w:rsidRPr="00887108">
        <w:rPr>
          <w:sz w:val="16"/>
        </w:rPr>
        <w:t xml:space="preserve"> Zdroj: MF SR</w:t>
      </w:r>
    </w:p>
    <w:p w14:paraId="49FBFE9A" w14:textId="77777777" w:rsidR="00126F33" w:rsidRPr="00887108" w:rsidRDefault="00126F33" w:rsidP="00D37A31">
      <w:pPr>
        <w:spacing w:before="240" w:after="120"/>
        <w:rPr>
          <w:b/>
          <w:color w:val="2C9ADC" w:themeColor="accent1"/>
        </w:rPr>
      </w:pPr>
    </w:p>
    <w:p w14:paraId="5976E567" w14:textId="77777777" w:rsidR="00D37A31" w:rsidRPr="00887108" w:rsidRDefault="00D37A31" w:rsidP="00D37A31">
      <w:pPr>
        <w:spacing w:before="240" w:after="120"/>
        <w:rPr>
          <w:b/>
          <w:color w:val="2C9ADC" w:themeColor="accent1"/>
          <w:lang w:eastAsia="en-US"/>
        </w:rPr>
      </w:pPr>
      <w:r w:rsidRPr="00887108">
        <w:rPr>
          <w:b/>
          <w:color w:val="2C9ADC" w:themeColor="accent1"/>
        </w:rPr>
        <w:t>Diskrečné príjmové opatrenia</w:t>
      </w:r>
      <w:bookmarkEnd w:id="167"/>
      <w:bookmarkEnd w:id="168"/>
      <w:bookmarkEnd w:id="169"/>
      <w:bookmarkEnd w:id="170"/>
      <w:bookmarkEnd w:id="174"/>
    </w:p>
    <w:p w14:paraId="414B959B" w14:textId="77777777" w:rsidR="00D37A31" w:rsidRPr="00887108" w:rsidRDefault="00D37A31" w:rsidP="00D37A31">
      <w:pPr>
        <w:spacing w:after="120"/>
        <w:jc w:val="both"/>
      </w:pPr>
      <w:r w:rsidRPr="00887108">
        <w:rPr>
          <w:b/>
        </w:rPr>
        <w:t>Diskrečné príjmové opatrenia definuje metodika EK ako opatrenia legislatívneho charakteru s vplyvom na príjmy verejnej správy</w:t>
      </w:r>
      <w:r w:rsidRPr="00887108">
        <w:t>. Vyhodnocujú sa pomocou dodatočných vplyvov (marginálnych zmien) týchto opatrení. Rozlišuje sa, či sa jedná o trvalé alebo jednorazové opatrenie. Trvalé štrukturálne opatrenia sa zaznamenajú s vplyvom v prvom roku (v čase nadobudnutia účinnosti) a v ostatných rokoch bez vplyvu. Makroekonomický vývoj v nasledujúcich rokoch sa nezohľadňuje. Ak dochádza k rozdielnym vplyvom kvôli posunutej platnosti opatrenia zaznamená sa len marginálna, medziročná zmena.</w:t>
      </w:r>
      <w:r w:rsidRPr="00887108">
        <w:rPr>
          <w:rStyle w:val="Odkaznapoznmkupodiarou"/>
          <w:lang w:val="sk-SK"/>
        </w:rPr>
        <w:footnoteReference w:id="89"/>
      </w:r>
      <w:r w:rsidRPr="00887108">
        <w:t xml:space="preserve"> Pri jednorazových príjmových opatreniach sa zaznamenáva vplyv v jednom roku a v nasledujúcom výpadok v rovnakej sume, tzn. celkový vplyv v dvoch po sebe idúcich rokoch je nulový.</w:t>
      </w:r>
    </w:p>
    <w:p w14:paraId="0BB73873" w14:textId="77777777" w:rsidR="00D37A31" w:rsidRPr="00887108" w:rsidRDefault="00D37A31" w:rsidP="00D37A31">
      <w:pPr>
        <w:jc w:val="both"/>
        <w:rPr>
          <w:b/>
        </w:rPr>
      </w:pPr>
      <w:r w:rsidRPr="00887108">
        <w:rPr>
          <w:b/>
        </w:rPr>
        <w:t>Od aktuálneho Programu stability pristúpilo MF SR k nasledovným metodickým zmenám:</w:t>
      </w:r>
    </w:p>
    <w:p w14:paraId="0EFD3ECA" w14:textId="2C472A7D" w:rsidR="00D37A31" w:rsidRPr="00887108" w:rsidRDefault="00D37A31" w:rsidP="00D37A31">
      <w:pPr>
        <w:pStyle w:val="Odsekzoznamu"/>
        <w:numPr>
          <w:ilvl w:val="0"/>
          <w:numId w:val="18"/>
        </w:numPr>
        <w:spacing w:after="120"/>
        <w:contextualSpacing w:val="0"/>
        <w:jc w:val="both"/>
      </w:pPr>
      <w:r w:rsidRPr="00887108">
        <w:rPr>
          <w:bCs/>
          <w:color w:val="000000" w:themeColor="text1"/>
        </w:rPr>
        <w:t>Diskrečné opatrenia za rok t-2 (v tom to prípade</w:t>
      </w:r>
      <w:r w:rsidR="00BA46EB" w:rsidRPr="00887108">
        <w:rPr>
          <w:bCs/>
          <w:color w:val="000000" w:themeColor="text1"/>
        </w:rPr>
        <w:t xml:space="preserve"> rok 2018) sa preberajú z posle</w:t>
      </w:r>
      <w:r w:rsidRPr="00887108">
        <w:rPr>
          <w:bCs/>
          <w:color w:val="000000" w:themeColor="text1"/>
        </w:rPr>
        <w:t>dného Hodnotenia pravidla o vyrovnanom rozpočte (november 2019). Ostatné roky (t-1 až t+3) vychádzajú z aktuálneho Výboru pre daňové prognózy.</w:t>
      </w:r>
    </w:p>
    <w:p w14:paraId="245E88E7" w14:textId="77777777" w:rsidR="00D37A31" w:rsidRPr="00887108" w:rsidRDefault="00D37A31" w:rsidP="00D37A31">
      <w:pPr>
        <w:pStyle w:val="Popis"/>
        <w:keepNext/>
        <w:spacing w:after="0"/>
        <w:rPr>
          <w:sz w:val="20"/>
          <w:szCs w:val="20"/>
        </w:rPr>
      </w:pPr>
      <w:bookmarkStart w:id="175" w:name="_Toc40186694"/>
      <w:r w:rsidRPr="00887108">
        <w:rPr>
          <w:rFonts w:eastAsiaTheme="minorHAnsi"/>
          <w:color w:val="2C9ADC"/>
          <w:sz w:val="20"/>
          <w:szCs w:val="20"/>
          <w:lang w:eastAsia="en-US"/>
        </w:rPr>
        <w:t xml:space="preserve">TABUĽKA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TABUĽKA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17</w:t>
      </w:r>
      <w:r w:rsidRPr="00887108">
        <w:rPr>
          <w:rFonts w:eastAsiaTheme="minorHAnsi"/>
          <w:color w:val="2C9ADC"/>
          <w:sz w:val="20"/>
          <w:szCs w:val="20"/>
          <w:lang w:eastAsia="en-US"/>
        </w:rPr>
        <w:fldChar w:fldCharType="end"/>
      </w:r>
      <w:r w:rsidRPr="00887108">
        <w:rPr>
          <w:sz w:val="20"/>
          <w:szCs w:val="20"/>
        </w:rPr>
        <w:t xml:space="preserve"> - Diskrečné príjmové opatrenia – medziročné vplyvy opatrení (mil. eur, ESA2010)</w:t>
      </w:r>
      <w:bookmarkEnd w:id="175"/>
    </w:p>
    <w:tbl>
      <w:tblPr>
        <w:tblW w:w="9107" w:type="dxa"/>
        <w:tblLayout w:type="fixed"/>
        <w:tblLook w:val="04A0" w:firstRow="1" w:lastRow="0" w:firstColumn="1" w:lastColumn="0" w:noHBand="0" w:noVBand="1"/>
      </w:tblPr>
      <w:tblGrid>
        <w:gridCol w:w="4533"/>
        <w:gridCol w:w="762"/>
        <w:gridCol w:w="659"/>
        <w:gridCol w:w="866"/>
        <w:gridCol w:w="762"/>
        <w:gridCol w:w="762"/>
        <w:gridCol w:w="763"/>
      </w:tblGrid>
      <w:tr w:rsidR="00D37A31" w:rsidRPr="00887108" w14:paraId="0AEAC5E6" w14:textId="77777777" w:rsidTr="00E9118E">
        <w:trPr>
          <w:trHeight w:val="193"/>
        </w:trPr>
        <w:tc>
          <w:tcPr>
            <w:tcW w:w="4533" w:type="dxa"/>
            <w:tcBorders>
              <w:top w:val="single" w:sz="4" w:space="0" w:color="auto"/>
              <w:left w:val="nil"/>
              <w:bottom w:val="single" w:sz="8" w:space="0" w:color="auto"/>
              <w:right w:val="nil"/>
            </w:tcBorders>
            <w:shd w:val="clear" w:color="auto" w:fill="auto"/>
            <w:noWrap/>
            <w:vAlign w:val="center"/>
            <w:hideMark/>
          </w:tcPr>
          <w:p w14:paraId="59B6BE43" w14:textId="77777777" w:rsidR="00D37A31" w:rsidRPr="00887108" w:rsidRDefault="00D37A31" w:rsidP="00E9118E">
            <w:pPr>
              <w:rPr>
                <w:rFonts w:cs="Times New Roman"/>
                <w:b/>
                <w:bCs/>
                <w:color w:val="000000" w:themeColor="text1"/>
                <w:sz w:val="20"/>
                <w:szCs w:val="20"/>
                <w:lang w:eastAsia="en-GB"/>
              </w:rPr>
            </w:pPr>
            <w:r w:rsidRPr="00887108">
              <w:rPr>
                <w:rFonts w:cs="Times New Roman"/>
                <w:b/>
                <w:bCs/>
                <w:color w:val="000000" w:themeColor="text1"/>
                <w:sz w:val="20"/>
                <w:szCs w:val="20"/>
                <w:lang w:eastAsia="en-GB"/>
              </w:rPr>
              <w:t>Popis opatrenia</w:t>
            </w:r>
          </w:p>
        </w:tc>
        <w:tc>
          <w:tcPr>
            <w:tcW w:w="762" w:type="dxa"/>
            <w:tcBorders>
              <w:top w:val="single" w:sz="4" w:space="0" w:color="auto"/>
              <w:left w:val="nil"/>
              <w:bottom w:val="single" w:sz="8" w:space="0" w:color="auto"/>
              <w:right w:val="nil"/>
            </w:tcBorders>
            <w:shd w:val="clear" w:color="auto" w:fill="auto"/>
            <w:noWrap/>
            <w:vAlign w:val="center"/>
            <w:hideMark/>
          </w:tcPr>
          <w:p w14:paraId="52AE00F5" w14:textId="77777777" w:rsidR="00D37A31" w:rsidRPr="00887108" w:rsidRDefault="00D37A31" w:rsidP="00E9118E">
            <w:pPr>
              <w:jc w:val="center"/>
              <w:rPr>
                <w:rFonts w:cs="Times New Roman"/>
                <w:b/>
                <w:bCs/>
                <w:color w:val="000000" w:themeColor="text1"/>
                <w:sz w:val="20"/>
                <w:szCs w:val="20"/>
                <w:lang w:eastAsia="en-GB"/>
              </w:rPr>
            </w:pPr>
            <w:r w:rsidRPr="00887108">
              <w:rPr>
                <w:rFonts w:cs="Times New Roman"/>
                <w:b/>
                <w:bCs/>
                <w:color w:val="000000" w:themeColor="text1"/>
                <w:sz w:val="20"/>
                <w:szCs w:val="20"/>
                <w:lang w:eastAsia="en-GB"/>
              </w:rPr>
              <w:t>2018</w:t>
            </w:r>
          </w:p>
        </w:tc>
        <w:tc>
          <w:tcPr>
            <w:tcW w:w="659" w:type="dxa"/>
            <w:tcBorders>
              <w:top w:val="single" w:sz="4" w:space="0" w:color="auto"/>
              <w:left w:val="nil"/>
              <w:bottom w:val="single" w:sz="8" w:space="0" w:color="auto"/>
              <w:right w:val="nil"/>
            </w:tcBorders>
            <w:shd w:val="clear" w:color="auto" w:fill="auto"/>
            <w:noWrap/>
            <w:vAlign w:val="center"/>
            <w:hideMark/>
          </w:tcPr>
          <w:p w14:paraId="78679111" w14:textId="77777777" w:rsidR="00D37A31" w:rsidRPr="00887108" w:rsidRDefault="00D37A31" w:rsidP="00E9118E">
            <w:pPr>
              <w:jc w:val="center"/>
              <w:rPr>
                <w:rFonts w:cs="Times New Roman"/>
                <w:b/>
                <w:bCs/>
                <w:color w:val="000000" w:themeColor="text1"/>
                <w:sz w:val="20"/>
                <w:szCs w:val="20"/>
                <w:lang w:eastAsia="en-GB"/>
              </w:rPr>
            </w:pPr>
            <w:r w:rsidRPr="00887108">
              <w:rPr>
                <w:rFonts w:cs="Times New Roman"/>
                <w:b/>
                <w:bCs/>
                <w:color w:val="000000" w:themeColor="text1"/>
                <w:sz w:val="20"/>
                <w:szCs w:val="20"/>
                <w:lang w:eastAsia="en-GB"/>
              </w:rPr>
              <w:t>2019</w:t>
            </w:r>
          </w:p>
        </w:tc>
        <w:tc>
          <w:tcPr>
            <w:tcW w:w="866" w:type="dxa"/>
            <w:tcBorders>
              <w:top w:val="single" w:sz="4" w:space="0" w:color="auto"/>
              <w:left w:val="nil"/>
              <w:bottom w:val="single" w:sz="8" w:space="0" w:color="auto"/>
              <w:right w:val="nil"/>
            </w:tcBorders>
            <w:shd w:val="clear" w:color="auto" w:fill="auto"/>
            <w:noWrap/>
            <w:vAlign w:val="center"/>
            <w:hideMark/>
          </w:tcPr>
          <w:p w14:paraId="38351FC1" w14:textId="77777777" w:rsidR="00D37A31" w:rsidRPr="00887108" w:rsidRDefault="00D37A31" w:rsidP="00E9118E">
            <w:pPr>
              <w:jc w:val="center"/>
              <w:rPr>
                <w:rFonts w:cs="Times New Roman"/>
                <w:b/>
                <w:bCs/>
                <w:color w:val="000000" w:themeColor="text1"/>
                <w:sz w:val="20"/>
                <w:szCs w:val="20"/>
                <w:lang w:eastAsia="en-GB"/>
              </w:rPr>
            </w:pPr>
            <w:r w:rsidRPr="00887108">
              <w:rPr>
                <w:rFonts w:cs="Times New Roman"/>
                <w:b/>
                <w:bCs/>
                <w:color w:val="000000" w:themeColor="text1"/>
                <w:sz w:val="20"/>
                <w:szCs w:val="20"/>
                <w:lang w:eastAsia="en-GB"/>
              </w:rPr>
              <w:t>2020</w:t>
            </w:r>
          </w:p>
        </w:tc>
        <w:tc>
          <w:tcPr>
            <w:tcW w:w="762" w:type="dxa"/>
            <w:tcBorders>
              <w:top w:val="single" w:sz="4" w:space="0" w:color="auto"/>
              <w:left w:val="nil"/>
              <w:bottom w:val="single" w:sz="8" w:space="0" w:color="auto"/>
              <w:right w:val="nil"/>
            </w:tcBorders>
            <w:shd w:val="clear" w:color="auto" w:fill="auto"/>
            <w:noWrap/>
            <w:vAlign w:val="center"/>
            <w:hideMark/>
          </w:tcPr>
          <w:p w14:paraId="690FFC36" w14:textId="77777777" w:rsidR="00D37A31" w:rsidRPr="00887108" w:rsidRDefault="00D37A31" w:rsidP="00E9118E">
            <w:pPr>
              <w:jc w:val="center"/>
              <w:rPr>
                <w:rFonts w:cs="Times New Roman"/>
                <w:b/>
                <w:bCs/>
                <w:color w:val="000000" w:themeColor="text1"/>
                <w:sz w:val="20"/>
                <w:szCs w:val="20"/>
                <w:lang w:eastAsia="en-GB"/>
              </w:rPr>
            </w:pPr>
            <w:r w:rsidRPr="00887108">
              <w:rPr>
                <w:rFonts w:cs="Times New Roman"/>
                <w:b/>
                <w:bCs/>
                <w:color w:val="000000" w:themeColor="text1"/>
                <w:sz w:val="20"/>
                <w:szCs w:val="20"/>
                <w:lang w:eastAsia="en-GB"/>
              </w:rPr>
              <w:t>2021</w:t>
            </w:r>
          </w:p>
        </w:tc>
        <w:tc>
          <w:tcPr>
            <w:tcW w:w="762" w:type="dxa"/>
            <w:tcBorders>
              <w:top w:val="single" w:sz="4" w:space="0" w:color="auto"/>
              <w:left w:val="nil"/>
              <w:bottom w:val="single" w:sz="8" w:space="0" w:color="auto"/>
              <w:right w:val="nil"/>
            </w:tcBorders>
            <w:shd w:val="clear" w:color="auto" w:fill="auto"/>
            <w:noWrap/>
            <w:vAlign w:val="center"/>
            <w:hideMark/>
          </w:tcPr>
          <w:p w14:paraId="254BA04D" w14:textId="77777777" w:rsidR="00D37A31" w:rsidRPr="00887108" w:rsidRDefault="00D37A31" w:rsidP="00E9118E">
            <w:pPr>
              <w:jc w:val="center"/>
              <w:rPr>
                <w:rFonts w:cs="Times New Roman"/>
                <w:b/>
                <w:bCs/>
                <w:color w:val="000000" w:themeColor="text1"/>
                <w:sz w:val="20"/>
                <w:szCs w:val="20"/>
                <w:lang w:eastAsia="en-GB"/>
              </w:rPr>
            </w:pPr>
            <w:r w:rsidRPr="00887108">
              <w:rPr>
                <w:rFonts w:cs="Times New Roman"/>
                <w:b/>
                <w:bCs/>
                <w:color w:val="000000" w:themeColor="text1"/>
                <w:sz w:val="20"/>
                <w:szCs w:val="20"/>
                <w:lang w:eastAsia="en-GB"/>
              </w:rPr>
              <w:t>2022</w:t>
            </w:r>
          </w:p>
        </w:tc>
        <w:tc>
          <w:tcPr>
            <w:tcW w:w="763" w:type="dxa"/>
            <w:tcBorders>
              <w:top w:val="single" w:sz="4" w:space="0" w:color="auto"/>
              <w:left w:val="nil"/>
              <w:bottom w:val="single" w:sz="8" w:space="0" w:color="auto"/>
              <w:right w:val="nil"/>
            </w:tcBorders>
            <w:shd w:val="clear" w:color="auto" w:fill="auto"/>
            <w:noWrap/>
            <w:vAlign w:val="center"/>
            <w:hideMark/>
          </w:tcPr>
          <w:p w14:paraId="6151670A" w14:textId="77777777" w:rsidR="00D37A31" w:rsidRPr="00887108" w:rsidRDefault="00D37A31" w:rsidP="00E9118E">
            <w:pPr>
              <w:jc w:val="center"/>
              <w:rPr>
                <w:rFonts w:cs="Times New Roman"/>
                <w:b/>
                <w:bCs/>
                <w:color w:val="000000" w:themeColor="text1"/>
                <w:sz w:val="20"/>
                <w:szCs w:val="20"/>
                <w:lang w:eastAsia="en-GB"/>
              </w:rPr>
            </w:pPr>
            <w:r w:rsidRPr="00887108">
              <w:rPr>
                <w:rFonts w:cs="Times New Roman"/>
                <w:b/>
                <w:bCs/>
                <w:color w:val="000000" w:themeColor="text1"/>
                <w:sz w:val="20"/>
                <w:szCs w:val="20"/>
                <w:lang w:eastAsia="en-GB"/>
              </w:rPr>
              <w:t>2023</w:t>
            </w:r>
          </w:p>
        </w:tc>
      </w:tr>
      <w:tr w:rsidR="00D37A31" w:rsidRPr="00887108" w14:paraId="256C7AAF" w14:textId="77777777" w:rsidTr="00E9118E">
        <w:trPr>
          <w:trHeight w:val="193"/>
        </w:trPr>
        <w:tc>
          <w:tcPr>
            <w:tcW w:w="4533" w:type="dxa"/>
            <w:tcBorders>
              <w:top w:val="nil"/>
              <w:left w:val="nil"/>
              <w:bottom w:val="nil"/>
              <w:right w:val="nil"/>
            </w:tcBorders>
            <w:shd w:val="clear" w:color="auto" w:fill="auto"/>
            <w:hideMark/>
          </w:tcPr>
          <w:p w14:paraId="6BB6C52B"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Zrušenie daňovej licencie</w:t>
            </w:r>
          </w:p>
        </w:tc>
        <w:tc>
          <w:tcPr>
            <w:tcW w:w="762" w:type="dxa"/>
            <w:tcBorders>
              <w:top w:val="nil"/>
              <w:left w:val="nil"/>
              <w:bottom w:val="nil"/>
              <w:right w:val="nil"/>
            </w:tcBorders>
            <w:shd w:val="clear" w:color="auto" w:fill="auto"/>
            <w:noWrap/>
            <w:vAlign w:val="bottom"/>
            <w:hideMark/>
          </w:tcPr>
          <w:p w14:paraId="5DB700CD"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-100</w:t>
            </w:r>
          </w:p>
        </w:tc>
        <w:tc>
          <w:tcPr>
            <w:tcW w:w="659" w:type="dxa"/>
            <w:tcBorders>
              <w:top w:val="nil"/>
              <w:left w:val="nil"/>
              <w:bottom w:val="nil"/>
              <w:right w:val="nil"/>
            </w:tcBorders>
            <w:shd w:val="clear" w:color="auto" w:fill="auto"/>
            <w:noWrap/>
            <w:vAlign w:val="bottom"/>
            <w:hideMark/>
          </w:tcPr>
          <w:p w14:paraId="50A68DD1"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866" w:type="dxa"/>
            <w:tcBorders>
              <w:top w:val="nil"/>
              <w:left w:val="nil"/>
              <w:bottom w:val="nil"/>
              <w:right w:val="nil"/>
            </w:tcBorders>
            <w:shd w:val="clear" w:color="auto" w:fill="auto"/>
            <w:noWrap/>
            <w:vAlign w:val="bottom"/>
            <w:hideMark/>
          </w:tcPr>
          <w:p w14:paraId="209B607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03D1AC40"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1DC9CB00"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617D77DE"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r>
      <w:tr w:rsidR="00D37A31" w:rsidRPr="00887108" w14:paraId="4AE72C8D" w14:textId="77777777" w:rsidTr="00E9118E">
        <w:trPr>
          <w:trHeight w:val="193"/>
        </w:trPr>
        <w:tc>
          <w:tcPr>
            <w:tcW w:w="4533" w:type="dxa"/>
            <w:tcBorders>
              <w:top w:val="nil"/>
              <w:left w:val="nil"/>
              <w:bottom w:val="nil"/>
              <w:right w:val="nil"/>
            </w:tcBorders>
            <w:shd w:val="clear" w:color="auto" w:fill="auto"/>
            <w:hideMark/>
          </w:tcPr>
          <w:p w14:paraId="4DAB48CA"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Zavedenie 13. a 14. platu (zavedenie od 2018, legislatívne zmeny od 2019)</w:t>
            </w:r>
          </w:p>
        </w:tc>
        <w:tc>
          <w:tcPr>
            <w:tcW w:w="762" w:type="dxa"/>
            <w:tcBorders>
              <w:top w:val="nil"/>
              <w:left w:val="nil"/>
              <w:bottom w:val="nil"/>
              <w:right w:val="nil"/>
            </w:tcBorders>
            <w:shd w:val="clear" w:color="auto" w:fill="auto"/>
            <w:noWrap/>
            <w:vAlign w:val="bottom"/>
            <w:hideMark/>
          </w:tcPr>
          <w:p w14:paraId="3F145695"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-2</w:t>
            </w:r>
          </w:p>
        </w:tc>
        <w:tc>
          <w:tcPr>
            <w:tcW w:w="659" w:type="dxa"/>
            <w:tcBorders>
              <w:top w:val="nil"/>
              <w:left w:val="nil"/>
              <w:bottom w:val="nil"/>
              <w:right w:val="nil"/>
            </w:tcBorders>
            <w:shd w:val="clear" w:color="auto" w:fill="auto"/>
            <w:noWrap/>
            <w:vAlign w:val="bottom"/>
            <w:hideMark/>
          </w:tcPr>
          <w:p w14:paraId="0A4A6CD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-30</w:t>
            </w:r>
          </w:p>
        </w:tc>
        <w:tc>
          <w:tcPr>
            <w:tcW w:w="866" w:type="dxa"/>
            <w:tcBorders>
              <w:top w:val="nil"/>
              <w:left w:val="nil"/>
              <w:bottom w:val="nil"/>
              <w:right w:val="nil"/>
            </w:tcBorders>
            <w:shd w:val="clear" w:color="auto" w:fill="auto"/>
            <w:noWrap/>
            <w:vAlign w:val="bottom"/>
            <w:hideMark/>
          </w:tcPr>
          <w:p w14:paraId="643F5936"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-10</w:t>
            </w:r>
          </w:p>
        </w:tc>
        <w:tc>
          <w:tcPr>
            <w:tcW w:w="762" w:type="dxa"/>
            <w:tcBorders>
              <w:top w:val="nil"/>
              <w:left w:val="nil"/>
              <w:bottom w:val="nil"/>
              <w:right w:val="nil"/>
            </w:tcBorders>
            <w:shd w:val="clear" w:color="auto" w:fill="auto"/>
            <w:noWrap/>
            <w:vAlign w:val="bottom"/>
            <w:hideMark/>
          </w:tcPr>
          <w:p w14:paraId="6D4E6147" w14:textId="07254190" w:rsidR="00D37A31" w:rsidRPr="00887108" w:rsidRDefault="00D5492C" w:rsidP="00D5492C">
            <w:pPr>
              <w:jc w:val="center"/>
              <w:rPr>
                <w:rFonts w:cs="Times New Roman"/>
                <w:color w:val="000000"/>
                <w:sz w:val="18"/>
                <w:szCs w:val="18"/>
                <w:highlight w:val="yellow"/>
                <w:lang w:eastAsia="en-GB"/>
              </w:rPr>
            </w:pPr>
            <w:r w:rsidRPr="00887108">
              <w:rPr>
                <w:color w:val="000000"/>
                <w:sz w:val="20"/>
                <w:szCs w:val="20"/>
              </w:rPr>
              <w:t>-44</w:t>
            </w:r>
          </w:p>
        </w:tc>
        <w:tc>
          <w:tcPr>
            <w:tcW w:w="762" w:type="dxa"/>
            <w:tcBorders>
              <w:top w:val="nil"/>
              <w:left w:val="nil"/>
              <w:bottom w:val="nil"/>
              <w:right w:val="nil"/>
            </w:tcBorders>
            <w:shd w:val="clear" w:color="auto" w:fill="auto"/>
            <w:noWrap/>
            <w:vAlign w:val="bottom"/>
            <w:hideMark/>
          </w:tcPr>
          <w:p w14:paraId="72F6D9E0" w14:textId="3B50F785"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3</w:t>
            </w:r>
          </w:p>
        </w:tc>
        <w:tc>
          <w:tcPr>
            <w:tcW w:w="763" w:type="dxa"/>
            <w:tcBorders>
              <w:top w:val="nil"/>
              <w:left w:val="nil"/>
              <w:bottom w:val="nil"/>
              <w:right w:val="nil"/>
            </w:tcBorders>
            <w:shd w:val="clear" w:color="auto" w:fill="auto"/>
            <w:noWrap/>
            <w:vAlign w:val="bottom"/>
            <w:hideMark/>
          </w:tcPr>
          <w:p w14:paraId="03115499"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r>
      <w:tr w:rsidR="00D37A31" w:rsidRPr="00887108" w14:paraId="68A98E76" w14:textId="77777777" w:rsidTr="00E9118E">
        <w:trPr>
          <w:trHeight w:val="193"/>
        </w:trPr>
        <w:tc>
          <w:tcPr>
            <w:tcW w:w="4533" w:type="dxa"/>
            <w:tcBorders>
              <w:top w:val="nil"/>
              <w:left w:val="nil"/>
              <w:bottom w:val="nil"/>
              <w:right w:val="nil"/>
            </w:tcBorders>
            <w:shd w:val="clear" w:color="auto" w:fill="auto"/>
            <w:hideMark/>
          </w:tcPr>
          <w:p w14:paraId="21A4F531"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Oslobodenie rekreačných šekov od daní a odvodov</w:t>
            </w:r>
          </w:p>
        </w:tc>
        <w:tc>
          <w:tcPr>
            <w:tcW w:w="762" w:type="dxa"/>
            <w:tcBorders>
              <w:top w:val="nil"/>
              <w:left w:val="nil"/>
              <w:bottom w:val="nil"/>
              <w:right w:val="nil"/>
            </w:tcBorders>
            <w:shd w:val="clear" w:color="auto" w:fill="auto"/>
            <w:noWrap/>
            <w:vAlign w:val="bottom"/>
            <w:hideMark/>
          </w:tcPr>
          <w:p w14:paraId="505F2CB8"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6E437977"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-58</w:t>
            </w:r>
          </w:p>
        </w:tc>
        <w:tc>
          <w:tcPr>
            <w:tcW w:w="866" w:type="dxa"/>
            <w:tcBorders>
              <w:top w:val="nil"/>
              <w:left w:val="nil"/>
              <w:bottom w:val="nil"/>
              <w:right w:val="nil"/>
            </w:tcBorders>
            <w:shd w:val="clear" w:color="auto" w:fill="auto"/>
            <w:noWrap/>
            <w:vAlign w:val="bottom"/>
            <w:hideMark/>
          </w:tcPr>
          <w:p w14:paraId="2D97B647"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303898F0"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064FEC2F"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43247501"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433E323C" w14:textId="77777777" w:rsidTr="00E9118E">
        <w:trPr>
          <w:trHeight w:val="193"/>
        </w:trPr>
        <w:tc>
          <w:tcPr>
            <w:tcW w:w="4533" w:type="dxa"/>
            <w:tcBorders>
              <w:top w:val="nil"/>
              <w:left w:val="nil"/>
              <w:bottom w:val="nil"/>
              <w:right w:val="nil"/>
            </w:tcBorders>
            <w:shd w:val="clear" w:color="auto" w:fill="auto"/>
            <w:hideMark/>
          </w:tcPr>
          <w:p w14:paraId="4BCB42AC"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Oslobodenie nepeňažného benefitu pre zamestnanca na ubytovanie</w:t>
            </w:r>
          </w:p>
        </w:tc>
        <w:tc>
          <w:tcPr>
            <w:tcW w:w="762" w:type="dxa"/>
            <w:tcBorders>
              <w:top w:val="nil"/>
              <w:left w:val="nil"/>
              <w:bottom w:val="nil"/>
              <w:right w:val="nil"/>
            </w:tcBorders>
            <w:shd w:val="clear" w:color="auto" w:fill="auto"/>
            <w:noWrap/>
            <w:vAlign w:val="bottom"/>
            <w:hideMark/>
          </w:tcPr>
          <w:p w14:paraId="4FC99959"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040CD582" w14:textId="00BEB004" w:rsidR="00D37A31" w:rsidRPr="00887108" w:rsidRDefault="00D5492C" w:rsidP="00D5492C">
            <w:pPr>
              <w:jc w:val="center"/>
              <w:rPr>
                <w:rFonts w:cs="Times New Roman"/>
                <w:color w:val="000000"/>
                <w:sz w:val="18"/>
                <w:szCs w:val="18"/>
                <w:highlight w:val="yellow"/>
                <w:lang w:eastAsia="en-GB"/>
              </w:rPr>
            </w:pPr>
            <w:r w:rsidRPr="00887108">
              <w:rPr>
                <w:color w:val="000000"/>
                <w:sz w:val="20"/>
                <w:szCs w:val="20"/>
              </w:rPr>
              <w:t>-16</w:t>
            </w:r>
          </w:p>
        </w:tc>
        <w:tc>
          <w:tcPr>
            <w:tcW w:w="866" w:type="dxa"/>
            <w:tcBorders>
              <w:top w:val="nil"/>
              <w:left w:val="nil"/>
              <w:bottom w:val="nil"/>
              <w:right w:val="nil"/>
            </w:tcBorders>
            <w:shd w:val="clear" w:color="auto" w:fill="auto"/>
            <w:noWrap/>
            <w:vAlign w:val="bottom"/>
            <w:hideMark/>
          </w:tcPr>
          <w:p w14:paraId="7B679E76" w14:textId="2E733271" w:rsidR="00D37A31" w:rsidRPr="00887108" w:rsidRDefault="00D37A31" w:rsidP="00E9118E">
            <w:pPr>
              <w:jc w:val="center"/>
              <w:rPr>
                <w:rFonts w:cs="Times New Roman"/>
                <w:sz w:val="18"/>
                <w:szCs w:val="18"/>
                <w:highlight w:val="yellow"/>
                <w:lang w:eastAsia="en-GB"/>
              </w:rPr>
            </w:pPr>
            <w:r w:rsidRPr="00887108">
              <w:rPr>
                <w:color w:val="000000"/>
                <w:sz w:val="20"/>
                <w:szCs w:val="20"/>
              </w:rPr>
              <w:t>6</w:t>
            </w:r>
          </w:p>
        </w:tc>
        <w:tc>
          <w:tcPr>
            <w:tcW w:w="762" w:type="dxa"/>
            <w:tcBorders>
              <w:top w:val="nil"/>
              <w:left w:val="nil"/>
              <w:bottom w:val="nil"/>
              <w:right w:val="nil"/>
            </w:tcBorders>
            <w:shd w:val="clear" w:color="auto" w:fill="auto"/>
            <w:noWrap/>
            <w:vAlign w:val="bottom"/>
            <w:hideMark/>
          </w:tcPr>
          <w:p w14:paraId="51370496"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46B7C1BD"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129041EF"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0CFE8C2A" w14:textId="77777777" w:rsidTr="00E9118E">
        <w:trPr>
          <w:trHeight w:val="193"/>
        </w:trPr>
        <w:tc>
          <w:tcPr>
            <w:tcW w:w="4533" w:type="dxa"/>
            <w:tcBorders>
              <w:top w:val="nil"/>
              <w:left w:val="nil"/>
              <w:bottom w:val="nil"/>
              <w:right w:val="nil"/>
            </w:tcBorders>
            <w:shd w:val="clear" w:color="auto" w:fill="auto"/>
            <w:hideMark/>
          </w:tcPr>
          <w:p w14:paraId="4419FB6B"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Zdaňovanie dividend skrz 7% zrážkovú daň</w:t>
            </w:r>
          </w:p>
        </w:tc>
        <w:tc>
          <w:tcPr>
            <w:tcW w:w="762" w:type="dxa"/>
            <w:tcBorders>
              <w:top w:val="nil"/>
              <w:left w:val="nil"/>
              <w:bottom w:val="nil"/>
              <w:right w:val="nil"/>
            </w:tcBorders>
            <w:shd w:val="clear" w:color="auto" w:fill="auto"/>
            <w:noWrap/>
            <w:vAlign w:val="bottom"/>
            <w:hideMark/>
          </w:tcPr>
          <w:p w14:paraId="33CF069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24</w:t>
            </w:r>
          </w:p>
        </w:tc>
        <w:tc>
          <w:tcPr>
            <w:tcW w:w="659" w:type="dxa"/>
            <w:tcBorders>
              <w:top w:val="nil"/>
              <w:left w:val="nil"/>
              <w:bottom w:val="nil"/>
              <w:right w:val="nil"/>
            </w:tcBorders>
            <w:shd w:val="clear" w:color="auto" w:fill="auto"/>
            <w:noWrap/>
            <w:vAlign w:val="bottom"/>
            <w:hideMark/>
          </w:tcPr>
          <w:p w14:paraId="283DD7EE"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29</w:t>
            </w:r>
          </w:p>
        </w:tc>
        <w:tc>
          <w:tcPr>
            <w:tcW w:w="866" w:type="dxa"/>
            <w:tcBorders>
              <w:top w:val="nil"/>
              <w:left w:val="nil"/>
              <w:bottom w:val="nil"/>
              <w:right w:val="nil"/>
            </w:tcBorders>
            <w:shd w:val="clear" w:color="auto" w:fill="auto"/>
            <w:noWrap/>
            <w:vAlign w:val="bottom"/>
            <w:hideMark/>
          </w:tcPr>
          <w:p w14:paraId="67919AF4"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57F26625"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09457BAD"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49A65458"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27C3DC0F" w14:textId="77777777" w:rsidTr="00E9118E">
        <w:trPr>
          <w:trHeight w:val="193"/>
        </w:trPr>
        <w:tc>
          <w:tcPr>
            <w:tcW w:w="4533" w:type="dxa"/>
            <w:tcBorders>
              <w:top w:val="nil"/>
              <w:left w:val="nil"/>
              <w:bottom w:val="nil"/>
              <w:right w:val="nil"/>
            </w:tcBorders>
            <w:shd w:val="clear" w:color="auto" w:fill="auto"/>
            <w:hideMark/>
          </w:tcPr>
          <w:p w14:paraId="1C53D2B8"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Oslobodenie príjmov z predaja akcií a obchodných podielov</w:t>
            </w:r>
          </w:p>
        </w:tc>
        <w:tc>
          <w:tcPr>
            <w:tcW w:w="762" w:type="dxa"/>
            <w:tcBorders>
              <w:top w:val="nil"/>
              <w:left w:val="nil"/>
              <w:bottom w:val="nil"/>
              <w:right w:val="nil"/>
            </w:tcBorders>
            <w:shd w:val="clear" w:color="auto" w:fill="auto"/>
            <w:noWrap/>
            <w:vAlign w:val="bottom"/>
            <w:hideMark/>
          </w:tcPr>
          <w:p w14:paraId="56C79DCE"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42FDD42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-5</w:t>
            </w:r>
          </w:p>
        </w:tc>
        <w:tc>
          <w:tcPr>
            <w:tcW w:w="866" w:type="dxa"/>
            <w:tcBorders>
              <w:top w:val="nil"/>
              <w:left w:val="nil"/>
              <w:bottom w:val="nil"/>
              <w:right w:val="nil"/>
            </w:tcBorders>
            <w:shd w:val="clear" w:color="auto" w:fill="auto"/>
            <w:noWrap/>
            <w:vAlign w:val="bottom"/>
            <w:hideMark/>
          </w:tcPr>
          <w:p w14:paraId="1EC1DB94"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-23</w:t>
            </w:r>
          </w:p>
        </w:tc>
        <w:tc>
          <w:tcPr>
            <w:tcW w:w="762" w:type="dxa"/>
            <w:tcBorders>
              <w:top w:val="nil"/>
              <w:left w:val="nil"/>
              <w:bottom w:val="nil"/>
              <w:right w:val="nil"/>
            </w:tcBorders>
            <w:shd w:val="clear" w:color="auto" w:fill="auto"/>
            <w:noWrap/>
            <w:vAlign w:val="bottom"/>
            <w:hideMark/>
          </w:tcPr>
          <w:p w14:paraId="0E1181B4"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50A98E10"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13BBD415"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04625971" w14:textId="77777777" w:rsidTr="00E9118E">
        <w:trPr>
          <w:trHeight w:val="193"/>
        </w:trPr>
        <w:tc>
          <w:tcPr>
            <w:tcW w:w="4533" w:type="dxa"/>
            <w:tcBorders>
              <w:top w:val="nil"/>
              <w:left w:val="nil"/>
              <w:bottom w:val="nil"/>
              <w:right w:val="nil"/>
            </w:tcBorders>
            <w:shd w:val="clear" w:color="auto" w:fill="auto"/>
            <w:hideMark/>
          </w:tcPr>
          <w:p w14:paraId="1FDDE84B"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Súbor opatrení vedúci k zvýšeniu efektívnosti výberu DPH</w:t>
            </w:r>
          </w:p>
        </w:tc>
        <w:tc>
          <w:tcPr>
            <w:tcW w:w="762" w:type="dxa"/>
            <w:tcBorders>
              <w:top w:val="nil"/>
              <w:left w:val="nil"/>
              <w:bottom w:val="nil"/>
              <w:right w:val="nil"/>
            </w:tcBorders>
            <w:shd w:val="clear" w:color="auto" w:fill="auto"/>
            <w:noWrap/>
            <w:vAlign w:val="bottom"/>
            <w:hideMark/>
          </w:tcPr>
          <w:p w14:paraId="1F254B9B"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-57</w:t>
            </w:r>
          </w:p>
        </w:tc>
        <w:tc>
          <w:tcPr>
            <w:tcW w:w="659" w:type="dxa"/>
            <w:tcBorders>
              <w:top w:val="nil"/>
              <w:left w:val="nil"/>
              <w:bottom w:val="nil"/>
              <w:right w:val="nil"/>
            </w:tcBorders>
            <w:shd w:val="clear" w:color="auto" w:fill="auto"/>
            <w:noWrap/>
            <w:vAlign w:val="bottom"/>
            <w:hideMark/>
          </w:tcPr>
          <w:p w14:paraId="74D24249"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308</w:t>
            </w:r>
          </w:p>
        </w:tc>
        <w:tc>
          <w:tcPr>
            <w:tcW w:w="866" w:type="dxa"/>
            <w:tcBorders>
              <w:top w:val="nil"/>
              <w:left w:val="nil"/>
              <w:bottom w:val="nil"/>
              <w:right w:val="nil"/>
            </w:tcBorders>
            <w:shd w:val="clear" w:color="auto" w:fill="auto"/>
            <w:noWrap/>
            <w:vAlign w:val="bottom"/>
            <w:hideMark/>
          </w:tcPr>
          <w:p w14:paraId="4145E793"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31D1D263"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5980ED97"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42279A97"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24DF3EBC" w14:textId="77777777" w:rsidTr="00E9118E">
        <w:trPr>
          <w:trHeight w:val="193"/>
        </w:trPr>
        <w:tc>
          <w:tcPr>
            <w:tcW w:w="4533" w:type="dxa"/>
            <w:tcBorders>
              <w:top w:val="nil"/>
              <w:left w:val="nil"/>
              <w:bottom w:val="nil"/>
              <w:right w:val="nil"/>
            </w:tcBorders>
            <w:shd w:val="clear" w:color="auto" w:fill="auto"/>
            <w:hideMark/>
          </w:tcPr>
          <w:p w14:paraId="4C0DFB92"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Znížená sadzba DPH na ubytovacie služby</w:t>
            </w:r>
          </w:p>
        </w:tc>
        <w:tc>
          <w:tcPr>
            <w:tcW w:w="762" w:type="dxa"/>
            <w:tcBorders>
              <w:top w:val="nil"/>
              <w:left w:val="nil"/>
              <w:bottom w:val="nil"/>
              <w:right w:val="nil"/>
            </w:tcBorders>
            <w:shd w:val="clear" w:color="auto" w:fill="auto"/>
            <w:noWrap/>
            <w:vAlign w:val="bottom"/>
            <w:hideMark/>
          </w:tcPr>
          <w:p w14:paraId="4F7900BB"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701DE6F7"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-24</w:t>
            </w:r>
          </w:p>
        </w:tc>
        <w:tc>
          <w:tcPr>
            <w:tcW w:w="866" w:type="dxa"/>
            <w:tcBorders>
              <w:top w:val="nil"/>
              <w:left w:val="nil"/>
              <w:bottom w:val="nil"/>
              <w:right w:val="nil"/>
            </w:tcBorders>
            <w:shd w:val="clear" w:color="auto" w:fill="auto"/>
            <w:noWrap/>
            <w:vAlign w:val="bottom"/>
            <w:hideMark/>
          </w:tcPr>
          <w:p w14:paraId="46327430"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18A022FE"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526B1DAC"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725E408C"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1AA22553" w14:textId="77777777" w:rsidTr="00E9118E">
        <w:trPr>
          <w:trHeight w:val="193"/>
        </w:trPr>
        <w:tc>
          <w:tcPr>
            <w:tcW w:w="4533" w:type="dxa"/>
            <w:tcBorders>
              <w:top w:val="nil"/>
              <w:left w:val="nil"/>
              <w:bottom w:val="nil"/>
              <w:right w:val="nil"/>
            </w:tcBorders>
            <w:shd w:val="clear" w:color="auto" w:fill="auto"/>
            <w:hideMark/>
          </w:tcPr>
          <w:p w14:paraId="23768026"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Zvýšenie spotrebnej dane z tabakových výrobkov</w:t>
            </w:r>
          </w:p>
        </w:tc>
        <w:tc>
          <w:tcPr>
            <w:tcW w:w="762" w:type="dxa"/>
            <w:tcBorders>
              <w:top w:val="nil"/>
              <w:left w:val="nil"/>
              <w:bottom w:val="nil"/>
              <w:right w:val="nil"/>
            </w:tcBorders>
            <w:shd w:val="clear" w:color="auto" w:fill="auto"/>
            <w:noWrap/>
            <w:vAlign w:val="bottom"/>
            <w:hideMark/>
          </w:tcPr>
          <w:p w14:paraId="141F0115"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3</w:t>
            </w:r>
          </w:p>
        </w:tc>
        <w:tc>
          <w:tcPr>
            <w:tcW w:w="659" w:type="dxa"/>
            <w:tcBorders>
              <w:top w:val="nil"/>
              <w:left w:val="nil"/>
              <w:bottom w:val="nil"/>
              <w:right w:val="nil"/>
            </w:tcBorders>
            <w:shd w:val="clear" w:color="auto" w:fill="auto"/>
            <w:noWrap/>
            <w:vAlign w:val="bottom"/>
            <w:hideMark/>
          </w:tcPr>
          <w:p w14:paraId="04793CDA"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36</w:t>
            </w:r>
          </w:p>
        </w:tc>
        <w:tc>
          <w:tcPr>
            <w:tcW w:w="866" w:type="dxa"/>
            <w:tcBorders>
              <w:top w:val="nil"/>
              <w:left w:val="nil"/>
              <w:bottom w:val="nil"/>
              <w:right w:val="nil"/>
            </w:tcBorders>
            <w:shd w:val="clear" w:color="auto" w:fill="auto"/>
            <w:noWrap/>
            <w:vAlign w:val="bottom"/>
            <w:hideMark/>
          </w:tcPr>
          <w:p w14:paraId="3A202FD7"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7FD8313B"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23E59461"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397A0F1A"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525CFB12" w14:textId="77777777" w:rsidTr="00E9118E">
        <w:trPr>
          <w:trHeight w:val="193"/>
        </w:trPr>
        <w:tc>
          <w:tcPr>
            <w:tcW w:w="4533" w:type="dxa"/>
            <w:tcBorders>
              <w:top w:val="nil"/>
              <w:left w:val="nil"/>
              <w:bottom w:val="nil"/>
              <w:right w:val="nil"/>
            </w:tcBorders>
            <w:shd w:val="clear" w:color="auto" w:fill="auto"/>
            <w:hideMark/>
          </w:tcPr>
          <w:p w14:paraId="597EA290" w14:textId="099A152F" w:rsidR="00D37A31" w:rsidRPr="00887108" w:rsidRDefault="00D37A31" w:rsidP="00E9118E">
            <w:pPr>
              <w:rPr>
                <w:rFonts w:cs="Times New Roman"/>
                <w:color w:val="000000"/>
                <w:sz w:val="18"/>
                <w:szCs w:val="18"/>
                <w:highlight w:val="yellow"/>
                <w:lang w:eastAsia="en-GB"/>
              </w:rPr>
            </w:pPr>
            <w:r w:rsidRPr="00887108">
              <w:rPr>
                <w:color w:val="000000"/>
                <w:sz w:val="18"/>
                <w:szCs w:val="20"/>
              </w:rPr>
              <w:t>Ročné zúčtovanie soci</w:t>
            </w:r>
            <w:r w:rsidR="00B21481" w:rsidRPr="00887108">
              <w:rPr>
                <w:color w:val="000000"/>
                <w:sz w:val="18"/>
                <w:szCs w:val="20"/>
              </w:rPr>
              <w:t>álneho poistenia - posun na 2023</w:t>
            </w:r>
          </w:p>
        </w:tc>
        <w:tc>
          <w:tcPr>
            <w:tcW w:w="762" w:type="dxa"/>
            <w:tcBorders>
              <w:top w:val="nil"/>
              <w:left w:val="nil"/>
              <w:bottom w:val="nil"/>
              <w:right w:val="nil"/>
            </w:tcBorders>
            <w:shd w:val="clear" w:color="auto" w:fill="auto"/>
            <w:noWrap/>
            <w:vAlign w:val="bottom"/>
            <w:hideMark/>
          </w:tcPr>
          <w:p w14:paraId="6A2F5E1A"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363A0BF3"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866" w:type="dxa"/>
            <w:tcBorders>
              <w:top w:val="nil"/>
              <w:left w:val="nil"/>
              <w:bottom w:val="nil"/>
              <w:right w:val="nil"/>
            </w:tcBorders>
            <w:shd w:val="clear" w:color="auto" w:fill="auto"/>
            <w:noWrap/>
            <w:vAlign w:val="bottom"/>
            <w:hideMark/>
          </w:tcPr>
          <w:p w14:paraId="6BE93075"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6BF4E7C5"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2D6C66BB"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32ADD8A5"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49</w:t>
            </w:r>
          </w:p>
        </w:tc>
      </w:tr>
      <w:tr w:rsidR="00D37A31" w:rsidRPr="00887108" w14:paraId="541BC04A" w14:textId="77777777" w:rsidTr="00E9118E">
        <w:trPr>
          <w:trHeight w:val="193"/>
        </w:trPr>
        <w:tc>
          <w:tcPr>
            <w:tcW w:w="4533" w:type="dxa"/>
            <w:tcBorders>
              <w:top w:val="nil"/>
              <w:left w:val="nil"/>
              <w:bottom w:val="nil"/>
              <w:right w:val="nil"/>
            </w:tcBorders>
            <w:shd w:val="clear" w:color="auto" w:fill="auto"/>
            <w:hideMark/>
          </w:tcPr>
          <w:p w14:paraId="5418C62B" w14:textId="01DBB6C1" w:rsidR="00D37A31" w:rsidRPr="00887108" w:rsidRDefault="00D37A31" w:rsidP="00245B70">
            <w:pPr>
              <w:rPr>
                <w:rFonts w:cs="Times New Roman"/>
                <w:color w:val="000000"/>
                <w:sz w:val="18"/>
                <w:szCs w:val="18"/>
                <w:highlight w:val="yellow"/>
                <w:lang w:eastAsia="en-GB"/>
              </w:rPr>
            </w:pPr>
            <w:r w:rsidRPr="00887108">
              <w:rPr>
                <w:color w:val="000000"/>
                <w:sz w:val="18"/>
                <w:szCs w:val="20"/>
              </w:rPr>
              <w:t>Zavedenie</w:t>
            </w:r>
            <w:r w:rsidR="00F16E88" w:rsidRPr="00887108">
              <w:rPr>
                <w:color w:val="000000"/>
                <w:sz w:val="18"/>
                <w:szCs w:val="20"/>
              </w:rPr>
              <w:t xml:space="preserve"> odvodovo </w:t>
            </w:r>
            <w:r w:rsidR="00887108" w:rsidRPr="00887108">
              <w:rPr>
                <w:color w:val="000000"/>
                <w:sz w:val="18"/>
                <w:szCs w:val="20"/>
              </w:rPr>
              <w:t>odpočítateľnej</w:t>
            </w:r>
            <w:r w:rsidR="00F16E88" w:rsidRPr="00887108">
              <w:rPr>
                <w:color w:val="000000"/>
                <w:sz w:val="18"/>
                <w:szCs w:val="20"/>
              </w:rPr>
              <w:t xml:space="preserve"> položky (OOP) </w:t>
            </w:r>
            <w:r w:rsidRPr="00887108">
              <w:rPr>
                <w:color w:val="000000"/>
                <w:sz w:val="18"/>
                <w:szCs w:val="20"/>
              </w:rPr>
              <w:t>a následné zmeny (zmena uplatňovania OOP, zrušenie OOP pre zamestnávateľa, zavedenie OOP pre dôchodcov)</w:t>
            </w:r>
          </w:p>
        </w:tc>
        <w:tc>
          <w:tcPr>
            <w:tcW w:w="762" w:type="dxa"/>
            <w:tcBorders>
              <w:top w:val="nil"/>
              <w:left w:val="nil"/>
              <w:bottom w:val="nil"/>
              <w:right w:val="nil"/>
            </w:tcBorders>
            <w:shd w:val="clear" w:color="auto" w:fill="auto"/>
            <w:noWrap/>
            <w:vAlign w:val="bottom"/>
            <w:hideMark/>
          </w:tcPr>
          <w:p w14:paraId="55773749"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35</w:t>
            </w:r>
          </w:p>
        </w:tc>
        <w:tc>
          <w:tcPr>
            <w:tcW w:w="659" w:type="dxa"/>
            <w:tcBorders>
              <w:top w:val="nil"/>
              <w:left w:val="nil"/>
              <w:bottom w:val="nil"/>
              <w:right w:val="nil"/>
            </w:tcBorders>
            <w:shd w:val="clear" w:color="auto" w:fill="auto"/>
            <w:noWrap/>
            <w:vAlign w:val="bottom"/>
            <w:hideMark/>
          </w:tcPr>
          <w:p w14:paraId="5990D94A"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37</w:t>
            </w:r>
          </w:p>
        </w:tc>
        <w:tc>
          <w:tcPr>
            <w:tcW w:w="866" w:type="dxa"/>
            <w:tcBorders>
              <w:top w:val="nil"/>
              <w:left w:val="nil"/>
              <w:bottom w:val="nil"/>
              <w:right w:val="nil"/>
            </w:tcBorders>
            <w:shd w:val="clear" w:color="auto" w:fill="auto"/>
            <w:noWrap/>
            <w:vAlign w:val="bottom"/>
            <w:hideMark/>
          </w:tcPr>
          <w:p w14:paraId="24ECC9B2"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2B027507"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18504C56"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5B8D3AF5"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508734D0" w14:textId="77777777" w:rsidTr="00E9118E">
        <w:trPr>
          <w:trHeight w:val="193"/>
        </w:trPr>
        <w:tc>
          <w:tcPr>
            <w:tcW w:w="4533" w:type="dxa"/>
            <w:tcBorders>
              <w:top w:val="nil"/>
              <w:left w:val="nil"/>
              <w:bottom w:val="nil"/>
              <w:right w:val="nil"/>
            </w:tcBorders>
            <w:shd w:val="clear" w:color="auto" w:fill="auto"/>
            <w:hideMark/>
          </w:tcPr>
          <w:p w14:paraId="47ACB751"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Postupný rast odvodu do II. piliera (automaticky od 2017 o 0,25 p.b./rok)</w:t>
            </w:r>
          </w:p>
        </w:tc>
        <w:tc>
          <w:tcPr>
            <w:tcW w:w="762" w:type="dxa"/>
            <w:tcBorders>
              <w:top w:val="nil"/>
              <w:left w:val="nil"/>
              <w:bottom w:val="nil"/>
              <w:right w:val="nil"/>
            </w:tcBorders>
            <w:shd w:val="clear" w:color="auto" w:fill="auto"/>
            <w:noWrap/>
            <w:vAlign w:val="bottom"/>
            <w:hideMark/>
          </w:tcPr>
          <w:p w14:paraId="48016F7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-32</w:t>
            </w:r>
          </w:p>
        </w:tc>
        <w:tc>
          <w:tcPr>
            <w:tcW w:w="659" w:type="dxa"/>
            <w:tcBorders>
              <w:top w:val="nil"/>
              <w:left w:val="nil"/>
              <w:bottom w:val="nil"/>
              <w:right w:val="nil"/>
            </w:tcBorders>
            <w:shd w:val="clear" w:color="auto" w:fill="auto"/>
            <w:noWrap/>
            <w:vAlign w:val="bottom"/>
            <w:hideMark/>
          </w:tcPr>
          <w:p w14:paraId="7A1F4981"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-41</w:t>
            </w:r>
          </w:p>
        </w:tc>
        <w:tc>
          <w:tcPr>
            <w:tcW w:w="866" w:type="dxa"/>
            <w:tcBorders>
              <w:top w:val="nil"/>
              <w:left w:val="nil"/>
              <w:bottom w:val="nil"/>
              <w:right w:val="nil"/>
            </w:tcBorders>
            <w:shd w:val="clear" w:color="auto" w:fill="auto"/>
            <w:noWrap/>
            <w:vAlign w:val="bottom"/>
            <w:hideMark/>
          </w:tcPr>
          <w:p w14:paraId="1D53C90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-45</w:t>
            </w:r>
          </w:p>
        </w:tc>
        <w:tc>
          <w:tcPr>
            <w:tcW w:w="762" w:type="dxa"/>
            <w:tcBorders>
              <w:top w:val="nil"/>
              <w:left w:val="nil"/>
              <w:bottom w:val="nil"/>
              <w:right w:val="nil"/>
            </w:tcBorders>
            <w:shd w:val="clear" w:color="auto" w:fill="auto"/>
            <w:noWrap/>
            <w:vAlign w:val="bottom"/>
            <w:hideMark/>
          </w:tcPr>
          <w:p w14:paraId="32550D35"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-45</w:t>
            </w:r>
          </w:p>
        </w:tc>
        <w:tc>
          <w:tcPr>
            <w:tcW w:w="762" w:type="dxa"/>
            <w:tcBorders>
              <w:top w:val="nil"/>
              <w:left w:val="nil"/>
              <w:bottom w:val="nil"/>
              <w:right w:val="nil"/>
            </w:tcBorders>
            <w:shd w:val="clear" w:color="auto" w:fill="auto"/>
            <w:noWrap/>
            <w:vAlign w:val="bottom"/>
            <w:hideMark/>
          </w:tcPr>
          <w:p w14:paraId="03E86C0C"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-48</w:t>
            </w:r>
          </w:p>
        </w:tc>
        <w:tc>
          <w:tcPr>
            <w:tcW w:w="763" w:type="dxa"/>
            <w:tcBorders>
              <w:top w:val="nil"/>
              <w:left w:val="nil"/>
              <w:bottom w:val="nil"/>
              <w:right w:val="nil"/>
            </w:tcBorders>
            <w:shd w:val="clear" w:color="auto" w:fill="auto"/>
            <w:noWrap/>
            <w:vAlign w:val="bottom"/>
            <w:hideMark/>
          </w:tcPr>
          <w:p w14:paraId="0685A7E8"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-53</w:t>
            </w:r>
          </w:p>
        </w:tc>
      </w:tr>
      <w:tr w:rsidR="00D37A31" w:rsidRPr="00887108" w14:paraId="2C0E2B86" w14:textId="77777777" w:rsidTr="00E9118E">
        <w:trPr>
          <w:trHeight w:val="193"/>
        </w:trPr>
        <w:tc>
          <w:tcPr>
            <w:tcW w:w="4533" w:type="dxa"/>
            <w:tcBorders>
              <w:top w:val="nil"/>
              <w:left w:val="nil"/>
              <w:bottom w:val="nil"/>
              <w:right w:val="nil"/>
            </w:tcBorders>
            <w:shd w:val="clear" w:color="auto" w:fill="auto"/>
            <w:hideMark/>
          </w:tcPr>
          <w:p w14:paraId="6E01FEFA"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Neživotné poistenie – zavedenie odvodu a nahradenie spotrebnou daňou z poistného</w:t>
            </w:r>
          </w:p>
        </w:tc>
        <w:tc>
          <w:tcPr>
            <w:tcW w:w="762" w:type="dxa"/>
            <w:tcBorders>
              <w:top w:val="nil"/>
              <w:left w:val="nil"/>
              <w:bottom w:val="nil"/>
              <w:right w:val="nil"/>
            </w:tcBorders>
            <w:shd w:val="clear" w:color="auto" w:fill="auto"/>
            <w:noWrap/>
            <w:vAlign w:val="bottom"/>
            <w:hideMark/>
          </w:tcPr>
          <w:p w14:paraId="5D9FC0D8"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14</w:t>
            </w:r>
          </w:p>
        </w:tc>
        <w:tc>
          <w:tcPr>
            <w:tcW w:w="659" w:type="dxa"/>
            <w:tcBorders>
              <w:top w:val="nil"/>
              <w:left w:val="nil"/>
              <w:bottom w:val="nil"/>
              <w:right w:val="nil"/>
            </w:tcBorders>
            <w:shd w:val="clear" w:color="auto" w:fill="auto"/>
            <w:noWrap/>
            <w:vAlign w:val="bottom"/>
            <w:hideMark/>
          </w:tcPr>
          <w:p w14:paraId="54B5FA68"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65</w:t>
            </w:r>
          </w:p>
        </w:tc>
        <w:tc>
          <w:tcPr>
            <w:tcW w:w="866" w:type="dxa"/>
            <w:tcBorders>
              <w:top w:val="nil"/>
              <w:left w:val="nil"/>
              <w:bottom w:val="nil"/>
              <w:right w:val="nil"/>
            </w:tcBorders>
            <w:shd w:val="clear" w:color="auto" w:fill="auto"/>
            <w:noWrap/>
            <w:vAlign w:val="bottom"/>
            <w:hideMark/>
          </w:tcPr>
          <w:p w14:paraId="64543CB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0EAB6AD8"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612E92D2"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52C35E86"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01872FCE" w14:textId="77777777" w:rsidTr="00E9118E">
        <w:trPr>
          <w:trHeight w:val="193"/>
        </w:trPr>
        <w:tc>
          <w:tcPr>
            <w:tcW w:w="4533" w:type="dxa"/>
            <w:tcBorders>
              <w:top w:val="nil"/>
              <w:left w:val="nil"/>
              <w:bottom w:val="nil"/>
              <w:right w:val="nil"/>
            </w:tcBorders>
            <w:shd w:val="clear" w:color="auto" w:fill="auto"/>
            <w:hideMark/>
          </w:tcPr>
          <w:p w14:paraId="36A87C49"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Zdvojnásobenie sadzby osobitného odvodu v regulovaných odvetviach, a následné zníženie (2019, 2021)</w:t>
            </w:r>
          </w:p>
        </w:tc>
        <w:tc>
          <w:tcPr>
            <w:tcW w:w="762" w:type="dxa"/>
            <w:tcBorders>
              <w:top w:val="nil"/>
              <w:left w:val="nil"/>
              <w:bottom w:val="nil"/>
              <w:right w:val="nil"/>
            </w:tcBorders>
            <w:shd w:val="clear" w:color="auto" w:fill="auto"/>
            <w:noWrap/>
            <w:vAlign w:val="bottom"/>
            <w:hideMark/>
          </w:tcPr>
          <w:p w14:paraId="78B4D6BB"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4C9EB872"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-29</w:t>
            </w:r>
          </w:p>
        </w:tc>
        <w:tc>
          <w:tcPr>
            <w:tcW w:w="866" w:type="dxa"/>
            <w:tcBorders>
              <w:top w:val="nil"/>
              <w:left w:val="nil"/>
              <w:bottom w:val="nil"/>
              <w:right w:val="nil"/>
            </w:tcBorders>
            <w:shd w:val="clear" w:color="auto" w:fill="auto"/>
            <w:noWrap/>
            <w:vAlign w:val="bottom"/>
            <w:hideMark/>
          </w:tcPr>
          <w:p w14:paraId="0016D8A4"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0781BC49"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-28</w:t>
            </w:r>
          </w:p>
        </w:tc>
        <w:tc>
          <w:tcPr>
            <w:tcW w:w="762" w:type="dxa"/>
            <w:tcBorders>
              <w:top w:val="nil"/>
              <w:left w:val="nil"/>
              <w:bottom w:val="nil"/>
              <w:right w:val="nil"/>
            </w:tcBorders>
            <w:shd w:val="clear" w:color="auto" w:fill="auto"/>
            <w:noWrap/>
            <w:vAlign w:val="bottom"/>
            <w:hideMark/>
          </w:tcPr>
          <w:p w14:paraId="1720F28C"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6605A491"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53C8BC79" w14:textId="77777777" w:rsidTr="00E9118E">
        <w:trPr>
          <w:trHeight w:val="193"/>
        </w:trPr>
        <w:tc>
          <w:tcPr>
            <w:tcW w:w="4533" w:type="dxa"/>
            <w:tcBorders>
              <w:top w:val="nil"/>
              <w:left w:val="nil"/>
              <w:bottom w:val="nil"/>
              <w:right w:val="nil"/>
            </w:tcBorders>
            <w:shd w:val="clear" w:color="auto" w:fill="auto"/>
            <w:hideMark/>
          </w:tcPr>
          <w:p w14:paraId="3A41AD08" w14:textId="7D86832A" w:rsidR="00D37A31" w:rsidRPr="00887108" w:rsidRDefault="00D37A31" w:rsidP="00EB30F9">
            <w:pPr>
              <w:rPr>
                <w:rFonts w:cs="Times New Roman"/>
                <w:color w:val="000000"/>
                <w:sz w:val="18"/>
                <w:szCs w:val="18"/>
                <w:highlight w:val="yellow"/>
                <w:lang w:eastAsia="en-GB"/>
              </w:rPr>
            </w:pPr>
            <w:r w:rsidRPr="00887108">
              <w:rPr>
                <w:color w:val="000000"/>
                <w:sz w:val="18"/>
                <w:szCs w:val="20"/>
              </w:rPr>
              <w:t>Navýšenie bankového odvodu</w:t>
            </w:r>
          </w:p>
        </w:tc>
        <w:tc>
          <w:tcPr>
            <w:tcW w:w="762" w:type="dxa"/>
            <w:tcBorders>
              <w:top w:val="nil"/>
              <w:left w:val="nil"/>
              <w:bottom w:val="nil"/>
              <w:right w:val="nil"/>
            </w:tcBorders>
            <w:shd w:val="clear" w:color="auto" w:fill="auto"/>
            <w:noWrap/>
            <w:vAlign w:val="bottom"/>
            <w:hideMark/>
          </w:tcPr>
          <w:p w14:paraId="0497D26B"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4F700EE3"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866" w:type="dxa"/>
            <w:tcBorders>
              <w:top w:val="nil"/>
              <w:left w:val="nil"/>
              <w:bottom w:val="nil"/>
              <w:right w:val="nil"/>
            </w:tcBorders>
            <w:shd w:val="clear" w:color="auto" w:fill="auto"/>
            <w:noWrap/>
            <w:vAlign w:val="bottom"/>
            <w:hideMark/>
          </w:tcPr>
          <w:p w14:paraId="18F80743" w14:textId="39489164"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1</w:t>
            </w:r>
            <w:r w:rsidR="00245B70" w:rsidRPr="00887108">
              <w:rPr>
                <w:color w:val="000000"/>
                <w:sz w:val="20"/>
                <w:szCs w:val="20"/>
              </w:rPr>
              <w:t>25</w:t>
            </w:r>
          </w:p>
        </w:tc>
        <w:tc>
          <w:tcPr>
            <w:tcW w:w="762" w:type="dxa"/>
            <w:tcBorders>
              <w:top w:val="nil"/>
              <w:left w:val="nil"/>
              <w:bottom w:val="nil"/>
              <w:right w:val="nil"/>
            </w:tcBorders>
            <w:shd w:val="clear" w:color="auto" w:fill="auto"/>
            <w:noWrap/>
            <w:vAlign w:val="bottom"/>
            <w:hideMark/>
          </w:tcPr>
          <w:p w14:paraId="7E3B6549" w14:textId="2FFE8664" w:rsidR="00D37A31" w:rsidRPr="00887108" w:rsidRDefault="0084712D"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47A99A74"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50973493"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77D41A11" w14:textId="77777777" w:rsidTr="00E9118E">
        <w:trPr>
          <w:trHeight w:val="193"/>
        </w:trPr>
        <w:tc>
          <w:tcPr>
            <w:tcW w:w="4533" w:type="dxa"/>
            <w:tcBorders>
              <w:top w:val="nil"/>
              <w:left w:val="nil"/>
              <w:bottom w:val="nil"/>
              <w:right w:val="nil"/>
            </w:tcBorders>
            <w:shd w:val="clear" w:color="auto" w:fill="auto"/>
            <w:hideMark/>
          </w:tcPr>
          <w:p w14:paraId="56F35C53"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Zvýšenie odpočtu výdavkov na vedu a výskum</w:t>
            </w:r>
          </w:p>
        </w:tc>
        <w:tc>
          <w:tcPr>
            <w:tcW w:w="762" w:type="dxa"/>
            <w:tcBorders>
              <w:top w:val="nil"/>
              <w:left w:val="nil"/>
              <w:bottom w:val="nil"/>
              <w:right w:val="nil"/>
            </w:tcBorders>
            <w:shd w:val="clear" w:color="auto" w:fill="auto"/>
            <w:noWrap/>
            <w:vAlign w:val="bottom"/>
            <w:hideMark/>
          </w:tcPr>
          <w:p w14:paraId="5129CB58"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-15</w:t>
            </w:r>
          </w:p>
        </w:tc>
        <w:tc>
          <w:tcPr>
            <w:tcW w:w="659" w:type="dxa"/>
            <w:tcBorders>
              <w:top w:val="nil"/>
              <w:left w:val="nil"/>
              <w:bottom w:val="nil"/>
              <w:right w:val="nil"/>
            </w:tcBorders>
            <w:shd w:val="clear" w:color="auto" w:fill="auto"/>
            <w:noWrap/>
            <w:vAlign w:val="bottom"/>
            <w:hideMark/>
          </w:tcPr>
          <w:p w14:paraId="4B6ADE16"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-4</w:t>
            </w:r>
          </w:p>
        </w:tc>
        <w:tc>
          <w:tcPr>
            <w:tcW w:w="866" w:type="dxa"/>
            <w:tcBorders>
              <w:top w:val="nil"/>
              <w:left w:val="nil"/>
              <w:bottom w:val="nil"/>
              <w:right w:val="nil"/>
            </w:tcBorders>
            <w:shd w:val="clear" w:color="auto" w:fill="auto"/>
            <w:noWrap/>
            <w:vAlign w:val="bottom"/>
            <w:hideMark/>
          </w:tcPr>
          <w:p w14:paraId="5DD6DA24"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167B835A"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1B6AD93B"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6D1C757C"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2528A45E" w14:textId="77777777" w:rsidTr="00E9118E">
        <w:trPr>
          <w:trHeight w:val="193"/>
        </w:trPr>
        <w:tc>
          <w:tcPr>
            <w:tcW w:w="4533" w:type="dxa"/>
            <w:tcBorders>
              <w:top w:val="nil"/>
              <w:left w:val="nil"/>
              <w:bottom w:val="nil"/>
              <w:right w:val="nil"/>
            </w:tcBorders>
            <w:shd w:val="clear" w:color="auto" w:fill="auto"/>
            <w:hideMark/>
          </w:tcPr>
          <w:p w14:paraId="1EF9007A"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Zavedenie licencií na hazardné hry a iné zmeny v zdaňovaní hazardných hier</w:t>
            </w:r>
          </w:p>
        </w:tc>
        <w:tc>
          <w:tcPr>
            <w:tcW w:w="762" w:type="dxa"/>
            <w:tcBorders>
              <w:top w:val="nil"/>
              <w:left w:val="nil"/>
              <w:bottom w:val="nil"/>
              <w:right w:val="nil"/>
            </w:tcBorders>
            <w:shd w:val="clear" w:color="auto" w:fill="auto"/>
            <w:noWrap/>
            <w:vAlign w:val="bottom"/>
            <w:hideMark/>
          </w:tcPr>
          <w:p w14:paraId="51941D5D"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3A3758D8"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12</w:t>
            </w:r>
          </w:p>
        </w:tc>
        <w:tc>
          <w:tcPr>
            <w:tcW w:w="866" w:type="dxa"/>
            <w:tcBorders>
              <w:top w:val="nil"/>
              <w:left w:val="nil"/>
              <w:bottom w:val="nil"/>
              <w:right w:val="nil"/>
            </w:tcBorders>
            <w:shd w:val="clear" w:color="auto" w:fill="auto"/>
            <w:noWrap/>
            <w:vAlign w:val="bottom"/>
            <w:hideMark/>
          </w:tcPr>
          <w:p w14:paraId="78582B0F"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3</w:t>
            </w:r>
          </w:p>
        </w:tc>
        <w:tc>
          <w:tcPr>
            <w:tcW w:w="762" w:type="dxa"/>
            <w:tcBorders>
              <w:top w:val="nil"/>
              <w:left w:val="nil"/>
              <w:bottom w:val="nil"/>
              <w:right w:val="nil"/>
            </w:tcBorders>
            <w:shd w:val="clear" w:color="auto" w:fill="auto"/>
            <w:noWrap/>
            <w:vAlign w:val="bottom"/>
            <w:hideMark/>
          </w:tcPr>
          <w:p w14:paraId="6978E16C"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5D6CD98E"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33E2F6F3"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7BF4A5F6" w14:textId="77777777" w:rsidTr="00E9118E">
        <w:trPr>
          <w:trHeight w:val="193"/>
        </w:trPr>
        <w:tc>
          <w:tcPr>
            <w:tcW w:w="4533" w:type="dxa"/>
            <w:tcBorders>
              <w:top w:val="nil"/>
              <w:left w:val="nil"/>
              <w:bottom w:val="nil"/>
              <w:right w:val="nil"/>
            </w:tcBorders>
            <w:shd w:val="clear" w:color="auto" w:fill="auto"/>
            <w:hideMark/>
          </w:tcPr>
          <w:p w14:paraId="233666B1"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Zvýšenie hranice platenia preddavkov (z 2500 na 5000 eur)</w:t>
            </w:r>
          </w:p>
        </w:tc>
        <w:tc>
          <w:tcPr>
            <w:tcW w:w="762" w:type="dxa"/>
            <w:tcBorders>
              <w:top w:val="nil"/>
              <w:left w:val="nil"/>
              <w:bottom w:val="nil"/>
              <w:right w:val="nil"/>
            </w:tcBorders>
            <w:shd w:val="clear" w:color="auto" w:fill="auto"/>
            <w:noWrap/>
            <w:vAlign w:val="bottom"/>
            <w:hideMark/>
          </w:tcPr>
          <w:p w14:paraId="790E6525"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384B3C45"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866" w:type="dxa"/>
            <w:tcBorders>
              <w:top w:val="nil"/>
              <w:left w:val="nil"/>
              <w:bottom w:val="nil"/>
              <w:right w:val="nil"/>
            </w:tcBorders>
            <w:shd w:val="clear" w:color="auto" w:fill="auto"/>
            <w:noWrap/>
            <w:vAlign w:val="bottom"/>
            <w:hideMark/>
          </w:tcPr>
          <w:p w14:paraId="3953F869"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656DA9B6"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-11</w:t>
            </w:r>
          </w:p>
        </w:tc>
        <w:tc>
          <w:tcPr>
            <w:tcW w:w="762" w:type="dxa"/>
            <w:tcBorders>
              <w:top w:val="nil"/>
              <w:left w:val="nil"/>
              <w:bottom w:val="nil"/>
              <w:right w:val="nil"/>
            </w:tcBorders>
            <w:shd w:val="clear" w:color="auto" w:fill="auto"/>
            <w:noWrap/>
            <w:vAlign w:val="bottom"/>
            <w:hideMark/>
          </w:tcPr>
          <w:p w14:paraId="3B149597"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3" w:type="dxa"/>
            <w:tcBorders>
              <w:top w:val="nil"/>
              <w:left w:val="nil"/>
              <w:bottom w:val="nil"/>
              <w:right w:val="nil"/>
            </w:tcBorders>
            <w:shd w:val="clear" w:color="auto" w:fill="auto"/>
            <w:noWrap/>
            <w:vAlign w:val="bottom"/>
            <w:hideMark/>
          </w:tcPr>
          <w:p w14:paraId="1FBB9FF8"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6DBE7C79" w14:textId="77777777" w:rsidTr="00E9118E">
        <w:trPr>
          <w:trHeight w:val="193"/>
        </w:trPr>
        <w:tc>
          <w:tcPr>
            <w:tcW w:w="4533" w:type="dxa"/>
            <w:tcBorders>
              <w:top w:val="nil"/>
              <w:left w:val="nil"/>
              <w:bottom w:val="nil"/>
              <w:right w:val="nil"/>
            </w:tcBorders>
            <w:shd w:val="clear" w:color="auto" w:fill="auto"/>
            <w:hideMark/>
          </w:tcPr>
          <w:p w14:paraId="738FC966"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Odpočet daňovej straty pre ostatné firmy (max. do 50 % ZD počas 5 rokov)</w:t>
            </w:r>
          </w:p>
        </w:tc>
        <w:tc>
          <w:tcPr>
            <w:tcW w:w="762" w:type="dxa"/>
            <w:tcBorders>
              <w:top w:val="nil"/>
              <w:left w:val="nil"/>
              <w:bottom w:val="nil"/>
              <w:right w:val="nil"/>
            </w:tcBorders>
            <w:shd w:val="clear" w:color="auto" w:fill="auto"/>
            <w:noWrap/>
            <w:vAlign w:val="bottom"/>
            <w:hideMark/>
          </w:tcPr>
          <w:p w14:paraId="6E2E31C8"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bottom w:val="nil"/>
              <w:right w:val="nil"/>
            </w:tcBorders>
            <w:shd w:val="clear" w:color="auto" w:fill="auto"/>
            <w:noWrap/>
            <w:vAlign w:val="bottom"/>
            <w:hideMark/>
          </w:tcPr>
          <w:p w14:paraId="7D38BCDD"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866" w:type="dxa"/>
            <w:tcBorders>
              <w:top w:val="nil"/>
              <w:left w:val="nil"/>
              <w:bottom w:val="nil"/>
              <w:right w:val="nil"/>
            </w:tcBorders>
            <w:shd w:val="clear" w:color="auto" w:fill="auto"/>
            <w:noWrap/>
            <w:vAlign w:val="bottom"/>
            <w:hideMark/>
          </w:tcPr>
          <w:p w14:paraId="04B26A31"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bottom w:val="nil"/>
              <w:right w:val="nil"/>
            </w:tcBorders>
            <w:shd w:val="clear" w:color="auto" w:fill="auto"/>
            <w:noWrap/>
            <w:vAlign w:val="bottom"/>
            <w:hideMark/>
          </w:tcPr>
          <w:p w14:paraId="4BA08FAD"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36</w:t>
            </w:r>
          </w:p>
        </w:tc>
        <w:tc>
          <w:tcPr>
            <w:tcW w:w="762" w:type="dxa"/>
            <w:tcBorders>
              <w:top w:val="nil"/>
              <w:left w:val="nil"/>
              <w:bottom w:val="nil"/>
              <w:right w:val="nil"/>
            </w:tcBorders>
            <w:shd w:val="clear" w:color="auto" w:fill="auto"/>
            <w:noWrap/>
            <w:vAlign w:val="bottom"/>
            <w:hideMark/>
          </w:tcPr>
          <w:p w14:paraId="69B4AA53"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-6</w:t>
            </w:r>
          </w:p>
        </w:tc>
        <w:tc>
          <w:tcPr>
            <w:tcW w:w="763" w:type="dxa"/>
            <w:tcBorders>
              <w:top w:val="nil"/>
              <w:left w:val="nil"/>
              <w:bottom w:val="nil"/>
              <w:right w:val="nil"/>
            </w:tcBorders>
            <w:shd w:val="clear" w:color="auto" w:fill="auto"/>
            <w:noWrap/>
            <w:vAlign w:val="bottom"/>
            <w:hideMark/>
          </w:tcPr>
          <w:p w14:paraId="52F7211F"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6B7BFDEB" w14:textId="77777777" w:rsidTr="00E9118E">
        <w:trPr>
          <w:trHeight w:val="193"/>
        </w:trPr>
        <w:tc>
          <w:tcPr>
            <w:tcW w:w="4533" w:type="dxa"/>
            <w:tcBorders>
              <w:top w:val="nil"/>
              <w:left w:val="nil"/>
              <w:right w:val="nil"/>
            </w:tcBorders>
            <w:shd w:val="clear" w:color="auto" w:fill="auto"/>
            <w:hideMark/>
          </w:tcPr>
          <w:p w14:paraId="3FBA2279"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Ľubovoľná doba odpisov pre mikropodniky</w:t>
            </w:r>
          </w:p>
        </w:tc>
        <w:tc>
          <w:tcPr>
            <w:tcW w:w="762" w:type="dxa"/>
            <w:tcBorders>
              <w:top w:val="nil"/>
              <w:left w:val="nil"/>
              <w:right w:val="nil"/>
            </w:tcBorders>
            <w:shd w:val="clear" w:color="auto" w:fill="auto"/>
            <w:noWrap/>
            <w:vAlign w:val="bottom"/>
            <w:hideMark/>
          </w:tcPr>
          <w:p w14:paraId="62C940D0"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right w:val="nil"/>
            </w:tcBorders>
            <w:shd w:val="clear" w:color="auto" w:fill="auto"/>
            <w:noWrap/>
            <w:vAlign w:val="bottom"/>
            <w:hideMark/>
          </w:tcPr>
          <w:p w14:paraId="5DC868FE"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866" w:type="dxa"/>
            <w:tcBorders>
              <w:top w:val="nil"/>
              <w:left w:val="nil"/>
              <w:right w:val="nil"/>
            </w:tcBorders>
            <w:shd w:val="clear" w:color="auto" w:fill="auto"/>
            <w:noWrap/>
            <w:vAlign w:val="bottom"/>
            <w:hideMark/>
          </w:tcPr>
          <w:p w14:paraId="6C70B4A8"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right w:val="nil"/>
            </w:tcBorders>
            <w:shd w:val="clear" w:color="auto" w:fill="auto"/>
            <w:noWrap/>
            <w:vAlign w:val="bottom"/>
            <w:hideMark/>
          </w:tcPr>
          <w:p w14:paraId="3ACF8FD0"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-15</w:t>
            </w:r>
          </w:p>
        </w:tc>
        <w:tc>
          <w:tcPr>
            <w:tcW w:w="762" w:type="dxa"/>
            <w:tcBorders>
              <w:top w:val="nil"/>
              <w:left w:val="nil"/>
              <w:right w:val="nil"/>
            </w:tcBorders>
            <w:shd w:val="clear" w:color="auto" w:fill="auto"/>
            <w:noWrap/>
            <w:vAlign w:val="bottom"/>
            <w:hideMark/>
          </w:tcPr>
          <w:p w14:paraId="47CCDEED"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c>
          <w:tcPr>
            <w:tcW w:w="763" w:type="dxa"/>
            <w:tcBorders>
              <w:top w:val="nil"/>
              <w:left w:val="nil"/>
              <w:right w:val="nil"/>
            </w:tcBorders>
            <w:shd w:val="clear" w:color="auto" w:fill="auto"/>
            <w:noWrap/>
            <w:vAlign w:val="bottom"/>
            <w:hideMark/>
          </w:tcPr>
          <w:p w14:paraId="19910510" w14:textId="77777777" w:rsidR="00D37A31" w:rsidRPr="00887108" w:rsidRDefault="00D37A31" w:rsidP="00E9118E">
            <w:pPr>
              <w:jc w:val="center"/>
              <w:rPr>
                <w:rFonts w:cs="Times New Roman"/>
                <w:sz w:val="18"/>
                <w:szCs w:val="18"/>
                <w:highlight w:val="yellow"/>
                <w:lang w:eastAsia="en-GB"/>
              </w:rPr>
            </w:pPr>
            <w:r w:rsidRPr="00887108">
              <w:rPr>
                <w:color w:val="000000"/>
                <w:sz w:val="20"/>
                <w:szCs w:val="20"/>
              </w:rPr>
              <w:t>0</w:t>
            </w:r>
          </w:p>
        </w:tc>
      </w:tr>
      <w:tr w:rsidR="00D37A31" w:rsidRPr="00887108" w14:paraId="6D74C9A6" w14:textId="77777777" w:rsidTr="00E9118E">
        <w:trPr>
          <w:trHeight w:val="193"/>
        </w:trPr>
        <w:tc>
          <w:tcPr>
            <w:tcW w:w="4533" w:type="dxa"/>
            <w:tcBorders>
              <w:top w:val="nil"/>
              <w:left w:val="nil"/>
              <w:right w:val="nil"/>
            </w:tcBorders>
            <w:shd w:val="clear" w:color="auto" w:fill="auto"/>
            <w:hideMark/>
          </w:tcPr>
          <w:p w14:paraId="0EC908AD" w14:textId="77777777" w:rsidR="00D37A31" w:rsidRPr="00887108" w:rsidRDefault="00D37A31" w:rsidP="00E9118E">
            <w:pPr>
              <w:rPr>
                <w:rFonts w:cs="Times New Roman"/>
                <w:color w:val="000000"/>
                <w:sz w:val="18"/>
                <w:szCs w:val="18"/>
                <w:highlight w:val="yellow"/>
                <w:lang w:eastAsia="en-GB"/>
              </w:rPr>
            </w:pPr>
            <w:r w:rsidRPr="00887108">
              <w:rPr>
                <w:color w:val="000000"/>
                <w:sz w:val="18"/>
                <w:szCs w:val="20"/>
              </w:rPr>
              <w:t>15 % sadzba DPPO pre firmy s obratom do 100 tis. Eur</w:t>
            </w:r>
          </w:p>
        </w:tc>
        <w:tc>
          <w:tcPr>
            <w:tcW w:w="762" w:type="dxa"/>
            <w:tcBorders>
              <w:top w:val="nil"/>
              <w:left w:val="nil"/>
              <w:right w:val="nil"/>
            </w:tcBorders>
            <w:shd w:val="clear" w:color="auto" w:fill="auto"/>
            <w:noWrap/>
            <w:vAlign w:val="bottom"/>
            <w:hideMark/>
          </w:tcPr>
          <w:p w14:paraId="515E8254"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659" w:type="dxa"/>
            <w:tcBorders>
              <w:top w:val="nil"/>
              <w:left w:val="nil"/>
              <w:right w:val="nil"/>
            </w:tcBorders>
            <w:shd w:val="clear" w:color="auto" w:fill="auto"/>
            <w:noWrap/>
            <w:vAlign w:val="bottom"/>
            <w:hideMark/>
          </w:tcPr>
          <w:p w14:paraId="31BAB42C"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866" w:type="dxa"/>
            <w:tcBorders>
              <w:top w:val="nil"/>
              <w:left w:val="nil"/>
              <w:right w:val="nil"/>
            </w:tcBorders>
            <w:shd w:val="clear" w:color="auto" w:fill="auto"/>
            <w:noWrap/>
            <w:vAlign w:val="bottom"/>
            <w:hideMark/>
          </w:tcPr>
          <w:p w14:paraId="629EC5C9"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-42</w:t>
            </w:r>
          </w:p>
        </w:tc>
        <w:tc>
          <w:tcPr>
            <w:tcW w:w="762" w:type="dxa"/>
            <w:tcBorders>
              <w:top w:val="nil"/>
              <w:left w:val="nil"/>
              <w:right w:val="nil"/>
            </w:tcBorders>
            <w:shd w:val="clear" w:color="auto" w:fill="auto"/>
            <w:noWrap/>
            <w:vAlign w:val="bottom"/>
            <w:hideMark/>
          </w:tcPr>
          <w:p w14:paraId="0016AD01"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2" w:type="dxa"/>
            <w:tcBorders>
              <w:top w:val="nil"/>
              <w:left w:val="nil"/>
              <w:right w:val="nil"/>
            </w:tcBorders>
            <w:shd w:val="clear" w:color="auto" w:fill="auto"/>
            <w:noWrap/>
            <w:vAlign w:val="bottom"/>
            <w:hideMark/>
          </w:tcPr>
          <w:p w14:paraId="00F7B1F2"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c>
          <w:tcPr>
            <w:tcW w:w="763" w:type="dxa"/>
            <w:tcBorders>
              <w:top w:val="nil"/>
              <w:left w:val="nil"/>
              <w:right w:val="nil"/>
            </w:tcBorders>
            <w:shd w:val="clear" w:color="auto" w:fill="auto"/>
            <w:noWrap/>
            <w:vAlign w:val="bottom"/>
            <w:hideMark/>
          </w:tcPr>
          <w:p w14:paraId="39723555" w14:textId="77777777" w:rsidR="00D37A31" w:rsidRPr="00887108" w:rsidRDefault="00D37A31" w:rsidP="00E9118E">
            <w:pPr>
              <w:jc w:val="center"/>
              <w:rPr>
                <w:rFonts w:cs="Times New Roman"/>
                <w:color w:val="000000"/>
                <w:sz w:val="18"/>
                <w:szCs w:val="18"/>
                <w:highlight w:val="yellow"/>
                <w:lang w:eastAsia="en-GB"/>
              </w:rPr>
            </w:pPr>
            <w:r w:rsidRPr="00887108">
              <w:rPr>
                <w:color w:val="000000"/>
                <w:sz w:val="20"/>
                <w:szCs w:val="20"/>
              </w:rPr>
              <w:t>0</w:t>
            </w:r>
          </w:p>
        </w:tc>
      </w:tr>
      <w:tr w:rsidR="00D37A31" w:rsidRPr="00887108" w14:paraId="343DE223" w14:textId="77777777" w:rsidTr="00E9118E">
        <w:trPr>
          <w:trHeight w:val="193"/>
        </w:trPr>
        <w:tc>
          <w:tcPr>
            <w:tcW w:w="4533" w:type="dxa"/>
            <w:tcBorders>
              <w:top w:val="nil"/>
              <w:left w:val="nil"/>
              <w:right w:val="nil"/>
            </w:tcBorders>
            <w:shd w:val="clear" w:color="auto" w:fill="auto"/>
          </w:tcPr>
          <w:p w14:paraId="3468C451" w14:textId="77777777" w:rsidR="00D37A31" w:rsidRPr="00887108" w:rsidRDefault="00D37A31" w:rsidP="00E9118E">
            <w:pPr>
              <w:rPr>
                <w:rFonts w:cs="Times New Roman"/>
                <w:color w:val="000000"/>
                <w:sz w:val="18"/>
                <w:szCs w:val="20"/>
              </w:rPr>
            </w:pPr>
            <w:r w:rsidRPr="00887108">
              <w:rPr>
                <w:color w:val="000000"/>
                <w:sz w:val="18"/>
                <w:szCs w:val="20"/>
              </w:rPr>
              <w:t>Zvýšenie nezdaniteľnej časti základu dane na 21-násobok životného minima</w:t>
            </w:r>
          </w:p>
        </w:tc>
        <w:tc>
          <w:tcPr>
            <w:tcW w:w="762" w:type="dxa"/>
            <w:tcBorders>
              <w:top w:val="nil"/>
              <w:left w:val="nil"/>
              <w:right w:val="nil"/>
            </w:tcBorders>
            <w:shd w:val="clear" w:color="auto" w:fill="auto"/>
            <w:noWrap/>
            <w:vAlign w:val="bottom"/>
          </w:tcPr>
          <w:p w14:paraId="32401731"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5FC67C61"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5C9E7D50" w14:textId="77777777" w:rsidR="00D37A31" w:rsidRPr="00887108" w:rsidRDefault="00D37A31" w:rsidP="00E9118E">
            <w:pPr>
              <w:jc w:val="center"/>
              <w:rPr>
                <w:sz w:val="18"/>
                <w:szCs w:val="18"/>
                <w:highlight w:val="yellow"/>
              </w:rPr>
            </w:pPr>
            <w:r w:rsidRPr="00887108">
              <w:rPr>
                <w:color w:val="000000"/>
                <w:sz w:val="20"/>
                <w:szCs w:val="20"/>
              </w:rPr>
              <w:t>-135</w:t>
            </w:r>
          </w:p>
        </w:tc>
        <w:tc>
          <w:tcPr>
            <w:tcW w:w="762" w:type="dxa"/>
            <w:tcBorders>
              <w:top w:val="nil"/>
              <w:left w:val="nil"/>
              <w:right w:val="nil"/>
            </w:tcBorders>
            <w:shd w:val="clear" w:color="auto" w:fill="auto"/>
            <w:noWrap/>
            <w:vAlign w:val="bottom"/>
          </w:tcPr>
          <w:p w14:paraId="473A4B5E" w14:textId="77777777" w:rsidR="00D37A31" w:rsidRPr="00887108" w:rsidRDefault="00D37A31" w:rsidP="00E9118E">
            <w:pPr>
              <w:jc w:val="center"/>
              <w:rPr>
                <w:sz w:val="18"/>
                <w:szCs w:val="18"/>
                <w:highlight w:val="yellow"/>
              </w:rPr>
            </w:pPr>
            <w:r w:rsidRPr="00887108">
              <w:rPr>
                <w:color w:val="000000"/>
                <w:sz w:val="20"/>
                <w:szCs w:val="20"/>
              </w:rPr>
              <w:t>0</w:t>
            </w:r>
          </w:p>
        </w:tc>
        <w:tc>
          <w:tcPr>
            <w:tcW w:w="762" w:type="dxa"/>
            <w:tcBorders>
              <w:top w:val="nil"/>
              <w:left w:val="nil"/>
              <w:right w:val="nil"/>
            </w:tcBorders>
            <w:shd w:val="clear" w:color="auto" w:fill="auto"/>
            <w:noWrap/>
            <w:vAlign w:val="bottom"/>
          </w:tcPr>
          <w:p w14:paraId="226A1ECE"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5C2C8D84"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5C7E20F2" w14:textId="77777777" w:rsidTr="00E9118E">
        <w:trPr>
          <w:trHeight w:val="193"/>
        </w:trPr>
        <w:tc>
          <w:tcPr>
            <w:tcW w:w="4533" w:type="dxa"/>
            <w:tcBorders>
              <w:top w:val="nil"/>
              <w:left w:val="nil"/>
              <w:right w:val="nil"/>
            </w:tcBorders>
            <w:shd w:val="clear" w:color="auto" w:fill="auto"/>
          </w:tcPr>
          <w:p w14:paraId="451922BE" w14:textId="77777777" w:rsidR="00D37A31" w:rsidRPr="00887108" w:rsidRDefault="00D37A31" w:rsidP="00E9118E">
            <w:pPr>
              <w:rPr>
                <w:color w:val="000000"/>
                <w:sz w:val="18"/>
                <w:szCs w:val="20"/>
              </w:rPr>
            </w:pPr>
            <w:r w:rsidRPr="00887108">
              <w:rPr>
                <w:rFonts w:cs="Times New Roman"/>
                <w:color w:val="000000"/>
                <w:sz w:val="18"/>
                <w:szCs w:val="20"/>
              </w:rPr>
              <w:t>Znížená sadzba SZČO na 15% pre obrat do 100 tis. eur</w:t>
            </w:r>
          </w:p>
        </w:tc>
        <w:tc>
          <w:tcPr>
            <w:tcW w:w="762" w:type="dxa"/>
            <w:tcBorders>
              <w:top w:val="nil"/>
              <w:left w:val="nil"/>
              <w:right w:val="nil"/>
            </w:tcBorders>
            <w:shd w:val="clear" w:color="auto" w:fill="auto"/>
            <w:noWrap/>
            <w:vAlign w:val="bottom"/>
          </w:tcPr>
          <w:p w14:paraId="7056BE8B"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4AD8CD70"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7A4E0DBD" w14:textId="77777777" w:rsidR="00D37A31" w:rsidRPr="00887108" w:rsidRDefault="00D37A31" w:rsidP="00E9118E">
            <w:pPr>
              <w:jc w:val="center"/>
              <w:rPr>
                <w:sz w:val="18"/>
                <w:szCs w:val="18"/>
                <w:highlight w:val="yellow"/>
              </w:rPr>
            </w:pPr>
            <w:r w:rsidRPr="00887108">
              <w:rPr>
                <w:color w:val="000000"/>
                <w:sz w:val="20"/>
                <w:szCs w:val="20"/>
              </w:rPr>
              <w:t>-19</w:t>
            </w:r>
          </w:p>
        </w:tc>
        <w:tc>
          <w:tcPr>
            <w:tcW w:w="762" w:type="dxa"/>
            <w:tcBorders>
              <w:top w:val="nil"/>
              <w:left w:val="nil"/>
              <w:right w:val="nil"/>
            </w:tcBorders>
            <w:shd w:val="clear" w:color="auto" w:fill="auto"/>
            <w:noWrap/>
            <w:vAlign w:val="bottom"/>
          </w:tcPr>
          <w:p w14:paraId="1F71F383" w14:textId="77777777" w:rsidR="00D37A31" w:rsidRPr="00887108" w:rsidRDefault="00D37A31" w:rsidP="00E9118E">
            <w:pPr>
              <w:jc w:val="center"/>
              <w:rPr>
                <w:sz w:val="18"/>
                <w:szCs w:val="18"/>
                <w:highlight w:val="yellow"/>
              </w:rPr>
            </w:pPr>
            <w:r w:rsidRPr="00887108">
              <w:rPr>
                <w:color w:val="000000"/>
                <w:sz w:val="20"/>
                <w:szCs w:val="20"/>
              </w:rPr>
              <w:t>0</w:t>
            </w:r>
          </w:p>
        </w:tc>
        <w:tc>
          <w:tcPr>
            <w:tcW w:w="762" w:type="dxa"/>
            <w:tcBorders>
              <w:top w:val="nil"/>
              <w:left w:val="nil"/>
              <w:right w:val="nil"/>
            </w:tcBorders>
            <w:shd w:val="clear" w:color="auto" w:fill="auto"/>
            <w:noWrap/>
            <w:vAlign w:val="bottom"/>
          </w:tcPr>
          <w:p w14:paraId="7197B923"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64A657AB"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11072571" w14:textId="77777777" w:rsidTr="00E9118E">
        <w:trPr>
          <w:trHeight w:val="193"/>
        </w:trPr>
        <w:tc>
          <w:tcPr>
            <w:tcW w:w="4533" w:type="dxa"/>
            <w:tcBorders>
              <w:top w:val="nil"/>
              <w:left w:val="nil"/>
              <w:right w:val="nil"/>
            </w:tcBorders>
            <w:shd w:val="clear" w:color="auto" w:fill="auto"/>
          </w:tcPr>
          <w:p w14:paraId="6DC2DE58" w14:textId="77777777" w:rsidR="00D37A31" w:rsidRPr="00887108" w:rsidRDefault="00D37A31" w:rsidP="00E9118E">
            <w:pPr>
              <w:rPr>
                <w:color w:val="000000"/>
                <w:sz w:val="18"/>
                <w:szCs w:val="20"/>
              </w:rPr>
            </w:pPr>
            <w:r w:rsidRPr="00887108">
              <w:rPr>
                <w:rFonts w:cs="Times New Roman"/>
                <w:color w:val="000000"/>
                <w:sz w:val="18"/>
                <w:szCs w:val="20"/>
              </w:rPr>
              <w:t>Znížená sadzba DPH na ďalšie potraviny</w:t>
            </w:r>
          </w:p>
        </w:tc>
        <w:tc>
          <w:tcPr>
            <w:tcW w:w="762" w:type="dxa"/>
            <w:tcBorders>
              <w:top w:val="nil"/>
              <w:left w:val="nil"/>
              <w:right w:val="nil"/>
            </w:tcBorders>
            <w:shd w:val="clear" w:color="auto" w:fill="auto"/>
            <w:noWrap/>
            <w:vAlign w:val="bottom"/>
          </w:tcPr>
          <w:p w14:paraId="67D8CE87"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0377F4ED"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2BFBE072" w14:textId="77777777" w:rsidR="00D37A31" w:rsidRPr="00887108" w:rsidRDefault="00D37A31" w:rsidP="00E9118E">
            <w:pPr>
              <w:jc w:val="center"/>
              <w:rPr>
                <w:sz w:val="18"/>
                <w:szCs w:val="18"/>
                <w:highlight w:val="yellow"/>
              </w:rPr>
            </w:pPr>
            <w:r w:rsidRPr="00887108">
              <w:rPr>
                <w:color w:val="000000"/>
                <w:sz w:val="20"/>
                <w:szCs w:val="20"/>
              </w:rPr>
              <w:t>-77</w:t>
            </w:r>
          </w:p>
        </w:tc>
        <w:tc>
          <w:tcPr>
            <w:tcW w:w="762" w:type="dxa"/>
            <w:tcBorders>
              <w:top w:val="nil"/>
              <w:left w:val="nil"/>
              <w:right w:val="nil"/>
            </w:tcBorders>
            <w:shd w:val="clear" w:color="auto" w:fill="auto"/>
            <w:noWrap/>
            <w:vAlign w:val="bottom"/>
          </w:tcPr>
          <w:p w14:paraId="78DE3FAA" w14:textId="77777777" w:rsidR="00D37A31" w:rsidRPr="00887108" w:rsidRDefault="00D37A31" w:rsidP="00E9118E">
            <w:pPr>
              <w:jc w:val="center"/>
              <w:rPr>
                <w:sz w:val="18"/>
                <w:szCs w:val="18"/>
                <w:highlight w:val="yellow"/>
              </w:rPr>
            </w:pPr>
            <w:r w:rsidRPr="00887108">
              <w:rPr>
                <w:color w:val="000000"/>
                <w:sz w:val="20"/>
                <w:szCs w:val="20"/>
              </w:rPr>
              <w:t>0</w:t>
            </w:r>
          </w:p>
        </w:tc>
        <w:tc>
          <w:tcPr>
            <w:tcW w:w="762" w:type="dxa"/>
            <w:tcBorders>
              <w:top w:val="nil"/>
              <w:left w:val="nil"/>
              <w:right w:val="nil"/>
            </w:tcBorders>
            <w:shd w:val="clear" w:color="auto" w:fill="auto"/>
            <w:noWrap/>
            <w:vAlign w:val="bottom"/>
          </w:tcPr>
          <w:p w14:paraId="013D5D30"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2A2CBACD"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05209FF4" w14:textId="77777777" w:rsidTr="00E9118E">
        <w:trPr>
          <w:trHeight w:val="193"/>
        </w:trPr>
        <w:tc>
          <w:tcPr>
            <w:tcW w:w="4533" w:type="dxa"/>
            <w:tcBorders>
              <w:top w:val="nil"/>
              <w:left w:val="nil"/>
              <w:right w:val="nil"/>
            </w:tcBorders>
            <w:shd w:val="clear" w:color="auto" w:fill="auto"/>
          </w:tcPr>
          <w:p w14:paraId="5A340C4B" w14:textId="77777777" w:rsidR="00D37A31" w:rsidRPr="00887108" w:rsidRDefault="00D37A31" w:rsidP="00E9118E">
            <w:pPr>
              <w:rPr>
                <w:color w:val="000000"/>
                <w:sz w:val="18"/>
                <w:szCs w:val="20"/>
              </w:rPr>
            </w:pPr>
            <w:r w:rsidRPr="00887108">
              <w:rPr>
                <w:rFonts w:cs="Times New Roman"/>
                <w:color w:val="000000"/>
                <w:sz w:val="18"/>
                <w:szCs w:val="20"/>
              </w:rPr>
              <w:t>Zavedenie paušálu na nepeň.benefit pre zamestnanca na dopravu (100 eur mesačne)</w:t>
            </w:r>
          </w:p>
        </w:tc>
        <w:tc>
          <w:tcPr>
            <w:tcW w:w="762" w:type="dxa"/>
            <w:tcBorders>
              <w:top w:val="nil"/>
              <w:left w:val="nil"/>
              <w:right w:val="nil"/>
            </w:tcBorders>
            <w:shd w:val="clear" w:color="auto" w:fill="auto"/>
            <w:noWrap/>
            <w:vAlign w:val="bottom"/>
          </w:tcPr>
          <w:p w14:paraId="19C89033"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3E50A262"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367269BC" w14:textId="77777777" w:rsidR="00D37A31" w:rsidRPr="00887108" w:rsidRDefault="00D37A31" w:rsidP="00E9118E">
            <w:pPr>
              <w:jc w:val="center"/>
              <w:rPr>
                <w:sz w:val="18"/>
                <w:szCs w:val="18"/>
                <w:highlight w:val="yellow"/>
              </w:rPr>
            </w:pPr>
            <w:r w:rsidRPr="00887108">
              <w:rPr>
                <w:color w:val="000000"/>
                <w:sz w:val="20"/>
                <w:szCs w:val="20"/>
              </w:rPr>
              <w:t>0</w:t>
            </w:r>
          </w:p>
        </w:tc>
        <w:tc>
          <w:tcPr>
            <w:tcW w:w="762" w:type="dxa"/>
            <w:tcBorders>
              <w:top w:val="nil"/>
              <w:left w:val="nil"/>
              <w:right w:val="nil"/>
            </w:tcBorders>
            <w:shd w:val="clear" w:color="auto" w:fill="auto"/>
            <w:noWrap/>
            <w:vAlign w:val="bottom"/>
          </w:tcPr>
          <w:p w14:paraId="5E4F2CDC" w14:textId="77777777" w:rsidR="00D37A31" w:rsidRPr="00887108" w:rsidRDefault="00D37A31" w:rsidP="00E9118E">
            <w:pPr>
              <w:jc w:val="center"/>
              <w:rPr>
                <w:sz w:val="18"/>
                <w:szCs w:val="18"/>
                <w:highlight w:val="yellow"/>
              </w:rPr>
            </w:pPr>
            <w:r w:rsidRPr="00887108">
              <w:rPr>
                <w:color w:val="000000"/>
                <w:sz w:val="20"/>
                <w:szCs w:val="20"/>
              </w:rPr>
              <w:t>-12</w:t>
            </w:r>
          </w:p>
        </w:tc>
        <w:tc>
          <w:tcPr>
            <w:tcW w:w="762" w:type="dxa"/>
            <w:tcBorders>
              <w:top w:val="nil"/>
              <w:left w:val="nil"/>
              <w:right w:val="nil"/>
            </w:tcBorders>
            <w:shd w:val="clear" w:color="auto" w:fill="auto"/>
            <w:noWrap/>
            <w:vAlign w:val="bottom"/>
          </w:tcPr>
          <w:p w14:paraId="1E78CC6A"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1B46C5D8"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333B3A6F" w14:textId="77777777" w:rsidTr="00E9118E">
        <w:trPr>
          <w:trHeight w:val="193"/>
        </w:trPr>
        <w:tc>
          <w:tcPr>
            <w:tcW w:w="4533" w:type="dxa"/>
            <w:tcBorders>
              <w:top w:val="nil"/>
              <w:left w:val="nil"/>
              <w:right w:val="nil"/>
            </w:tcBorders>
            <w:shd w:val="clear" w:color="auto" w:fill="auto"/>
          </w:tcPr>
          <w:p w14:paraId="4FA4F4C2" w14:textId="77777777" w:rsidR="00D37A31" w:rsidRPr="00887108" w:rsidRDefault="00D37A31" w:rsidP="00E9118E">
            <w:pPr>
              <w:rPr>
                <w:color w:val="000000"/>
                <w:sz w:val="18"/>
                <w:szCs w:val="20"/>
              </w:rPr>
            </w:pPr>
            <w:r w:rsidRPr="00887108">
              <w:rPr>
                <w:rFonts w:cs="Times New Roman"/>
                <w:color w:val="000000"/>
                <w:sz w:val="18"/>
                <w:szCs w:val="20"/>
              </w:rPr>
              <w:t>Opatrenia na podporu mobility práce</w:t>
            </w:r>
          </w:p>
        </w:tc>
        <w:tc>
          <w:tcPr>
            <w:tcW w:w="762" w:type="dxa"/>
            <w:tcBorders>
              <w:top w:val="nil"/>
              <w:left w:val="nil"/>
              <w:right w:val="nil"/>
            </w:tcBorders>
            <w:shd w:val="clear" w:color="auto" w:fill="auto"/>
            <w:noWrap/>
            <w:vAlign w:val="bottom"/>
          </w:tcPr>
          <w:p w14:paraId="064E9B42"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10A6F238"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6FA70D81" w14:textId="77777777" w:rsidR="00D37A31" w:rsidRPr="00887108" w:rsidRDefault="00D37A31" w:rsidP="00E9118E">
            <w:pPr>
              <w:jc w:val="center"/>
              <w:rPr>
                <w:sz w:val="18"/>
                <w:szCs w:val="18"/>
                <w:highlight w:val="yellow"/>
              </w:rPr>
            </w:pPr>
            <w:r w:rsidRPr="00887108">
              <w:rPr>
                <w:color w:val="000000"/>
                <w:sz w:val="20"/>
                <w:szCs w:val="20"/>
              </w:rPr>
              <w:t>-34</w:t>
            </w:r>
          </w:p>
        </w:tc>
        <w:tc>
          <w:tcPr>
            <w:tcW w:w="762" w:type="dxa"/>
            <w:tcBorders>
              <w:top w:val="nil"/>
              <w:left w:val="nil"/>
              <w:right w:val="nil"/>
            </w:tcBorders>
            <w:shd w:val="clear" w:color="auto" w:fill="auto"/>
            <w:noWrap/>
            <w:vAlign w:val="bottom"/>
          </w:tcPr>
          <w:p w14:paraId="76BE12C8" w14:textId="77777777" w:rsidR="00D37A31" w:rsidRPr="00887108" w:rsidRDefault="00D37A31" w:rsidP="00E9118E">
            <w:pPr>
              <w:jc w:val="center"/>
              <w:rPr>
                <w:sz w:val="18"/>
                <w:szCs w:val="18"/>
                <w:highlight w:val="yellow"/>
              </w:rPr>
            </w:pPr>
            <w:r w:rsidRPr="00887108">
              <w:rPr>
                <w:color w:val="000000"/>
                <w:sz w:val="20"/>
                <w:szCs w:val="20"/>
              </w:rPr>
              <w:t>0</w:t>
            </w:r>
          </w:p>
        </w:tc>
        <w:tc>
          <w:tcPr>
            <w:tcW w:w="762" w:type="dxa"/>
            <w:tcBorders>
              <w:top w:val="nil"/>
              <w:left w:val="nil"/>
              <w:right w:val="nil"/>
            </w:tcBorders>
            <w:shd w:val="clear" w:color="auto" w:fill="auto"/>
            <w:noWrap/>
            <w:vAlign w:val="bottom"/>
          </w:tcPr>
          <w:p w14:paraId="74E38BD9"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5878F426"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4F901CD8" w14:textId="77777777" w:rsidTr="00E9118E">
        <w:trPr>
          <w:trHeight w:val="193"/>
        </w:trPr>
        <w:tc>
          <w:tcPr>
            <w:tcW w:w="4533" w:type="dxa"/>
            <w:tcBorders>
              <w:top w:val="nil"/>
              <w:left w:val="nil"/>
              <w:right w:val="nil"/>
            </w:tcBorders>
            <w:shd w:val="clear" w:color="auto" w:fill="auto"/>
          </w:tcPr>
          <w:p w14:paraId="023D8BFF" w14:textId="77777777" w:rsidR="00D37A31" w:rsidRPr="00887108" w:rsidRDefault="00D37A31" w:rsidP="00E9118E">
            <w:pPr>
              <w:rPr>
                <w:color w:val="000000"/>
                <w:sz w:val="18"/>
                <w:szCs w:val="20"/>
              </w:rPr>
            </w:pPr>
            <w:r w:rsidRPr="00887108">
              <w:rPr>
                <w:rFonts w:cs="Times New Roman"/>
                <w:color w:val="000000"/>
                <w:sz w:val="18"/>
                <w:szCs w:val="20"/>
              </w:rPr>
              <w:t>Prerušenie daňových kontrol a daňových konaní, okrem tých, ktorých výsledkom je vracanie finančných prostriedkov (kontrola nadmerných odpočtov, vyrubovacie konanie o daňovom preplatku)</w:t>
            </w:r>
          </w:p>
        </w:tc>
        <w:tc>
          <w:tcPr>
            <w:tcW w:w="762" w:type="dxa"/>
            <w:tcBorders>
              <w:top w:val="nil"/>
              <w:left w:val="nil"/>
              <w:right w:val="nil"/>
            </w:tcBorders>
            <w:shd w:val="clear" w:color="auto" w:fill="auto"/>
            <w:noWrap/>
            <w:vAlign w:val="bottom"/>
          </w:tcPr>
          <w:p w14:paraId="0E3056AF"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6F7A2F05"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3D6AD38B" w14:textId="77777777" w:rsidR="00D37A31" w:rsidRPr="00887108" w:rsidRDefault="00D37A31" w:rsidP="00E9118E">
            <w:pPr>
              <w:jc w:val="center"/>
              <w:rPr>
                <w:sz w:val="18"/>
                <w:szCs w:val="18"/>
                <w:highlight w:val="yellow"/>
              </w:rPr>
            </w:pPr>
            <w:r w:rsidRPr="00887108">
              <w:rPr>
                <w:color w:val="000000"/>
                <w:sz w:val="20"/>
                <w:szCs w:val="20"/>
              </w:rPr>
              <w:t>-13</w:t>
            </w:r>
          </w:p>
        </w:tc>
        <w:tc>
          <w:tcPr>
            <w:tcW w:w="762" w:type="dxa"/>
            <w:tcBorders>
              <w:top w:val="nil"/>
              <w:left w:val="nil"/>
              <w:right w:val="nil"/>
            </w:tcBorders>
            <w:shd w:val="clear" w:color="auto" w:fill="auto"/>
            <w:noWrap/>
            <w:vAlign w:val="bottom"/>
          </w:tcPr>
          <w:p w14:paraId="464257BC" w14:textId="77777777" w:rsidR="00D37A31" w:rsidRPr="00887108" w:rsidRDefault="00D37A31" w:rsidP="00E9118E">
            <w:pPr>
              <w:jc w:val="center"/>
              <w:rPr>
                <w:sz w:val="18"/>
                <w:szCs w:val="18"/>
                <w:highlight w:val="yellow"/>
              </w:rPr>
            </w:pPr>
            <w:r w:rsidRPr="00887108">
              <w:rPr>
                <w:color w:val="000000"/>
                <w:sz w:val="20"/>
                <w:szCs w:val="20"/>
              </w:rPr>
              <w:t>13</w:t>
            </w:r>
          </w:p>
        </w:tc>
        <w:tc>
          <w:tcPr>
            <w:tcW w:w="762" w:type="dxa"/>
            <w:tcBorders>
              <w:top w:val="nil"/>
              <w:left w:val="nil"/>
              <w:right w:val="nil"/>
            </w:tcBorders>
            <w:shd w:val="clear" w:color="auto" w:fill="auto"/>
            <w:noWrap/>
            <w:vAlign w:val="bottom"/>
          </w:tcPr>
          <w:p w14:paraId="7A2C91C6"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1AE147E7"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25BD9D1F" w14:textId="77777777" w:rsidTr="00E9118E">
        <w:trPr>
          <w:trHeight w:val="193"/>
        </w:trPr>
        <w:tc>
          <w:tcPr>
            <w:tcW w:w="4533" w:type="dxa"/>
            <w:tcBorders>
              <w:top w:val="nil"/>
              <w:left w:val="nil"/>
              <w:right w:val="nil"/>
            </w:tcBorders>
            <w:shd w:val="clear" w:color="auto" w:fill="auto"/>
          </w:tcPr>
          <w:p w14:paraId="66AF5F96" w14:textId="0B07246F" w:rsidR="00D37A31" w:rsidRPr="00887108" w:rsidRDefault="00D37A31" w:rsidP="00E9118E">
            <w:pPr>
              <w:rPr>
                <w:color w:val="000000"/>
                <w:sz w:val="18"/>
                <w:szCs w:val="20"/>
              </w:rPr>
            </w:pPr>
            <w:r w:rsidRPr="00887108">
              <w:rPr>
                <w:rFonts w:cs="Times New Roman"/>
                <w:color w:val="000000"/>
                <w:sz w:val="18"/>
                <w:szCs w:val="20"/>
              </w:rPr>
              <w:t>Lehota na podanie daňového prizna</w:t>
            </w:r>
            <w:r w:rsidR="00343B57" w:rsidRPr="00887108">
              <w:rPr>
                <w:rFonts w:cs="Times New Roman"/>
                <w:color w:val="000000"/>
                <w:sz w:val="18"/>
                <w:szCs w:val="20"/>
              </w:rPr>
              <w:t xml:space="preserve">nia dani z motorových vozidiel </w:t>
            </w:r>
            <w:r w:rsidRPr="00887108">
              <w:rPr>
                <w:rFonts w:cs="Times New Roman"/>
                <w:color w:val="000000"/>
                <w:sz w:val="18"/>
                <w:szCs w:val="20"/>
              </w:rPr>
              <w:t>- COVID19</w:t>
            </w:r>
          </w:p>
        </w:tc>
        <w:tc>
          <w:tcPr>
            <w:tcW w:w="762" w:type="dxa"/>
            <w:tcBorders>
              <w:top w:val="nil"/>
              <w:left w:val="nil"/>
              <w:right w:val="nil"/>
            </w:tcBorders>
            <w:shd w:val="clear" w:color="auto" w:fill="auto"/>
            <w:noWrap/>
            <w:vAlign w:val="bottom"/>
          </w:tcPr>
          <w:p w14:paraId="70F2E484"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313592CA" w14:textId="77777777" w:rsidR="00D37A31" w:rsidRPr="00887108" w:rsidRDefault="00D37A31" w:rsidP="00E9118E">
            <w:pPr>
              <w:jc w:val="center"/>
              <w:rPr>
                <w:sz w:val="18"/>
                <w:szCs w:val="18"/>
                <w:highlight w:val="yellow"/>
              </w:rPr>
            </w:pPr>
            <w:r w:rsidRPr="00887108">
              <w:rPr>
                <w:color w:val="000000"/>
                <w:sz w:val="20"/>
                <w:szCs w:val="20"/>
              </w:rPr>
              <w:t>-5</w:t>
            </w:r>
          </w:p>
        </w:tc>
        <w:tc>
          <w:tcPr>
            <w:tcW w:w="866" w:type="dxa"/>
            <w:tcBorders>
              <w:top w:val="nil"/>
              <w:left w:val="nil"/>
              <w:right w:val="nil"/>
            </w:tcBorders>
            <w:shd w:val="clear" w:color="auto" w:fill="auto"/>
            <w:noWrap/>
            <w:vAlign w:val="bottom"/>
          </w:tcPr>
          <w:p w14:paraId="6F4D2C84" w14:textId="77777777" w:rsidR="00D37A31" w:rsidRPr="00887108" w:rsidRDefault="00D37A31" w:rsidP="00E9118E">
            <w:pPr>
              <w:jc w:val="center"/>
              <w:rPr>
                <w:sz w:val="18"/>
                <w:szCs w:val="18"/>
                <w:highlight w:val="yellow"/>
              </w:rPr>
            </w:pPr>
            <w:r w:rsidRPr="00887108">
              <w:rPr>
                <w:color w:val="000000"/>
                <w:sz w:val="20"/>
                <w:szCs w:val="20"/>
              </w:rPr>
              <w:t>5</w:t>
            </w:r>
          </w:p>
        </w:tc>
        <w:tc>
          <w:tcPr>
            <w:tcW w:w="762" w:type="dxa"/>
            <w:tcBorders>
              <w:top w:val="nil"/>
              <w:left w:val="nil"/>
              <w:right w:val="nil"/>
            </w:tcBorders>
            <w:shd w:val="clear" w:color="auto" w:fill="auto"/>
            <w:noWrap/>
            <w:vAlign w:val="bottom"/>
          </w:tcPr>
          <w:p w14:paraId="7EB1BBAF" w14:textId="77777777" w:rsidR="00D37A31" w:rsidRPr="00887108" w:rsidRDefault="00D37A31" w:rsidP="00E9118E">
            <w:pPr>
              <w:jc w:val="center"/>
              <w:rPr>
                <w:sz w:val="18"/>
                <w:szCs w:val="18"/>
                <w:highlight w:val="yellow"/>
              </w:rPr>
            </w:pPr>
            <w:r w:rsidRPr="00887108">
              <w:rPr>
                <w:color w:val="000000"/>
                <w:sz w:val="20"/>
                <w:szCs w:val="20"/>
              </w:rPr>
              <w:t>0</w:t>
            </w:r>
          </w:p>
        </w:tc>
        <w:tc>
          <w:tcPr>
            <w:tcW w:w="762" w:type="dxa"/>
            <w:tcBorders>
              <w:top w:val="nil"/>
              <w:left w:val="nil"/>
              <w:right w:val="nil"/>
            </w:tcBorders>
            <w:shd w:val="clear" w:color="auto" w:fill="auto"/>
            <w:noWrap/>
            <w:vAlign w:val="bottom"/>
          </w:tcPr>
          <w:p w14:paraId="037A32F9"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02021A75"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7D4D1AFB" w14:textId="77777777" w:rsidTr="00E9118E">
        <w:trPr>
          <w:trHeight w:val="193"/>
        </w:trPr>
        <w:tc>
          <w:tcPr>
            <w:tcW w:w="4533" w:type="dxa"/>
            <w:tcBorders>
              <w:top w:val="nil"/>
              <w:left w:val="nil"/>
              <w:right w:val="nil"/>
            </w:tcBorders>
            <w:shd w:val="clear" w:color="auto" w:fill="auto"/>
          </w:tcPr>
          <w:p w14:paraId="764184F4" w14:textId="77777777" w:rsidR="00D37A31" w:rsidRPr="00887108" w:rsidRDefault="00D37A31" w:rsidP="00E9118E">
            <w:pPr>
              <w:rPr>
                <w:color w:val="000000"/>
                <w:sz w:val="18"/>
                <w:szCs w:val="20"/>
              </w:rPr>
            </w:pPr>
            <w:r w:rsidRPr="00887108">
              <w:rPr>
                <w:rFonts w:cs="Times New Roman"/>
                <w:color w:val="000000"/>
                <w:sz w:val="18"/>
                <w:szCs w:val="20"/>
              </w:rPr>
              <w:t>Odpustenie platby odvodov pre zavreté prevádzky</w:t>
            </w:r>
          </w:p>
        </w:tc>
        <w:tc>
          <w:tcPr>
            <w:tcW w:w="762" w:type="dxa"/>
            <w:tcBorders>
              <w:top w:val="nil"/>
              <w:left w:val="nil"/>
              <w:right w:val="nil"/>
            </w:tcBorders>
            <w:shd w:val="clear" w:color="auto" w:fill="auto"/>
            <w:noWrap/>
            <w:vAlign w:val="bottom"/>
          </w:tcPr>
          <w:p w14:paraId="4A967B8D"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0A0EB441"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7125E7E5" w14:textId="0B67478D" w:rsidR="00D37A31" w:rsidRPr="00887108" w:rsidRDefault="007C52E7" w:rsidP="00E9118E">
            <w:pPr>
              <w:jc w:val="center"/>
              <w:rPr>
                <w:sz w:val="18"/>
                <w:szCs w:val="18"/>
                <w:highlight w:val="yellow"/>
              </w:rPr>
            </w:pPr>
            <w:r w:rsidRPr="00887108">
              <w:rPr>
                <w:color w:val="000000"/>
                <w:sz w:val="20"/>
                <w:szCs w:val="20"/>
              </w:rPr>
              <w:t>-44</w:t>
            </w:r>
          </w:p>
        </w:tc>
        <w:tc>
          <w:tcPr>
            <w:tcW w:w="762" w:type="dxa"/>
            <w:tcBorders>
              <w:top w:val="nil"/>
              <w:left w:val="nil"/>
              <w:right w:val="nil"/>
            </w:tcBorders>
            <w:shd w:val="clear" w:color="auto" w:fill="auto"/>
            <w:noWrap/>
            <w:vAlign w:val="bottom"/>
          </w:tcPr>
          <w:p w14:paraId="563E2491" w14:textId="27B0901B" w:rsidR="00D37A31" w:rsidRPr="00887108" w:rsidRDefault="007C52E7" w:rsidP="00E9118E">
            <w:pPr>
              <w:jc w:val="center"/>
              <w:rPr>
                <w:sz w:val="18"/>
                <w:szCs w:val="18"/>
                <w:highlight w:val="yellow"/>
              </w:rPr>
            </w:pPr>
            <w:r w:rsidRPr="00887108">
              <w:rPr>
                <w:color w:val="000000"/>
                <w:sz w:val="20"/>
                <w:szCs w:val="20"/>
              </w:rPr>
              <w:t>44</w:t>
            </w:r>
          </w:p>
        </w:tc>
        <w:tc>
          <w:tcPr>
            <w:tcW w:w="762" w:type="dxa"/>
            <w:tcBorders>
              <w:top w:val="nil"/>
              <w:left w:val="nil"/>
              <w:right w:val="nil"/>
            </w:tcBorders>
            <w:shd w:val="clear" w:color="auto" w:fill="auto"/>
            <w:noWrap/>
            <w:vAlign w:val="bottom"/>
          </w:tcPr>
          <w:p w14:paraId="290DA991"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0C2EDFD1"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2F8DF33E" w14:textId="77777777" w:rsidTr="00E9118E">
        <w:trPr>
          <w:trHeight w:val="193"/>
        </w:trPr>
        <w:tc>
          <w:tcPr>
            <w:tcW w:w="4533" w:type="dxa"/>
            <w:tcBorders>
              <w:top w:val="nil"/>
              <w:left w:val="nil"/>
              <w:right w:val="nil"/>
            </w:tcBorders>
            <w:shd w:val="clear" w:color="auto" w:fill="auto"/>
          </w:tcPr>
          <w:p w14:paraId="12110905" w14:textId="77777777" w:rsidR="00D37A31" w:rsidRPr="00887108" w:rsidRDefault="00D37A31" w:rsidP="00E9118E">
            <w:pPr>
              <w:rPr>
                <w:color w:val="000000"/>
                <w:sz w:val="18"/>
                <w:szCs w:val="20"/>
              </w:rPr>
            </w:pPr>
            <w:r w:rsidRPr="00887108">
              <w:rPr>
                <w:rFonts w:cs="Times New Roman"/>
                <w:color w:val="000000"/>
                <w:sz w:val="18"/>
                <w:szCs w:val="20"/>
              </w:rPr>
              <w:t>Možnosť započítania doteraz neuplatnenej daňovej straty za roky 2015-2018</w:t>
            </w:r>
          </w:p>
        </w:tc>
        <w:tc>
          <w:tcPr>
            <w:tcW w:w="762" w:type="dxa"/>
            <w:tcBorders>
              <w:top w:val="nil"/>
              <w:left w:val="nil"/>
              <w:right w:val="nil"/>
            </w:tcBorders>
            <w:shd w:val="clear" w:color="auto" w:fill="auto"/>
            <w:noWrap/>
            <w:vAlign w:val="bottom"/>
          </w:tcPr>
          <w:p w14:paraId="3293C5C8"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6A174FA3" w14:textId="77777777" w:rsidR="00D37A31" w:rsidRPr="00887108" w:rsidRDefault="00D37A31" w:rsidP="00E9118E">
            <w:pPr>
              <w:jc w:val="center"/>
              <w:rPr>
                <w:sz w:val="18"/>
                <w:szCs w:val="18"/>
                <w:highlight w:val="yellow"/>
              </w:rPr>
            </w:pPr>
            <w:r w:rsidRPr="00887108">
              <w:rPr>
                <w:color w:val="000000"/>
                <w:sz w:val="20"/>
                <w:szCs w:val="20"/>
              </w:rPr>
              <w:t>-43</w:t>
            </w:r>
          </w:p>
        </w:tc>
        <w:tc>
          <w:tcPr>
            <w:tcW w:w="866" w:type="dxa"/>
            <w:tcBorders>
              <w:top w:val="nil"/>
              <w:left w:val="nil"/>
              <w:right w:val="nil"/>
            </w:tcBorders>
            <w:shd w:val="clear" w:color="auto" w:fill="auto"/>
            <w:noWrap/>
            <w:vAlign w:val="bottom"/>
          </w:tcPr>
          <w:p w14:paraId="1B571315" w14:textId="77777777" w:rsidR="00D37A31" w:rsidRPr="00887108" w:rsidRDefault="00D37A31" w:rsidP="00E9118E">
            <w:pPr>
              <w:jc w:val="center"/>
              <w:rPr>
                <w:sz w:val="18"/>
                <w:szCs w:val="18"/>
                <w:highlight w:val="yellow"/>
              </w:rPr>
            </w:pPr>
            <w:r w:rsidRPr="00887108">
              <w:rPr>
                <w:color w:val="000000"/>
                <w:sz w:val="20"/>
                <w:szCs w:val="20"/>
              </w:rPr>
              <w:t>43</w:t>
            </w:r>
          </w:p>
        </w:tc>
        <w:tc>
          <w:tcPr>
            <w:tcW w:w="762" w:type="dxa"/>
            <w:tcBorders>
              <w:top w:val="nil"/>
              <w:left w:val="nil"/>
              <w:right w:val="nil"/>
            </w:tcBorders>
            <w:shd w:val="clear" w:color="auto" w:fill="auto"/>
            <w:noWrap/>
            <w:vAlign w:val="bottom"/>
          </w:tcPr>
          <w:p w14:paraId="7683D18F" w14:textId="77777777" w:rsidR="00D37A31" w:rsidRPr="00887108" w:rsidRDefault="00D37A31" w:rsidP="00E9118E">
            <w:pPr>
              <w:jc w:val="center"/>
              <w:rPr>
                <w:sz w:val="18"/>
                <w:szCs w:val="18"/>
                <w:highlight w:val="yellow"/>
              </w:rPr>
            </w:pPr>
            <w:r w:rsidRPr="00887108">
              <w:rPr>
                <w:color w:val="000000"/>
                <w:sz w:val="20"/>
                <w:szCs w:val="20"/>
              </w:rPr>
              <w:t>0</w:t>
            </w:r>
          </w:p>
        </w:tc>
        <w:tc>
          <w:tcPr>
            <w:tcW w:w="762" w:type="dxa"/>
            <w:tcBorders>
              <w:top w:val="nil"/>
              <w:left w:val="nil"/>
              <w:right w:val="nil"/>
            </w:tcBorders>
            <w:shd w:val="clear" w:color="auto" w:fill="auto"/>
            <w:noWrap/>
            <w:vAlign w:val="bottom"/>
          </w:tcPr>
          <w:p w14:paraId="3A0B5F59"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6155B1AC"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2A10F7A7" w14:textId="77777777" w:rsidTr="00E9118E">
        <w:trPr>
          <w:trHeight w:val="193"/>
        </w:trPr>
        <w:tc>
          <w:tcPr>
            <w:tcW w:w="4533" w:type="dxa"/>
            <w:tcBorders>
              <w:top w:val="nil"/>
              <w:left w:val="nil"/>
              <w:right w:val="nil"/>
            </w:tcBorders>
            <w:shd w:val="clear" w:color="auto" w:fill="auto"/>
          </w:tcPr>
          <w:p w14:paraId="73B9709B" w14:textId="34F7FF24" w:rsidR="00D37A31" w:rsidRPr="00887108" w:rsidRDefault="00D37A31" w:rsidP="00E9118E">
            <w:pPr>
              <w:rPr>
                <w:color w:val="000000"/>
                <w:sz w:val="18"/>
                <w:szCs w:val="20"/>
              </w:rPr>
            </w:pPr>
            <w:r w:rsidRPr="00887108">
              <w:rPr>
                <w:rFonts w:cs="Times New Roman"/>
                <w:color w:val="000000"/>
                <w:sz w:val="18"/>
                <w:szCs w:val="20"/>
              </w:rPr>
              <w:t>Príspevok na udržanie zamestnanosti</w:t>
            </w:r>
            <w:r w:rsidR="007F62B3" w:rsidRPr="00887108">
              <w:rPr>
                <w:rFonts w:cs="Times New Roman"/>
                <w:color w:val="000000"/>
                <w:sz w:val="18"/>
                <w:szCs w:val="20"/>
              </w:rPr>
              <w:t>*</w:t>
            </w:r>
            <w:r w:rsidRPr="00887108">
              <w:rPr>
                <w:rFonts w:cs="Times New Roman"/>
                <w:color w:val="000000"/>
                <w:sz w:val="18"/>
                <w:szCs w:val="20"/>
              </w:rPr>
              <w:t xml:space="preserve"> </w:t>
            </w:r>
          </w:p>
        </w:tc>
        <w:tc>
          <w:tcPr>
            <w:tcW w:w="762" w:type="dxa"/>
            <w:tcBorders>
              <w:top w:val="nil"/>
              <w:left w:val="nil"/>
              <w:right w:val="nil"/>
            </w:tcBorders>
            <w:shd w:val="clear" w:color="auto" w:fill="auto"/>
            <w:noWrap/>
            <w:vAlign w:val="bottom"/>
          </w:tcPr>
          <w:p w14:paraId="2C21D768"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2951763E"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3531EA9C" w14:textId="77777777" w:rsidR="00D37A31" w:rsidRPr="00887108" w:rsidRDefault="00D37A31" w:rsidP="00E9118E">
            <w:pPr>
              <w:jc w:val="center"/>
              <w:rPr>
                <w:sz w:val="18"/>
                <w:szCs w:val="18"/>
                <w:highlight w:val="yellow"/>
              </w:rPr>
            </w:pPr>
            <w:r w:rsidRPr="00887108">
              <w:rPr>
                <w:color w:val="000000"/>
                <w:sz w:val="20"/>
                <w:szCs w:val="20"/>
              </w:rPr>
              <w:t>-48</w:t>
            </w:r>
          </w:p>
        </w:tc>
        <w:tc>
          <w:tcPr>
            <w:tcW w:w="762" w:type="dxa"/>
            <w:tcBorders>
              <w:top w:val="nil"/>
              <w:left w:val="nil"/>
              <w:right w:val="nil"/>
            </w:tcBorders>
            <w:shd w:val="clear" w:color="auto" w:fill="auto"/>
            <w:noWrap/>
            <w:vAlign w:val="bottom"/>
          </w:tcPr>
          <w:p w14:paraId="57024474" w14:textId="77777777" w:rsidR="00D37A31" w:rsidRPr="00887108" w:rsidRDefault="00D37A31" w:rsidP="00E9118E">
            <w:pPr>
              <w:jc w:val="center"/>
              <w:rPr>
                <w:sz w:val="18"/>
                <w:szCs w:val="18"/>
                <w:highlight w:val="yellow"/>
              </w:rPr>
            </w:pPr>
            <w:r w:rsidRPr="00887108">
              <w:rPr>
                <w:color w:val="000000"/>
                <w:sz w:val="20"/>
                <w:szCs w:val="20"/>
              </w:rPr>
              <w:t>48</w:t>
            </w:r>
          </w:p>
        </w:tc>
        <w:tc>
          <w:tcPr>
            <w:tcW w:w="762" w:type="dxa"/>
            <w:tcBorders>
              <w:top w:val="nil"/>
              <w:left w:val="nil"/>
              <w:right w:val="nil"/>
            </w:tcBorders>
            <w:shd w:val="clear" w:color="auto" w:fill="auto"/>
            <w:noWrap/>
            <w:vAlign w:val="bottom"/>
          </w:tcPr>
          <w:p w14:paraId="0D08F18E"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2B279F24"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3584F237" w14:textId="77777777" w:rsidTr="00E9118E">
        <w:trPr>
          <w:trHeight w:val="193"/>
        </w:trPr>
        <w:tc>
          <w:tcPr>
            <w:tcW w:w="4533" w:type="dxa"/>
            <w:tcBorders>
              <w:top w:val="nil"/>
              <w:left w:val="nil"/>
              <w:right w:val="nil"/>
            </w:tcBorders>
            <w:shd w:val="clear" w:color="auto" w:fill="auto"/>
          </w:tcPr>
          <w:p w14:paraId="67F997C2" w14:textId="2903DB07" w:rsidR="00D37A31" w:rsidRPr="00887108" w:rsidRDefault="00D37A31" w:rsidP="00E9118E">
            <w:pPr>
              <w:rPr>
                <w:color w:val="000000"/>
                <w:sz w:val="18"/>
                <w:szCs w:val="20"/>
              </w:rPr>
            </w:pPr>
            <w:r w:rsidRPr="00887108">
              <w:rPr>
                <w:rFonts w:cs="Times New Roman"/>
                <w:color w:val="000000"/>
                <w:sz w:val="18"/>
                <w:szCs w:val="20"/>
              </w:rPr>
              <w:t>Úhrada náhrady mzdy zamestnanca</w:t>
            </w:r>
            <w:r w:rsidR="007F62B3" w:rsidRPr="00887108">
              <w:rPr>
                <w:rFonts w:cs="Times New Roman"/>
                <w:color w:val="000000"/>
                <w:sz w:val="18"/>
                <w:szCs w:val="20"/>
              </w:rPr>
              <w:t>*</w:t>
            </w:r>
          </w:p>
        </w:tc>
        <w:tc>
          <w:tcPr>
            <w:tcW w:w="762" w:type="dxa"/>
            <w:tcBorders>
              <w:top w:val="nil"/>
              <w:left w:val="nil"/>
              <w:right w:val="nil"/>
            </w:tcBorders>
            <w:shd w:val="clear" w:color="auto" w:fill="auto"/>
            <w:noWrap/>
            <w:vAlign w:val="bottom"/>
          </w:tcPr>
          <w:p w14:paraId="6D3FE25D"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46DBF169"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7EC92B13" w14:textId="77777777" w:rsidR="00D37A31" w:rsidRPr="00887108" w:rsidRDefault="00D37A31" w:rsidP="00E9118E">
            <w:pPr>
              <w:jc w:val="center"/>
              <w:rPr>
                <w:sz w:val="18"/>
                <w:szCs w:val="18"/>
                <w:highlight w:val="yellow"/>
              </w:rPr>
            </w:pPr>
            <w:r w:rsidRPr="00887108">
              <w:rPr>
                <w:color w:val="000000"/>
                <w:sz w:val="20"/>
                <w:szCs w:val="20"/>
              </w:rPr>
              <w:t>-193</w:t>
            </w:r>
          </w:p>
        </w:tc>
        <w:tc>
          <w:tcPr>
            <w:tcW w:w="762" w:type="dxa"/>
            <w:tcBorders>
              <w:top w:val="nil"/>
              <w:left w:val="nil"/>
              <w:right w:val="nil"/>
            </w:tcBorders>
            <w:shd w:val="clear" w:color="auto" w:fill="auto"/>
            <w:noWrap/>
            <w:vAlign w:val="bottom"/>
          </w:tcPr>
          <w:p w14:paraId="06866141" w14:textId="77777777" w:rsidR="00D37A31" w:rsidRPr="00887108" w:rsidRDefault="00D37A31" w:rsidP="00E9118E">
            <w:pPr>
              <w:jc w:val="center"/>
              <w:rPr>
                <w:sz w:val="18"/>
                <w:szCs w:val="18"/>
                <w:highlight w:val="yellow"/>
              </w:rPr>
            </w:pPr>
            <w:r w:rsidRPr="00887108">
              <w:rPr>
                <w:color w:val="000000"/>
                <w:sz w:val="20"/>
                <w:szCs w:val="20"/>
              </w:rPr>
              <w:t>193</w:t>
            </w:r>
          </w:p>
        </w:tc>
        <w:tc>
          <w:tcPr>
            <w:tcW w:w="762" w:type="dxa"/>
            <w:tcBorders>
              <w:top w:val="nil"/>
              <w:left w:val="nil"/>
              <w:right w:val="nil"/>
            </w:tcBorders>
            <w:shd w:val="clear" w:color="auto" w:fill="auto"/>
            <w:noWrap/>
            <w:vAlign w:val="bottom"/>
          </w:tcPr>
          <w:p w14:paraId="6C4DBD13"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7D5B6029"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6F4E8904" w14:textId="77777777" w:rsidTr="00E9118E">
        <w:trPr>
          <w:trHeight w:val="193"/>
        </w:trPr>
        <w:tc>
          <w:tcPr>
            <w:tcW w:w="4533" w:type="dxa"/>
            <w:tcBorders>
              <w:top w:val="nil"/>
              <w:left w:val="nil"/>
              <w:right w:val="nil"/>
            </w:tcBorders>
            <w:shd w:val="clear" w:color="auto" w:fill="auto"/>
          </w:tcPr>
          <w:p w14:paraId="484D026B" w14:textId="13F651F2" w:rsidR="00D37A31" w:rsidRPr="00887108" w:rsidRDefault="00D37A31" w:rsidP="00E9118E">
            <w:pPr>
              <w:rPr>
                <w:color w:val="000000"/>
                <w:sz w:val="18"/>
                <w:szCs w:val="20"/>
              </w:rPr>
            </w:pPr>
            <w:r w:rsidRPr="00887108">
              <w:rPr>
                <w:rFonts w:cs="Times New Roman"/>
                <w:color w:val="000000"/>
                <w:sz w:val="18"/>
                <w:szCs w:val="20"/>
              </w:rPr>
              <w:t>Štát pre zamestnancov v karanténe, ktorí čerpajú PN alebo OČR, uhradí 55 % z ich hrubej mzdy</w:t>
            </w:r>
            <w:r w:rsidR="007F62B3" w:rsidRPr="00887108">
              <w:rPr>
                <w:rFonts w:cs="Times New Roman"/>
                <w:color w:val="000000"/>
                <w:sz w:val="18"/>
                <w:szCs w:val="20"/>
              </w:rPr>
              <w:t>*</w:t>
            </w:r>
          </w:p>
        </w:tc>
        <w:tc>
          <w:tcPr>
            <w:tcW w:w="762" w:type="dxa"/>
            <w:tcBorders>
              <w:top w:val="nil"/>
              <w:left w:val="nil"/>
              <w:right w:val="nil"/>
            </w:tcBorders>
            <w:shd w:val="clear" w:color="auto" w:fill="auto"/>
            <w:noWrap/>
            <w:vAlign w:val="bottom"/>
          </w:tcPr>
          <w:p w14:paraId="4D62A5ED" w14:textId="77777777" w:rsidR="00D37A31" w:rsidRPr="00887108" w:rsidRDefault="00D37A31" w:rsidP="00E9118E">
            <w:pPr>
              <w:jc w:val="center"/>
              <w:rPr>
                <w:sz w:val="18"/>
                <w:szCs w:val="18"/>
                <w:highlight w:val="yellow"/>
              </w:rPr>
            </w:pPr>
            <w:r w:rsidRPr="00887108">
              <w:rPr>
                <w:color w:val="000000"/>
                <w:sz w:val="20"/>
                <w:szCs w:val="20"/>
              </w:rPr>
              <w:t>0</w:t>
            </w:r>
          </w:p>
        </w:tc>
        <w:tc>
          <w:tcPr>
            <w:tcW w:w="659" w:type="dxa"/>
            <w:tcBorders>
              <w:top w:val="nil"/>
              <w:left w:val="nil"/>
              <w:right w:val="nil"/>
            </w:tcBorders>
            <w:shd w:val="clear" w:color="auto" w:fill="auto"/>
            <w:noWrap/>
            <w:vAlign w:val="bottom"/>
          </w:tcPr>
          <w:p w14:paraId="5C8453E1" w14:textId="77777777" w:rsidR="00D37A31" w:rsidRPr="00887108" w:rsidRDefault="00D37A31" w:rsidP="00E9118E">
            <w:pPr>
              <w:jc w:val="center"/>
              <w:rPr>
                <w:sz w:val="18"/>
                <w:szCs w:val="18"/>
                <w:highlight w:val="yellow"/>
              </w:rPr>
            </w:pPr>
            <w:r w:rsidRPr="00887108">
              <w:rPr>
                <w:color w:val="000000"/>
                <w:sz w:val="20"/>
                <w:szCs w:val="20"/>
              </w:rPr>
              <w:t>0</w:t>
            </w:r>
          </w:p>
        </w:tc>
        <w:tc>
          <w:tcPr>
            <w:tcW w:w="866" w:type="dxa"/>
            <w:tcBorders>
              <w:top w:val="nil"/>
              <w:left w:val="nil"/>
              <w:right w:val="nil"/>
            </w:tcBorders>
            <w:shd w:val="clear" w:color="auto" w:fill="auto"/>
            <w:noWrap/>
            <w:vAlign w:val="bottom"/>
          </w:tcPr>
          <w:p w14:paraId="5B92D653" w14:textId="2C62D054" w:rsidR="00D37A31" w:rsidRPr="00887108" w:rsidRDefault="00D37A31" w:rsidP="00850C4A">
            <w:pPr>
              <w:jc w:val="center"/>
              <w:rPr>
                <w:sz w:val="18"/>
                <w:szCs w:val="18"/>
                <w:highlight w:val="yellow"/>
              </w:rPr>
            </w:pPr>
            <w:r w:rsidRPr="00887108">
              <w:rPr>
                <w:color w:val="000000"/>
                <w:sz w:val="20"/>
                <w:szCs w:val="20"/>
              </w:rPr>
              <w:t>-</w:t>
            </w:r>
            <w:r w:rsidR="00850C4A" w:rsidRPr="00887108">
              <w:rPr>
                <w:color w:val="000000"/>
                <w:sz w:val="20"/>
                <w:szCs w:val="20"/>
              </w:rPr>
              <w:t>371</w:t>
            </w:r>
          </w:p>
        </w:tc>
        <w:tc>
          <w:tcPr>
            <w:tcW w:w="762" w:type="dxa"/>
            <w:tcBorders>
              <w:top w:val="nil"/>
              <w:left w:val="nil"/>
              <w:right w:val="nil"/>
            </w:tcBorders>
            <w:shd w:val="clear" w:color="auto" w:fill="auto"/>
            <w:noWrap/>
            <w:vAlign w:val="bottom"/>
          </w:tcPr>
          <w:p w14:paraId="2B350419" w14:textId="65DEF9E9" w:rsidR="00D37A31" w:rsidRPr="00887108" w:rsidRDefault="00850C4A" w:rsidP="00E9118E">
            <w:pPr>
              <w:jc w:val="center"/>
              <w:rPr>
                <w:sz w:val="18"/>
                <w:szCs w:val="18"/>
                <w:highlight w:val="yellow"/>
              </w:rPr>
            </w:pPr>
            <w:r w:rsidRPr="00887108">
              <w:rPr>
                <w:color w:val="000000"/>
                <w:sz w:val="20"/>
                <w:szCs w:val="20"/>
              </w:rPr>
              <w:t>371</w:t>
            </w:r>
          </w:p>
        </w:tc>
        <w:tc>
          <w:tcPr>
            <w:tcW w:w="762" w:type="dxa"/>
            <w:tcBorders>
              <w:top w:val="nil"/>
              <w:left w:val="nil"/>
              <w:right w:val="nil"/>
            </w:tcBorders>
            <w:shd w:val="clear" w:color="auto" w:fill="auto"/>
            <w:noWrap/>
            <w:vAlign w:val="bottom"/>
          </w:tcPr>
          <w:p w14:paraId="2BEAF3AC" w14:textId="77777777" w:rsidR="00D37A31" w:rsidRPr="00887108" w:rsidRDefault="00D37A31" w:rsidP="00E9118E">
            <w:pPr>
              <w:jc w:val="center"/>
              <w:rPr>
                <w:sz w:val="18"/>
                <w:szCs w:val="18"/>
                <w:highlight w:val="yellow"/>
              </w:rPr>
            </w:pPr>
            <w:r w:rsidRPr="00887108">
              <w:rPr>
                <w:color w:val="000000"/>
                <w:sz w:val="20"/>
                <w:szCs w:val="20"/>
              </w:rPr>
              <w:t>0</w:t>
            </w:r>
          </w:p>
        </w:tc>
        <w:tc>
          <w:tcPr>
            <w:tcW w:w="763" w:type="dxa"/>
            <w:tcBorders>
              <w:top w:val="nil"/>
              <w:left w:val="nil"/>
              <w:right w:val="nil"/>
            </w:tcBorders>
            <w:shd w:val="clear" w:color="auto" w:fill="auto"/>
            <w:noWrap/>
            <w:vAlign w:val="bottom"/>
          </w:tcPr>
          <w:p w14:paraId="6F92D6FD" w14:textId="77777777" w:rsidR="00D37A31" w:rsidRPr="00887108" w:rsidRDefault="00D37A31" w:rsidP="00E9118E">
            <w:pPr>
              <w:jc w:val="center"/>
              <w:rPr>
                <w:sz w:val="18"/>
                <w:szCs w:val="18"/>
                <w:highlight w:val="yellow"/>
              </w:rPr>
            </w:pPr>
            <w:r w:rsidRPr="00887108">
              <w:rPr>
                <w:color w:val="000000"/>
                <w:sz w:val="20"/>
                <w:szCs w:val="20"/>
              </w:rPr>
              <w:t>0</w:t>
            </w:r>
          </w:p>
        </w:tc>
      </w:tr>
      <w:tr w:rsidR="00D37A31" w:rsidRPr="00887108" w14:paraId="3DEF1097" w14:textId="77777777" w:rsidTr="00E9118E">
        <w:trPr>
          <w:trHeight w:val="193"/>
        </w:trPr>
        <w:tc>
          <w:tcPr>
            <w:tcW w:w="4533" w:type="dxa"/>
            <w:tcBorders>
              <w:top w:val="single" w:sz="4" w:space="0" w:color="auto"/>
              <w:left w:val="nil"/>
              <w:bottom w:val="nil"/>
              <w:right w:val="nil"/>
            </w:tcBorders>
            <w:shd w:val="clear" w:color="auto" w:fill="auto"/>
          </w:tcPr>
          <w:p w14:paraId="32EB47E1" w14:textId="77777777" w:rsidR="00D37A31" w:rsidRPr="00887108" w:rsidRDefault="00D37A31" w:rsidP="00E9118E">
            <w:pPr>
              <w:rPr>
                <w:b/>
                <w:color w:val="000000" w:themeColor="text1"/>
                <w:sz w:val="20"/>
                <w:szCs w:val="20"/>
              </w:rPr>
            </w:pPr>
            <w:r w:rsidRPr="00887108">
              <w:rPr>
                <w:b/>
                <w:color w:val="000000" w:themeColor="text1"/>
                <w:sz w:val="20"/>
                <w:szCs w:val="20"/>
              </w:rPr>
              <w:t>Spolu</w:t>
            </w:r>
          </w:p>
        </w:tc>
        <w:tc>
          <w:tcPr>
            <w:tcW w:w="762" w:type="dxa"/>
            <w:tcBorders>
              <w:top w:val="single" w:sz="4" w:space="0" w:color="auto"/>
              <w:left w:val="nil"/>
              <w:bottom w:val="nil"/>
              <w:right w:val="nil"/>
            </w:tcBorders>
            <w:shd w:val="clear" w:color="auto" w:fill="auto"/>
            <w:noWrap/>
          </w:tcPr>
          <w:p w14:paraId="07314C19" w14:textId="7B4D4B34" w:rsidR="00D37A31" w:rsidRPr="00887108" w:rsidRDefault="00D37A31" w:rsidP="0013133E">
            <w:pPr>
              <w:jc w:val="center"/>
              <w:rPr>
                <w:b/>
                <w:color w:val="000000" w:themeColor="text1"/>
                <w:sz w:val="20"/>
                <w:szCs w:val="20"/>
              </w:rPr>
            </w:pPr>
            <w:r w:rsidRPr="00887108">
              <w:rPr>
                <w:b/>
                <w:bCs/>
                <w:color w:val="000000"/>
                <w:sz w:val="20"/>
                <w:szCs w:val="20"/>
              </w:rPr>
              <w:t>-130</w:t>
            </w:r>
          </w:p>
        </w:tc>
        <w:tc>
          <w:tcPr>
            <w:tcW w:w="659" w:type="dxa"/>
            <w:tcBorders>
              <w:top w:val="single" w:sz="4" w:space="0" w:color="auto"/>
              <w:left w:val="nil"/>
              <w:bottom w:val="nil"/>
              <w:right w:val="nil"/>
            </w:tcBorders>
            <w:shd w:val="clear" w:color="auto" w:fill="auto"/>
            <w:noWrap/>
          </w:tcPr>
          <w:p w14:paraId="094107E5" w14:textId="47ACDE40" w:rsidR="00D37A31" w:rsidRPr="00887108" w:rsidRDefault="00D37A31" w:rsidP="0013133E">
            <w:pPr>
              <w:jc w:val="center"/>
              <w:rPr>
                <w:b/>
                <w:color w:val="000000" w:themeColor="text1"/>
                <w:sz w:val="20"/>
                <w:szCs w:val="20"/>
                <w:highlight w:val="yellow"/>
              </w:rPr>
            </w:pPr>
            <w:r w:rsidRPr="00887108">
              <w:rPr>
                <w:b/>
                <w:bCs/>
                <w:color w:val="000000"/>
                <w:sz w:val="20"/>
                <w:szCs w:val="20"/>
              </w:rPr>
              <w:t>232</w:t>
            </w:r>
          </w:p>
        </w:tc>
        <w:tc>
          <w:tcPr>
            <w:tcW w:w="866" w:type="dxa"/>
            <w:tcBorders>
              <w:top w:val="single" w:sz="4" w:space="0" w:color="auto"/>
              <w:left w:val="nil"/>
              <w:bottom w:val="nil"/>
              <w:right w:val="nil"/>
            </w:tcBorders>
            <w:shd w:val="clear" w:color="auto" w:fill="auto"/>
            <w:noWrap/>
          </w:tcPr>
          <w:p w14:paraId="1ED88122" w14:textId="2A2838CB" w:rsidR="00D37A31" w:rsidRPr="00887108" w:rsidRDefault="00D37A31" w:rsidP="00B95168">
            <w:pPr>
              <w:jc w:val="center"/>
              <w:rPr>
                <w:b/>
                <w:color w:val="000000" w:themeColor="text1"/>
                <w:sz w:val="20"/>
                <w:szCs w:val="20"/>
                <w:highlight w:val="yellow"/>
              </w:rPr>
            </w:pPr>
            <w:r w:rsidRPr="00887108">
              <w:rPr>
                <w:b/>
                <w:bCs/>
                <w:color w:val="000000"/>
                <w:sz w:val="20"/>
                <w:szCs w:val="20"/>
              </w:rPr>
              <w:t>-</w:t>
            </w:r>
            <w:r w:rsidR="00850C4A" w:rsidRPr="00887108">
              <w:rPr>
                <w:b/>
                <w:bCs/>
                <w:color w:val="000000"/>
                <w:sz w:val="20"/>
                <w:szCs w:val="20"/>
              </w:rPr>
              <w:t>8</w:t>
            </w:r>
            <w:r w:rsidR="00B95168" w:rsidRPr="00887108">
              <w:rPr>
                <w:b/>
                <w:bCs/>
                <w:color w:val="000000"/>
                <w:sz w:val="20"/>
                <w:szCs w:val="20"/>
              </w:rPr>
              <w:t>72</w:t>
            </w:r>
          </w:p>
        </w:tc>
        <w:tc>
          <w:tcPr>
            <w:tcW w:w="762" w:type="dxa"/>
            <w:tcBorders>
              <w:top w:val="single" w:sz="4" w:space="0" w:color="auto"/>
              <w:left w:val="nil"/>
              <w:bottom w:val="nil"/>
              <w:right w:val="nil"/>
            </w:tcBorders>
            <w:shd w:val="clear" w:color="auto" w:fill="auto"/>
            <w:noWrap/>
          </w:tcPr>
          <w:p w14:paraId="72DEBDE1" w14:textId="33B76774" w:rsidR="00D37A31" w:rsidRPr="00887108" w:rsidRDefault="00850C4A" w:rsidP="0013133E">
            <w:pPr>
              <w:jc w:val="center"/>
              <w:rPr>
                <w:b/>
                <w:color w:val="000000" w:themeColor="text1"/>
                <w:sz w:val="20"/>
                <w:szCs w:val="20"/>
                <w:highlight w:val="yellow"/>
              </w:rPr>
            </w:pPr>
            <w:r w:rsidRPr="00887108">
              <w:rPr>
                <w:b/>
                <w:bCs/>
                <w:color w:val="000000"/>
                <w:sz w:val="20"/>
                <w:szCs w:val="20"/>
              </w:rPr>
              <w:t>5</w:t>
            </w:r>
            <w:r w:rsidR="00B95168" w:rsidRPr="00887108">
              <w:rPr>
                <w:b/>
                <w:bCs/>
                <w:color w:val="000000"/>
                <w:sz w:val="20"/>
                <w:szCs w:val="20"/>
              </w:rPr>
              <w:t>50</w:t>
            </w:r>
          </w:p>
        </w:tc>
        <w:tc>
          <w:tcPr>
            <w:tcW w:w="762" w:type="dxa"/>
            <w:tcBorders>
              <w:top w:val="single" w:sz="4" w:space="0" w:color="auto"/>
              <w:left w:val="nil"/>
              <w:bottom w:val="nil"/>
              <w:right w:val="nil"/>
            </w:tcBorders>
            <w:shd w:val="clear" w:color="auto" w:fill="auto"/>
            <w:noWrap/>
          </w:tcPr>
          <w:p w14:paraId="66275A58" w14:textId="3C2CFB1A" w:rsidR="00D37A31" w:rsidRPr="00887108" w:rsidRDefault="00D37A31" w:rsidP="0013133E">
            <w:pPr>
              <w:jc w:val="center"/>
              <w:rPr>
                <w:b/>
                <w:color w:val="000000" w:themeColor="text1"/>
                <w:sz w:val="20"/>
                <w:szCs w:val="20"/>
              </w:rPr>
            </w:pPr>
            <w:r w:rsidRPr="00887108">
              <w:rPr>
                <w:b/>
                <w:bCs/>
                <w:color w:val="000000"/>
                <w:sz w:val="20"/>
                <w:szCs w:val="20"/>
              </w:rPr>
              <w:t>-5</w:t>
            </w:r>
            <w:r w:rsidR="0013133E" w:rsidRPr="00887108">
              <w:rPr>
                <w:b/>
                <w:bCs/>
                <w:color w:val="000000"/>
                <w:sz w:val="20"/>
                <w:szCs w:val="20"/>
              </w:rPr>
              <w:t>1</w:t>
            </w:r>
          </w:p>
        </w:tc>
        <w:tc>
          <w:tcPr>
            <w:tcW w:w="763" w:type="dxa"/>
            <w:tcBorders>
              <w:top w:val="single" w:sz="4" w:space="0" w:color="auto"/>
              <w:left w:val="nil"/>
              <w:bottom w:val="nil"/>
              <w:right w:val="nil"/>
            </w:tcBorders>
            <w:shd w:val="clear" w:color="auto" w:fill="auto"/>
            <w:noWrap/>
          </w:tcPr>
          <w:p w14:paraId="0EC1DAAE" w14:textId="19E3337A" w:rsidR="00D37A31" w:rsidRPr="00887108" w:rsidRDefault="00D37A31" w:rsidP="0013133E">
            <w:pPr>
              <w:jc w:val="center"/>
              <w:rPr>
                <w:b/>
                <w:color w:val="000000" w:themeColor="text1"/>
                <w:sz w:val="20"/>
                <w:szCs w:val="20"/>
              </w:rPr>
            </w:pPr>
            <w:r w:rsidRPr="00887108">
              <w:rPr>
                <w:b/>
                <w:bCs/>
                <w:color w:val="000000"/>
                <w:sz w:val="20"/>
                <w:szCs w:val="20"/>
              </w:rPr>
              <w:t>-4</w:t>
            </w:r>
          </w:p>
        </w:tc>
      </w:tr>
    </w:tbl>
    <w:p w14:paraId="491DB22F" w14:textId="56B0DBBC" w:rsidR="00D37A31" w:rsidRPr="00887108" w:rsidRDefault="007F62B3" w:rsidP="00FC1EC4">
      <w:pPr>
        <w:pStyle w:val="NormalList"/>
        <w:rPr>
          <w:color w:val="000000" w:themeColor="text1"/>
          <w:sz w:val="16"/>
          <w:szCs w:val="16"/>
        </w:rPr>
      </w:pPr>
      <w:r w:rsidRPr="00887108">
        <w:rPr>
          <w:color w:val="000000" w:themeColor="text1"/>
          <w:sz w:val="16"/>
          <w:szCs w:val="16"/>
        </w:rPr>
        <w:t>* Tieto opatrenia nevstupujú do výpočtu výdavkového pravidla cez DRM, pretože ide o</w:t>
      </w:r>
      <w:r w:rsidR="0014712A" w:rsidRPr="00887108">
        <w:rPr>
          <w:color w:val="000000" w:themeColor="text1"/>
          <w:sz w:val="16"/>
          <w:szCs w:val="16"/>
        </w:rPr>
        <w:t> nepriamy efekt výdavkových opatrení na príjmovej strane</w:t>
      </w:r>
      <w:r w:rsidR="00D37A31" w:rsidRPr="00887108">
        <w:rPr>
          <w:b/>
          <w:color w:val="000000" w:themeColor="text1"/>
          <w:sz w:val="16"/>
          <w:szCs w:val="16"/>
        </w:rPr>
        <w:br w:type="page"/>
      </w:r>
    </w:p>
    <w:p w14:paraId="134987B9" w14:textId="60271C0E" w:rsidR="00D37A31" w:rsidRPr="00887108" w:rsidRDefault="00A918CA" w:rsidP="00D37A31">
      <w:pPr>
        <w:pStyle w:val="Nadpis3"/>
        <w:spacing w:after="120"/>
        <w:rPr>
          <w:color w:val="2C9ADC" w:themeColor="accent1"/>
          <w:sz w:val="24"/>
          <w:szCs w:val="24"/>
        </w:rPr>
      </w:pPr>
      <w:r w:rsidRPr="00887108">
        <w:rPr>
          <w:color w:val="2C9ADC" w:themeColor="accent1"/>
          <w:sz w:val="24"/>
          <w:szCs w:val="24"/>
        </w:rPr>
        <w:t>Príloha 6</w:t>
      </w:r>
      <w:r w:rsidR="00D37A31" w:rsidRPr="00887108">
        <w:rPr>
          <w:color w:val="2C9ADC" w:themeColor="accent1"/>
          <w:sz w:val="24"/>
          <w:szCs w:val="24"/>
        </w:rPr>
        <w:t xml:space="preserve"> – Prognóza hrubého dlhu verejnej správy podľa hotovostných tokov</w:t>
      </w:r>
    </w:p>
    <w:p w14:paraId="06E88519" w14:textId="291A447D" w:rsidR="00D37A31" w:rsidRPr="00887108" w:rsidRDefault="00D37A31" w:rsidP="00D37A31">
      <w:pPr>
        <w:pStyle w:val="Tabuka"/>
        <w:pBdr>
          <w:bottom w:val="single" w:sz="4" w:space="1" w:color="auto"/>
        </w:pBdr>
        <w:spacing w:after="0"/>
        <w:jc w:val="both"/>
        <w:rPr>
          <w:b w:val="0"/>
          <w:color w:val="auto"/>
          <w:sz w:val="22"/>
          <w:szCs w:val="22"/>
          <w:highlight w:val="yellow"/>
        </w:rPr>
      </w:pPr>
      <w:bookmarkStart w:id="176" w:name="_Toc526783488"/>
      <w:r w:rsidRPr="00887108">
        <w:rPr>
          <w:color w:val="auto"/>
          <w:sz w:val="22"/>
          <w:szCs w:val="22"/>
        </w:rPr>
        <w:t>Z pohľadu hotovostných faktorov ovplyvňujúcich dynamiku nominálnej úrovne dlhu bude prevládať predovšetkým aktivita na zabezpečenie krytia zvýšených hotovostných deficitov z dôvodu vypuknutia pandémie.</w:t>
      </w:r>
      <w:r w:rsidRPr="00887108">
        <w:rPr>
          <w:b w:val="0"/>
          <w:color w:val="auto"/>
          <w:sz w:val="22"/>
          <w:szCs w:val="22"/>
        </w:rPr>
        <w:t xml:space="preserve"> Hotovostný schodok štátneho rozpočtu (ŠR) sa v roku 2020 očakáva mierne pod 8 miliardami eur čo predstavuje takmer </w:t>
      </w:r>
      <w:r w:rsidR="00BA46EB" w:rsidRPr="00887108">
        <w:rPr>
          <w:b w:val="0"/>
          <w:color w:val="auto"/>
          <w:sz w:val="22"/>
          <w:szCs w:val="22"/>
        </w:rPr>
        <w:t>dvojnásobne</w:t>
      </w:r>
      <w:r w:rsidRPr="00887108">
        <w:rPr>
          <w:b w:val="0"/>
          <w:color w:val="auto"/>
          <w:sz w:val="22"/>
          <w:szCs w:val="22"/>
        </w:rPr>
        <w:t xml:space="preserve"> vyšší deficit v porovnaním s rokom 2010, kedy slovenské verejné financie zasiahla v plnej miere globálna finančná kríza. Okrem nárastu deficitu výšku dlhu negatívne zasiahne aj zásobenie sa likvidnými prebytkami získaných aktivitou na finančných trhoch. V roku 2020 dôjde aj k vyrovnaniu požiadavky Európskeho stabilizačného mechanizmu voči Slovensku na doplatenie </w:t>
      </w:r>
      <w:r w:rsidR="00BA46EB" w:rsidRPr="00887108">
        <w:rPr>
          <w:b w:val="0"/>
          <w:color w:val="auto"/>
          <w:sz w:val="22"/>
          <w:szCs w:val="22"/>
        </w:rPr>
        <w:t>zvýšenia</w:t>
      </w:r>
      <w:r w:rsidRPr="00887108">
        <w:rPr>
          <w:b w:val="0"/>
          <w:color w:val="auto"/>
          <w:sz w:val="22"/>
          <w:szCs w:val="22"/>
        </w:rPr>
        <w:t xml:space="preserve"> hotovostného príspevku z dôvodu skončenia prechodnej 10-ročnej výnimky. Od roku 2021 sa za predpokladu prijatia dodatočných konsolidačných opatrení očakáva postupný pokles hotovostného salda až k úrovni 3 mld. eur (stále však približne 1 mld. nad hodnotou z roku 2019). Okrem emisií dlhopisov na finančnom trhu, ktoré zvyšujú nominálnu úroveň dlhu, bude hotovostný schodok ŠR priebežne financovaný aj využitím naakumulovaných prebytkov Štátnej pokladnici z predošlých rokov v objeme viac než 4 mld. eur. K zníženiu celkového nominálneho dlhu budú mierne prispievať aj ostatné subjekty verejnej správy, ktoré budú využívať svoje hotovostné zostatky z minulých období na znižovanie záväzkov. Hodnotu dlhu na horizonte rozpočtu ovplyvnia aj metodické úpravy ako sú diskont pri emisii a splatení dlhopisov. Negatívny vplyv vychádza najmä z emisného diskontu na dlhopisoch s dlhšou splatnosťou. Ostatné zmeny v prognóze dlhu súvisia s kurzovými rozdielmi a zmenou vkladov klientov v Štátnej pokladnici, mimo okruhu verejnej správy.</w:t>
      </w:r>
      <w:r w:rsidRPr="00887108">
        <w:rPr>
          <w:b w:val="0"/>
          <w:color w:val="auto"/>
          <w:sz w:val="22"/>
          <w:szCs w:val="22"/>
        </w:rPr>
        <w:cr/>
      </w:r>
    </w:p>
    <w:p w14:paraId="2146CF19" w14:textId="77777777" w:rsidR="00D37A31" w:rsidRPr="00887108" w:rsidRDefault="00D37A31" w:rsidP="00D37A31">
      <w:pPr>
        <w:pStyle w:val="Tabuka"/>
        <w:pBdr>
          <w:bottom w:val="single" w:sz="4" w:space="1" w:color="auto"/>
        </w:pBdr>
        <w:spacing w:line="276" w:lineRule="auto"/>
        <w:jc w:val="both"/>
      </w:pPr>
      <w:bookmarkStart w:id="177" w:name="_Toc40186695"/>
      <w:r w:rsidRPr="00887108">
        <w:rPr>
          <w:rFonts w:eastAsiaTheme="minorHAnsi"/>
          <w:color w:val="2C9ADC"/>
          <w:lang w:eastAsia="en-US"/>
        </w:rPr>
        <w:t xml:space="preserve">TABUĽKA </w:t>
      </w:r>
      <w:r w:rsidRPr="00887108">
        <w:rPr>
          <w:rFonts w:eastAsiaTheme="minorHAnsi"/>
          <w:color w:val="2C9ADC"/>
          <w:lang w:eastAsia="en-US"/>
        </w:rPr>
        <w:fldChar w:fldCharType="begin"/>
      </w:r>
      <w:r w:rsidRPr="00887108">
        <w:rPr>
          <w:rFonts w:eastAsiaTheme="minorHAnsi"/>
          <w:color w:val="2C9ADC"/>
          <w:lang w:eastAsia="en-US"/>
        </w:rPr>
        <w:instrText xml:space="preserve"> SEQ TABUĽKA \* ARABIC </w:instrText>
      </w:r>
      <w:r w:rsidRPr="00887108">
        <w:rPr>
          <w:rFonts w:eastAsiaTheme="minorHAnsi"/>
          <w:color w:val="2C9ADC"/>
          <w:lang w:eastAsia="en-US"/>
        </w:rPr>
        <w:fldChar w:fldCharType="separate"/>
      </w:r>
      <w:r w:rsidR="00D47A36">
        <w:rPr>
          <w:rFonts w:eastAsiaTheme="minorHAnsi"/>
          <w:noProof/>
          <w:color w:val="2C9ADC"/>
          <w:lang w:eastAsia="en-US"/>
        </w:rPr>
        <w:t>18</w:t>
      </w:r>
      <w:r w:rsidRPr="00887108">
        <w:rPr>
          <w:rFonts w:eastAsiaTheme="minorHAnsi"/>
          <w:color w:val="2C9ADC"/>
          <w:lang w:eastAsia="en-US"/>
        </w:rPr>
        <w:fldChar w:fldCharType="end"/>
      </w:r>
      <w:r w:rsidRPr="00887108">
        <w:t xml:space="preserve"> - Hotovostné vplyvy na zmenu nominálneho hrubého dlhu verejnej správy (v mil. eur)</w:t>
      </w:r>
      <w:bookmarkEnd w:id="176"/>
      <w:bookmarkEnd w:id="177"/>
    </w:p>
    <w:tbl>
      <w:tblPr>
        <w:tblW w:w="5000" w:type="pct"/>
        <w:tblCellMar>
          <w:left w:w="70" w:type="dxa"/>
          <w:right w:w="70" w:type="dxa"/>
        </w:tblCellMar>
        <w:tblLook w:val="0400" w:firstRow="0" w:lastRow="0" w:firstColumn="0" w:lastColumn="0" w:noHBand="0" w:noVBand="1"/>
      </w:tblPr>
      <w:tblGrid>
        <w:gridCol w:w="3971"/>
        <w:gridCol w:w="851"/>
        <w:gridCol w:w="851"/>
        <w:gridCol w:w="851"/>
        <w:gridCol w:w="851"/>
        <w:gridCol w:w="562"/>
        <w:gridCol w:w="288"/>
        <w:gridCol w:w="845"/>
      </w:tblGrid>
      <w:tr w:rsidR="00D37A31" w:rsidRPr="00887108" w14:paraId="0628861A" w14:textId="77777777" w:rsidTr="00E9118E">
        <w:trPr>
          <w:trHeight w:val="80"/>
        </w:trPr>
        <w:tc>
          <w:tcPr>
            <w:tcW w:w="2189" w:type="pct"/>
            <w:tcBorders>
              <w:left w:val="nil"/>
              <w:bottom w:val="single" w:sz="4" w:space="0" w:color="auto"/>
            </w:tcBorders>
            <w:shd w:val="clear" w:color="auto" w:fill="auto"/>
          </w:tcPr>
          <w:p w14:paraId="3483C2B5" w14:textId="77777777" w:rsidR="00D37A31" w:rsidRPr="00887108" w:rsidRDefault="00D37A31" w:rsidP="00E9118E">
            <w:pPr>
              <w:rPr>
                <w:color w:val="000000" w:themeColor="text1"/>
                <w:sz w:val="20"/>
                <w:szCs w:val="20"/>
              </w:rPr>
            </w:pPr>
          </w:p>
        </w:tc>
        <w:tc>
          <w:tcPr>
            <w:tcW w:w="469" w:type="pct"/>
            <w:tcBorders>
              <w:bottom w:val="single" w:sz="4" w:space="0" w:color="auto"/>
            </w:tcBorders>
            <w:shd w:val="clear" w:color="auto" w:fill="auto"/>
            <w:vAlign w:val="center"/>
          </w:tcPr>
          <w:p w14:paraId="3DD15E50" w14:textId="7719FAF4" w:rsidR="00D37A31" w:rsidRPr="00887108" w:rsidRDefault="00D37A31" w:rsidP="00E9118E">
            <w:pPr>
              <w:jc w:val="right"/>
              <w:rPr>
                <w:rFonts w:cs="Arial"/>
                <w:b/>
                <w:bCs/>
                <w:color w:val="000000" w:themeColor="text1"/>
                <w:sz w:val="20"/>
                <w:szCs w:val="20"/>
              </w:rPr>
            </w:pPr>
            <w:r w:rsidRPr="00887108">
              <w:rPr>
                <w:rFonts w:cs="Arial"/>
                <w:b/>
                <w:bCs/>
                <w:color w:val="000000" w:themeColor="text1"/>
                <w:sz w:val="20"/>
                <w:szCs w:val="20"/>
              </w:rPr>
              <w:t>2018</w:t>
            </w:r>
            <w:r w:rsidR="00F61127" w:rsidRPr="00887108">
              <w:rPr>
                <w:rFonts w:cs="Arial"/>
                <w:b/>
                <w:bCs/>
                <w:color w:val="000000" w:themeColor="text1"/>
                <w:sz w:val="20"/>
                <w:szCs w:val="20"/>
              </w:rPr>
              <w:t xml:space="preserve"> </w:t>
            </w:r>
            <w:r w:rsidRPr="00887108">
              <w:rPr>
                <w:rFonts w:cs="Arial"/>
                <w:b/>
                <w:bCs/>
                <w:color w:val="000000" w:themeColor="text1"/>
                <w:sz w:val="20"/>
                <w:szCs w:val="20"/>
              </w:rPr>
              <w:t>S</w:t>
            </w:r>
          </w:p>
        </w:tc>
        <w:tc>
          <w:tcPr>
            <w:tcW w:w="469" w:type="pct"/>
            <w:tcBorders>
              <w:bottom w:val="single" w:sz="4" w:space="0" w:color="auto"/>
            </w:tcBorders>
            <w:shd w:val="clear" w:color="auto" w:fill="auto"/>
            <w:vAlign w:val="center"/>
          </w:tcPr>
          <w:p w14:paraId="241C049F" w14:textId="77777777" w:rsidR="00D37A31" w:rsidRPr="00887108" w:rsidRDefault="00D37A31" w:rsidP="00E9118E">
            <w:pPr>
              <w:jc w:val="right"/>
              <w:rPr>
                <w:rFonts w:cs="Arial"/>
                <w:b/>
                <w:bCs/>
                <w:color w:val="000000" w:themeColor="text1"/>
                <w:sz w:val="20"/>
                <w:szCs w:val="20"/>
              </w:rPr>
            </w:pPr>
            <w:r w:rsidRPr="00887108">
              <w:rPr>
                <w:b/>
                <w:bCs/>
                <w:color w:val="000000" w:themeColor="text1"/>
                <w:sz w:val="20"/>
                <w:szCs w:val="20"/>
              </w:rPr>
              <w:t>2019 S</w:t>
            </w:r>
          </w:p>
        </w:tc>
        <w:tc>
          <w:tcPr>
            <w:tcW w:w="469" w:type="pct"/>
            <w:tcBorders>
              <w:bottom w:val="single" w:sz="4" w:space="0" w:color="auto"/>
            </w:tcBorders>
            <w:shd w:val="clear" w:color="auto" w:fill="auto"/>
            <w:vAlign w:val="center"/>
          </w:tcPr>
          <w:p w14:paraId="61EA0E44" w14:textId="77777777" w:rsidR="00D37A31" w:rsidRPr="00887108" w:rsidRDefault="00D37A31" w:rsidP="00E9118E">
            <w:pPr>
              <w:jc w:val="right"/>
              <w:rPr>
                <w:rFonts w:cs="Arial"/>
                <w:b/>
                <w:bCs/>
                <w:color w:val="000000" w:themeColor="text1"/>
                <w:sz w:val="20"/>
                <w:szCs w:val="20"/>
              </w:rPr>
            </w:pPr>
            <w:r w:rsidRPr="00887108">
              <w:rPr>
                <w:b/>
                <w:bCs/>
                <w:color w:val="000000" w:themeColor="text1"/>
                <w:sz w:val="20"/>
                <w:szCs w:val="20"/>
              </w:rPr>
              <w:t>2020 OS</w:t>
            </w:r>
          </w:p>
        </w:tc>
        <w:tc>
          <w:tcPr>
            <w:tcW w:w="469" w:type="pct"/>
            <w:tcBorders>
              <w:bottom w:val="single" w:sz="4" w:space="0" w:color="auto"/>
            </w:tcBorders>
            <w:shd w:val="clear" w:color="auto" w:fill="auto"/>
            <w:vAlign w:val="center"/>
          </w:tcPr>
          <w:p w14:paraId="6B3243FB" w14:textId="77777777" w:rsidR="00D37A31" w:rsidRPr="00887108" w:rsidRDefault="00D37A31" w:rsidP="00E9118E">
            <w:pPr>
              <w:jc w:val="center"/>
              <w:rPr>
                <w:rFonts w:cs="Arial"/>
                <w:b/>
                <w:bCs/>
                <w:color w:val="000000" w:themeColor="text1"/>
                <w:sz w:val="20"/>
                <w:szCs w:val="20"/>
              </w:rPr>
            </w:pPr>
            <w:r w:rsidRPr="00887108">
              <w:rPr>
                <w:b/>
                <w:bCs/>
                <w:color w:val="000000" w:themeColor="text1"/>
                <w:sz w:val="20"/>
                <w:szCs w:val="20"/>
              </w:rPr>
              <w:t>2021 PS</w:t>
            </w:r>
          </w:p>
        </w:tc>
        <w:tc>
          <w:tcPr>
            <w:tcW w:w="469" w:type="pct"/>
            <w:gridSpan w:val="2"/>
            <w:tcBorders>
              <w:bottom w:val="single" w:sz="4" w:space="0" w:color="auto"/>
            </w:tcBorders>
            <w:shd w:val="clear" w:color="auto" w:fill="auto"/>
            <w:vAlign w:val="center"/>
          </w:tcPr>
          <w:p w14:paraId="0266E900" w14:textId="77777777" w:rsidR="00D37A31" w:rsidRPr="00887108" w:rsidRDefault="00D37A31" w:rsidP="00E9118E">
            <w:pPr>
              <w:jc w:val="center"/>
              <w:rPr>
                <w:rFonts w:cs="Arial"/>
                <w:b/>
                <w:bCs/>
                <w:color w:val="000000" w:themeColor="text1"/>
                <w:sz w:val="20"/>
                <w:szCs w:val="20"/>
              </w:rPr>
            </w:pPr>
            <w:r w:rsidRPr="00887108">
              <w:rPr>
                <w:b/>
                <w:bCs/>
                <w:color w:val="000000" w:themeColor="text1"/>
                <w:sz w:val="20"/>
                <w:szCs w:val="20"/>
              </w:rPr>
              <w:t>2022 PS</w:t>
            </w:r>
          </w:p>
        </w:tc>
        <w:tc>
          <w:tcPr>
            <w:tcW w:w="466" w:type="pct"/>
            <w:tcBorders>
              <w:bottom w:val="single" w:sz="4" w:space="0" w:color="auto"/>
            </w:tcBorders>
            <w:shd w:val="clear" w:color="auto" w:fill="auto"/>
            <w:vAlign w:val="center"/>
          </w:tcPr>
          <w:p w14:paraId="41055F5F" w14:textId="77777777" w:rsidR="00D37A31" w:rsidRPr="00887108" w:rsidRDefault="00D37A31" w:rsidP="00E9118E">
            <w:pPr>
              <w:jc w:val="center"/>
              <w:rPr>
                <w:rFonts w:cs="Arial"/>
                <w:b/>
                <w:bCs/>
                <w:color w:val="000000" w:themeColor="text1"/>
                <w:sz w:val="20"/>
                <w:szCs w:val="20"/>
              </w:rPr>
            </w:pPr>
            <w:r w:rsidRPr="00887108">
              <w:rPr>
                <w:b/>
                <w:bCs/>
                <w:color w:val="000000" w:themeColor="text1"/>
                <w:sz w:val="20"/>
                <w:szCs w:val="20"/>
              </w:rPr>
              <w:t>2023 PS</w:t>
            </w:r>
          </w:p>
        </w:tc>
      </w:tr>
      <w:tr w:rsidR="00D37A31" w:rsidRPr="00887108" w14:paraId="53CAD360" w14:textId="77777777" w:rsidTr="00E9118E">
        <w:trPr>
          <w:trHeight w:val="232"/>
        </w:trPr>
        <w:tc>
          <w:tcPr>
            <w:tcW w:w="2189" w:type="pct"/>
            <w:tcBorders>
              <w:top w:val="single" w:sz="4" w:space="0" w:color="auto"/>
              <w:left w:val="nil"/>
              <w:bottom w:val="single" w:sz="4" w:space="0" w:color="auto"/>
            </w:tcBorders>
            <w:shd w:val="clear" w:color="auto" w:fill="auto"/>
            <w:vAlign w:val="center"/>
          </w:tcPr>
          <w:p w14:paraId="5BAD3B9B" w14:textId="77777777" w:rsidR="00D37A31" w:rsidRPr="00887108" w:rsidRDefault="00D37A31" w:rsidP="00E9118E">
            <w:pPr>
              <w:rPr>
                <w:b/>
                <w:color w:val="000000" w:themeColor="text1"/>
                <w:sz w:val="20"/>
                <w:szCs w:val="20"/>
              </w:rPr>
            </w:pPr>
            <w:r w:rsidRPr="00887108">
              <w:rPr>
                <w:b/>
                <w:color w:val="000000" w:themeColor="text1"/>
                <w:sz w:val="20"/>
                <w:szCs w:val="20"/>
              </w:rPr>
              <w:t>A. Hrubý dlh verejnej správy (k 1.1.)</w:t>
            </w:r>
          </w:p>
        </w:tc>
        <w:tc>
          <w:tcPr>
            <w:tcW w:w="469" w:type="pct"/>
            <w:tcBorders>
              <w:top w:val="single" w:sz="4" w:space="0" w:color="auto"/>
              <w:bottom w:val="single" w:sz="4" w:space="0" w:color="auto"/>
            </w:tcBorders>
            <w:shd w:val="clear" w:color="auto" w:fill="auto"/>
          </w:tcPr>
          <w:p w14:paraId="1FD490F0" w14:textId="77777777" w:rsidR="00D37A31" w:rsidRPr="00887108" w:rsidRDefault="00D37A31" w:rsidP="00E9118E">
            <w:pPr>
              <w:jc w:val="right"/>
              <w:rPr>
                <w:rFonts w:cs="Arial"/>
                <w:b/>
                <w:bCs/>
                <w:color w:val="000000" w:themeColor="text1"/>
                <w:sz w:val="20"/>
                <w:szCs w:val="20"/>
              </w:rPr>
            </w:pPr>
            <w:r w:rsidRPr="00887108">
              <w:rPr>
                <w:sz w:val="20"/>
                <w:szCs w:val="20"/>
              </w:rPr>
              <w:t>43 370</w:t>
            </w:r>
          </w:p>
        </w:tc>
        <w:tc>
          <w:tcPr>
            <w:tcW w:w="469" w:type="pct"/>
            <w:tcBorders>
              <w:top w:val="single" w:sz="4" w:space="0" w:color="auto"/>
              <w:bottom w:val="single" w:sz="4" w:space="0" w:color="auto"/>
            </w:tcBorders>
            <w:shd w:val="clear" w:color="auto" w:fill="auto"/>
          </w:tcPr>
          <w:p w14:paraId="38C902AE" w14:textId="77777777" w:rsidR="00D37A31" w:rsidRPr="00887108" w:rsidRDefault="00D37A31" w:rsidP="00E9118E">
            <w:pPr>
              <w:jc w:val="right"/>
              <w:rPr>
                <w:rFonts w:cs="Arial"/>
                <w:b/>
                <w:bCs/>
                <w:color w:val="000000" w:themeColor="text1"/>
                <w:sz w:val="20"/>
                <w:szCs w:val="20"/>
              </w:rPr>
            </w:pPr>
            <w:r w:rsidRPr="00887108">
              <w:rPr>
                <w:sz w:val="20"/>
                <w:szCs w:val="20"/>
              </w:rPr>
              <w:t>44 322</w:t>
            </w:r>
          </w:p>
        </w:tc>
        <w:tc>
          <w:tcPr>
            <w:tcW w:w="469" w:type="pct"/>
            <w:tcBorders>
              <w:top w:val="single" w:sz="4" w:space="0" w:color="auto"/>
              <w:bottom w:val="single" w:sz="4" w:space="0" w:color="auto"/>
            </w:tcBorders>
            <w:shd w:val="clear" w:color="auto" w:fill="auto"/>
          </w:tcPr>
          <w:p w14:paraId="1278AF98" w14:textId="77777777" w:rsidR="00D37A31" w:rsidRPr="00887108" w:rsidRDefault="00D37A31" w:rsidP="00E9118E">
            <w:pPr>
              <w:jc w:val="right"/>
              <w:rPr>
                <w:rFonts w:cs="Arial"/>
                <w:b/>
                <w:bCs/>
                <w:color w:val="000000" w:themeColor="text1"/>
                <w:sz w:val="20"/>
                <w:szCs w:val="20"/>
              </w:rPr>
            </w:pPr>
            <w:r w:rsidRPr="00887108">
              <w:rPr>
                <w:sz w:val="20"/>
                <w:szCs w:val="20"/>
              </w:rPr>
              <w:t>45 202</w:t>
            </w:r>
          </w:p>
        </w:tc>
        <w:tc>
          <w:tcPr>
            <w:tcW w:w="469" w:type="pct"/>
            <w:tcBorders>
              <w:top w:val="single" w:sz="4" w:space="0" w:color="auto"/>
              <w:bottom w:val="single" w:sz="4" w:space="0" w:color="auto"/>
            </w:tcBorders>
            <w:shd w:val="clear" w:color="auto" w:fill="auto"/>
          </w:tcPr>
          <w:p w14:paraId="3AF520A7" w14:textId="77777777" w:rsidR="00D37A31" w:rsidRPr="00887108" w:rsidRDefault="00D37A31" w:rsidP="00E9118E">
            <w:pPr>
              <w:jc w:val="right"/>
              <w:rPr>
                <w:rFonts w:cs="Arial"/>
                <w:b/>
                <w:bCs/>
                <w:color w:val="000000" w:themeColor="text1"/>
                <w:sz w:val="20"/>
                <w:szCs w:val="20"/>
              </w:rPr>
            </w:pPr>
            <w:r w:rsidRPr="00887108">
              <w:rPr>
                <w:sz w:val="20"/>
                <w:szCs w:val="20"/>
              </w:rPr>
              <w:t>54 498</w:t>
            </w:r>
          </w:p>
        </w:tc>
        <w:tc>
          <w:tcPr>
            <w:tcW w:w="469" w:type="pct"/>
            <w:gridSpan w:val="2"/>
            <w:tcBorders>
              <w:top w:val="single" w:sz="4" w:space="0" w:color="auto"/>
              <w:bottom w:val="single" w:sz="4" w:space="0" w:color="auto"/>
            </w:tcBorders>
            <w:shd w:val="clear" w:color="auto" w:fill="auto"/>
          </w:tcPr>
          <w:p w14:paraId="68F2769D" w14:textId="77777777" w:rsidR="00D37A31" w:rsidRPr="00887108" w:rsidRDefault="00D37A31" w:rsidP="00E9118E">
            <w:pPr>
              <w:jc w:val="right"/>
              <w:rPr>
                <w:rFonts w:cs="Arial"/>
                <w:b/>
                <w:bCs/>
                <w:color w:val="000000" w:themeColor="text1"/>
                <w:sz w:val="20"/>
                <w:szCs w:val="20"/>
              </w:rPr>
            </w:pPr>
            <w:r w:rsidRPr="00887108">
              <w:rPr>
                <w:sz w:val="20"/>
                <w:szCs w:val="20"/>
              </w:rPr>
              <w:t>58 905</w:t>
            </w:r>
          </w:p>
        </w:tc>
        <w:tc>
          <w:tcPr>
            <w:tcW w:w="466" w:type="pct"/>
            <w:tcBorders>
              <w:top w:val="single" w:sz="4" w:space="0" w:color="auto"/>
              <w:bottom w:val="single" w:sz="4" w:space="0" w:color="auto"/>
            </w:tcBorders>
            <w:shd w:val="clear" w:color="auto" w:fill="auto"/>
          </w:tcPr>
          <w:p w14:paraId="38BD5DF8" w14:textId="77777777" w:rsidR="00D37A31" w:rsidRPr="00887108" w:rsidRDefault="00D37A31" w:rsidP="00E9118E">
            <w:pPr>
              <w:jc w:val="right"/>
              <w:rPr>
                <w:rFonts w:cs="Arial"/>
                <w:b/>
                <w:bCs/>
                <w:color w:val="000000" w:themeColor="text1"/>
                <w:sz w:val="20"/>
                <w:szCs w:val="20"/>
              </w:rPr>
            </w:pPr>
            <w:r w:rsidRPr="00887108">
              <w:rPr>
                <w:sz w:val="20"/>
                <w:szCs w:val="20"/>
              </w:rPr>
              <w:t>61 737</w:t>
            </w:r>
          </w:p>
        </w:tc>
      </w:tr>
      <w:tr w:rsidR="00D37A31" w:rsidRPr="00887108" w14:paraId="2A0D3016" w14:textId="77777777" w:rsidTr="00E9118E">
        <w:trPr>
          <w:trHeight w:val="232"/>
        </w:trPr>
        <w:tc>
          <w:tcPr>
            <w:tcW w:w="2189" w:type="pct"/>
            <w:tcBorders>
              <w:top w:val="single" w:sz="4" w:space="0" w:color="auto"/>
              <w:left w:val="nil"/>
            </w:tcBorders>
            <w:shd w:val="clear" w:color="auto" w:fill="auto"/>
            <w:vAlign w:val="center"/>
          </w:tcPr>
          <w:p w14:paraId="271BF360" w14:textId="77777777" w:rsidR="00D37A31" w:rsidRPr="00887108" w:rsidRDefault="00D37A31" w:rsidP="00E9118E">
            <w:pPr>
              <w:rPr>
                <w:b/>
                <w:color w:val="000000" w:themeColor="text1"/>
                <w:sz w:val="20"/>
                <w:szCs w:val="20"/>
              </w:rPr>
            </w:pPr>
            <w:r w:rsidRPr="00887108">
              <w:rPr>
                <w:b/>
                <w:color w:val="000000" w:themeColor="text1"/>
                <w:sz w:val="20"/>
                <w:szCs w:val="20"/>
              </w:rPr>
              <w:t>B. Celková medziročná zmena hrubého dlhu VS</w:t>
            </w:r>
          </w:p>
        </w:tc>
        <w:tc>
          <w:tcPr>
            <w:tcW w:w="469" w:type="pct"/>
            <w:tcBorders>
              <w:top w:val="single" w:sz="4" w:space="0" w:color="auto"/>
            </w:tcBorders>
            <w:shd w:val="clear" w:color="auto" w:fill="auto"/>
          </w:tcPr>
          <w:p w14:paraId="76547A1F" w14:textId="77777777" w:rsidR="00D37A31" w:rsidRPr="00887108" w:rsidRDefault="00D37A31" w:rsidP="00E9118E">
            <w:pPr>
              <w:jc w:val="right"/>
              <w:rPr>
                <w:rFonts w:cs="Arial"/>
                <w:b/>
                <w:bCs/>
                <w:color w:val="000000" w:themeColor="text1"/>
                <w:sz w:val="20"/>
                <w:szCs w:val="20"/>
              </w:rPr>
            </w:pPr>
            <w:r w:rsidRPr="00887108">
              <w:rPr>
                <w:b/>
                <w:sz w:val="20"/>
                <w:szCs w:val="20"/>
              </w:rPr>
              <w:t>952</w:t>
            </w:r>
          </w:p>
        </w:tc>
        <w:tc>
          <w:tcPr>
            <w:tcW w:w="469" w:type="pct"/>
            <w:tcBorders>
              <w:top w:val="single" w:sz="4" w:space="0" w:color="auto"/>
            </w:tcBorders>
            <w:shd w:val="clear" w:color="auto" w:fill="auto"/>
          </w:tcPr>
          <w:p w14:paraId="21DDE5B5" w14:textId="77777777" w:rsidR="00D37A31" w:rsidRPr="00887108" w:rsidRDefault="00D37A31" w:rsidP="00E9118E">
            <w:pPr>
              <w:jc w:val="right"/>
              <w:rPr>
                <w:rFonts w:cs="Arial"/>
                <w:b/>
                <w:bCs/>
                <w:color w:val="000000" w:themeColor="text1"/>
                <w:sz w:val="20"/>
                <w:szCs w:val="20"/>
              </w:rPr>
            </w:pPr>
            <w:r w:rsidRPr="00887108">
              <w:rPr>
                <w:b/>
                <w:sz w:val="20"/>
                <w:szCs w:val="20"/>
              </w:rPr>
              <w:t>880</w:t>
            </w:r>
          </w:p>
        </w:tc>
        <w:tc>
          <w:tcPr>
            <w:tcW w:w="469" w:type="pct"/>
            <w:tcBorders>
              <w:top w:val="single" w:sz="4" w:space="0" w:color="auto"/>
            </w:tcBorders>
            <w:shd w:val="clear" w:color="auto" w:fill="auto"/>
          </w:tcPr>
          <w:p w14:paraId="58C220B4" w14:textId="77777777" w:rsidR="00D37A31" w:rsidRPr="00887108" w:rsidRDefault="00D37A31" w:rsidP="00E9118E">
            <w:pPr>
              <w:jc w:val="right"/>
              <w:rPr>
                <w:rFonts w:cs="Arial"/>
                <w:b/>
                <w:bCs/>
                <w:color w:val="000000" w:themeColor="text1"/>
                <w:sz w:val="20"/>
                <w:szCs w:val="20"/>
              </w:rPr>
            </w:pPr>
            <w:r w:rsidRPr="00887108">
              <w:rPr>
                <w:b/>
                <w:sz w:val="20"/>
                <w:szCs w:val="20"/>
              </w:rPr>
              <w:t>9 297</w:t>
            </w:r>
          </w:p>
        </w:tc>
        <w:tc>
          <w:tcPr>
            <w:tcW w:w="469" w:type="pct"/>
            <w:tcBorders>
              <w:top w:val="single" w:sz="4" w:space="0" w:color="auto"/>
            </w:tcBorders>
            <w:shd w:val="clear" w:color="auto" w:fill="auto"/>
          </w:tcPr>
          <w:p w14:paraId="2A6D6BF7" w14:textId="77777777" w:rsidR="00D37A31" w:rsidRPr="00887108" w:rsidRDefault="00D37A31" w:rsidP="00E9118E">
            <w:pPr>
              <w:jc w:val="right"/>
              <w:rPr>
                <w:rFonts w:cs="Arial"/>
                <w:b/>
                <w:bCs/>
                <w:color w:val="000000" w:themeColor="text1"/>
                <w:sz w:val="20"/>
                <w:szCs w:val="20"/>
              </w:rPr>
            </w:pPr>
            <w:r w:rsidRPr="00887108">
              <w:rPr>
                <w:b/>
                <w:sz w:val="20"/>
                <w:szCs w:val="20"/>
              </w:rPr>
              <w:t>4 407</w:t>
            </w:r>
          </w:p>
        </w:tc>
        <w:tc>
          <w:tcPr>
            <w:tcW w:w="469" w:type="pct"/>
            <w:gridSpan w:val="2"/>
            <w:tcBorders>
              <w:top w:val="single" w:sz="4" w:space="0" w:color="auto"/>
            </w:tcBorders>
            <w:shd w:val="clear" w:color="auto" w:fill="auto"/>
          </w:tcPr>
          <w:p w14:paraId="42D39CA6" w14:textId="77777777" w:rsidR="00D37A31" w:rsidRPr="00887108" w:rsidRDefault="00D37A31" w:rsidP="00E9118E">
            <w:pPr>
              <w:jc w:val="right"/>
              <w:rPr>
                <w:rFonts w:cs="Arial"/>
                <w:b/>
                <w:bCs/>
                <w:color w:val="000000" w:themeColor="text1"/>
                <w:sz w:val="20"/>
                <w:szCs w:val="20"/>
              </w:rPr>
            </w:pPr>
            <w:r w:rsidRPr="00887108">
              <w:rPr>
                <w:b/>
                <w:sz w:val="20"/>
                <w:szCs w:val="20"/>
              </w:rPr>
              <w:t>2 832</w:t>
            </w:r>
          </w:p>
        </w:tc>
        <w:tc>
          <w:tcPr>
            <w:tcW w:w="466" w:type="pct"/>
            <w:tcBorders>
              <w:top w:val="single" w:sz="4" w:space="0" w:color="auto"/>
            </w:tcBorders>
            <w:shd w:val="clear" w:color="auto" w:fill="auto"/>
          </w:tcPr>
          <w:p w14:paraId="4B2D75CE" w14:textId="77777777" w:rsidR="00D37A31" w:rsidRPr="00887108" w:rsidRDefault="00D37A31" w:rsidP="00E9118E">
            <w:pPr>
              <w:jc w:val="right"/>
              <w:rPr>
                <w:rFonts w:cs="Arial"/>
                <w:b/>
                <w:bCs/>
                <w:color w:val="000000" w:themeColor="text1"/>
                <w:sz w:val="20"/>
                <w:szCs w:val="20"/>
              </w:rPr>
            </w:pPr>
            <w:r w:rsidRPr="00887108">
              <w:rPr>
                <w:b/>
                <w:sz w:val="20"/>
                <w:szCs w:val="20"/>
              </w:rPr>
              <w:t>1 834</w:t>
            </w:r>
          </w:p>
        </w:tc>
      </w:tr>
      <w:tr w:rsidR="00D37A31" w:rsidRPr="00887108" w14:paraId="5E0A2C0C" w14:textId="77777777" w:rsidTr="00E9118E">
        <w:trPr>
          <w:trHeight w:val="232"/>
        </w:trPr>
        <w:tc>
          <w:tcPr>
            <w:tcW w:w="2189" w:type="pct"/>
            <w:tcBorders>
              <w:top w:val="nil"/>
              <w:left w:val="nil"/>
            </w:tcBorders>
            <w:shd w:val="clear" w:color="auto" w:fill="auto"/>
            <w:vAlign w:val="center"/>
          </w:tcPr>
          <w:p w14:paraId="56FA8412" w14:textId="77777777" w:rsidR="00D37A31" w:rsidRPr="00887108" w:rsidRDefault="00D37A31" w:rsidP="00E9118E">
            <w:pPr>
              <w:rPr>
                <w:color w:val="000000" w:themeColor="text1"/>
                <w:sz w:val="20"/>
                <w:szCs w:val="20"/>
              </w:rPr>
            </w:pPr>
            <w:r w:rsidRPr="00887108">
              <w:rPr>
                <w:color w:val="000000" w:themeColor="text1"/>
                <w:sz w:val="20"/>
                <w:szCs w:val="20"/>
              </w:rPr>
              <w:t>- hotovostný deficit ŠR</w:t>
            </w:r>
          </w:p>
        </w:tc>
        <w:tc>
          <w:tcPr>
            <w:tcW w:w="469" w:type="pct"/>
            <w:tcBorders>
              <w:top w:val="nil"/>
            </w:tcBorders>
            <w:shd w:val="clear" w:color="auto" w:fill="auto"/>
          </w:tcPr>
          <w:p w14:paraId="63A99CB3" w14:textId="77777777" w:rsidR="00D37A31" w:rsidRPr="00887108" w:rsidRDefault="00D37A31" w:rsidP="00E9118E">
            <w:pPr>
              <w:jc w:val="right"/>
              <w:rPr>
                <w:rFonts w:cs="Arial"/>
                <w:color w:val="000000" w:themeColor="text1"/>
                <w:sz w:val="20"/>
                <w:szCs w:val="20"/>
              </w:rPr>
            </w:pPr>
            <w:r w:rsidRPr="00887108">
              <w:rPr>
                <w:sz w:val="20"/>
                <w:szCs w:val="20"/>
              </w:rPr>
              <w:t>1 182</w:t>
            </w:r>
          </w:p>
        </w:tc>
        <w:tc>
          <w:tcPr>
            <w:tcW w:w="469" w:type="pct"/>
            <w:tcBorders>
              <w:top w:val="nil"/>
            </w:tcBorders>
            <w:shd w:val="clear" w:color="auto" w:fill="auto"/>
          </w:tcPr>
          <w:p w14:paraId="7CED6A06" w14:textId="77777777" w:rsidR="00D37A31" w:rsidRPr="00887108" w:rsidRDefault="00D37A31" w:rsidP="00E9118E">
            <w:pPr>
              <w:jc w:val="right"/>
              <w:rPr>
                <w:rFonts w:cs="Arial"/>
                <w:color w:val="000000" w:themeColor="text1"/>
                <w:sz w:val="20"/>
                <w:szCs w:val="20"/>
              </w:rPr>
            </w:pPr>
            <w:r w:rsidRPr="00887108">
              <w:rPr>
                <w:sz w:val="20"/>
                <w:szCs w:val="20"/>
              </w:rPr>
              <w:t>2 201</w:t>
            </w:r>
          </w:p>
        </w:tc>
        <w:tc>
          <w:tcPr>
            <w:tcW w:w="469" w:type="pct"/>
            <w:tcBorders>
              <w:top w:val="nil"/>
            </w:tcBorders>
            <w:shd w:val="clear" w:color="auto" w:fill="auto"/>
          </w:tcPr>
          <w:p w14:paraId="3B0950B5" w14:textId="77777777" w:rsidR="00D37A31" w:rsidRPr="00887108" w:rsidRDefault="00D37A31" w:rsidP="00E9118E">
            <w:pPr>
              <w:jc w:val="right"/>
              <w:rPr>
                <w:rFonts w:cs="Arial"/>
                <w:color w:val="000000" w:themeColor="text1"/>
                <w:sz w:val="20"/>
                <w:szCs w:val="20"/>
              </w:rPr>
            </w:pPr>
            <w:r w:rsidRPr="00887108">
              <w:rPr>
                <w:sz w:val="20"/>
                <w:szCs w:val="20"/>
              </w:rPr>
              <w:t>7 810</w:t>
            </w:r>
          </w:p>
        </w:tc>
        <w:tc>
          <w:tcPr>
            <w:tcW w:w="469" w:type="pct"/>
            <w:tcBorders>
              <w:top w:val="nil"/>
            </w:tcBorders>
            <w:shd w:val="clear" w:color="auto" w:fill="auto"/>
          </w:tcPr>
          <w:p w14:paraId="6F69F236" w14:textId="77777777" w:rsidR="00D37A31" w:rsidRPr="00887108" w:rsidRDefault="00D37A31" w:rsidP="00E9118E">
            <w:pPr>
              <w:jc w:val="right"/>
              <w:rPr>
                <w:rFonts w:cs="Arial"/>
                <w:color w:val="000000" w:themeColor="text1"/>
                <w:sz w:val="20"/>
                <w:szCs w:val="20"/>
              </w:rPr>
            </w:pPr>
            <w:r w:rsidRPr="00887108">
              <w:rPr>
                <w:sz w:val="20"/>
                <w:szCs w:val="20"/>
              </w:rPr>
              <w:t>6 023</w:t>
            </w:r>
          </w:p>
        </w:tc>
        <w:tc>
          <w:tcPr>
            <w:tcW w:w="469" w:type="pct"/>
            <w:gridSpan w:val="2"/>
            <w:tcBorders>
              <w:top w:val="nil"/>
            </w:tcBorders>
            <w:shd w:val="clear" w:color="auto" w:fill="auto"/>
          </w:tcPr>
          <w:p w14:paraId="4E7E063D" w14:textId="77777777" w:rsidR="00D37A31" w:rsidRPr="00887108" w:rsidRDefault="00D37A31" w:rsidP="00E9118E">
            <w:pPr>
              <w:jc w:val="right"/>
              <w:rPr>
                <w:rFonts w:cs="Arial"/>
                <w:color w:val="000000" w:themeColor="text1"/>
                <w:sz w:val="20"/>
                <w:szCs w:val="20"/>
              </w:rPr>
            </w:pPr>
            <w:r w:rsidRPr="00887108">
              <w:rPr>
                <w:sz w:val="20"/>
                <w:szCs w:val="20"/>
              </w:rPr>
              <w:t>3 949</w:t>
            </w:r>
          </w:p>
        </w:tc>
        <w:tc>
          <w:tcPr>
            <w:tcW w:w="466" w:type="pct"/>
            <w:tcBorders>
              <w:top w:val="nil"/>
            </w:tcBorders>
            <w:shd w:val="clear" w:color="auto" w:fill="auto"/>
          </w:tcPr>
          <w:p w14:paraId="53C23F7B" w14:textId="77777777" w:rsidR="00D37A31" w:rsidRPr="00887108" w:rsidRDefault="00D37A31" w:rsidP="00E9118E">
            <w:pPr>
              <w:jc w:val="right"/>
              <w:rPr>
                <w:rFonts w:cs="Arial"/>
                <w:color w:val="000000" w:themeColor="text1"/>
                <w:sz w:val="20"/>
                <w:szCs w:val="20"/>
              </w:rPr>
            </w:pPr>
            <w:r w:rsidRPr="00887108">
              <w:rPr>
                <w:sz w:val="20"/>
                <w:szCs w:val="20"/>
              </w:rPr>
              <w:t>3 130</w:t>
            </w:r>
          </w:p>
        </w:tc>
      </w:tr>
      <w:tr w:rsidR="00D37A31" w:rsidRPr="00887108" w14:paraId="1B92C60C" w14:textId="77777777" w:rsidTr="00E9118E">
        <w:trPr>
          <w:trHeight w:val="232"/>
        </w:trPr>
        <w:tc>
          <w:tcPr>
            <w:tcW w:w="2189" w:type="pct"/>
            <w:tcBorders>
              <w:top w:val="nil"/>
              <w:left w:val="nil"/>
            </w:tcBorders>
            <w:shd w:val="clear" w:color="auto" w:fill="auto"/>
            <w:vAlign w:val="center"/>
          </w:tcPr>
          <w:p w14:paraId="4748A472" w14:textId="77777777" w:rsidR="00D37A31" w:rsidRPr="00887108" w:rsidRDefault="00D37A31" w:rsidP="00E9118E">
            <w:pPr>
              <w:ind w:left="356"/>
              <w:rPr>
                <w:color w:val="000000" w:themeColor="text1"/>
                <w:sz w:val="20"/>
                <w:szCs w:val="20"/>
              </w:rPr>
            </w:pPr>
            <w:r w:rsidRPr="00887108">
              <w:rPr>
                <w:color w:val="000000" w:themeColor="text1"/>
                <w:sz w:val="20"/>
                <w:szCs w:val="20"/>
              </w:rPr>
              <w:t>z toho: príspevok SR do ESM</w:t>
            </w:r>
          </w:p>
        </w:tc>
        <w:tc>
          <w:tcPr>
            <w:tcW w:w="469" w:type="pct"/>
            <w:tcBorders>
              <w:top w:val="nil"/>
            </w:tcBorders>
            <w:shd w:val="clear" w:color="auto" w:fill="auto"/>
          </w:tcPr>
          <w:p w14:paraId="48D98C52" w14:textId="77777777" w:rsidR="00D37A31" w:rsidRPr="00887108" w:rsidRDefault="00D37A31" w:rsidP="00E9118E">
            <w:pPr>
              <w:jc w:val="right"/>
              <w:rPr>
                <w:color w:val="000000" w:themeColor="text1"/>
                <w:sz w:val="20"/>
                <w:szCs w:val="20"/>
              </w:rPr>
            </w:pPr>
            <w:r w:rsidRPr="00887108">
              <w:rPr>
                <w:sz w:val="20"/>
                <w:szCs w:val="20"/>
              </w:rPr>
              <w:t>0</w:t>
            </w:r>
          </w:p>
        </w:tc>
        <w:tc>
          <w:tcPr>
            <w:tcW w:w="469" w:type="pct"/>
            <w:tcBorders>
              <w:top w:val="nil"/>
            </w:tcBorders>
            <w:shd w:val="clear" w:color="auto" w:fill="auto"/>
          </w:tcPr>
          <w:p w14:paraId="5CE8F6A3" w14:textId="77777777" w:rsidR="00D37A31" w:rsidRPr="00887108" w:rsidRDefault="00D37A31" w:rsidP="00E9118E">
            <w:pPr>
              <w:jc w:val="right"/>
              <w:rPr>
                <w:color w:val="000000" w:themeColor="text1"/>
                <w:sz w:val="20"/>
                <w:szCs w:val="20"/>
              </w:rPr>
            </w:pPr>
            <w:r w:rsidRPr="00887108">
              <w:rPr>
                <w:sz w:val="20"/>
                <w:szCs w:val="20"/>
              </w:rPr>
              <w:t>0</w:t>
            </w:r>
          </w:p>
        </w:tc>
        <w:tc>
          <w:tcPr>
            <w:tcW w:w="469" w:type="pct"/>
            <w:tcBorders>
              <w:top w:val="nil"/>
            </w:tcBorders>
            <w:shd w:val="clear" w:color="auto" w:fill="auto"/>
          </w:tcPr>
          <w:p w14:paraId="704AA4AD" w14:textId="77777777" w:rsidR="00D37A31" w:rsidRPr="00887108" w:rsidRDefault="00D37A31" w:rsidP="00E9118E">
            <w:pPr>
              <w:jc w:val="right"/>
              <w:rPr>
                <w:color w:val="000000" w:themeColor="text1"/>
                <w:sz w:val="20"/>
                <w:szCs w:val="20"/>
              </w:rPr>
            </w:pPr>
            <w:r w:rsidRPr="00887108">
              <w:rPr>
                <w:sz w:val="20"/>
                <w:szCs w:val="20"/>
              </w:rPr>
              <w:t>134</w:t>
            </w:r>
          </w:p>
        </w:tc>
        <w:tc>
          <w:tcPr>
            <w:tcW w:w="469" w:type="pct"/>
            <w:tcBorders>
              <w:top w:val="nil"/>
            </w:tcBorders>
            <w:shd w:val="clear" w:color="auto" w:fill="auto"/>
          </w:tcPr>
          <w:p w14:paraId="7A9C7C67" w14:textId="77777777" w:rsidR="00D37A31" w:rsidRPr="00887108" w:rsidRDefault="00D37A31" w:rsidP="00E9118E">
            <w:pPr>
              <w:jc w:val="right"/>
              <w:rPr>
                <w:color w:val="000000" w:themeColor="text1"/>
                <w:sz w:val="20"/>
                <w:szCs w:val="20"/>
              </w:rPr>
            </w:pPr>
            <w:r w:rsidRPr="00887108">
              <w:rPr>
                <w:sz w:val="20"/>
                <w:szCs w:val="20"/>
              </w:rPr>
              <w:t>0</w:t>
            </w:r>
          </w:p>
        </w:tc>
        <w:tc>
          <w:tcPr>
            <w:tcW w:w="469" w:type="pct"/>
            <w:gridSpan w:val="2"/>
            <w:tcBorders>
              <w:top w:val="nil"/>
            </w:tcBorders>
            <w:shd w:val="clear" w:color="auto" w:fill="auto"/>
          </w:tcPr>
          <w:p w14:paraId="605D697C" w14:textId="77777777" w:rsidR="00D37A31" w:rsidRPr="00887108" w:rsidRDefault="00D37A31" w:rsidP="00E9118E">
            <w:pPr>
              <w:jc w:val="right"/>
              <w:rPr>
                <w:color w:val="000000" w:themeColor="text1"/>
                <w:sz w:val="20"/>
                <w:szCs w:val="20"/>
              </w:rPr>
            </w:pPr>
            <w:r w:rsidRPr="00887108">
              <w:rPr>
                <w:sz w:val="20"/>
                <w:szCs w:val="20"/>
              </w:rPr>
              <w:t>0</w:t>
            </w:r>
          </w:p>
        </w:tc>
        <w:tc>
          <w:tcPr>
            <w:tcW w:w="466" w:type="pct"/>
            <w:tcBorders>
              <w:top w:val="nil"/>
            </w:tcBorders>
            <w:shd w:val="clear" w:color="auto" w:fill="auto"/>
          </w:tcPr>
          <w:p w14:paraId="7AA4B3CD" w14:textId="77777777" w:rsidR="00D37A31" w:rsidRPr="00887108" w:rsidRDefault="00D37A31" w:rsidP="00E9118E">
            <w:pPr>
              <w:jc w:val="right"/>
              <w:rPr>
                <w:color w:val="000000" w:themeColor="text1"/>
                <w:sz w:val="20"/>
                <w:szCs w:val="20"/>
              </w:rPr>
            </w:pPr>
            <w:r w:rsidRPr="00887108">
              <w:rPr>
                <w:sz w:val="20"/>
                <w:szCs w:val="20"/>
              </w:rPr>
              <w:t>0</w:t>
            </w:r>
          </w:p>
        </w:tc>
      </w:tr>
      <w:tr w:rsidR="00D37A31" w:rsidRPr="00887108" w14:paraId="440C950A" w14:textId="77777777" w:rsidTr="00E9118E">
        <w:trPr>
          <w:trHeight w:val="232"/>
        </w:trPr>
        <w:tc>
          <w:tcPr>
            <w:tcW w:w="2189" w:type="pct"/>
            <w:tcBorders>
              <w:top w:val="nil"/>
              <w:left w:val="nil"/>
            </w:tcBorders>
            <w:shd w:val="clear" w:color="auto" w:fill="auto"/>
            <w:vAlign w:val="center"/>
          </w:tcPr>
          <w:p w14:paraId="68C47686" w14:textId="77777777" w:rsidR="00D37A31" w:rsidRPr="00887108" w:rsidRDefault="00D37A31" w:rsidP="00E9118E">
            <w:pPr>
              <w:rPr>
                <w:color w:val="000000" w:themeColor="text1"/>
                <w:sz w:val="20"/>
                <w:szCs w:val="20"/>
              </w:rPr>
            </w:pPr>
            <w:r w:rsidRPr="00887108">
              <w:rPr>
                <w:color w:val="000000" w:themeColor="text1"/>
                <w:sz w:val="20"/>
                <w:szCs w:val="20"/>
              </w:rPr>
              <w:t>- prostriedky ŠP využité na financovanie hotovostného deficitu ŠR</w:t>
            </w:r>
          </w:p>
        </w:tc>
        <w:tc>
          <w:tcPr>
            <w:tcW w:w="469" w:type="pct"/>
            <w:tcBorders>
              <w:top w:val="nil"/>
            </w:tcBorders>
            <w:shd w:val="clear" w:color="auto" w:fill="auto"/>
          </w:tcPr>
          <w:p w14:paraId="5403ED69" w14:textId="77777777" w:rsidR="00D37A31" w:rsidRPr="00887108" w:rsidRDefault="00D37A31" w:rsidP="00E9118E">
            <w:pPr>
              <w:jc w:val="right"/>
              <w:rPr>
                <w:rFonts w:cs="Arial"/>
                <w:color w:val="000000" w:themeColor="text1"/>
                <w:sz w:val="20"/>
                <w:szCs w:val="20"/>
              </w:rPr>
            </w:pPr>
            <w:r w:rsidRPr="00887108">
              <w:rPr>
                <w:sz w:val="20"/>
                <w:szCs w:val="20"/>
              </w:rPr>
              <w:t>-498</w:t>
            </w:r>
          </w:p>
        </w:tc>
        <w:tc>
          <w:tcPr>
            <w:tcW w:w="469" w:type="pct"/>
            <w:tcBorders>
              <w:top w:val="nil"/>
            </w:tcBorders>
            <w:shd w:val="clear" w:color="auto" w:fill="auto"/>
          </w:tcPr>
          <w:p w14:paraId="35B7C337" w14:textId="77777777" w:rsidR="00D37A31" w:rsidRPr="00887108" w:rsidRDefault="00D37A31" w:rsidP="00E9118E">
            <w:pPr>
              <w:jc w:val="right"/>
              <w:rPr>
                <w:rFonts w:cs="Arial"/>
                <w:color w:val="000000" w:themeColor="text1"/>
                <w:sz w:val="20"/>
                <w:szCs w:val="20"/>
              </w:rPr>
            </w:pPr>
            <w:r w:rsidRPr="00887108">
              <w:rPr>
                <w:sz w:val="20"/>
                <w:szCs w:val="20"/>
              </w:rPr>
              <w:t>-1 586</w:t>
            </w:r>
          </w:p>
        </w:tc>
        <w:tc>
          <w:tcPr>
            <w:tcW w:w="469" w:type="pct"/>
            <w:tcBorders>
              <w:top w:val="nil"/>
            </w:tcBorders>
            <w:shd w:val="clear" w:color="auto" w:fill="auto"/>
          </w:tcPr>
          <w:p w14:paraId="65C8E84C" w14:textId="77777777" w:rsidR="00D37A31" w:rsidRPr="00887108" w:rsidRDefault="00D37A31" w:rsidP="00E9118E">
            <w:pPr>
              <w:jc w:val="right"/>
              <w:rPr>
                <w:rFonts w:cs="Arial"/>
                <w:color w:val="000000" w:themeColor="text1"/>
                <w:sz w:val="20"/>
                <w:szCs w:val="20"/>
              </w:rPr>
            </w:pPr>
            <w:r w:rsidRPr="00887108">
              <w:rPr>
                <w:sz w:val="20"/>
                <w:szCs w:val="20"/>
              </w:rPr>
              <w:t>1 523</w:t>
            </w:r>
          </w:p>
        </w:tc>
        <w:tc>
          <w:tcPr>
            <w:tcW w:w="469" w:type="pct"/>
            <w:tcBorders>
              <w:top w:val="nil"/>
            </w:tcBorders>
            <w:shd w:val="clear" w:color="auto" w:fill="auto"/>
          </w:tcPr>
          <w:p w14:paraId="6784AB36" w14:textId="77777777" w:rsidR="00D37A31" w:rsidRPr="00887108" w:rsidRDefault="00D37A31" w:rsidP="00E9118E">
            <w:pPr>
              <w:jc w:val="right"/>
              <w:rPr>
                <w:rFonts w:cs="Arial"/>
                <w:color w:val="000000" w:themeColor="text1"/>
                <w:sz w:val="20"/>
                <w:szCs w:val="20"/>
              </w:rPr>
            </w:pPr>
            <w:r w:rsidRPr="00887108">
              <w:rPr>
                <w:sz w:val="20"/>
                <w:szCs w:val="20"/>
              </w:rPr>
              <w:t>-1 568</w:t>
            </w:r>
          </w:p>
        </w:tc>
        <w:tc>
          <w:tcPr>
            <w:tcW w:w="469" w:type="pct"/>
            <w:gridSpan w:val="2"/>
            <w:tcBorders>
              <w:top w:val="nil"/>
            </w:tcBorders>
            <w:shd w:val="clear" w:color="auto" w:fill="auto"/>
          </w:tcPr>
          <w:p w14:paraId="67A91D44" w14:textId="77777777" w:rsidR="00D37A31" w:rsidRPr="00887108" w:rsidRDefault="00D37A31" w:rsidP="00E9118E">
            <w:pPr>
              <w:jc w:val="right"/>
              <w:rPr>
                <w:rFonts w:cs="Arial"/>
                <w:color w:val="000000" w:themeColor="text1"/>
                <w:sz w:val="20"/>
                <w:szCs w:val="20"/>
              </w:rPr>
            </w:pPr>
            <w:r w:rsidRPr="00887108">
              <w:rPr>
                <w:sz w:val="20"/>
                <w:szCs w:val="20"/>
              </w:rPr>
              <w:t>-1 106</w:t>
            </w:r>
          </w:p>
        </w:tc>
        <w:tc>
          <w:tcPr>
            <w:tcW w:w="466" w:type="pct"/>
            <w:tcBorders>
              <w:top w:val="nil"/>
            </w:tcBorders>
            <w:shd w:val="clear" w:color="auto" w:fill="auto"/>
          </w:tcPr>
          <w:p w14:paraId="5DD4B40F" w14:textId="77777777" w:rsidR="00D37A31" w:rsidRPr="00887108" w:rsidRDefault="00D37A31" w:rsidP="00E9118E">
            <w:pPr>
              <w:jc w:val="right"/>
              <w:rPr>
                <w:rFonts w:cs="Arial"/>
                <w:color w:val="000000" w:themeColor="text1"/>
                <w:sz w:val="20"/>
                <w:szCs w:val="20"/>
              </w:rPr>
            </w:pPr>
            <w:r w:rsidRPr="00887108">
              <w:rPr>
                <w:sz w:val="20"/>
                <w:szCs w:val="20"/>
              </w:rPr>
              <w:t>-1 455</w:t>
            </w:r>
          </w:p>
        </w:tc>
      </w:tr>
      <w:tr w:rsidR="00D37A31" w:rsidRPr="00887108" w14:paraId="79FF653E" w14:textId="77777777" w:rsidTr="00E9118E">
        <w:trPr>
          <w:trHeight w:val="232"/>
        </w:trPr>
        <w:tc>
          <w:tcPr>
            <w:tcW w:w="2189" w:type="pct"/>
            <w:tcBorders>
              <w:top w:val="nil"/>
              <w:left w:val="nil"/>
            </w:tcBorders>
            <w:shd w:val="clear" w:color="auto" w:fill="auto"/>
            <w:vAlign w:val="center"/>
          </w:tcPr>
          <w:p w14:paraId="31BE888F" w14:textId="77777777" w:rsidR="00D37A31" w:rsidRPr="00887108" w:rsidRDefault="00D37A31" w:rsidP="00E9118E">
            <w:pPr>
              <w:rPr>
                <w:color w:val="000000" w:themeColor="text1"/>
                <w:sz w:val="20"/>
                <w:szCs w:val="20"/>
              </w:rPr>
            </w:pPr>
            <w:r w:rsidRPr="00887108">
              <w:rPr>
                <w:color w:val="000000" w:themeColor="text1"/>
                <w:sz w:val="20"/>
                <w:szCs w:val="20"/>
              </w:rPr>
              <w:t>- zadlženie ostatných subjektov VS</w:t>
            </w:r>
          </w:p>
        </w:tc>
        <w:tc>
          <w:tcPr>
            <w:tcW w:w="469" w:type="pct"/>
            <w:tcBorders>
              <w:top w:val="nil"/>
            </w:tcBorders>
            <w:shd w:val="clear" w:color="auto" w:fill="auto"/>
          </w:tcPr>
          <w:p w14:paraId="7589AD50" w14:textId="77777777" w:rsidR="00D37A31" w:rsidRPr="00887108" w:rsidRDefault="00D37A31" w:rsidP="00E9118E">
            <w:pPr>
              <w:jc w:val="right"/>
              <w:rPr>
                <w:rFonts w:cs="Arial"/>
                <w:color w:val="000000" w:themeColor="text1"/>
                <w:sz w:val="20"/>
                <w:szCs w:val="20"/>
              </w:rPr>
            </w:pPr>
            <w:r w:rsidRPr="00887108">
              <w:rPr>
                <w:sz w:val="20"/>
                <w:szCs w:val="20"/>
              </w:rPr>
              <w:t>111</w:t>
            </w:r>
          </w:p>
        </w:tc>
        <w:tc>
          <w:tcPr>
            <w:tcW w:w="469" w:type="pct"/>
            <w:tcBorders>
              <w:top w:val="nil"/>
            </w:tcBorders>
            <w:shd w:val="clear" w:color="auto" w:fill="auto"/>
          </w:tcPr>
          <w:p w14:paraId="3DCACE53" w14:textId="77777777" w:rsidR="00D37A31" w:rsidRPr="00887108" w:rsidRDefault="00D37A31" w:rsidP="00E9118E">
            <w:pPr>
              <w:jc w:val="right"/>
              <w:rPr>
                <w:rFonts w:cs="Arial"/>
                <w:color w:val="000000" w:themeColor="text1"/>
                <w:sz w:val="20"/>
                <w:szCs w:val="20"/>
              </w:rPr>
            </w:pPr>
            <w:r w:rsidRPr="00887108">
              <w:rPr>
                <w:sz w:val="20"/>
                <w:szCs w:val="20"/>
              </w:rPr>
              <w:t>248</w:t>
            </w:r>
          </w:p>
        </w:tc>
        <w:tc>
          <w:tcPr>
            <w:tcW w:w="469" w:type="pct"/>
            <w:tcBorders>
              <w:top w:val="nil"/>
            </w:tcBorders>
            <w:shd w:val="clear" w:color="auto" w:fill="auto"/>
          </w:tcPr>
          <w:p w14:paraId="285A0E29" w14:textId="77777777" w:rsidR="00D37A31" w:rsidRPr="00887108" w:rsidRDefault="00D37A31" w:rsidP="00E9118E">
            <w:pPr>
              <w:jc w:val="right"/>
              <w:rPr>
                <w:rFonts w:cs="Arial"/>
                <w:color w:val="000000" w:themeColor="text1"/>
                <w:sz w:val="20"/>
                <w:szCs w:val="20"/>
              </w:rPr>
            </w:pPr>
            <w:r w:rsidRPr="00887108">
              <w:rPr>
                <w:sz w:val="20"/>
                <w:szCs w:val="20"/>
              </w:rPr>
              <w:t>12</w:t>
            </w:r>
          </w:p>
        </w:tc>
        <w:tc>
          <w:tcPr>
            <w:tcW w:w="469" w:type="pct"/>
            <w:tcBorders>
              <w:top w:val="nil"/>
            </w:tcBorders>
            <w:shd w:val="clear" w:color="auto" w:fill="auto"/>
          </w:tcPr>
          <w:p w14:paraId="21DE03BA" w14:textId="77777777" w:rsidR="00D37A31" w:rsidRPr="00887108" w:rsidRDefault="00D37A31" w:rsidP="00E9118E">
            <w:pPr>
              <w:jc w:val="right"/>
              <w:rPr>
                <w:rFonts w:cs="Arial"/>
                <w:color w:val="000000" w:themeColor="text1"/>
                <w:sz w:val="20"/>
                <w:szCs w:val="20"/>
              </w:rPr>
            </w:pPr>
            <w:r w:rsidRPr="00887108">
              <w:rPr>
                <w:sz w:val="20"/>
                <w:szCs w:val="20"/>
              </w:rPr>
              <w:t>-52</w:t>
            </w:r>
          </w:p>
        </w:tc>
        <w:tc>
          <w:tcPr>
            <w:tcW w:w="469" w:type="pct"/>
            <w:gridSpan w:val="2"/>
            <w:tcBorders>
              <w:top w:val="nil"/>
            </w:tcBorders>
            <w:shd w:val="clear" w:color="auto" w:fill="auto"/>
          </w:tcPr>
          <w:p w14:paraId="5D41BF53" w14:textId="77777777" w:rsidR="00D37A31" w:rsidRPr="00887108" w:rsidRDefault="00D37A31" w:rsidP="00E9118E">
            <w:pPr>
              <w:jc w:val="right"/>
              <w:rPr>
                <w:rFonts w:cs="Arial"/>
                <w:color w:val="000000" w:themeColor="text1"/>
                <w:sz w:val="20"/>
                <w:szCs w:val="20"/>
              </w:rPr>
            </w:pPr>
            <w:r w:rsidRPr="00887108">
              <w:rPr>
                <w:sz w:val="20"/>
                <w:szCs w:val="20"/>
              </w:rPr>
              <w:t>-52</w:t>
            </w:r>
          </w:p>
        </w:tc>
        <w:tc>
          <w:tcPr>
            <w:tcW w:w="466" w:type="pct"/>
            <w:tcBorders>
              <w:top w:val="nil"/>
            </w:tcBorders>
            <w:shd w:val="clear" w:color="auto" w:fill="auto"/>
          </w:tcPr>
          <w:p w14:paraId="3E55BB4E" w14:textId="77777777" w:rsidR="00D37A31" w:rsidRPr="00887108" w:rsidRDefault="00D37A31" w:rsidP="00E9118E">
            <w:pPr>
              <w:jc w:val="right"/>
              <w:rPr>
                <w:rFonts w:cs="Arial"/>
                <w:color w:val="000000" w:themeColor="text1"/>
                <w:sz w:val="20"/>
                <w:szCs w:val="20"/>
              </w:rPr>
            </w:pPr>
            <w:r w:rsidRPr="00887108">
              <w:rPr>
                <w:sz w:val="20"/>
                <w:szCs w:val="20"/>
              </w:rPr>
              <w:t>-14</w:t>
            </w:r>
          </w:p>
        </w:tc>
      </w:tr>
      <w:tr w:rsidR="00D37A31" w:rsidRPr="00887108" w14:paraId="0656BA31" w14:textId="77777777" w:rsidTr="00E9118E">
        <w:trPr>
          <w:trHeight w:val="232"/>
        </w:trPr>
        <w:tc>
          <w:tcPr>
            <w:tcW w:w="2189" w:type="pct"/>
            <w:tcBorders>
              <w:top w:val="nil"/>
              <w:left w:val="nil"/>
            </w:tcBorders>
            <w:shd w:val="clear" w:color="auto" w:fill="auto"/>
            <w:vAlign w:val="center"/>
          </w:tcPr>
          <w:p w14:paraId="55DBE76B" w14:textId="77777777" w:rsidR="00D37A31" w:rsidRPr="00887108" w:rsidRDefault="00D37A31" w:rsidP="00E9118E">
            <w:pPr>
              <w:ind w:left="356"/>
              <w:rPr>
                <w:color w:val="000000" w:themeColor="text1"/>
                <w:sz w:val="20"/>
                <w:szCs w:val="20"/>
              </w:rPr>
            </w:pPr>
            <w:r w:rsidRPr="00887108">
              <w:rPr>
                <w:color w:val="000000" w:themeColor="text1"/>
                <w:sz w:val="20"/>
                <w:szCs w:val="20"/>
              </w:rPr>
              <w:t>z toho: Samospráva (obce a VÚC)</w:t>
            </w:r>
          </w:p>
        </w:tc>
        <w:tc>
          <w:tcPr>
            <w:tcW w:w="469" w:type="pct"/>
            <w:tcBorders>
              <w:top w:val="nil"/>
            </w:tcBorders>
            <w:shd w:val="clear" w:color="auto" w:fill="auto"/>
          </w:tcPr>
          <w:p w14:paraId="7049E349" w14:textId="77777777" w:rsidR="00D37A31" w:rsidRPr="00887108" w:rsidRDefault="00D37A31" w:rsidP="00E9118E">
            <w:pPr>
              <w:jc w:val="right"/>
              <w:rPr>
                <w:rFonts w:cs="Arial"/>
                <w:color w:val="000000" w:themeColor="text1"/>
                <w:sz w:val="20"/>
                <w:szCs w:val="20"/>
              </w:rPr>
            </w:pPr>
            <w:r w:rsidRPr="00887108">
              <w:rPr>
                <w:sz w:val="20"/>
                <w:szCs w:val="20"/>
              </w:rPr>
              <w:t>92</w:t>
            </w:r>
          </w:p>
        </w:tc>
        <w:tc>
          <w:tcPr>
            <w:tcW w:w="469" w:type="pct"/>
            <w:tcBorders>
              <w:top w:val="nil"/>
            </w:tcBorders>
            <w:shd w:val="clear" w:color="auto" w:fill="auto"/>
          </w:tcPr>
          <w:p w14:paraId="5DA16B8B" w14:textId="77777777" w:rsidR="00D37A31" w:rsidRPr="00887108" w:rsidRDefault="00D37A31" w:rsidP="00E9118E">
            <w:pPr>
              <w:jc w:val="right"/>
              <w:rPr>
                <w:rFonts w:cs="Arial"/>
                <w:color w:val="000000" w:themeColor="text1"/>
                <w:sz w:val="20"/>
                <w:szCs w:val="20"/>
              </w:rPr>
            </w:pPr>
            <w:r w:rsidRPr="00887108">
              <w:rPr>
                <w:sz w:val="20"/>
                <w:szCs w:val="20"/>
              </w:rPr>
              <w:t>46</w:t>
            </w:r>
          </w:p>
        </w:tc>
        <w:tc>
          <w:tcPr>
            <w:tcW w:w="469" w:type="pct"/>
            <w:tcBorders>
              <w:top w:val="nil"/>
            </w:tcBorders>
            <w:shd w:val="clear" w:color="auto" w:fill="auto"/>
          </w:tcPr>
          <w:p w14:paraId="14A78F70" w14:textId="77777777" w:rsidR="00D37A31" w:rsidRPr="00887108" w:rsidRDefault="00D37A31" w:rsidP="00E9118E">
            <w:pPr>
              <w:jc w:val="right"/>
              <w:rPr>
                <w:rFonts w:cs="Arial"/>
                <w:color w:val="000000" w:themeColor="text1"/>
                <w:sz w:val="20"/>
                <w:szCs w:val="20"/>
              </w:rPr>
            </w:pPr>
            <w:r w:rsidRPr="00887108">
              <w:rPr>
                <w:sz w:val="20"/>
                <w:szCs w:val="20"/>
              </w:rPr>
              <w:t>2</w:t>
            </w:r>
          </w:p>
        </w:tc>
        <w:tc>
          <w:tcPr>
            <w:tcW w:w="469" w:type="pct"/>
            <w:tcBorders>
              <w:top w:val="nil"/>
            </w:tcBorders>
            <w:shd w:val="clear" w:color="auto" w:fill="auto"/>
          </w:tcPr>
          <w:p w14:paraId="7B366A4A" w14:textId="77777777" w:rsidR="00D37A31" w:rsidRPr="00887108" w:rsidRDefault="00D37A31" w:rsidP="00E9118E">
            <w:pPr>
              <w:jc w:val="right"/>
              <w:rPr>
                <w:rFonts w:cs="Arial"/>
                <w:color w:val="000000" w:themeColor="text1"/>
                <w:sz w:val="20"/>
                <w:szCs w:val="20"/>
              </w:rPr>
            </w:pPr>
            <w:r w:rsidRPr="00887108">
              <w:rPr>
                <w:sz w:val="20"/>
                <w:szCs w:val="20"/>
              </w:rPr>
              <w:t>35</w:t>
            </w:r>
          </w:p>
        </w:tc>
        <w:tc>
          <w:tcPr>
            <w:tcW w:w="469" w:type="pct"/>
            <w:gridSpan w:val="2"/>
            <w:tcBorders>
              <w:top w:val="nil"/>
            </w:tcBorders>
            <w:shd w:val="clear" w:color="auto" w:fill="auto"/>
          </w:tcPr>
          <w:p w14:paraId="71989855" w14:textId="77777777" w:rsidR="00D37A31" w:rsidRPr="00887108" w:rsidRDefault="00D37A31" w:rsidP="00E9118E">
            <w:pPr>
              <w:jc w:val="right"/>
              <w:rPr>
                <w:rFonts w:cs="Arial"/>
                <w:color w:val="000000" w:themeColor="text1"/>
                <w:sz w:val="20"/>
                <w:szCs w:val="20"/>
              </w:rPr>
            </w:pPr>
            <w:r w:rsidRPr="00887108">
              <w:rPr>
                <w:sz w:val="20"/>
                <w:szCs w:val="20"/>
              </w:rPr>
              <w:t>35</w:t>
            </w:r>
          </w:p>
        </w:tc>
        <w:tc>
          <w:tcPr>
            <w:tcW w:w="466" w:type="pct"/>
            <w:tcBorders>
              <w:top w:val="nil"/>
            </w:tcBorders>
            <w:shd w:val="clear" w:color="auto" w:fill="auto"/>
          </w:tcPr>
          <w:p w14:paraId="0618F409" w14:textId="77777777" w:rsidR="00D37A31" w:rsidRPr="00887108" w:rsidRDefault="00D37A31" w:rsidP="00E9118E">
            <w:pPr>
              <w:jc w:val="right"/>
              <w:rPr>
                <w:rFonts w:cs="Arial"/>
                <w:color w:val="000000" w:themeColor="text1"/>
                <w:sz w:val="20"/>
                <w:szCs w:val="20"/>
              </w:rPr>
            </w:pPr>
            <w:r w:rsidRPr="00887108">
              <w:rPr>
                <w:sz w:val="20"/>
                <w:szCs w:val="20"/>
              </w:rPr>
              <w:t>35</w:t>
            </w:r>
          </w:p>
        </w:tc>
      </w:tr>
      <w:tr w:rsidR="00D37A31" w:rsidRPr="00887108" w14:paraId="241D7F47" w14:textId="77777777" w:rsidTr="00E9118E">
        <w:trPr>
          <w:trHeight w:val="232"/>
        </w:trPr>
        <w:tc>
          <w:tcPr>
            <w:tcW w:w="2189" w:type="pct"/>
            <w:tcBorders>
              <w:top w:val="nil"/>
              <w:left w:val="nil"/>
            </w:tcBorders>
            <w:shd w:val="clear" w:color="auto" w:fill="auto"/>
            <w:vAlign w:val="center"/>
          </w:tcPr>
          <w:p w14:paraId="483190C3" w14:textId="77777777" w:rsidR="00D37A31" w:rsidRPr="00887108" w:rsidRDefault="00D37A31" w:rsidP="00E9118E">
            <w:pPr>
              <w:ind w:left="356"/>
              <w:rPr>
                <w:color w:val="000000" w:themeColor="text1"/>
                <w:sz w:val="20"/>
                <w:szCs w:val="20"/>
              </w:rPr>
            </w:pPr>
            <w:r w:rsidRPr="00887108">
              <w:rPr>
                <w:color w:val="000000" w:themeColor="text1"/>
                <w:sz w:val="20"/>
                <w:szCs w:val="20"/>
              </w:rPr>
              <w:t>z toho: NDS</w:t>
            </w:r>
          </w:p>
        </w:tc>
        <w:tc>
          <w:tcPr>
            <w:tcW w:w="469" w:type="pct"/>
            <w:tcBorders>
              <w:top w:val="nil"/>
            </w:tcBorders>
            <w:shd w:val="clear" w:color="auto" w:fill="auto"/>
          </w:tcPr>
          <w:p w14:paraId="308B7410" w14:textId="77777777" w:rsidR="00D37A31" w:rsidRPr="00887108" w:rsidRDefault="00D37A31" w:rsidP="00E9118E">
            <w:pPr>
              <w:jc w:val="right"/>
              <w:rPr>
                <w:rFonts w:cs="Arial"/>
                <w:color w:val="000000" w:themeColor="text1"/>
                <w:sz w:val="20"/>
                <w:szCs w:val="20"/>
              </w:rPr>
            </w:pPr>
            <w:r w:rsidRPr="00887108">
              <w:rPr>
                <w:sz w:val="20"/>
                <w:szCs w:val="20"/>
              </w:rPr>
              <w:t>-37</w:t>
            </w:r>
          </w:p>
        </w:tc>
        <w:tc>
          <w:tcPr>
            <w:tcW w:w="469" w:type="pct"/>
            <w:tcBorders>
              <w:top w:val="nil"/>
            </w:tcBorders>
            <w:shd w:val="clear" w:color="auto" w:fill="auto"/>
          </w:tcPr>
          <w:p w14:paraId="70F060E0" w14:textId="77777777" w:rsidR="00D37A31" w:rsidRPr="00887108" w:rsidRDefault="00D37A31" w:rsidP="00E9118E">
            <w:pPr>
              <w:jc w:val="right"/>
              <w:rPr>
                <w:rFonts w:cs="Arial"/>
                <w:color w:val="000000" w:themeColor="text1"/>
                <w:sz w:val="20"/>
                <w:szCs w:val="20"/>
              </w:rPr>
            </w:pPr>
            <w:r w:rsidRPr="00887108">
              <w:rPr>
                <w:sz w:val="20"/>
                <w:szCs w:val="20"/>
              </w:rPr>
              <w:t>-42</w:t>
            </w:r>
          </w:p>
        </w:tc>
        <w:tc>
          <w:tcPr>
            <w:tcW w:w="469" w:type="pct"/>
            <w:tcBorders>
              <w:top w:val="nil"/>
            </w:tcBorders>
            <w:shd w:val="clear" w:color="auto" w:fill="auto"/>
          </w:tcPr>
          <w:p w14:paraId="50C17420" w14:textId="77777777" w:rsidR="00D37A31" w:rsidRPr="00887108" w:rsidRDefault="00D37A31" w:rsidP="00E9118E">
            <w:pPr>
              <w:jc w:val="right"/>
              <w:rPr>
                <w:rFonts w:cs="Arial"/>
                <w:color w:val="000000" w:themeColor="text1"/>
                <w:sz w:val="20"/>
                <w:szCs w:val="20"/>
              </w:rPr>
            </w:pPr>
            <w:r w:rsidRPr="00887108">
              <w:rPr>
                <w:sz w:val="20"/>
                <w:szCs w:val="20"/>
              </w:rPr>
              <w:t>-37</w:t>
            </w:r>
          </w:p>
        </w:tc>
        <w:tc>
          <w:tcPr>
            <w:tcW w:w="469" w:type="pct"/>
            <w:tcBorders>
              <w:top w:val="nil"/>
            </w:tcBorders>
            <w:shd w:val="clear" w:color="auto" w:fill="auto"/>
          </w:tcPr>
          <w:p w14:paraId="2890C81E" w14:textId="77777777" w:rsidR="00D37A31" w:rsidRPr="00887108" w:rsidRDefault="00D37A31" w:rsidP="00E9118E">
            <w:pPr>
              <w:jc w:val="right"/>
              <w:rPr>
                <w:rFonts w:cs="Arial"/>
                <w:color w:val="000000" w:themeColor="text1"/>
                <w:sz w:val="20"/>
                <w:szCs w:val="20"/>
              </w:rPr>
            </w:pPr>
            <w:r w:rsidRPr="00887108">
              <w:rPr>
                <w:sz w:val="20"/>
                <w:szCs w:val="20"/>
              </w:rPr>
              <w:t>-37</w:t>
            </w:r>
          </w:p>
        </w:tc>
        <w:tc>
          <w:tcPr>
            <w:tcW w:w="469" w:type="pct"/>
            <w:gridSpan w:val="2"/>
            <w:tcBorders>
              <w:top w:val="nil"/>
            </w:tcBorders>
            <w:shd w:val="clear" w:color="auto" w:fill="auto"/>
          </w:tcPr>
          <w:p w14:paraId="5559EE3B" w14:textId="77777777" w:rsidR="00D37A31" w:rsidRPr="00887108" w:rsidRDefault="00D37A31" w:rsidP="00E9118E">
            <w:pPr>
              <w:jc w:val="right"/>
              <w:rPr>
                <w:rFonts w:cs="Arial"/>
                <w:color w:val="000000" w:themeColor="text1"/>
                <w:sz w:val="20"/>
                <w:szCs w:val="20"/>
              </w:rPr>
            </w:pPr>
            <w:r w:rsidRPr="00887108">
              <w:rPr>
                <w:sz w:val="20"/>
                <w:szCs w:val="20"/>
              </w:rPr>
              <w:t>-37</w:t>
            </w:r>
          </w:p>
        </w:tc>
        <w:tc>
          <w:tcPr>
            <w:tcW w:w="466" w:type="pct"/>
            <w:tcBorders>
              <w:top w:val="nil"/>
            </w:tcBorders>
            <w:shd w:val="clear" w:color="auto" w:fill="auto"/>
          </w:tcPr>
          <w:p w14:paraId="76152446" w14:textId="77777777" w:rsidR="00D37A31" w:rsidRPr="00887108" w:rsidRDefault="00D37A31" w:rsidP="00E9118E">
            <w:pPr>
              <w:jc w:val="right"/>
              <w:rPr>
                <w:rFonts w:cs="Arial"/>
                <w:color w:val="000000" w:themeColor="text1"/>
                <w:sz w:val="20"/>
                <w:szCs w:val="20"/>
              </w:rPr>
            </w:pPr>
            <w:r w:rsidRPr="00887108">
              <w:rPr>
                <w:sz w:val="20"/>
                <w:szCs w:val="20"/>
              </w:rPr>
              <w:t>0</w:t>
            </w:r>
          </w:p>
        </w:tc>
      </w:tr>
      <w:tr w:rsidR="00D37A31" w:rsidRPr="00887108" w14:paraId="1C0D78B0" w14:textId="77777777" w:rsidTr="00E9118E">
        <w:trPr>
          <w:trHeight w:val="232"/>
        </w:trPr>
        <w:tc>
          <w:tcPr>
            <w:tcW w:w="2189" w:type="pct"/>
            <w:tcBorders>
              <w:top w:val="nil"/>
              <w:left w:val="nil"/>
            </w:tcBorders>
            <w:shd w:val="clear" w:color="auto" w:fill="auto"/>
            <w:vAlign w:val="center"/>
          </w:tcPr>
          <w:p w14:paraId="1AA8855C" w14:textId="77777777" w:rsidR="00D37A31" w:rsidRPr="00887108" w:rsidRDefault="00D37A31" w:rsidP="00E9118E">
            <w:pPr>
              <w:ind w:left="356"/>
              <w:rPr>
                <w:color w:val="000000" w:themeColor="text1"/>
                <w:sz w:val="20"/>
                <w:szCs w:val="20"/>
              </w:rPr>
            </w:pPr>
            <w:r w:rsidRPr="00887108">
              <w:rPr>
                <w:color w:val="000000" w:themeColor="text1"/>
                <w:sz w:val="20"/>
                <w:szCs w:val="20"/>
              </w:rPr>
              <w:t>z toho: ŽSR + ŽSSK</w:t>
            </w:r>
          </w:p>
        </w:tc>
        <w:tc>
          <w:tcPr>
            <w:tcW w:w="469" w:type="pct"/>
            <w:tcBorders>
              <w:top w:val="nil"/>
            </w:tcBorders>
            <w:shd w:val="clear" w:color="auto" w:fill="auto"/>
          </w:tcPr>
          <w:p w14:paraId="4E10E799" w14:textId="77777777" w:rsidR="00D37A31" w:rsidRPr="00887108" w:rsidRDefault="00D37A31" w:rsidP="00E9118E">
            <w:pPr>
              <w:jc w:val="right"/>
              <w:rPr>
                <w:rFonts w:cs="Arial"/>
                <w:color w:val="000000" w:themeColor="text1"/>
                <w:sz w:val="20"/>
                <w:szCs w:val="20"/>
              </w:rPr>
            </w:pPr>
            <w:r w:rsidRPr="00887108">
              <w:rPr>
                <w:sz w:val="20"/>
                <w:szCs w:val="20"/>
              </w:rPr>
              <w:t>34</w:t>
            </w:r>
          </w:p>
        </w:tc>
        <w:tc>
          <w:tcPr>
            <w:tcW w:w="469" w:type="pct"/>
            <w:tcBorders>
              <w:top w:val="nil"/>
            </w:tcBorders>
            <w:shd w:val="clear" w:color="auto" w:fill="auto"/>
          </w:tcPr>
          <w:p w14:paraId="7991B5DD" w14:textId="77777777" w:rsidR="00D37A31" w:rsidRPr="00887108" w:rsidRDefault="00D37A31" w:rsidP="00E9118E">
            <w:pPr>
              <w:jc w:val="right"/>
              <w:rPr>
                <w:rFonts w:cs="Arial"/>
                <w:color w:val="000000" w:themeColor="text1"/>
                <w:sz w:val="20"/>
                <w:szCs w:val="20"/>
              </w:rPr>
            </w:pPr>
            <w:r w:rsidRPr="00887108">
              <w:rPr>
                <w:sz w:val="20"/>
                <w:szCs w:val="20"/>
              </w:rPr>
              <w:t>117</w:t>
            </w:r>
          </w:p>
        </w:tc>
        <w:tc>
          <w:tcPr>
            <w:tcW w:w="469" w:type="pct"/>
            <w:tcBorders>
              <w:top w:val="nil"/>
            </w:tcBorders>
            <w:shd w:val="clear" w:color="auto" w:fill="auto"/>
          </w:tcPr>
          <w:p w14:paraId="65FAE4F5" w14:textId="77777777" w:rsidR="00D37A31" w:rsidRPr="00887108" w:rsidRDefault="00D37A31" w:rsidP="00E9118E">
            <w:pPr>
              <w:jc w:val="right"/>
              <w:rPr>
                <w:rFonts w:cs="Arial"/>
                <w:color w:val="000000" w:themeColor="text1"/>
                <w:sz w:val="20"/>
                <w:szCs w:val="20"/>
              </w:rPr>
            </w:pPr>
            <w:r w:rsidRPr="00887108">
              <w:rPr>
                <w:sz w:val="20"/>
                <w:szCs w:val="20"/>
              </w:rPr>
              <w:t>25</w:t>
            </w:r>
          </w:p>
        </w:tc>
        <w:tc>
          <w:tcPr>
            <w:tcW w:w="469" w:type="pct"/>
            <w:tcBorders>
              <w:top w:val="nil"/>
            </w:tcBorders>
            <w:shd w:val="clear" w:color="auto" w:fill="auto"/>
          </w:tcPr>
          <w:p w14:paraId="652E66A4" w14:textId="77777777" w:rsidR="00D37A31" w:rsidRPr="00887108" w:rsidRDefault="00D37A31" w:rsidP="00E9118E">
            <w:pPr>
              <w:jc w:val="right"/>
              <w:rPr>
                <w:rFonts w:cs="Arial"/>
                <w:color w:val="000000" w:themeColor="text1"/>
                <w:sz w:val="20"/>
                <w:szCs w:val="20"/>
              </w:rPr>
            </w:pPr>
            <w:r w:rsidRPr="00887108">
              <w:rPr>
                <w:sz w:val="20"/>
                <w:szCs w:val="20"/>
              </w:rPr>
              <w:t>-65</w:t>
            </w:r>
          </w:p>
        </w:tc>
        <w:tc>
          <w:tcPr>
            <w:tcW w:w="469" w:type="pct"/>
            <w:gridSpan w:val="2"/>
            <w:tcBorders>
              <w:top w:val="nil"/>
            </w:tcBorders>
            <w:shd w:val="clear" w:color="auto" w:fill="auto"/>
          </w:tcPr>
          <w:p w14:paraId="40248109" w14:textId="77777777" w:rsidR="00D37A31" w:rsidRPr="00887108" w:rsidRDefault="00D37A31" w:rsidP="00E9118E">
            <w:pPr>
              <w:jc w:val="right"/>
              <w:rPr>
                <w:rFonts w:cs="Arial"/>
                <w:color w:val="000000" w:themeColor="text1"/>
                <w:sz w:val="20"/>
                <w:szCs w:val="20"/>
              </w:rPr>
            </w:pPr>
            <w:r w:rsidRPr="00887108">
              <w:rPr>
                <w:sz w:val="20"/>
                <w:szCs w:val="20"/>
              </w:rPr>
              <w:t>-65</w:t>
            </w:r>
          </w:p>
        </w:tc>
        <w:tc>
          <w:tcPr>
            <w:tcW w:w="466" w:type="pct"/>
            <w:tcBorders>
              <w:top w:val="nil"/>
            </w:tcBorders>
            <w:shd w:val="clear" w:color="auto" w:fill="auto"/>
          </w:tcPr>
          <w:p w14:paraId="53771FD8" w14:textId="77777777" w:rsidR="00D37A31" w:rsidRPr="00887108" w:rsidRDefault="00D37A31" w:rsidP="00E9118E">
            <w:pPr>
              <w:jc w:val="right"/>
              <w:rPr>
                <w:rFonts w:cs="Arial"/>
                <w:color w:val="000000" w:themeColor="text1"/>
                <w:sz w:val="20"/>
                <w:szCs w:val="20"/>
              </w:rPr>
            </w:pPr>
            <w:r w:rsidRPr="00887108">
              <w:rPr>
                <w:sz w:val="20"/>
                <w:szCs w:val="20"/>
              </w:rPr>
              <w:t>-65</w:t>
            </w:r>
          </w:p>
        </w:tc>
      </w:tr>
      <w:tr w:rsidR="00D37A31" w:rsidRPr="00887108" w14:paraId="0D538E30" w14:textId="77777777" w:rsidTr="00E9118E">
        <w:trPr>
          <w:trHeight w:val="232"/>
        </w:trPr>
        <w:tc>
          <w:tcPr>
            <w:tcW w:w="2189" w:type="pct"/>
            <w:tcBorders>
              <w:top w:val="nil"/>
              <w:left w:val="nil"/>
            </w:tcBorders>
            <w:shd w:val="clear" w:color="auto" w:fill="auto"/>
            <w:vAlign w:val="center"/>
          </w:tcPr>
          <w:p w14:paraId="4BDBBBE6" w14:textId="77777777" w:rsidR="00D37A31" w:rsidRPr="00887108" w:rsidRDefault="00D37A31" w:rsidP="00E9118E">
            <w:pPr>
              <w:ind w:left="356"/>
              <w:rPr>
                <w:color w:val="000000" w:themeColor="text1"/>
                <w:sz w:val="20"/>
                <w:szCs w:val="20"/>
              </w:rPr>
            </w:pPr>
            <w:r w:rsidRPr="00887108">
              <w:rPr>
                <w:color w:val="000000" w:themeColor="text1"/>
                <w:sz w:val="20"/>
                <w:szCs w:val="20"/>
              </w:rPr>
              <w:t>z toho: Dopravné podniky obcí</w:t>
            </w:r>
          </w:p>
        </w:tc>
        <w:tc>
          <w:tcPr>
            <w:tcW w:w="469" w:type="pct"/>
            <w:tcBorders>
              <w:top w:val="nil"/>
            </w:tcBorders>
            <w:shd w:val="clear" w:color="auto" w:fill="auto"/>
          </w:tcPr>
          <w:p w14:paraId="47C436BA" w14:textId="77777777" w:rsidR="00D37A31" w:rsidRPr="00887108" w:rsidRDefault="00D37A31" w:rsidP="00E9118E">
            <w:pPr>
              <w:jc w:val="right"/>
              <w:rPr>
                <w:rFonts w:cs="Arial"/>
                <w:color w:val="000000" w:themeColor="text1"/>
                <w:sz w:val="20"/>
                <w:szCs w:val="20"/>
              </w:rPr>
            </w:pPr>
            <w:r w:rsidRPr="00887108">
              <w:rPr>
                <w:sz w:val="20"/>
                <w:szCs w:val="20"/>
              </w:rPr>
              <w:t>-4</w:t>
            </w:r>
          </w:p>
        </w:tc>
        <w:tc>
          <w:tcPr>
            <w:tcW w:w="469" w:type="pct"/>
            <w:tcBorders>
              <w:top w:val="nil"/>
            </w:tcBorders>
            <w:shd w:val="clear" w:color="auto" w:fill="auto"/>
          </w:tcPr>
          <w:p w14:paraId="4D74650C" w14:textId="77777777" w:rsidR="00D37A31" w:rsidRPr="00887108" w:rsidRDefault="00D37A31" w:rsidP="00E9118E">
            <w:pPr>
              <w:jc w:val="right"/>
              <w:rPr>
                <w:rFonts w:cs="Arial"/>
                <w:color w:val="000000" w:themeColor="text1"/>
                <w:sz w:val="20"/>
                <w:szCs w:val="20"/>
              </w:rPr>
            </w:pPr>
            <w:r w:rsidRPr="00887108">
              <w:rPr>
                <w:sz w:val="20"/>
                <w:szCs w:val="20"/>
              </w:rPr>
              <w:t>-15</w:t>
            </w:r>
          </w:p>
        </w:tc>
        <w:tc>
          <w:tcPr>
            <w:tcW w:w="469" w:type="pct"/>
            <w:tcBorders>
              <w:top w:val="nil"/>
            </w:tcBorders>
            <w:shd w:val="clear" w:color="auto" w:fill="auto"/>
          </w:tcPr>
          <w:p w14:paraId="05555148" w14:textId="77777777" w:rsidR="00D37A31" w:rsidRPr="00887108" w:rsidRDefault="00D37A31" w:rsidP="00E9118E">
            <w:pPr>
              <w:jc w:val="right"/>
              <w:rPr>
                <w:rFonts w:cs="Arial"/>
                <w:color w:val="000000" w:themeColor="text1"/>
                <w:sz w:val="20"/>
                <w:szCs w:val="20"/>
              </w:rPr>
            </w:pPr>
            <w:r w:rsidRPr="00887108">
              <w:rPr>
                <w:sz w:val="20"/>
                <w:szCs w:val="20"/>
              </w:rPr>
              <w:t>5</w:t>
            </w:r>
          </w:p>
        </w:tc>
        <w:tc>
          <w:tcPr>
            <w:tcW w:w="469" w:type="pct"/>
            <w:tcBorders>
              <w:top w:val="nil"/>
            </w:tcBorders>
            <w:shd w:val="clear" w:color="auto" w:fill="auto"/>
          </w:tcPr>
          <w:p w14:paraId="351BFB6B" w14:textId="77777777" w:rsidR="00D37A31" w:rsidRPr="00887108" w:rsidRDefault="00D37A31" w:rsidP="00E9118E">
            <w:pPr>
              <w:jc w:val="right"/>
              <w:rPr>
                <w:rFonts w:cs="Arial"/>
                <w:color w:val="000000" w:themeColor="text1"/>
                <w:sz w:val="20"/>
                <w:szCs w:val="20"/>
              </w:rPr>
            </w:pPr>
            <w:r w:rsidRPr="00887108">
              <w:rPr>
                <w:sz w:val="20"/>
                <w:szCs w:val="20"/>
              </w:rPr>
              <w:t>4</w:t>
            </w:r>
          </w:p>
        </w:tc>
        <w:tc>
          <w:tcPr>
            <w:tcW w:w="469" w:type="pct"/>
            <w:gridSpan w:val="2"/>
            <w:tcBorders>
              <w:top w:val="nil"/>
            </w:tcBorders>
            <w:shd w:val="clear" w:color="auto" w:fill="auto"/>
          </w:tcPr>
          <w:p w14:paraId="0D88FD8F" w14:textId="77777777" w:rsidR="00D37A31" w:rsidRPr="00887108" w:rsidRDefault="00D37A31" w:rsidP="00E9118E">
            <w:pPr>
              <w:jc w:val="right"/>
              <w:rPr>
                <w:rFonts w:cs="Arial"/>
                <w:color w:val="000000" w:themeColor="text1"/>
                <w:sz w:val="20"/>
                <w:szCs w:val="20"/>
              </w:rPr>
            </w:pPr>
            <w:r w:rsidRPr="00887108">
              <w:rPr>
                <w:sz w:val="20"/>
                <w:szCs w:val="20"/>
              </w:rPr>
              <w:t>4</w:t>
            </w:r>
          </w:p>
        </w:tc>
        <w:tc>
          <w:tcPr>
            <w:tcW w:w="466" w:type="pct"/>
            <w:tcBorders>
              <w:top w:val="nil"/>
            </w:tcBorders>
            <w:shd w:val="clear" w:color="auto" w:fill="auto"/>
          </w:tcPr>
          <w:p w14:paraId="5B740794" w14:textId="77777777" w:rsidR="00D37A31" w:rsidRPr="00887108" w:rsidRDefault="00D37A31" w:rsidP="00E9118E">
            <w:pPr>
              <w:jc w:val="right"/>
              <w:rPr>
                <w:rFonts w:cs="Arial"/>
                <w:color w:val="000000" w:themeColor="text1"/>
                <w:sz w:val="20"/>
                <w:szCs w:val="20"/>
              </w:rPr>
            </w:pPr>
            <w:r w:rsidRPr="00887108">
              <w:rPr>
                <w:sz w:val="20"/>
                <w:szCs w:val="20"/>
              </w:rPr>
              <w:t>4</w:t>
            </w:r>
          </w:p>
        </w:tc>
      </w:tr>
      <w:tr w:rsidR="00D37A31" w:rsidRPr="00887108" w14:paraId="7967A133" w14:textId="77777777" w:rsidTr="00E9118E">
        <w:trPr>
          <w:trHeight w:val="232"/>
        </w:trPr>
        <w:tc>
          <w:tcPr>
            <w:tcW w:w="2189" w:type="pct"/>
            <w:tcBorders>
              <w:top w:val="nil"/>
              <w:left w:val="nil"/>
            </w:tcBorders>
            <w:shd w:val="clear" w:color="auto" w:fill="auto"/>
            <w:vAlign w:val="center"/>
          </w:tcPr>
          <w:p w14:paraId="59827D9C" w14:textId="77777777" w:rsidR="00D37A31" w:rsidRPr="00887108" w:rsidRDefault="00D37A31" w:rsidP="00E9118E">
            <w:pPr>
              <w:rPr>
                <w:color w:val="000000" w:themeColor="text1"/>
                <w:sz w:val="20"/>
                <w:szCs w:val="20"/>
              </w:rPr>
            </w:pPr>
            <w:r w:rsidRPr="00887108">
              <w:rPr>
                <w:color w:val="000000" w:themeColor="text1"/>
                <w:sz w:val="20"/>
                <w:szCs w:val="20"/>
              </w:rPr>
              <w:t>- zmena záruk SR v EFSF</w:t>
            </w:r>
          </w:p>
        </w:tc>
        <w:tc>
          <w:tcPr>
            <w:tcW w:w="469" w:type="pct"/>
            <w:tcBorders>
              <w:top w:val="nil"/>
            </w:tcBorders>
            <w:shd w:val="clear" w:color="auto" w:fill="auto"/>
          </w:tcPr>
          <w:p w14:paraId="7E19B005" w14:textId="77777777" w:rsidR="00D37A31" w:rsidRPr="00887108" w:rsidRDefault="00D37A31" w:rsidP="00E9118E">
            <w:pPr>
              <w:jc w:val="right"/>
              <w:rPr>
                <w:sz w:val="20"/>
                <w:szCs w:val="20"/>
              </w:rPr>
            </w:pPr>
            <w:r w:rsidRPr="00887108">
              <w:rPr>
                <w:sz w:val="20"/>
                <w:szCs w:val="20"/>
              </w:rPr>
              <w:t>0</w:t>
            </w:r>
          </w:p>
        </w:tc>
        <w:tc>
          <w:tcPr>
            <w:tcW w:w="469" w:type="pct"/>
            <w:tcBorders>
              <w:top w:val="nil"/>
            </w:tcBorders>
            <w:shd w:val="clear" w:color="auto" w:fill="auto"/>
          </w:tcPr>
          <w:p w14:paraId="3A82B4AA" w14:textId="77777777" w:rsidR="00D37A31" w:rsidRPr="00887108" w:rsidRDefault="00D37A31" w:rsidP="00E9118E">
            <w:pPr>
              <w:jc w:val="right"/>
              <w:rPr>
                <w:sz w:val="20"/>
                <w:szCs w:val="20"/>
              </w:rPr>
            </w:pPr>
            <w:r w:rsidRPr="00887108">
              <w:rPr>
                <w:sz w:val="20"/>
                <w:szCs w:val="20"/>
              </w:rPr>
              <w:t>-21</w:t>
            </w:r>
          </w:p>
        </w:tc>
        <w:tc>
          <w:tcPr>
            <w:tcW w:w="469" w:type="pct"/>
            <w:tcBorders>
              <w:top w:val="nil"/>
            </w:tcBorders>
            <w:shd w:val="clear" w:color="auto" w:fill="auto"/>
          </w:tcPr>
          <w:p w14:paraId="4359B98C" w14:textId="77777777" w:rsidR="00D37A31" w:rsidRPr="00887108" w:rsidRDefault="00D37A31" w:rsidP="00E9118E">
            <w:pPr>
              <w:jc w:val="right"/>
              <w:rPr>
                <w:sz w:val="20"/>
                <w:szCs w:val="20"/>
              </w:rPr>
            </w:pPr>
            <w:r w:rsidRPr="00887108">
              <w:rPr>
                <w:sz w:val="20"/>
                <w:szCs w:val="20"/>
              </w:rPr>
              <w:t>0</w:t>
            </w:r>
          </w:p>
        </w:tc>
        <w:tc>
          <w:tcPr>
            <w:tcW w:w="469" w:type="pct"/>
            <w:tcBorders>
              <w:top w:val="nil"/>
            </w:tcBorders>
            <w:shd w:val="clear" w:color="auto" w:fill="auto"/>
          </w:tcPr>
          <w:p w14:paraId="642FF6E4" w14:textId="77777777" w:rsidR="00D37A31" w:rsidRPr="00887108" w:rsidRDefault="00D37A31" w:rsidP="00E9118E">
            <w:pPr>
              <w:jc w:val="right"/>
              <w:rPr>
                <w:sz w:val="20"/>
                <w:szCs w:val="20"/>
              </w:rPr>
            </w:pPr>
            <w:r w:rsidRPr="00887108">
              <w:rPr>
                <w:sz w:val="20"/>
                <w:szCs w:val="20"/>
              </w:rPr>
              <w:t>0</w:t>
            </w:r>
          </w:p>
        </w:tc>
        <w:tc>
          <w:tcPr>
            <w:tcW w:w="469" w:type="pct"/>
            <w:gridSpan w:val="2"/>
            <w:tcBorders>
              <w:top w:val="nil"/>
            </w:tcBorders>
            <w:shd w:val="clear" w:color="auto" w:fill="auto"/>
          </w:tcPr>
          <w:p w14:paraId="1F1F6A2A" w14:textId="77777777" w:rsidR="00D37A31" w:rsidRPr="00887108" w:rsidRDefault="00D37A31" w:rsidP="00E9118E">
            <w:pPr>
              <w:jc w:val="right"/>
              <w:rPr>
                <w:sz w:val="20"/>
                <w:szCs w:val="20"/>
              </w:rPr>
            </w:pPr>
            <w:r w:rsidRPr="00887108">
              <w:rPr>
                <w:sz w:val="20"/>
                <w:szCs w:val="20"/>
              </w:rPr>
              <w:t>0</w:t>
            </w:r>
          </w:p>
        </w:tc>
        <w:tc>
          <w:tcPr>
            <w:tcW w:w="466" w:type="pct"/>
            <w:tcBorders>
              <w:top w:val="nil"/>
            </w:tcBorders>
            <w:shd w:val="clear" w:color="auto" w:fill="auto"/>
          </w:tcPr>
          <w:p w14:paraId="13387EDD" w14:textId="77777777" w:rsidR="00D37A31" w:rsidRPr="00887108" w:rsidRDefault="00D37A31" w:rsidP="00E9118E">
            <w:pPr>
              <w:jc w:val="right"/>
              <w:rPr>
                <w:sz w:val="20"/>
                <w:szCs w:val="20"/>
              </w:rPr>
            </w:pPr>
            <w:r w:rsidRPr="00887108">
              <w:rPr>
                <w:sz w:val="20"/>
                <w:szCs w:val="20"/>
              </w:rPr>
              <w:t>0</w:t>
            </w:r>
          </w:p>
        </w:tc>
      </w:tr>
      <w:tr w:rsidR="00D37A31" w:rsidRPr="00887108" w14:paraId="1E4FD788" w14:textId="77777777" w:rsidTr="00E9118E">
        <w:trPr>
          <w:trHeight w:val="232"/>
        </w:trPr>
        <w:tc>
          <w:tcPr>
            <w:tcW w:w="2189" w:type="pct"/>
            <w:tcBorders>
              <w:top w:val="nil"/>
              <w:left w:val="nil"/>
            </w:tcBorders>
            <w:shd w:val="clear" w:color="auto" w:fill="auto"/>
            <w:vAlign w:val="center"/>
          </w:tcPr>
          <w:p w14:paraId="17A01538" w14:textId="77777777" w:rsidR="00D37A31" w:rsidRPr="00887108" w:rsidRDefault="00D37A31" w:rsidP="00E9118E">
            <w:pPr>
              <w:rPr>
                <w:color w:val="000000" w:themeColor="text1"/>
                <w:sz w:val="20"/>
                <w:szCs w:val="20"/>
              </w:rPr>
            </w:pPr>
            <w:r w:rsidRPr="00887108">
              <w:rPr>
                <w:color w:val="000000" w:themeColor="text1"/>
                <w:sz w:val="20"/>
                <w:szCs w:val="20"/>
              </w:rPr>
              <w:t>- emisný diskont</w:t>
            </w:r>
          </w:p>
        </w:tc>
        <w:tc>
          <w:tcPr>
            <w:tcW w:w="469" w:type="pct"/>
            <w:tcBorders>
              <w:top w:val="nil"/>
            </w:tcBorders>
            <w:shd w:val="clear" w:color="auto" w:fill="auto"/>
          </w:tcPr>
          <w:p w14:paraId="735ACA33" w14:textId="77777777" w:rsidR="00D37A31" w:rsidRPr="00887108" w:rsidRDefault="00D37A31" w:rsidP="00E9118E">
            <w:pPr>
              <w:jc w:val="right"/>
              <w:rPr>
                <w:rFonts w:cs="Arial"/>
                <w:color w:val="000000" w:themeColor="text1"/>
                <w:sz w:val="20"/>
                <w:szCs w:val="20"/>
              </w:rPr>
            </w:pPr>
            <w:r w:rsidRPr="00887108">
              <w:rPr>
                <w:sz w:val="20"/>
                <w:szCs w:val="20"/>
              </w:rPr>
              <w:t>7</w:t>
            </w:r>
          </w:p>
        </w:tc>
        <w:tc>
          <w:tcPr>
            <w:tcW w:w="469" w:type="pct"/>
            <w:tcBorders>
              <w:top w:val="nil"/>
            </w:tcBorders>
            <w:shd w:val="clear" w:color="auto" w:fill="auto"/>
          </w:tcPr>
          <w:p w14:paraId="7D0C03F4" w14:textId="77777777" w:rsidR="00D37A31" w:rsidRPr="00887108" w:rsidRDefault="00D37A31" w:rsidP="00E9118E">
            <w:pPr>
              <w:jc w:val="right"/>
              <w:rPr>
                <w:rFonts w:cs="Arial"/>
                <w:color w:val="000000" w:themeColor="text1"/>
                <w:sz w:val="20"/>
                <w:szCs w:val="20"/>
              </w:rPr>
            </w:pPr>
            <w:r w:rsidRPr="00887108">
              <w:rPr>
                <w:sz w:val="20"/>
                <w:szCs w:val="20"/>
              </w:rPr>
              <w:t>4</w:t>
            </w:r>
          </w:p>
        </w:tc>
        <w:tc>
          <w:tcPr>
            <w:tcW w:w="469" w:type="pct"/>
            <w:tcBorders>
              <w:top w:val="nil"/>
            </w:tcBorders>
            <w:shd w:val="clear" w:color="auto" w:fill="auto"/>
          </w:tcPr>
          <w:p w14:paraId="5100AA8A" w14:textId="77777777" w:rsidR="00D37A31" w:rsidRPr="00887108" w:rsidRDefault="00D37A31" w:rsidP="00E9118E">
            <w:pPr>
              <w:jc w:val="right"/>
              <w:rPr>
                <w:rFonts w:cs="Arial"/>
                <w:color w:val="000000" w:themeColor="text1"/>
                <w:sz w:val="20"/>
                <w:szCs w:val="20"/>
              </w:rPr>
            </w:pPr>
            <w:r w:rsidRPr="00887108">
              <w:rPr>
                <w:sz w:val="20"/>
                <w:szCs w:val="20"/>
              </w:rPr>
              <w:t>13</w:t>
            </w:r>
          </w:p>
        </w:tc>
        <w:tc>
          <w:tcPr>
            <w:tcW w:w="469" w:type="pct"/>
            <w:tcBorders>
              <w:top w:val="nil"/>
            </w:tcBorders>
            <w:shd w:val="clear" w:color="auto" w:fill="auto"/>
          </w:tcPr>
          <w:p w14:paraId="219B5690" w14:textId="77777777" w:rsidR="00D37A31" w:rsidRPr="00887108" w:rsidRDefault="00D37A31" w:rsidP="00E9118E">
            <w:pPr>
              <w:jc w:val="right"/>
              <w:rPr>
                <w:rFonts w:cs="Arial"/>
                <w:color w:val="000000" w:themeColor="text1"/>
                <w:sz w:val="20"/>
                <w:szCs w:val="20"/>
              </w:rPr>
            </w:pPr>
            <w:r w:rsidRPr="00887108">
              <w:rPr>
                <w:sz w:val="20"/>
                <w:szCs w:val="20"/>
              </w:rPr>
              <w:t>16</w:t>
            </w:r>
          </w:p>
        </w:tc>
        <w:tc>
          <w:tcPr>
            <w:tcW w:w="469" w:type="pct"/>
            <w:gridSpan w:val="2"/>
            <w:tcBorders>
              <w:top w:val="nil"/>
            </w:tcBorders>
            <w:shd w:val="clear" w:color="auto" w:fill="auto"/>
          </w:tcPr>
          <w:p w14:paraId="5F549167" w14:textId="77777777" w:rsidR="00D37A31" w:rsidRPr="00887108" w:rsidRDefault="00D37A31" w:rsidP="00E9118E">
            <w:pPr>
              <w:jc w:val="right"/>
              <w:rPr>
                <w:rFonts w:cs="Arial"/>
                <w:color w:val="000000" w:themeColor="text1"/>
                <w:sz w:val="20"/>
                <w:szCs w:val="20"/>
              </w:rPr>
            </w:pPr>
            <w:r w:rsidRPr="00887108">
              <w:rPr>
                <w:sz w:val="20"/>
                <w:szCs w:val="20"/>
              </w:rPr>
              <w:t>56</w:t>
            </w:r>
          </w:p>
        </w:tc>
        <w:tc>
          <w:tcPr>
            <w:tcW w:w="466" w:type="pct"/>
            <w:tcBorders>
              <w:top w:val="nil"/>
            </w:tcBorders>
            <w:shd w:val="clear" w:color="auto" w:fill="auto"/>
          </w:tcPr>
          <w:p w14:paraId="4A5AF402" w14:textId="77777777" w:rsidR="00D37A31" w:rsidRPr="00887108" w:rsidRDefault="00D37A31" w:rsidP="00E9118E">
            <w:pPr>
              <w:jc w:val="right"/>
              <w:rPr>
                <w:rFonts w:cs="Arial"/>
                <w:color w:val="000000" w:themeColor="text1"/>
                <w:sz w:val="20"/>
                <w:szCs w:val="20"/>
              </w:rPr>
            </w:pPr>
            <w:r w:rsidRPr="00887108">
              <w:rPr>
                <w:sz w:val="20"/>
                <w:szCs w:val="20"/>
              </w:rPr>
              <w:t>220</w:t>
            </w:r>
          </w:p>
        </w:tc>
      </w:tr>
      <w:tr w:rsidR="00D37A31" w:rsidRPr="00887108" w14:paraId="54205287" w14:textId="77777777" w:rsidTr="00E9118E">
        <w:trPr>
          <w:trHeight w:val="232"/>
        </w:trPr>
        <w:tc>
          <w:tcPr>
            <w:tcW w:w="2189" w:type="pct"/>
            <w:tcBorders>
              <w:top w:val="nil"/>
              <w:left w:val="nil"/>
            </w:tcBorders>
            <w:shd w:val="clear" w:color="auto" w:fill="auto"/>
            <w:vAlign w:val="center"/>
          </w:tcPr>
          <w:p w14:paraId="780C37F9" w14:textId="77777777" w:rsidR="00D37A31" w:rsidRPr="00887108" w:rsidRDefault="00D37A31" w:rsidP="00E9118E">
            <w:pPr>
              <w:rPr>
                <w:color w:val="000000" w:themeColor="text1"/>
                <w:sz w:val="20"/>
                <w:szCs w:val="20"/>
              </w:rPr>
            </w:pPr>
            <w:r w:rsidRPr="00887108">
              <w:rPr>
                <w:color w:val="000000" w:themeColor="text1"/>
                <w:sz w:val="20"/>
                <w:szCs w:val="20"/>
              </w:rPr>
              <w:t>- diskont pri splatnosti</w:t>
            </w:r>
          </w:p>
        </w:tc>
        <w:tc>
          <w:tcPr>
            <w:tcW w:w="469" w:type="pct"/>
            <w:tcBorders>
              <w:top w:val="nil"/>
            </w:tcBorders>
            <w:shd w:val="clear" w:color="auto" w:fill="auto"/>
          </w:tcPr>
          <w:p w14:paraId="07CC34CF" w14:textId="77777777" w:rsidR="00D37A31" w:rsidRPr="00887108" w:rsidRDefault="00D37A31" w:rsidP="00E9118E">
            <w:pPr>
              <w:jc w:val="right"/>
              <w:rPr>
                <w:rFonts w:cs="Arial"/>
                <w:color w:val="000000" w:themeColor="text1"/>
                <w:sz w:val="20"/>
                <w:szCs w:val="20"/>
              </w:rPr>
            </w:pPr>
            <w:r w:rsidRPr="00887108">
              <w:rPr>
                <w:sz w:val="20"/>
                <w:szCs w:val="20"/>
              </w:rPr>
              <w:t>-7</w:t>
            </w:r>
          </w:p>
        </w:tc>
        <w:tc>
          <w:tcPr>
            <w:tcW w:w="469" w:type="pct"/>
            <w:tcBorders>
              <w:top w:val="nil"/>
            </w:tcBorders>
            <w:shd w:val="clear" w:color="auto" w:fill="auto"/>
          </w:tcPr>
          <w:p w14:paraId="4012ABA9" w14:textId="77777777" w:rsidR="00D37A31" w:rsidRPr="00887108" w:rsidRDefault="00D37A31" w:rsidP="00E9118E">
            <w:pPr>
              <w:jc w:val="right"/>
              <w:rPr>
                <w:rFonts w:cs="Arial"/>
                <w:color w:val="000000" w:themeColor="text1"/>
                <w:sz w:val="20"/>
                <w:szCs w:val="20"/>
              </w:rPr>
            </w:pPr>
            <w:r w:rsidRPr="00887108">
              <w:rPr>
                <w:sz w:val="20"/>
                <w:szCs w:val="20"/>
              </w:rPr>
              <w:t>1</w:t>
            </w:r>
          </w:p>
        </w:tc>
        <w:tc>
          <w:tcPr>
            <w:tcW w:w="469" w:type="pct"/>
            <w:tcBorders>
              <w:top w:val="nil"/>
            </w:tcBorders>
            <w:shd w:val="clear" w:color="auto" w:fill="auto"/>
          </w:tcPr>
          <w:p w14:paraId="275050A8" w14:textId="77777777" w:rsidR="00D37A31" w:rsidRPr="00887108" w:rsidRDefault="00D37A31" w:rsidP="00E9118E">
            <w:pPr>
              <w:jc w:val="right"/>
              <w:rPr>
                <w:rFonts w:cs="Arial"/>
                <w:color w:val="000000" w:themeColor="text1"/>
                <w:sz w:val="20"/>
                <w:szCs w:val="20"/>
              </w:rPr>
            </w:pPr>
            <w:r w:rsidRPr="00887108">
              <w:rPr>
                <w:sz w:val="20"/>
                <w:szCs w:val="20"/>
              </w:rPr>
              <w:t>-62</w:t>
            </w:r>
          </w:p>
        </w:tc>
        <w:tc>
          <w:tcPr>
            <w:tcW w:w="469" w:type="pct"/>
            <w:tcBorders>
              <w:top w:val="nil"/>
            </w:tcBorders>
            <w:shd w:val="clear" w:color="auto" w:fill="auto"/>
          </w:tcPr>
          <w:p w14:paraId="4F3303D6" w14:textId="77777777" w:rsidR="00D37A31" w:rsidRPr="00887108" w:rsidRDefault="00D37A31" w:rsidP="00E9118E">
            <w:pPr>
              <w:jc w:val="right"/>
              <w:rPr>
                <w:rFonts w:cs="Arial"/>
                <w:color w:val="000000" w:themeColor="text1"/>
                <w:sz w:val="20"/>
                <w:szCs w:val="20"/>
              </w:rPr>
            </w:pPr>
            <w:r w:rsidRPr="00887108">
              <w:rPr>
                <w:sz w:val="20"/>
                <w:szCs w:val="20"/>
              </w:rPr>
              <w:t>-10</w:t>
            </w:r>
          </w:p>
        </w:tc>
        <w:tc>
          <w:tcPr>
            <w:tcW w:w="469" w:type="pct"/>
            <w:gridSpan w:val="2"/>
            <w:tcBorders>
              <w:top w:val="nil"/>
            </w:tcBorders>
            <w:shd w:val="clear" w:color="auto" w:fill="auto"/>
          </w:tcPr>
          <w:p w14:paraId="73271B88" w14:textId="77777777" w:rsidR="00D37A31" w:rsidRPr="00887108" w:rsidRDefault="00D37A31" w:rsidP="00E9118E">
            <w:pPr>
              <w:jc w:val="right"/>
              <w:rPr>
                <w:rFonts w:cs="Arial"/>
                <w:color w:val="000000" w:themeColor="text1"/>
                <w:sz w:val="20"/>
                <w:szCs w:val="20"/>
              </w:rPr>
            </w:pPr>
            <w:r w:rsidRPr="00887108">
              <w:rPr>
                <w:sz w:val="20"/>
                <w:szCs w:val="20"/>
              </w:rPr>
              <w:t>-14</w:t>
            </w:r>
          </w:p>
        </w:tc>
        <w:tc>
          <w:tcPr>
            <w:tcW w:w="466" w:type="pct"/>
            <w:tcBorders>
              <w:top w:val="nil"/>
            </w:tcBorders>
            <w:shd w:val="clear" w:color="auto" w:fill="auto"/>
          </w:tcPr>
          <w:p w14:paraId="3E5814BC" w14:textId="77777777" w:rsidR="00D37A31" w:rsidRPr="00887108" w:rsidRDefault="00D37A31" w:rsidP="00E9118E">
            <w:pPr>
              <w:jc w:val="right"/>
              <w:rPr>
                <w:rFonts w:cs="Arial"/>
                <w:color w:val="000000" w:themeColor="text1"/>
                <w:sz w:val="20"/>
                <w:szCs w:val="20"/>
              </w:rPr>
            </w:pPr>
            <w:r w:rsidRPr="00887108">
              <w:rPr>
                <w:sz w:val="20"/>
                <w:szCs w:val="20"/>
              </w:rPr>
              <w:t>-49</w:t>
            </w:r>
          </w:p>
        </w:tc>
      </w:tr>
      <w:tr w:rsidR="00D37A31" w:rsidRPr="00887108" w14:paraId="0FBD9012" w14:textId="77777777" w:rsidTr="00E9118E">
        <w:trPr>
          <w:trHeight w:val="232"/>
        </w:trPr>
        <w:tc>
          <w:tcPr>
            <w:tcW w:w="2189" w:type="pct"/>
            <w:tcBorders>
              <w:top w:val="nil"/>
              <w:left w:val="nil"/>
              <w:bottom w:val="single" w:sz="4" w:space="0" w:color="auto"/>
            </w:tcBorders>
            <w:shd w:val="clear" w:color="auto" w:fill="auto"/>
            <w:vAlign w:val="center"/>
          </w:tcPr>
          <w:p w14:paraId="770AE3E6" w14:textId="77777777" w:rsidR="00D37A31" w:rsidRPr="00887108" w:rsidRDefault="00D37A31" w:rsidP="00E9118E">
            <w:pPr>
              <w:rPr>
                <w:color w:val="000000" w:themeColor="text1"/>
                <w:sz w:val="20"/>
                <w:szCs w:val="20"/>
              </w:rPr>
            </w:pPr>
            <w:r w:rsidRPr="00887108">
              <w:rPr>
                <w:color w:val="000000" w:themeColor="text1"/>
                <w:sz w:val="20"/>
                <w:szCs w:val="20"/>
              </w:rPr>
              <w:t>- ostatné</w:t>
            </w:r>
          </w:p>
        </w:tc>
        <w:tc>
          <w:tcPr>
            <w:tcW w:w="469" w:type="pct"/>
            <w:tcBorders>
              <w:top w:val="nil"/>
              <w:bottom w:val="single" w:sz="4" w:space="0" w:color="auto"/>
            </w:tcBorders>
            <w:shd w:val="clear" w:color="auto" w:fill="auto"/>
          </w:tcPr>
          <w:p w14:paraId="77D5ED1B" w14:textId="77777777" w:rsidR="00D37A31" w:rsidRPr="00887108" w:rsidRDefault="00D37A31" w:rsidP="00E9118E">
            <w:pPr>
              <w:jc w:val="right"/>
              <w:rPr>
                <w:rFonts w:cs="Arial"/>
                <w:color w:val="000000" w:themeColor="text1"/>
                <w:sz w:val="20"/>
                <w:szCs w:val="20"/>
              </w:rPr>
            </w:pPr>
            <w:r w:rsidRPr="00887108">
              <w:rPr>
                <w:sz w:val="20"/>
                <w:szCs w:val="20"/>
              </w:rPr>
              <w:t>157</w:t>
            </w:r>
          </w:p>
        </w:tc>
        <w:tc>
          <w:tcPr>
            <w:tcW w:w="469" w:type="pct"/>
            <w:tcBorders>
              <w:top w:val="nil"/>
              <w:bottom w:val="single" w:sz="4" w:space="0" w:color="auto"/>
            </w:tcBorders>
            <w:shd w:val="clear" w:color="auto" w:fill="auto"/>
          </w:tcPr>
          <w:p w14:paraId="64F61D11" w14:textId="77777777" w:rsidR="00D37A31" w:rsidRPr="00887108" w:rsidRDefault="00D37A31" w:rsidP="00E9118E">
            <w:pPr>
              <w:jc w:val="right"/>
              <w:rPr>
                <w:rFonts w:cs="Arial"/>
                <w:color w:val="000000" w:themeColor="text1"/>
                <w:sz w:val="20"/>
                <w:szCs w:val="20"/>
              </w:rPr>
            </w:pPr>
            <w:r w:rsidRPr="00887108">
              <w:rPr>
                <w:sz w:val="20"/>
                <w:szCs w:val="20"/>
              </w:rPr>
              <w:t>33</w:t>
            </w:r>
          </w:p>
        </w:tc>
        <w:tc>
          <w:tcPr>
            <w:tcW w:w="469" w:type="pct"/>
            <w:tcBorders>
              <w:top w:val="nil"/>
              <w:bottom w:val="single" w:sz="4" w:space="0" w:color="auto"/>
            </w:tcBorders>
            <w:shd w:val="clear" w:color="auto" w:fill="auto"/>
          </w:tcPr>
          <w:p w14:paraId="50C6038B" w14:textId="77777777" w:rsidR="00D37A31" w:rsidRPr="00887108" w:rsidRDefault="00D37A31" w:rsidP="00E9118E">
            <w:pPr>
              <w:jc w:val="right"/>
              <w:rPr>
                <w:rFonts w:cs="Arial"/>
                <w:color w:val="000000" w:themeColor="text1"/>
                <w:sz w:val="20"/>
                <w:szCs w:val="20"/>
              </w:rPr>
            </w:pPr>
            <w:r w:rsidRPr="00887108">
              <w:rPr>
                <w:sz w:val="20"/>
                <w:szCs w:val="20"/>
              </w:rPr>
              <w:t>0</w:t>
            </w:r>
          </w:p>
        </w:tc>
        <w:tc>
          <w:tcPr>
            <w:tcW w:w="469" w:type="pct"/>
            <w:tcBorders>
              <w:top w:val="nil"/>
              <w:bottom w:val="single" w:sz="4" w:space="0" w:color="auto"/>
            </w:tcBorders>
            <w:shd w:val="clear" w:color="auto" w:fill="auto"/>
          </w:tcPr>
          <w:p w14:paraId="5782DAB0" w14:textId="77777777" w:rsidR="00D37A31" w:rsidRPr="00887108" w:rsidRDefault="00D37A31" w:rsidP="00E9118E">
            <w:pPr>
              <w:jc w:val="right"/>
              <w:rPr>
                <w:rFonts w:cs="Arial"/>
                <w:color w:val="000000" w:themeColor="text1"/>
                <w:sz w:val="20"/>
                <w:szCs w:val="20"/>
              </w:rPr>
            </w:pPr>
            <w:r w:rsidRPr="00887108">
              <w:rPr>
                <w:sz w:val="20"/>
                <w:szCs w:val="20"/>
              </w:rPr>
              <w:t>-2</w:t>
            </w:r>
          </w:p>
        </w:tc>
        <w:tc>
          <w:tcPr>
            <w:tcW w:w="469" w:type="pct"/>
            <w:gridSpan w:val="2"/>
            <w:tcBorders>
              <w:top w:val="nil"/>
              <w:bottom w:val="single" w:sz="4" w:space="0" w:color="auto"/>
            </w:tcBorders>
            <w:shd w:val="clear" w:color="auto" w:fill="auto"/>
          </w:tcPr>
          <w:p w14:paraId="520C810E" w14:textId="77777777" w:rsidR="00D37A31" w:rsidRPr="00887108" w:rsidRDefault="00D37A31" w:rsidP="00E9118E">
            <w:pPr>
              <w:jc w:val="right"/>
              <w:rPr>
                <w:rFonts w:cs="Arial"/>
                <w:color w:val="000000" w:themeColor="text1"/>
                <w:sz w:val="20"/>
                <w:szCs w:val="20"/>
              </w:rPr>
            </w:pPr>
            <w:r w:rsidRPr="00887108">
              <w:rPr>
                <w:sz w:val="20"/>
                <w:szCs w:val="20"/>
              </w:rPr>
              <w:t>-1</w:t>
            </w:r>
          </w:p>
        </w:tc>
        <w:tc>
          <w:tcPr>
            <w:tcW w:w="466" w:type="pct"/>
            <w:tcBorders>
              <w:top w:val="nil"/>
              <w:bottom w:val="single" w:sz="4" w:space="0" w:color="auto"/>
            </w:tcBorders>
            <w:shd w:val="clear" w:color="auto" w:fill="auto"/>
          </w:tcPr>
          <w:p w14:paraId="44BFDE3C" w14:textId="77777777" w:rsidR="00D37A31" w:rsidRPr="00887108" w:rsidRDefault="00D37A31" w:rsidP="00E9118E">
            <w:pPr>
              <w:jc w:val="right"/>
              <w:rPr>
                <w:rFonts w:cs="Arial"/>
                <w:color w:val="000000" w:themeColor="text1"/>
                <w:sz w:val="20"/>
                <w:szCs w:val="20"/>
              </w:rPr>
            </w:pPr>
            <w:r w:rsidRPr="00887108">
              <w:rPr>
                <w:sz w:val="20"/>
                <w:szCs w:val="20"/>
              </w:rPr>
              <w:t>1</w:t>
            </w:r>
          </w:p>
        </w:tc>
      </w:tr>
      <w:tr w:rsidR="00D37A31" w:rsidRPr="00887108" w14:paraId="592F3C7A" w14:textId="77777777" w:rsidTr="00E9118E">
        <w:trPr>
          <w:trHeight w:val="232"/>
        </w:trPr>
        <w:tc>
          <w:tcPr>
            <w:tcW w:w="2189" w:type="pct"/>
            <w:tcBorders>
              <w:top w:val="single" w:sz="4" w:space="0" w:color="auto"/>
              <w:left w:val="nil"/>
            </w:tcBorders>
            <w:shd w:val="clear" w:color="auto" w:fill="auto"/>
            <w:vAlign w:val="center"/>
          </w:tcPr>
          <w:p w14:paraId="764CC812" w14:textId="77777777" w:rsidR="00D37A31" w:rsidRPr="00887108" w:rsidRDefault="00D37A31" w:rsidP="00E9118E">
            <w:pPr>
              <w:rPr>
                <w:b/>
                <w:color w:val="000000" w:themeColor="text1"/>
                <w:sz w:val="20"/>
                <w:szCs w:val="20"/>
              </w:rPr>
            </w:pPr>
            <w:r w:rsidRPr="00887108">
              <w:rPr>
                <w:b/>
                <w:color w:val="000000" w:themeColor="text1"/>
                <w:sz w:val="20"/>
                <w:szCs w:val="20"/>
              </w:rPr>
              <w:t>C. Hrubý dlh verejnej správy (k 31.12.)</w:t>
            </w:r>
          </w:p>
        </w:tc>
        <w:tc>
          <w:tcPr>
            <w:tcW w:w="469" w:type="pct"/>
            <w:tcBorders>
              <w:top w:val="single" w:sz="4" w:space="0" w:color="auto"/>
            </w:tcBorders>
            <w:shd w:val="clear" w:color="auto" w:fill="auto"/>
          </w:tcPr>
          <w:p w14:paraId="7AA449F4" w14:textId="77777777" w:rsidR="00D37A31" w:rsidRPr="00887108" w:rsidRDefault="00D37A31" w:rsidP="00E9118E">
            <w:pPr>
              <w:jc w:val="right"/>
              <w:rPr>
                <w:rFonts w:cs="Arial"/>
                <w:b/>
                <w:bCs/>
                <w:color w:val="000000" w:themeColor="text1"/>
                <w:sz w:val="20"/>
                <w:szCs w:val="20"/>
              </w:rPr>
            </w:pPr>
            <w:r w:rsidRPr="00887108">
              <w:rPr>
                <w:b/>
                <w:sz w:val="20"/>
                <w:szCs w:val="20"/>
              </w:rPr>
              <w:t>44 322</w:t>
            </w:r>
          </w:p>
        </w:tc>
        <w:tc>
          <w:tcPr>
            <w:tcW w:w="469" w:type="pct"/>
            <w:tcBorders>
              <w:top w:val="single" w:sz="4" w:space="0" w:color="auto"/>
            </w:tcBorders>
            <w:shd w:val="clear" w:color="auto" w:fill="auto"/>
          </w:tcPr>
          <w:p w14:paraId="0BB619BE" w14:textId="77777777" w:rsidR="00D37A31" w:rsidRPr="00887108" w:rsidRDefault="00D37A31" w:rsidP="00E9118E">
            <w:pPr>
              <w:jc w:val="right"/>
              <w:rPr>
                <w:rFonts w:cs="Arial"/>
                <w:b/>
                <w:bCs/>
                <w:color w:val="000000" w:themeColor="text1"/>
                <w:sz w:val="20"/>
                <w:szCs w:val="20"/>
              </w:rPr>
            </w:pPr>
            <w:r w:rsidRPr="00887108">
              <w:rPr>
                <w:b/>
                <w:sz w:val="20"/>
                <w:szCs w:val="20"/>
              </w:rPr>
              <w:t>45 202</w:t>
            </w:r>
          </w:p>
        </w:tc>
        <w:tc>
          <w:tcPr>
            <w:tcW w:w="469" w:type="pct"/>
            <w:tcBorders>
              <w:top w:val="single" w:sz="4" w:space="0" w:color="auto"/>
            </w:tcBorders>
            <w:shd w:val="clear" w:color="auto" w:fill="auto"/>
          </w:tcPr>
          <w:p w14:paraId="64064A7D" w14:textId="77777777" w:rsidR="00D37A31" w:rsidRPr="00887108" w:rsidRDefault="00D37A31" w:rsidP="00E9118E">
            <w:pPr>
              <w:jc w:val="right"/>
              <w:rPr>
                <w:rFonts w:cs="Arial"/>
                <w:b/>
                <w:bCs/>
                <w:color w:val="000000" w:themeColor="text1"/>
                <w:sz w:val="20"/>
                <w:szCs w:val="20"/>
              </w:rPr>
            </w:pPr>
            <w:r w:rsidRPr="00887108">
              <w:rPr>
                <w:b/>
                <w:sz w:val="20"/>
                <w:szCs w:val="20"/>
              </w:rPr>
              <w:t>54 498</w:t>
            </w:r>
          </w:p>
        </w:tc>
        <w:tc>
          <w:tcPr>
            <w:tcW w:w="469" w:type="pct"/>
            <w:tcBorders>
              <w:top w:val="single" w:sz="4" w:space="0" w:color="auto"/>
            </w:tcBorders>
            <w:shd w:val="clear" w:color="auto" w:fill="auto"/>
          </w:tcPr>
          <w:p w14:paraId="60648DA7" w14:textId="77777777" w:rsidR="00D37A31" w:rsidRPr="00887108" w:rsidRDefault="00D37A31" w:rsidP="00E9118E">
            <w:pPr>
              <w:jc w:val="right"/>
              <w:rPr>
                <w:rFonts w:cs="Arial"/>
                <w:b/>
                <w:bCs/>
                <w:color w:val="000000" w:themeColor="text1"/>
                <w:sz w:val="20"/>
                <w:szCs w:val="20"/>
              </w:rPr>
            </w:pPr>
            <w:r w:rsidRPr="00887108">
              <w:rPr>
                <w:b/>
                <w:sz w:val="20"/>
                <w:szCs w:val="20"/>
              </w:rPr>
              <w:t>58 905</w:t>
            </w:r>
          </w:p>
        </w:tc>
        <w:tc>
          <w:tcPr>
            <w:tcW w:w="469" w:type="pct"/>
            <w:gridSpan w:val="2"/>
            <w:tcBorders>
              <w:top w:val="single" w:sz="4" w:space="0" w:color="auto"/>
            </w:tcBorders>
            <w:shd w:val="clear" w:color="auto" w:fill="auto"/>
          </w:tcPr>
          <w:p w14:paraId="0C9B1D42" w14:textId="77777777" w:rsidR="00D37A31" w:rsidRPr="00887108" w:rsidRDefault="00D37A31" w:rsidP="00E9118E">
            <w:pPr>
              <w:jc w:val="right"/>
              <w:rPr>
                <w:rFonts w:cs="Arial"/>
                <w:b/>
                <w:bCs/>
                <w:color w:val="000000" w:themeColor="text1"/>
                <w:sz w:val="20"/>
                <w:szCs w:val="20"/>
              </w:rPr>
            </w:pPr>
            <w:r w:rsidRPr="00887108">
              <w:rPr>
                <w:b/>
                <w:sz w:val="20"/>
                <w:szCs w:val="20"/>
              </w:rPr>
              <w:t>61 737</w:t>
            </w:r>
          </w:p>
        </w:tc>
        <w:tc>
          <w:tcPr>
            <w:tcW w:w="466" w:type="pct"/>
            <w:tcBorders>
              <w:top w:val="single" w:sz="4" w:space="0" w:color="auto"/>
            </w:tcBorders>
            <w:shd w:val="clear" w:color="auto" w:fill="auto"/>
          </w:tcPr>
          <w:p w14:paraId="35BE1B6F" w14:textId="77777777" w:rsidR="00D37A31" w:rsidRPr="00887108" w:rsidRDefault="00D37A31" w:rsidP="00E9118E">
            <w:pPr>
              <w:jc w:val="right"/>
              <w:rPr>
                <w:rFonts w:cs="Arial"/>
                <w:b/>
                <w:bCs/>
                <w:color w:val="000000" w:themeColor="text1"/>
                <w:sz w:val="20"/>
                <w:szCs w:val="20"/>
              </w:rPr>
            </w:pPr>
            <w:r w:rsidRPr="00887108">
              <w:rPr>
                <w:b/>
                <w:sz w:val="20"/>
                <w:szCs w:val="20"/>
              </w:rPr>
              <w:t>63 571</w:t>
            </w:r>
          </w:p>
        </w:tc>
      </w:tr>
      <w:tr w:rsidR="00D37A31" w:rsidRPr="00887108" w14:paraId="0000996A" w14:textId="77777777" w:rsidTr="00E9118E">
        <w:trPr>
          <w:trHeight w:val="232"/>
        </w:trPr>
        <w:tc>
          <w:tcPr>
            <w:tcW w:w="2189" w:type="pct"/>
            <w:tcBorders>
              <w:top w:val="nil"/>
              <w:left w:val="nil"/>
              <w:bottom w:val="single" w:sz="4" w:space="0" w:color="auto"/>
            </w:tcBorders>
            <w:shd w:val="clear" w:color="auto" w:fill="auto"/>
            <w:vAlign w:val="center"/>
          </w:tcPr>
          <w:p w14:paraId="042FF548" w14:textId="77777777" w:rsidR="00D37A31" w:rsidRPr="00887108" w:rsidRDefault="00D37A31" w:rsidP="00E9118E">
            <w:pPr>
              <w:ind w:left="214"/>
              <w:rPr>
                <w:b/>
                <w:color w:val="000000" w:themeColor="text1"/>
                <w:sz w:val="20"/>
                <w:szCs w:val="20"/>
              </w:rPr>
            </w:pPr>
            <w:r w:rsidRPr="00887108">
              <w:rPr>
                <w:b/>
                <w:color w:val="000000" w:themeColor="text1"/>
                <w:sz w:val="20"/>
                <w:szCs w:val="20"/>
              </w:rPr>
              <w:t>v % HDP</w:t>
            </w:r>
          </w:p>
        </w:tc>
        <w:tc>
          <w:tcPr>
            <w:tcW w:w="469" w:type="pct"/>
            <w:tcBorders>
              <w:top w:val="nil"/>
              <w:bottom w:val="single" w:sz="4" w:space="0" w:color="auto"/>
            </w:tcBorders>
            <w:shd w:val="clear" w:color="auto" w:fill="auto"/>
          </w:tcPr>
          <w:p w14:paraId="3EE18048" w14:textId="77777777" w:rsidR="00D37A31" w:rsidRPr="00887108" w:rsidRDefault="00D37A31" w:rsidP="00E9118E">
            <w:pPr>
              <w:jc w:val="right"/>
              <w:rPr>
                <w:rFonts w:cs="Arial"/>
                <w:b/>
                <w:bCs/>
                <w:color w:val="000000" w:themeColor="text1"/>
                <w:sz w:val="20"/>
                <w:szCs w:val="20"/>
              </w:rPr>
            </w:pPr>
            <w:r w:rsidRPr="00887108">
              <w:rPr>
                <w:b/>
                <w:sz w:val="20"/>
                <w:szCs w:val="20"/>
              </w:rPr>
              <w:t>49,4</w:t>
            </w:r>
          </w:p>
        </w:tc>
        <w:tc>
          <w:tcPr>
            <w:tcW w:w="469" w:type="pct"/>
            <w:tcBorders>
              <w:top w:val="nil"/>
              <w:bottom w:val="single" w:sz="4" w:space="0" w:color="auto"/>
            </w:tcBorders>
            <w:shd w:val="clear" w:color="auto" w:fill="auto"/>
          </w:tcPr>
          <w:p w14:paraId="6C031BAD" w14:textId="77777777" w:rsidR="00D37A31" w:rsidRPr="00887108" w:rsidRDefault="00D37A31" w:rsidP="00E9118E">
            <w:pPr>
              <w:jc w:val="right"/>
              <w:rPr>
                <w:rFonts w:cs="Arial"/>
                <w:b/>
                <w:bCs/>
                <w:color w:val="000000" w:themeColor="text1"/>
                <w:sz w:val="20"/>
                <w:szCs w:val="20"/>
              </w:rPr>
            </w:pPr>
            <w:r w:rsidRPr="00887108">
              <w:rPr>
                <w:b/>
                <w:sz w:val="20"/>
                <w:szCs w:val="20"/>
              </w:rPr>
              <w:t>48,0</w:t>
            </w:r>
          </w:p>
        </w:tc>
        <w:tc>
          <w:tcPr>
            <w:tcW w:w="469" w:type="pct"/>
            <w:tcBorders>
              <w:top w:val="nil"/>
              <w:bottom w:val="single" w:sz="4" w:space="0" w:color="auto"/>
            </w:tcBorders>
            <w:shd w:val="clear" w:color="auto" w:fill="auto"/>
          </w:tcPr>
          <w:p w14:paraId="4E49ADAA" w14:textId="77777777" w:rsidR="00D37A31" w:rsidRPr="00887108" w:rsidRDefault="00D37A31" w:rsidP="00E9118E">
            <w:pPr>
              <w:jc w:val="right"/>
              <w:rPr>
                <w:rFonts w:cs="Arial"/>
                <w:b/>
                <w:bCs/>
                <w:color w:val="000000" w:themeColor="text1"/>
                <w:sz w:val="20"/>
                <w:szCs w:val="20"/>
              </w:rPr>
            </w:pPr>
            <w:r w:rsidRPr="00887108">
              <w:rPr>
                <w:b/>
                <w:sz w:val="20"/>
                <w:szCs w:val="20"/>
              </w:rPr>
              <w:t>61,2</w:t>
            </w:r>
          </w:p>
        </w:tc>
        <w:tc>
          <w:tcPr>
            <w:tcW w:w="469" w:type="pct"/>
            <w:tcBorders>
              <w:top w:val="nil"/>
              <w:bottom w:val="single" w:sz="4" w:space="0" w:color="auto"/>
            </w:tcBorders>
            <w:shd w:val="clear" w:color="auto" w:fill="auto"/>
          </w:tcPr>
          <w:p w14:paraId="7B98294C" w14:textId="77777777" w:rsidR="00D37A31" w:rsidRPr="00887108" w:rsidRDefault="00D37A31" w:rsidP="00E9118E">
            <w:pPr>
              <w:jc w:val="right"/>
              <w:rPr>
                <w:rFonts w:cs="Arial"/>
                <w:b/>
                <w:bCs/>
                <w:color w:val="000000" w:themeColor="text1"/>
                <w:sz w:val="20"/>
                <w:szCs w:val="20"/>
              </w:rPr>
            </w:pPr>
            <w:r w:rsidRPr="00887108">
              <w:rPr>
                <w:b/>
                <w:sz w:val="20"/>
                <w:szCs w:val="20"/>
              </w:rPr>
              <w:t>61,9</w:t>
            </w:r>
          </w:p>
        </w:tc>
        <w:tc>
          <w:tcPr>
            <w:tcW w:w="469" w:type="pct"/>
            <w:gridSpan w:val="2"/>
            <w:tcBorders>
              <w:top w:val="nil"/>
              <w:bottom w:val="single" w:sz="4" w:space="0" w:color="auto"/>
            </w:tcBorders>
            <w:shd w:val="clear" w:color="auto" w:fill="auto"/>
          </w:tcPr>
          <w:p w14:paraId="177540F2" w14:textId="77777777" w:rsidR="00D37A31" w:rsidRPr="00887108" w:rsidRDefault="00D37A31" w:rsidP="00E9118E">
            <w:pPr>
              <w:jc w:val="right"/>
              <w:rPr>
                <w:rFonts w:cs="Arial"/>
                <w:b/>
                <w:bCs/>
                <w:color w:val="000000" w:themeColor="text1"/>
                <w:sz w:val="20"/>
                <w:szCs w:val="20"/>
              </w:rPr>
            </w:pPr>
            <w:r w:rsidRPr="00887108">
              <w:rPr>
                <w:b/>
                <w:sz w:val="20"/>
                <w:szCs w:val="20"/>
              </w:rPr>
              <w:t>61,4</w:t>
            </w:r>
          </w:p>
        </w:tc>
        <w:tc>
          <w:tcPr>
            <w:tcW w:w="466" w:type="pct"/>
            <w:tcBorders>
              <w:top w:val="nil"/>
              <w:bottom w:val="single" w:sz="4" w:space="0" w:color="auto"/>
            </w:tcBorders>
            <w:shd w:val="clear" w:color="auto" w:fill="auto"/>
          </w:tcPr>
          <w:p w14:paraId="084952F8" w14:textId="77777777" w:rsidR="00D37A31" w:rsidRPr="00887108" w:rsidRDefault="00D37A31" w:rsidP="00E9118E">
            <w:pPr>
              <w:jc w:val="right"/>
              <w:rPr>
                <w:rFonts w:cs="Arial"/>
                <w:b/>
                <w:bCs/>
                <w:color w:val="000000" w:themeColor="text1"/>
                <w:sz w:val="20"/>
                <w:szCs w:val="20"/>
              </w:rPr>
            </w:pPr>
            <w:r w:rsidRPr="00887108">
              <w:rPr>
                <w:b/>
                <w:sz w:val="20"/>
                <w:szCs w:val="20"/>
              </w:rPr>
              <w:t>60,1</w:t>
            </w:r>
          </w:p>
        </w:tc>
      </w:tr>
      <w:tr w:rsidR="00D37A31" w:rsidRPr="00887108" w14:paraId="5F1968EA" w14:textId="77777777" w:rsidTr="00E9118E">
        <w:trPr>
          <w:trHeight w:val="230"/>
        </w:trPr>
        <w:tc>
          <w:tcPr>
            <w:tcW w:w="4375" w:type="pct"/>
            <w:gridSpan w:val="6"/>
            <w:tcBorders>
              <w:left w:val="nil"/>
              <w:right w:val="nil"/>
            </w:tcBorders>
            <w:shd w:val="clear" w:color="auto" w:fill="auto"/>
            <w:vAlign w:val="center"/>
          </w:tcPr>
          <w:p w14:paraId="320A1628" w14:textId="77777777" w:rsidR="00D37A31" w:rsidRPr="00887108" w:rsidRDefault="00D37A31" w:rsidP="00E9118E">
            <w:pPr>
              <w:rPr>
                <w:color w:val="000000" w:themeColor="text1"/>
                <w:sz w:val="18"/>
                <w:szCs w:val="20"/>
              </w:rPr>
            </w:pPr>
            <w:r w:rsidRPr="00887108">
              <w:rPr>
                <w:i/>
                <w:color w:val="000000" w:themeColor="text1"/>
                <w:sz w:val="18"/>
                <w:szCs w:val="20"/>
              </w:rPr>
              <w:t>Pozn.: Plusové položky zvyšujú dlh verejnej správy k 31.12. príslušného roku, mínusové položky dlh znižujú.</w:t>
            </w:r>
          </w:p>
        </w:tc>
        <w:tc>
          <w:tcPr>
            <w:tcW w:w="625" w:type="pct"/>
            <w:gridSpan w:val="2"/>
            <w:tcBorders>
              <w:left w:val="nil"/>
              <w:right w:val="nil"/>
            </w:tcBorders>
            <w:shd w:val="clear" w:color="auto" w:fill="auto"/>
            <w:vAlign w:val="center"/>
          </w:tcPr>
          <w:p w14:paraId="4800BB2C" w14:textId="77777777" w:rsidR="00D37A31" w:rsidRPr="00887108" w:rsidRDefault="00D37A31" w:rsidP="00E9118E">
            <w:pPr>
              <w:jc w:val="right"/>
              <w:rPr>
                <w:i/>
                <w:color w:val="000000" w:themeColor="text1"/>
                <w:sz w:val="18"/>
                <w:szCs w:val="20"/>
              </w:rPr>
            </w:pPr>
            <w:r w:rsidRPr="00887108">
              <w:rPr>
                <w:i/>
                <w:color w:val="000000" w:themeColor="text1"/>
                <w:sz w:val="18"/>
                <w:szCs w:val="20"/>
              </w:rPr>
              <w:t>Zdroj: MF SR</w:t>
            </w:r>
          </w:p>
        </w:tc>
      </w:tr>
    </w:tbl>
    <w:p w14:paraId="6CDAC25B" w14:textId="77777777" w:rsidR="00D37A31" w:rsidRPr="00887108" w:rsidRDefault="00D37A31" w:rsidP="00D37A31"/>
    <w:p w14:paraId="1F5F05BC" w14:textId="77777777" w:rsidR="00D37A31" w:rsidRPr="00887108" w:rsidRDefault="00D37A31" w:rsidP="00D37A31">
      <w:r w:rsidRPr="00887108">
        <w:br w:type="page"/>
      </w:r>
    </w:p>
    <w:p w14:paraId="1B6BCDB3" w14:textId="6D3E157D" w:rsidR="00D37A31" w:rsidRPr="00887108" w:rsidRDefault="00D37A31" w:rsidP="00D37A31">
      <w:pPr>
        <w:pStyle w:val="Nadpis3"/>
        <w:spacing w:after="120"/>
        <w:rPr>
          <w:color w:val="2C9ADC" w:themeColor="accent1"/>
          <w:sz w:val="24"/>
          <w:szCs w:val="24"/>
        </w:rPr>
      </w:pPr>
      <w:bookmarkStart w:id="178" w:name="_Ref6313784"/>
      <w:r w:rsidRPr="00887108">
        <w:rPr>
          <w:color w:val="2C9ADC" w:themeColor="accent1"/>
          <w:sz w:val="24"/>
          <w:szCs w:val="24"/>
        </w:rPr>
        <w:t xml:space="preserve">Príloha </w:t>
      </w:r>
      <w:r w:rsidR="00A918CA" w:rsidRPr="00887108">
        <w:rPr>
          <w:color w:val="2C9ADC" w:themeColor="accent1"/>
          <w:sz w:val="24"/>
          <w:szCs w:val="24"/>
        </w:rPr>
        <w:t>7</w:t>
      </w:r>
      <w:r w:rsidRPr="00887108">
        <w:rPr>
          <w:color w:val="2C9ADC" w:themeColor="accent1"/>
          <w:sz w:val="24"/>
          <w:szCs w:val="24"/>
        </w:rPr>
        <w:t xml:space="preserve"> – Predpoklady pre výpočet indikátorov udržateľnosti</w:t>
      </w:r>
      <w:bookmarkEnd w:id="178"/>
    </w:p>
    <w:p w14:paraId="11BEFBAF" w14:textId="3DA854AF" w:rsidR="00D37A31" w:rsidRPr="00887108" w:rsidRDefault="00D37A31" w:rsidP="00D37A31">
      <w:pPr>
        <w:spacing w:after="240"/>
        <w:jc w:val="both"/>
      </w:pPr>
      <w:r w:rsidRPr="00887108">
        <w:t xml:space="preserve">Nad rámec hodnotenia EK pracuje MF SR pri analyzovaní strednodobej a dlhodobej udržateľnosti s aktuálnymi </w:t>
      </w:r>
      <w:r w:rsidR="0013133E" w:rsidRPr="00887108">
        <w:t xml:space="preserve">údajmi </w:t>
      </w:r>
      <w:r w:rsidRPr="00887108">
        <w:t>z fiškálneho rámca pre Program stability na roky 2021 až 2023 (pre odhad salda VS a dlhu VS vo východiskovom roku) a s najnovšími opatreniami (nad rámec projekcií AWG 2018), ktoré majú vplyv na výdavky citlivé na starnutie.</w:t>
      </w:r>
      <w:r w:rsidRPr="00887108">
        <w:rPr>
          <w:b/>
        </w:rPr>
        <w:t xml:space="preserve"> </w:t>
      </w:r>
      <w:r w:rsidRPr="00887108" w:rsidDel="00AC4D56">
        <w:t>Metodickým rozdielom oproti EK je tiež zahrnutie vplyvu II. piliera nielen na výdavkovej, ale aj príjmovej strane.</w:t>
      </w:r>
      <w:r w:rsidRPr="00887108">
        <w:rPr>
          <w:rStyle w:val="Odkaznapoznmkupodiarou"/>
          <w:lang w:val="sk-SK"/>
        </w:rPr>
        <w:footnoteReference w:id="90"/>
      </w:r>
      <w:r w:rsidRPr="00887108" w:rsidDel="00AC4D56">
        <w:t xml:space="preserve"> </w:t>
      </w:r>
      <w:r w:rsidRPr="00887108">
        <w:t xml:space="preserve">Ostatné predpoklady sú prebraté z najaktuálnejšej prognózy výdavkov citlivých na starnutie podľa </w:t>
      </w:r>
      <w:hyperlink r:id="rId45" w:history="1">
        <w:r w:rsidRPr="00887108">
          <w:rPr>
            <w:rStyle w:val="Hypertextovprepojenie"/>
            <w:color w:val="2C9ADC" w:themeColor="accent1"/>
          </w:rPr>
          <w:t>Správy o starnutí z roku 2018</w:t>
        </w:r>
      </w:hyperlink>
      <w:r w:rsidRPr="00887108">
        <w:t xml:space="preserve">. </w:t>
      </w:r>
    </w:p>
    <w:p w14:paraId="66CA3021" w14:textId="5779E076" w:rsidR="00D37A31" w:rsidRPr="00887108" w:rsidRDefault="00D37A31" w:rsidP="00D37A31">
      <w:pPr>
        <w:autoSpaceDE w:val="0"/>
        <w:autoSpaceDN w:val="0"/>
        <w:adjustRightInd w:val="0"/>
        <w:spacing w:after="240"/>
        <w:jc w:val="both"/>
        <w:rPr>
          <w:iCs/>
        </w:rPr>
      </w:pPr>
      <w:r w:rsidRPr="00887108">
        <w:rPr>
          <w:iCs/>
        </w:rPr>
        <w:t>Pre účely Programu stability</w:t>
      </w:r>
      <w:r w:rsidR="00B93AB1" w:rsidRPr="00887108">
        <w:rPr>
          <w:iCs/>
        </w:rPr>
        <w:t xml:space="preserve"> (kapitola 3)</w:t>
      </w:r>
      <w:r w:rsidRPr="00887108">
        <w:rPr>
          <w:iCs/>
        </w:rPr>
        <w:t xml:space="preserve"> bolo analyzovaných niekoľko scenárov. Predpoklady výpočtu a analytický rozbor príspevkov jednotlivých faktorov k výsledným hodnotám S1 a S2 sú uvedené v tabuľkách nižšie.</w:t>
      </w:r>
    </w:p>
    <w:tbl>
      <w:tblPr>
        <w:tblW w:w="8994" w:type="dxa"/>
        <w:tblLayout w:type="fixed"/>
        <w:tblCellMar>
          <w:left w:w="70" w:type="dxa"/>
          <w:right w:w="70" w:type="dxa"/>
        </w:tblCellMar>
        <w:tblLook w:val="04A0" w:firstRow="1" w:lastRow="0" w:firstColumn="1" w:lastColumn="0" w:noHBand="0" w:noVBand="1"/>
      </w:tblPr>
      <w:tblGrid>
        <w:gridCol w:w="1371"/>
        <w:gridCol w:w="747"/>
        <w:gridCol w:w="748"/>
        <w:gridCol w:w="498"/>
        <w:gridCol w:w="1461"/>
        <w:gridCol w:w="780"/>
        <w:gridCol w:w="428"/>
        <w:gridCol w:w="991"/>
        <w:gridCol w:w="985"/>
        <w:gridCol w:w="985"/>
      </w:tblGrid>
      <w:tr w:rsidR="00D37A31" w:rsidRPr="00887108" w14:paraId="0D22C713" w14:textId="77777777" w:rsidTr="00E9118E">
        <w:trPr>
          <w:trHeight w:val="105"/>
        </w:trPr>
        <w:tc>
          <w:tcPr>
            <w:tcW w:w="7024" w:type="dxa"/>
            <w:gridSpan w:val="8"/>
            <w:tcBorders>
              <w:top w:val="nil"/>
              <w:left w:val="nil"/>
              <w:bottom w:val="single" w:sz="8" w:space="0" w:color="auto"/>
              <w:right w:val="nil"/>
            </w:tcBorders>
            <w:shd w:val="clear" w:color="auto" w:fill="auto"/>
            <w:noWrap/>
            <w:vAlign w:val="center"/>
            <w:hideMark/>
          </w:tcPr>
          <w:p w14:paraId="75A54DBB" w14:textId="77777777" w:rsidR="00D37A31" w:rsidRPr="00887108" w:rsidRDefault="00D37A31" w:rsidP="00E9118E">
            <w:pPr>
              <w:pStyle w:val="Popis"/>
              <w:keepNext/>
              <w:spacing w:after="0"/>
              <w:rPr>
                <w:sz w:val="20"/>
                <w:szCs w:val="20"/>
              </w:rPr>
            </w:pPr>
            <w:bookmarkStart w:id="179" w:name="_Toc449430180"/>
            <w:bookmarkStart w:id="180" w:name="_Toc40186696"/>
            <w:r w:rsidRPr="00887108">
              <w:rPr>
                <w:rFonts w:eastAsiaTheme="minorHAnsi"/>
                <w:color w:val="2C9ADC"/>
                <w:sz w:val="20"/>
                <w:szCs w:val="20"/>
                <w:lang w:eastAsia="en-US"/>
              </w:rPr>
              <w:t xml:space="preserve">TABUĽKA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TABUĽKA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19</w:t>
            </w:r>
            <w:r w:rsidRPr="00887108">
              <w:rPr>
                <w:rFonts w:eastAsiaTheme="minorHAnsi"/>
                <w:color w:val="2C9ADC"/>
                <w:sz w:val="20"/>
                <w:szCs w:val="20"/>
                <w:lang w:eastAsia="en-US"/>
              </w:rPr>
              <w:fldChar w:fldCharType="end"/>
            </w:r>
            <w:r w:rsidRPr="00887108">
              <w:rPr>
                <w:sz w:val="20"/>
                <w:szCs w:val="20"/>
              </w:rPr>
              <w:t xml:space="preserve"> - Predpoklady MF SR pre výpočet indikátora udržateľnosti S</w:t>
            </w:r>
            <w:bookmarkEnd w:id="179"/>
            <w:r w:rsidRPr="00887108">
              <w:rPr>
                <w:sz w:val="20"/>
                <w:szCs w:val="20"/>
              </w:rPr>
              <w:t>1</w:t>
            </w:r>
            <w:bookmarkEnd w:id="180"/>
          </w:p>
        </w:tc>
        <w:tc>
          <w:tcPr>
            <w:tcW w:w="985" w:type="dxa"/>
            <w:tcBorders>
              <w:top w:val="nil"/>
              <w:left w:val="nil"/>
              <w:bottom w:val="single" w:sz="8" w:space="0" w:color="auto"/>
              <w:right w:val="nil"/>
            </w:tcBorders>
          </w:tcPr>
          <w:p w14:paraId="61A406C7" w14:textId="77777777" w:rsidR="00D37A31" w:rsidRPr="00887108" w:rsidRDefault="00D37A31" w:rsidP="00E9118E">
            <w:pPr>
              <w:pStyle w:val="Popis"/>
              <w:keepNext/>
              <w:spacing w:after="0"/>
              <w:rPr>
                <w:sz w:val="20"/>
                <w:szCs w:val="20"/>
              </w:rPr>
            </w:pPr>
          </w:p>
        </w:tc>
        <w:tc>
          <w:tcPr>
            <w:tcW w:w="985" w:type="dxa"/>
            <w:tcBorders>
              <w:top w:val="nil"/>
              <w:left w:val="nil"/>
              <w:bottom w:val="single" w:sz="8" w:space="0" w:color="auto"/>
              <w:right w:val="nil"/>
            </w:tcBorders>
          </w:tcPr>
          <w:p w14:paraId="6CA4E645" w14:textId="77777777" w:rsidR="00D37A31" w:rsidRPr="00887108" w:rsidRDefault="00D37A31" w:rsidP="00E9118E">
            <w:pPr>
              <w:pStyle w:val="Popis"/>
              <w:keepNext/>
              <w:spacing w:after="0"/>
              <w:rPr>
                <w:sz w:val="20"/>
                <w:szCs w:val="20"/>
              </w:rPr>
            </w:pPr>
          </w:p>
        </w:tc>
      </w:tr>
      <w:tr w:rsidR="00D37A31" w:rsidRPr="00887108" w14:paraId="05640278" w14:textId="77777777" w:rsidTr="00E9118E">
        <w:trPr>
          <w:trHeight w:val="100"/>
        </w:trPr>
        <w:tc>
          <w:tcPr>
            <w:tcW w:w="1371" w:type="dxa"/>
            <w:tcBorders>
              <w:top w:val="nil"/>
              <w:left w:val="nil"/>
              <w:bottom w:val="single" w:sz="8" w:space="0" w:color="auto"/>
              <w:right w:val="nil"/>
            </w:tcBorders>
            <w:shd w:val="clear" w:color="auto" w:fill="auto"/>
            <w:noWrap/>
            <w:vAlign w:val="center"/>
            <w:hideMark/>
          </w:tcPr>
          <w:p w14:paraId="0A3BEDDC"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 </w:t>
            </w:r>
          </w:p>
        </w:tc>
        <w:tc>
          <w:tcPr>
            <w:tcW w:w="747" w:type="dxa"/>
            <w:tcBorders>
              <w:top w:val="nil"/>
              <w:left w:val="nil"/>
              <w:bottom w:val="single" w:sz="8" w:space="0" w:color="auto"/>
              <w:right w:val="nil"/>
            </w:tcBorders>
            <w:shd w:val="clear" w:color="auto" w:fill="auto"/>
            <w:noWrap/>
            <w:vAlign w:val="center"/>
            <w:hideMark/>
          </w:tcPr>
          <w:p w14:paraId="3820CF1D"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Východiskový rok (t</w:t>
            </w:r>
            <w:r w:rsidRPr="00887108">
              <w:rPr>
                <w:rFonts w:cs="Times New Roman"/>
                <w:b/>
                <w:bCs/>
                <w:color w:val="000000"/>
                <w:sz w:val="16"/>
                <w:szCs w:val="16"/>
                <w:vertAlign w:val="subscript"/>
              </w:rPr>
              <w:t>0</w:t>
            </w:r>
            <w:r w:rsidRPr="00887108">
              <w:rPr>
                <w:rFonts w:cs="Times New Roman"/>
                <w:b/>
                <w:bCs/>
                <w:color w:val="000000"/>
                <w:sz w:val="16"/>
                <w:szCs w:val="16"/>
              </w:rPr>
              <w:t>)</w:t>
            </w:r>
          </w:p>
        </w:tc>
        <w:tc>
          <w:tcPr>
            <w:tcW w:w="748" w:type="dxa"/>
            <w:tcBorders>
              <w:top w:val="nil"/>
              <w:left w:val="nil"/>
              <w:bottom w:val="single" w:sz="8" w:space="0" w:color="auto"/>
              <w:right w:val="nil"/>
            </w:tcBorders>
            <w:shd w:val="clear" w:color="auto" w:fill="auto"/>
            <w:noWrap/>
            <w:vAlign w:val="center"/>
            <w:hideMark/>
          </w:tcPr>
          <w:p w14:paraId="5DB65C3B"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Štrukturálne primárne saldo</w:t>
            </w:r>
          </w:p>
        </w:tc>
        <w:tc>
          <w:tcPr>
            <w:tcW w:w="498" w:type="dxa"/>
            <w:tcBorders>
              <w:top w:val="nil"/>
              <w:left w:val="nil"/>
              <w:bottom w:val="single" w:sz="8" w:space="0" w:color="auto"/>
              <w:right w:val="nil"/>
            </w:tcBorders>
            <w:shd w:val="clear" w:color="auto" w:fill="auto"/>
            <w:noWrap/>
            <w:vAlign w:val="center"/>
            <w:hideMark/>
          </w:tcPr>
          <w:p w14:paraId="37FD3553"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DLH (t</w:t>
            </w:r>
            <w:r w:rsidRPr="00887108">
              <w:rPr>
                <w:rFonts w:cs="Times New Roman"/>
                <w:b/>
                <w:bCs/>
                <w:color w:val="000000"/>
                <w:sz w:val="16"/>
                <w:szCs w:val="16"/>
                <w:vertAlign w:val="subscript"/>
              </w:rPr>
              <w:t>0</w:t>
            </w:r>
            <w:r w:rsidRPr="00887108">
              <w:rPr>
                <w:rFonts w:cs="Times New Roman"/>
                <w:b/>
                <w:bCs/>
                <w:color w:val="000000"/>
                <w:sz w:val="16"/>
                <w:szCs w:val="16"/>
              </w:rPr>
              <w:t>)</w:t>
            </w:r>
          </w:p>
        </w:tc>
        <w:tc>
          <w:tcPr>
            <w:tcW w:w="1461" w:type="dxa"/>
            <w:tcBorders>
              <w:top w:val="nil"/>
              <w:left w:val="nil"/>
              <w:bottom w:val="single" w:sz="8" w:space="0" w:color="auto"/>
              <w:right w:val="nil"/>
            </w:tcBorders>
            <w:shd w:val="clear" w:color="auto" w:fill="auto"/>
            <w:noWrap/>
            <w:vAlign w:val="center"/>
            <w:hideMark/>
          </w:tcPr>
          <w:p w14:paraId="07F38E97"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Postupná konsolidácia*</w:t>
            </w:r>
          </w:p>
        </w:tc>
        <w:tc>
          <w:tcPr>
            <w:tcW w:w="780" w:type="dxa"/>
            <w:tcBorders>
              <w:top w:val="nil"/>
              <w:left w:val="nil"/>
              <w:bottom w:val="single" w:sz="8" w:space="0" w:color="auto"/>
              <w:right w:val="nil"/>
            </w:tcBorders>
            <w:shd w:val="clear" w:color="auto" w:fill="auto"/>
            <w:noWrap/>
            <w:vAlign w:val="center"/>
            <w:hideMark/>
          </w:tcPr>
          <w:p w14:paraId="25B1FDBD"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Koncový rok (t</w:t>
            </w:r>
            <w:r w:rsidRPr="00887108">
              <w:rPr>
                <w:rFonts w:cs="Times New Roman"/>
                <w:b/>
                <w:bCs/>
                <w:color w:val="000000"/>
                <w:sz w:val="16"/>
                <w:szCs w:val="16"/>
                <w:vertAlign w:val="subscript"/>
              </w:rPr>
              <w:t>1</w:t>
            </w:r>
            <w:r w:rsidRPr="00887108">
              <w:rPr>
                <w:rFonts w:cs="Times New Roman"/>
                <w:b/>
                <w:bCs/>
                <w:color w:val="000000"/>
                <w:sz w:val="16"/>
                <w:szCs w:val="16"/>
              </w:rPr>
              <w:t>)</w:t>
            </w:r>
          </w:p>
        </w:tc>
        <w:tc>
          <w:tcPr>
            <w:tcW w:w="428" w:type="dxa"/>
            <w:tcBorders>
              <w:top w:val="nil"/>
              <w:left w:val="nil"/>
              <w:bottom w:val="single" w:sz="8" w:space="0" w:color="auto"/>
              <w:right w:val="nil"/>
            </w:tcBorders>
            <w:shd w:val="clear" w:color="auto" w:fill="auto"/>
            <w:noWrap/>
            <w:vAlign w:val="center"/>
            <w:hideMark/>
          </w:tcPr>
          <w:p w14:paraId="38600F0E"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DLH (t</w:t>
            </w:r>
            <w:r w:rsidRPr="00887108">
              <w:rPr>
                <w:rFonts w:cs="Times New Roman"/>
                <w:b/>
                <w:bCs/>
                <w:color w:val="000000"/>
                <w:sz w:val="16"/>
                <w:szCs w:val="16"/>
                <w:vertAlign w:val="subscript"/>
              </w:rPr>
              <w:t>1</w:t>
            </w:r>
            <w:r w:rsidRPr="00887108">
              <w:rPr>
                <w:rFonts w:cs="Times New Roman"/>
                <w:b/>
                <w:bCs/>
                <w:color w:val="000000"/>
                <w:sz w:val="16"/>
                <w:szCs w:val="16"/>
              </w:rPr>
              <w:t>)</w:t>
            </w:r>
          </w:p>
        </w:tc>
        <w:tc>
          <w:tcPr>
            <w:tcW w:w="991" w:type="dxa"/>
            <w:tcBorders>
              <w:top w:val="nil"/>
              <w:left w:val="nil"/>
              <w:bottom w:val="single" w:sz="8" w:space="0" w:color="auto"/>
              <w:right w:val="single" w:sz="4" w:space="0" w:color="auto"/>
            </w:tcBorders>
            <w:shd w:val="clear" w:color="auto" w:fill="auto"/>
            <w:vAlign w:val="center"/>
          </w:tcPr>
          <w:p w14:paraId="582E6C4B"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Vplyv II. piliera na P a V strane</w:t>
            </w:r>
          </w:p>
        </w:tc>
        <w:tc>
          <w:tcPr>
            <w:tcW w:w="985" w:type="dxa"/>
            <w:tcBorders>
              <w:top w:val="nil"/>
              <w:left w:val="single" w:sz="4" w:space="0" w:color="auto"/>
              <w:bottom w:val="single" w:sz="8" w:space="0" w:color="auto"/>
              <w:right w:val="nil"/>
            </w:tcBorders>
            <w:vAlign w:val="center"/>
          </w:tcPr>
          <w:p w14:paraId="07FD5BC8"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Výsledná Hodnota S1</w:t>
            </w:r>
          </w:p>
        </w:tc>
        <w:tc>
          <w:tcPr>
            <w:tcW w:w="985" w:type="dxa"/>
            <w:tcBorders>
              <w:top w:val="nil"/>
              <w:left w:val="nil"/>
              <w:bottom w:val="single" w:sz="8" w:space="0" w:color="auto"/>
              <w:right w:val="nil"/>
            </w:tcBorders>
            <w:vAlign w:val="center"/>
          </w:tcPr>
          <w:p w14:paraId="1DB6B5AA"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Riziko udržateľnosti</w:t>
            </w:r>
          </w:p>
        </w:tc>
      </w:tr>
      <w:tr w:rsidR="00D37A31" w:rsidRPr="00887108" w14:paraId="721E39AF" w14:textId="77777777" w:rsidTr="00E9118E">
        <w:trPr>
          <w:trHeight w:val="114"/>
        </w:trPr>
        <w:tc>
          <w:tcPr>
            <w:tcW w:w="1371" w:type="dxa"/>
            <w:tcBorders>
              <w:top w:val="nil"/>
              <w:left w:val="nil"/>
              <w:right w:val="nil"/>
            </w:tcBorders>
            <w:shd w:val="clear" w:color="auto" w:fill="auto"/>
            <w:noWrap/>
            <w:vAlign w:val="center"/>
            <w:hideMark/>
          </w:tcPr>
          <w:p w14:paraId="68BF628C" w14:textId="77777777" w:rsidR="00D37A31" w:rsidRPr="00887108" w:rsidRDefault="00D37A31" w:rsidP="00E9118E">
            <w:pPr>
              <w:rPr>
                <w:rFonts w:cs="Times New Roman"/>
                <w:b/>
                <w:sz w:val="18"/>
                <w:szCs w:val="18"/>
              </w:rPr>
            </w:pPr>
            <w:r w:rsidRPr="00887108">
              <w:rPr>
                <w:rFonts w:cs="Times New Roman"/>
                <w:b/>
                <w:sz w:val="18"/>
                <w:szCs w:val="18"/>
              </w:rPr>
              <w:t>R 2021</w:t>
            </w:r>
          </w:p>
        </w:tc>
        <w:tc>
          <w:tcPr>
            <w:tcW w:w="747" w:type="dxa"/>
            <w:tcBorders>
              <w:top w:val="nil"/>
              <w:left w:val="nil"/>
              <w:right w:val="nil"/>
            </w:tcBorders>
            <w:shd w:val="clear" w:color="auto" w:fill="auto"/>
            <w:noWrap/>
            <w:vAlign w:val="center"/>
            <w:hideMark/>
          </w:tcPr>
          <w:p w14:paraId="11349477" w14:textId="77777777" w:rsidR="00D37A31" w:rsidRPr="00887108" w:rsidRDefault="00D37A31" w:rsidP="00E9118E">
            <w:pPr>
              <w:jc w:val="center"/>
              <w:rPr>
                <w:rFonts w:cs="Times New Roman"/>
                <w:sz w:val="18"/>
                <w:szCs w:val="18"/>
              </w:rPr>
            </w:pPr>
            <w:r w:rsidRPr="00887108">
              <w:rPr>
                <w:rFonts w:cs="Times New Roman"/>
                <w:sz w:val="18"/>
                <w:szCs w:val="18"/>
              </w:rPr>
              <w:t>2021</w:t>
            </w:r>
          </w:p>
        </w:tc>
        <w:tc>
          <w:tcPr>
            <w:tcW w:w="748" w:type="dxa"/>
            <w:tcBorders>
              <w:top w:val="nil"/>
              <w:left w:val="nil"/>
              <w:right w:val="nil"/>
            </w:tcBorders>
            <w:shd w:val="clear" w:color="auto" w:fill="auto"/>
            <w:noWrap/>
            <w:vAlign w:val="center"/>
            <w:hideMark/>
          </w:tcPr>
          <w:p w14:paraId="29305985" w14:textId="77777777" w:rsidR="00D37A31" w:rsidRPr="00887108" w:rsidRDefault="00D37A31" w:rsidP="00E9118E">
            <w:pPr>
              <w:jc w:val="center"/>
              <w:rPr>
                <w:rFonts w:cs="Times New Roman"/>
                <w:sz w:val="18"/>
                <w:szCs w:val="18"/>
              </w:rPr>
            </w:pPr>
            <w:r w:rsidRPr="00887108">
              <w:rPr>
                <w:rFonts w:cs="Times New Roman"/>
                <w:sz w:val="18"/>
                <w:szCs w:val="18"/>
              </w:rPr>
              <w:t>-2,6</w:t>
            </w:r>
          </w:p>
        </w:tc>
        <w:tc>
          <w:tcPr>
            <w:tcW w:w="498" w:type="dxa"/>
            <w:tcBorders>
              <w:top w:val="nil"/>
              <w:left w:val="nil"/>
              <w:right w:val="nil"/>
            </w:tcBorders>
            <w:shd w:val="clear" w:color="auto" w:fill="auto"/>
            <w:noWrap/>
            <w:vAlign w:val="center"/>
            <w:hideMark/>
          </w:tcPr>
          <w:p w14:paraId="3EE71750" w14:textId="77777777" w:rsidR="00D37A31" w:rsidRPr="00887108" w:rsidRDefault="00D37A31" w:rsidP="00E9118E">
            <w:pPr>
              <w:jc w:val="center"/>
              <w:rPr>
                <w:rFonts w:cs="Times New Roman"/>
                <w:sz w:val="18"/>
                <w:szCs w:val="18"/>
              </w:rPr>
            </w:pPr>
            <w:r w:rsidRPr="00887108">
              <w:rPr>
                <w:rFonts w:cs="Times New Roman"/>
                <w:sz w:val="18"/>
                <w:szCs w:val="18"/>
              </w:rPr>
              <w:t>61,9</w:t>
            </w:r>
          </w:p>
        </w:tc>
        <w:tc>
          <w:tcPr>
            <w:tcW w:w="1461" w:type="dxa"/>
            <w:tcBorders>
              <w:top w:val="nil"/>
              <w:left w:val="nil"/>
              <w:right w:val="nil"/>
            </w:tcBorders>
            <w:shd w:val="clear" w:color="auto" w:fill="auto"/>
            <w:noWrap/>
            <w:vAlign w:val="center"/>
            <w:hideMark/>
          </w:tcPr>
          <w:p w14:paraId="4276234A" w14:textId="77777777" w:rsidR="00D37A31" w:rsidRPr="00887108" w:rsidRDefault="00D37A31" w:rsidP="00E9118E">
            <w:pPr>
              <w:jc w:val="center"/>
              <w:rPr>
                <w:rFonts w:cs="Times New Roman"/>
                <w:sz w:val="18"/>
                <w:szCs w:val="18"/>
              </w:rPr>
            </w:pPr>
            <w:r w:rsidRPr="00887108">
              <w:rPr>
                <w:rFonts w:cs="Times New Roman"/>
                <w:sz w:val="18"/>
                <w:szCs w:val="18"/>
              </w:rPr>
              <w:t>2022 až 2026</w:t>
            </w:r>
          </w:p>
        </w:tc>
        <w:tc>
          <w:tcPr>
            <w:tcW w:w="780" w:type="dxa"/>
            <w:tcBorders>
              <w:top w:val="nil"/>
              <w:left w:val="nil"/>
              <w:right w:val="nil"/>
            </w:tcBorders>
            <w:shd w:val="clear" w:color="auto" w:fill="auto"/>
            <w:noWrap/>
            <w:vAlign w:val="center"/>
            <w:hideMark/>
          </w:tcPr>
          <w:p w14:paraId="4934B5CF" w14:textId="77777777" w:rsidR="00D37A31" w:rsidRPr="00887108" w:rsidRDefault="00D37A31" w:rsidP="00E9118E">
            <w:pPr>
              <w:jc w:val="center"/>
              <w:rPr>
                <w:rFonts w:cs="Times New Roman"/>
                <w:sz w:val="18"/>
                <w:szCs w:val="18"/>
              </w:rPr>
            </w:pPr>
            <w:r w:rsidRPr="00887108">
              <w:rPr>
                <w:rFonts w:cs="Times New Roman"/>
                <w:sz w:val="18"/>
                <w:szCs w:val="18"/>
              </w:rPr>
              <w:t>2034</w:t>
            </w:r>
          </w:p>
        </w:tc>
        <w:tc>
          <w:tcPr>
            <w:tcW w:w="428" w:type="dxa"/>
            <w:tcBorders>
              <w:top w:val="nil"/>
              <w:left w:val="nil"/>
              <w:right w:val="nil"/>
            </w:tcBorders>
            <w:shd w:val="clear" w:color="auto" w:fill="auto"/>
            <w:noWrap/>
            <w:vAlign w:val="center"/>
            <w:hideMark/>
          </w:tcPr>
          <w:p w14:paraId="062F9D92" w14:textId="77777777" w:rsidR="00D37A31" w:rsidRPr="00887108" w:rsidRDefault="00D37A31" w:rsidP="00E9118E">
            <w:pPr>
              <w:jc w:val="center"/>
              <w:rPr>
                <w:rFonts w:cs="Times New Roman"/>
                <w:sz w:val="18"/>
                <w:szCs w:val="18"/>
              </w:rPr>
            </w:pPr>
            <w:r w:rsidRPr="00887108">
              <w:rPr>
                <w:rFonts w:cs="Times New Roman"/>
                <w:sz w:val="18"/>
                <w:szCs w:val="18"/>
              </w:rPr>
              <w:t>60</w:t>
            </w:r>
          </w:p>
        </w:tc>
        <w:tc>
          <w:tcPr>
            <w:tcW w:w="991" w:type="dxa"/>
            <w:tcBorders>
              <w:top w:val="nil"/>
              <w:left w:val="nil"/>
              <w:right w:val="single" w:sz="4" w:space="0" w:color="auto"/>
            </w:tcBorders>
            <w:shd w:val="clear" w:color="auto" w:fill="auto"/>
            <w:vAlign w:val="center"/>
          </w:tcPr>
          <w:p w14:paraId="6BBC9592" w14:textId="77777777" w:rsidR="00D37A31" w:rsidRPr="00887108" w:rsidRDefault="00D37A31" w:rsidP="00E9118E">
            <w:pPr>
              <w:jc w:val="center"/>
              <w:rPr>
                <w:rFonts w:cs="Times New Roman"/>
                <w:b/>
                <w:sz w:val="18"/>
                <w:szCs w:val="18"/>
              </w:rPr>
            </w:pPr>
            <w:r w:rsidRPr="00887108">
              <w:rPr>
                <w:rFonts w:cs="Times New Roman"/>
                <w:b/>
                <w:sz w:val="18"/>
                <w:szCs w:val="18"/>
              </w:rPr>
              <w:t>áno</w:t>
            </w:r>
          </w:p>
        </w:tc>
        <w:tc>
          <w:tcPr>
            <w:tcW w:w="985" w:type="dxa"/>
            <w:tcBorders>
              <w:top w:val="nil"/>
              <w:left w:val="single" w:sz="4" w:space="0" w:color="auto"/>
              <w:right w:val="nil"/>
            </w:tcBorders>
            <w:shd w:val="clear" w:color="auto" w:fill="F9C9BA" w:themeFill="accent6"/>
            <w:vAlign w:val="center"/>
          </w:tcPr>
          <w:p w14:paraId="3CC2F056" w14:textId="77777777" w:rsidR="00D37A31" w:rsidRPr="00887108" w:rsidRDefault="00D37A31" w:rsidP="00E9118E">
            <w:pPr>
              <w:jc w:val="center"/>
              <w:rPr>
                <w:rFonts w:cs="Times New Roman"/>
                <w:b/>
                <w:sz w:val="18"/>
                <w:szCs w:val="18"/>
              </w:rPr>
            </w:pPr>
            <w:r w:rsidRPr="00887108">
              <w:rPr>
                <w:rFonts w:cs="Times New Roman"/>
                <w:b/>
                <w:sz w:val="18"/>
                <w:szCs w:val="18"/>
              </w:rPr>
              <w:t>2,7</w:t>
            </w:r>
          </w:p>
        </w:tc>
        <w:tc>
          <w:tcPr>
            <w:tcW w:w="985" w:type="dxa"/>
            <w:tcBorders>
              <w:top w:val="nil"/>
              <w:left w:val="nil"/>
              <w:right w:val="nil"/>
            </w:tcBorders>
            <w:shd w:val="clear" w:color="auto" w:fill="F9C9BA" w:themeFill="accent6"/>
            <w:vAlign w:val="center"/>
          </w:tcPr>
          <w:p w14:paraId="1D8AD51B" w14:textId="77777777" w:rsidR="00D37A31" w:rsidRPr="00887108" w:rsidRDefault="00D37A31" w:rsidP="00E9118E">
            <w:pPr>
              <w:jc w:val="center"/>
              <w:rPr>
                <w:rFonts w:cs="Times New Roman"/>
                <w:b/>
                <w:sz w:val="18"/>
                <w:szCs w:val="18"/>
              </w:rPr>
            </w:pPr>
            <w:r w:rsidRPr="00887108">
              <w:rPr>
                <w:rFonts w:cs="Times New Roman"/>
                <w:b/>
                <w:sz w:val="18"/>
                <w:szCs w:val="18"/>
              </w:rPr>
              <w:t>vysoké</w:t>
            </w:r>
          </w:p>
        </w:tc>
      </w:tr>
      <w:tr w:rsidR="00D37A31" w:rsidRPr="00887108" w14:paraId="16D89B32" w14:textId="77777777" w:rsidTr="00E9118E">
        <w:trPr>
          <w:trHeight w:val="295"/>
        </w:trPr>
        <w:tc>
          <w:tcPr>
            <w:tcW w:w="1371" w:type="dxa"/>
            <w:tcBorders>
              <w:top w:val="nil"/>
              <w:left w:val="nil"/>
              <w:right w:val="nil"/>
            </w:tcBorders>
            <w:shd w:val="clear" w:color="auto" w:fill="auto"/>
            <w:noWrap/>
            <w:vAlign w:val="center"/>
          </w:tcPr>
          <w:p w14:paraId="0C97D65A" w14:textId="77777777" w:rsidR="00D37A31" w:rsidRPr="00887108" w:rsidRDefault="00D37A31" w:rsidP="00E9118E">
            <w:pPr>
              <w:rPr>
                <w:rFonts w:cs="Times New Roman"/>
                <w:b/>
                <w:sz w:val="18"/>
                <w:szCs w:val="18"/>
              </w:rPr>
            </w:pPr>
            <w:r w:rsidRPr="00887108">
              <w:rPr>
                <w:rFonts w:cs="Times New Roman"/>
                <w:b/>
                <w:sz w:val="18"/>
                <w:szCs w:val="18"/>
              </w:rPr>
              <w:t xml:space="preserve">R 2021 – </w:t>
            </w:r>
          </w:p>
          <w:p w14:paraId="38070433" w14:textId="77777777" w:rsidR="00D37A31" w:rsidRPr="00887108" w:rsidRDefault="00D37A31" w:rsidP="00E9118E">
            <w:pPr>
              <w:rPr>
                <w:rFonts w:cs="Times New Roman"/>
                <w:b/>
                <w:sz w:val="18"/>
                <w:szCs w:val="18"/>
              </w:rPr>
            </w:pPr>
            <w:r w:rsidRPr="00887108">
              <w:rPr>
                <w:rFonts w:cs="Times New Roman"/>
                <w:b/>
                <w:sz w:val="18"/>
                <w:szCs w:val="18"/>
              </w:rPr>
              <w:t>dlhová brzda</w:t>
            </w:r>
          </w:p>
        </w:tc>
        <w:tc>
          <w:tcPr>
            <w:tcW w:w="747" w:type="dxa"/>
            <w:tcBorders>
              <w:top w:val="nil"/>
              <w:left w:val="nil"/>
              <w:right w:val="nil"/>
            </w:tcBorders>
            <w:shd w:val="clear" w:color="auto" w:fill="auto"/>
            <w:noWrap/>
            <w:vAlign w:val="center"/>
          </w:tcPr>
          <w:p w14:paraId="0038F9A3" w14:textId="77777777" w:rsidR="00D37A31" w:rsidRPr="00887108" w:rsidRDefault="00D37A31" w:rsidP="00E9118E">
            <w:pPr>
              <w:jc w:val="center"/>
              <w:rPr>
                <w:rFonts w:cs="Times New Roman"/>
                <w:sz w:val="18"/>
                <w:szCs w:val="18"/>
              </w:rPr>
            </w:pPr>
            <w:r w:rsidRPr="00887108">
              <w:rPr>
                <w:rFonts w:cs="Times New Roman"/>
                <w:sz w:val="18"/>
                <w:szCs w:val="18"/>
              </w:rPr>
              <w:t>2021</w:t>
            </w:r>
          </w:p>
        </w:tc>
        <w:tc>
          <w:tcPr>
            <w:tcW w:w="748" w:type="dxa"/>
            <w:tcBorders>
              <w:top w:val="nil"/>
              <w:left w:val="nil"/>
              <w:right w:val="nil"/>
            </w:tcBorders>
            <w:shd w:val="clear" w:color="auto" w:fill="auto"/>
            <w:noWrap/>
            <w:vAlign w:val="center"/>
          </w:tcPr>
          <w:p w14:paraId="24CDA547" w14:textId="77777777" w:rsidR="00D37A31" w:rsidRPr="00887108" w:rsidRDefault="00D37A31" w:rsidP="00E9118E">
            <w:pPr>
              <w:jc w:val="center"/>
              <w:rPr>
                <w:rFonts w:cs="Times New Roman"/>
                <w:sz w:val="18"/>
                <w:szCs w:val="18"/>
              </w:rPr>
            </w:pPr>
            <w:r w:rsidRPr="00887108">
              <w:rPr>
                <w:rFonts w:cs="Times New Roman"/>
                <w:sz w:val="18"/>
                <w:szCs w:val="18"/>
              </w:rPr>
              <w:t>-2,6</w:t>
            </w:r>
          </w:p>
        </w:tc>
        <w:tc>
          <w:tcPr>
            <w:tcW w:w="498" w:type="dxa"/>
            <w:tcBorders>
              <w:top w:val="nil"/>
              <w:left w:val="nil"/>
              <w:right w:val="nil"/>
            </w:tcBorders>
            <w:shd w:val="clear" w:color="auto" w:fill="auto"/>
            <w:noWrap/>
            <w:vAlign w:val="center"/>
          </w:tcPr>
          <w:p w14:paraId="004A5E14" w14:textId="77777777" w:rsidR="00D37A31" w:rsidRPr="00887108" w:rsidRDefault="00D37A31" w:rsidP="00E9118E">
            <w:pPr>
              <w:jc w:val="center"/>
              <w:rPr>
                <w:rFonts w:cs="Times New Roman"/>
                <w:sz w:val="18"/>
                <w:szCs w:val="18"/>
              </w:rPr>
            </w:pPr>
            <w:r w:rsidRPr="00887108">
              <w:rPr>
                <w:rFonts w:cs="Times New Roman"/>
                <w:sz w:val="18"/>
                <w:szCs w:val="18"/>
              </w:rPr>
              <w:t>61,9</w:t>
            </w:r>
          </w:p>
        </w:tc>
        <w:tc>
          <w:tcPr>
            <w:tcW w:w="1461" w:type="dxa"/>
            <w:tcBorders>
              <w:top w:val="nil"/>
              <w:left w:val="nil"/>
              <w:right w:val="nil"/>
            </w:tcBorders>
            <w:shd w:val="clear" w:color="auto" w:fill="auto"/>
            <w:noWrap/>
            <w:vAlign w:val="center"/>
          </w:tcPr>
          <w:p w14:paraId="4007D97E" w14:textId="77777777" w:rsidR="00D37A31" w:rsidRPr="00887108" w:rsidRDefault="00D37A31" w:rsidP="00E9118E">
            <w:pPr>
              <w:jc w:val="center"/>
              <w:rPr>
                <w:rFonts w:cs="Times New Roman"/>
                <w:sz w:val="18"/>
                <w:szCs w:val="18"/>
              </w:rPr>
            </w:pPr>
            <w:r w:rsidRPr="00887108">
              <w:rPr>
                <w:rFonts w:cs="Times New Roman"/>
                <w:sz w:val="18"/>
                <w:szCs w:val="18"/>
              </w:rPr>
              <w:t>2022 až 2026</w:t>
            </w:r>
          </w:p>
        </w:tc>
        <w:tc>
          <w:tcPr>
            <w:tcW w:w="780" w:type="dxa"/>
            <w:tcBorders>
              <w:top w:val="nil"/>
              <w:left w:val="nil"/>
              <w:right w:val="nil"/>
            </w:tcBorders>
            <w:shd w:val="clear" w:color="auto" w:fill="auto"/>
            <w:noWrap/>
            <w:vAlign w:val="center"/>
          </w:tcPr>
          <w:p w14:paraId="082F8168" w14:textId="77777777" w:rsidR="00D37A31" w:rsidRPr="00887108" w:rsidRDefault="00D37A31" w:rsidP="00E9118E">
            <w:pPr>
              <w:jc w:val="center"/>
              <w:rPr>
                <w:rFonts w:cs="Times New Roman"/>
                <w:sz w:val="18"/>
                <w:szCs w:val="18"/>
              </w:rPr>
            </w:pPr>
            <w:r w:rsidRPr="00887108">
              <w:rPr>
                <w:rFonts w:cs="Times New Roman"/>
                <w:sz w:val="18"/>
                <w:szCs w:val="18"/>
              </w:rPr>
              <w:t>2034</w:t>
            </w:r>
          </w:p>
        </w:tc>
        <w:tc>
          <w:tcPr>
            <w:tcW w:w="428" w:type="dxa"/>
            <w:tcBorders>
              <w:top w:val="nil"/>
              <w:left w:val="nil"/>
              <w:right w:val="nil"/>
            </w:tcBorders>
            <w:shd w:val="clear" w:color="auto" w:fill="auto"/>
            <w:noWrap/>
            <w:vAlign w:val="center"/>
          </w:tcPr>
          <w:p w14:paraId="21843159" w14:textId="77777777" w:rsidR="00D37A31" w:rsidRPr="00887108" w:rsidRDefault="00D37A31" w:rsidP="00E9118E">
            <w:pPr>
              <w:jc w:val="center"/>
              <w:rPr>
                <w:rFonts w:cs="Times New Roman"/>
                <w:sz w:val="18"/>
                <w:szCs w:val="18"/>
              </w:rPr>
            </w:pPr>
            <w:r w:rsidRPr="00887108">
              <w:rPr>
                <w:rFonts w:cs="Times New Roman"/>
                <w:sz w:val="18"/>
                <w:szCs w:val="18"/>
              </w:rPr>
              <w:t>40</w:t>
            </w:r>
          </w:p>
        </w:tc>
        <w:tc>
          <w:tcPr>
            <w:tcW w:w="991" w:type="dxa"/>
            <w:tcBorders>
              <w:top w:val="nil"/>
              <w:left w:val="nil"/>
              <w:right w:val="single" w:sz="4" w:space="0" w:color="auto"/>
            </w:tcBorders>
            <w:shd w:val="clear" w:color="auto" w:fill="auto"/>
            <w:vAlign w:val="center"/>
          </w:tcPr>
          <w:p w14:paraId="6765F082" w14:textId="77777777" w:rsidR="00D37A31" w:rsidRPr="00887108" w:rsidRDefault="00D37A31" w:rsidP="00E9118E">
            <w:pPr>
              <w:jc w:val="center"/>
              <w:rPr>
                <w:rFonts w:cs="Times New Roman"/>
                <w:b/>
                <w:sz w:val="18"/>
                <w:szCs w:val="18"/>
              </w:rPr>
            </w:pPr>
            <w:r w:rsidRPr="00887108">
              <w:rPr>
                <w:rFonts w:cs="Times New Roman"/>
                <w:b/>
                <w:sz w:val="18"/>
                <w:szCs w:val="18"/>
              </w:rPr>
              <w:t>áno</w:t>
            </w:r>
          </w:p>
        </w:tc>
        <w:tc>
          <w:tcPr>
            <w:tcW w:w="985" w:type="dxa"/>
            <w:tcBorders>
              <w:top w:val="nil"/>
              <w:left w:val="single" w:sz="4" w:space="0" w:color="auto"/>
              <w:right w:val="nil"/>
            </w:tcBorders>
            <w:shd w:val="clear" w:color="auto" w:fill="F9C9BA" w:themeFill="accent6"/>
            <w:vAlign w:val="center"/>
          </w:tcPr>
          <w:p w14:paraId="4CC88883" w14:textId="77777777" w:rsidR="00D37A31" w:rsidRPr="00887108" w:rsidRDefault="00D37A31" w:rsidP="00E9118E">
            <w:pPr>
              <w:jc w:val="center"/>
              <w:rPr>
                <w:rFonts w:cs="Times New Roman"/>
                <w:b/>
                <w:sz w:val="18"/>
                <w:szCs w:val="18"/>
              </w:rPr>
            </w:pPr>
            <w:r w:rsidRPr="00887108">
              <w:rPr>
                <w:rFonts w:cs="Times New Roman"/>
                <w:b/>
                <w:sz w:val="18"/>
                <w:szCs w:val="18"/>
              </w:rPr>
              <w:t>4,7</w:t>
            </w:r>
          </w:p>
        </w:tc>
        <w:tc>
          <w:tcPr>
            <w:tcW w:w="985" w:type="dxa"/>
            <w:tcBorders>
              <w:top w:val="nil"/>
              <w:left w:val="nil"/>
              <w:right w:val="nil"/>
            </w:tcBorders>
            <w:shd w:val="clear" w:color="auto" w:fill="F9C9BA" w:themeFill="accent6"/>
            <w:vAlign w:val="center"/>
          </w:tcPr>
          <w:p w14:paraId="4429E8E6" w14:textId="77777777" w:rsidR="00D37A31" w:rsidRPr="00887108" w:rsidRDefault="00D37A31" w:rsidP="00E9118E">
            <w:pPr>
              <w:jc w:val="center"/>
              <w:rPr>
                <w:rFonts w:cs="Times New Roman"/>
                <w:b/>
                <w:sz w:val="18"/>
                <w:szCs w:val="18"/>
              </w:rPr>
            </w:pPr>
            <w:r w:rsidRPr="00887108">
              <w:rPr>
                <w:rFonts w:cs="Times New Roman"/>
                <w:b/>
                <w:sz w:val="18"/>
                <w:szCs w:val="18"/>
              </w:rPr>
              <w:t>vysoké</w:t>
            </w:r>
          </w:p>
        </w:tc>
      </w:tr>
      <w:tr w:rsidR="00D37A31" w:rsidRPr="00887108" w14:paraId="6CA98DDD" w14:textId="77777777" w:rsidTr="00E9118E">
        <w:trPr>
          <w:trHeight w:val="114"/>
        </w:trPr>
        <w:tc>
          <w:tcPr>
            <w:tcW w:w="1371" w:type="dxa"/>
            <w:tcBorders>
              <w:top w:val="nil"/>
              <w:left w:val="nil"/>
              <w:right w:val="nil"/>
            </w:tcBorders>
            <w:shd w:val="clear" w:color="auto" w:fill="auto"/>
            <w:noWrap/>
            <w:vAlign w:val="center"/>
            <w:hideMark/>
          </w:tcPr>
          <w:p w14:paraId="0EC68643" w14:textId="77777777" w:rsidR="00D37A31" w:rsidRPr="00887108" w:rsidRDefault="00D37A31" w:rsidP="00E9118E">
            <w:pPr>
              <w:rPr>
                <w:rFonts w:cs="Times New Roman"/>
                <w:b/>
                <w:sz w:val="18"/>
                <w:szCs w:val="18"/>
              </w:rPr>
            </w:pPr>
            <w:r w:rsidRPr="00887108">
              <w:rPr>
                <w:rFonts w:cs="Times New Roman"/>
                <w:b/>
                <w:sz w:val="18"/>
                <w:szCs w:val="18"/>
              </w:rPr>
              <w:t>R 2023</w:t>
            </w:r>
          </w:p>
        </w:tc>
        <w:tc>
          <w:tcPr>
            <w:tcW w:w="747" w:type="dxa"/>
            <w:tcBorders>
              <w:top w:val="nil"/>
              <w:left w:val="nil"/>
              <w:right w:val="nil"/>
            </w:tcBorders>
            <w:shd w:val="clear" w:color="auto" w:fill="auto"/>
            <w:noWrap/>
            <w:vAlign w:val="center"/>
            <w:hideMark/>
          </w:tcPr>
          <w:p w14:paraId="71197B8C" w14:textId="77777777" w:rsidR="00D37A31" w:rsidRPr="00887108" w:rsidRDefault="00D37A31" w:rsidP="00E9118E">
            <w:pPr>
              <w:jc w:val="center"/>
              <w:rPr>
                <w:rFonts w:cs="Times New Roman"/>
                <w:sz w:val="18"/>
                <w:szCs w:val="18"/>
              </w:rPr>
            </w:pPr>
            <w:r w:rsidRPr="00887108">
              <w:rPr>
                <w:rFonts w:cs="Times New Roman"/>
                <w:sz w:val="18"/>
                <w:szCs w:val="18"/>
              </w:rPr>
              <w:t>2023</w:t>
            </w:r>
          </w:p>
        </w:tc>
        <w:tc>
          <w:tcPr>
            <w:tcW w:w="748" w:type="dxa"/>
            <w:tcBorders>
              <w:top w:val="nil"/>
              <w:left w:val="nil"/>
              <w:right w:val="nil"/>
            </w:tcBorders>
            <w:shd w:val="clear" w:color="auto" w:fill="auto"/>
            <w:noWrap/>
            <w:vAlign w:val="center"/>
            <w:hideMark/>
          </w:tcPr>
          <w:p w14:paraId="79A5A770" w14:textId="77777777" w:rsidR="00D37A31" w:rsidRPr="00887108" w:rsidRDefault="00D37A31" w:rsidP="00E9118E">
            <w:pPr>
              <w:jc w:val="center"/>
              <w:rPr>
                <w:rFonts w:cs="Times New Roman"/>
                <w:sz w:val="18"/>
                <w:szCs w:val="18"/>
              </w:rPr>
            </w:pPr>
            <w:r w:rsidRPr="00887108">
              <w:rPr>
                <w:rFonts w:cs="Times New Roman"/>
                <w:sz w:val="18"/>
                <w:szCs w:val="18"/>
              </w:rPr>
              <w:t>-1,7</w:t>
            </w:r>
          </w:p>
        </w:tc>
        <w:tc>
          <w:tcPr>
            <w:tcW w:w="498" w:type="dxa"/>
            <w:tcBorders>
              <w:top w:val="nil"/>
              <w:left w:val="nil"/>
              <w:right w:val="nil"/>
            </w:tcBorders>
            <w:shd w:val="clear" w:color="auto" w:fill="auto"/>
            <w:noWrap/>
            <w:vAlign w:val="center"/>
            <w:hideMark/>
          </w:tcPr>
          <w:p w14:paraId="63155E02" w14:textId="77777777" w:rsidR="00D37A31" w:rsidRPr="00887108" w:rsidRDefault="00D37A31" w:rsidP="00E9118E">
            <w:pPr>
              <w:jc w:val="center"/>
              <w:rPr>
                <w:rFonts w:cs="Times New Roman"/>
                <w:sz w:val="18"/>
                <w:szCs w:val="18"/>
              </w:rPr>
            </w:pPr>
            <w:r w:rsidRPr="00887108">
              <w:rPr>
                <w:rFonts w:cs="Times New Roman"/>
                <w:sz w:val="18"/>
                <w:szCs w:val="18"/>
              </w:rPr>
              <w:t>60,1</w:t>
            </w:r>
          </w:p>
        </w:tc>
        <w:tc>
          <w:tcPr>
            <w:tcW w:w="1461" w:type="dxa"/>
            <w:tcBorders>
              <w:top w:val="nil"/>
              <w:left w:val="nil"/>
              <w:right w:val="nil"/>
            </w:tcBorders>
            <w:shd w:val="clear" w:color="auto" w:fill="auto"/>
            <w:noWrap/>
            <w:vAlign w:val="center"/>
            <w:hideMark/>
          </w:tcPr>
          <w:p w14:paraId="45C46957" w14:textId="77777777" w:rsidR="00D37A31" w:rsidRPr="00887108" w:rsidRDefault="00D37A31" w:rsidP="00E9118E">
            <w:pPr>
              <w:jc w:val="center"/>
              <w:rPr>
                <w:rFonts w:cs="Times New Roman"/>
                <w:sz w:val="18"/>
                <w:szCs w:val="18"/>
              </w:rPr>
            </w:pPr>
            <w:r w:rsidRPr="00887108">
              <w:rPr>
                <w:rFonts w:cs="Times New Roman"/>
                <w:sz w:val="18"/>
                <w:szCs w:val="18"/>
              </w:rPr>
              <w:t>2024 až 2028</w:t>
            </w:r>
          </w:p>
        </w:tc>
        <w:tc>
          <w:tcPr>
            <w:tcW w:w="780" w:type="dxa"/>
            <w:tcBorders>
              <w:top w:val="nil"/>
              <w:left w:val="nil"/>
              <w:right w:val="nil"/>
            </w:tcBorders>
            <w:shd w:val="clear" w:color="auto" w:fill="auto"/>
            <w:noWrap/>
            <w:vAlign w:val="center"/>
            <w:hideMark/>
          </w:tcPr>
          <w:p w14:paraId="1B09F6B0" w14:textId="77777777" w:rsidR="00D37A31" w:rsidRPr="00887108" w:rsidRDefault="00D37A31" w:rsidP="00E9118E">
            <w:pPr>
              <w:jc w:val="center"/>
              <w:rPr>
                <w:rFonts w:cs="Times New Roman"/>
                <w:sz w:val="18"/>
                <w:szCs w:val="18"/>
              </w:rPr>
            </w:pPr>
            <w:r w:rsidRPr="00887108">
              <w:rPr>
                <w:rFonts w:cs="Times New Roman"/>
                <w:sz w:val="18"/>
                <w:szCs w:val="18"/>
              </w:rPr>
              <w:t>2036</w:t>
            </w:r>
          </w:p>
        </w:tc>
        <w:tc>
          <w:tcPr>
            <w:tcW w:w="428" w:type="dxa"/>
            <w:tcBorders>
              <w:top w:val="nil"/>
              <w:left w:val="nil"/>
              <w:right w:val="nil"/>
            </w:tcBorders>
            <w:shd w:val="clear" w:color="auto" w:fill="auto"/>
            <w:noWrap/>
            <w:vAlign w:val="center"/>
            <w:hideMark/>
          </w:tcPr>
          <w:p w14:paraId="68498DBC" w14:textId="77777777" w:rsidR="00D37A31" w:rsidRPr="00887108" w:rsidRDefault="00D37A31" w:rsidP="00E9118E">
            <w:pPr>
              <w:jc w:val="center"/>
              <w:rPr>
                <w:rFonts w:cs="Times New Roman"/>
                <w:sz w:val="18"/>
                <w:szCs w:val="18"/>
              </w:rPr>
            </w:pPr>
            <w:r w:rsidRPr="00887108">
              <w:rPr>
                <w:rFonts w:cs="Times New Roman"/>
                <w:sz w:val="18"/>
                <w:szCs w:val="18"/>
              </w:rPr>
              <w:t>60</w:t>
            </w:r>
          </w:p>
        </w:tc>
        <w:tc>
          <w:tcPr>
            <w:tcW w:w="991" w:type="dxa"/>
            <w:tcBorders>
              <w:top w:val="nil"/>
              <w:left w:val="nil"/>
              <w:right w:val="single" w:sz="4" w:space="0" w:color="auto"/>
            </w:tcBorders>
            <w:shd w:val="clear" w:color="auto" w:fill="auto"/>
            <w:vAlign w:val="center"/>
          </w:tcPr>
          <w:p w14:paraId="68CF504B" w14:textId="77777777" w:rsidR="00D37A31" w:rsidRPr="00887108" w:rsidRDefault="00D37A31" w:rsidP="00E9118E">
            <w:pPr>
              <w:jc w:val="center"/>
              <w:rPr>
                <w:rFonts w:cs="Times New Roman"/>
                <w:b/>
                <w:sz w:val="18"/>
                <w:szCs w:val="18"/>
              </w:rPr>
            </w:pPr>
            <w:r w:rsidRPr="00887108">
              <w:rPr>
                <w:rFonts w:cs="Times New Roman"/>
                <w:b/>
                <w:sz w:val="18"/>
                <w:szCs w:val="18"/>
              </w:rPr>
              <w:t>áno</w:t>
            </w:r>
          </w:p>
        </w:tc>
        <w:tc>
          <w:tcPr>
            <w:tcW w:w="985" w:type="dxa"/>
            <w:tcBorders>
              <w:top w:val="nil"/>
              <w:left w:val="single" w:sz="4" w:space="0" w:color="auto"/>
              <w:right w:val="nil"/>
            </w:tcBorders>
            <w:shd w:val="clear" w:color="auto" w:fill="FFFF99"/>
            <w:vAlign w:val="center"/>
          </w:tcPr>
          <w:p w14:paraId="744835C5" w14:textId="77777777" w:rsidR="00D37A31" w:rsidRPr="00887108" w:rsidRDefault="00D37A31" w:rsidP="00E9118E">
            <w:pPr>
              <w:jc w:val="center"/>
              <w:rPr>
                <w:rFonts w:cs="Times New Roman"/>
                <w:b/>
                <w:sz w:val="18"/>
                <w:szCs w:val="18"/>
              </w:rPr>
            </w:pPr>
            <w:r w:rsidRPr="00887108">
              <w:rPr>
                <w:rFonts w:cs="Times New Roman"/>
                <w:b/>
                <w:sz w:val="18"/>
                <w:szCs w:val="18"/>
              </w:rPr>
              <w:t>1,9</w:t>
            </w:r>
          </w:p>
        </w:tc>
        <w:tc>
          <w:tcPr>
            <w:tcW w:w="985" w:type="dxa"/>
            <w:tcBorders>
              <w:top w:val="nil"/>
              <w:left w:val="nil"/>
              <w:right w:val="nil"/>
            </w:tcBorders>
            <w:shd w:val="clear" w:color="auto" w:fill="FFFF99"/>
            <w:vAlign w:val="center"/>
          </w:tcPr>
          <w:p w14:paraId="1143AF52" w14:textId="77777777" w:rsidR="00D37A31" w:rsidRPr="00887108" w:rsidRDefault="00D37A31" w:rsidP="00E9118E">
            <w:pPr>
              <w:jc w:val="center"/>
              <w:rPr>
                <w:rFonts w:cs="Times New Roman"/>
                <w:b/>
                <w:sz w:val="18"/>
                <w:szCs w:val="18"/>
              </w:rPr>
            </w:pPr>
            <w:r w:rsidRPr="00887108">
              <w:rPr>
                <w:rFonts w:cs="Times New Roman"/>
                <w:b/>
                <w:sz w:val="18"/>
                <w:szCs w:val="18"/>
              </w:rPr>
              <w:t>stredné</w:t>
            </w:r>
          </w:p>
        </w:tc>
      </w:tr>
      <w:tr w:rsidR="00D37A31" w:rsidRPr="00887108" w14:paraId="0BA24075" w14:textId="77777777" w:rsidTr="00E9118E">
        <w:trPr>
          <w:trHeight w:val="48"/>
        </w:trPr>
        <w:tc>
          <w:tcPr>
            <w:tcW w:w="1371" w:type="dxa"/>
            <w:tcBorders>
              <w:left w:val="nil"/>
              <w:bottom w:val="single" w:sz="4" w:space="0" w:color="auto"/>
              <w:right w:val="nil"/>
            </w:tcBorders>
            <w:shd w:val="clear" w:color="auto" w:fill="auto"/>
            <w:noWrap/>
            <w:vAlign w:val="center"/>
            <w:hideMark/>
          </w:tcPr>
          <w:p w14:paraId="3FB45684" w14:textId="77777777" w:rsidR="00D37A31" w:rsidRPr="00887108" w:rsidRDefault="00D37A31" w:rsidP="00E9118E">
            <w:pPr>
              <w:rPr>
                <w:rFonts w:cs="Times New Roman"/>
                <w:b/>
                <w:iCs/>
                <w:color w:val="000000"/>
                <w:sz w:val="18"/>
                <w:szCs w:val="18"/>
              </w:rPr>
            </w:pPr>
            <w:r w:rsidRPr="00887108">
              <w:rPr>
                <w:rFonts w:cs="Times New Roman"/>
                <w:b/>
                <w:iCs/>
                <w:color w:val="000000"/>
                <w:sz w:val="18"/>
                <w:szCs w:val="18"/>
              </w:rPr>
              <w:t xml:space="preserve">R 2023 – </w:t>
            </w:r>
          </w:p>
          <w:p w14:paraId="0467C9EB" w14:textId="77777777" w:rsidR="00D37A31" w:rsidRPr="00887108" w:rsidRDefault="00D37A31" w:rsidP="00E9118E">
            <w:pPr>
              <w:rPr>
                <w:rFonts w:cs="Times New Roman"/>
                <w:b/>
                <w:iCs/>
                <w:color w:val="000000"/>
                <w:sz w:val="18"/>
                <w:szCs w:val="18"/>
              </w:rPr>
            </w:pPr>
            <w:r w:rsidRPr="00887108">
              <w:rPr>
                <w:rFonts w:cs="Times New Roman"/>
                <w:b/>
                <w:iCs/>
                <w:color w:val="000000"/>
                <w:sz w:val="18"/>
                <w:szCs w:val="18"/>
              </w:rPr>
              <w:t>dlhová brzda</w:t>
            </w:r>
          </w:p>
        </w:tc>
        <w:tc>
          <w:tcPr>
            <w:tcW w:w="747" w:type="dxa"/>
            <w:tcBorders>
              <w:left w:val="nil"/>
              <w:bottom w:val="single" w:sz="4" w:space="0" w:color="auto"/>
              <w:right w:val="nil"/>
            </w:tcBorders>
            <w:shd w:val="clear" w:color="auto" w:fill="auto"/>
            <w:noWrap/>
            <w:vAlign w:val="center"/>
            <w:hideMark/>
          </w:tcPr>
          <w:p w14:paraId="1CB9E62F" w14:textId="77777777" w:rsidR="00D37A31" w:rsidRPr="00887108" w:rsidRDefault="00D37A31" w:rsidP="00E9118E">
            <w:pPr>
              <w:jc w:val="center"/>
              <w:rPr>
                <w:rFonts w:cs="Times New Roman"/>
                <w:iCs/>
                <w:color w:val="000000"/>
                <w:sz w:val="18"/>
                <w:szCs w:val="18"/>
              </w:rPr>
            </w:pPr>
            <w:r w:rsidRPr="00887108">
              <w:rPr>
                <w:rFonts w:cs="Times New Roman"/>
                <w:iCs/>
                <w:color w:val="000000"/>
                <w:sz w:val="18"/>
                <w:szCs w:val="18"/>
              </w:rPr>
              <w:t>2023</w:t>
            </w:r>
          </w:p>
        </w:tc>
        <w:tc>
          <w:tcPr>
            <w:tcW w:w="748" w:type="dxa"/>
            <w:tcBorders>
              <w:left w:val="nil"/>
              <w:bottom w:val="single" w:sz="4" w:space="0" w:color="auto"/>
              <w:right w:val="nil"/>
            </w:tcBorders>
            <w:shd w:val="clear" w:color="auto" w:fill="auto"/>
            <w:noWrap/>
            <w:vAlign w:val="center"/>
            <w:hideMark/>
          </w:tcPr>
          <w:p w14:paraId="22C05A30"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-1,7</w:t>
            </w:r>
          </w:p>
        </w:tc>
        <w:tc>
          <w:tcPr>
            <w:tcW w:w="498" w:type="dxa"/>
            <w:tcBorders>
              <w:left w:val="nil"/>
              <w:bottom w:val="single" w:sz="4" w:space="0" w:color="auto"/>
              <w:right w:val="nil"/>
            </w:tcBorders>
            <w:shd w:val="clear" w:color="auto" w:fill="auto"/>
            <w:noWrap/>
            <w:vAlign w:val="center"/>
            <w:hideMark/>
          </w:tcPr>
          <w:p w14:paraId="4850B75B" w14:textId="77777777" w:rsidR="00D37A31" w:rsidRPr="00887108" w:rsidRDefault="00D37A31" w:rsidP="00E9118E">
            <w:pPr>
              <w:jc w:val="center"/>
              <w:rPr>
                <w:rFonts w:cs="Times New Roman"/>
                <w:iCs/>
                <w:color w:val="000000"/>
                <w:sz w:val="18"/>
                <w:szCs w:val="18"/>
              </w:rPr>
            </w:pPr>
            <w:r w:rsidRPr="00887108">
              <w:rPr>
                <w:rFonts w:cs="Times New Roman"/>
                <w:sz w:val="18"/>
                <w:szCs w:val="18"/>
              </w:rPr>
              <w:t>60,1</w:t>
            </w:r>
          </w:p>
        </w:tc>
        <w:tc>
          <w:tcPr>
            <w:tcW w:w="1461" w:type="dxa"/>
            <w:tcBorders>
              <w:left w:val="nil"/>
              <w:bottom w:val="single" w:sz="4" w:space="0" w:color="auto"/>
              <w:right w:val="nil"/>
            </w:tcBorders>
            <w:shd w:val="clear" w:color="auto" w:fill="auto"/>
            <w:noWrap/>
            <w:vAlign w:val="center"/>
            <w:hideMark/>
          </w:tcPr>
          <w:p w14:paraId="5B9708AE" w14:textId="77777777" w:rsidR="00D37A31" w:rsidRPr="00887108" w:rsidRDefault="00D37A31" w:rsidP="00E9118E">
            <w:pPr>
              <w:jc w:val="center"/>
              <w:rPr>
                <w:rFonts w:cs="Times New Roman"/>
                <w:sz w:val="18"/>
                <w:szCs w:val="18"/>
              </w:rPr>
            </w:pPr>
            <w:r w:rsidRPr="00887108">
              <w:rPr>
                <w:rFonts w:cs="Times New Roman"/>
                <w:sz w:val="18"/>
                <w:szCs w:val="18"/>
              </w:rPr>
              <w:t>2024 až 2028</w:t>
            </w:r>
          </w:p>
        </w:tc>
        <w:tc>
          <w:tcPr>
            <w:tcW w:w="780" w:type="dxa"/>
            <w:tcBorders>
              <w:left w:val="nil"/>
              <w:bottom w:val="single" w:sz="4" w:space="0" w:color="auto"/>
              <w:right w:val="nil"/>
            </w:tcBorders>
            <w:shd w:val="clear" w:color="auto" w:fill="auto"/>
            <w:noWrap/>
            <w:vAlign w:val="center"/>
            <w:hideMark/>
          </w:tcPr>
          <w:p w14:paraId="4C34E742" w14:textId="77777777" w:rsidR="00D37A31" w:rsidRPr="00887108" w:rsidRDefault="00D37A31" w:rsidP="00E9118E">
            <w:pPr>
              <w:jc w:val="center"/>
              <w:rPr>
                <w:rFonts w:cs="Times New Roman"/>
                <w:iCs/>
                <w:color w:val="000000"/>
                <w:sz w:val="18"/>
                <w:szCs w:val="18"/>
              </w:rPr>
            </w:pPr>
            <w:r w:rsidRPr="00887108">
              <w:rPr>
                <w:rFonts w:cs="Times New Roman"/>
                <w:iCs/>
                <w:color w:val="000000"/>
                <w:sz w:val="18"/>
                <w:szCs w:val="18"/>
              </w:rPr>
              <w:t>2036</w:t>
            </w:r>
          </w:p>
        </w:tc>
        <w:tc>
          <w:tcPr>
            <w:tcW w:w="428" w:type="dxa"/>
            <w:tcBorders>
              <w:left w:val="nil"/>
              <w:bottom w:val="single" w:sz="4" w:space="0" w:color="auto"/>
              <w:right w:val="nil"/>
            </w:tcBorders>
            <w:shd w:val="clear" w:color="auto" w:fill="auto"/>
            <w:noWrap/>
            <w:vAlign w:val="center"/>
            <w:hideMark/>
          </w:tcPr>
          <w:p w14:paraId="2498A5F8" w14:textId="77777777" w:rsidR="00D37A31" w:rsidRPr="00887108" w:rsidRDefault="00D37A31" w:rsidP="00E9118E">
            <w:pPr>
              <w:jc w:val="center"/>
              <w:rPr>
                <w:rFonts w:cs="Times New Roman"/>
                <w:iCs/>
                <w:color w:val="000000"/>
                <w:sz w:val="18"/>
                <w:szCs w:val="18"/>
              </w:rPr>
            </w:pPr>
            <w:r w:rsidRPr="00887108">
              <w:rPr>
                <w:rFonts w:cs="Times New Roman"/>
                <w:iCs/>
                <w:color w:val="000000"/>
                <w:sz w:val="18"/>
                <w:szCs w:val="18"/>
              </w:rPr>
              <w:t>40</w:t>
            </w:r>
          </w:p>
        </w:tc>
        <w:tc>
          <w:tcPr>
            <w:tcW w:w="991" w:type="dxa"/>
            <w:tcBorders>
              <w:left w:val="nil"/>
              <w:bottom w:val="single" w:sz="4" w:space="0" w:color="auto"/>
              <w:right w:val="single" w:sz="4" w:space="0" w:color="auto"/>
            </w:tcBorders>
            <w:shd w:val="clear" w:color="auto" w:fill="auto"/>
            <w:vAlign w:val="center"/>
          </w:tcPr>
          <w:p w14:paraId="0F23F084" w14:textId="77777777" w:rsidR="00D37A31" w:rsidRPr="00887108" w:rsidRDefault="00D37A31" w:rsidP="00E9118E">
            <w:pPr>
              <w:jc w:val="center"/>
              <w:rPr>
                <w:rFonts w:cs="Times New Roman"/>
                <w:b/>
                <w:iCs/>
                <w:color w:val="000000"/>
                <w:sz w:val="18"/>
                <w:szCs w:val="18"/>
              </w:rPr>
            </w:pPr>
            <w:r w:rsidRPr="00887108">
              <w:rPr>
                <w:rFonts w:cs="Times New Roman"/>
                <w:b/>
                <w:sz w:val="18"/>
                <w:szCs w:val="18"/>
              </w:rPr>
              <w:t>áno</w:t>
            </w:r>
          </w:p>
        </w:tc>
        <w:tc>
          <w:tcPr>
            <w:tcW w:w="985" w:type="dxa"/>
            <w:tcBorders>
              <w:left w:val="single" w:sz="4" w:space="0" w:color="auto"/>
              <w:bottom w:val="single" w:sz="4" w:space="0" w:color="auto"/>
              <w:right w:val="nil"/>
            </w:tcBorders>
            <w:shd w:val="clear" w:color="auto" w:fill="F9C9BA" w:themeFill="accent6"/>
            <w:vAlign w:val="center"/>
          </w:tcPr>
          <w:p w14:paraId="70CEAE20" w14:textId="77777777" w:rsidR="00D37A31" w:rsidRPr="00887108" w:rsidRDefault="00D37A31" w:rsidP="00E9118E">
            <w:pPr>
              <w:jc w:val="center"/>
              <w:rPr>
                <w:rFonts w:cs="Times New Roman"/>
                <w:b/>
                <w:iCs/>
                <w:color w:val="000000"/>
                <w:sz w:val="18"/>
                <w:szCs w:val="18"/>
              </w:rPr>
            </w:pPr>
            <w:r w:rsidRPr="00887108">
              <w:rPr>
                <w:rFonts w:cs="Times New Roman"/>
                <w:b/>
                <w:iCs/>
                <w:color w:val="000000"/>
                <w:sz w:val="18"/>
                <w:szCs w:val="18"/>
              </w:rPr>
              <w:t>3,8</w:t>
            </w:r>
          </w:p>
        </w:tc>
        <w:tc>
          <w:tcPr>
            <w:tcW w:w="985" w:type="dxa"/>
            <w:tcBorders>
              <w:left w:val="nil"/>
              <w:bottom w:val="single" w:sz="4" w:space="0" w:color="auto"/>
              <w:right w:val="nil"/>
            </w:tcBorders>
            <w:shd w:val="clear" w:color="auto" w:fill="F9C9BA" w:themeFill="accent6"/>
            <w:vAlign w:val="center"/>
          </w:tcPr>
          <w:p w14:paraId="43FAE7FA" w14:textId="77777777" w:rsidR="00D37A31" w:rsidRPr="00887108" w:rsidRDefault="00D37A31" w:rsidP="00E9118E">
            <w:pPr>
              <w:jc w:val="center"/>
              <w:rPr>
                <w:rFonts w:cs="Times New Roman"/>
                <w:b/>
                <w:iCs/>
                <w:color w:val="000000"/>
                <w:sz w:val="18"/>
                <w:szCs w:val="18"/>
              </w:rPr>
            </w:pPr>
            <w:r w:rsidRPr="00887108">
              <w:rPr>
                <w:rFonts w:cs="Times New Roman"/>
                <w:b/>
                <w:sz w:val="18"/>
                <w:szCs w:val="18"/>
              </w:rPr>
              <w:t>vysoké</w:t>
            </w:r>
          </w:p>
        </w:tc>
      </w:tr>
    </w:tbl>
    <w:p w14:paraId="6A8F8BCA" w14:textId="77777777" w:rsidR="00D37A31" w:rsidRPr="00887108" w:rsidRDefault="00D37A31" w:rsidP="00D37A31">
      <w:pPr>
        <w:jc w:val="center"/>
        <w:rPr>
          <w:rFonts w:cs="Times New Roman"/>
          <w:i/>
          <w:sz w:val="16"/>
          <w:szCs w:val="16"/>
        </w:rPr>
      </w:pPr>
      <w:r w:rsidRPr="00887108">
        <w:rPr>
          <w:rFonts w:cs="Times New Roman"/>
          <w:i/>
          <w:sz w:val="16"/>
          <w:szCs w:val="16"/>
        </w:rPr>
        <w:t xml:space="preserve">                                                                                                                                                                                                                           Zdroj: MF SR</w:t>
      </w:r>
    </w:p>
    <w:p w14:paraId="1FF2A292" w14:textId="77777777" w:rsidR="00D37A31" w:rsidRPr="00887108" w:rsidRDefault="00D37A31" w:rsidP="00D37A31">
      <w:pPr>
        <w:autoSpaceDE w:val="0"/>
        <w:autoSpaceDN w:val="0"/>
        <w:adjustRightInd w:val="0"/>
        <w:jc w:val="both"/>
        <w:rPr>
          <w:iCs/>
          <w:sz w:val="18"/>
          <w:szCs w:val="18"/>
          <w:highlight w:val="yellow"/>
        </w:rPr>
      </w:pPr>
    </w:p>
    <w:tbl>
      <w:tblPr>
        <w:tblW w:w="0" w:type="auto"/>
        <w:tblLayout w:type="fixed"/>
        <w:tblCellMar>
          <w:left w:w="70" w:type="dxa"/>
          <w:right w:w="70" w:type="dxa"/>
        </w:tblCellMar>
        <w:tblLook w:val="04A0" w:firstRow="1" w:lastRow="0" w:firstColumn="1" w:lastColumn="0" w:noHBand="0" w:noVBand="1"/>
      </w:tblPr>
      <w:tblGrid>
        <w:gridCol w:w="6946"/>
        <w:gridCol w:w="2126"/>
      </w:tblGrid>
      <w:tr w:rsidR="00D37A31" w:rsidRPr="00887108" w14:paraId="55CC0679" w14:textId="77777777" w:rsidTr="00E9118E">
        <w:trPr>
          <w:trHeight w:val="209"/>
        </w:trPr>
        <w:tc>
          <w:tcPr>
            <w:tcW w:w="6946" w:type="dxa"/>
            <w:tcBorders>
              <w:top w:val="nil"/>
              <w:left w:val="nil"/>
              <w:bottom w:val="single" w:sz="8" w:space="0" w:color="auto"/>
              <w:right w:val="nil"/>
            </w:tcBorders>
            <w:shd w:val="clear" w:color="auto" w:fill="auto"/>
            <w:noWrap/>
            <w:vAlign w:val="center"/>
            <w:hideMark/>
          </w:tcPr>
          <w:p w14:paraId="3A537AE1" w14:textId="77777777" w:rsidR="00D37A31" w:rsidRPr="00887108" w:rsidRDefault="00D37A31" w:rsidP="00E9118E">
            <w:pPr>
              <w:pStyle w:val="Popis"/>
              <w:keepNext/>
              <w:spacing w:after="0"/>
              <w:rPr>
                <w:sz w:val="20"/>
                <w:szCs w:val="20"/>
              </w:rPr>
            </w:pPr>
            <w:bookmarkStart w:id="181" w:name="_Toc40186697"/>
            <w:r w:rsidRPr="00887108">
              <w:rPr>
                <w:rFonts w:eastAsiaTheme="minorHAnsi"/>
                <w:color w:val="2C9ADC"/>
                <w:sz w:val="20"/>
                <w:szCs w:val="20"/>
                <w:lang w:eastAsia="en-US"/>
              </w:rPr>
              <w:t xml:space="preserve">TABUĽKA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TABUĽKA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20</w:t>
            </w:r>
            <w:r w:rsidRPr="00887108">
              <w:rPr>
                <w:rFonts w:eastAsiaTheme="minorHAnsi"/>
                <w:color w:val="2C9ADC"/>
                <w:sz w:val="20"/>
                <w:szCs w:val="20"/>
                <w:lang w:eastAsia="en-US"/>
              </w:rPr>
              <w:fldChar w:fldCharType="end"/>
            </w:r>
            <w:r w:rsidRPr="00887108">
              <w:rPr>
                <w:sz w:val="20"/>
                <w:szCs w:val="20"/>
              </w:rPr>
              <w:t xml:space="preserve"> - Rozbor indikátora udržateľnosti S1</w:t>
            </w:r>
            <w:bookmarkEnd w:id="181"/>
          </w:p>
        </w:tc>
        <w:tc>
          <w:tcPr>
            <w:tcW w:w="2126" w:type="dxa"/>
            <w:tcBorders>
              <w:top w:val="nil"/>
              <w:left w:val="nil"/>
              <w:bottom w:val="single" w:sz="8" w:space="0" w:color="auto"/>
              <w:right w:val="nil"/>
            </w:tcBorders>
          </w:tcPr>
          <w:p w14:paraId="2F9DDA4A" w14:textId="77777777" w:rsidR="00D37A31" w:rsidRPr="00887108" w:rsidRDefault="00D37A31" w:rsidP="00E9118E">
            <w:pPr>
              <w:pStyle w:val="Popis"/>
              <w:keepNext/>
              <w:spacing w:after="0"/>
              <w:rPr>
                <w:sz w:val="20"/>
                <w:szCs w:val="20"/>
              </w:rPr>
            </w:pPr>
          </w:p>
        </w:tc>
      </w:tr>
    </w:tbl>
    <w:p w14:paraId="0F2135A3" w14:textId="77777777" w:rsidR="00D37A31" w:rsidRPr="00887108" w:rsidRDefault="00D37A31" w:rsidP="00D37A31">
      <w:pPr>
        <w:autoSpaceDE w:val="0"/>
        <w:autoSpaceDN w:val="0"/>
        <w:adjustRightInd w:val="0"/>
        <w:jc w:val="both"/>
        <w:rPr>
          <w:iCs/>
          <w:sz w:val="18"/>
          <w:szCs w:val="18"/>
          <w:highlight w:val="yellow"/>
        </w:rPr>
      </w:pPr>
    </w:p>
    <w:tbl>
      <w:tblPr>
        <w:tblW w:w="5000" w:type="pct"/>
        <w:tblCellMar>
          <w:left w:w="70" w:type="dxa"/>
          <w:right w:w="70" w:type="dxa"/>
        </w:tblCellMar>
        <w:tblLook w:val="04A0" w:firstRow="1" w:lastRow="0" w:firstColumn="1" w:lastColumn="0" w:noHBand="0" w:noVBand="1"/>
      </w:tblPr>
      <w:tblGrid>
        <w:gridCol w:w="3788"/>
        <w:gridCol w:w="1455"/>
        <w:gridCol w:w="1400"/>
        <w:gridCol w:w="1259"/>
        <w:gridCol w:w="1168"/>
      </w:tblGrid>
      <w:tr w:rsidR="00D37A31" w:rsidRPr="00887108" w14:paraId="325D495B" w14:textId="77777777" w:rsidTr="00E9118E">
        <w:trPr>
          <w:trHeight w:val="392"/>
        </w:trPr>
        <w:tc>
          <w:tcPr>
            <w:tcW w:w="2088" w:type="pct"/>
            <w:tcBorders>
              <w:top w:val="single" w:sz="8" w:space="0" w:color="auto"/>
              <w:left w:val="nil"/>
              <w:bottom w:val="single" w:sz="4" w:space="0" w:color="auto"/>
            </w:tcBorders>
            <w:shd w:val="clear" w:color="auto" w:fill="auto"/>
            <w:noWrap/>
            <w:vAlign w:val="center"/>
          </w:tcPr>
          <w:p w14:paraId="0813745A" w14:textId="77777777" w:rsidR="00D37A31" w:rsidRPr="00887108" w:rsidRDefault="00D37A31" w:rsidP="00E9118E">
            <w:pPr>
              <w:rPr>
                <w:rFonts w:cs="Times New Roman"/>
                <w:b/>
                <w:bCs/>
                <w:color w:val="000000" w:themeColor="text1"/>
                <w:sz w:val="18"/>
                <w:szCs w:val="18"/>
                <w:highlight w:val="yellow"/>
              </w:rPr>
            </w:pPr>
          </w:p>
        </w:tc>
        <w:tc>
          <w:tcPr>
            <w:tcW w:w="802" w:type="pct"/>
            <w:tcBorders>
              <w:top w:val="single" w:sz="8" w:space="0" w:color="auto"/>
              <w:bottom w:val="single" w:sz="4" w:space="0" w:color="auto"/>
            </w:tcBorders>
            <w:shd w:val="clear" w:color="auto" w:fill="auto"/>
            <w:noWrap/>
            <w:vAlign w:val="center"/>
          </w:tcPr>
          <w:p w14:paraId="6D6354C5"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R 2021</w:t>
            </w:r>
          </w:p>
        </w:tc>
        <w:tc>
          <w:tcPr>
            <w:tcW w:w="772" w:type="pct"/>
            <w:tcBorders>
              <w:top w:val="single" w:sz="8" w:space="0" w:color="auto"/>
              <w:bottom w:val="single" w:sz="4" w:space="0" w:color="auto"/>
              <w:right w:val="single" w:sz="4" w:space="0" w:color="auto"/>
            </w:tcBorders>
            <w:shd w:val="clear" w:color="auto" w:fill="auto"/>
            <w:vAlign w:val="center"/>
          </w:tcPr>
          <w:p w14:paraId="16B7ECA0"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R2021 - dlhová brzda</w:t>
            </w:r>
          </w:p>
        </w:tc>
        <w:tc>
          <w:tcPr>
            <w:tcW w:w="694" w:type="pct"/>
            <w:tcBorders>
              <w:top w:val="single" w:sz="8" w:space="0" w:color="auto"/>
              <w:left w:val="single" w:sz="4" w:space="0" w:color="auto"/>
              <w:bottom w:val="single" w:sz="4" w:space="0" w:color="auto"/>
            </w:tcBorders>
            <w:shd w:val="clear" w:color="auto" w:fill="auto"/>
            <w:noWrap/>
            <w:vAlign w:val="center"/>
          </w:tcPr>
          <w:p w14:paraId="28FD6EB3"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R 2023</w:t>
            </w:r>
          </w:p>
        </w:tc>
        <w:tc>
          <w:tcPr>
            <w:tcW w:w="644" w:type="pct"/>
            <w:tcBorders>
              <w:top w:val="single" w:sz="8" w:space="0" w:color="auto"/>
              <w:bottom w:val="single" w:sz="4" w:space="0" w:color="auto"/>
            </w:tcBorders>
            <w:shd w:val="clear" w:color="auto" w:fill="auto"/>
            <w:vAlign w:val="center"/>
          </w:tcPr>
          <w:p w14:paraId="1D8C81D3"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R 2023 - dlhová brzda</w:t>
            </w:r>
          </w:p>
        </w:tc>
      </w:tr>
      <w:tr w:rsidR="00D37A31" w:rsidRPr="00887108" w14:paraId="5BBB2887" w14:textId="77777777" w:rsidTr="00E9118E">
        <w:trPr>
          <w:trHeight w:val="289"/>
        </w:trPr>
        <w:tc>
          <w:tcPr>
            <w:tcW w:w="2088" w:type="pct"/>
            <w:tcBorders>
              <w:top w:val="single" w:sz="8" w:space="0" w:color="auto"/>
              <w:left w:val="nil"/>
              <w:bottom w:val="single" w:sz="4" w:space="0" w:color="auto"/>
            </w:tcBorders>
            <w:shd w:val="clear" w:color="auto" w:fill="auto"/>
            <w:noWrap/>
            <w:vAlign w:val="center"/>
            <w:hideMark/>
          </w:tcPr>
          <w:p w14:paraId="3FD3E965" w14:textId="77777777" w:rsidR="00D37A31" w:rsidRPr="00887108" w:rsidRDefault="00D37A31" w:rsidP="00E9118E">
            <w:pPr>
              <w:rPr>
                <w:rFonts w:cs="Times New Roman"/>
                <w:b/>
                <w:bCs/>
                <w:color w:val="000000" w:themeColor="text1"/>
                <w:sz w:val="18"/>
                <w:szCs w:val="18"/>
              </w:rPr>
            </w:pPr>
            <w:r w:rsidRPr="00887108">
              <w:rPr>
                <w:rFonts w:cs="Times New Roman"/>
                <w:b/>
                <w:bCs/>
                <w:color w:val="000000" w:themeColor="text1"/>
                <w:sz w:val="18"/>
                <w:szCs w:val="18"/>
              </w:rPr>
              <w:t>S1 Indikátor (% HDP)</w:t>
            </w:r>
          </w:p>
        </w:tc>
        <w:tc>
          <w:tcPr>
            <w:tcW w:w="802" w:type="pct"/>
            <w:tcBorders>
              <w:top w:val="single" w:sz="8" w:space="0" w:color="auto"/>
              <w:bottom w:val="single" w:sz="4" w:space="0" w:color="auto"/>
            </w:tcBorders>
            <w:shd w:val="clear" w:color="auto" w:fill="F9C9BA" w:themeFill="accent6"/>
            <w:noWrap/>
            <w:vAlign w:val="center"/>
          </w:tcPr>
          <w:p w14:paraId="3FADB084"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2,7</w:t>
            </w:r>
          </w:p>
        </w:tc>
        <w:tc>
          <w:tcPr>
            <w:tcW w:w="772" w:type="pct"/>
            <w:tcBorders>
              <w:top w:val="single" w:sz="8" w:space="0" w:color="auto"/>
              <w:bottom w:val="single" w:sz="4" w:space="0" w:color="auto"/>
              <w:right w:val="single" w:sz="4" w:space="0" w:color="auto"/>
            </w:tcBorders>
            <w:shd w:val="clear" w:color="auto" w:fill="F9C9BA" w:themeFill="accent6"/>
            <w:vAlign w:val="center"/>
          </w:tcPr>
          <w:p w14:paraId="05599638"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4,7</w:t>
            </w:r>
          </w:p>
        </w:tc>
        <w:tc>
          <w:tcPr>
            <w:tcW w:w="694" w:type="pct"/>
            <w:tcBorders>
              <w:top w:val="single" w:sz="8" w:space="0" w:color="auto"/>
              <w:left w:val="single" w:sz="4" w:space="0" w:color="auto"/>
              <w:bottom w:val="single" w:sz="4" w:space="0" w:color="auto"/>
            </w:tcBorders>
            <w:shd w:val="clear" w:color="auto" w:fill="FFFF99"/>
            <w:noWrap/>
            <w:vAlign w:val="center"/>
          </w:tcPr>
          <w:p w14:paraId="58E482C9"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1,9</w:t>
            </w:r>
          </w:p>
        </w:tc>
        <w:tc>
          <w:tcPr>
            <w:tcW w:w="644" w:type="pct"/>
            <w:tcBorders>
              <w:top w:val="single" w:sz="8" w:space="0" w:color="auto"/>
              <w:bottom w:val="single" w:sz="4" w:space="0" w:color="auto"/>
            </w:tcBorders>
            <w:shd w:val="clear" w:color="auto" w:fill="F9C9BA" w:themeFill="accent6"/>
            <w:vAlign w:val="center"/>
          </w:tcPr>
          <w:p w14:paraId="517A4BCF"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3,8</w:t>
            </w:r>
          </w:p>
        </w:tc>
      </w:tr>
      <w:tr w:rsidR="00D37A31" w:rsidRPr="00887108" w14:paraId="0C0C2CDA" w14:textId="77777777" w:rsidTr="00E9118E">
        <w:trPr>
          <w:trHeight w:val="231"/>
        </w:trPr>
        <w:tc>
          <w:tcPr>
            <w:tcW w:w="2088" w:type="pct"/>
            <w:tcBorders>
              <w:top w:val="single" w:sz="4" w:space="0" w:color="auto"/>
              <w:left w:val="nil"/>
            </w:tcBorders>
            <w:shd w:val="clear" w:color="auto" w:fill="auto"/>
            <w:noWrap/>
            <w:vAlign w:val="center"/>
          </w:tcPr>
          <w:p w14:paraId="360EA533" w14:textId="77777777" w:rsidR="00D37A31" w:rsidRPr="00887108" w:rsidRDefault="00D37A31" w:rsidP="00E9118E">
            <w:pPr>
              <w:rPr>
                <w:rFonts w:cs="Times New Roman"/>
                <w:bCs/>
                <w:color w:val="000000"/>
                <w:sz w:val="18"/>
                <w:szCs w:val="18"/>
              </w:rPr>
            </w:pPr>
            <w:r w:rsidRPr="00887108">
              <w:rPr>
                <w:rFonts w:cs="Times New Roman"/>
                <w:bCs/>
                <w:color w:val="000000"/>
                <w:sz w:val="18"/>
                <w:szCs w:val="18"/>
              </w:rPr>
              <w:t>z toho:</w:t>
            </w:r>
          </w:p>
        </w:tc>
        <w:tc>
          <w:tcPr>
            <w:tcW w:w="802" w:type="pct"/>
            <w:tcBorders>
              <w:top w:val="single" w:sz="4" w:space="0" w:color="auto"/>
            </w:tcBorders>
            <w:shd w:val="clear" w:color="auto" w:fill="auto"/>
            <w:noWrap/>
            <w:vAlign w:val="center"/>
          </w:tcPr>
          <w:p w14:paraId="6AE46D6A" w14:textId="77777777" w:rsidR="00D37A31" w:rsidRPr="00887108" w:rsidRDefault="00D37A31" w:rsidP="00E9118E">
            <w:pPr>
              <w:jc w:val="center"/>
              <w:rPr>
                <w:rFonts w:cs="Times New Roman"/>
                <w:b/>
                <w:bCs/>
                <w:color w:val="000000"/>
                <w:sz w:val="18"/>
                <w:szCs w:val="18"/>
                <w:highlight w:val="yellow"/>
              </w:rPr>
            </w:pPr>
          </w:p>
        </w:tc>
        <w:tc>
          <w:tcPr>
            <w:tcW w:w="772" w:type="pct"/>
            <w:tcBorders>
              <w:top w:val="single" w:sz="4" w:space="0" w:color="auto"/>
              <w:right w:val="single" w:sz="4" w:space="0" w:color="auto"/>
            </w:tcBorders>
            <w:shd w:val="clear" w:color="auto" w:fill="auto"/>
            <w:vAlign w:val="center"/>
          </w:tcPr>
          <w:p w14:paraId="58467E2E" w14:textId="77777777" w:rsidR="00D37A31" w:rsidRPr="00887108" w:rsidRDefault="00D37A31" w:rsidP="00E9118E">
            <w:pPr>
              <w:jc w:val="center"/>
              <w:rPr>
                <w:rFonts w:cs="Times New Roman"/>
                <w:b/>
                <w:bCs/>
                <w:color w:val="000000"/>
                <w:sz w:val="18"/>
                <w:szCs w:val="18"/>
                <w:highlight w:val="yellow"/>
              </w:rPr>
            </w:pPr>
          </w:p>
        </w:tc>
        <w:tc>
          <w:tcPr>
            <w:tcW w:w="694" w:type="pct"/>
            <w:tcBorders>
              <w:top w:val="single" w:sz="4" w:space="0" w:color="auto"/>
              <w:left w:val="single" w:sz="4" w:space="0" w:color="auto"/>
            </w:tcBorders>
            <w:shd w:val="clear" w:color="auto" w:fill="auto"/>
            <w:noWrap/>
            <w:vAlign w:val="center"/>
          </w:tcPr>
          <w:p w14:paraId="2363A286" w14:textId="77777777" w:rsidR="00D37A31" w:rsidRPr="00887108" w:rsidRDefault="00D37A31" w:rsidP="00E9118E">
            <w:pPr>
              <w:jc w:val="center"/>
              <w:rPr>
                <w:rFonts w:cs="Times New Roman"/>
                <w:b/>
                <w:bCs/>
                <w:color w:val="000000"/>
                <w:sz w:val="18"/>
                <w:szCs w:val="18"/>
                <w:highlight w:val="yellow"/>
              </w:rPr>
            </w:pPr>
          </w:p>
        </w:tc>
        <w:tc>
          <w:tcPr>
            <w:tcW w:w="644" w:type="pct"/>
            <w:tcBorders>
              <w:top w:val="single" w:sz="4" w:space="0" w:color="auto"/>
            </w:tcBorders>
            <w:shd w:val="clear" w:color="auto" w:fill="auto"/>
            <w:vAlign w:val="center"/>
          </w:tcPr>
          <w:p w14:paraId="405EB32A" w14:textId="77777777" w:rsidR="00D37A31" w:rsidRPr="00887108" w:rsidRDefault="00D37A31" w:rsidP="00E9118E">
            <w:pPr>
              <w:jc w:val="center"/>
              <w:rPr>
                <w:rFonts w:cs="Times New Roman"/>
                <w:b/>
                <w:bCs/>
                <w:color w:val="000000"/>
                <w:sz w:val="18"/>
                <w:szCs w:val="18"/>
                <w:highlight w:val="yellow"/>
              </w:rPr>
            </w:pPr>
          </w:p>
        </w:tc>
      </w:tr>
      <w:tr w:rsidR="00D37A31" w:rsidRPr="00887108" w14:paraId="3D30FC03" w14:textId="77777777" w:rsidTr="00E9118E">
        <w:trPr>
          <w:trHeight w:val="231"/>
        </w:trPr>
        <w:tc>
          <w:tcPr>
            <w:tcW w:w="2088" w:type="pct"/>
            <w:tcBorders>
              <w:left w:val="nil"/>
            </w:tcBorders>
            <w:shd w:val="clear" w:color="auto" w:fill="auto"/>
            <w:noWrap/>
            <w:vAlign w:val="center"/>
            <w:hideMark/>
          </w:tcPr>
          <w:p w14:paraId="4A214B76"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Počiatočná rozpočtová pozícia</w:t>
            </w:r>
          </w:p>
        </w:tc>
        <w:tc>
          <w:tcPr>
            <w:tcW w:w="802" w:type="pct"/>
            <w:shd w:val="clear" w:color="auto" w:fill="auto"/>
            <w:noWrap/>
            <w:vAlign w:val="center"/>
          </w:tcPr>
          <w:p w14:paraId="7A58C468"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1,6</w:t>
            </w:r>
          </w:p>
        </w:tc>
        <w:tc>
          <w:tcPr>
            <w:tcW w:w="772" w:type="pct"/>
            <w:tcBorders>
              <w:right w:val="single" w:sz="4" w:space="0" w:color="auto"/>
            </w:tcBorders>
            <w:shd w:val="clear" w:color="auto" w:fill="auto"/>
            <w:vAlign w:val="center"/>
          </w:tcPr>
          <w:p w14:paraId="3A73C21E"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1,6</w:t>
            </w:r>
          </w:p>
        </w:tc>
        <w:tc>
          <w:tcPr>
            <w:tcW w:w="694" w:type="pct"/>
            <w:tcBorders>
              <w:left w:val="single" w:sz="4" w:space="0" w:color="auto"/>
            </w:tcBorders>
            <w:shd w:val="clear" w:color="auto" w:fill="auto"/>
            <w:noWrap/>
            <w:vAlign w:val="center"/>
          </w:tcPr>
          <w:p w14:paraId="05EAC7F4"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1,0</w:t>
            </w:r>
          </w:p>
        </w:tc>
        <w:tc>
          <w:tcPr>
            <w:tcW w:w="644" w:type="pct"/>
            <w:shd w:val="clear" w:color="auto" w:fill="auto"/>
            <w:vAlign w:val="center"/>
          </w:tcPr>
          <w:p w14:paraId="1B0580F5"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1,0</w:t>
            </w:r>
          </w:p>
        </w:tc>
      </w:tr>
      <w:tr w:rsidR="00D37A31" w:rsidRPr="00887108" w14:paraId="3AFC8267" w14:textId="77777777" w:rsidTr="00E9118E">
        <w:trPr>
          <w:trHeight w:val="231"/>
        </w:trPr>
        <w:tc>
          <w:tcPr>
            <w:tcW w:w="2088" w:type="pct"/>
            <w:tcBorders>
              <w:left w:val="nil"/>
            </w:tcBorders>
            <w:shd w:val="clear" w:color="auto" w:fill="auto"/>
            <w:noWrap/>
            <w:vAlign w:val="center"/>
            <w:hideMark/>
          </w:tcPr>
          <w:p w14:paraId="1B40E419"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Náklady odkladu konsolidácie*</w:t>
            </w:r>
          </w:p>
        </w:tc>
        <w:tc>
          <w:tcPr>
            <w:tcW w:w="802" w:type="pct"/>
            <w:shd w:val="clear" w:color="auto" w:fill="auto"/>
            <w:noWrap/>
            <w:vAlign w:val="center"/>
          </w:tcPr>
          <w:p w14:paraId="237B40DE"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0,4</w:t>
            </w:r>
          </w:p>
        </w:tc>
        <w:tc>
          <w:tcPr>
            <w:tcW w:w="772" w:type="pct"/>
            <w:tcBorders>
              <w:right w:val="single" w:sz="4" w:space="0" w:color="auto"/>
            </w:tcBorders>
            <w:shd w:val="clear" w:color="auto" w:fill="auto"/>
            <w:vAlign w:val="center"/>
          </w:tcPr>
          <w:p w14:paraId="4A743773"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0,7</w:t>
            </w:r>
          </w:p>
        </w:tc>
        <w:tc>
          <w:tcPr>
            <w:tcW w:w="694" w:type="pct"/>
            <w:tcBorders>
              <w:left w:val="single" w:sz="4" w:space="0" w:color="auto"/>
            </w:tcBorders>
            <w:shd w:val="clear" w:color="auto" w:fill="auto"/>
            <w:noWrap/>
            <w:vAlign w:val="center"/>
          </w:tcPr>
          <w:p w14:paraId="67801675"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0,3</w:t>
            </w:r>
          </w:p>
        </w:tc>
        <w:tc>
          <w:tcPr>
            <w:tcW w:w="644" w:type="pct"/>
            <w:shd w:val="clear" w:color="auto" w:fill="auto"/>
            <w:vAlign w:val="center"/>
          </w:tcPr>
          <w:p w14:paraId="37EA84FC"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0,5</w:t>
            </w:r>
          </w:p>
        </w:tc>
      </w:tr>
      <w:tr w:rsidR="00D37A31" w:rsidRPr="00887108" w14:paraId="68D68C05" w14:textId="77777777" w:rsidTr="00E9118E">
        <w:trPr>
          <w:trHeight w:val="231"/>
        </w:trPr>
        <w:tc>
          <w:tcPr>
            <w:tcW w:w="2088" w:type="pct"/>
            <w:tcBorders>
              <w:left w:val="nil"/>
            </w:tcBorders>
            <w:shd w:val="clear" w:color="auto" w:fill="auto"/>
            <w:noWrap/>
            <w:vAlign w:val="center"/>
            <w:hideMark/>
          </w:tcPr>
          <w:p w14:paraId="04236E81"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Požadovaná úroveň dlhu v koncovom roku</w:t>
            </w:r>
          </w:p>
        </w:tc>
        <w:tc>
          <w:tcPr>
            <w:tcW w:w="802" w:type="pct"/>
            <w:shd w:val="clear" w:color="auto" w:fill="auto"/>
            <w:noWrap/>
            <w:vAlign w:val="center"/>
          </w:tcPr>
          <w:p w14:paraId="5E531078"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0,2</w:t>
            </w:r>
          </w:p>
        </w:tc>
        <w:tc>
          <w:tcPr>
            <w:tcW w:w="772" w:type="pct"/>
            <w:tcBorders>
              <w:right w:val="single" w:sz="4" w:space="0" w:color="auto"/>
            </w:tcBorders>
            <w:shd w:val="clear" w:color="auto" w:fill="auto"/>
            <w:vAlign w:val="center"/>
          </w:tcPr>
          <w:p w14:paraId="33ABC1FB"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1,8</w:t>
            </w:r>
          </w:p>
        </w:tc>
        <w:tc>
          <w:tcPr>
            <w:tcW w:w="694" w:type="pct"/>
            <w:tcBorders>
              <w:left w:val="single" w:sz="4" w:space="0" w:color="auto"/>
            </w:tcBorders>
            <w:shd w:val="clear" w:color="auto" w:fill="auto"/>
            <w:noWrap/>
            <w:vAlign w:val="center"/>
          </w:tcPr>
          <w:p w14:paraId="5F3D93B9"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644" w:type="pct"/>
            <w:shd w:val="clear" w:color="auto" w:fill="auto"/>
            <w:vAlign w:val="center"/>
          </w:tcPr>
          <w:p w14:paraId="5858FC5E"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1,6</w:t>
            </w:r>
          </w:p>
        </w:tc>
      </w:tr>
      <w:tr w:rsidR="00D37A31" w:rsidRPr="00887108" w14:paraId="174C5502" w14:textId="77777777" w:rsidTr="00E9118E">
        <w:trPr>
          <w:trHeight w:val="231"/>
        </w:trPr>
        <w:tc>
          <w:tcPr>
            <w:tcW w:w="2088" w:type="pct"/>
            <w:tcBorders>
              <w:left w:val="nil"/>
            </w:tcBorders>
            <w:shd w:val="clear" w:color="auto" w:fill="auto"/>
            <w:noWrap/>
            <w:vAlign w:val="center"/>
            <w:hideMark/>
          </w:tcPr>
          <w:p w14:paraId="09C68EE9"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Dlhodobé výdavky (náklady starnutia)</w:t>
            </w:r>
          </w:p>
        </w:tc>
        <w:tc>
          <w:tcPr>
            <w:tcW w:w="802" w:type="pct"/>
            <w:shd w:val="clear" w:color="auto" w:fill="auto"/>
            <w:noWrap/>
            <w:vAlign w:val="center"/>
          </w:tcPr>
          <w:p w14:paraId="2165341F"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0,4</w:t>
            </w:r>
          </w:p>
        </w:tc>
        <w:tc>
          <w:tcPr>
            <w:tcW w:w="772" w:type="pct"/>
            <w:tcBorders>
              <w:right w:val="single" w:sz="4" w:space="0" w:color="auto"/>
            </w:tcBorders>
            <w:shd w:val="clear" w:color="auto" w:fill="auto"/>
            <w:vAlign w:val="center"/>
          </w:tcPr>
          <w:p w14:paraId="428D5AEF"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0,4</w:t>
            </w:r>
          </w:p>
        </w:tc>
        <w:tc>
          <w:tcPr>
            <w:tcW w:w="694" w:type="pct"/>
            <w:tcBorders>
              <w:left w:val="single" w:sz="4" w:space="0" w:color="auto"/>
            </w:tcBorders>
            <w:shd w:val="clear" w:color="auto" w:fill="auto"/>
            <w:noWrap/>
            <w:vAlign w:val="center"/>
          </w:tcPr>
          <w:p w14:paraId="43E65C37"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0,6</w:t>
            </w:r>
          </w:p>
        </w:tc>
        <w:tc>
          <w:tcPr>
            <w:tcW w:w="644" w:type="pct"/>
            <w:shd w:val="clear" w:color="auto" w:fill="auto"/>
            <w:vAlign w:val="center"/>
          </w:tcPr>
          <w:p w14:paraId="776C7834"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0,6</w:t>
            </w:r>
          </w:p>
        </w:tc>
      </w:tr>
      <w:tr w:rsidR="00D37A31" w:rsidRPr="00887108" w14:paraId="71B3C559" w14:textId="77777777" w:rsidTr="00E9118E">
        <w:trPr>
          <w:trHeight w:val="231"/>
        </w:trPr>
        <w:tc>
          <w:tcPr>
            <w:tcW w:w="2088" w:type="pct"/>
            <w:tcBorders>
              <w:left w:val="nil"/>
              <w:bottom w:val="single" w:sz="8" w:space="0" w:color="auto"/>
            </w:tcBorders>
            <w:shd w:val="clear" w:color="auto" w:fill="auto"/>
            <w:noWrap/>
            <w:vAlign w:val="center"/>
            <w:hideMark/>
          </w:tcPr>
          <w:p w14:paraId="6665F9C7"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Výpadok príjmov kvôli druhému pilieru</w:t>
            </w:r>
          </w:p>
        </w:tc>
        <w:tc>
          <w:tcPr>
            <w:tcW w:w="802" w:type="pct"/>
            <w:tcBorders>
              <w:bottom w:val="single" w:sz="8" w:space="0" w:color="auto"/>
            </w:tcBorders>
            <w:shd w:val="clear" w:color="auto" w:fill="auto"/>
            <w:noWrap/>
            <w:vAlign w:val="center"/>
          </w:tcPr>
          <w:p w14:paraId="712C2F24"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0,1</w:t>
            </w:r>
          </w:p>
        </w:tc>
        <w:tc>
          <w:tcPr>
            <w:tcW w:w="772" w:type="pct"/>
            <w:tcBorders>
              <w:bottom w:val="single" w:sz="8" w:space="0" w:color="auto"/>
              <w:right w:val="single" w:sz="4" w:space="0" w:color="auto"/>
            </w:tcBorders>
            <w:shd w:val="clear" w:color="auto" w:fill="auto"/>
            <w:vAlign w:val="center"/>
          </w:tcPr>
          <w:p w14:paraId="47196ED7"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0,1</w:t>
            </w:r>
          </w:p>
        </w:tc>
        <w:tc>
          <w:tcPr>
            <w:tcW w:w="694" w:type="pct"/>
            <w:tcBorders>
              <w:left w:val="single" w:sz="4" w:space="0" w:color="auto"/>
              <w:bottom w:val="single" w:sz="8" w:space="0" w:color="auto"/>
            </w:tcBorders>
            <w:shd w:val="clear" w:color="auto" w:fill="auto"/>
            <w:noWrap/>
            <w:vAlign w:val="center"/>
          </w:tcPr>
          <w:p w14:paraId="35BE0433"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644" w:type="pct"/>
            <w:tcBorders>
              <w:bottom w:val="single" w:sz="8" w:space="0" w:color="auto"/>
            </w:tcBorders>
            <w:shd w:val="clear" w:color="auto" w:fill="auto"/>
            <w:vAlign w:val="center"/>
          </w:tcPr>
          <w:p w14:paraId="55B3E70D"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r>
    </w:tbl>
    <w:p w14:paraId="18A6C931" w14:textId="77777777" w:rsidR="00D37A31" w:rsidRPr="00887108" w:rsidRDefault="00D37A31" w:rsidP="00D37A31">
      <w:pPr>
        <w:jc w:val="right"/>
        <w:rPr>
          <w:rFonts w:cs="Times New Roman"/>
          <w:i/>
          <w:sz w:val="16"/>
          <w:szCs w:val="16"/>
        </w:rPr>
      </w:pPr>
      <w:r w:rsidRPr="00887108">
        <w:rPr>
          <w:rFonts w:cs="Times New Roman"/>
          <w:i/>
          <w:sz w:val="16"/>
          <w:szCs w:val="16"/>
        </w:rPr>
        <w:t>Zdroj: MF SR</w:t>
      </w:r>
    </w:p>
    <w:p w14:paraId="518118F8" w14:textId="77777777" w:rsidR="00D37A31" w:rsidRPr="00887108" w:rsidRDefault="00D37A31" w:rsidP="00D37A31">
      <w:pPr>
        <w:autoSpaceDE w:val="0"/>
        <w:autoSpaceDN w:val="0"/>
        <w:adjustRightInd w:val="0"/>
        <w:jc w:val="both"/>
        <w:rPr>
          <w:iCs/>
          <w:sz w:val="20"/>
          <w:szCs w:val="20"/>
          <w:highlight w:val="yellow"/>
        </w:rPr>
      </w:pPr>
    </w:p>
    <w:tbl>
      <w:tblPr>
        <w:tblW w:w="9112" w:type="dxa"/>
        <w:tblLayout w:type="fixed"/>
        <w:tblCellMar>
          <w:left w:w="70" w:type="dxa"/>
          <w:right w:w="70" w:type="dxa"/>
        </w:tblCellMar>
        <w:tblLook w:val="04A0" w:firstRow="1" w:lastRow="0" w:firstColumn="1" w:lastColumn="0" w:noHBand="0" w:noVBand="1"/>
      </w:tblPr>
      <w:tblGrid>
        <w:gridCol w:w="2418"/>
        <w:gridCol w:w="1239"/>
        <w:gridCol w:w="1088"/>
        <w:gridCol w:w="1088"/>
        <w:gridCol w:w="1091"/>
        <w:gridCol w:w="1093"/>
        <w:gridCol w:w="1095"/>
      </w:tblGrid>
      <w:tr w:rsidR="00D37A31" w:rsidRPr="00887108" w14:paraId="1D0FBAF0" w14:textId="77777777" w:rsidTr="00E9118E">
        <w:trPr>
          <w:trHeight w:val="175"/>
        </w:trPr>
        <w:tc>
          <w:tcPr>
            <w:tcW w:w="9112" w:type="dxa"/>
            <w:gridSpan w:val="7"/>
            <w:tcBorders>
              <w:top w:val="nil"/>
              <w:left w:val="nil"/>
              <w:bottom w:val="single" w:sz="8" w:space="0" w:color="auto"/>
              <w:right w:val="nil"/>
            </w:tcBorders>
            <w:shd w:val="clear" w:color="auto" w:fill="auto"/>
            <w:noWrap/>
            <w:vAlign w:val="center"/>
            <w:hideMark/>
          </w:tcPr>
          <w:p w14:paraId="60A7B676" w14:textId="77777777" w:rsidR="00D37A31" w:rsidRPr="00887108" w:rsidRDefault="00D37A31" w:rsidP="00E9118E">
            <w:pPr>
              <w:pStyle w:val="Popis"/>
              <w:keepNext/>
              <w:spacing w:after="0"/>
              <w:rPr>
                <w:sz w:val="20"/>
                <w:szCs w:val="20"/>
              </w:rPr>
            </w:pPr>
            <w:bookmarkStart w:id="182" w:name="_Toc40186698"/>
            <w:r w:rsidRPr="00887108">
              <w:rPr>
                <w:rFonts w:eastAsiaTheme="minorHAnsi"/>
                <w:color w:val="2C9ADC"/>
                <w:sz w:val="20"/>
                <w:szCs w:val="20"/>
                <w:lang w:eastAsia="en-US"/>
              </w:rPr>
              <w:t xml:space="preserve">TABUĽKA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TABUĽKA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21</w:t>
            </w:r>
            <w:r w:rsidRPr="00887108">
              <w:rPr>
                <w:rFonts w:eastAsiaTheme="minorHAnsi"/>
                <w:color w:val="2C9ADC"/>
                <w:sz w:val="20"/>
                <w:szCs w:val="20"/>
                <w:lang w:eastAsia="en-US"/>
              </w:rPr>
              <w:fldChar w:fldCharType="end"/>
            </w:r>
            <w:r w:rsidRPr="00887108">
              <w:rPr>
                <w:sz w:val="20"/>
                <w:szCs w:val="20"/>
              </w:rPr>
              <w:t xml:space="preserve"> - Predpoklady MF SR pre výpočet indikátora udržateľnosti S2</w:t>
            </w:r>
            <w:bookmarkEnd w:id="182"/>
          </w:p>
        </w:tc>
      </w:tr>
      <w:tr w:rsidR="00D37A31" w:rsidRPr="00887108" w14:paraId="4DC61C26" w14:textId="77777777" w:rsidTr="00E9118E">
        <w:trPr>
          <w:trHeight w:val="416"/>
        </w:trPr>
        <w:tc>
          <w:tcPr>
            <w:tcW w:w="2418" w:type="dxa"/>
            <w:tcBorders>
              <w:top w:val="nil"/>
              <w:left w:val="nil"/>
              <w:bottom w:val="single" w:sz="8" w:space="0" w:color="auto"/>
              <w:right w:val="nil"/>
            </w:tcBorders>
            <w:shd w:val="clear" w:color="auto" w:fill="auto"/>
            <w:noWrap/>
            <w:vAlign w:val="center"/>
            <w:hideMark/>
          </w:tcPr>
          <w:p w14:paraId="7F835C81" w14:textId="77777777" w:rsidR="00D37A31" w:rsidRPr="00887108" w:rsidRDefault="00D37A31" w:rsidP="00E9118E">
            <w:pPr>
              <w:jc w:val="center"/>
              <w:rPr>
                <w:rFonts w:cs="Times New Roman"/>
                <w:b/>
                <w:bCs/>
                <w:color w:val="000000"/>
                <w:sz w:val="18"/>
                <w:szCs w:val="18"/>
              </w:rPr>
            </w:pPr>
            <w:r w:rsidRPr="00887108">
              <w:rPr>
                <w:rFonts w:cs="Times New Roman"/>
                <w:b/>
                <w:bCs/>
                <w:color w:val="000000"/>
                <w:sz w:val="18"/>
                <w:szCs w:val="18"/>
              </w:rPr>
              <w:t> </w:t>
            </w:r>
          </w:p>
        </w:tc>
        <w:tc>
          <w:tcPr>
            <w:tcW w:w="1239" w:type="dxa"/>
            <w:tcBorders>
              <w:top w:val="nil"/>
              <w:left w:val="nil"/>
              <w:bottom w:val="single" w:sz="8" w:space="0" w:color="auto"/>
              <w:right w:val="nil"/>
            </w:tcBorders>
            <w:shd w:val="clear" w:color="auto" w:fill="auto"/>
            <w:noWrap/>
            <w:vAlign w:val="center"/>
            <w:hideMark/>
          </w:tcPr>
          <w:p w14:paraId="6D80C077"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Východiskový rok (t</w:t>
            </w:r>
            <w:r w:rsidRPr="00887108">
              <w:rPr>
                <w:rFonts w:cs="Times New Roman"/>
                <w:b/>
                <w:bCs/>
                <w:color w:val="000000"/>
                <w:sz w:val="16"/>
                <w:szCs w:val="16"/>
                <w:vertAlign w:val="subscript"/>
              </w:rPr>
              <w:t>0</w:t>
            </w:r>
            <w:r w:rsidRPr="00887108">
              <w:rPr>
                <w:rFonts w:cs="Times New Roman"/>
                <w:b/>
                <w:bCs/>
                <w:color w:val="000000"/>
                <w:sz w:val="16"/>
                <w:szCs w:val="16"/>
              </w:rPr>
              <w:t>)</w:t>
            </w:r>
          </w:p>
        </w:tc>
        <w:tc>
          <w:tcPr>
            <w:tcW w:w="1088" w:type="dxa"/>
            <w:tcBorders>
              <w:top w:val="nil"/>
              <w:left w:val="nil"/>
              <w:bottom w:val="single" w:sz="8" w:space="0" w:color="auto"/>
              <w:right w:val="nil"/>
            </w:tcBorders>
            <w:shd w:val="clear" w:color="auto" w:fill="auto"/>
            <w:noWrap/>
            <w:vAlign w:val="center"/>
            <w:hideMark/>
          </w:tcPr>
          <w:p w14:paraId="7F647BF4"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Štrukturálne primárne saldo</w:t>
            </w:r>
          </w:p>
        </w:tc>
        <w:tc>
          <w:tcPr>
            <w:tcW w:w="1088" w:type="dxa"/>
            <w:tcBorders>
              <w:top w:val="nil"/>
              <w:left w:val="nil"/>
              <w:bottom w:val="single" w:sz="8" w:space="0" w:color="auto"/>
              <w:right w:val="nil"/>
            </w:tcBorders>
            <w:shd w:val="clear" w:color="auto" w:fill="auto"/>
            <w:noWrap/>
            <w:vAlign w:val="center"/>
            <w:hideMark/>
          </w:tcPr>
          <w:p w14:paraId="4CF4410B"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DLH (t</w:t>
            </w:r>
            <w:r w:rsidRPr="00887108">
              <w:rPr>
                <w:rFonts w:cs="Times New Roman"/>
                <w:b/>
                <w:bCs/>
                <w:color w:val="000000"/>
                <w:sz w:val="16"/>
                <w:szCs w:val="16"/>
                <w:vertAlign w:val="subscript"/>
              </w:rPr>
              <w:t>0</w:t>
            </w:r>
            <w:r w:rsidRPr="00887108">
              <w:rPr>
                <w:rFonts w:cs="Times New Roman"/>
                <w:b/>
                <w:bCs/>
                <w:color w:val="000000"/>
                <w:sz w:val="16"/>
                <w:szCs w:val="16"/>
              </w:rPr>
              <w:t>)</w:t>
            </w:r>
          </w:p>
        </w:tc>
        <w:tc>
          <w:tcPr>
            <w:tcW w:w="1091" w:type="dxa"/>
            <w:tcBorders>
              <w:top w:val="nil"/>
              <w:left w:val="nil"/>
              <w:bottom w:val="single" w:sz="8" w:space="0" w:color="auto"/>
              <w:right w:val="single" w:sz="4" w:space="0" w:color="auto"/>
            </w:tcBorders>
          </w:tcPr>
          <w:p w14:paraId="51701125"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Vplyv II. piliera na P a V strane</w:t>
            </w:r>
          </w:p>
        </w:tc>
        <w:tc>
          <w:tcPr>
            <w:tcW w:w="1093" w:type="dxa"/>
            <w:tcBorders>
              <w:top w:val="nil"/>
              <w:left w:val="single" w:sz="4" w:space="0" w:color="auto"/>
              <w:bottom w:val="single" w:sz="8" w:space="0" w:color="auto"/>
              <w:right w:val="nil"/>
            </w:tcBorders>
            <w:vAlign w:val="center"/>
          </w:tcPr>
          <w:p w14:paraId="534EA397"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Výsledná Hodnota S1</w:t>
            </w:r>
          </w:p>
        </w:tc>
        <w:tc>
          <w:tcPr>
            <w:tcW w:w="1095" w:type="dxa"/>
            <w:tcBorders>
              <w:top w:val="nil"/>
              <w:left w:val="nil"/>
              <w:bottom w:val="single" w:sz="8" w:space="0" w:color="auto"/>
              <w:right w:val="nil"/>
            </w:tcBorders>
            <w:shd w:val="clear" w:color="auto" w:fill="auto"/>
            <w:noWrap/>
            <w:vAlign w:val="center"/>
          </w:tcPr>
          <w:p w14:paraId="0AE6A7F5" w14:textId="77777777" w:rsidR="00D37A31" w:rsidRPr="00887108" w:rsidRDefault="00D37A31" w:rsidP="00E9118E">
            <w:pPr>
              <w:jc w:val="center"/>
              <w:rPr>
                <w:rFonts w:cs="Times New Roman"/>
                <w:b/>
                <w:bCs/>
                <w:color w:val="000000"/>
                <w:sz w:val="16"/>
                <w:szCs w:val="16"/>
              </w:rPr>
            </w:pPr>
            <w:r w:rsidRPr="00887108">
              <w:rPr>
                <w:rFonts w:cs="Times New Roman"/>
                <w:b/>
                <w:bCs/>
                <w:color w:val="000000"/>
                <w:sz w:val="16"/>
                <w:szCs w:val="16"/>
              </w:rPr>
              <w:t>Riziko udržateľnosti</w:t>
            </w:r>
          </w:p>
        </w:tc>
      </w:tr>
      <w:tr w:rsidR="00D37A31" w:rsidRPr="00887108" w14:paraId="4ECCF2C9" w14:textId="77777777" w:rsidTr="00E9118E">
        <w:trPr>
          <w:trHeight w:val="191"/>
        </w:trPr>
        <w:tc>
          <w:tcPr>
            <w:tcW w:w="2418" w:type="dxa"/>
            <w:tcBorders>
              <w:top w:val="nil"/>
              <w:left w:val="nil"/>
              <w:right w:val="nil"/>
            </w:tcBorders>
            <w:shd w:val="clear" w:color="auto" w:fill="auto"/>
            <w:noWrap/>
            <w:vAlign w:val="center"/>
            <w:hideMark/>
          </w:tcPr>
          <w:p w14:paraId="4432B5D8" w14:textId="77777777" w:rsidR="00D37A31" w:rsidRPr="00887108" w:rsidRDefault="00D37A31" w:rsidP="00E9118E">
            <w:pPr>
              <w:rPr>
                <w:rFonts w:cs="Times New Roman"/>
                <w:b/>
                <w:sz w:val="18"/>
                <w:szCs w:val="18"/>
              </w:rPr>
            </w:pPr>
            <w:r w:rsidRPr="00887108">
              <w:rPr>
                <w:rFonts w:cs="Times New Roman"/>
                <w:b/>
                <w:sz w:val="18"/>
                <w:szCs w:val="18"/>
              </w:rPr>
              <w:t>R 2021</w:t>
            </w:r>
          </w:p>
        </w:tc>
        <w:tc>
          <w:tcPr>
            <w:tcW w:w="1239" w:type="dxa"/>
            <w:tcBorders>
              <w:top w:val="nil"/>
              <w:left w:val="nil"/>
              <w:right w:val="nil"/>
            </w:tcBorders>
            <w:shd w:val="clear" w:color="auto" w:fill="auto"/>
            <w:noWrap/>
            <w:vAlign w:val="center"/>
            <w:hideMark/>
          </w:tcPr>
          <w:p w14:paraId="687709B7" w14:textId="77777777" w:rsidR="00D37A31" w:rsidRPr="00887108" w:rsidRDefault="00D37A31" w:rsidP="00E9118E">
            <w:pPr>
              <w:jc w:val="center"/>
              <w:rPr>
                <w:rFonts w:cs="Times New Roman"/>
                <w:sz w:val="18"/>
                <w:szCs w:val="18"/>
              </w:rPr>
            </w:pPr>
            <w:r w:rsidRPr="00887108">
              <w:rPr>
                <w:rFonts w:cs="Times New Roman"/>
                <w:sz w:val="18"/>
                <w:szCs w:val="18"/>
              </w:rPr>
              <w:t>2021</w:t>
            </w:r>
          </w:p>
        </w:tc>
        <w:tc>
          <w:tcPr>
            <w:tcW w:w="1088" w:type="dxa"/>
            <w:tcBorders>
              <w:top w:val="nil"/>
              <w:left w:val="nil"/>
              <w:right w:val="nil"/>
            </w:tcBorders>
            <w:shd w:val="clear" w:color="auto" w:fill="auto"/>
            <w:noWrap/>
            <w:vAlign w:val="center"/>
            <w:hideMark/>
          </w:tcPr>
          <w:p w14:paraId="39BCA10D" w14:textId="77777777" w:rsidR="00D37A31" w:rsidRPr="00887108" w:rsidRDefault="00D37A31" w:rsidP="00E9118E">
            <w:pPr>
              <w:jc w:val="center"/>
              <w:rPr>
                <w:rFonts w:cs="Times New Roman"/>
                <w:sz w:val="18"/>
                <w:szCs w:val="18"/>
              </w:rPr>
            </w:pPr>
            <w:r w:rsidRPr="00887108">
              <w:rPr>
                <w:rFonts w:cs="Times New Roman"/>
                <w:sz w:val="18"/>
                <w:szCs w:val="18"/>
              </w:rPr>
              <w:t>-2,6</w:t>
            </w:r>
          </w:p>
        </w:tc>
        <w:tc>
          <w:tcPr>
            <w:tcW w:w="1088" w:type="dxa"/>
            <w:tcBorders>
              <w:top w:val="nil"/>
              <w:left w:val="nil"/>
              <w:right w:val="nil"/>
            </w:tcBorders>
            <w:shd w:val="clear" w:color="auto" w:fill="auto"/>
            <w:noWrap/>
            <w:vAlign w:val="center"/>
            <w:hideMark/>
          </w:tcPr>
          <w:p w14:paraId="147B34F6" w14:textId="77777777" w:rsidR="00D37A31" w:rsidRPr="00887108" w:rsidRDefault="00D37A31" w:rsidP="00E9118E">
            <w:pPr>
              <w:jc w:val="center"/>
              <w:rPr>
                <w:rFonts w:cs="Times New Roman"/>
                <w:sz w:val="18"/>
                <w:szCs w:val="18"/>
              </w:rPr>
            </w:pPr>
            <w:r w:rsidRPr="00887108">
              <w:rPr>
                <w:rFonts w:cs="Times New Roman"/>
                <w:sz w:val="18"/>
                <w:szCs w:val="18"/>
              </w:rPr>
              <w:t>61,9</w:t>
            </w:r>
          </w:p>
        </w:tc>
        <w:tc>
          <w:tcPr>
            <w:tcW w:w="1091" w:type="dxa"/>
            <w:tcBorders>
              <w:top w:val="nil"/>
              <w:left w:val="nil"/>
              <w:right w:val="single" w:sz="4" w:space="0" w:color="auto"/>
            </w:tcBorders>
            <w:vAlign w:val="center"/>
          </w:tcPr>
          <w:p w14:paraId="55AB6E8C" w14:textId="77777777" w:rsidR="00D37A31" w:rsidRPr="00887108" w:rsidRDefault="00D37A31" w:rsidP="00E9118E">
            <w:pPr>
              <w:jc w:val="center"/>
              <w:rPr>
                <w:rFonts w:cs="Times New Roman"/>
                <w:b/>
                <w:sz w:val="18"/>
                <w:szCs w:val="18"/>
              </w:rPr>
            </w:pPr>
            <w:r w:rsidRPr="00887108">
              <w:rPr>
                <w:rFonts w:cs="Times New Roman"/>
                <w:b/>
                <w:sz w:val="18"/>
                <w:szCs w:val="18"/>
              </w:rPr>
              <w:t>áno</w:t>
            </w:r>
          </w:p>
        </w:tc>
        <w:tc>
          <w:tcPr>
            <w:tcW w:w="1093" w:type="dxa"/>
            <w:tcBorders>
              <w:top w:val="nil"/>
              <w:left w:val="single" w:sz="4" w:space="0" w:color="auto"/>
              <w:right w:val="nil"/>
            </w:tcBorders>
            <w:shd w:val="clear" w:color="auto" w:fill="F9C9BA" w:themeFill="accent6"/>
          </w:tcPr>
          <w:p w14:paraId="2CBCDF01" w14:textId="77777777" w:rsidR="00D37A31" w:rsidRPr="00887108" w:rsidRDefault="00D37A31" w:rsidP="00E9118E">
            <w:pPr>
              <w:jc w:val="center"/>
              <w:rPr>
                <w:rFonts w:cs="Times New Roman"/>
                <w:b/>
                <w:sz w:val="18"/>
                <w:szCs w:val="18"/>
              </w:rPr>
            </w:pPr>
            <w:r w:rsidRPr="00887108">
              <w:rPr>
                <w:rFonts w:cs="Times New Roman"/>
                <w:b/>
                <w:sz w:val="18"/>
                <w:szCs w:val="18"/>
              </w:rPr>
              <w:t>8,4</w:t>
            </w:r>
          </w:p>
        </w:tc>
        <w:tc>
          <w:tcPr>
            <w:tcW w:w="1095" w:type="dxa"/>
            <w:tcBorders>
              <w:top w:val="nil"/>
              <w:left w:val="nil"/>
              <w:right w:val="nil"/>
            </w:tcBorders>
            <w:shd w:val="clear" w:color="auto" w:fill="F9C9BA" w:themeFill="accent6"/>
            <w:noWrap/>
            <w:vAlign w:val="center"/>
          </w:tcPr>
          <w:p w14:paraId="64C403A6" w14:textId="77777777" w:rsidR="00D37A31" w:rsidRPr="00887108" w:rsidRDefault="00D37A31" w:rsidP="00E9118E">
            <w:pPr>
              <w:jc w:val="center"/>
              <w:rPr>
                <w:rFonts w:cs="Times New Roman"/>
                <w:b/>
                <w:sz w:val="18"/>
                <w:szCs w:val="18"/>
              </w:rPr>
            </w:pPr>
            <w:r w:rsidRPr="00887108">
              <w:rPr>
                <w:rFonts w:cs="Times New Roman"/>
                <w:b/>
                <w:sz w:val="18"/>
                <w:szCs w:val="18"/>
              </w:rPr>
              <w:t>vysoké</w:t>
            </w:r>
          </w:p>
        </w:tc>
      </w:tr>
      <w:tr w:rsidR="00D37A31" w:rsidRPr="00887108" w14:paraId="391D8FEB" w14:textId="77777777" w:rsidTr="00E9118E">
        <w:trPr>
          <w:trHeight w:val="191"/>
        </w:trPr>
        <w:tc>
          <w:tcPr>
            <w:tcW w:w="2418" w:type="dxa"/>
            <w:tcBorders>
              <w:top w:val="nil"/>
              <w:left w:val="nil"/>
              <w:bottom w:val="single" w:sz="4" w:space="0" w:color="auto"/>
              <w:right w:val="nil"/>
            </w:tcBorders>
            <w:shd w:val="clear" w:color="auto" w:fill="auto"/>
            <w:noWrap/>
            <w:vAlign w:val="center"/>
            <w:hideMark/>
          </w:tcPr>
          <w:p w14:paraId="278AF00C" w14:textId="77777777" w:rsidR="00D37A31" w:rsidRPr="00887108" w:rsidRDefault="00D37A31" w:rsidP="00E9118E">
            <w:pPr>
              <w:rPr>
                <w:rFonts w:cs="Times New Roman"/>
                <w:b/>
                <w:sz w:val="18"/>
                <w:szCs w:val="18"/>
              </w:rPr>
            </w:pPr>
            <w:r w:rsidRPr="00887108">
              <w:rPr>
                <w:rFonts w:cs="Times New Roman"/>
                <w:b/>
                <w:sz w:val="18"/>
                <w:szCs w:val="18"/>
              </w:rPr>
              <w:t>R 2023</w:t>
            </w:r>
          </w:p>
        </w:tc>
        <w:tc>
          <w:tcPr>
            <w:tcW w:w="1239" w:type="dxa"/>
            <w:tcBorders>
              <w:top w:val="nil"/>
              <w:left w:val="nil"/>
              <w:bottom w:val="single" w:sz="4" w:space="0" w:color="auto"/>
              <w:right w:val="nil"/>
            </w:tcBorders>
            <w:shd w:val="clear" w:color="auto" w:fill="auto"/>
            <w:noWrap/>
            <w:vAlign w:val="center"/>
            <w:hideMark/>
          </w:tcPr>
          <w:p w14:paraId="1827CCD6" w14:textId="77777777" w:rsidR="00D37A31" w:rsidRPr="00887108" w:rsidRDefault="00D37A31" w:rsidP="00E9118E">
            <w:pPr>
              <w:jc w:val="center"/>
              <w:rPr>
                <w:rFonts w:cs="Times New Roman"/>
                <w:sz w:val="18"/>
                <w:szCs w:val="18"/>
              </w:rPr>
            </w:pPr>
            <w:r w:rsidRPr="00887108">
              <w:rPr>
                <w:rFonts w:cs="Times New Roman"/>
                <w:sz w:val="18"/>
                <w:szCs w:val="18"/>
              </w:rPr>
              <w:t>2023</w:t>
            </w:r>
          </w:p>
        </w:tc>
        <w:tc>
          <w:tcPr>
            <w:tcW w:w="1088" w:type="dxa"/>
            <w:tcBorders>
              <w:top w:val="nil"/>
              <w:left w:val="nil"/>
              <w:bottom w:val="single" w:sz="4" w:space="0" w:color="auto"/>
              <w:right w:val="nil"/>
            </w:tcBorders>
            <w:shd w:val="clear" w:color="auto" w:fill="auto"/>
            <w:noWrap/>
            <w:vAlign w:val="center"/>
            <w:hideMark/>
          </w:tcPr>
          <w:p w14:paraId="49E9E45D" w14:textId="77777777" w:rsidR="00D37A31" w:rsidRPr="00887108" w:rsidRDefault="00D37A31" w:rsidP="00E9118E">
            <w:pPr>
              <w:jc w:val="center"/>
              <w:rPr>
                <w:rFonts w:cs="Times New Roman"/>
                <w:sz w:val="18"/>
                <w:szCs w:val="18"/>
              </w:rPr>
            </w:pPr>
            <w:r w:rsidRPr="00887108">
              <w:rPr>
                <w:rFonts w:cs="Times New Roman"/>
                <w:sz w:val="18"/>
                <w:szCs w:val="18"/>
              </w:rPr>
              <w:t>-1,7</w:t>
            </w:r>
          </w:p>
        </w:tc>
        <w:tc>
          <w:tcPr>
            <w:tcW w:w="1088" w:type="dxa"/>
            <w:tcBorders>
              <w:top w:val="nil"/>
              <w:left w:val="nil"/>
              <w:bottom w:val="single" w:sz="4" w:space="0" w:color="auto"/>
              <w:right w:val="nil"/>
            </w:tcBorders>
            <w:shd w:val="clear" w:color="auto" w:fill="auto"/>
            <w:noWrap/>
            <w:vAlign w:val="center"/>
            <w:hideMark/>
          </w:tcPr>
          <w:p w14:paraId="2CEAAD96" w14:textId="77777777" w:rsidR="00D37A31" w:rsidRPr="00887108" w:rsidRDefault="00D37A31" w:rsidP="00E9118E">
            <w:pPr>
              <w:jc w:val="center"/>
              <w:rPr>
                <w:rFonts w:cs="Times New Roman"/>
                <w:sz w:val="18"/>
                <w:szCs w:val="18"/>
              </w:rPr>
            </w:pPr>
            <w:r w:rsidRPr="00887108">
              <w:rPr>
                <w:rFonts w:cs="Times New Roman"/>
                <w:sz w:val="18"/>
                <w:szCs w:val="18"/>
              </w:rPr>
              <w:t>60,1</w:t>
            </w:r>
          </w:p>
        </w:tc>
        <w:tc>
          <w:tcPr>
            <w:tcW w:w="1091" w:type="dxa"/>
            <w:tcBorders>
              <w:top w:val="nil"/>
              <w:left w:val="nil"/>
              <w:bottom w:val="single" w:sz="4" w:space="0" w:color="auto"/>
              <w:right w:val="single" w:sz="4" w:space="0" w:color="auto"/>
            </w:tcBorders>
            <w:vAlign w:val="center"/>
          </w:tcPr>
          <w:p w14:paraId="42121940" w14:textId="77777777" w:rsidR="00D37A31" w:rsidRPr="00887108" w:rsidRDefault="00D37A31" w:rsidP="00E9118E">
            <w:pPr>
              <w:jc w:val="center"/>
              <w:rPr>
                <w:rFonts w:cs="Times New Roman"/>
                <w:b/>
                <w:sz w:val="18"/>
                <w:szCs w:val="18"/>
              </w:rPr>
            </w:pPr>
            <w:r w:rsidRPr="00887108">
              <w:rPr>
                <w:rFonts w:cs="Times New Roman"/>
                <w:b/>
                <w:sz w:val="18"/>
                <w:szCs w:val="18"/>
              </w:rPr>
              <w:t>áno</w:t>
            </w:r>
          </w:p>
        </w:tc>
        <w:tc>
          <w:tcPr>
            <w:tcW w:w="1093" w:type="dxa"/>
            <w:tcBorders>
              <w:top w:val="nil"/>
              <w:left w:val="single" w:sz="4" w:space="0" w:color="auto"/>
              <w:bottom w:val="single" w:sz="4" w:space="0" w:color="auto"/>
              <w:right w:val="nil"/>
            </w:tcBorders>
            <w:shd w:val="clear" w:color="auto" w:fill="F9C9BA" w:themeFill="accent6"/>
          </w:tcPr>
          <w:p w14:paraId="4B5F8A36" w14:textId="77777777" w:rsidR="00D37A31" w:rsidRPr="00887108" w:rsidRDefault="00D37A31" w:rsidP="00E9118E">
            <w:pPr>
              <w:jc w:val="center"/>
              <w:rPr>
                <w:rFonts w:cs="Times New Roman"/>
                <w:b/>
                <w:sz w:val="18"/>
                <w:szCs w:val="18"/>
              </w:rPr>
            </w:pPr>
            <w:r w:rsidRPr="00887108">
              <w:rPr>
                <w:rFonts w:cs="Times New Roman"/>
                <w:b/>
                <w:sz w:val="18"/>
                <w:szCs w:val="18"/>
              </w:rPr>
              <w:t>7,6</w:t>
            </w:r>
          </w:p>
        </w:tc>
        <w:tc>
          <w:tcPr>
            <w:tcW w:w="1095" w:type="dxa"/>
            <w:tcBorders>
              <w:top w:val="nil"/>
              <w:left w:val="nil"/>
              <w:bottom w:val="single" w:sz="4" w:space="0" w:color="auto"/>
              <w:right w:val="nil"/>
            </w:tcBorders>
            <w:shd w:val="clear" w:color="auto" w:fill="F9C9BA" w:themeFill="accent6"/>
            <w:noWrap/>
            <w:vAlign w:val="center"/>
          </w:tcPr>
          <w:p w14:paraId="2B460AEA" w14:textId="77777777" w:rsidR="00D37A31" w:rsidRPr="00887108" w:rsidRDefault="00D37A31" w:rsidP="00E9118E">
            <w:pPr>
              <w:jc w:val="center"/>
              <w:rPr>
                <w:rFonts w:cs="Times New Roman"/>
                <w:b/>
                <w:sz w:val="18"/>
                <w:szCs w:val="18"/>
              </w:rPr>
            </w:pPr>
            <w:r w:rsidRPr="00887108">
              <w:rPr>
                <w:rFonts w:cs="Times New Roman"/>
                <w:b/>
                <w:sz w:val="18"/>
                <w:szCs w:val="18"/>
              </w:rPr>
              <w:t>vysoké</w:t>
            </w:r>
          </w:p>
        </w:tc>
      </w:tr>
    </w:tbl>
    <w:p w14:paraId="3E270D34" w14:textId="77777777" w:rsidR="00D37A31" w:rsidRPr="00887108" w:rsidRDefault="00D37A31" w:rsidP="00D37A31">
      <w:pPr>
        <w:jc w:val="right"/>
        <w:rPr>
          <w:rFonts w:cs="Times New Roman"/>
          <w:i/>
          <w:sz w:val="16"/>
          <w:szCs w:val="16"/>
        </w:rPr>
      </w:pPr>
      <w:r w:rsidRPr="00887108">
        <w:rPr>
          <w:rFonts w:cs="Times New Roman"/>
          <w:i/>
          <w:sz w:val="16"/>
          <w:szCs w:val="16"/>
        </w:rPr>
        <w:t>Zdroj: MF SR</w:t>
      </w:r>
    </w:p>
    <w:p w14:paraId="7B324DC4" w14:textId="77777777" w:rsidR="00D37A31" w:rsidRPr="00887108" w:rsidRDefault="00D37A31" w:rsidP="00D37A31">
      <w:pPr>
        <w:pStyle w:val="Popis"/>
        <w:keepNext/>
        <w:spacing w:after="0"/>
        <w:rPr>
          <w:sz w:val="20"/>
          <w:szCs w:val="20"/>
        </w:rPr>
      </w:pPr>
      <w:bookmarkStart w:id="183" w:name="_Toc40186699"/>
      <w:r w:rsidRPr="00887108">
        <w:rPr>
          <w:rFonts w:eastAsiaTheme="minorHAnsi"/>
          <w:color w:val="2C9ADC"/>
          <w:sz w:val="20"/>
          <w:szCs w:val="20"/>
          <w:lang w:eastAsia="en-US"/>
        </w:rPr>
        <w:t xml:space="preserve">TABUĽKA </w:t>
      </w:r>
      <w:r w:rsidRPr="00887108">
        <w:rPr>
          <w:rFonts w:eastAsiaTheme="minorHAnsi"/>
          <w:color w:val="2C9ADC"/>
          <w:sz w:val="20"/>
          <w:szCs w:val="20"/>
          <w:lang w:eastAsia="en-US"/>
        </w:rPr>
        <w:fldChar w:fldCharType="begin"/>
      </w:r>
      <w:r w:rsidRPr="00887108">
        <w:rPr>
          <w:rFonts w:eastAsiaTheme="minorHAnsi"/>
          <w:color w:val="2C9ADC"/>
          <w:sz w:val="20"/>
          <w:szCs w:val="20"/>
          <w:lang w:eastAsia="en-US"/>
        </w:rPr>
        <w:instrText xml:space="preserve"> SEQ TABUĽKA \* ARABIC </w:instrText>
      </w:r>
      <w:r w:rsidRPr="00887108">
        <w:rPr>
          <w:rFonts w:eastAsiaTheme="minorHAnsi"/>
          <w:color w:val="2C9ADC"/>
          <w:sz w:val="20"/>
          <w:szCs w:val="20"/>
          <w:lang w:eastAsia="en-US"/>
        </w:rPr>
        <w:fldChar w:fldCharType="separate"/>
      </w:r>
      <w:r w:rsidR="00D47A36">
        <w:rPr>
          <w:rFonts w:eastAsiaTheme="minorHAnsi"/>
          <w:noProof/>
          <w:color w:val="2C9ADC"/>
          <w:sz w:val="20"/>
          <w:szCs w:val="20"/>
          <w:lang w:eastAsia="en-US"/>
        </w:rPr>
        <w:t>22</w:t>
      </w:r>
      <w:r w:rsidRPr="00887108">
        <w:rPr>
          <w:rFonts w:eastAsiaTheme="minorHAnsi"/>
          <w:color w:val="2C9ADC"/>
          <w:sz w:val="20"/>
          <w:szCs w:val="20"/>
          <w:lang w:eastAsia="en-US"/>
        </w:rPr>
        <w:fldChar w:fldCharType="end"/>
      </w:r>
      <w:r w:rsidRPr="00887108">
        <w:rPr>
          <w:sz w:val="20"/>
          <w:szCs w:val="20"/>
        </w:rPr>
        <w:t xml:space="preserve"> - Rozbor indikátora udržateľnosti S2</w:t>
      </w:r>
      <w:bookmarkEnd w:id="183"/>
    </w:p>
    <w:tbl>
      <w:tblPr>
        <w:tblW w:w="5024" w:type="pct"/>
        <w:tblCellMar>
          <w:left w:w="70" w:type="dxa"/>
          <w:right w:w="70" w:type="dxa"/>
        </w:tblCellMar>
        <w:tblLook w:val="04A0" w:firstRow="1" w:lastRow="0" w:firstColumn="1" w:lastColumn="0" w:noHBand="0" w:noVBand="1"/>
      </w:tblPr>
      <w:tblGrid>
        <w:gridCol w:w="3562"/>
        <w:gridCol w:w="1566"/>
        <w:gridCol w:w="1281"/>
        <w:gridCol w:w="1424"/>
        <w:gridCol w:w="1281"/>
      </w:tblGrid>
      <w:tr w:rsidR="00D37A31" w:rsidRPr="00887108" w14:paraId="7F7C49A8" w14:textId="77777777" w:rsidTr="00E9118E">
        <w:trPr>
          <w:trHeight w:val="436"/>
        </w:trPr>
        <w:tc>
          <w:tcPr>
            <w:tcW w:w="1954" w:type="pct"/>
            <w:tcBorders>
              <w:top w:val="single" w:sz="4" w:space="0" w:color="auto"/>
              <w:left w:val="nil"/>
              <w:bottom w:val="single" w:sz="8" w:space="0" w:color="auto"/>
            </w:tcBorders>
            <w:shd w:val="clear" w:color="auto" w:fill="auto"/>
            <w:noWrap/>
            <w:vAlign w:val="center"/>
          </w:tcPr>
          <w:p w14:paraId="53DE5C27" w14:textId="77777777" w:rsidR="00D37A31" w:rsidRPr="00887108" w:rsidRDefault="00D37A31" w:rsidP="00E9118E">
            <w:pPr>
              <w:jc w:val="center"/>
              <w:rPr>
                <w:rFonts w:cs="Times New Roman"/>
                <w:b/>
                <w:color w:val="000000"/>
                <w:sz w:val="18"/>
                <w:szCs w:val="18"/>
                <w:highlight w:val="yellow"/>
              </w:rPr>
            </w:pPr>
          </w:p>
        </w:tc>
        <w:tc>
          <w:tcPr>
            <w:tcW w:w="1562" w:type="pct"/>
            <w:gridSpan w:val="2"/>
            <w:tcBorders>
              <w:top w:val="single" w:sz="4" w:space="0" w:color="auto"/>
              <w:left w:val="nil"/>
              <w:bottom w:val="single" w:sz="8" w:space="0" w:color="auto"/>
            </w:tcBorders>
            <w:shd w:val="clear" w:color="auto" w:fill="auto"/>
            <w:vAlign w:val="center"/>
          </w:tcPr>
          <w:p w14:paraId="14821911" w14:textId="77777777" w:rsidR="00D37A31" w:rsidRPr="00887108" w:rsidRDefault="00D37A31" w:rsidP="00E9118E">
            <w:pPr>
              <w:jc w:val="center"/>
              <w:rPr>
                <w:rFonts w:cs="Times New Roman"/>
                <w:b/>
                <w:color w:val="000000"/>
                <w:sz w:val="18"/>
                <w:szCs w:val="18"/>
              </w:rPr>
            </w:pPr>
            <w:r w:rsidRPr="00887108">
              <w:rPr>
                <w:rFonts w:cs="Times New Roman"/>
                <w:b/>
                <w:color w:val="000000"/>
                <w:sz w:val="18"/>
                <w:szCs w:val="18"/>
              </w:rPr>
              <w:t>R 2021</w:t>
            </w:r>
          </w:p>
        </w:tc>
        <w:tc>
          <w:tcPr>
            <w:tcW w:w="1484" w:type="pct"/>
            <w:gridSpan w:val="2"/>
            <w:tcBorders>
              <w:top w:val="single" w:sz="4" w:space="0" w:color="auto"/>
              <w:left w:val="nil"/>
              <w:bottom w:val="single" w:sz="8" w:space="0" w:color="auto"/>
            </w:tcBorders>
            <w:shd w:val="clear" w:color="auto" w:fill="auto"/>
            <w:vAlign w:val="center"/>
          </w:tcPr>
          <w:p w14:paraId="5E084CEF" w14:textId="77777777" w:rsidR="00D37A31" w:rsidRPr="00887108" w:rsidRDefault="00D37A31" w:rsidP="00E9118E">
            <w:pPr>
              <w:jc w:val="center"/>
              <w:rPr>
                <w:rFonts w:cs="Times New Roman"/>
                <w:b/>
                <w:color w:val="000000"/>
                <w:sz w:val="18"/>
                <w:szCs w:val="18"/>
              </w:rPr>
            </w:pPr>
            <w:r w:rsidRPr="00887108">
              <w:rPr>
                <w:rFonts w:cs="Times New Roman"/>
                <w:b/>
                <w:color w:val="000000"/>
                <w:sz w:val="18"/>
                <w:szCs w:val="18"/>
              </w:rPr>
              <w:t>R 2023</w:t>
            </w:r>
          </w:p>
        </w:tc>
      </w:tr>
      <w:tr w:rsidR="00D37A31" w:rsidRPr="00887108" w14:paraId="3526E02E" w14:textId="77777777" w:rsidTr="00E9118E">
        <w:trPr>
          <w:trHeight w:val="291"/>
        </w:trPr>
        <w:tc>
          <w:tcPr>
            <w:tcW w:w="1954" w:type="pct"/>
            <w:tcBorders>
              <w:top w:val="single" w:sz="8" w:space="0" w:color="auto"/>
              <w:left w:val="nil"/>
              <w:bottom w:val="single" w:sz="4" w:space="0" w:color="auto"/>
            </w:tcBorders>
            <w:shd w:val="clear" w:color="auto" w:fill="auto"/>
            <w:noWrap/>
            <w:vAlign w:val="center"/>
            <w:hideMark/>
          </w:tcPr>
          <w:p w14:paraId="5E22B441" w14:textId="77777777" w:rsidR="00D37A31" w:rsidRPr="00887108" w:rsidRDefault="00D37A31" w:rsidP="00E9118E">
            <w:pPr>
              <w:rPr>
                <w:rFonts w:cs="Times New Roman"/>
                <w:b/>
                <w:bCs/>
                <w:color w:val="000000" w:themeColor="text1"/>
                <w:sz w:val="18"/>
                <w:szCs w:val="18"/>
              </w:rPr>
            </w:pPr>
            <w:r w:rsidRPr="00887108">
              <w:rPr>
                <w:rFonts w:cs="Times New Roman"/>
                <w:b/>
                <w:bCs/>
                <w:color w:val="000000" w:themeColor="text1"/>
                <w:sz w:val="18"/>
                <w:szCs w:val="18"/>
              </w:rPr>
              <w:t>S2 Indikátor (% HDP)</w:t>
            </w:r>
          </w:p>
        </w:tc>
        <w:tc>
          <w:tcPr>
            <w:tcW w:w="1562" w:type="pct"/>
            <w:gridSpan w:val="2"/>
            <w:tcBorders>
              <w:top w:val="single" w:sz="8" w:space="0" w:color="auto"/>
              <w:bottom w:val="single" w:sz="4" w:space="0" w:color="auto"/>
            </w:tcBorders>
            <w:shd w:val="clear" w:color="auto" w:fill="F9C9BA" w:themeFill="accent6"/>
            <w:noWrap/>
            <w:vAlign w:val="center"/>
          </w:tcPr>
          <w:p w14:paraId="746A1620" w14:textId="77777777" w:rsidR="00D37A31" w:rsidRPr="00887108" w:rsidRDefault="00D37A31" w:rsidP="00E9118E">
            <w:pPr>
              <w:jc w:val="center"/>
              <w:rPr>
                <w:rFonts w:cs="Times New Roman"/>
                <w:b/>
                <w:bCs/>
                <w:color w:val="000000" w:themeColor="text1"/>
                <w:sz w:val="18"/>
                <w:szCs w:val="18"/>
              </w:rPr>
            </w:pPr>
            <w:r w:rsidRPr="00887108">
              <w:rPr>
                <w:rFonts w:cs="Times New Roman"/>
                <w:b/>
                <w:sz w:val="18"/>
                <w:szCs w:val="18"/>
              </w:rPr>
              <w:t>8,4</w:t>
            </w:r>
          </w:p>
        </w:tc>
        <w:tc>
          <w:tcPr>
            <w:tcW w:w="1484" w:type="pct"/>
            <w:gridSpan w:val="2"/>
            <w:tcBorders>
              <w:top w:val="single" w:sz="8" w:space="0" w:color="auto"/>
              <w:bottom w:val="single" w:sz="4" w:space="0" w:color="auto"/>
            </w:tcBorders>
            <w:shd w:val="clear" w:color="auto" w:fill="F9C9BA" w:themeFill="accent6"/>
            <w:noWrap/>
            <w:vAlign w:val="center"/>
          </w:tcPr>
          <w:p w14:paraId="24DFB4C6" w14:textId="77777777" w:rsidR="00D37A31" w:rsidRPr="00887108" w:rsidRDefault="00D37A31" w:rsidP="00E9118E">
            <w:pPr>
              <w:jc w:val="center"/>
              <w:rPr>
                <w:rFonts w:cs="Times New Roman"/>
                <w:b/>
                <w:bCs/>
                <w:color w:val="000000" w:themeColor="text1"/>
                <w:sz w:val="18"/>
                <w:szCs w:val="18"/>
              </w:rPr>
            </w:pPr>
            <w:r w:rsidRPr="00887108">
              <w:rPr>
                <w:rFonts w:cs="Times New Roman"/>
                <w:b/>
                <w:bCs/>
                <w:color w:val="000000" w:themeColor="text1"/>
                <w:sz w:val="18"/>
                <w:szCs w:val="18"/>
              </w:rPr>
              <w:t>7,6</w:t>
            </w:r>
          </w:p>
        </w:tc>
      </w:tr>
      <w:tr w:rsidR="00D37A31" w:rsidRPr="00887108" w14:paraId="5F88D8DD" w14:textId="77777777" w:rsidTr="00E9118E">
        <w:trPr>
          <w:trHeight w:val="231"/>
        </w:trPr>
        <w:tc>
          <w:tcPr>
            <w:tcW w:w="1954" w:type="pct"/>
            <w:tcBorders>
              <w:top w:val="single" w:sz="4" w:space="0" w:color="auto"/>
              <w:left w:val="nil"/>
            </w:tcBorders>
            <w:shd w:val="clear" w:color="auto" w:fill="auto"/>
            <w:noWrap/>
            <w:vAlign w:val="center"/>
          </w:tcPr>
          <w:p w14:paraId="2F730CCB" w14:textId="77777777" w:rsidR="00D37A31" w:rsidRPr="00887108" w:rsidRDefault="00D37A31" w:rsidP="00E9118E">
            <w:pPr>
              <w:rPr>
                <w:rFonts w:cs="Times New Roman"/>
                <w:bCs/>
                <w:color w:val="000000"/>
                <w:sz w:val="18"/>
                <w:szCs w:val="18"/>
              </w:rPr>
            </w:pPr>
            <w:r w:rsidRPr="00887108">
              <w:rPr>
                <w:rFonts w:cs="Times New Roman"/>
                <w:bCs/>
                <w:color w:val="000000"/>
                <w:sz w:val="18"/>
                <w:szCs w:val="18"/>
              </w:rPr>
              <w:t>z toho:</w:t>
            </w:r>
          </w:p>
        </w:tc>
        <w:tc>
          <w:tcPr>
            <w:tcW w:w="859" w:type="pct"/>
            <w:tcBorders>
              <w:top w:val="single" w:sz="4" w:space="0" w:color="auto"/>
            </w:tcBorders>
            <w:shd w:val="clear" w:color="auto" w:fill="auto"/>
            <w:noWrap/>
            <w:vAlign w:val="center"/>
          </w:tcPr>
          <w:p w14:paraId="6BBE978B" w14:textId="77777777" w:rsidR="00D37A31" w:rsidRPr="00887108" w:rsidRDefault="00D37A31" w:rsidP="00E9118E">
            <w:pPr>
              <w:jc w:val="center"/>
              <w:rPr>
                <w:rFonts w:cs="Times New Roman"/>
                <w:b/>
                <w:bCs/>
                <w:color w:val="000000"/>
                <w:sz w:val="18"/>
                <w:szCs w:val="18"/>
              </w:rPr>
            </w:pPr>
          </w:p>
        </w:tc>
        <w:tc>
          <w:tcPr>
            <w:tcW w:w="702" w:type="pct"/>
            <w:tcBorders>
              <w:top w:val="single" w:sz="4" w:space="0" w:color="auto"/>
            </w:tcBorders>
            <w:shd w:val="clear" w:color="auto" w:fill="auto"/>
            <w:vAlign w:val="center"/>
          </w:tcPr>
          <w:p w14:paraId="09C89A7F" w14:textId="77777777" w:rsidR="00D37A31" w:rsidRPr="00887108" w:rsidRDefault="00D37A31" w:rsidP="00E9118E">
            <w:pPr>
              <w:jc w:val="center"/>
              <w:rPr>
                <w:rFonts w:cs="Times New Roman"/>
                <w:b/>
                <w:bCs/>
                <w:color w:val="000000"/>
                <w:sz w:val="18"/>
                <w:szCs w:val="18"/>
              </w:rPr>
            </w:pPr>
          </w:p>
        </w:tc>
        <w:tc>
          <w:tcPr>
            <w:tcW w:w="781" w:type="pct"/>
            <w:tcBorders>
              <w:top w:val="single" w:sz="4" w:space="0" w:color="auto"/>
            </w:tcBorders>
            <w:shd w:val="clear" w:color="auto" w:fill="auto"/>
            <w:noWrap/>
            <w:vAlign w:val="center"/>
          </w:tcPr>
          <w:p w14:paraId="6FDBBC4C" w14:textId="77777777" w:rsidR="00D37A31" w:rsidRPr="00887108" w:rsidRDefault="00D37A31" w:rsidP="00E9118E">
            <w:pPr>
              <w:jc w:val="center"/>
              <w:rPr>
                <w:rFonts w:cs="Times New Roman"/>
                <w:b/>
                <w:bCs/>
                <w:color w:val="000000"/>
                <w:sz w:val="18"/>
                <w:szCs w:val="18"/>
              </w:rPr>
            </w:pPr>
          </w:p>
        </w:tc>
        <w:tc>
          <w:tcPr>
            <w:tcW w:w="703" w:type="pct"/>
            <w:tcBorders>
              <w:top w:val="single" w:sz="4" w:space="0" w:color="auto"/>
            </w:tcBorders>
            <w:shd w:val="clear" w:color="auto" w:fill="auto"/>
            <w:vAlign w:val="center"/>
          </w:tcPr>
          <w:p w14:paraId="5BD3985C" w14:textId="77777777" w:rsidR="00D37A31" w:rsidRPr="00887108" w:rsidRDefault="00D37A31" w:rsidP="00E9118E">
            <w:pPr>
              <w:jc w:val="center"/>
              <w:rPr>
                <w:rFonts w:cs="Times New Roman"/>
                <w:b/>
                <w:bCs/>
                <w:color w:val="000000"/>
                <w:sz w:val="18"/>
                <w:szCs w:val="18"/>
              </w:rPr>
            </w:pPr>
          </w:p>
        </w:tc>
      </w:tr>
      <w:tr w:rsidR="00D37A31" w:rsidRPr="00887108" w14:paraId="2D0C5997" w14:textId="77777777" w:rsidTr="00E9118E">
        <w:trPr>
          <w:trHeight w:val="231"/>
        </w:trPr>
        <w:tc>
          <w:tcPr>
            <w:tcW w:w="1954" w:type="pct"/>
            <w:tcBorders>
              <w:left w:val="nil"/>
            </w:tcBorders>
            <w:shd w:val="clear" w:color="auto" w:fill="auto"/>
            <w:noWrap/>
            <w:vAlign w:val="center"/>
            <w:hideMark/>
          </w:tcPr>
          <w:p w14:paraId="1FF46F27"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Počiatočná rozpočtová pozícia</w:t>
            </w:r>
          </w:p>
        </w:tc>
        <w:tc>
          <w:tcPr>
            <w:tcW w:w="1562" w:type="pct"/>
            <w:gridSpan w:val="2"/>
            <w:shd w:val="clear" w:color="auto" w:fill="auto"/>
            <w:noWrap/>
            <w:vAlign w:val="center"/>
          </w:tcPr>
          <w:p w14:paraId="7F58EEF9"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3,5</w:t>
            </w:r>
          </w:p>
        </w:tc>
        <w:tc>
          <w:tcPr>
            <w:tcW w:w="1484" w:type="pct"/>
            <w:gridSpan w:val="2"/>
            <w:shd w:val="clear" w:color="auto" w:fill="auto"/>
            <w:noWrap/>
            <w:vAlign w:val="center"/>
          </w:tcPr>
          <w:p w14:paraId="11D4D56C"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2,6</w:t>
            </w:r>
          </w:p>
        </w:tc>
      </w:tr>
      <w:tr w:rsidR="00D37A31" w:rsidRPr="00887108" w14:paraId="47CB7808" w14:textId="77777777" w:rsidTr="00E9118E">
        <w:trPr>
          <w:trHeight w:val="231"/>
        </w:trPr>
        <w:tc>
          <w:tcPr>
            <w:tcW w:w="1954" w:type="pct"/>
            <w:tcBorders>
              <w:left w:val="nil"/>
            </w:tcBorders>
            <w:shd w:val="clear" w:color="auto" w:fill="auto"/>
            <w:noWrap/>
            <w:vAlign w:val="center"/>
            <w:hideMark/>
          </w:tcPr>
          <w:p w14:paraId="4DD5C906"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Výdavky na penzie</w:t>
            </w:r>
          </w:p>
        </w:tc>
        <w:tc>
          <w:tcPr>
            <w:tcW w:w="1562" w:type="pct"/>
            <w:gridSpan w:val="2"/>
            <w:shd w:val="clear" w:color="auto" w:fill="auto"/>
            <w:noWrap/>
            <w:vAlign w:val="center"/>
          </w:tcPr>
          <w:p w14:paraId="1D8DDCD9"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3,5</w:t>
            </w:r>
          </w:p>
        </w:tc>
        <w:tc>
          <w:tcPr>
            <w:tcW w:w="1484" w:type="pct"/>
            <w:gridSpan w:val="2"/>
            <w:shd w:val="clear" w:color="auto" w:fill="auto"/>
            <w:noWrap/>
            <w:vAlign w:val="center"/>
          </w:tcPr>
          <w:p w14:paraId="665E395C"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3,8</w:t>
            </w:r>
          </w:p>
        </w:tc>
      </w:tr>
      <w:tr w:rsidR="00D37A31" w:rsidRPr="00887108" w14:paraId="7A1F06D9" w14:textId="77777777" w:rsidTr="00E9118E">
        <w:trPr>
          <w:trHeight w:val="231"/>
        </w:trPr>
        <w:tc>
          <w:tcPr>
            <w:tcW w:w="1954" w:type="pct"/>
            <w:tcBorders>
              <w:left w:val="nil"/>
            </w:tcBorders>
            <w:shd w:val="clear" w:color="auto" w:fill="auto"/>
            <w:noWrap/>
            <w:vAlign w:val="center"/>
            <w:hideMark/>
          </w:tcPr>
          <w:p w14:paraId="63C89D2D"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Zdravotná a dlhodobá starostlivosť</w:t>
            </w:r>
          </w:p>
        </w:tc>
        <w:tc>
          <w:tcPr>
            <w:tcW w:w="1562" w:type="pct"/>
            <w:gridSpan w:val="2"/>
            <w:shd w:val="clear" w:color="auto" w:fill="auto"/>
            <w:noWrap/>
            <w:vAlign w:val="center"/>
          </w:tcPr>
          <w:p w14:paraId="2242B21F"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1,3</w:t>
            </w:r>
          </w:p>
        </w:tc>
        <w:tc>
          <w:tcPr>
            <w:tcW w:w="1484" w:type="pct"/>
            <w:gridSpan w:val="2"/>
            <w:shd w:val="clear" w:color="auto" w:fill="auto"/>
            <w:noWrap/>
            <w:vAlign w:val="center"/>
          </w:tcPr>
          <w:p w14:paraId="73B822E1"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1,2</w:t>
            </w:r>
          </w:p>
        </w:tc>
      </w:tr>
      <w:tr w:rsidR="00D37A31" w:rsidRPr="00887108" w14:paraId="3F202316" w14:textId="77777777" w:rsidTr="00E9118E">
        <w:trPr>
          <w:trHeight w:val="231"/>
        </w:trPr>
        <w:tc>
          <w:tcPr>
            <w:tcW w:w="1954" w:type="pct"/>
            <w:tcBorders>
              <w:left w:val="nil"/>
            </w:tcBorders>
            <w:shd w:val="clear" w:color="auto" w:fill="auto"/>
            <w:noWrap/>
            <w:vAlign w:val="bottom"/>
            <w:hideMark/>
          </w:tcPr>
          <w:p w14:paraId="1356AF71"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Výdavky na vzdelanie a dávky v nezamestnanosti</w:t>
            </w:r>
          </w:p>
        </w:tc>
        <w:tc>
          <w:tcPr>
            <w:tcW w:w="1562" w:type="pct"/>
            <w:gridSpan w:val="2"/>
            <w:shd w:val="clear" w:color="auto" w:fill="auto"/>
            <w:noWrap/>
            <w:vAlign w:val="center"/>
          </w:tcPr>
          <w:p w14:paraId="7F953838"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0,1</w:t>
            </w:r>
          </w:p>
        </w:tc>
        <w:tc>
          <w:tcPr>
            <w:tcW w:w="1484" w:type="pct"/>
            <w:gridSpan w:val="2"/>
            <w:shd w:val="clear" w:color="auto" w:fill="auto"/>
            <w:noWrap/>
            <w:vAlign w:val="center"/>
          </w:tcPr>
          <w:p w14:paraId="1A9AC910"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0,1</w:t>
            </w:r>
          </w:p>
        </w:tc>
      </w:tr>
      <w:tr w:rsidR="00D37A31" w:rsidRPr="00887108" w14:paraId="1C32A6BB" w14:textId="77777777" w:rsidTr="00E9118E">
        <w:trPr>
          <w:trHeight w:val="231"/>
        </w:trPr>
        <w:tc>
          <w:tcPr>
            <w:tcW w:w="1954" w:type="pct"/>
            <w:tcBorders>
              <w:left w:val="nil"/>
              <w:bottom w:val="single" w:sz="8" w:space="0" w:color="auto"/>
            </w:tcBorders>
            <w:shd w:val="clear" w:color="auto" w:fill="auto"/>
            <w:noWrap/>
            <w:vAlign w:val="center"/>
            <w:hideMark/>
          </w:tcPr>
          <w:p w14:paraId="4EEEC647" w14:textId="77777777" w:rsidR="00D37A31" w:rsidRPr="00887108" w:rsidRDefault="00D37A31" w:rsidP="00E9118E">
            <w:pPr>
              <w:rPr>
                <w:rFonts w:cs="Times New Roman"/>
                <w:color w:val="000000"/>
                <w:sz w:val="18"/>
                <w:szCs w:val="18"/>
              </w:rPr>
            </w:pPr>
            <w:r w:rsidRPr="00887108">
              <w:rPr>
                <w:rFonts w:cs="Times New Roman"/>
                <w:color w:val="000000"/>
                <w:sz w:val="18"/>
                <w:szCs w:val="18"/>
              </w:rPr>
              <w:t xml:space="preserve">  Výpadok príjmov kvôli druhému pilieru</w:t>
            </w:r>
          </w:p>
        </w:tc>
        <w:tc>
          <w:tcPr>
            <w:tcW w:w="1562" w:type="pct"/>
            <w:gridSpan w:val="2"/>
            <w:tcBorders>
              <w:bottom w:val="single" w:sz="8" w:space="0" w:color="auto"/>
            </w:tcBorders>
            <w:shd w:val="clear" w:color="auto" w:fill="auto"/>
            <w:noWrap/>
            <w:vAlign w:val="center"/>
          </w:tcPr>
          <w:p w14:paraId="39396FFB"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0,0</w:t>
            </w:r>
          </w:p>
        </w:tc>
        <w:tc>
          <w:tcPr>
            <w:tcW w:w="1484" w:type="pct"/>
            <w:gridSpan w:val="2"/>
            <w:tcBorders>
              <w:bottom w:val="single" w:sz="8" w:space="0" w:color="auto"/>
            </w:tcBorders>
            <w:shd w:val="clear" w:color="auto" w:fill="auto"/>
            <w:noWrap/>
            <w:vAlign w:val="center"/>
          </w:tcPr>
          <w:p w14:paraId="6B89B005" w14:textId="77777777" w:rsidR="00D37A31" w:rsidRPr="00887108" w:rsidRDefault="00D37A31" w:rsidP="00E9118E">
            <w:pPr>
              <w:jc w:val="center"/>
              <w:rPr>
                <w:rFonts w:cs="Times New Roman"/>
                <w:color w:val="000000"/>
                <w:sz w:val="18"/>
                <w:szCs w:val="18"/>
              </w:rPr>
            </w:pPr>
            <w:r w:rsidRPr="00887108">
              <w:rPr>
                <w:rFonts w:cs="Times New Roman"/>
                <w:color w:val="000000"/>
                <w:sz w:val="18"/>
                <w:szCs w:val="18"/>
              </w:rPr>
              <w:t>-0,1</w:t>
            </w:r>
          </w:p>
        </w:tc>
      </w:tr>
    </w:tbl>
    <w:p w14:paraId="5E331199" w14:textId="77777777" w:rsidR="00D37A31" w:rsidRPr="00887108" w:rsidRDefault="00D37A31" w:rsidP="00D37A31"/>
    <w:p w14:paraId="6837073A" w14:textId="77777777" w:rsidR="00D37A31" w:rsidRPr="00887108" w:rsidRDefault="00D37A31" w:rsidP="00D37A31">
      <w:r w:rsidRPr="00887108">
        <w:br w:type="page"/>
      </w:r>
    </w:p>
    <w:p w14:paraId="221D2473" w14:textId="6D06BA52" w:rsidR="00D37A31" w:rsidRPr="00887108" w:rsidRDefault="00D37A31" w:rsidP="00D37A31">
      <w:pPr>
        <w:pStyle w:val="Nadpis3"/>
        <w:spacing w:after="120"/>
      </w:pPr>
      <w:r w:rsidRPr="00887108">
        <w:rPr>
          <w:color w:val="2C9ADC" w:themeColor="accent1"/>
          <w:sz w:val="24"/>
          <w:szCs w:val="24"/>
        </w:rPr>
        <w:t xml:space="preserve">Príloha </w:t>
      </w:r>
      <w:r w:rsidR="00A918CA" w:rsidRPr="00887108">
        <w:rPr>
          <w:color w:val="2C9ADC" w:themeColor="accent1"/>
          <w:sz w:val="24"/>
          <w:szCs w:val="24"/>
        </w:rPr>
        <w:t>8</w:t>
      </w:r>
      <w:r w:rsidRPr="00887108">
        <w:rPr>
          <w:color w:val="2C9ADC" w:themeColor="accent1"/>
          <w:sz w:val="24"/>
          <w:szCs w:val="24"/>
        </w:rPr>
        <w:t xml:space="preserve"> – Hodnotenie udržateľnosti verejných financií podľa Európskej komisie</w:t>
      </w:r>
    </w:p>
    <w:p w14:paraId="0F0B049B" w14:textId="77777777" w:rsidR="00D37A31" w:rsidRPr="00887108" w:rsidRDefault="00D37A31" w:rsidP="00D37A31">
      <w:pPr>
        <w:jc w:val="both"/>
        <w:rPr>
          <w:b/>
        </w:rPr>
      </w:pPr>
      <w:r w:rsidRPr="00887108">
        <w:rPr>
          <w:b/>
        </w:rPr>
        <w:t>Udržateľnosť verejných financií Slovenska sa podľa Hodnotenia Európskej komisie z januára 2020 zhoršila.   Aj napriek negatívnejším hodnotám sa indikátory udržateľnosti udržali v pásme nízkeho rizika v strednodobom horizonte (S1) resp. stredného rizika z dlhodobej perspektívy (S2). Výrazným obmedzením aktuálneho hodnotenia EK je nezohľadnenie prijatých legislatívnych opatrení z rokov 2019 a 2020 a tiež očakávaného výrazného zhoršenia ekonomického vývoja z dôvodu vypuknutia pandémie COVID19, ktorá sa prejaví aj v dodatočne zhoršenej východiskovej bilancie príjmov a výdavkov.</w:t>
      </w:r>
    </w:p>
    <w:p w14:paraId="34BC787D" w14:textId="77777777" w:rsidR="00D37A31" w:rsidRPr="00887108" w:rsidRDefault="00D37A31" w:rsidP="00D37A31">
      <w:pPr>
        <w:jc w:val="both"/>
      </w:pPr>
    </w:p>
    <w:p w14:paraId="3D672682" w14:textId="77777777" w:rsidR="00D37A31" w:rsidRPr="00887108" w:rsidRDefault="00D37A31" w:rsidP="00D37A31">
      <w:pPr>
        <w:jc w:val="both"/>
      </w:pPr>
      <w:r w:rsidRPr="00887108">
        <w:rPr>
          <w:b/>
        </w:rPr>
        <w:t>Podľa pravidelných hodnotení Európskej komisie dosahovalo Slovensko v posledných rokoch v udržateľnosti verejných financií stabilné výsledky.</w:t>
      </w:r>
      <w:r w:rsidRPr="00887108">
        <w:t xml:space="preserve"> V porovnaní s minulým rokom však dochádza v aktuálnom období k ich výraznejšiemu zhoršeniu. Hlavným dôvodom je negatívnejší odhad vývoja verejných financií konkrétne primárneho salda a hrubého dlhu . Komponenty citlivé na starnutie obyvateľstva zaznamenali len minimálne zmeny, keďže aktuálne hodnotenie vychádza takmer z rovnakých predpokladov o dlhodobých projekciách výdavkov na starnutie ako predošlé (AWG 2018). </w:t>
      </w:r>
    </w:p>
    <w:p w14:paraId="393D0D90" w14:textId="77777777" w:rsidR="00D37A31" w:rsidRPr="00887108" w:rsidRDefault="00D37A31" w:rsidP="00D37A31">
      <w:pPr>
        <w:jc w:val="both"/>
      </w:pPr>
    </w:p>
    <w:p w14:paraId="763E19F6" w14:textId="6E728B50" w:rsidR="00D37A31" w:rsidRPr="00887108" w:rsidRDefault="00D37A31" w:rsidP="00D37A31">
      <w:pPr>
        <w:jc w:val="both"/>
      </w:pPr>
      <w:r w:rsidRPr="00887108">
        <w:rPr>
          <w:b/>
        </w:rPr>
        <w:t>Ukazovateľ strednodobej udržateľnosti (S1) dosahuje zápornú hodnotu (-1,8 % HDP). V porovnaní s predošlým hodnotením došlo celkovo k zhoršeniu indikátora o 1,1 % HDP. Hodnota naďalej nepoukazuje na potrebu dodatočnej konsolidácie, aby sa dlh udržal pod referenčnou úrovňou 60 % HDP (do roku 2034).</w:t>
      </w:r>
      <w:r w:rsidRPr="00887108">
        <w:t xml:space="preserve"> Najvýraznejšie sa na zmene S1 prejavilo zhoršenie príspevku počiatočnej rozpočtovej pozície o 1,0 p.b</w:t>
      </w:r>
      <w:r w:rsidR="00343B57" w:rsidRPr="00887108">
        <w:t xml:space="preserve">. </w:t>
      </w:r>
      <w:r w:rsidRPr="00887108">
        <w:t>súvisiaceho s aktualizovanou prognózou EK (príspevok -0,7 % HDP). Riziká vyplývajúce z výšky hrubého dlhu očakávanou pre rok 2021 (príspevok -1,2 % HDP) a predpoklady o zmene nákladov na starnutie (príspevok +0,1 % HDP) prispeli k zmene indikátora S1 len kozmeticky (zmena o 0,1 p.b.).</w:t>
      </w:r>
    </w:p>
    <w:p w14:paraId="4776EB9A" w14:textId="77777777" w:rsidR="00D37A31" w:rsidRPr="00887108" w:rsidRDefault="00D37A31" w:rsidP="00D37A31">
      <w:pPr>
        <w:jc w:val="both"/>
      </w:pPr>
    </w:p>
    <w:p w14:paraId="383948E4" w14:textId="77777777" w:rsidR="00D37A31" w:rsidRPr="00887108" w:rsidRDefault="00D37A31" w:rsidP="00D37A31">
      <w:pPr>
        <w:jc w:val="both"/>
      </w:pPr>
      <w:r w:rsidRPr="00887108">
        <w:rPr>
          <w:b/>
        </w:rPr>
        <w:t xml:space="preserve">Ukazovateľ dlhodobej udržateľnosti (S2) podľa EK naďalej indikuje stredné riziká v dlhodobom horizonte (+3,8 % HDP). V porovnaní s predošlým hodnotením došlo k jeho zhoršeniu o 1,3 % HDP. </w:t>
      </w:r>
      <w:r w:rsidRPr="00887108">
        <w:t>Hlavným dôvodom je podobne ako v prípade S1 aktualizácia počiatočnej rozpočtovej pozície, ktorá prispela k zhoršeniu S2 o 1,2 % HDP (príspevok +1,3 % HDP). Ostatné komponenty ako sú nárast nákladov na dôchodky (príspevok +1,1 % HDP), zdravotnú starostlivosť (príspevok +0,9 % HDP) a dlhodobú starostlivosť (príspevok +0,4 HDP) spôsobili len minimálne zmeny ukazovateľa (zmena o 0,2 p.b.).</w:t>
      </w:r>
    </w:p>
    <w:p w14:paraId="08AE136C" w14:textId="77777777" w:rsidR="00D37A31" w:rsidRPr="00887108" w:rsidRDefault="00D37A31" w:rsidP="00D37A31">
      <w:pPr>
        <w:jc w:val="both"/>
      </w:pPr>
    </w:p>
    <w:p w14:paraId="192BB961" w14:textId="77777777" w:rsidR="00D37A31" w:rsidRPr="00887108" w:rsidRDefault="00D37A31" w:rsidP="00D37A31">
      <w:pPr>
        <w:jc w:val="both"/>
      </w:pPr>
      <w:r w:rsidRPr="00887108">
        <w:t>Aj v aktuálnom hodnotení analyzovala EK nepriaznivejší scenár vývoja indikátora S2, zohľadnením rizikovejšieho vývoja v oblasti zdravotnej starostlivosti a dlhodobej starostlivosti. Tento scenár aktuálne indikuje hodnotu S2 na úrovni 5,8 % HDP, teda tesne pod hranicou vysokého rizika dlhodobej udržateľnosti</w:t>
      </w:r>
      <w:r w:rsidRPr="00887108">
        <w:rPr>
          <w:rStyle w:val="Odkaznapoznmkupodiarou"/>
          <w:b/>
          <w:sz w:val="20"/>
          <w:szCs w:val="20"/>
          <w:lang w:val="sk-SK"/>
        </w:rPr>
        <w:footnoteReference w:id="91"/>
      </w:r>
      <w:r w:rsidRPr="00887108">
        <w:rPr>
          <w:sz w:val="20"/>
          <w:szCs w:val="20"/>
        </w:rPr>
        <w:t>.</w:t>
      </w:r>
    </w:p>
    <w:p w14:paraId="3D7378FC" w14:textId="77777777" w:rsidR="00D37A31" w:rsidRPr="00887108" w:rsidRDefault="00D37A31" w:rsidP="00D37A31">
      <w:r w:rsidRPr="00887108">
        <w:br w:type="page"/>
      </w:r>
    </w:p>
    <w:p w14:paraId="11F51E9C" w14:textId="09C47FB2" w:rsidR="00D37A31" w:rsidRPr="00887108" w:rsidRDefault="00D37A31" w:rsidP="00D37A31">
      <w:pPr>
        <w:pStyle w:val="Nadpis3"/>
        <w:spacing w:after="120"/>
        <w:rPr>
          <w:color w:val="2C9ADC" w:themeColor="accent1"/>
          <w:sz w:val="24"/>
          <w:szCs w:val="24"/>
        </w:rPr>
      </w:pPr>
      <w:bookmarkStart w:id="184" w:name="_Ref6313944"/>
      <w:r w:rsidRPr="00887108">
        <w:rPr>
          <w:color w:val="2C9ADC" w:themeColor="accent1"/>
          <w:sz w:val="24"/>
          <w:szCs w:val="24"/>
        </w:rPr>
        <w:t xml:space="preserve">Príloha </w:t>
      </w:r>
      <w:r w:rsidR="00A918CA" w:rsidRPr="00887108">
        <w:rPr>
          <w:color w:val="2C9ADC" w:themeColor="accent1"/>
          <w:sz w:val="24"/>
          <w:szCs w:val="24"/>
        </w:rPr>
        <w:t>9</w:t>
      </w:r>
      <w:r w:rsidRPr="00887108">
        <w:rPr>
          <w:color w:val="2C9ADC" w:themeColor="accent1"/>
          <w:sz w:val="24"/>
          <w:szCs w:val="24"/>
        </w:rPr>
        <w:t xml:space="preserve"> - Zoznam opatrení vplývajúcich na saldo verejnej správy v rokoch 2020 až 202</w:t>
      </w:r>
      <w:bookmarkEnd w:id="184"/>
      <w:r w:rsidRPr="00887108">
        <w:rPr>
          <w:color w:val="2C9ADC" w:themeColor="accent1"/>
          <w:sz w:val="24"/>
          <w:szCs w:val="24"/>
        </w:rPr>
        <w:t>3</w:t>
      </w:r>
    </w:p>
    <w:p w14:paraId="03A40FF5" w14:textId="47B7D36F" w:rsidR="00D37A31" w:rsidRPr="00887108" w:rsidRDefault="00D37A31" w:rsidP="00D37A31">
      <w:pPr>
        <w:jc w:val="both"/>
      </w:pPr>
      <w:r w:rsidRPr="00887108">
        <w:rPr>
          <w:b/>
        </w:rPr>
        <w:t xml:space="preserve">Scenár nezmenených politík popisuje vývoj položiek podľa predpokladov makroekonomickej prognózy, ale aj na základe opatrení, o ktorých bolo rozhodnuté pred 1. januárom 2020. </w:t>
      </w:r>
      <w:r w:rsidRPr="00887108">
        <w:t xml:space="preserve">V tabuľke nižšie sú uvedené všetky rozpočtové opatrenia, ktoré </w:t>
      </w:r>
      <w:r w:rsidR="00BA46EB" w:rsidRPr="00887108">
        <w:t>vplývajú</w:t>
      </w:r>
      <w:r w:rsidRPr="00887108">
        <w:t xml:space="preserve"> na zmenu salda VS v rokoch 2020 až 2023 (oproti roku 2019), a to bez ohľadu na dátum rozhodnutia o danom opatrení.</w:t>
      </w:r>
      <w:r w:rsidR="00E9118E" w:rsidRPr="00887108">
        <w:t xml:space="preserve"> O opatreniach súvisiacich s vypuknutím pandémia sa z dôvodu ich jednorazovosti </w:t>
      </w:r>
      <w:r w:rsidR="00BF044B" w:rsidRPr="00887108">
        <w:t>v nasledujúc</w:t>
      </w:r>
      <w:r w:rsidR="0082416B" w:rsidRPr="00887108">
        <w:t>ej tabuľk</w:t>
      </w:r>
      <w:r w:rsidR="00BF044B" w:rsidRPr="00887108">
        <w:t>e</w:t>
      </w:r>
      <w:r w:rsidR="0082416B" w:rsidRPr="00887108">
        <w:t xml:space="preserve"> neuvažuje.</w:t>
      </w:r>
    </w:p>
    <w:p w14:paraId="4804CFD8" w14:textId="77777777" w:rsidR="00D37A31" w:rsidRPr="00887108" w:rsidRDefault="00D37A31" w:rsidP="00D37A31">
      <w:pPr>
        <w:rPr>
          <w:highlight w:val="yellow"/>
        </w:rPr>
      </w:pPr>
    </w:p>
    <w:p w14:paraId="7BA660E4" w14:textId="7C6A917C" w:rsidR="00D37A31" w:rsidRPr="00887108" w:rsidRDefault="00683A4A" w:rsidP="00D37A31">
      <w:pPr>
        <w:rPr>
          <w:b/>
          <w:color w:val="2C9ADC" w:themeColor="accent1"/>
          <w:sz w:val="20"/>
          <w:szCs w:val="20"/>
        </w:rPr>
      </w:pPr>
      <w:bookmarkStart w:id="185" w:name="_Toc40186700"/>
      <w:r w:rsidRPr="00887108">
        <w:rPr>
          <w:rFonts w:eastAsiaTheme="minorHAnsi"/>
          <w:b/>
          <w:color w:val="2C9ADC" w:themeColor="accent1"/>
          <w:sz w:val="20"/>
          <w:szCs w:val="20"/>
          <w:lang w:eastAsia="en-US"/>
        </w:rPr>
        <w:t xml:space="preserve">TABUĽKA </w:t>
      </w:r>
      <w:r w:rsidRPr="00887108">
        <w:rPr>
          <w:rFonts w:eastAsiaTheme="minorHAnsi"/>
          <w:b/>
          <w:color w:val="2C9ADC" w:themeColor="accent1"/>
          <w:sz w:val="20"/>
          <w:szCs w:val="20"/>
          <w:lang w:eastAsia="en-US"/>
        </w:rPr>
        <w:fldChar w:fldCharType="begin"/>
      </w:r>
      <w:r w:rsidRPr="00887108">
        <w:rPr>
          <w:rFonts w:eastAsiaTheme="minorHAnsi"/>
          <w:b/>
          <w:color w:val="2C9ADC" w:themeColor="accent1"/>
          <w:sz w:val="20"/>
          <w:szCs w:val="20"/>
          <w:lang w:eastAsia="en-US"/>
        </w:rPr>
        <w:instrText xml:space="preserve"> SEQ TABUĽKA \* ARABIC </w:instrText>
      </w:r>
      <w:r w:rsidRPr="00887108">
        <w:rPr>
          <w:rFonts w:eastAsiaTheme="minorHAnsi"/>
          <w:b/>
          <w:color w:val="2C9ADC" w:themeColor="accent1"/>
          <w:sz w:val="20"/>
          <w:szCs w:val="20"/>
          <w:lang w:eastAsia="en-US"/>
        </w:rPr>
        <w:fldChar w:fldCharType="separate"/>
      </w:r>
      <w:r w:rsidR="00D47A36">
        <w:rPr>
          <w:rFonts w:eastAsiaTheme="minorHAnsi"/>
          <w:b/>
          <w:noProof/>
          <w:color w:val="2C9ADC" w:themeColor="accent1"/>
          <w:sz w:val="20"/>
          <w:szCs w:val="20"/>
          <w:lang w:eastAsia="en-US"/>
        </w:rPr>
        <w:t>23</w:t>
      </w:r>
      <w:r w:rsidRPr="00887108">
        <w:rPr>
          <w:rFonts w:eastAsiaTheme="minorHAnsi"/>
          <w:b/>
          <w:color w:val="2C9ADC" w:themeColor="accent1"/>
          <w:sz w:val="20"/>
          <w:szCs w:val="20"/>
          <w:lang w:eastAsia="en-US"/>
        </w:rPr>
        <w:fldChar w:fldCharType="end"/>
      </w:r>
      <w:r w:rsidR="00D37A31" w:rsidRPr="00887108">
        <w:rPr>
          <w:b/>
          <w:color w:val="2C9ADC" w:themeColor="accent1"/>
          <w:sz w:val="20"/>
          <w:szCs w:val="20"/>
        </w:rPr>
        <w:t xml:space="preserve"> - Zoznam opatrení (vplyv v porovnaní s bázou 2019), mil. eur</w:t>
      </w:r>
      <w:bookmarkEnd w:id="185"/>
    </w:p>
    <w:p w14:paraId="64FBE413" w14:textId="77777777" w:rsidR="00E9118E" w:rsidRPr="00887108" w:rsidRDefault="00E9118E" w:rsidP="00D37A31">
      <w:pPr>
        <w:rPr>
          <w:b/>
          <w:color w:val="2C9ADC" w:themeColor="accent1"/>
          <w:sz w:val="20"/>
          <w:szCs w:val="20"/>
          <w:highlight w:val="yellow"/>
        </w:rPr>
      </w:pPr>
    </w:p>
    <w:tbl>
      <w:tblPr>
        <w:tblW w:w="9070" w:type="dxa"/>
        <w:tblCellMar>
          <w:left w:w="70" w:type="dxa"/>
          <w:right w:w="70" w:type="dxa"/>
        </w:tblCellMar>
        <w:tblLook w:val="04A0" w:firstRow="1" w:lastRow="0" w:firstColumn="1" w:lastColumn="0" w:noHBand="0" w:noVBand="1"/>
      </w:tblPr>
      <w:tblGrid>
        <w:gridCol w:w="6395"/>
        <w:gridCol w:w="628"/>
        <w:gridCol w:w="665"/>
        <w:gridCol w:w="717"/>
        <w:gridCol w:w="665"/>
      </w:tblGrid>
      <w:tr w:rsidR="00E9118E" w:rsidRPr="00887108" w14:paraId="5FCDACFC" w14:textId="77777777" w:rsidTr="004C1271">
        <w:trPr>
          <w:trHeight w:val="257"/>
        </w:trPr>
        <w:tc>
          <w:tcPr>
            <w:tcW w:w="6395" w:type="dxa"/>
            <w:tcBorders>
              <w:top w:val="nil"/>
              <w:left w:val="nil"/>
              <w:bottom w:val="single" w:sz="4" w:space="0" w:color="auto"/>
              <w:right w:val="nil"/>
            </w:tcBorders>
            <w:shd w:val="clear" w:color="auto" w:fill="auto"/>
            <w:noWrap/>
            <w:hideMark/>
          </w:tcPr>
          <w:p w14:paraId="6A195A2E" w14:textId="77777777" w:rsidR="00E9118E" w:rsidRPr="00887108" w:rsidRDefault="00E9118E" w:rsidP="00E9118E">
            <w:pPr>
              <w:rPr>
                <w:rFonts w:cs="Times New Roman"/>
                <w:b/>
                <w:bCs/>
                <w:color w:val="000000"/>
                <w:sz w:val="20"/>
                <w:szCs w:val="20"/>
              </w:rPr>
            </w:pPr>
            <w:r w:rsidRPr="00887108">
              <w:rPr>
                <w:rFonts w:cs="Times New Roman"/>
                <w:b/>
                <w:bCs/>
                <w:color w:val="000000"/>
                <w:sz w:val="20"/>
                <w:szCs w:val="20"/>
              </w:rPr>
              <w:t>Príjmové opatrenie - PS 2020 (oproti báze 2019)</w:t>
            </w:r>
          </w:p>
        </w:tc>
        <w:tc>
          <w:tcPr>
            <w:tcW w:w="628" w:type="dxa"/>
            <w:tcBorders>
              <w:top w:val="nil"/>
              <w:left w:val="nil"/>
              <w:bottom w:val="single" w:sz="4" w:space="0" w:color="auto"/>
              <w:right w:val="nil"/>
            </w:tcBorders>
            <w:shd w:val="clear" w:color="auto" w:fill="auto"/>
            <w:noWrap/>
            <w:hideMark/>
          </w:tcPr>
          <w:p w14:paraId="69A58753"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2020</w:t>
            </w:r>
          </w:p>
        </w:tc>
        <w:tc>
          <w:tcPr>
            <w:tcW w:w="665" w:type="dxa"/>
            <w:tcBorders>
              <w:top w:val="nil"/>
              <w:left w:val="nil"/>
              <w:bottom w:val="single" w:sz="4" w:space="0" w:color="auto"/>
              <w:right w:val="nil"/>
            </w:tcBorders>
            <w:shd w:val="clear" w:color="auto" w:fill="auto"/>
            <w:noWrap/>
            <w:hideMark/>
          </w:tcPr>
          <w:p w14:paraId="0E457B95"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2021</w:t>
            </w:r>
          </w:p>
        </w:tc>
        <w:tc>
          <w:tcPr>
            <w:tcW w:w="717" w:type="dxa"/>
            <w:tcBorders>
              <w:top w:val="nil"/>
              <w:left w:val="nil"/>
              <w:bottom w:val="single" w:sz="4" w:space="0" w:color="auto"/>
              <w:right w:val="nil"/>
            </w:tcBorders>
            <w:shd w:val="clear" w:color="auto" w:fill="auto"/>
            <w:noWrap/>
            <w:hideMark/>
          </w:tcPr>
          <w:p w14:paraId="1AA2C358"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2022</w:t>
            </w:r>
          </w:p>
        </w:tc>
        <w:tc>
          <w:tcPr>
            <w:tcW w:w="665" w:type="dxa"/>
            <w:tcBorders>
              <w:top w:val="nil"/>
              <w:left w:val="nil"/>
              <w:bottom w:val="single" w:sz="4" w:space="0" w:color="auto"/>
              <w:right w:val="nil"/>
            </w:tcBorders>
            <w:shd w:val="clear" w:color="auto" w:fill="auto"/>
            <w:noWrap/>
            <w:hideMark/>
          </w:tcPr>
          <w:p w14:paraId="712CD3FE"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2023</w:t>
            </w:r>
          </w:p>
        </w:tc>
      </w:tr>
      <w:tr w:rsidR="00BB22C5" w:rsidRPr="00887108" w14:paraId="360AA097" w14:textId="77777777" w:rsidTr="004C1271">
        <w:trPr>
          <w:trHeight w:val="257"/>
        </w:trPr>
        <w:tc>
          <w:tcPr>
            <w:tcW w:w="6395" w:type="dxa"/>
            <w:tcBorders>
              <w:top w:val="nil"/>
              <w:left w:val="nil"/>
              <w:bottom w:val="nil"/>
              <w:right w:val="nil"/>
            </w:tcBorders>
            <w:shd w:val="clear" w:color="auto" w:fill="auto"/>
            <w:hideMark/>
          </w:tcPr>
          <w:p w14:paraId="7072272C" w14:textId="77777777" w:rsidR="00BB22C5" w:rsidRPr="00887108" w:rsidRDefault="00BB22C5" w:rsidP="00BB22C5">
            <w:pPr>
              <w:rPr>
                <w:rFonts w:cs="Times New Roman"/>
                <w:color w:val="000000"/>
                <w:sz w:val="20"/>
                <w:szCs w:val="20"/>
              </w:rPr>
            </w:pPr>
            <w:r w:rsidRPr="00887108">
              <w:rPr>
                <w:rFonts w:cs="Times New Roman"/>
                <w:color w:val="000000"/>
                <w:sz w:val="20"/>
                <w:szCs w:val="20"/>
              </w:rPr>
              <w:t>Zavedenie 13. a 14. platu (zavedenie od 2018, legislatívne zmeny od 2019)</w:t>
            </w:r>
          </w:p>
        </w:tc>
        <w:tc>
          <w:tcPr>
            <w:tcW w:w="628" w:type="dxa"/>
            <w:tcBorders>
              <w:top w:val="nil"/>
              <w:left w:val="nil"/>
              <w:bottom w:val="nil"/>
              <w:right w:val="nil"/>
            </w:tcBorders>
            <w:shd w:val="clear" w:color="auto" w:fill="auto"/>
            <w:noWrap/>
            <w:hideMark/>
          </w:tcPr>
          <w:p w14:paraId="6655A4D7" w14:textId="78F0050B" w:rsidR="00BB22C5" w:rsidRPr="00887108" w:rsidRDefault="00BB22C5" w:rsidP="00BB22C5">
            <w:pPr>
              <w:jc w:val="right"/>
              <w:rPr>
                <w:rFonts w:cs="Times New Roman"/>
                <w:color w:val="000000"/>
                <w:sz w:val="20"/>
                <w:szCs w:val="20"/>
                <w:highlight w:val="yellow"/>
              </w:rPr>
            </w:pPr>
            <w:r w:rsidRPr="00887108">
              <w:rPr>
                <w:sz w:val="20"/>
              </w:rPr>
              <w:t>-10</w:t>
            </w:r>
          </w:p>
        </w:tc>
        <w:tc>
          <w:tcPr>
            <w:tcW w:w="665" w:type="dxa"/>
            <w:tcBorders>
              <w:top w:val="nil"/>
              <w:left w:val="nil"/>
              <w:bottom w:val="nil"/>
              <w:right w:val="nil"/>
            </w:tcBorders>
            <w:shd w:val="clear" w:color="auto" w:fill="auto"/>
            <w:noWrap/>
            <w:hideMark/>
          </w:tcPr>
          <w:p w14:paraId="7EA1AEA2" w14:textId="7E8EB883" w:rsidR="00BB22C5" w:rsidRPr="00887108" w:rsidRDefault="00BB22C5" w:rsidP="00BB22C5">
            <w:pPr>
              <w:jc w:val="right"/>
              <w:rPr>
                <w:rFonts w:cs="Times New Roman"/>
                <w:color w:val="000000"/>
                <w:sz w:val="20"/>
                <w:szCs w:val="20"/>
                <w:highlight w:val="yellow"/>
              </w:rPr>
            </w:pPr>
            <w:r w:rsidRPr="00887108">
              <w:rPr>
                <w:sz w:val="20"/>
              </w:rPr>
              <w:t>-53</w:t>
            </w:r>
          </w:p>
        </w:tc>
        <w:tc>
          <w:tcPr>
            <w:tcW w:w="717" w:type="dxa"/>
            <w:tcBorders>
              <w:top w:val="nil"/>
              <w:left w:val="nil"/>
              <w:bottom w:val="nil"/>
              <w:right w:val="nil"/>
            </w:tcBorders>
            <w:shd w:val="clear" w:color="auto" w:fill="auto"/>
            <w:noWrap/>
            <w:hideMark/>
          </w:tcPr>
          <w:p w14:paraId="1BB57796" w14:textId="52E34648" w:rsidR="00BB22C5" w:rsidRPr="00887108" w:rsidRDefault="00BB22C5" w:rsidP="00BB22C5">
            <w:pPr>
              <w:jc w:val="right"/>
              <w:rPr>
                <w:rFonts w:cs="Times New Roman"/>
                <w:color w:val="000000"/>
                <w:sz w:val="20"/>
                <w:szCs w:val="20"/>
                <w:highlight w:val="yellow"/>
              </w:rPr>
            </w:pPr>
            <w:r w:rsidRPr="00887108">
              <w:rPr>
                <w:sz w:val="20"/>
              </w:rPr>
              <w:t>-50</w:t>
            </w:r>
          </w:p>
        </w:tc>
        <w:tc>
          <w:tcPr>
            <w:tcW w:w="665" w:type="dxa"/>
            <w:tcBorders>
              <w:top w:val="nil"/>
              <w:left w:val="nil"/>
              <w:bottom w:val="nil"/>
              <w:right w:val="nil"/>
            </w:tcBorders>
            <w:shd w:val="clear" w:color="auto" w:fill="auto"/>
            <w:noWrap/>
            <w:hideMark/>
          </w:tcPr>
          <w:p w14:paraId="1BB97D5A" w14:textId="0EF2CB9D" w:rsidR="00BB22C5" w:rsidRPr="00887108" w:rsidRDefault="00BB22C5" w:rsidP="00BB22C5">
            <w:pPr>
              <w:jc w:val="right"/>
              <w:rPr>
                <w:rFonts w:cs="Times New Roman"/>
                <w:color w:val="000000"/>
                <w:sz w:val="20"/>
                <w:szCs w:val="20"/>
                <w:highlight w:val="yellow"/>
              </w:rPr>
            </w:pPr>
            <w:r w:rsidRPr="00887108">
              <w:rPr>
                <w:sz w:val="20"/>
              </w:rPr>
              <w:t>-50</w:t>
            </w:r>
          </w:p>
        </w:tc>
      </w:tr>
      <w:tr w:rsidR="00BB22C5" w:rsidRPr="00887108" w14:paraId="4C320CE9" w14:textId="77777777" w:rsidTr="004C1271">
        <w:trPr>
          <w:trHeight w:val="257"/>
        </w:trPr>
        <w:tc>
          <w:tcPr>
            <w:tcW w:w="6395" w:type="dxa"/>
            <w:tcBorders>
              <w:top w:val="nil"/>
              <w:left w:val="nil"/>
              <w:bottom w:val="nil"/>
              <w:right w:val="nil"/>
            </w:tcBorders>
            <w:shd w:val="clear" w:color="auto" w:fill="auto"/>
            <w:hideMark/>
          </w:tcPr>
          <w:p w14:paraId="50BF91DA" w14:textId="77777777" w:rsidR="00BB22C5" w:rsidRPr="00887108" w:rsidRDefault="00BB22C5" w:rsidP="00BB22C5">
            <w:pPr>
              <w:rPr>
                <w:rFonts w:cs="Times New Roman"/>
                <w:color w:val="000000"/>
                <w:sz w:val="20"/>
                <w:szCs w:val="20"/>
              </w:rPr>
            </w:pPr>
            <w:r w:rsidRPr="00887108">
              <w:rPr>
                <w:rFonts w:cs="Times New Roman"/>
                <w:color w:val="000000"/>
                <w:sz w:val="20"/>
                <w:szCs w:val="20"/>
              </w:rPr>
              <w:t>Oslobodenie nepeňažného benefitu pre zamestnanca na ubytovanie</w:t>
            </w:r>
          </w:p>
        </w:tc>
        <w:tc>
          <w:tcPr>
            <w:tcW w:w="628" w:type="dxa"/>
            <w:tcBorders>
              <w:top w:val="nil"/>
              <w:left w:val="nil"/>
              <w:bottom w:val="nil"/>
              <w:right w:val="nil"/>
            </w:tcBorders>
            <w:shd w:val="clear" w:color="auto" w:fill="auto"/>
            <w:noWrap/>
            <w:hideMark/>
          </w:tcPr>
          <w:p w14:paraId="604B3F98" w14:textId="49042CA9" w:rsidR="00BB22C5" w:rsidRPr="00887108" w:rsidRDefault="00BB22C5" w:rsidP="00BB22C5">
            <w:pPr>
              <w:jc w:val="right"/>
              <w:rPr>
                <w:rFonts w:cs="Times New Roman"/>
                <w:color w:val="000000"/>
                <w:sz w:val="20"/>
                <w:szCs w:val="20"/>
                <w:highlight w:val="yellow"/>
              </w:rPr>
            </w:pPr>
            <w:r w:rsidRPr="00887108">
              <w:rPr>
                <w:sz w:val="20"/>
              </w:rPr>
              <w:t>6</w:t>
            </w:r>
          </w:p>
        </w:tc>
        <w:tc>
          <w:tcPr>
            <w:tcW w:w="665" w:type="dxa"/>
            <w:tcBorders>
              <w:top w:val="nil"/>
              <w:left w:val="nil"/>
              <w:bottom w:val="nil"/>
              <w:right w:val="nil"/>
            </w:tcBorders>
            <w:shd w:val="clear" w:color="auto" w:fill="auto"/>
            <w:noWrap/>
            <w:hideMark/>
          </w:tcPr>
          <w:p w14:paraId="41D39D89" w14:textId="5D53CC43" w:rsidR="00BB22C5" w:rsidRPr="00887108" w:rsidRDefault="00BB22C5" w:rsidP="00BB22C5">
            <w:pPr>
              <w:jc w:val="right"/>
              <w:rPr>
                <w:rFonts w:cs="Times New Roman"/>
                <w:color w:val="000000"/>
                <w:sz w:val="20"/>
                <w:szCs w:val="20"/>
                <w:highlight w:val="yellow"/>
              </w:rPr>
            </w:pPr>
            <w:r w:rsidRPr="00887108">
              <w:rPr>
                <w:sz w:val="20"/>
              </w:rPr>
              <w:t>6</w:t>
            </w:r>
          </w:p>
        </w:tc>
        <w:tc>
          <w:tcPr>
            <w:tcW w:w="717" w:type="dxa"/>
            <w:tcBorders>
              <w:top w:val="nil"/>
              <w:left w:val="nil"/>
              <w:bottom w:val="nil"/>
              <w:right w:val="nil"/>
            </w:tcBorders>
            <w:shd w:val="clear" w:color="auto" w:fill="auto"/>
            <w:noWrap/>
            <w:hideMark/>
          </w:tcPr>
          <w:p w14:paraId="6E4F5926" w14:textId="34F94477" w:rsidR="00BB22C5" w:rsidRPr="00887108" w:rsidRDefault="00BB22C5" w:rsidP="00BB22C5">
            <w:pPr>
              <w:jc w:val="right"/>
              <w:rPr>
                <w:rFonts w:cs="Times New Roman"/>
                <w:color w:val="000000"/>
                <w:sz w:val="20"/>
                <w:szCs w:val="20"/>
                <w:highlight w:val="yellow"/>
              </w:rPr>
            </w:pPr>
            <w:r w:rsidRPr="00887108">
              <w:rPr>
                <w:sz w:val="20"/>
              </w:rPr>
              <w:t>6</w:t>
            </w:r>
          </w:p>
        </w:tc>
        <w:tc>
          <w:tcPr>
            <w:tcW w:w="665" w:type="dxa"/>
            <w:tcBorders>
              <w:top w:val="nil"/>
              <w:left w:val="nil"/>
              <w:bottom w:val="nil"/>
              <w:right w:val="nil"/>
            </w:tcBorders>
            <w:shd w:val="clear" w:color="auto" w:fill="auto"/>
            <w:noWrap/>
            <w:hideMark/>
          </w:tcPr>
          <w:p w14:paraId="751BF279" w14:textId="5B5C1AC4" w:rsidR="00BB22C5" w:rsidRPr="00887108" w:rsidRDefault="00BB22C5" w:rsidP="00BB22C5">
            <w:pPr>
              <w:jc w:val="right"/>
              <w:rPr>
                <w:rFonts w:cs="Times New Roman"/>
                <w:color w:val="000000"/>
                <w:sz w:val="20"/>
                <w:szCs w:val="20"/>
                <w:highlight w:val="yellow"/>
              </w:rPr>
            </w:pPr>
            <w:r w:rsidRPr="00887108">
              <w:rPr>
                <w:sz w:val="20"/>
              </w:rPr>
              <w:t>6</w:t>
            </w:r>
          </w:p>
        </w:tc>
      </w:tr>
      <w:tr w:rsidR="00BB22C5" w:rsidRPr="00887108" w14:paraId="5B200C71" w14:textId="77777777" w:rsidTr="004C1271">
        <w:trPr>
          <w:trHeight w:val="257"/>
        </w:trPr>
        <w:tc>
          <w:tcPr>
            <w:tcW w:w="6395" w:type="dxa"/>
            <w:tcBorders>
              <w:top w:val="nil"/>
              <w:left w:val="nil"/>
              <w:bottom w:val="nil"/>
              <w:right w:val="nil"/>
            </w:tcBorders>
            <w:shd w:val="clear" w:color="auto" w:fill="auto"/>
            <w:hideMark/>
          </w:tcPr>
          <w:p w14:paraId="37261159" w14:textId="77777777" w:rsidR="00BB22C5" w:rsidRPr="00887108" w:rsidRDefault="00BB22C5" w:rsidP="00BB22C5">
            <w:pPr>
              <w:rPr>
                <w:rFonts w:cs="Times New Roman"/>
                <w:color w:val="000000"/>
                <w:sz w:val="20"/>
                <w:szCs w:val="20"/>
              </w:rPr>
            </w:pPr>
            <w:r w:rsidRPr="00887108">
              <w:rPr>
                <w:rFonts w:cs="Times New Roman"/>
                <w:color w:val="000000"/>
                <w:sz w:val="20"/>
                <w:szCs w:val="20"/>
              </w:rPr>
              <w:t>Oslobodenie príjmov z predaja akcií a obchodných podielov</w:t>
            </w:r>
          </w:p>
        </w:tc>
        <w:tc>
          <w:tcPr>
            <w:tcW w:w="628" w:type="dxa"/>
            <w:tcBorders>
              <w:top w:val="nil"/>
              <w:left w:val="nil"/>
              <w:bottom w:val="nil"/>
              <w:right w:val="nil"/>
            </w:tcBorders>
            <w:shd w:val="clear" w:color="auto" w:fill="auto"/>
            <w:noWrap/>
            <w:hideMark/>
          </w:tcPr>
          <w:p w14:paraId="4A7460D8" w14:textId="5F82C97A" w:rsidR="00BB22C5" w:rsidRPr="00887108" w:rsidRDefault="00BB22C5" w:rsidP="00BB22C5">
            <w:pPr>
              <w:jc w:val="right"/>
              <w:rPr>
                <w:rFonts w:cs="Times New Roman"/>
                <w:color w:val="000000"/>
                <w:sz w:val="20"/>
                <w:szCs w:val="20"/>
                <w:highlight w:val="yellow"/>
              </w:rPr>
            </w:pPr>
            <w:r w:rsidRPr="00887108">
              <w:rPr>
                <w:sz w:val="20"/>
              </w:rPr>
              <w:t>-23</w:t>
            </w:r>
          </w:p>
        </w:tc>
        <w:tc>
          <w:tcPr>
            <w:tcW w:w="665" w:type="dxa"/>
            <w:tcBorders>
              <w:top w:val="nil"/>
              <w:left w:val="nil"/>
              <w:bottom w:val="nil"/>
              <w:right w:val="nil"/>
            </w:tcBorders>
            <w:shd w:val="clear" w:color="auto" w:fill="auto"/>
            <w:noWrap/>
            <w:hideMark/>
          </w:tcPr>
          <w:p w14:paraId="6DB40C51" w14:textId="19B08C77" w:rsidR="00BB22C5" w:rsidRPr="00887108" w:rsidRDefault="00BB22C5" w:rsidP="0084712D">
            <w:pPr>
              <w:jc w:val="right"/>
              <w:rPr>
                <w:rFonts w:cs="Times New Roman"/>
                <w:color w:val="000000"/>
                <w:sz w:val="20"/>
                <w:szCs w:val="20"/>
                <w:highlight w:val="yellow"/>
              </w:rPr>
            </w:pPr>
            <w:r w:rsidRPr="00887108">
              <w:rPr>
                <w:sz w:val="20"/>
              </w:rPr>
              <w:t>-2</w:t>
            </w:r>
            <w:r w:rsidR="0084712D" w:rsidRPr="00887108">
              <w:rPr>
                <w:sz w:val="20"/>
              </w:rPr>
              <w:t>4</w:t>
            </w:r>
          </w:p>
        </w:tc>
        <w:tc>
          <w:tcPr>
            <w:tcW w:w="717" w:type="dxa"/>
            <w:tcBorders>
              <w:top w:val="nil"/>
              <w:left w:val="nil"/>
              <w:bottom w:val="nil"/>
              <w:right w:val="nil"/>
            </w:tcBorders>
            <w:shd w:val="clear" w:color="auto" w:fill="auto"/>
            <w:noWrap/>
            <w:hideMark/>
          </w:tcPr>
          <w:p w14:paraId="2F497511" w14:textId="25095FEA" w:rsidR="00BB22C5" w:rsidRPr="00887108" w:rsidRDefault="00BB22C5" w:rsidP="00BB22C5">
            <w:pPr>
              <w:jc w:val="right"/>
              <w:rPr>
                <w:rFonts w:cs="Times New Roman"/>
                <w:color w:val="000000"/>
                <w:sz w:val="20"/>
                <w:szCs w:val="20"/>
                <w:highlight w:val="yellow"/>
              </w:rPr>
            </w:pPr>
            <w:r w:rsidRPr="00887108">
              <w:rPr>
                <w:sz w:val="20"/>
              </w:rPr>
              <w:t>-2</w:t>
            </w:r>
            <w:r w:rsidR="0084712D" w:rsidRPr="00887108">
              <w:rPr>
                <w:sz w:val="20"/>
              </w:rPr>
              <w:t>6</w:t>
            </w:r>
          </w:p>
        </w:tc>
        <w:tc>
          <w:tcPr>
            <w:tcW w:w="665" w:type="dxa"/>
            <w:tcBorders>
              <w:top w:val="nil"/>
              <w:left w:val="nil"/>
              <w:bottom w:val="nil"/>
              <w:right w:val="nil"/>
            </w:tcBorders>
            <w:shd w:val="clear" w:color="auto" w:fill="auto"/>
            <w:noWrap/>
            <w:hideMark/>
          </w:tcPr>
          <w:p w14:paraId="301CC78C" w14:textId="73B14DB3" w:rsidR="00BB22C5" w:rsidRPr="00887108" w:rsidRDefault="00BB22C5" w:rsidP="00BB22C5">
            <w:pPr>
              <w:jc w:val="right"/>
              <w:rPr>
                <w:rFonts w:cs="Times New Roman"/>
                <w:color w:val="000000"/>
                <w:sz w:val="20"/>
                <w:szCs w:val="20"/>
                <w:highlight w:val="yellow"/>
              </w:rPr>
            </w:pPr>
            <w:r w:rsidRPr="00887108">
              <w:rPr>
                <w:sz w:val="20"/>
              </w:rPr>
              <w:t>-2</w:t>
            </w:r>
            <w:r w:rsidR="0084712D" w:rsidRPr="00887108">
              <w:rPr>
                <w:sz w:val="20"/>
              </w:rPr>
              <w:t>6</w:t>
            </w:r>
          </w:p>
        </w:tc>
      </w:tr>
      <w:tr w:rsidR="00BB22C5" w:rsidRPr="00887108" w14:paraId="37E768C6" w14:textId="77777777" w:rsidTr="004C1271">
        <w:trPr>
          <w:trHeight w:val="257"/>
        </w:trPr>
        <w:tc>
          <w:tcPr>
            <w:tcW w:w="6395" w:type="dxa"/>
            <w:tcBorders>
              <w:top w:val="nil"/>
              <w:left w:val="nil"/>
              <w:bottom w:val="nil"/>
              <w:right w:val="nil"/>
            </w:tcBorders>
            <w:shd w:val="clear" w:color="auto" w:fill="auto"/>
            <w:hideMark/>
          </w:tcPr>
          <w:p w14:paraId="778A28EF" w14:textId="73FEC6FB" w:rsidR="00BB22C5" w:rsidRPr="00887108" w:rsidRDefault="00BB22C5" w:rsidP="0014712A">
            <w:pPr>
              <w:rPr>
                <w:rFonts w:cs="Times New Roman"/>
                <w:color w:val="000000"/>
                <w:sz w:val="20"/>
                <w:szCs w:val="20"/>
              </w:rPr>
            </w:pPr>
            <w:r w:rsidRPr="00887108">
              <w:rPr>
                <w:rFonts w:cs="Times New Roman"/>
                <w:color w:val="000000"/>
                <w:sz w:val="20"/>
                <w:szCs w:val="20"/>
              </w:rPr>
              <w:t xml:space="preserve">Ročné zúčtovanie sociálneho poistenia - posun na </w:t>
            </w:r>
            <w:r w:rsidR="0014712A" w:rsidRPr="00887108">
              <w:rPr>
                <w:rFonts w:cs="Times New Roman"/>
                <w:color w:val="000000"/>
                <w:sz w:val="20"/>
                <w:szCs w:val="20"/>
              </w:rPr>
              <w:t>2023</w:t>
            </w:r>
          </w:p>
        </w:tc>
        <w:tc>
          <w:tcPr>
            <w:tcW w:w="628" w:type="dxa"/>
            <w:tcBorders>
              <w:top w:val="nil"/>
              <w:left w:val="nil"/>
              <w:bottom w:val="nil"/>
              <w:right w:val="nil"/>
            </w:tcBorders>
            <w:shd w:val="clear" w:color="auto" w:fill="auto"/>
            <w:noWrap/>
            <w:hideMark/>
          </w:tcPr>
          <w:p w14:paraId="0A514985" w14:textId="7095C7B0" w:rsidR="00BB22C5" w:rsidRPr="00887108" w:rsidRDefault="00BB22C5" w:rsidP="00BB22C5">
            <w:pPr>
              <w:jc w:val="right"/>
              <w:rPr>
                <w:rFonts w:cs="Times New Roman"/>
                <w:color w:val="000000"/>
                <w:sz w:val="20"/>
                <w:szCs w:val="20"/>
                <w:highlight w:val="yellow"/>
              </w:rPr>
            </w:pPr>
            <w:r w:rsidRPr="00887108">
              <w:rPr>
                <w:sz w:val="20"/>
              </w:rPr>
              <w:t>0</w:t>
            </w:r>
          </w:p>
        </w:tc>
        <w:tc>
          <w:tcPr>
            <w:tcW w:w="665" w:type="dxa"/>
            <w:tcBorders>
              <w:top w:val="nil"/>
              <w:left w:val="nil"/>
              <w:bottom w:val="nil"/>
              <w:right w:val="nil"/>
            </w:tcBorders>
            <w:shd w:val="clear" w:color="auto" w:fill="auto"/>
            <w:noWrap/>
            <w:hideMark/>
          </w:tcPr>
          <w:p w14:paraId="6B7E2DFC" w14:textId="441B8AB4" w:rsidR="00BB22C5" w:rsidRPr="00887108" w:rsidRDefault="00BB22C5" w:rsidP="00BB22C5">
            <w:pPr>
              <w:jc w:val="right"/>
              <w:rPr>
                <w:rFonts w:cs="Times New Roman"/>
                <w:color w:val="000000"/>
                <w:sz w:val="20"/>
                <w:szCs w:val="20"/>
                <w:highlight w:val="yellow"/>
              </w:rPr>
            </w:pPr>
            <w:r w:rsidRPr="00887108">
              <w:rPr>
                <w:sz w:val="20"/>
              </w:rPr>
              <w:t>0</w:t>
            </w:r>
          </w:p>
        </w:tc>
        <w:tc>
          <w:tcPr>
            <w:tcW w:w="717" w:type="dxa"/>
            <w:tcBorders>
              <w:top w:val="nil"/>
              <w:left w:val="nil"/>
              <w:bottom w:val="nil"/>
              <w:right w:val="nil"/>
            </w:tcBorders>
            <w:shd w:val="clear" w:color="auto" w:fill="auto"/>
            <w:noWrap/>
            <w:hideMark/>
          </w:tcPr>
          <w:p w14:paraId="62B6FF00" w14:textId="25FC0EA2" w:rsidR="00BB22C5" w:rsidRPr="00887108" w:rsidRDefault="00BB22C5" w:rsidP="00BB22C5">
            <w:pPr>
              <w:jc w:val="right"/>
              <w:rPr>
                <w:rFonts w:cs="Times New Roman"/>
                <w:color w:val="000000"/>
                <w:sz w:val="20"/>
                <w:szCs w:val="20"/>
                <w:highlight w:val="yellow"/>
              </w:rPr>
            </w:pPr>
            <w:r w:rsidRPr="00887108">
              <w:rPr>
                <w:sz w:val="20"/>
              </w:rPr>
              <w:t>0</w:t>
            </w:r>
          </w:p>
        </w:tc>
        <w:tc>
          <w:tcPr>
            <w:tcW w:w="665" w:type="dxa"/>
            <w:tcBorders>
              <w:top w:val="nil"/>
              <w:left w:val="nil"/>
              <w:bottom w:val="nil"/>
              <w:right w:val="nil"/>
            </w:tcBorders>
            <w:shd w:val="clear" w:color="auto" w:fill="auto"/>
            <w:noWrap/>
            <w:hideMark/>
          </w:tcPr>
          <w:p w14:paraId="216196EB" w14:textId="54310687" w:rsidR="00BB22C5" w:rsidRPr="00887108" w:rsidRDefault="00BB22C5" w:rsidP="00BB22C5">
            <w:pPr>
              <w:jc w:val="right"/>
              <w:rPr>
                <w:rFonts w:cs="Times New Roman"/>
                <w:color w:val="000000"/>
                <w:sz w:val="20"/>
                <w:szCs w:val="20"/>
                <w:highlight w:val="yellow"/>
              </w:rPr>
            </w:pPr>
            <w:r w:rsidRPr="00887108">
              <w:rPr>
                <w:sz w:val="20"/>
              </w:rPr>
              <w:t>49</w:t>
            </w:r>
          </w:p>
        </w:tc>
      </w:tr>
      <w:tr w:rsidR="00BB22C5" w:rsidRPr="00887108" w14:paraId="1044D549" w14:textId="77777777" w:rsidTr="004C1271">
        <w:trPr>
          <w:trHeight w:val="257"/>
        </w:trPr>
        <w:tc>
          <w:tcPr>
            <w:tcW w:w="6395" w:type="dxa"/>
            <w:tcBorders>
              <w:top w:val="nil"/>
              <w:left w:val="nil"/>
              <w:bottom w:val="nil"/>
              <w:right w:val="nil"/>
            </w:tcBorders>
            <w:shd w:val="clear" w:color="auto" w:fill="auto"/>
            <w:hideMark/>
          </w:tcPr>
          <w:p w14:paraId="43AB3EA2" w14:textId="77777777" w:rsidR="00BB22C5" w:rsidRPr="00887108" w:rsidRDefault="00BB22C5" w:rsidP="00BB22C5">
            <w:pPr>
              <w:rPr>
                <w:rFonts w:cs="Times New Roman"/>
                <w:color w:val="000000"/>
                <w:sz w:val="20"/>
                <w:szCs w:val="20"/>
              </w:rPr>
            </w:pPr>
            <w:r w:rsidRPr="00887108">
              <w:rPr>
                <w:rFonts w:cs="Times New Roman"/>
                <w:color w:val="000000"/>
                <w:sz w:val="20"/>
                <w:szCs w:val="20"/>
              </w:rPr>
              <w:t>Postupný rast odvodu do II. piliera (automaticky od 2017 o 0,25 p.b./rok)</w:t>
            </w:r>
          </w:p>
        </w:tc>
        <w:tc>
          <w:tcPr>
            <w:tcW w:w="628" w:type="dxa"/>
            <w:tcBorders>
              <w:top w:val="nil"/>
              <w:left w:val="nil"/>
              <w:bottom w:val="nil"/>
              <w:right w:val="nil"/>
            </w:tcBorders>
            <w:shd w:val="clear" w:color="auto" w:fill="auto"/>
            <w:noWrap/>
            <w:hideMark/>
          </w:tcPr>
          <w:p w14:paraId="1B8EAA5D" w14:textId="23957B1B" w:rsidR="00BB22C5" w:rsidRPr="00887108" w:rsidRDefault="00BB22C5" w:rsidP="00BB22C5">
            <w:pPr>
              <w:jc w:val="right"/>
              <w:rPr>
                <w:rFonts w:cs="Times New Roman"/>
                <w:color w:val="000000"/>
                <w:sz w:val="20"/>
                <w:szCs w:val="20"/>
                <w:highlight w:val="yellow"/>
              </w:rPr>
            </w:pPr>
            <w:r w:rsidRPr="00887108">
              <w:rPr>
                <w:sz w:val="20"/>
              </w:rPr>
              <w:t>-45</w:t>
            </w:r>
          </w:p>
        </w:tc>
        <w:tc>
          <w:tcPr>
            <w:tcW w:w="665" w:type="dxa"/>
            <w:tcBorders>
              <w:top w:val="nil"/>
              <w:left w:val="nil"/>
              <w:bottom w:val="nil"/>
              <w:right w:val="nil"/>
            </w:tcBorders>
            <w:shd w:val="clear" w:color="auto" w:fill="auto"/>
            <w:noWrap/>
            <w:hideMark/>
          </w:tcPr>
          <w:p w14:paraId="4B2A7FA3" w14:textId="7FE71ED7" w:rsidR="00BB22C5" w:rsidRPr="00887108" w:rsidRDefault="00BB22C5" w:rsidP="00BB22C5">
            <w:pPr>
              <w:jc w:val="right"/>
              <w:rPr>
                <w:rFonts w:cs="Times New Roman"/>
                <w:color w:val="000000"/>
                <w:sz w:val="20"/>
                <w:szCs w:val="20"/>
                <w:highlight w:val="yellow"/>
              </w:rPr>
            </w:pPr>
            <w:r w:rsidRPr="00887108">
              <w:rPr>
                <w:sz w:val="20"/>
              </w:rPr>
              <w:t>-90</w:t>
            </w:r>
          </w:p>
        </w:tc>
        <w:tc>
          <w:tcPr>
            <w:tcW w:w="717" w:type="dxa"/>
            <w:tcBorders>
              <w:top w:val="nil"/>
              <w:left w:val="nil"/>
              <w:bottom w:val="nil"/>
              <w:right w:val="nil"/>
            </w:tcBorders>
            <w:shd w:val="clear" w:color="auto" w:fill="auto"/>
            <w:noWrap/>
            <w:hideMark/>
          </w:tcPr>
          <w:p w14:paraId="386F5F7D" w14:textId="2010D2D8" w:rsidR="00BB22C5" w:rsidRPr="00887108" w:rsidRDefault="00BB22C5" w:rsidP="00BB22C5">
            <w:pPr>
              <w:jc w:val="right"/>
              <w:rPr>
                <w:rFonts w:cs="Times New Roman"/>
                <w:color w:val="000000"/>
                <w:sz w:val="20"/>
                <w:szCs w:val="20"/>
                <w:highlight w:val="yellow"/>
              </w:rPr>
            </w:pPr>
            <w:r w:rsidRPr="00887108">
              <w:rPr>
                <w:sz w:val="20"/>
              </w:rPr>
              <w:t>-138</w:t>
            </w:r>
          </w:p>
        </w:tc>
        <w:tc>
          <w:tcPr>
            <w:tcW w:w="665" w:type="dxa"/>
            <w:tcBorders>
              <w:top w:val="nil"/>
              <w:left w:val="nil"/>
              <w:bottom w:val="nil"/>
              <w:right w:val="nil"/>
            </w:tcBorders>
            <w:shd w:val="clear" w:color="auto" w:fill="auto"/>
            <w:noWrap/>
            <w:hideMark/>
          </w:tcPr>
          <w:p w14:paraId="23AF1EFF" w14:textId="760F4E23" w:rsidR="00BB22C5" w:rsidRPr="00887108" w:rsidRDefault="00BB22C5" w:rsidP="00BB22C5">
            <w:pPr>
              <w:jc w:val="right"/>
              <w:rPr>
                <w:rFonts w:cs="Times New Roman"/>
                <w:color w:val="000000"/>
                <w:sz w:val="20"/>
                <w:szCs w:val="20"/>
                <w:highlight w:val="yellow"/>
              </w:rPr>
            </w:pPr>
            <w:r w:rsidRPr="00887108">
              <w:rPr>
                <w:sz w:val="20"/>
              </w:rPr>
              <w:t>-191</w:t>
            </w:r>
          </w:p>
        </w:tc>
      </w:tr>
      <w:tr w:rsidR="00BB22C5" w:rsidRPr="00887108" w14:paraId="01921FA1" w14:textId="77777777" w:rsidTr="004C1271">
        <w:trPr>
          <w:trHeight w:val="257"/>
        </w:trPr>
        <w:tc>
          <w:tcPr>
            <w:tcW w:w="6395" w:type="dxa"/>
            <w:tcBorders>
              <w:top w:val="nil"/>
              <w:left w:val="nil"/>
              <w:bottom w:val="nil"/>
              <w:right w:val="nil"/>
            </w:tcBorders>
            <w:shd w:val="clear" w:color="auto" w:fill="auto"/>
            <w:hideMark/>
          </w:tcPr>
          <w:p w14:paraId="3BB71149" w14:textId="77777777" w:rsidR="00BB22C5" w:rsidRPr="00887108" w:rsidRDefault="00BB22C5" w:rsidP="00BB22C5">
            <w:pPr>
              <w:rPr>
                <w:rFonts w:cs="Times New Roman"/>
                <w:color w:val="000000"/>
                <w:sz w:val="20"/>
                <w:szCs w:val="20"/>
              </w:rPr>
            </w:pPr>
            <w:r w:rsidRPr="00887108">
              <w:rPr>
                <w:rFonts w:cs="Times New Roman"/>
                <w:color w:val="000000"/>
                <w:sz w:val="20"/>
                <w:szCs w:val="20"/>
              </w:rPr>
              <w:t>Zdvojnásobenie sadzby osobitného odvodu v regulovaných odvetviach, a následné zníženie (2019, 2021)</w:t>
            </w:r>
          </w:p>
        </w:tc>
        <w:tc>
          <w:tcPr>
            <w:tcW w:w="628" w:type="dxa"/>
            <w:tcBorders>
              <w:top w:val="nil"/>
              <w:left w:val="nil"/>
              <w:bottom w:val="nil"/>
              <w:right w:val="nil"/>
            </w:tcBorders>
            <w:shd w:val="clear" w:color="auto" w:fill="auto"/>
            <w:noWrap/>
            <w:hideMark/>
          </w:tcPr>
          <w:p w14:paraId="791EE719" w14:textId="5542FCD7" w:rsidR="00BB22C5" w:rsidRPr="00887108" w:rsidRDefault="00BB22C5" w:rsidP="00BB22C5">
            <w:pPr>
              <w:jc w:val="right"/>
              <w:rPr>
                <w:rFonts w:cs="Times New Roman"/>
                <w:color w:val="000000"/>
                <w:sz w:val="20"/>
                <w:szCs w:val="20"/>
                <w:highlight w:val="yellow"/>
              </w:rPr>
            </w:pPr>
            <w:r w:rsidRPr="00887108">
              <w:rPr>
                <w:sz w:val="20"/>
              </w:rPr>
              <w:t>0</w:t>
            </w:r>
          </w:p>
        </w:tc>
        <w:tc>
          <w:tcPr>
            <w:tcW w:w="665" w:type="dxa"/>
            <w:tcBorders>
              <w:top w:val="nil"/>
              <w:left w:val="nil"/>
              <w:bottom w:val="nil"/>
              <w:right w:val="nil"/>
            </w:tcBorders>
            <w:shd w:val="clear" w:color="auto" w:fill="auto"/>
            <w:noWrap/>
            <w:hideMark/>
          </w:tcPr>
          <w:p w14:paraId="31949229" w14:textId="16BCA770" w:rsidR="00BB22C5" w:rsidRPr="00887108" w:rsidRDefault="00BB22C5" w:rsidP="00BB22C5">
            <w:pPr>
              <w:jc w:val="right"/>
              <w:rPr>
                <w:rFonts w:cs="Times New Roman"/>
                <w:color w:val="000000"/>
                <w:sz w:val="20"/>
                <w:szCs w:val="20"/>
                <w:highlight w:val="yellow"/>
              </w:rPr>
            </w:pPr>
            <w:r w:rsidRPr="00887108">
              <w:rPr>
                <w:sz w:val="20"/>
              </w:rPr>
              <w:t>-28</w:t>
            </w:r>
          </w:p>
        </w:tc>
        <w:tc>
          <w:tcPr>
            <w:tcW w:w="717" w:type="dxa"/>
            <w:tcBorders>
              <w:top w:val="nil"/>
              <w:left w:val="nil"/>
              <w:bottom w:val="nil"/>
              <w:right w:val="nil"/>
            </w:tcBorders>
            <w:shd w:val="clear" w:color="auto" w:fill="auto"/>
            <w:noWrap/>
            <w:hideMark/>
          </w:tcPr>
          <w:p w14:paraId="2BB7EDE9" w14:textId="13F975A0" w:rsidR="00BB22C5" w:rsidRPr="00887108" w:rsidRDefault="00BB22C5" w:rsidP="00BB22C5">
            <w:pPr>
              <w:jc w:val="right"/>
              <w:rPr>
                <w:rFonts w:cs="Times New Roman"/>
                <w:color w:val="000000"/>
                <w:sz w:val="20"/>
                <w:szCs w:val="20"/>
                <w:highlight w:val="yellow"/>
              </w:rPr>
            </w:pPr>
            <w:r w:rsidRPr="00887108">
              <w:rPr>
                <w:sz w:val="20"/>
              </w:rPr>
              <w:t>-28</w:t>
            </w:r>
          </w:p>
        </w:tc>
        <w:tc>
          <w:tcPr>
            <w:tcW w:w="665" w:type="dxa"/>
            <w:tcBorders>
              <w:top w:val="nil"/>
              <w:left w:val="nil"/>
              <w:bottom w:val="nil"/>
              <w:right w:val="nil"/>
            </w:tcBorders>
            <w:shd w:val="clear" w:color="auto" w:fill="auto"/>
            <w:noWrap/>
            <w:hideMark/>
          </w:tcPr>
          <w:p w14:paraId="4A2ED444" w14:textId="0F8AAE4D" w:rsidR="00BB22C5" w:rsidRPr="00887108" w:rsidRDefault="00BB22C5" w:rsidP="00BB22C5">
            <w:pPr>
              <w:jc w:val="right"/>
              <w:rPr>
                <w:rFonts w:cs="Times New Roman"/>
                <w:color w:val="000000"/>
                <w:sz w:val="20"/>
                <w:szCs w:val="20"/>
                <w:highlight w:val="yellow"/>
              </w:rPr>
            </w:pPr>
            <w:r w:rsidRPr="00887108">
              <w:rPr>
                <w:sz w:val="20"/>
              </w:rPr>
              <w:t>-28</w:t>
            </w:r>
          </w:p>
        </w:tc>
      </w:tr>
      <w:tr w:rsidR="00BB22C5" w:rsidRPr="00887108" w14:paraId="6835760F" w14:textId="77777777" w:rsidTr="004C1271">
        <w:trPr>
          <w:trHeight w:val="257"/>
        </w:trPr>
        <w:tc>
          <w:tcPr>
            <w:tcW w:w="6395" w:type="dxa"/>
            <w:tcBorders>
              <w:top w:val="nil"/>
              <w:left w:val="nil"/>
              <w:bottom w:val="nil"/>
              <w:right w:val="nil"/>
            </w:tcBorders>
            <w:shd w:val="clear" w:color="auto" w:fill="auto"/>
            <w:hideMark/>
          </w:tcPr>
          <w:p w14:paraId="5DD41EAE" w14:textId="1BCDB8B1" w:rsidR="00BB22C5" w:rsidRPr="00887108" w:rsidRDefault="00BB22C5" w:rsidP="006053BA">
            <w:pPr>
              <w:rPr>
                <w:rFonts w:cs="Times New Roman"/>
                <w:color w:val="000000"/>
                <w:sz w:val="20"/>
                <w:szCs w:val="20"/>
              </w:rPr>
            </w:pPr>
            <w:r w:rsidRPr="00887108">
              <w:rPr>
                <w:rFonts w:cs="Times New Roman"/>
                <w:color w:val="000000"/>
                <w:sz w:val="20"/>
                <w:szCs w:val="20"/>
              </w:rPr>
              <w:t xml:space="preserve">Navýšenie bankového odvodu </w:t>
            </w:r>
          </w:p>
        </w:tc>
        <w:tc>
          <w:tcPr>
            <w:tcW w:w="628" w:type="dxa"/>
            <w:tcBorders>
              <w:top w:val="nil"/>
              <w:left w:val="nil"/>
              <w:bottom w:val="nil"/>
              <w:right w:val="nil"/>
            </w:tcBorders>
            <w:shd w:val="clear" w:color="auto" w:fill="auto"/>
            <w:noWrap/>
            <w:hideMark/>
          </w:tcPr>
          <w:p w14:paraId="2DA9E616" w14:textId="49C1AC52" w:rsidR="00BB22C5" w:rsidRPr="00887108" w:rsidRDefault="00BB22C5" w:rsidP="00BB22C5">
            <w:pPr>
              <w:jc w:val="right"/>
              <w:rPr>
                <w:rFonts w:cs="Times New Roman"/>
                <w:color w:val="000000"/>
                <w:sz w:val="20"/>
                <w:szCs w:val="20"/>
                <w:highlight w:val="yellow"/>
              </w:rPr>
            </w:pPr>
            <w:r w:rsidRPr="00887108">
              <w:rPr>
                <w:sz w:val="20"/>
              </w:rPr>
              <w:t>1</w:t>
            </w:r>
            <w:r w:rsidR="0084712D" w:rsidRPr="00887108">
              <w:rPr>
                <w:sz w:val="20"/>
              </w:rPr>
              <w:t>25</w:t>
            </w:r>
          </w:p>
        </w:tc>
        <w:tc>
          <w:tcPr>
            <w:tcW w:w="665" w:type="dxa"/>
            <w:tcBorders>
              <w:top w:val="nil"/>
              <w:left w:val="nil"/>
              <w:bottom w:val="nil"/>
              <w:right w:val="nil"/>
            </w:tcBorders>
            <w:shd w:val="clear" w:color="auto" w:fill="auto"/>
            <w:noWrap/>
            <w:hideMark/>
          </w:tcPr>
          <w:p w14:paraId="69EC9602" w14:textId="25FC9E22" w:rsidR="00BB22C5" w:rsidRPr="00887108" w:rsidRDefault="00BB22C5" w:rsidP="0084712D">
            <w:pPr>
              <w:jc w:val="right"/>
              <w:rPr>
                <w:rFonts w:cs="Times New Roman"/>
                <w:color w:val="000000"/>
                <w:sz w:val="20"/>
                <w:szCs w:val="20"/>
                <w:highlight w:val="yellow"/>
              </w:rPr>
            </w:pPr>
            <w:r w:rsidRPr="00887108">
              <w:rPr>
                <w:sz w:val="20"/>
              </w:rPr>
              <w:t>1</w:t>
            </w:r>
            <w:r w:rsidR="0084712D" w:rsidRPr="00887108">
              <w:rPr>
                <w:sz w:val="20"/>
              </w:rPr>
              <w:t>28</w:t>
            </w:r>
          </w:p>
        </w:tc>
        <w:tc>
          <w:tcPr>
            <w:tcW w:w="717" w:type="dxa"/>
            <w:tcBorders>
              <w:top w:val="nil"/>
              <w:left w:val="nil"/>
              <w:bottom w:val="nil"/>
              <w:right w:val="nil"/>
            </w:tcBorders>
            <w:shd w:val="clear" w:color="auto" w:fill="auto"/>
            <w:noWrap/>
            <w:hideMark/>
          </w:tcPr>
          <w:p w14:paraId="3443B786" w14:textId="674B37BF" w:rsidR="00BB22C5" w:rsidRPr="00887108" w:rsidRDefault="00BB22C5" w:rsidP="00BB22C5">
            <w:pPr>
              <w:jc w:val="right"/>
              <w:rPr>
                <w:rFonts w:cs="Times New Roman"/>
                <w:color w:val="000000"/>
                <w:sz w:val="20"/>
                <w:szCs w:val="20"/>
                <w:highlight w:val="yellow"/>
              </w:rPr>
            </w:pPr>
            <w:r w:rsidRPr="00887108">
              <w:rPr>
                <w:sz w:val="20"/>
              </w:rPr>
              <w:t>1</w:t>
            </w:r>
            <w:r w:rsidR="0084712D" w:rsidRPr="00887108">
              <w:rPr>
                <w:sz w:val="20"/>
              </w:rPr>
              <w:t>52</w:t>
            </w:r>
          </w:p>
        </w:tc>
        <w:tc>
          <w:tcPr>
            <w:tcW w:w="665" w:type="dxa"/>
            <w:tcBorders>
              <w:top w:val="nil"/>
              <w:left w:val="nil"/>
              <w:bottom w:val="nil"/>
              <w:right w:val="nil"/>
            </w:tcBorders>
            <w:shd w:val="clear" w:color="auto" w:fill="auto"/>
            <w:noWrap/>
            <w:hideMark/>
          </w:tcPr>
          <w:p w14:paraId="24E45FA1" w14:textId="4BA67978" w:rsidR="00BB22C5" w:rsidRPr="00887108" w:rsidRDefault="00BB22C5" w:rsidP="00BB22C5">
            <w:pPr>
              <w:jc w:val="right"/>
              <w:rPr>
                <w:rFonts w:cs="Times New Roman"/>
                <w:color w:val="000000"/>
                <w:sz w:val="20"/>
                <w:szCs w:val="20"/>
                <w:highlight w:val="yellow"/>
              </w:rPr>
            </w:pPr>
            <w:r w:rsidRPr="00887108">
              <w:rPr>
                <w:sz w:val="20"/>
              </w:rPr>
              <w:t>1</w:t>
            </w:r>
            <w:r w:rsidR="0084712D" w:rsidRPr="00887108">
              <w:rPr>
                <w:sz w:val="20"/>
              </w:rPr>
              <w:t>59</w:t>
            </w:r>
          </w:p>
        </w:tc>
      </w:tr>
      <w:tr w:rsidR="00BB22C5" w:rsidRPr="00887108" w14:paraId="3C1A2EC4" w14:textId="77777777" w:rsidTr="004C1271">
        <w:trPr>
          <w:trHeight w:val="257"/>
        </w:trPr>
        <w:tc>
          <w:tcPr>
            <w:tcW w:w="6395" w:type="dxa"/>
            <w:tcBorders>
              <w:top w:val="nil"/>
              <w:left w:val="nil"/>
              <w:bottom w:val="nil"/>
              <w:right w:val="nil"/>
            </w:tcBorders>
            <w:shd w:val="clear" w:color="auto" w:fill="auto"/>
            <w:hideMark/>
          </w:tcPr>
          <w:p w14:paraId="65FEFDBB" w14:textId="77777777" w:rsidR="00BB22C5" w:rsidRPr="00887108" w:rsidRDefault="00BB22C5" w:rsidP="00BB22C5">
            <w:pPr>
              <w:rPr>
                <w:rFonts w:cs="Times New Roman"/>
                <w:color w:val="000000"/>
                <w:sz w:val="20"/>
                <w:szCs w:val="20"/>
              </w:rPr>
            </w:pPr>
            <w:r w:rsidRPr="00887108">
              <w:rPr>
                <w:rFonts w:cs="Times New Roman"/>
                <w:color w:val="000000"/>
                <w:sz w:val="20"/>
                <w:szCs w:val="20"/>
              </w:rPr>
              <w:t>Zavedenie licencií na hazardné hry a iné zmeny v zdaňovaní hazardných hier</w:t>
            </w:r>
          </w:p>
        </w:tc>
        <w:tc>
          <w:tcPr>
            <w:tcW w:w="628" w:type="dxa"/>
            <w:tcBorders>
              <w:top w:val="nil"/>
              <w:left w:val="nil"/>
              <w:bottom w:val="nil"/>
              <w:right w:val="nil"/>
            </w:tcBorders>
            <w:shd w:val="clear" w:color="auto" w:fill="auto"/>
            <w:noWrap/>
            <w:hideMark/>
          </w:tcPr>
          <w:p w14:paraId="0258D870" w14:textId="755D3577" w:rsidR="00BB22C5" w:rsidRPr="00887108" w:rsidRDefault="00BB22C5" w:rsidP="00BB22C5">
            <w:pPr>
              <w:jc w:val="right"/>
              <w:rPr>
                <w:rFonts w:cs="Times New Roman"/>
                <w:color w:val="000000"/>
                <w:sz w:val="20"/>
                <w:szCs w:val="20"/>
                <w:highlight w:val="yellow"/>
              </w:rPr>
            </w:pPr>
            <w:r w:rsidRPr="00887108">
              <w:rPr>
                <w:sz w:val="20"/>
              </w:rPr>
              <w:t>3</w:t>
            </w:r>
          </w:p>
        </w:tc>
        <w:tc>
          <w:tcPr>
            <w:tcW w:w="665" w:type="dxa"/>
            <w:tcBorders>
              <w:top w:val="nil"/>
              <w:left w:val="nil"/>
              <w:bottom w:val="nil"/>
              <w:right w:val="nil"/>
            </w:tcBorders>
            <w:shd w:val="clear" w:color="auto" w:fill="auto"/>
            <w:noWrap/>
            <w:hideMark/>
          </w:tcPr>
          <w:p w14:paraId="2573EA93" w14:textId="07479438" w:rsidR="00BB22C5" w:rsidRPr="00887108" w:rsidRDefault="00BB22C5" w:rsidP="00BB22C5">
            <w:pPr>
              <w:jc w:val="right"/>
              <w:rPr>
                <w:rFonts w:cs="Times New Roman"/>
                <w:color w:val="000000"/>
                <w:sz w:val="20"/>
                <w:szCs w:val="20"/>
                <w:highlight w:val="yellow"/>
              </w:rPr>
            </w:pPr>
            <w:r w:rsidRPr="00887108">
              <w:rPr>
                <w:sz w:val="20"/>
              </w:rPr>
              <w:t>3</w:t>
            </w:r>
          </w:p>
        </w:tc>
        <w:tc>
          <w:tcPr>
            <w:tcW w:w="717" w:type="dxa"/>
            <w:tcBorders>
              <w:top w:val="nil"/>
              <w:left w:val="nil"/>
              <w:bottom w:val="nil"/>
              <w:right w:val="nil"/>
            </w:tcBorders>
            <w:shd w:val="clear" w:color="auto" w:fill="auto"/>
            <w:noWrap/>
            <w:hideMark/>
          </w:tcPr>
          <w:p w14:paraId="6AFAD17C" w14:textId="0C021822" w:rsidR="00BB22C5" w:rsidRPr="00887108" w:rsidRDefault="00BB22C5" w:rsidP="00BB22C5">
            <w:pPr>
              <w:jc w:val="right"/>
              <w:rPr>
                <w:rFonts w:cs="Times New Roman"/>
                <w:color w:val="000000"/>
                <w:sz w:val="20"/>
                <w:szCs w:val="20"/>
                <w:highlight w:val="yellow"/>
              </w:rPr>
            </w:pPr>
            <w:r w:rsidRPr="00887108">
              <w:rPr>
                <w:sz w:val="20"/>
              </w:rPr>
              <w:t>3</w:t>
            </w:r>
          </w:p>
        </w:tc>
        <w:tc>
          <w:tcPr>
            <w:tcW w:w="665" w:type="dxa"/>
            <w:tcBorders>
              <w:top w:val="nil"/>
              <w:left w:val="nil"/>
              <w:bottom w:val="nil"/>
              <w:right w:val="nil"/>
            </w:tcBorders>
            <w:shd w:val="clear" w:color="auto" w:fill="auto"/>
            <w:noWrap/>
            <w:hideMark/>
          </w:tcPr>
          <w:p w14:paraId="334368D9" w14:textId="756D15D5" w:rsidR="00BB22C5" w:rsidRPr="00887108" w:rsidRDefault="00BB22C5" w:rsidP="00BB22C5">
            <w:pPr>
              <w:jc w:val="right"/>
              <w:rPr>
                <w:rFonts w:cs="Times New Roman"/>
                <w:color w:val="000000"/>
                <w:sz w:val="20"/>
                <w:szCs w:val="20"/>
                <w:highlight w:val="yellow"/>
              </w:rPr>
            </w:pPr>
            <w:r w:rsidRPr="00887108">
              <w:rPr>
                <w:sz w:val="20"/>
              </w:rPr>
              <w:t>3</w:t>
            </w:r>
          </w:p>
        </w:tc>
      </w:tr>
      <w:tr w:rsidR="00BB22C5" w:rsidRPr="00887108" w14:paraId="5DE99FB9" w14:textId="77777777" w:rsidTr="004C1271">
        <w:trPr>
          <w:trHeight w:val="257"/>
        </w:trPr>
        <w:tc>
          <w:tcPr>
            <w:tcW w:w="6395" w:type="dxa"/>
            <w:tcBorders>
              <w:top w:val="nil"/>
              <w:left w:val="nil"/>
              <w:bottom w:val="nil"/>
              <w:right w:val="nil"/>
            </w:tcBorders>
            <w:shd w:val="clear" w:color="auto" w:fill="auto"/>
            <w:hideMark/>
          </w:tcPr>
          <w:p w14:paraId="5380D830" w14:textId="77777777" w:rsidR="00BB22C5" w:rsidRPr="00887108" w:rsidRDefault="00BB22C5" w:rsidP="00BB22C5">
            <w:pPr>
              <w:rPr>
                <w:rFonts w:cs="Times New Roman"/>
                <w:color w:val="000000"/>
                <w:sz w:val="20"/>
                <w:szCs w:val="20"/>
              </w:rPr>
            </w:pPr>
            <w:r w:rsidRPr="00887108">
              <w:rPr>
                <w:rFonts w:cs="Times New Roman"/>
                <w:color w:val="000000"/>
                <w:sz w:val="20"/>
                <w:szCs w:val="20"/>
              </w:rPr>
              <w:t>Zvýšenie hranice platenia preddavkov (z 2500 na 5000 eur)</w:t>
            </w:r>
          </w:p>
        </w:tc>
        <w:tc>
          <w:tcPr>
            <w:tcW w:w="628" w:type="dxa"/>
            <w:tcBorders>
              <w:top w:val="nil"/>
              <w:left w:val="nil"/>
              <w:bottom w:val="nil"/>
              <w:right w:val="nil"/>
            </w:tcBorders>
            <w:shd w:val="clear" w:color="auto" w:fill="auto"/>
            <w:noWrap/>
            <w:hideMark/>
          </w:tcPr>
          <w:p w14:paraId="10F2921E" w14:textId="0A15B21F" w:rsidR="00BB22C5" w:rsidRPr="00887108" w:rsidRDefault="00BB22C5" w:rsidP="00BB22C5">
            <w:pPr>
              <w:jc w:val="right"/>
              <w:rPr>
                <w:rFonts w:cs="Times New Roman"/>
                <w:color w:val="000000"/>
                <w:sz w:val="20"/>
                <w:szCs w:val="20"/>
                <w:highlight w:val="yellow"/>
              </w:rPr>
            </w:pPr>
            <w:r w:rsidRPr="00887108">
              <w:rPr>
                <w:sz w:val="20"/>
              </w:rPr>
              <w:t>0</w:t>
            </w:r>
          </w:p>
        </w:tc>
        <w:tc>
          <w:tcPr>
            <w:tcW w:w="665" w:type="dxa"/>
            <w:tcBorders>
              <w:top w:val="nil"/>
              <w:left w:val="nil"/>
              <w:bottom w:val="nil"/>
              <w:right w:val="nil"/>
            </w:tcBorders>
            <w:shd w:val="clear" w:color="auto" w:fill="auto"/>
            <w:noWrap/>
            <w:hideMark/>
          </w:tcPr>
          <w:p w14:paraId="44DC32DC" w14:textId="3FB6ECD1" w:rsidR="00BB22C5" w:rsidRPr="00887108" w:rsidRDefault="00BB22C5" w:rsidP="00BB22C5">
            <w:pPr>
              <w:jc w:val="right"/>
              <w:rPr>
                <w:rFonts w:cs="Times New Roman"/>
                <w:color w:val="000000"/>
                <w:sz w:val="20"/>
                <w:szCs w:val="20"/>
                <w:highlight w:val="yellow"/>
              </w:rPr>
            </w:pPr>
            <w:r w:rsidRPr="00887108">
              <w:rPr>
                <w:sz w:val="20"/>
              </w:rPr>
              <w:t>-11</w:t>
            </w:r>
          </w:p>
        </w:tc>
        <w:tc>
          <w:tcPr>
            <w:tcW w:w="717" w:type="dxa"/>
            <w:tcBorders>
              <w:top w:val="nil"/>
              <w:left w:val="nil"/>
              <w:bottom w:val="nil"/>
              <w:right w:val="nil"/>
            </w:tcBorders>
            <w:shd w:val="clear" w:color="auto" w:fill="auto"/>
            <w:noWrap/>
            <w:hideMark/>
          </w:tcPr>
          <w:p w14:paraId="4E97F0F8" w14:textId="2F959A53" w:rsidR="00BB22C5" w:rsidRPr="00887108" w:rsidRDefault="00BB22C5" w:rsidP="00BB22C5">
            <w:pPr>
              <w:jc w:val="right"/>
              <w:rPr>
                <w:rFonts w:cs="Times New Roman"/>
                <w:color w:val="000000"/>
                <w:sz w:val="20"/>
                <w:szCs w:val="20"/>
                <w:highlight w:val="yellow"/>
              </w:rPr>
            </w:pPr>
            <w:r w:rsidRPr="00887108">
              <w:rPr>
                <w:sz w:val="20"/>
              </w:rPr>
              <w:t>-11</w:t>
            </w:r>
          </w:p>
        </w:tc>
        <w:tc>
          <w:tcPr>
            <w:tcW w:w="665" w:type="dxa"/>
            <w:tcBorders>
              <w:top w:val="nil"/>
              <w:left w:val="nil"/>
              <w:bottom w:val="nil"/>
              <w:right w:val="nil"/>
            </w:tcBorders>
            <w:shd w:val="clear" w:color="auto" w:fill="auto"/>
            <w:noWrap/>
            <w:hideMark/>
          </w:tcPr>
          <w:p w14:paraId="36044C23" w14:textId="67A5A4DC" w:rsidR="00BB22C5" w:rsidRPr="00887108" w:rsidRDefault="00BB22C5" w:rsidP="00BB22C5">
            <w:pPr>
              <w:jc w:val="right"/>
              <w:rPr>
                <w:rFonts w:cs="Times New Roman"/>
                <w:color w:val="000000"/>
                <w:sz w:val="20"/>
                <w:szCs w:val="20"/>
                <w:highlight w:val="yellow"/>
              </w:rPr>
            </w:pPr>
            <w:r w:rsidRPr="00887108">
              <w:rPr>
                <w:sz w:val="20"/>
              </w:rPr>
              <w:t>-11</w:t>
            </w:r>
          </w:p>
        </w:tc>
      </w:tr>
      <w:tr w:rsidR="00BB22C5" w:rsidRPr="00887108" w14:paraId="07965F2D" w14:textId="77777777" w:rsidTr="004C1271">
        <w:trPr>
          <w:trHeight w:val="257"/>
        </w:trPr>
        <w:tc>
          <w:tcPr>
            <w:tcW w:w="6395" w:type="dxa"/>
            <w:tcBorders>
              <w:top w:val="nil"/>
              <w:left w:val="nil"/>
              <w:bottom w:val="nil"/>
              <w:right w:val="nil"/>
            </w:tcBorders>
            <w:shd w:val="clear" w:color="auto" w:fill="auto"/>
            <w:hideMark/>
          </w:tcPr>
          <w:p w14:paraId="66A16135" w14:textId="77777777" w:rsidR="00BB22C5" w:rsidRPr="00887108" w:rsidRDefault="00BB22C5" w:rsidP="00BB22C5">
            <w:pPr>
              <w:rPr>
                <w:rFonts w:cs="Times New Roman"/>
                <w:color w:val="000000"/>
                <w:sz w:val="20"/>
                <w:szCs w:val="20"/>
              </w:rPr>
            </w:pPr>
            <w:r w:rsidRPr="00887108">
              <w:rPr>
                <w:rFonts w:cs="Times New Roman"/>
                <w:color w:val="000000"/>
                <w:sz w:val="20"/>
                <w:szCs w:val="20"/>
              </w:rPr>
              <w:t>Odpočet daňovej straty pre ostatné firmy (max. do 50 % ZD počas 5 rokov)</w:t>
            </w:r>
          </w:p>
        </w:tc>
        <w:tc>
          <w:tcPr>
            <w:tcW w:w="628" w:type="dxa"/>
            <w:tcBorders>
              <w:top w:val="nil"/>
              <w:left w:val="nil"/>
              <w:bottom w:val="nil"/>
              <w:right w:val="nil"/>
            </w:tcBorders>
            <w:shd w:val="clear" w:color="auto" w:fill="auto"/>
            <w:noWrap/>
            <w:hideMark/>
          </w:tcPr>
          <w:p w14:paraId="581B28C3" w14:textId="52049856" w:rsidR="00BB22C5" w:rsidRPr="00887108" w:rsidRDefault="00BB22C5" w:rsidP="00BB22C5">
            <w:pPr>
              <w:jc w:val="right"/>
              <w:rPr>
                <w:rFonts w:cs="Times New Roman"/>
                <w:color w:val="000000"/>
                <w:sz w:val="20"/>
                <w:szCs w:val="20"/>
                <w:highlight w:val="yellow"/>
              </w:rPr>
            </w:pPr>
            <w:r w:rsidRPr="00887108">
              <w:rPr>
                <w:sz w:val="20"/>
              </w:rPr>
              <w:t>0</w:t>
            </w:r>
          </w:p>
        </w:tc>
        <w:tc>
          <w:tcPr>
            <w:tcW w:w="665" w:type="dxa"/>
            <w:tcBorders>
              <w:top w:val="nil"/>
              <w:left w:val="nil"/>
              <w:bottom w:val="nil"/>
              <w:right w:val="nil"/>
            </w:tcBorders>
            <w:shd w:val="clear" w:color="auto" w:fill="auto"/>
            <w:noWrap/>
            <w:hideMark/>
          </w:tcPr>
          <w:p w14:paraId="24F79A02" w14:textId="75F7C78F" w:rsidR="00BB22C5" w:rsidRPr="00887108" w:rsidRDefault="00BB22C5" w:rsidP="00BB22C5">
            <w:pPr>
              <w:jc w:val="right"/>
              <w:rPr>
                <w:rFonts w:cs="Times New Roman"/>
                <w:color w:val="000000"/>
                <w:sz w:val="20"/>
                <w:szCs w:val="20"/>
                <w:highlight w:val="yellow"/>
              </w:rPr>
            </w:pPr>
            <w:r w:rsidRPr="00887108">
              <w:rPr>
                <w:sz w:val="20"/>
              </w:rPr>
              <w:t>36</w:t>
            </w:r>
          </w:p>
        </w:tc>
        <w:tc>
          <w:tcPr>
            <w:tcW w:w="717" w:type="dxa"/>
            <w:tcBorders>
              <w:top w:val="nil"/>
              <w:left w:val="nil"/>
              <w:bottom w:val="nil"/>
              <w:right w:val="nil"/>
            </w:tcBorders>
            <w:shd w:val="clear" w:color="auto" w:fill="auto"/>
            <w:noWrap/>
            <w:hideMark/>
          </w:tcPr>
          <w:p w14:paraId="49DBF80C" w14:textId="17707529" w:rsidR="00BB22C5" w:rsidRPr="00887108" w:rsidRDefault="00BB22C5" w:rsidP="00BB22C5">
            <w:pPr>
              <w:jc w:val="right"/>
              <w:rPr>
                <w:rFonts w:cs="Times New Roman"/>
                <w:color w:val="000000"/>
                <w:sz w:val="20"/>
                <w:szCs w:val="20"/>
                <w:highlight w:val="yellow"/>
              </w:rPr>
            </w:pPr>
            <w:r w:rsidRPr="00887108">
              <w:rPr>
                <w:sz w:val="20"/>
              </w:rPr>
              <w:t>30</w:t>
            </w:r>
          </w:p>
        </w:tc>
        <w:tc>
          <w:tcPr>
            <w:tcW w:w="665" w:type="dxa"/>
            <w:tcBorders>
              <w:top w:val="nil"/>
              <w:left w:val="nil"/>
              <w:bottom w:val="nil"/>
              <w:right w:val="nil"/>
            </w:tcBorders>
            <w:shd w:val="clear" w:color="auto" w:fill="auto"/>
            <w:noWrap/>
            <w:hideMark/>
          </w:tcPr>
          <w:p w14:paraId="16C7BC7A" w14:textId="7967D860" w:rsidR="00BB22C5" w:rsidRPr="00887108" w:rsidRDefault="00BB22C5" w:rsidP="00BB22C5">
            <w:pPr>
              <w:jc w:val="right"/>
              <w:rPr>
                <w:rFonts w:cs="Times New Roman"/>
                <w:color w:val="000000"/>
                <w:sz w:val="20"/>
                <w:szCs w:val="20"/>
                <w:highlight w:val="yellow"/>
              </w:rPr>
            </w:pPr>
            <w:r w:rsidRPr="00887108">
              <w:rPr>
                <w:sz w:val="20"/>
              </w:rPr>
              <w:t>30</w:t>
            </w:r>
          </w:p>
        </w:tc>
      </w:tr>
      <w:tr w:rsidR="00BB22C5" w:rsidRPr="00887108" w14:paraId="621BFB5B" w14:textId="77777777" w:rsidTr="004C1271">
        <w:trPr>
          <w:trHeight w:val="257"/>
        </w:trPr>
        <w:tc>
          <w:tcPr>
            <w:tcW w:w="6395" w:type="dxa"/>
            <w:tcBorders>
              <w:top w:val="nil"/>
              <w:left w:val="nil"/>
              <w:bottom w:val="nil"/>
              <w:right w:val="nil"/>
            </w:tcBorders>
            <w:shd w:val="clear" w:color="auto" w:fill="auto"/>
            <w:hideMark/>
          </w:tcPr>
          <w:p w14:paraId="2ECE066F" w14:textId="77777777" w:rsidR="00BB22C5" w:rsidRPr="00887108" w:rsidRDefault="00BB22C5" w:rsidP="00BB22C5">
            <w:pPr>
              <w:rPr>
                <w:rFonts w:cs="Times New Roman"/>
                <w:color w:val="000000"/>
                <w:sz w:val="20"/>
                <w:szCs w:val="20"/>
              </w:rPr>
            </w:pPr>
            <w:r w:rsidRPr="00887108">
              <w:rPr>
                <w:rFonts w:cs="Times New Roman"/>
                <w:color w:val="000000"/>
                <w:sz w:val="20"/>
                <w:szCs w:val="20"/>
              </w:rPr>
              <w:t>Ľubovoľná doba odpisov pre mikropodniky</w:t>
            </w:r>
          </w:p>
        </w:tc>
        <w:tc>
          <w:tcPr>
            <w:tcW w:w="628" w:type="dxa"/>
            <w:tcBorders>
              <w:top w:val="nil"/>
              <w:left w:val="nil"/>
              <w:bottom w:val="nil"/>
              <w:right w:val="nil"/>
            </w:tcBorders>
            <w:shd w:val="clear" w:color="auto" w:fill="auto"/>
            <w:noWrap/>
            <w:hideMark/>
          </w:tcPr>
          <w:p w14:paraId="30D995EF" w14:textId="2670E593" w:rsidR="00BB22C5" w:rsidRPr="00887108" w:rsidRDefault="00BB22C5" w:rsidP="00BB22C5">
            <w:pPr>
              <w:jc w:val="right"/>
              <w:rPr>
                <w:rFonts w:cs="Times New Roman"/>
                <w:color w:val="000000"/>
                <w:sz w:val="20"/>
                <w:szCs w:val="20"/>
                <w:highlight w:val="yellow"/>
              </w:rPr>
            </w:pPr>
            <w:r w:rsidRPr="00887108">
              <w:rPr>
                <w:sz w:val="20"/>
              </w:rPr>
              <w:t>0</w:t>
            </w:r>
          </w:p>
        </w:tc>
        <w:tc>
          <w:tcPr>
            <w:tcW w:w="665" w:type="dxa"/>
            <w:tcBorders>
              <w:top w:val="nil"/>
              <w:left w:val="nil"/>
              <w:bottom w:val="nil"/>
              <w:right w:val="nil"/>
            </w:tcBorders>
            <w:shd w:val="clear" w:color="auto" w:fill="auto"/>
            <w:noWrap/>
            <w:hideMark/>
          </w:tcPr>
          <w:p w14:paraId="2659C1D9" w14:textId="0289F7FD" w:rsidR="00BB22C5" w:rsidRPr="00887108" w:rsidRDefault="00BB22C5" w:rsidP="00BB22C5">
            <w:pPr>
              <w:jc w:val="right"/>
              <w:rPr>
                <w:rFonts w:cs="Times New Roman"/>
                <w:color w:val="000000"/>
                <w:sz w:val="20"/>
                <w:szCs w:val="20"/>
                <w:highlight w:val="yellow"/>
              </w:rPr>
            </w:pPr>
            <w:r w:rsidRPr="00887108">
              <w:rPr>
                <w:sz w:val="20"/>
              </w:rPr>
              <w:t>-15</w:t>
            </w:r>
          </w:p>
        </w:tc>
        <w:tc>
          <w:tcPr>
            <w:tcW w:w="717" w:type="dxa"/>
            <w:tcBorders>
              <w:top w:val="nil"/>
              <w:left w:val="nil"/>
              <w:bottom w:val="nil"/>
              <w:right w:val="nil"/>
            </w:tcBorders>
            <w:shd w:val="clear" w:color="auto" w:fill="auto"/>
            <w:noWrap/>
            <w:hideMark/>
          </w:tcPr>
          <w:p w14:paraId="5C6E7B5F" w14:textId="247768C0" w:rsidR="00BB22C5" w:rsidRPr="00887108" w:rsidRDefault="00BB22C5" w:rsidP="00BB22C5">
            <w:pPr>
              <w:jc w:val="right"/>
              <w:rPr>
                <w:rFonts w:cs="Times New Roman"/>
                <w:color w:val="000000"/>
                <w:sz w:val="20"/>
                <w:szCs w:val="20"/>
                <w:highlight w:val="yellow"/>
              </w:rPr>
            </w:pPr>
            <w:r w:rsidRPr="00887108">
              <w:rPr>
                <w:sz w:val="20"/>
              </w:rPr>
              <w:t>-15</w:t>
            </w:r>
          </w:p>
        </w:tc>
        <w:tc>
          <w:tcPr>
            <w:tcW w:w="665" w:type="dxa"/>
            <w:tcBorders>
              <w:top w:val="nil"/>
              <w:left w:val="nil"/>
              <w:bottom w:val="nil"/>
              <w:right w:val="nil"/>
            </w:tcBorders>
            <w:shd w:val="clear" w:color="auto" w:fill="auto"/>
            <w:noWrap/>
            <w:hideMark/>
          </w:tcPr>
          <w:p w14:paraId="157FC7AD" w14:textId="05F20BB8" w:rsidR="00BB22C5" w:rsidRPr="00887108" w:rsidRDefault="00BB22C5" w:rsidP="00BB22C5">
            <w:pPr>
              <w:jc w:val="right"/>
              <w:rPr>
                <w:rFonts w:cs="Times New Roman"/>
                <w:color w:val="000000"/>
                <w:sz w:val="20"/>
                <w:szCs w:val="20"/>
                <w:highlight w:val="yellow"/>
              </w:rPr>
            </w:pPr>
            <w:r w:rsidRPr="00887108">
              <w:rPr>
                <w:sz w:val="20"/>
              </w:rPr>
              <w:t>-15</w:t>
            </w:r>
          </w:p>
        </w:tc>
      </w:tr>
      <w:tr w:rsidR="00BB22C5" w:rsidRPr="00887108" w14:paraId="39381468" w14:textId="77777777" w:rsidTr="004C1271">
        <w:trPr>
          <w:trHeight w:val="257"/>
        </w:trPr>
        <w:tc>
          <w:tcPr>
            <w:tcW w:w="6395" w:type="dxa"/>
            <w:tcBorders>
              <w:top w:val="nil"/>
              <w:left w:val="nil"/>
              <w:bottom w:val="nil"/>
              <w:right w:val="nil"/>
            </w:tcBorders>
            <w:shd w:val="clear" w:color="auto" w:fill="auto"/>
            <w:hideMark/>
          </w:tcPr>
          <w:p w14:paraId="6686C525" w14:textId="77777777" w:rsidR="00BB22C5" w:rsidRPr="00887108" w:rsidRDefault="00BB22C5" w:rsidP="00BB22C5">
            <w:pPr>
              <w:rPr>
                <w:rFonts w:cs="Times New Roman"/>
                <w:color w:val="000000"/>
                <w:sz w:val="20"/>
                <w:szCs w:val="20"/>
              </w:rPr>
            </w:pPr>
            <w:r w:rsidRPr="00887108">
              <w:rPr>
                <w:rFonts w:cs="Times New Roman"/>
                <w:color w:val="000000"/>
                <w:sz w:val="20"/>
                <w:szCs w:val="20"/>
              </w:rPr>
              <w:t>15 % sadzba DPPO pre firmy s obratom do 100 tis. Eur</w:t>
            </w:r>
          </w:p>
        </w:tc>
        <w:tc>
          <w:tcPr>
            <w:tcW w:w="628" w:type="dxa"/>
            <w:tcBorders>
              <w:top w:val="nil"/>
              <w:left w:val="nil"/>
              <w:bottom w:val="nil"/>
              <w:right w:val="nil"/>
            </w:tcBorders>
            <w:shd w:val="clear" w:color="auto" w:fill="auto"/>
            <w:noWrap/>
            <w:hideMark/>
          </w:tcPr>
          <w:p w14:paraId="5B461CA4" w14:textId="0495F47C" w:rsidR="00BB22C5" w:rsidRPr="00887108" w:rsidRDefault="00BB22C5" w:rsidP="00BB22C5">
            <w:pPr>
              <w:jc w:val="right"/>
              <w:rPr>
                <w:rFonts w:cs="Times New Roman"/>
                <w:color w:val="000000"/>
                <w:sz w:val="20"/>
                <w:szCs w:val="20"/>
                <w:highlight w:val="yellow"/>
              </w:rPr>
            </w:pPr>
            <w:r w:rsidRPr="00887108">
              <w:rPr>
                <w:sz w:val="20"/>
              </w:rPr>
              <w:t>-42</w:t>
            </w:r>
          </w:p>
        </w:tc>
        <w:tc>
          <w:tcPr>
            <w:tcW w:w="665" w:type="dxa"/>
            <w:tcBorders>
              <w:top w:val="nil"/>
              <w:left w:val="nil"/>
              <w:bottom w:val="nil"/>
              <w:right w:val="nil"/>
            </w:tcBorders>
            <w:shd w:val="clear" w:color="auto" w:fill="auto"/>
            <w:noWrap/>
            <w:hideMark/>
          </w:tcPr>
          <w:p w14:paraId="2BC5B79D" w14:textId="4C8EDDB0" w:rsidR="00BB22C5" w:rsidRPr="00887108" w:rsidRDefault="00BB22C5" w:rsidP="00BB22C5">
            <w:pPr>
              <w:jc w:val="right"/>
              <w:rPr>
                <w:rFonts w:cs="Times New Roman"/>
                <w:color w:val="000000"/>
                <w:sz w:val="20"/>
                <w:szCs w:val="20"/>
                <w:highlight w:val="yellow"/>
              </w:rPr>
            </w:pPr>
            <w:r w:rsidRPr="00887108">
              <w:rPr>
                <w:sz w:val="20"/>
              </w:rPr>
              <w:t>-4</w:t>
            </w:r>
            <w:r w:rsidR="0084712D" w:rsidRPr="00887108">
              <w:rPr>
                <w:sz w:val="20"/>
              </w:rPr>
              <w:t>4</w:t>
            </w:r>
          </w:p>
        </w:tc>
        <w:tc>
          <w:tcPr>
            <w:tcW w:w="717" w:type="dxa"/>
            <w:tcBorders>
              <w:top w:val="nil"/>
              <w:left w:val="nil"/>
              <w:bottom w:val="nil"/>
              <w:right w:val="nil"/>
            </w:tcBorders>
            <w:shd w:val="clear" w:color="auto" w:fill="auto"/>
            <w:noWrap/>
            <w:hideMark/>
          </w:tcPr>
          <w:p w14:paraId="5B21DB6C" w14:textId="1FDB94C3" w:rsidR="00BB22C5" w:rsidRPr="00887108" w:rsidRDefault="00BB22C5" w:rsidP="00BB22C5">
            <w:pPr>
              <w:jc w:val="right"/>
              <w:rPr>
                <w:rFonts w:cs="Times New Roman"/>
                <w:color w:val="000000"/>
                <w:sz w:val="20"/>
                <w:szCs w:val="20"/>
                <w:highlight w:val="yellow"/>
              </w:rPr>
            </w:pPr>
            <w:r w:rsidRPr="00887108">
              <w:rPr>
                <w:sz w:val="20"/>
              </w:rPr>
              <w:t>-4</w:t>
            </w:r>
            <w:r w:rsidR="0084712D" w:rsidRPr="00887108">
              <w:rPr>
                <w:sz w:val="20"/>
              </w:rPr>
              <w:t>5</w:t>
            </w:r>
          </w:p>
        </w:tc>
        <w:tc>
          <w:tcPr>
            <w:tcW w:w="665" w:type="dxa"/>
            <w:tcBorders>
              <w:top w:val="nil"/>
              <w:left w:val="nil"/>
              <w:bottom w:val="nil"/>
              <w:right w:val="nil"/>
            </w:tcBorders>
            <w:shd w:val="clear" w:color="auto" w:fill="auto"/>
            <w:noWrap/>
            <w:hideMark/>
          </w:tcPr>
          <w:p w14:paraId="3CEBB2D3" w14:textId="45E6BEED" w:rsidR="00BB22C5" w:rsidRPr="00887108" w:rsidRDefault="00BB22C5" w:rsidP="00BB22C5">
            <w:pPr>
              <w:jc w:val="right"/>
              <w:rPr>
                <w:rFonts w:cs="Times New Roman"/>
                <w:color w:val="000000"/>
                <w:sz w:val="20"/>
                <w:szCs w:val="20"/>
                <w:highlight w:val="yellow"/>
              </w:rPr>
            </w:pPr>
            <w:r w:rsidRPr="00887108">
              <w:rPr>
                <w:sz w:val="20"/>
              </w:rPr>
              <w:t>-4</w:t>
            </w:r>
            <w:r w:rsidR="0084712D" w:rsidRPr="00887108">
              <w:rPr>
                <w:sz w:val="20"/>
              </w:rPr>
              <w:t>5</w:t>
            </w:r>
          </w:p>
        </w:tc>
      </w:tr>
      <w:tr w:rsidR="00BB22C5" w:rsidRPr="00887108" w14:paraId="4E8DA9A9" w14:textId="77777777" w:rsidTr="004C1271">
        <w:trPr>
          <w:trHeight w:val="257"/>
        </w:trPr>
        <w:tc>
          <w:tcPr>
            <w:tcW w:w="6395" w:type="dxa"/>
            <w:tcBorders>
              <w:top w:val="nil"/>
              <w:left w:val="nil"/>
              <w:bottom w:val="nil"/>
              <w:right w:val="nil"/>
            </w:tcBorders>
            <w:shd w:val="clear" w:color="auto" w:fill="auto"/>
            <w:hideMark/>
          </w:tcPr>
          <w:p w14:paraId="3773A5C2" w14:textId="77777777" w:rsidR="00BB22C5" w:rsidRPr="00887108" w:rsidRDefault="00BB22C5" w:rsidP="00BB22C5">
            <w:pPr>
              <w:rPr>
                <w:rFonts w:cs="Times New Roman"/>
                <w:color w:val="000000"/>
                <w:sz w:val="20"/>
                <w:szCs w:val="20"/>
              </w:rPr>
            </w:pPr>
            <w:r w:rsidRPr="00887108">
              <w:rPr>
                <w:rFonts w:cs="Times New Roman"/>
                <w:color w:val="000000"/>
                <w:sz w:val="20"/>
                <w:szCs w:val="20"/>
              </w:rPr>
              <w:t>Zvýšenie nezdaniteľnej časti základu dane na 21-násobok životného minima</w:t>
            </w:r>
          </w:p>
        </w:tc>
        <w:tc>
          <w:tcPr>
            <w:tcW w:w="628" w:type="dxa"/>
            <w:tcBorders>
              <w:top w:val="nil"/>
              <w:left w:val="nil"/>
              <w:bottom w:val="nil"/>
              <w:right w:val="nil"/>
            </w:tcBorders>
            <w:shd w:val="clear" w:color="auto" w:fill="auto"/>
            <w:noWrap/>
            <w:hideMark/>
          </w:tcPr>
          <w:p w14:paraId="6AAAE45B" w14:textId="6FAC2F9B" w:rsidR="00BB22C5" w:rsidRPr="00887108" w:rsidRDefault="00BB22C5" w:rsidP="00BB22C5">
            <w:pPr>
              <w:jc w:val="right"/>
              <w:rPr>
                <w:rFonts w:cs="Times New Roman"/>
                <w:color w:val="000000"/>
                <w:sz w:val="20"/>
                <w:szCs w:val="20"/>
                <w:highlight w:val="yellow"/>
              </w:rPr>
            </w:pPr>
            <w:r w:rsidRPr="00887108">
              <w:rPr>
                <w:sz w:val="20"/>
              </w:rPr>
              <w:t>-135</w:t>
            </w:r>
          </w:p>
        </w:tc>
        <w:tc>
          <w:tcPr>
            <w:tcW w:w="665" w:type="dxa"/>
            <w:tcBorders>
              <w:top w:val="nil"/>
              <w:left w:val="nil"/>
              <w:bottom w:val="nil"/>
              <w:right w:val="nil"/>
            </w:tcBorders>
            <w:shd w:val="clear" w:color="auto" w:fill="auto"/>
            <w:noWrap/>
            <w:hideMark/>
          </w:tcPr>
          <w:p w14:paraId="390771F1" w14:textId="40376BE1" w:rsidR="00BB22C5" w:rsidRPr="00887108" w:rsidRDefault="00BB22C5" w:rsidP="00BB22C5">
            <w:pPr>
              <w:jc w:val="right"/>
              <w:rPr>
                <w:rFonts w:cs="Times New Roman"/>
                <w:color w:val="000000"/>
                <w:sz w:val="20"/>
                <w:szCs w:val="20"/>
                <w:highlight w:val="yellow"/>
              </w:rPr>
            </w:pPr>
            <w:r w:rsidRPr="00887108">
              <w:rPr>
                <w:sz w:val="20"/>
              </w:rPr>
              <w:t>-13</w:t>
            </w:r>
            <w:r w:rsidR="0084712D" w:rsidRPr="00887108">
              <w:rPr>
                <w:sz w:val="20"/>
              </w:rPr>
              <w:t>6</w:t>
            </w:r>
          </w:p>
        </w:tc>
        <w:tc>
          <w:tcPr>
            <w:tcW w:w="717" w:type="dxa"/>
            <w:tcBorders>
              <w:top w:val="nil"/>
              <w:left w:val="nil"/>
              <w:bottom w:val="nil"/>
              <w:right w:val="nil"/>
            </w:tcBorders>
            <w:shd w:val="clear" w:color="auto" w:fill="auto"/>
            <w:noWrap/>
            <w:hideMark/>
          </w:tcPr>
          <w:p w14:paraId="6DAB0031" w14:textId="29327227" w:rsidR="00BB22C5" w:rsidRPr="00887108" w:rsidRDefault="00BB22C5" w:rsidP="00BB22C5">
            <w:pPr>
              <w:jc w:val="right"/>
              <w:rPr>
                <w:rFonts w:cs="Times New Roman"/>
                <w:color w:val="000000"/>
                <w:sz w:val="20"/>
                <w:szCs w:val="20"/>
                <w:highlight w:val="yellow"/>
              </w:rPr>
            </w:pPr>
            <w:r w:rsidRPr="00887108">
              <w:rPr>
                <w:sz w:val="20"/>
              </w:rPr>
              <w:t>-13</w:t>
            </w:r>
            <w:r w:rsidR="0084712D" w:rsidRPr="00887108">
              <w:rPr>
                <w:sz w:val="20"/>
              </w:rPr>
              <w:t>7</w:t>
            </w:r>
          </w:p>
        </w:tc>
        <w:tc>
          <w:tcPr>
            <w:tcW w:w="665" w:type="dxa"/>
            <w:tcBorders>
              <w:top w:val="nil"/>
              <w:left w:val="nil"/>
              <w:bottom w:val="nil"/>
              <w:right w:val="nil"/>
            </w:tcBorders>
            <w:shd w:val="clear" w:color="auto" w:fill="auto"/>
            <w:noWrap/>
            <w:hideMark/>
          </w:tcPr>
          <w:p w14:paraId="5433493E" w14:textId="0F520CBA" w:rsidR="00BB22C5" w:rsidRPr="00887108" w:rsidRDefault="00BB22C5" w:rsidP="00BB22C5">
            <w:pPr>
              <w:jc w:val="right"/>
              <w:rPr>
                <w:rFonts w:cs="Times New Roman"/>
                <w:color w:val="000000"/>
                <w:sz w:val="20"/>
                <w:szCs w:val="20"/>
                <w:highlight w:val="yellow"/>
              </w:rPr>
            </w:pPr>
            <w:r w:rsidRPr="00887108">
              <w:rPr>
                <w:sz w:val="20"/>
              </w:rPr>
              <w:t>-13</w:t>
            </w:r>
            <w:r w:rsidR="0084712D" w:rsidRPr="00887108">
              <w:rPr>
                <w:sz w:val="20"/>
              </w:rPr>
              <w:t>7</w:t>
            </w:r>
          </w:p>
        </w:tc>
      </w:tr>
      <w:tr w:rsidR="00BB22C5" w:rsidRPr="00887108" w14:paraId="76E82318" w14:textId="77777777" w:rsidTr="004C1271">
        <w:trPr>
          <w:trHeight w:val="257"/>
        </w:trPr>
        <w:tc>
          <w:tcPr>
            <w:tcW w:w="6395" w:type="dxa"/>
            <w:tcBorders>
              <w:top w:val="nil"/>
              <w:left w:val="nil"/>
              <w:bottom w:val="nil"/>
              <w:right w:val="nil"/>
            </w:tcBorders>
            <w:shd w:val="clear" w:color="auto" w:fill="auto"/>
            <w:hideMark/>
          </w:tcPr>
          <w:p w14:paraId="2BB2A5F1" w14:textId="77777777" w:rsidR="00BB22C5" w:rsidRPr="00887108" w:rsidRDefault="00BB22C5" w:rsidP="00BB22C5">
            <w:pPr>
              <w:rPr>
                <w:rFonts w:cs="Times New Roman"/>
                <w:color w:val="000000"/>
                <w:sz w:val="20"/>
                <w:szCs w:val="20"/>
              </w:rPr>
            </w:pPr>
            <w:r w:rsidRPr="00887108">
              <w:rPr>
                <w:rFonts w:cs="Times New Roman"/>
                <w:color w:val="000000"/>
                <w:sz w:val="20"/>
                <w:szCs w:val="20"/>
              </w:rPr>
              <w:t>Znížená sadzba SZČO na 15% pre obrat do 100 tis. eur</w:t>
            </w:r>
          </w:p>
        </w:tc>
        <w:tc>
          <w:tcPr>
            <w:tcW w:w="628" w:type="dxa"/>
            <w:tcBorders>
              <w:top w:val="nil"/>
              <w:left w:val="nil"/>
              <w:bottom w:val="nil"/>
              <w:right w:val="nil"/>
            </w:tcBorders>
            <w:shd w:val="clear" w:color="auto" w:fill="auto"/>
            <w:noWrap/>
            <w:hideMark/>
          </w:tcPr>
          <w:p w14:paraId="7F94D774" w14:textId="1BA22D12" w:rsidR="00BB22C5" w:rsidRPr="00887108" w:rsidRDefault="00BB22C5" w:rsidP="00BB22C5">
            <w:pPr>
              <w:jc w:val="right"/>
              <w:rPr>
                <w:rFonts w:cs="Times New Roman"/>
                <w:color w:val="000000"/>
                <w:sz w:val="20"/>
                <w:szCs w:val="20"/>
                <w:highlight w:val="yellow"/>
              </w:rPr>
            </w:pPr>
            <w:r w:rsidRPr="00887108">
              <w:rPr>
                <w:sz w:val="20"/>
              </w:rPr>
              <w:t>-19</w:t>
            </w:r>
          </w:p>
        </w:tc>
        <w:tc>
          <w:tcPr>
            <w:tcW w:w="665" w:type="dxa"/>
            <w:tcBorders>
              <w:top w:val="nil"/>
              <w:left w:val="nil"/>
              <w:bottom w:val="nil"/>
              <w:right w:val="nil"/>
            </w:tcBorders>
            <w:shd w:val="clear" w:color="auto" w:fill="auto"/>
            <w:noWrap/>
            <w:hideMark/>
          </w:tcPr>
          <w:p w14:paraId="0C1A733B" w14:textId="3B2C590C" w:rsidR="00BB22C5" w:rsidRPr="00887108" w:rsidRDefault="00BB22C5" w:rsidP="00BB22C5">
            <w:pPr>
              <w:jc w:val="right"/>
              <w:rPr>
                <w:rFonts w:cs="Times New Roman"/>
                <w:color w:val="000000"/>
                <w:sz w:val="20"/>
                <w:szCs w:val="20"/>
                <w:highlight w:val="yellow"/>
              </w:rPr>
            </w:pPr>
            <w:r w:rsidRPr="00887108">
              <w:rPr>
                <w:sz w:val="20"/>
              </w:rPr>
              <w:t>-19</w:t>
            </w:r>
          </w:p>
        </w:tc>
        <w:tc>
          <w:tcPr>
            <w:tcW w:w="717" w:type="dxa"/>
            <w:tcBorders>
              <w:top w:val="nil"/>
              <w:left w:val="nil"/>
              <w:bottom w:val="nil"/>
              <w:right w:val="nil"/>
            </w:tcBorders>
            <w:shd w:val="clear" w:color="auto" w:fill="auto"/>
            <w:noWrap/>
            <w:hideMark/>
          </w:tcPr>
          <w:p w14:paraId="6DC35C19" w14:textId="59BEE4C8" w:rsidR="00BB22C5" w:rsidRPr="00887108" w:rsidRDefault="00BB22C5" w:rsidP="00BB22C5">
            <w:pPr>
              <w:jc w:val="right"/>
              <w:rPr>
                <w:rFonts w:cs="Times New Roman"/>
                <w:color w:val="000000"/>
                <w:sz w:val="20"/>
                <w:szCs w:val="20"/>
                <w:highlight w:val="yellow"/>
              </w:rPr>
            </w:pPr>
            <w:r w:rsidRPr="00887108">
              <w:rPr>
                <w:sz w:val="20"/>
              </w:rPr>
              <w:t>-</w:t>
            </w:r>
            <w:r w:rsidR="0084712D" w:rsidRPr="00887108">
              <w:rPr>
                <w:sz w:val="20"/>
              </w:rPr>
              <w:t>21</w:t>
            </w:r>
          </w:p>
        </w:tc>
        <w:tc>
          <w:tcPr>
            <w:tcW w:w="665" w:type="dxa"/>
            <w:tcBorders>
              <w:top w:val="nil"/>
              <w:left w:val="nil"/>
              <w:bottom w:val="nil"/>
              <w:right w:val="nil"/>
            </w:tcBorders>
            <w:shd w:val="clear" w:color="auto" w:fill="auto"/>
            <w:noWrap/>
            <w:hideMark/>
          </w:tcPr>
          <w:p w14:paraId="7AB117BA" w14:textId="0B5BA2C1" w:rsidR="00BB22C5" w:rsidRPr="00887108" w:rsidRDefault="00BB22C5" w:rsidP="00BB22C5">
            <w:pPr>
              <w:jc w:val="right"/>
              <w:rPr>
                <w:rFonts w:cs="Times New Roman"/>
                <w:color w:val="000000"/>
                <w:sz w:val="20"/>
                <w:szCs w:val="20"/>
                <w:highlight w:val="yellow"/>
              </w:rPr>
            </w:pPr>
            <w:r w:rsidRPr="00887108">
              <w:rPr>
                <w:sz w:val="20"/>
              </w:rPr>
              <w:t>-</w:t>
            </w:r>
            <w:r w:rsidR="0084712D" w:rsidRPr="00887108">
              <w:rPr>
                <w:sz w:val="20"/>
              </w:rPr>
              <w:t>22</w:t>
            </w:r>
          </w:p>
        </w:tc>
      </w:tr>
      <w:tr w:rsidR="00BB22C5" w:rsidRPr="00887108" w14:paraId="2A898F0D" w14:textId="77777777" w:rsidTr="004C1271">
        <w:trPr>
          <w:trHeight w:val="257"/>
        </w:trPr>
        <w:tc>
          <w:tcPr>
            <w:tcW w:w="6395" w:type="dxa"/>
            <w:tcBorders>
              <w:top w:val="nil"/>
              <w:left w:val="nil"/>
              <w:bottom w:val="nil"/>
              <w:right w:val="nil"/>
            </w:tcBorders>
            <w:shd w:val="clear" w:color="auto" w:fill="auto"/>
            <w:hideMark/>
          </w:tcPr>
          <w:p w14:paraId="4297388B" w14:textId="77777777" w:rsidR="00BB22C5" w:rsidRPr="00887108" w:rsidRDefault="00BB22C5" w:rsidP="00BB22C5">
            <w:pPr>
              <w:rPr>
                <w:rFonts w:cs="Times New Roman"/>
                <w:color w:val="000000"/>
                <w:sz w:val="20"/>
                <w:szCs w:val="20"/>
              </w:rPr>
            </w:pPr>
            <w:r w:rsidRPr="00887108">
              <w:rPr>
                <w:rFonts w:cs="Times New Roman"/>
                <w:color w:val="000000"/>
                <w:sz w:val="20"/>
                <w:szCs w:val="20"/>
              </w:rPr>
              <w:t>Znížená sadzba DPH na ďalšie potraviny</w:t>
            </w:r>
          </w:p>
        </w:tc>
        <w:tc>
          <w:tcPr>
            <w:tcW w:w="628" w:type="dxa"/>
            <w:tcBorders>
              <w:top w:val="nil"/>
              <w:left w:val="nil"/>
              <w:bottom w:val="nil"/>
              <w:right w:val="nil"/>
            </w:tcBorders>
            <w:shd w:val="clear" w:color="auto" w:fill="auto"/>
            <w:noWrap/>
            <w:hideMark/>
          </w:tcPr>
          <w:p w14:paraId="3E610AD5" w14:textId="1FA02F34" w:rsidR="00BB22C5" w:rsidRPr="00887108" w:rsidRDefault="00BB22C5" w:rsidP="00BB22C5">
            <w:pPr>
              <w:jc w:val="right"/>
              <w:rPr>
                <w:rFonts w:cs="Times New Roman"/>
                <w:color w:val="000000"/>
                <w:sz w:val="20"/>
                <w:szCs w:val="20"/>
                <w:highlight w:val="yellow"/>
              </w:rPr>
            </w:pPr>
            <w:r w:rsidRPr="00887108">
              <w:rPr>
                <w:sz w:val="20"/>
              </w:rPr>
              <w:t>-77</w:t>
            </w:r>
          </w:p>
        </w:tc>
        <w:tc>
          <w:tcPr>
            <w:tcW w:w="665" w:type="dxa"/>
            <w:tcBorders>
              <w:top w:val="nil"/>
              <w:left w:val="nil"/>
              <w:bottom w:val="nil"/>
              <w:right w:val="nil"/>
            </w:tcBorders>
            <w:shd w:val="clear" w:color="auto" w:fill="auto"/>
            <w:noWrap/>
            <w:hideMark/>
          </w:tcPr>
          <w:p w14:paraId="2BE95B28" w14:textId="557F6E46" w:rsidR="00BB22C5" w:rsidRPr="00887108" w:rsidRDefault="00BB22C5" w:rsidP="00BB22C5">
            <w:pPr>
              <w:jc w:val="right"/>
              <w:rPr>
                <w:rFonts w:cs="Times New Roman"/>
                <w:color w:val="000000"/>
                <w:sz w:val="20"/>
                <w:szCs w:val="20"/>
                <w:highlight w:val="yellow"/>
              </w:rPr>
            </w:pPr>
            <w:r w:rsidRPr="00887108">
              <w:rPr>
                <w:sz w:val="20"/>
              </w:rPr>
              <w:t>-</w:t>
            </w:r>
            <w:r w:rsidR="0084712D" w:rsidRPr="00887108">
              <w:rPr>
                <w:sz w:val="20"/>
              </w:rPr>
              <w:t>81</w:t>
            </w:r>
          </w:p>
        </w:tc>
        <w:tc>
          <w:tcPr>
            <w:tcW w:w="717" w:type="dxa"/>
            <w:tcBorders>
              <w:top w:val="nil"/>
              <w:left w:val="nil"/>
              <w:bottom w:val="nil"/>
              <w:right w:val="nil"/>
            </w:tcBorders>
            <w:shd w:val="clear" w:color="auto" w:fill="auto"/>
            <w:noWrap/>
            <w:hideMark/>
          </w:tcPr>
          <w:p w14:paraId="325AD5D7" w14:textId="14B65B0F" w:rsidR="00BB22C5" w:rsidRPr="00887108" w:rsidRDefault="00BB22C5" w:rsidP="00BB22C5">
            <w:pPr>
              <w:jc w:val="right"/>
              <w:rPr>
                <w:rFonts w:cs="Times New Roman"/>
                <w:color w:val="000000"/>
                <w:sz w:val="20"/>
                <w:szCs w:val="20"/>
                <w:highlight w:val="yellow"/>
              </w:rPr>
            </w:pPr>
            <w:r w:rsidRPr="00887108">
              <w:rPr>
                <w:sz w:val="20"/>
              </w:rPr>
              <w:t>-</w:t>
            </w:r>
            <w:r w:rsidR="0084712D" w:rsidRPr="00887108">
              <w:rPr>
                <w:sz w:val="20"/>
              </w:rPr>
              <w:t>84</w:t>
            </w:r>
          </w:p>
        </w:tc>
        <w:tc>
          <w:tcPr>
            <w:tcW w:w="665" w:type="dxa"/>
            <w:tcBorders>
              <w:top w:val="nil"/>
              <w:left w:val="nil"/>
              <w:bottom w:val="nil"/>
              <w:right w:val="nil"/>
            </w:tcBorders>
            <w:shd w:val="clear" w:color="auto" w:fill="auto"/>
            <w:noWrap/>
            <w:hideMark/>
          </w:tcPr>
          <w:p w14:paraId="61CA5772" w14:textId="32D009F2" w:rsidR="00BB22C5" w:rsidRPr="00887108" w:rsidRDefault="00BB22C5" w:rsidP="00BB22C5">
            <w:pPr>
              <w:jc w:val="right"/>
              <w:rPr>
                <w:rFonts w:cs="Times New Roman"/>
                <w:color w:val="000000"/>
                <w:sz w:val="20"/>
                <w:szCs w:val="20"/>
                <w:highlight w:val="yellow"/>
              </w:rPr>
            </w:pPr>
            <w:r w:rsidRPr="00887108">
              <w:rPr>
                <w:sz w:val="20"/>
              </w:rPr>
              <w:t>-</w:t>
            </w:r>
            <w:r w:rsidR="0084712D" w:rsidRPr="00887108">
              <w:rPr>
                <w:sz w:val="20"/>
              </w:rPr>
              <w:t>88</w:t>
            </w:r>
          </w:p>
        </w:tc>
      </w:tr>
      <w:tr w:rsidR="00BB22C5" w:rsidRPr="00887108" w14:paraId="7BD7B2AE" w14:textId="77777777" w:rsidTr="00BF044B">
        <w:trPr>
          <w:trHeight w:val="257"/>
        </w:trPr>
        <w:tc>
          <w:tcPr>
            <w:tcW w:w="6395" w:type="dxa"/>
            <w:tcBorders>
              <w:top w:val="nil"/>
              <w:left w:val="nil"/>
              <w:right w:val="nil"/>
            </w:tcBorders>
            <w:shd w:val="clear" w:color="auto" w:fill="auto"/>
            <w:hideMark/>
          </w:tcPr>
          <w:p w14:paraId="7A41A901" w14:textId="77777777" w:rsidR="00BB22C5" w:rsidRPr="00887108" w:rsidRDefault="00BB22C5" w:rsidP="00BB22C5">
            <w:pPr>
              <w:rPr>
                <w:rFonts w:cs="Times New Roman"/>
                <w:color w:val="000000"/>
                <w:sz w:val="20"/>
                <w:szCs w:val="20"/>
              </w:rPr>
            </w:pPr>
            <w:r w:rsidRPr="00887108">
              <w:rPr>
                <w:rFonts w:cs="Times New Roman"/>
                <w:color w:val="000000"/>
                <w:sz w:val="20"/>
                <w:szCs w:val="20"/>
              </w:rPr>
              <w:t>Zavedenie paušálu na nepeň.benefit pre zamestnanca na dopravu (100 eur mesačne)</w:t>
            </w:r>
          </w:p>
        </w:tc>
        <w:tc>
          <w:tcPr>
            <w:tcW w:w="628" w:type="dxa"/>
            <w:tcBorders>
              <w:top w:val="nil"/>
              <w:left w:val="nil"/>
              <w:right w:val="nil"/>
            </w:tcBorders>
            <w:shd w:val="clear" w:color="auto" w:fill="auto"/>
            <w:noWrap/>
            <w:hideMark/>
          </w:tcPr>
          <w:p w14:paraId="43FD8FE9" w14:textId="029AC55B" w:rsidR="00BB22C5" w:rsidRPr="00887108" w:rsidRDefault="00BB22C5" w:rsidP="00BB22C5">
            <w:pPr>
              <w:jc w:val="right"/>
              <w:rPr>
                <w:rFonts w:cs="Times New Roman"/>
                <w:color w:val="000000"/>
                <w:sz w:val="20"/>
                <w:szCs w:val="20"/>
                <w:highlight w:val="yellow"/>
              </w:rPr>
            </w:pPr>
            <w:r w:rsidRPr="00887108">
              <w:rPr>
                <w:sz w:val="20"/>
              </w:rPr>
              <w:t>0</w:t>
            </w:r>
          </w:p>
        </w:tc>
        <w:tc>
          <w:tcPr>
            <w:tcW w:w="665" w:type="dxa"/>
            <w:tcBorders>
              <w:top w:val="nil"/>
              <w:left w:val="nil"/>
              <w:right w:val="nil"/>
            </w:tcBorders>
            <w:shd w:val="clear" w:color="auto" w:fill="auto"/>
            <w:noWrap/>
            <w:hideMark/>
          </w:tcPr>
          <w:p w14:paraId="7186C3EB" w14:textId="2367073C" w:rsidR="00BB22C5" w:rsidRPr="00887108" w:rsidRDefault="00BB22C5" w:rsidP="00BB22C5">
            <w:pPr>
              <w:jc w:val="right"/>
              <w:rPr>
                <w:rFonts w:cs="Times New Roman"/>
                <w:color w:val="000000"/>
                <w:sz w:val="20"/>
                <w:szCs w:val="20"/>
                <w:highlight w:val="yellow"/>
              </w:rPr>
            </w:pPr>
            <w:r w:rsidRPr="00887108">
              <w:rPr>
                <w:sz w:val="20"/>
              </w:rPr>
              <w:t>-12</w:t>
            </w:r>
          </w:p>
        </w:tc>
        <w:tc>
          <w:tcPr>
            <w:tcW w:w="717" w:type="dxa"/>
            <w:tcBorders>
              <w:top w:val="nil"/>
              <w:left w:val="nil"/>
              <w:right w:val="nil"/>
            </w:tcBorders>
            <w:shd w:val="clear" w:color="auto" w:fill="auto"/>
            <w:noWrap/>
            <w:hideMark/>
          </w:tcPr>
          <w:p w14:paraId="5A170C40" w14:textId="42169F0E" w:rsidR="00BB22C5" w:rsidRPr="00887108" w:rsidRDefault="00BB22C5" w:rsidP="00BB22C5">
            <w:pPr>
              <w:jc w:val="right"/>
              <w:rPr>
                <w:rFonts w:cs="Times New Roman"/>
                <w:color w:val="000000"/>
                <w:sz w:val="20"/>
                <w:szCs w:val="20"/>
                <w:highlight w:val="yellow"/>
              </w:rPr>
            </w:pPr>
            <w:r w:rsidRPr="00887108">
              <w:rPr>
                <w:sz w:val="20"/>
              </w:rPr>
              <w:t>-12</w:t>
            </w:r>
          </w:p>
        </w:tc>
        <w:tc>
          <w:tcPr>
            <w:tcW w:w="665" w:type="dxa"/>
            <w:tcBorders>
              <w:top w:val="nil"/>
              <w:left w:val="nil"/>
              <w:right w:val="nil"/>
            </w:tcBorders>
            <w:shd w:val="clear" w:color="auto" w:fill="auto"/>
            <w:noWrap/>
            <w:hideMark/>
          </w:tcPr>
          <w:p w14:paraId="413DD315" w14:textId="5F067E66" w:rsidR="00BB22C5" w:rsidRPr="00887108" w:rsidRDefault="00BB22C5" w:rsidP="00BB22C5">
            <w:pPr>
              <w:jc w:val="right"/>
              <w:rPr>
                <w:rFonts w:cs="Times New Roman"/>
                <w:color w:val="000000"/>
                <w:sz w:val="20"/>
                <w:szCs w:val="20"/>
                <w:highlight w:val="yellow"/>
              </w:rPr>
            </w:pPr>
            <w:r w:rsidRPr="00887108">
              <w:rPr>
                <w:sz w:val="20"/>
              </w:rPr>
              <w:t>-12</w:t>
            </w:r>
          </w:p>
        </w:tc>
      </w:tr>
      <w:tr w:rsidR="00BB22C5" w:rsidRPr="00887108" w14:paraId="7C52FAA8" w14:textId="77777777" w:rsidTr="00BF044B">
        <w:trPr>
          <w:trHeight w:val="257"/>
        </w:trPr>
        <w:tc>
          <w:tcPr>
            <w:tcW w:w="6395" w:type="dxa"/>
            <w:tcBorders>
              <w:top w:val="nil"/>
              <w:left w:val="nil"/>
              <w:bottom w:val="single" w:sz="4" w:space="0" w:color="auto"/>
              <w:right w:val="nil"/>
            </w:tcBorders>
            <w:shd w:val="clear" w:color="auto" w:fill="auto"/>
            <w:hideMark/>
          </w:tcPr>
          <w:p w14:paraId="1CEEA630" w14:textId="77777777" w:rsidR="00BB22C5" w:rsidRPr="00887108" w:rsidRDefault="00BB22C5" w:rsidP="00BB22C5">
            <w:pPr>
              <w:rPr>
                <w:rFonts w:cs="Times New Roman"/>
                <w:color w:val="000000"/>
                <w:sz w:val="20"/>
                <w:szCs w:val="20"/>
              </w:rPr>
            </w:pPr>
            <w:r w:rsidRPr="00887108">
              <w:rPr>
                <w:rFonts w:cs="Times New Roman"/>
                <w:color w:val="000000"/>
                <w:sz w:val="20"/>
                <w:szCs w:val="20"/>
              </w:rPr>
              <w:t>Opatrenia na podporu mobility práce</w:t>
            </w:r>
          </w:p>
        </w:tc>
        <w:tc>
          <w:tcPr>
            <w:tcW w:w="628" w:type="dxa"/>
            <w:tcBorders>
              <w:top w:val="nil"/>
              <w:left w:val="nil"/>
              <w:bottom w:val="single" w:sz="4" w:space="0" w:color="auto"/>
              <w:right w:val="nil"/>
            </w:tcBorders>
            <w:shd w:val="clear" w:color="auto" w:fill="auto"/>
            <w:noWrap/>
            <w:hideMark/>
          </w:tcPr>
          <w:p w14:paraId="0A6A4559" w14:textId="0C755524" w:rsidR="00BB22C5" w:rsidRPr="00887108" w:rsidRDefault="00BB22C5" w:rsidP="00BB22C5">
            <w:pPr>
              <w:jc w:val="right"/>
              <w:rPr>
                <w:rFonts w:cs="Times New Roman"/>
                <w:color w:val="000000"/>
                <w:sz w:val="20"/>
                <w:szCs w:val="20"/>
                <w:highlight w:val="yellow"/>
              </w:rPr>
            </w:pPr>
            <w:r w:rsidRPr="00887108">
              <w:rPr>
                <w:sz w:val="20"/>
              </w:rPr>
              <w:t>-34</w:t>
            </w:r>
          </w:p>
        </w:tc>
        <w:tc>
          <w:tcPr>
            <w:tcW w:w="665" w:type="dxa"/>
            <w:tcBorders>
              <w:top w:val="nil"/>
              <w:left w:val="nil"/>
              <w:bottom w:val="single" w:sz="4" w:space="0" w:color="auto"/>
              <w:right w:val="nil"/>
            </w:tcBorders>
            <w:shd w:val="clear" w:color="auto" w:fill="auto"/>
            <w:noWrap/>
            <w:hideMark/>
          </w:tcPr>
          <w:p w14:paraId="29F32CDE" w14:textId="72CF5223" w:rsidR="00BB22C5" w:rsidRPr="00887108" w:rsidRDefault="00BB22C5" w:rsidP="00BB22C5">
            <w:pPr>
              <w:jc w:val="right"/>
              <w:rPr>
                <w:rFonts w:cs="Times New Roman"/>
                <w:color w:val="000000"/>
                <w:sz w:val="20"/>
                <w:szCs w:val="20"/>
                <w:highlight w:val="yellow"/>
              </w:rPr>
            </w:pPr>
            <w:r w:rsidRPr="00887108">
              <w:rPr>
                <w:sz w:val="20"/>
              </w:rPr>
              <w:t>-34</w:t>
            </w:r>
          </w:p>
        </w:tc>
        <w:tc>
          <w:tcPr>
            <w:tcW w:w="717" w:type="dxa"/>
            <w:tcBorders>
              <w:top w:val="nil"/>
              <w:left w:val="nil"/>
              <w:bottom w:val="single" w:sz="4" w:space="0" w:color="auto"/>
              <w:right w:val="nil"/>
            </w:tcBorders>
            <w:shd w:val="clear" w:color="auto" w:fill="auto"/>
            <w:noWrap/>
            <w:hideMark/>
          </w:tcPr>
          <w:p w14:paraId="710D09B3" w14:textId="03CCA55F" w:rsidR="00BB22C5" w:rsidRPr="00887108" w:rsidRDefault="00BB22C5" w:rsidP="00BB22C5">
            <w:pPr>
              <w:jc w:val="right"/>
              <w:rPr>
                <w:rFonts w:cs="Times New Roman"/>
                <w:color w:val="000000"/>
                <w:sz w:val="20"/>
                <w:szCs w:val="20"/>
                <w:highlight w:val="yellow"/>
              </w:rPr>
            </w:pPr>
            <w:r w:rsidRPr="00887108">
              <w:rPr>
                <w:sz w:val="20"/>
              </w:rPr>
              <w:t>-34</w:t>
            </w:r>
          </w:p>
        </w:tc>
        <w:tc>
          <w:tcPr>
            <w:tcW w:w="665" w:type="dxa"/>
            <w:tcBorders>
              <w:top w:val="nil"/>
              <w:left w:val="nil"/>
              <w:bottom w:val="single" w:sz="4" w:space="0" w:color="auto"/>
              <w:right w:val="nil"/>
            </w:tcBorders>
            <w:shd w:val="clear" w:color="auto" w:fill="auto"/>
            <w:noWrap/>
            <w:hideMark/>
          </w:tcPr>
          <w:p w14:paraId="1C3A1C0E" w14:textId="1D78D82A" w:rsidR="00BB22C5" w:rsidRPr="00887108" w:rsidRDefault="00BB22C5" w:rsidP="00BB22C5">
            <w:pPr>
              <w:jc w:val="right"/>
              <w:rPr>
                <w:rFonts w:cs="Times New Roman"/>
                <w:color w:val="000000"/>
                <w:sz w:val="20"/>
                <w:szCs w:val="20"/>
                <w:highlight w:val="yellow"/>
              </w:rPr>
            </w:pPr>
            <w:r w:rsidRPr="00887108">
              <w:rPr>
                <w:sz w:val="20"/>
              </w:rPr>
              <w:t>-34</w:t>
            </w:r>
          </w:p>
        </w:tc>
      </w:tr>
      <w:tr w:rsidR="00BB22C5" w:rsidRPr="00887108" w14:paraId="0B38376A" w14:textId="77777777" w:rsidTr="00BF044B">
        <w:trPr>
          <w:trHeight w:val="257"/>
        </w:trPr>
        <w:tc>
          <w:tcPr>
            <w:tcW w:w="6395" w:type="dxa"/>
            <w:tcBorders>
              <w:top w:val="single" w:sz="4" w:space="0" w:color="auto"/>
              <w:left w:val="nil"/>
              <w:bottom w:val="nil"/>
              <w:right w:val="nil"/>
            </w:tcBorders>
            <w:shd w:val="clear" w:color="auto" w:fill="auto"/>
            <w:noWrap/>
            <w:hideMark/>
          </w:tcPr>
          <w:p w14:paraId="45F670E1" w14:textId="77777777" w:rsidR="00BB22C5" w:rsidRPr="00887108" w:rsidRDefault="00BB22C5" w:rsidP="00BB22C5">
            <w:pPr>
              <w:rPr>
                <w:rFonts w:cs="Times New Roman"/>
                <w:b/>
                <w:bCs/>
                <w:color w:val="000000"/>
                <w:sz w:val="20"/>
              </w:rPr>
            </w:pPr>
            <w:r w:rsidRPr="00887108">
              <w:rPr>
                <w:rFonts w:cs="Times New Roman"/>
                <w:b/>
                <w:bCs/>
                <w:color w:val="000000"/>
                <w:sz w:val="20"/>
              </w:rPr>
              <w:t>Spolu príjmové</w:t>
            </w:r>
          </w:p>
        </w:tc>
        <w:tc>
          <w:tcPr>
            <w:tcW w:w="628" w:type="dxa"/>
            <w:tcBorders>
              <w:top w:val="single" w:sz="4" w:space="0" w:color="auto"/>
              <w:left w:val="nil"/>
              <w:bottom w:val="nil"/>
              <w:right w:val="nil"/>
            </w:tcBorders>
            <w:shd w:val="clear" w:color="auto" w:fill="auto"/>
            <w:noWrap/>
            <w:hideMark/>
          </w:tcPr>
          <w:p w14:paraId="1A5539A3" w14:textId="721A44EE" w:rsidR="00BB22C5" w:rsidRPr="00887108" w:rsidRDefault="00BF044B" w:rsidP="0084712D">
            <w:pPr>
              <w:jc w:val="right"/>
              <w:rPr>
                <w:rFonts w:cs="Times New Roman"/>
                <w:b/>
                <w:bCs/>
                <w:color w:val="000000"/>
                <w:sz w:val="20"/>
              </w:rPr>
            </w:pPr>
            <w:r w:rsidRPr="00887108">
              <w:rPr>
                <w:b/>
                <w:sz w:val="20"/>
              </w:rPr>
              <w:t>-2</w:t>
            </w:r>
            <w:r w:rsidR="0084712D" w:rsidRPr="00887108">
              <w:rPr>
                <w:b/>
                <w:sz w:val="20"/>
              </w:rPr>
              <w:t>50</w:t>
            </w:r>
          </w:p>
        </w:tc>
        <w:tc>
          <w:tcPr>
            <w:tcW w:w="665" w:type="dxa"/>
            <w:tcBorders>
              <w:top w:val="single" w:sz="4" w:space="0" w:color="auto"/>
              <w:left w:val="nil"/>
              <w:bottom w:val="nil"/>
              <w:right w:val="nil"/>
            </w:tcBorders>
            <w:shd w:val="clear" w:color="auto" w:fill="auto"/>
            <w:noWrap/>
            <w:hideMark/>
          </w:tcPr>
          <w:p w14:paraId="5290EA25" w14:textId="74D34B41" w:rsidR="00BB22C5" w:rsidRPr="00887108" w:rsidRDefault="00BB22C5" w:rsidP="00BB22C5">
            <w:pPr>
              <w:jc w:val="right"/>
              <w:rPr>
                <w:rFonts w:cs="Times New Roman"/>
                <w:b/>
                <w:bCs/>
                <w:color w:val="000000"/>
                <w:sz w:val="20"/>
              </w:rPr>
            </w:pPr>
            <w:r w:rsidRPr="00887108">
              <w:rPr>
                <w:b/>
                <w:sz w:val="20"/>
              </w:rPr>
              <w:t>-3</w:t>
            </w:r>
            <w:r w:rsidR="0084712D" w:rsidRPr="00887108">
              <w:rPr>
                <w:b/>
                <w:sz w:val="20"/>
              </w:rPr>
              <w:t>74</w:t>
            </w:r>
          </w:p>
        </w:tc>
        <w:tc>
          <w:tcPr>
            <w:tcW w:w="717" w:type="dxa"/>
            <w:tcBorders>
              <w:top w:val="single" w:sz="4" w:space="0" w:color="auto"/>
              <w:left w:val="nil"/>
              <w:bottom w:val="nil"/>
              <w:right w:val="nil"/>
            </w:tcBorders>
            <w:shd w:val="clear" w:color="auto" w:fill="auto"/>
            <w:noWrap/>
            <w:hideMark/>
          </w:tcPr>
          <w:p w14:paraId="1C7375AB" w14:textId="2B1B50E8" w:rsidR="00BB22C5" w:rsidRPr="00887108" w:rsidRDefault="00BB22C5" w:rsidP="00BB22C5">
            <w:pPr>
              <w:jc w:val="right"/>
              <w:rPr>
                <w:rFonts w:cs="Times New Roman"/>
                <w:b/>
                <w:bCs/>
                <w:color w:val="000000"/>
                <w:sz w:val="20"/>
              </w:rPr>
            </w:pPr>
            <w:r w:rsidRPr="00887108">
              <w:rPr>
                <w:b/>
                <w:sz w:val="20"/>
              </w:rPr>
              <w:t>-409</w:t>
            </w:r>
          </w:p>
        </w:tc>
        <w:tc>
          <w:tcPr>
            <w:tcW w:w="665" w:type="dxa"/>
            <w:tcBorders>
              <w:top w:val="single" w:sz="4" w:space="0" w:color="auto"/>
              <w:left w:val="nil"/>
              <w:bottom w:val="nil"/>
              <w:right w:val="nil"/>
            </w:tcBorders>
            <w:shd w:val="clear" w:color="auto" w:fill="auto"/>
            <w:noWrap/>
            <w:hideMark/>
          </w:tcPr>
          <w:p w14:paraId="1475EE00" w14:textId="68FAF2EC" w:rsidR="00BB22C5" w:rsidRPr="00887108" w:rsidRDefault="00BB22C5" w:rsidP="00BB22C5">
            <w:pPr>
              <w:jc w:val="right"/>
              <w:rPr>
                <w:rFonts w:cs="Times New Roman"/>
                <w:b/>
                <w:bCs/>
                <w:color w:val="000000"/>
                <w:sz w:val="20"/>
              </w:rPr>
            </w:pPr>
            <w:r w:rsidRPr="00887108">
              <w:rPr>
                <w:b/>
                <w:sz w:val="20"/>
              </w:rPr>
              <w:t>-41</w:t>
            </w:r>
            <w:r w:rsidR="0084712D" w:rsidRPr="00887108">
              <w:rPr>
                <w:b/>
                <w:sz w:val="20"/>
              </w:rPr>
              <w:t>2</w:t>
            </w:r>
          </w:p>
        </w:tc>
      </w:tr>
      <w:tr w:rsidR="00E9118E" w:rsidRPr="00887108" w14:paraId="1777D1E4" w14:textId="77777777" w:rsidTr="004C1271">
        <w:trPr>
          <w:trHeight w:val="257"/>
        </w:trPr>
        <w:tc>
          <w:tcPr>
            <w:tcW w:w="6395" w:type="dxa"/>
            <w:tcBorders>
              <w:top w:val="nil"/>
              <w:left w:val="nil"/>
              <w:bottom w:val="nil"/>
              <w:right w:val="nil"/>
            </w:tcBorders>
            <w:shd w:val="clear" w:color="auto" w:fill="auto"/>
            <w:noWrap/>
            <w:hideMark/>
          </w:tcPr>
          <w:p w14:paraId="06B2A6F1" w14:textId="77777777" w:rsidR="00E9118E" w:rsidRPr="00887108" w:rsidRDefault="00E9118E" w:rsidP="00E9118E">
            <w:pPr>
              <w:jc w:val="right"/>
              <w:rPr>
                <w:rFonts w:cs="Times New Roman"/>
                <w:b/>
                <w:bCs/>
                <w:color w:val="000000"/>
              </w:rPr>
            </w:pPr>
          </w:p>
        </w:tc>
        <w:tc>
          <w:tcPr>
            <w:tcW w:w="628" w:type="dxa"/>
            <w:tcBorders>
              <w:top w:val="nil"/>
              <w:left w:val="nil"/>
              <w:bottom w:val="nil"/>
              <w:right w:val="nil"/>
            </w:tcBorders>
            <w:shd w:val="clear" w:color="auto" w:fill="auto"/>
            <w:noWrap/>
            <w:hideMark/>
          </w:tcPr>
          <w:p w14:paraId="0EBB1F54" w14:textId="77777777" w:rsidR="00E9118E" w:rsidRPr="00887108" w:rsidRDefault="00E9118E" w:rsidP="00E9118E">
            <w:pPr>
              <w:rPr>
                <w:rFonts w:cs="Times New Roman"/>
                <w:sz w:val="20"/>
                <w:szCs w:val="20"/>
              </w:rPr>
            </w:pPr>
          </w:p>
        </w:tc>
        <w:tc>
          <w:tcPr>
            <w:tcW w:w="665" w:type="dxa"/>
            <w:tcBorders>
              <w:top w:val="nil"/>
              <w:left w:val="nil"/>
              <w:bottom w:val="nil"/>
              <w:right w:val="nil"/>
            </w:tcBorders>
            <w:shd w:val="clear" w:color="auto" w:fill="auto"/>
            <w:noWrap/>
            <w:hideMark/>
          </w:tcPr>
          <w:p w14:paraId="3BADA0B3" w14:textId="77777777" w:rsidR="00E9118E" w:rsidRPr="00887108" w:rsidRDefault="00E9118E" w:rsidP="00E9118E">
            <w:pPr>
              <w:rPr>
                <w:rFonts w:cs="Times New Roman"/>
                <w:sz w:val="20"/>
                <w:szCs w:val="20"/>
              </w:rPr>
            </w:pPr>
          </w:p>
        </w:tc>
        <w:tc>
          <w:tcPr>
            <w:tcW w:w="717" w:type="dxa"/>
            <w:tcBorders>
              <w:top w:val="nil"/>
              <w:left w:val="nil"/>
              <w:bottom w:val="nil"/>
              <w:right w:val="nil"/>
            </w:tcBorders>
            <w:shd w:val="clear" w:color="auto" w:fill="auto"/>
            <w:noWrap/>
            <w:hideMark/>
          </w:tcPr>
          <w:p w14:paraId="0EFABBF0" w14:textId="77777777" w:rsidR="00E9118E" w:rsidRPr="00887108" w:rsidRDefault="00E9118E" w:rsidP="00E9118E">
            <w:pPr>
              <w:rPr>
                <w:rFonts w:cs="Times New Roman"/>
                <w:sz w:val="20"/>
                <w:szCs w:val="20"/>
              </w:rPr>
            </w:pPr>
          </w:p>
        </w:tc>
        <w:tc>
          <w:tcPr>
            <w:tcW w:w="665" w:type="dxa"/>
            <w:tcBorders>
              <w:top w:val="nil"/>
              <w:left w:val="nil"/>
              <w:bottom w:val="nil"/>
              <w:right w:val="nil"/>
            </w:tcBorders>
            <w:shd w:val="clear" w:color="auto" w:fill="auto"/>
            <w:noWrap/>
            <w:hideMark/>
          </w:tcPr>
          <w:p w14:paraId="44088F8C" w14:textId="77777777" w:rsidR="00E9118E" w:rsidRPr="00887108" w:rsidRDefault="00E9118E" w:rsidP="00E9118E">
            <w:pPr>
              <w:rPr>
                <w:rFonts w:cs="Times New Roman"/>
                <w:sz w:val="20"/>
                <w:szCs w:val="20"/>
              </w:rPr>
            </w:pPr>
          </w:p>
        </w:tc>
      </w:tr>
      <w:tr w:rsidR="00E9118E" w:rsidRPr="00887108" w14:paraId="0FCC0DBC" w14:textId="77777777" w:rsidTr="004C1271">
        <w:trPr>
          <w:trHeight w:val="257"/>
        </w:trPr>
        <w:tc>
          <w:tcPr>
            <w:tcW w:w="6395" w:type="dxa"/>
            <w:tcBorders>
              <w:top w:val="nil"/>
              <w:left w:val="nil"/>
              <w:bottom w:val="single" w:sz="4" w:space="0" w:color="auto"/>
              <w:right w:val="nil"/>
            </w:tcBorders>
            <w:shd w:val="clear" w:color="auto" w:fill="auto"/>
            <w:noWrap/>
            <w:hideMark/>
          </w:tcPr>
          <w:p w14:paraId="6ABBDE1C" w14:textId="77777777" w:rsidR="00E9118E" w:rsidRPr="00887108" w:rsidRDefault="00E9118E" w:rsidP="00E9118E">
            <w:pPr>
              <w:rPr>
                <w:rFonts w:cs="Times New Roman"/>
                <w:b/>
                <w:bCs/>
                <w:color w:val="000000"/>
                <w:sz w:val="20"/>
                <w:szCs w:val="20"/>
              </w:rPr>
            </w:pPr>
            <w:r w:rsidRPr="00887108">
              <w:rPr>
                <w:rFonts w:cs="Times New Roman"/>
                <w:b/>
                <w:bCs/>
                <w:color w:val="000000"/>
                <w:sz w:val="20"/>
                <w:szCs w:val="20"/>
              </w:rPr>
              <w:t>Výdavkové opatrenie - PS 2020 (oproti báze 2019)</w:t>
            </w:r>
          </w:p>
        </w:tc>
        <w:tc>
          <w:tcPr>
            <w:tcW w:w="628" w:type="dxa"/>
            <w:tcBorders>
              <w:top w:val="nil"/>
              <w:left w:val="nil"/>
              <w:bottom w:val="single" w:sz="4" w:space="0" w:color="auto"/>
              <w:right w:val="nil"/>
            </w:tcBorders>
            <w:shd w:val="clear" w:color="auto" w:fill="auto"/>
            <w:noWrap/>
            <w:hideMark/>
          </w:tcPr>
          <w:p w14:paraId="4444C08C"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2020</w:t>
            </w:r>
          </w:p>
        </w:tc>
        <w:tc>
          <w:tcPr>
            <w:tcW w:w="665" w:type="dxa"/>
            <w:tcBorders>
              <w:top w:val="nil"/>
              <w:left w:val="nil"/>
              <w:bottom w:val="single" w:sz="4" w:space="0" w:color="auto"/>
              <w:right w:val="nil"/>
            </w:tcBorders>
            <w:shd w:val="clear" w:color="auto" w:fill="auto"/>
            <w:noWrap/>
            <w:hideMark/>
          </w:tcPr>
          <w:p w14:paraId="1C9B95AD"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2021</w:t>
            </w:r>
          </w:p>
        </w:tc>
        <w:tc>
          <w:tcPr>
            <w:tcW w:w="717" w:type="dxa"/>
            <w:tcBorders>
              <w:top w:val="nil"/>
              <w:left w:val="nil"/>
              <w:bottom w:val="single" w:sz="4" w:space="0" w:color="auto"/>
              <w:right w:val="nil"/>
            </w:tcBorders>
            <w:shd w:val="clear" w:color="auto" w:fill="auto"/>
            <w:noWrap/>
            <w:hideMark/>
          </w:tcPr>
          <w:p w14:paraId="17C9C705"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2022</w:t>
            </w:r>
          </w:p>
        </w:tc>
        <w:tc>
          <w:tcPr>
            <w:tcW w:w="665" w:type="dxa"/>
            <w:tcBorders>
              <w:top w:val="nil"/>
              <w:left w:val="nil"/>
              <w:bottom w:val="single" w:sz="4" w:space="0" w:color="auto"/>
              <w:right w:val="nil"/>
            </w:tcBorders>
            <w:shd w:val="clear" w:color="auto" w:fill="auto"/>
            <w:noWrap/>
            <w:hideMark/>
          </w:tcPr>
          <w:p w14:paraId="32E4D4FF" w14:textId="77777777" w:rsidR="00E9118E" w:rsidRPr="00887108" w:rsidRDefault="00E9118E" w:rsidP="00E9118E">
            <w:pPr>
              <w:jc w:val="right"/>
              <w:rPr>
                <w:rFonts w:cs="Times New Roman"/>
                <w:b/>
                <w:bCs/>
                <w:color w:val="000000"/>
                <w:sz w:val="20"/>
                <w:szCs w:val="20"/>
              </w:rPr>
            </w:pPr>
            <w:r w:rsidRPr="00887108">
              <w:rPr>
                <w:rFonts w:cs="Times New Roman"/>
                <w:b/>
                <w:bCs/>
                <w:color w:val="000000"/>
                <w:sz w:val="20"/>
                <w:szCs w:val="20"/>
              </w:rPr>
              <w:t>2023</w:t>
            </w:r>
          </w:p>
        </w:tc>
      </w:tr>
      <w:tr w:rsidR="008A51B4" w:rsidRPr="00887108" w14:paraId="1D7A9A43" w14:textId="77777777" w:rsidTr="004C1271">
        <w:trPr>
          <w:trHeight w:val="257"/>
        </w:trPr>
        <w:tc>
          <w:tcPr>
            <w:tcW w:w="6395" w:type="dxa"/>
            <w:tcBorders>
              <w:top w:val="nil"/>
              <w:left w:val="nil"/>
              <w:bottom w:val="nil"/>
              <w:right w:val="nil"/>
            </w:tcBorders>
            <w:shd w:val="clear" w:color="auto" w:fill="auto"/>
            <w:noWrap/>
            <w:hideMark/>
          </w:tcPr>
          <w:p w14:paraId="2237A9A2" w14:textId="14330F15" w:rsidR="008A51B4" w:rsidRPr="00887108" w:rsidRDefault="008A51B4" w:rsidP="00B91595">
            <w:pPr>
              <w:rPr>
                <w:rFonts w:cs="Times New Roman"/>
                <w:color w:val="000000"/>
                <w:sz w:val="20"/>
              </w:rPr>
            </w:pPr>
            <w:r w:rsidRPr="00887108">
              <w:rPr>
                <w:sz w:val="20"/>
              </w:rPr>
              <w:t>Stravovanie na školách zadarmo</w:t>
            </w:r>
          </w:p>
        </w:tc>
        <w:tc>
          <w:tcPr>
            <w:tcW w:w="628" w:type="dxa"/>
            <w:tcBorders>
              <w:top w:val="nil"/>
              <w:left w:val="nil"/>
              <w:bottom w:val="nil"/>
              <w:right w:val="nil"/>
            </w:tcBorders>
            <w:shd w:val="clear" w:color="auto" w:fill="auto"/>
            <w:noWrap/>
            <w:hideMark/>
          </w:tcPr>
          <w:p w14:paraId="4C737881" w14:textId="7EF46938" w:rsidR="008A51B4" w:rsidRPr="00887108" w:rsidRDefault="008A51B4" w:rsidP="008A51B4">
            <w:pPr>
              <w:jc w:val="right"/>
              <w:rPr>
                <w:rFonts w:cs="Times New Roman"/>
                <w:color w:val="000000"/>
                <w:sz w:val="20"/>
              </w:rPr>
            </w:pPr>
            <w:r w:rsidRPr="00887108">
              <w:rPr>
                <w:sz w:val="20"/>
              </w:rPr>
              <w:t>56</w:t>
            </w:r>
          </w:p>
        </w:tc>
        <w:tc>
          <w:tcPr>
            <w:tcW w:w="665" w:type="dxa"/>
            <w:tcBorders>
              <w:top w:val="nil"/>
              <w:left w:val="nil"/>
              <w:bottom w:val="nil"/>
              <w:right w:val="nil"/>
            </w:tcBorders>
            <w:shd w:val="clear" w:color="auto" w:fill="auto"/>
            <w:noWrap/>
            <w:hideMark/>
          </w:tcPr>
          <w:p w14:paraId="04E2BFBD" w14:textId="13224918" w:rsidR="008A51B4" w:rsidRPr="00887108" w:rsidRDefault="008A51B4" w:rsidP="008A51B4">
            <w:pPr>
              <w:jc w:val="right"/>
              <w:rPr>
                <w:rFonts w:cs="Times New Roman"/>
                <w:color w:val="000000"/>
                <w:sz w:val="20"/>
              </w:rPr>
            </w:pPr>
            <w:r w:rsidRPr="00887108">
              <w:rPr>
                <w:sz w:val="20"/>
              </w:rPr>
              <w:t>64</w:t>
            </w:r>
          </w:p>
        </w:tc>
        <w:tc>
          <w:tcPr>
            <w:tcW w:w="717" w:type="dxa"/>
            <w:tcBorders>
              <w:top w:val="nil"/>
              <w:left w:val="nil"/>
              <w:bottom w:val="nil"/>
              <w:right w:val="nil"/>
            </w:tcBorders>
            <w:shd w:val="clear" w:color="auto" w:fill="auto"/>
            <w:noWrap/>
            <w:hideMark/>
          </w:tcPr>
          <w:p w14:paraId="09E26518" w14:textId="26EA75EB" w:rsidR="008A51B4" w:rsidRPr="00887108" w:rsidRDefault="008A51B4" w:rsidP="008A51B4">
            <w:pPr>
              <w:jc w:val="right"/>
              <w:rPr>
                <w:rFonts w:cs="Times New Roman"/>
                <w:color w:val="000000"/>
                <w:sz w:val="20"/>
              </w:rPr>
            </w:pPr>
            <w:r w:rsidRPr="00887108">
              <w:rPr>
                <w:sz w:val="20"/>
              </w:rPr>
              <w:t>64</w:t>
            </w:r>
          </w:p>
        </w:tc>
        <w:tc>
          <w:tcPr>
            <w:tcW w:w="665" w:type="dxa"/>
            <w:tcBorders>
              <w:top w:val="nil"/>
              <w:left w:val="nil"/>
              <w:bottom w:val="nil"/>
              <w:right w:val="nil"/>
            </w:tcBorders>
            <w:shd w:val="clear" w:color="auto" w:fill="auto"/>
            <w:noWrap/>
            <w:hideMark/>
          </w:tcPr>
          <w:p w14:paraId="4D4CFC5F" w14:textId="0D83FA82" w:rsidR="008A51B4" w:rsidRPr="00887108" w:rsidRDefault="008A51B4" w:rsidP="008A51B4">
            <w:pPr>
              <w:jc w:val="right"/>
              <w:rPr>
                <w:rFonts w:cs="Times New Roman"/>
                <w:b/>
                <w:bCs/>
                <w:color w:val="000000"/>
                <w:sz w:val="20"/>
              </w:rPr>
            </w:pPr>
            <w:r w:rsidRPr="00887108">
              <w:rPr>
                <w:sz w:val="20"/>
              </w:rPr>
              <w:t>64</w:t>
            </w:r>
          </w:p>
        </w:tc>
      </w:tr>
      <w:tr w:rsidR="008A51B4" w:rsidRPr="00887108" w14:paraId="54B6F25A" w14:textId="77777777" w:rsidTr="004C1271">
        <w:trPr>
          <w:trHeight w:val="257"/>
        </w:trPr>
        <w:tc>
          <w:tcPr>
            <w:tcW w:w="6395" w:type="dxa"/>
            <w:tcBorders>
              <w:top w:val="nil"/>
              <w:left w:val="nil"/>
              <w:bottom w:val="nil"/>
              <w:right w:val="nil"/>
            </w:tcBorders>
            <w:shd w:val="clear" w:color="auto" w:fill="auto"/>
            <w:noWrap/>
            <w:hideMark/>
          </w:tcPr>
          <w:p w14:paraId="037CB657" w14:textId="1B9B4B44" w:rsidR="008A51B4" w:rsidRPr="00887108" w:rsidRDefault="008A51B4" w:rsidP="005514EC">
            <w:pPr>
              <w:rPr>
                <w:rFonts w:cs="Times New Roman"/>
                <w:color w:val="000000"/>
                <w:sz w:val="20"/>
              </w:rPr>
            </w:pPr>
            <w:r w:rsidRPr="00887108">
              <w:rPr>
                <w:sz w:val="20"/>
              </w:rPr>
              <w:t>Vyplácanie 13</w:t>
            </w:r>
            <w:r w:rsidR="005514EC" w:rsidRPr="00887108">
              <w:rPr>
                <w:sz w:val="20"/>
              </w:rPr>
              <w:t>-</w:t>
            </w:r>
            <w:r w:rsidRPr="00887108">
              <w:rPr>
                <w:sz w:val="20"/>
              </w:rPr>
              <w:t>tych dôchodkov</w:t>
            </w:r>
            <w:r w:rsidR="005514EC" w:rsidRPr="00887108">
              <w:rPr>
                <w:sz w:val="20"/>
              </w:rPr>
              <w:t xml:space="preserve"> (namiesto vianočných príspevkov)</w:t>
            </w:r>
          </w:p>
        </w:tc>
        <w:tc>
          <w:tcPr>
            <w:tcW w:w="628" w:type="dxa"/>
            <w:tcBorders>
              <w:top w:val="nil"/>
              <w:left w:val="nil"/>
              <w:bottom w:val="nil"/>
              <w:right w:val="nil"/>
            </w:tcBorders>
            <w:shd w:val="clear" w:color="auto" w:fill="auto"/>
            <w:noWrap/>
            <w:hideMark/>
          </w:tcPr>
          <w:p w14:paraId="626BCB58" w14:textId="4D8C0A42" w:rsidR="008A51B4" w:rsidRPr="00887108" w:rsidRDefault="008A51B4" w:rsidP="008A51B4">
            <w:pPr>
              <w:jc w:val="right"/>
              <w:rPr>
                <w:rFonts w:cs="Times New Roman"/>
                <w:color w:val="000000"/>
                <w:sz w:val="20"/>
              </w:rPr>
            </w:pPr>
            <w:r w:rsidRPr="00887108">
              <w:rPr>
                <w:sz w:val="20"/>
              </w:rPr>
              <w:t>442</w:t>
            </w:r>
          </w:p>
        </w:tc>
        <w:tc>
          <w:tcPr>
            <w:tcW w:w="665" w:type="dxa"/>
            <w:tcBorders>
              <w:top w:val="nil"/>
              <w:left w:val="nil"/>
              <w:bottom w:val="nil"/>
              <w:right w:val="nil"/>
            </w:tcBorders>
            <w:shd w:val="clear" w:color="auto" w:fill="auto"/>
            <w:noWrap/>
            <w:hideMark/>
          </w:tcPr>
          <w:p w14:paraId="5C64E175" w14:textId="0F750F42" w:rsidR="008A51B4" w:rsidRPr="00887108" w:rsidRDefault="008A51B4" w:rsidP="008A51B4">
            <w:pPr>
              <w:jc w:val="right"/>
              <w:rPr>
                <w:rFonts w:cs="Times New Roman"/>
                <w:color w:val="000000"/>
                <w:sz w:val="20"/>
              </w:rPr>
            </w:pPr>
            <w:r w:rsidRPr="00887108">
              <w:rPr>
                <w:sz w:val="20"/>
              </w:rPr>
              <w:t>477</w:t>
            </w:r>
          </w:p>
        </w:tc>
        <w:tc>
          <w:tcPr>
            <w:tcW w:w="717" w:type="dxa"/>
            <w:tcBorders>
              <w:top w:val="nil"/>
              <w:left w:val="nil"/>
              <w:bottom w:val="nil"/>
              <w:right w:val="nil"/>
            </w:tcBorders>
            <w:shd w:val="clear" w:color="auto" w:fill="auto"/>
            <w:noWrap/>
            <w:hideMark/>
          </w:tcPr>
          <w:p w14:paraId="252A3453" w14:textId="0BBBE132" w:rsidR="008A51B4" w:rsidRPr="00887108" w:rsidRDefault="008A51B4" w:rsidP="008A51B4">
            <w:pPr>
              <w:jc w:val="right"/>
              <w:rPr>
                <w:rFonts w:cs="Times New Roman"/>
                <w:color w:val="000000"/>
                <w:sz w:val="20"/>
              </w:rPr>
            </w:pPr>
            <w:r w:rsidRPr="00887108">
              <w:rPr>
                <w:sz w:val="20"/>
              </w:rPr>
              <w:t>513</w:t>
            </w:r>
          </w:p>
        </w:tc>
        <w:tc>
          <w:tcPr>
            <w:tcW w:w="665" w:type="dxa"/>
            <w:tcBorders>
              <w:top w:val="nil"/>
              <w:left w:val="nil"/>
              <w:bottom w:val="nil"/>
              <w:right w:val="nil"/>
            </w:tcBorders>
            <w:shd w:val="clear" w:color="auto" w:fill="auto"/>
            <w:noWrap/>
            <w:hideMark/>
          </w:tcPr>
          <w:p w14:paraId="5F26206E" w14:textId="3DEB7E06" w:rsidR="008A51B4" w:rsidRPr="00887108" w:rsidRDefault="008A51B4" w:rsidP="008A51B4">
            <w:pPr>
              <w:jc w:val="right"/>
              <w:rPr>
                <w:rFonts w:cs="Times New Roman"/>
                <w:b/>
                <w:bCs/>
                <w:color w:val="000000"/>
                <w:sz w:val="20"/>
              </w:rPr>
            </w:pPr>
            <w:r w:rsidRPr="00887108">
              <w:rPr>
                <w:sz w:val="20"/>
              </w:rPr>
              <w:t>553</w:t>
            </w:r>
          </w:p>
        </w:tc>
      </w:tr>
      <w:tr w:rsidR="008A51B4" w:rsidRPr="00887108" w14:paraId="0CE74E50" w14:textId="77777777" w:rsidTr="004C1271">
        <w:trPr>
          <w:trHeight w:val="257"/>
        </w:trPr>
        <w:tc>
          <w:tcPr>
            <w:tcW w:w="6395" w:type="dxa"/>
            <w:tcBorders>
              <w:top w:val="nil"/>
              <w:left w:val="nil"/>
              <w:bottom w:val="nil"/>
              <w:right w:val="nil"/>
            </w:tcBorders>
            <w:shd w:val="clear" w:color="auto" w:fill="auto"/>
            <w:noWrap/>
            <w:hideMark/>
          </w:tcPr>
          <w:p w14:paraId="097C5119" w14:textId="3EA062E3" w:rsidR="008A51B4" w:rsidRPr="00887108" w:rsidRDefault="008A51B4" w:rsidP="008A51B4">
            <w:pPr>
              <w:rPr>
                <w:rFonts w:cs="Times New Roman"/>
                <w:color w:val="000000"/>
                <w:sz w:val="20"/>
              </w:rPr>
            </w:pPr>
            <w:r w:rsidRPr="00887108">
              <w:rPr>
                <w:sz w:val="20"/>
              </w:rPr>
              <w:t>Zdvojnásobenie daňového bonusu pre rodičov detí do 6 rokov</w:t>
            </w:r>
          </w:p>
        </w:tc>
        <w:tc>
          <w:tcPr>
            <w:tcW w:w="628" w:type="dxa"/>
            <w:tcBorders>
              <w:top w:val="nil"/>
              <w:left w:val="nil"/>
              <w:bottom w:val="nil"/>
              <w:right w:val="nil"/>
            </w:tcBorders>
            <w:shd w:val="clear" w:color="auto" w:fill="auto"/>
            <w:noWrap/>
            <w:hideMark/>
          </w:tcPr>
          <w:p w14:paraId="013FDCDD" w14:textId="73CED2A0" w:rsidR="008A51B4" w:rsidRPr="00887108" w:rsidRDefault="008A51B4" w:rsidP="008A51B4">
            <w:pPr>
              <w:jc w:val="right"/>
              <w:rPr>
                <w:rFonts w:cs="Times New Roman"/>
                <w:color w:val="000000"/>
                <w:sz w:val="20"/>
              </w:rPr>
            </w:pPr>
            <w:r w:rsidRPr="00887108">
              <w:rPr>
                <w:sz w:val="20"/>
              </w:rPr>
              <w:t>79</w:t>
            </w:r>
          </w:p>
        </w:tc>
        <w:tc>
          <w:tcPr>
            <w:tcW w:w="665" w:type="dxa"/>
            <w:tcBorders>
              <w:top w:val="nil"/>
              <w:left w:val="nil"/>
              <w:bottom w:val="nil"/>
              <w:right w:val="nil"/>
            </w:tcBorders>
            <w:shd w:val="clear" w:color="auto" w:fill="auto"/>
            <w:noWrap/>
            <w:hideMark/>
          </w:tcPr>
          <w:p w14:paraId="0A08C748" w14:textId="406A63C3" w:rsidR="008A51B4" w:rsidRPr="00887108" w:rsidRDefault="008A51B4" w:rsidP="008A51B4">
            <w:pPr>
              <w:jc w:val="right"/>
              <w:rPr>
                <w:rFonts w:cs="Times New Roman"/>
                <w:color w:val="000000"/>
                <w:sz w:val="20"/>
              </w:rPr>
            </w:pPr>
            <w:r w:rsidRPr="00887108">
              <w:rPr>
                <w:sz w:val="20"/>
              </w:rPr>
              <w:t>81</w:t>
            </w:r>
          </w:p>
        </w:tc>
        <w:tc>
          <w:tcPr>
            <w:tcW w:w="717" w:type="dxa"/>
            <w:tcBorders>
              <w:top w:val="nil"/>
              <w:left w:val="nil"/>
              <w:bottom w:val="nil"/>
              <w:right w:val="nil"/>
            </w:tcBorders>
            <w:shd w:val="clear" w:color="auto" w:fill="auto"/>
            <w:noWrap/>
            <w:hideMark/>
          </w:tcPr>
          <w:p w14:paraId="0DD1C318" w14:textId="36076F5F" w:rsidR="008A51B4" w:rsidRPr="00887108" w:rsidRDefault="008A51B4" w:rsidP="008A51B4">
            <w:pPr>
              <w:jc w:val="right"/>
              <w:rPr>
                <w:rFonts w:cs="Times New Roman"/>
                <w:color w:val="000000"/>
                <w:sz w:val="20"/>
              </w:rPr>
            </w:pPr>
            <w:r w:rsidRPr="00887108">
              <w:rPr>
                <w:sz w:val="20"/>
              </w:rPr>
              <w:t>81</w:t>
            </w:r>
          </w:p>
        </w:tc>
        <w:tc>
          <w:tcPr>
            <w:tcW w:w="665" w:type="dxa"/>
            <w:tcBorders>
              <w:top w:val="nil"/>
              <w:left w:val="nil"/>
              <w:bottom w:val="nil"/>
              <w:right w:val="nil"/>
            </w:tcBorders>
            <w:shd w:val="clear" w:color="auto" w:fill="auto"/>
            <w:noWrap/>
            <w:hideMark/>
          </w:tcPr>
          <w:p w14:paraId="43361598" w14:textId="32CD9591" w:rsidR="008A51B4" w:rsidRPr="00887108" w:rsidRDefault="008A51B4" w:rsidP="008A51B4">
            <w:pPr>
              <w:jc w:val="right"/>
              <w:rPr>
                <w:rFonts w:cs="Times New Roman"/>
                <w:b/>
                <w:bCs/>
                <w:color w:val="000000"/>
                <w:sz w:val="20"/>
              </w:rPr>
            </w:pPr>
            <w:r w:rsidRPr="00887108">
              <w:rPr>
                <w:sz w:val="20"/>
              </w:rPr>
              <w:t>81</w:t>
            </w:r>
          </w:p>
        </w:tc>
      </w:tr>
      <w:tr w:rsidR="008A51B4" w:rsidRPr="00887108" w14:paraId="59D66649" w14:textId="77777777" w:rsidTr="004C1271">
        <w:trPr>
          <w:trHeight w:val="257"/>
        </w:trPr>
        <w:tc>
          <w:tcPr>
            <w:tcW w:w="6395" w:type="dxa"/>
            <w:tcBorders>
              <w:top w:val="nil"/>
              <w:left w:val="nil"/>
              <w:bottom w:val="nil"/>
              <w:right w:val="nil"/>
            </w:tcBorders>
            <w:shd w:val="clear" w:color="auto" w:fill="auto"/>
            <w:noWrap/>
            <w:hideMark/>
          </w:tcPr>
          <w:p w14:paraId="20B40604" w14:textId="232350F5" w:rsidR="008A51B4" w:rsidRPr="00887108" w:rsidRDefault="008A51B4" w:rsidP="008A51B4">
            <w:pPr>
              <w:rPr>
                <w:rFonts w:cs="Times New Roman"/>
                <w:color w:val="000000"/>
                <w:sz w:val="20"/>
              </w:rPr>
            </w:pPr>
            <w:r w:rsidRPr="00887108">
              <w:rPr>
                <w:sz w:val="20"/>
              </w:rPr>
              <w:t>Valorizácia miezd o 10 % v roku v roku 2020 (vplyv oproti nulovému rastu)</w:t>
            </w:r>
          </w:p>
        </w:tc>
        <w:tc>
          <w:tcPr>
            <w:tcW w:w="628" w:type="dxa"/>
            <w:tcBorders>
              <w:top w:val="nil"/>
              <w:left w:val="nil"/>
              <w:bottom w:val="nil"/>
              <w:right w:val="nil"/>
            </w:tcBorders>
            <w:shd w:val="clear" w:color="auto" w:fill="auto"/>
            <w:noWrap/>
            <w:hideMark/>
          </w:tcPr>
          <w:p w14:paraId="35578EB6" w14:textId="6D0246E9" w:rsidR="008A51B4" w:rsidRPr="00887108" w:rsidRDefault="008A51B4" w:rsidP="008A51B4">
            <w:pPr>
              <w:jc w:val="right"/>
              <w:rPr>
                <w:rFonts w:cs="Times New Roman"/>
                <w:color w:val="000000"/>
                <w:sz w:val="20"/>
              </w:rPr>
            </w:pPr>
            <w:r w:rsidRPr="00887108">
              <w:rPr>
                <w:sz w:val="20"/>
              </w:rPr>
              <w:t>546</w:t>
            </w:r>
          </w:p>
        </w:tc>
        <w:tc>
          <w:tcPr>
            <w:tcW w:w="665" w:type="dxa"/>
            <w:tcBorders>
              <w:top w:val="nil"/>
              <w:left w:val="nil"/>
              <w:bottom w:val="nil"/>
              <w:right w:val="nil"/>
            </w:tcBorders>
            <w:shd w:val="clear" w:color="auto" w:fill="auto"/>
            <w:noWrap/>
            <w:hideMark/>
          </w:tcPr>
          <w:p w14:paraId="7B0AABFD" w14:textId="12252412" w:rsidR="008A51B4" w:rsidRPr="00887108" w:rsidRDefault="008A51B4" w:rsidP="008A51B4">
            <w:pPr>
              <w:jc w:val="right"/>
              <w:rPr>
                <w:rFonts w:cs="Times New Roman"/>
                <w:color w:val="000000"/>
                <w:sz w:val="20"/>
              </w:rPr>
            </w:pPr>
            <w:r w:rsidRPr="00887108">
              <w:rPr>
                <w:sz w:val="20"/>
              </w:rPr>
              <w:t>674</w:t>
            </w:r>
          </w:p>
        </w:tc>
        <w:tc>
          <w:tcPr>
            <w:tcW w:w="717" w:type="dxa"/>
            <w:tcBorders>
              <w:top w:val="nil"/>
              <w:left w:val="nil"/>
              <w:bottom w:val="nil"/>
              <w:right w:val="nil"/>
            </w:tcBorders>
            <w:shd w:val="clear" w:color="auto" w:fill="auto"/>
            <w:noWrap/>
            <w:hideMark/>
          </w:tcPr>
          <w:p w14:paraId="6374FAE0" w14:textId="3DE5EFE1" w:rsidR="008A51B4" w:rsidRPr="00887108" w:rsidRDefault="008A51B4" w:rsidP="008A51B4">
            <w:pPr>
              <w:jc w:val="right"/>
              <w:rPr>
                <w:rFonts w:cs="Times New Roman"/>
                <w:color w:val="000000"/>
                <w:sz w:val="20"/>
              </w:rPr>
            </w:pPr>
            <w:r w:rsidRPr="00887108">
              <w:rPr>
                <w:sz w:val="20"/>
              </w:rPr>
              <w:t>699</w:t>
            </w:r>
          </w:p>
        </w:tc>
        <w:tc>
          <w:tcPr>
            <w:tcW w:w="665" w:type="dxa"/>
            <w:tcBorders>
              <w:top w:val="nil"/>
              <w:left w:val="nil"/>
              <w:bottom w:val="nil"/>
              <w:right w:val="nil"/>
            </w:tcBorders>
            <w:shd w:val="clear" w:color="auto" w:fill="auto"/>
            <w:noWrap/>
            <w:hideMark/>
          </w:tcPr>
          <w:p w14:paraId="19C947DB" w14:textId="0E0E5048" w:rsidR="008A51B4" w:rsidRPr="00887108" w:rsidRDefault="008A51B4" w:rsidP="008A51B4">
            <w:pPr>
              <w:jc w:val="right"/>
              <w:rPr>
                <w:rFonts w:cs="Times New Roman"/>
                <w:b/>
                <w:bCs/>
                <w:color w:val="000000"/>
                <w:sz w:val="20"/>
              </w:rPr>
            </w:pPr>
            <w:r w:rsidRPr="00887108">
              <w:rPr>
                <w:sz w:val="20"/>
              </w:rPr>
              <w:t> 724</w:t>
            </w:r>
          </w:p>
        </w:tc>
      </w:tr>
      <w:tr w:rsidR="008A51B4" w:rsidRPr="00887108" w14:paraId="0CCE80E4" w14:textId="77777777" w:rsidTr="004C1271">
        <w:trPr>
          <w:trHeight w:val="257"/>
        </w:trPr>
        <w:tc>
          <w:tcPr>
            <w:tcW w:w="6395" w:type="dxa"/>
            <w:tcBorders>
              <w:top w:val="nil"/>
              <w:left w:val="nil"/>
              <w:bottom w:val="nil"/>
              <w:right w:val="nil"/>
            </w:tcBorders>
            <w:shd w:val="clear" w:color="auto" w:fill="auto"/>
            <w:noWrap/>
            <w:hideMark/>
          </w:tcPr>
          <w:p w14:paraId="111EF489" w14:textId="2D4A7352" w:rsidR="008A51B4" w:rsidRPr="00887108" w:rsidRDefault="008A51B4" w:rsidP="008A51B4">
            <w:pPr>
              <w:rPr>
                <w:rFonts w:cs="Times New Roman"/>
                <w:color w:val="000000"/>
                <w:sz w:val="20"/>
              </w:rPr>
            </w:pPr>
            <w:r w:rsidRPr="00887108">
              <w:rPr>
                <w:sz w:val="20"/>
              </w:rPr>
              <w:t>Novela zákona o kompenzácii ZŤP – navýšenie PP na kompenzáciu ZŤP a PP na opatrovanie</w:t>
            </w:r>
          </w:p>
        </w:tc>
        <w:tc>
          <w:tcPr>
            <w:tcW w:w="628" w:type="dxa"/>
            <w:tcBorders>
              <w:top w:val="nil"/>
              <w:left w:val="nil"/>
              <w:bottom w:val="nil"/>
              <w:right w:val="nil"/>
            </w:tcBorders>
            <w:shd w:val="clear" w:color="auto" w:fill="auto"/>
            <w:noWrap/>
            <w:hideMark/>
          </w:tcPr>
          <w:p w14:paraId="6B97E277" w14:textId="05C22781" w:rsidR="008A51B4" w:rsidRPr="00887108" w:rsidRDefault="00B91595" w:rsidP="00B91595">
            <w:pPr>
              <w:jc w:val="right"/>
              <w:rPr>
                <w:rFonts w:cs="Times New Roman"/>
                <w:color w:val="000000"/>
                <w:sz w:val="20"/>
              </w:rPr>
            </w:pPr>
            <w:r w:rsidRPr="00887108">
              <w:rPr>
                <w:sz w:val="20"/>
              </w:rPr>
              <w:t>26</w:t>
            </w:r>
          </w:p>
        </w:tc>
        <w:tc>
          <w:tcPr>
            <w:tcW w:w="665" w:type="dxa"/>
            <w:tcBorders>
              <w:top w:val="nil"/>
              <w:left w:val="nil"/>
              <w:bottom w:val="nil"/>
              <w:right w:val="nil"/>
            </w:tcBorders>
            <w:shd w:val="clear" w:color="auto" w:fill="auto"/>
            <w:noWrap/>
            <w:hideMark/>
          </w:tcPr>
          <w:p w14:paraId="3CD7E000" w14:textId="04723CEF" w:rsidR="008A51B4" w:rsidRPr="00887108" w:rsidRDefault="00B91595" w:rsidP="00B91595">
            <w:pPr>
              <w:jc w:val="right"/>
              <w:rPr>
                <w:rFonts w:cs="Times New Roman"/>
                <w:color w:val="000000"/>
                <w:sz w:val="20"/>
              </w:rPr>
            </w:pPr>
            <w:r w:rsidRPr="00887108">
              <w:rPr>
                <w:sz w:val="20"/>
              </w:rPr>
              <w:t>28</w:t>
            </w:r>
          </w:p>
        </w:tc>
        <w:tc>
          <w:tcPr>
            <w:tcW w:w="717" w:type="dxa"/>
            <w:tcBorders>
              <w:top w:val="nil"/>
              <w:left w:val="nil"/>
              <w:bottom w:val="nil"/>
              <w:right w:val="nil"/>
            </w:tcBorders>
            <w:shd w:val="clear" w:color="auto" w:fill="auto"/>
            <w:noWrap/>
            <w:hideMark/>
          </w:tcPr>
          <w:p w14:paraId="40B921B6" w14:textId="2D9851BA" w:rsidR="008A51B4" w:rsidRPr="00887108" w:rsidRDefault="00B91595" w:rsidP="00B91595">
            <w:pPr>
              <w:jc w:val="right"/>
              <w:rPr>
                <w:rFonts w:cs="Times New Roman"/>
                <w:color w:val="000000"/>
                <w:sz w:val="20"/>
              </w:rPr>
            </w:pPr>
            <w:r w:rsidRPr="00887108">
              <w:rPr>
                <w:sz w:val="20"/>
              </w:rPr>
              <w:t>29</w:t>
            </w:r>
          </w:p>
        </w:tc>
        <w:tc>
          <w:tcPr>
            <w:tcW w:w="665" w:type="dxa"/>
            <w:tcBorders>
              <w:top w:val="nil"/>
              <w:left w:val="nil"/>
              <w:bottom w:val="nil"/>
              <w:right w:val="nil"/>
            </w:tcBorders>
            <w:shd w:val="clear" w:color="auto" w:fill="auto"/>
            <w:noWrap/>
            <w:hideMark/>
          </w:tcPr>
          <w:p w14:paraId="194F286C" w14:textId="47840930" w:rsidR="008A51B4" w:rsidRPr="00887108" w:rsidRDefault="00B91595" w:rsidP="00B91595">
            <w:pPr>
              <w:jc w:val="right"/>
              <w:rPr>
                <w:rFonts w:cs="Times New Roman"/>
                <w:b/>
                <w:bCs/>
                <w:color w:val="000000"/>
                <w:sz w:val="20"/>
              </w:rPr>
            </w:pPr>
            <w:r w:rsidRPr="00887108">
              <w:rPr>
                <w:sz w:val="20"/>
              </w:rPr>
              <w:t>30</w:t>
            </w:r>
          </w:p>
        </w:tc>
      </w:tr>
      <w:tr w:rsidR="008A51B4" w:rsidRPr="00887108" w14:paraId="6B3B81BC" w14:textId="77777777" w:rsidTr="004C1271">
        <w:trPr>
          <w:trHeight w:val="257"/>
        </w:trPr>
        <w:tc>
          <w:tcPr>
            <w:tcW w:w="6395" w:type="dxa"/>
            <w:tcBorders>
              <w:top w:val="nil"/>
              <w:left w:val="nil"/>
              <w:bottom w:val="nil"/>
              <w:right w:val="nil"/>
            </w:tcBorders>
            <w:shd w:val="clear" w:color="auto" w:fill="auto"/>
            <w:noWrap/>
            <w:hideMark/>
          </w:tcPr>
          <w:p w14:paraId="69337382" w14:textId="7D44E8AA" w:rsidR="008A51B4" w:rsidRPr="00887108" w:rsidRDefault="008A51B4" w:rsidP="008A51B4">
            <w:pPr>
              <w:rPr>
                <w:rFonts w:cs="Times New Roman"/>
                <w:color w:val="000000"/>
                <w:sz w:val="20"/>
              </w:rPr>
            </w:pPr>
            <w:r w:rsidRPr="00887108">
              <w:rPr>
                <w:sz w:val="20"/>
              </w:rPr>
              <w:t>Novela zákona o sociálnom poistení – spomalenie rastu dôchodkového veku</w:t>
            </w:r>
          </w:p>
        </w:tc>
        <w:tc>
          <w:tcPr>
            <w:tcW w:w="628" w:type="dxa"/>
            <w:tcBorders>
              <w:top w:val="nil"/>
              <w:left w:val="nil"/>
              <w:bottom w:val="nil"/>
              <w:right w:val="nil"/>
            </w:tcBorders>
            <w:shd w:val="clear" w:color="auto" w:fill="auto"/>
            <w:noWrap/>
            <w:hideMark/>
          </w:tcPr>
          <w:p w14:paraId="75E32368" w14:textId="568D82FD" w:rsidR="008A51B4" w:rsidRPr="00887108" w:rsidRDefault="008A51B4" w:rsidP="008A51B4">
            <w:pPr>
              <w:jc w:val="right"/>
              <w:rPr>
                <w:rFonts w:cs="Times New Roman"/>
                <w:color w:val="000000"/>
                <w:sz w:val="20"/>
              </w:rPr>
            </w:pPr>
            <w:r w:rsidRPr="00887108">
              <w:rPr>
                <w:sz w:val="20"/>
              </w:rPr>
              <w:t>19</w:t>
            </w:r>
          </w:p>
        </w:tc>
        <w:tc>
          <w:tcPr>
            <w:tcW w:w="665" w:type="dxa"/>
            <w:tcBorders>
              <w:top w:val="nil"/>
              <w:left w:val="nil"/>
              <w:bottom w:val="nil"/>
              <w:right w:val="nil"/>
            </w:tcBorders>
            <w:shd w:val="clear" w:color="auto" w:fill="auto"/>
            <w:noWrap/>
            <w:hideMark/>
          </w:tcPr>
          <w:p w14:paraId="25D23D2D" w14:textId="74D4BB90" w:rsidR="008A51B4" w:rsidRPr="00887108" w:rsidRDefault="008A51B4" w:rsidP="008A51B4">
            <w:pPr>
              <w:jc w:val="right"/>
              <w:rPr>
                <w:rFonts w:cs="Times New Roman"/>
                <w:color w:val="000000"/>
                <w:sz w:val="20"/>
              </w:rPr>
            </w:pPr>
            <w:r w:rsidRPr="00887108">
              <w:rPr>
                <w:sz w:val="20"/>
              </w:rPr>
              <w:t>37</w:t>
            </w:r>
          </w:p>
        </w:tc>
        <w:tc>
          <w:tcPr>
            <w:tcW w:w="717" w:type="dxa"/>
            <w:tcBorders>
              <w:top w:val="nil"/>
              <w:left w:val="nil"/>
              <w:bottom w:val="nil"/>
              <w:right w:val="nil"/>
            </w:tcBorders>
            <w:shd w:val="clear" w:color="auto" w:fill="auto"/>
            <w:noWrap/>
            <w:hideMark/>
          </w:tcPr>
          <w:p w14:paraId="0D81AC83" w14:textId="63237A49" w:rsidR="008A51B4" w:rsidRPr="00887108" w:rsidRDefault="008A51B4" w:rsidP="008A51B4">
            <w:pPr>
              <w:jc w:val="right"/>
              <w:rPr>
                <w:rFonts w:cs="Times New Roman"/>
                <w:color w:val="000000"/>
                <w:sz w:val="20"/>
              </w:rPr>
            </w:pPr>
            <w:r w:rsidRPr="00887108">
              <w:rPr>
                <w:sz w:val="20"/>
              </w:rPr>
              <w:t>47</w:t>
            </w:r>
          </w:p>
        </w:tc>
        <w:tc>
          <w:tcPr>
            <w:tcW w:w="665" w:type="dxa"/>
            <w:tcBorders>
              <w:top w:val="nil"/>
              <w:left w:val="nil"/>
              <w:bottom w:val="nil"/>
              <w:right w:val="nil"/>
            </w:tcBorders>
            <w:shd w:val="clear" w:color="auto" w:fill="auto"/>
            <w:noWrap/>
            <w:hideMark/>
          </w:tcPr>
          <w:p w14:paraId="42C3C3CE" w14:textId="0D732FE0" w:rsidR="008A51B4" w:rsidRPr="00887108" w:rsidRDefault="008A51B4" w:rsidP="008A51B4">
            <w:pPr>
              <w:jc w:val="right"/>
              <w:rPr>
                <w:rFonts w:cs="Times New Roman"/>
                <w:b/>
                <w:bCs/>
                <w:color w:val="000000"/>
                <w:sz w:val="20"/>
              </w:rPr>
            </w:pPr>
            <w:r w:rsidRPr="00887108">
              <w:rPr>
                <w:sz w:val="20"/>
              </w:rPr>
              <w:t>46</w:t>
            </w:r>
          </w:p>
        </w:tc>
      </w:tr>
      <w:tr w:rsidR="008A51B4" w:rsidRPr="00887108" w14:paraId="79BAD730" w14:textId="77777777" w:rsidTr="004C1271">
        <w:trPr>
          <w:trHeight w:val="257"/>
        </w:trPr>
        <w:tc>
          <w:tcPr>
            <w:tcW w:w="6395" w:type="dxa"/>
            <w:tcBorders>
              <w:top w:val="nil"/>
              <w:left w:val="nil"/>
              <w:bottom w:val="nil"/>
              <w:right w:val="nil"/>
            </w:tcBorders>
            <w:shd w:val="clear" w:color="auto" w:fill="auto"/>
            <w:noWrap/>
            <w:hideMark/>
          </w:tcPr>
          <w:p w14:paraId="64ED0992" w14:textId="7E39667E" w:rsidR="008A51B4" w:rsidRPr="00887108" w:rsidRDefault="008A51B4" w:rsidP="008A51B4">
            <w:pPr>
              <w:rPr>
                <w:rFonts w:cs="Times New Roman"/>
                <w:color w:val="000000"/>
                <w:sz w:val="20"/>
              </w:rPr>
            </w:pPr>
            <w:r w:rsidRPr="00887108">
              <w:rPr>
                <w:sz w:val="20"/>
              </w:rPr>
              <w:t>Zvýšenie rodičovského príspevku</w:t>
            </w:r>
          </w:p>
        </w:tc>
        <w:tc>
          <w:tcPr>
            <w:tcW w:w="628" w:type="dxa"/>
            <w:tcBorders>
              <w:top w:val="nil"/>
              <w:left w:val="nil"/>
              <w:bottom w:val="nil"/>
              <w:right w:val="nil"/>
            </w:tcBorders>
            <w:shd w:val="clear" w:color="auto" w:fill="auto"/>
            <w:noWrap/>
            <w:hideMark/>
          </w:tcPr>
          <w:p w14:paraId="7495250A" w14:textId="03E66FFB" w:rsidR="008A51B4" w:rsidRPr="00887108" w:rsidRDefault="008A51B4" w:rsidP="008A51B4">
            <w:pPr>
              <w:jc w:val="right"/>
              <w:rPr>
                <w:rFonts w:cs="Times New Roman"/>
                <w:color w:val="000000"/>
                <w:sz w:val="20"/>
              </w:rPr>
            </w:pPr>
            <w:r w:rsidRPr="00887108">
              <w:rPr>
                <w:sz w:val="20"/>
              </w:rPr>
              <w:t>164</w:t>
            </w:r>
          </w:p>
        </w:tc>
        <w:tc>
          <w:tcPr>
            <w:tcW w:w="665" w:type="dxa"/>
            <w:tcBorders>
              <w:top w:val="nil"/>
              <w:left w:val="nil"/>
              <w:bottom w:val="nil"/>
              <w:right w:val="nil"/>
            </w:tcBorders>
            <w:shd w:val="clear" w:color="auto" w:fill="auto"/>
            <w:noWrap/>
            <w:hideMark/>
          </w:tcPr>
          <w:p w14:paraId="18BAEC44" w14:textId="77AE5F39" w:rsidR="008A51B4" w:rsidRPr="00887108" w:rsidRDefault="008A51B4" w:rsidP="008A51B4">
            <w:pPr>
              <w:jc w:val="right"/>
              <w:rPr>
                <w:rFonts w:cs="Times New Roman"/>
                <w:color w:val="000000"/>
                <w:sz w:val="20"/>
              </w:rPr>
            </w:pPr>
            <w:r w:rsidRPr="00887108">
              <w:rPr>
                <w:sz w:val="20"/>
              </w:rPr>
              <w:t>169</w:t>
            </w:r>
          </w:p>
        </w:tc>
        <w:tc>
          <w:tcPr>
            <w:tcW w:w="717" w:type="dxa"/>
            <w:tcBorders>
              <w:top w:val="nil"/>
              <w:left w:val="nil"/>
              <w:bottom w:val="nil"/>
              <w:right w:val="nil"/>
            </w:tcBorders>
            <w:shd w:val="clear" w:color="auto" w:fill="auto"/>
            <w:noWrap/>
            <w:hideMark/>
          </w:tcPr>
          <w:p w14:paraId="5606BB74" w14:textId="39BB531E" w:rsidR="008A51B4" w:rsidRPr="00887108" w:rsidRDefault="008A51B4" w:rsidP="008A51B4">
            <w:pPr>
              <w:jc w:val="right"/>
              <w:rPr>
                <w:rFonts w:cs="Times New Roman"/>
                <w:color w:val="000000"/>
                <w:sz w:val="20"/>
              </w:rPr>
            </w:pPr>
            <w:r w:rsidRPr="00887108">
              <w:rPr>
                <w:sz w:val="20"/>
              </w:rPr>
              <w:t>173</w:t>
            </w:r>
          </w:p>
        </w:tc>
        <w:tc>
          <w:tcPr>
            <w:tcW w:w="665" w:type="dxa"/>
            <w:tcBorders>
              <w:top w:val="nil"/>
              <w:left w:val="nil"/>
              <w:bottom w:val="nil"/>
              <w:right w:val="nil"/>
            </w:tcBorders>
            <w:shd w:val="clear" w:color="auto" w:fill="auto"/>
            <w:noWrap/>
            <w:hideMark/>
          </w:tcPr>
          <w:p w14:paraId="5B52274F" w14:textId="11D2BC79" w:rsidR="008A51B4" w:rsidRPr="00887108" w:rsidRDefault="008A51B4" w:rsidP="008A51B4">
            <w:pPr>
              <w:jc w:val="right"/>
              <w:rPr>
                <w:rFonts w:cs="Times New Roman"/>
                <w:b/>
                <w:bCs/>
                <w:color w:val="000000"/>
                <w:sz w:val="20"/>
              </w:rPr>
            </w:pPr>
            <w:r w:rsidRPr="00887108">
              <w:rPr>
                <w:sz w:val="20"/>
              </w:rPr>
              <w:t>177</w:t>
            </w:r>
          </w:p>
        </w:tc>
      </w:tr>
      <w:tr w:rsidR="008A51B4" w:rsidRPr="00887108" w14:paraId="05710FC4" w14:textId="77777777" w:rsidTr="004C1271">
        <w:trPr>
          <w:trHeight w:val="257"/>
        </w:trPr>
        <w:tc>
          <w:tcPr>
            <w:tcW w:w="6395" w:type="dxa"/>
            <w:tcBorders>
              <w:top w:val="nil"/>
              <w:left w:val="nil"/>
              <w:bottom w:val="nil"/>
              <w:right w:val="nil"/>
            </w:tcBorders>
            <w:shd w:val="clear" w:color="auto" w:fill="auto"/>
            <w:noWrap/>
            <w:hideMark/>
          </w:tcPr>
          <w:p w14:paraId="0FDE564F" w14:textId="4707B615" w:rsidR="008A51B4" w:rsidRPr="00887108" w:rsidRDefault="008A51B4" w:rsidP="008A51B4">
            <w:pPr>
              <w:rPr>
                <w:rFonts w:cs="Times New Roman"/>
                <w:color w:val="000000"/>
                <w:sz w:val="20"/>
              </w:rPr>
            </w:pPr>
            <w:r w:rsidRPr="00887108">
              <w:rPr>
                <w:sz w:val="20"/>
              </w:rPr>
              <w:t>Príspevok pre prvákov na ZŠ (novela zákona o prídavku na dieťa)</w:t>
            </w:r>
          </w:p>
        </w:tc>
        <w:tc>
          <w:tcPr>
            <w:tcW w:w="628" w:type="dxa"/>
            <w:tcBorders>
              <w:top w:val="nil"/>
              <w:left w:val="nil"/>
              <w:bottom w:val="nil"/>
              <w:right w:val="nil"/>
            </w:tcBorders>
            <w:shd w:val="clear" w:color="auto" w:fill="auto"/>
            <w:noWrap/>
            <w:hideMark/>
          </w:tcPr>
          <w:p w14:paraId="5FA1D091" w14:textId="5FFCB353" w:rsidR="008A51B4" w:rsidRPr="00887108" w:rsidRDefault="008A51B4" w:rsidP="008A51B4">
            <w:pPr>
              <w:jc w:val="right"/>
              <w:rPr>
                <w:rFonts w:cs="Times New Roman"/>
                <w:color w:val="000000"/>
                <w:sz w:val="20"/>
              </w:rPr>
            </w:pPr>
            <w:r w:rsidRPr="00887108">
              <w:rPr>
                <w:sz w:val="20"/>
              </w:rPr>
              <w:t>6</w:t>
            </w:r>
          </w:p>
        </w:tc>
        <w:tc>
          <w:tcPr>
            <w:tcW w:w="665" w:type="dxa"/>
            <w:tcBorders>
              <w:top w:val="nil"/>
              <w:left w:val="nil"/>
              <w:bottom w:val="nil"/>
              <w:right w:val="nil"/>
            </w:tcBorders>
            <w:shd w:val="clear" w:color="auto" w:fill="auto"/>
            <w:noWrap/>
            <w:hideMark/>
          </w:tcPr>
          <w:p w14:paraId="5DCB2989" w14:textId="2E54F71F" w:rsidR="008A51B4" w:rsidRPr="00887108" w:rsidRDefault="008A51B4" w:rsidP="008A51B4">
            <w:pPr>
              <w:jc w:val="right"/>
              <w:rPr>
                <w:rFonts w:cs="Times New Roman"/>
                <w:color w:val="000000"/>
                <w:sz w:val="20"/>
              </w:rPr>
            </w:pPr>
            <w:r w:rsidRPr="00887108">
              <w:rPr>
                <w:sz w:val="20"/>
              </w:rPr>
              <w:t>6</w:t>
            </w:r>
          </w:p>
        </w:tc>
        <w:tc>
          <w:tcPr>
            <w:tcW w:w="717" w:type="dxa"/>
            <w:tcBorders>
              <w:top w:val="nil"/>
              <w:left w:val="nil"/>
              <w:bottom w:val="nil"/>
              <w:right w:val="nil"/>
            </w:tcBorders>
            <w:shd w:val="clear" w:color="auto" w:fill="auto"/>
            <w:noWrap/>
            <w:hideMark/>
          </w:tcPr>
          <w:p w14:paraId="560544F6" w14:textId="69407831" w:rsidR="008A51B4" w:rsidRPr="00887108" w:rsidRDefault="008A51B4" w:rsidP="008A51B4">
            <w:pPr>
              <w:jc w:val="right"/>
              <w:rPr>
                <w:rFonts w:cs="Times New Roman"/>
                <w:color w:val="000000"/>
                <w:sz w:val="20"/>
              </w:rPr>
            </w:pPr>
            <w:r w:rsidRPr="00887108">
              <w:rPr>
                <w:sz w:val="20"/>
              </w:rPr>
              <w:t>6</w:t>
            </w:r>
          </w:p>
        </w:tc>
        <w:tc>
          <w:tcPr>
            <w:tcW w:w="665" w:type="dxa"/>
            <w:tcBorders>
              <w:top w:val="nil"/>
              <w:left w:val="nil"/>
              <w:bottom w:val="nil"/>
              <w:right w:val="nil"/>
            </w:tcBorders>
            <w:shd w:val="clear" w:color="auto" w:fill="auto"/>
            <w:noWrap/>
            <w:hideMark/>
          </w:tcPr>
          <w:p w14:paraId="23336331" w14:textId="357BA44D" w:rsidR="008A51B4" w:rsidRPr="00887108" w:rsidRDefault="008A51B4" w:rsidP="008A51B4">
            <w:pPr>
              <w:jc w:val="right"/>
              <w:rPr>
                <w:rFonts w:cs="Times New Roman"/>
                <w:b/>
                <w:bCs/>
                <w:color w:val="000000"/>
                <w:sz w:val="20"/>
              </w:rPr>
            </w:pPr>
            <w:r w:rsidRPr="00887108">
              <w:rPr>
                <w:sz w:val="20"/>
              </w:rPr>
              <w:t>6</w:t>
            </w:r>
          </w:p>
        </w:tc>
      </w:tr>
      <w:tr w:rsidR="008A51B4" w:rsidRPr="00887108" w14:paraId="493CB511" w14:textId="77777777" w:rsidTr="008A51B4">
        <w:trPr>
          <w:trHeight w:val="257"/>
        </w:trPr>
        <w:tc>
          <w:tcPr>
            <w:tcW w:w="6395" w:type="dxa"/>
            <w:tcBorders>
              <w:top w:val="nil"/>
              <w:left w:val="nil"/>
              <w:right w:val="nil"/>
            </w:tcBorders>
            <w:shd w:val="clear" w:color="auto" w:fill="auto"/>
            <w:noWrap/>
            <w:hideMark/>
          </w:tcPr>
          <w:p w14:paraId="756EDC63" w14:textId="23F5F35F" w:rsidR="008A51B4" w:rsidRPr="00887108" w:rsidRDefault="008A51B4" w:rsidP="008A51B4">
            <w:pPr>
              <w:rPr>
                <w:rFonts w:cs="Times New Roman"/>
                <w:color w:val="000000"/>
                <w:sz w:val="20"/>
              </w:rPr>
            </w:pPr>
            <w:r w:rsidRPr="00887108">
              <w:rPr>
                <w:sz w:val="20"/>
              </w:rPr>
              <w:t>Zmena systému odmeňovania príslušníkov ozbrojených síl</w:t>
            </w:r>
          </w:p>
        </w:tc>
        <w:tc>
          <w:tcPr>
            <w:tcW w:w="628" w:type="dxa"/>
            <w:tcBorders>
              <w:top w:val="nil"/>
              <w:left w:val="nil"/>
              <w:right w:val="nil"/>
            </w:tcBorders>
            <w:shd w:val="clear" w:color="auto" w:fill="auto"/>
            <w:noWrap/>
            <w:hideMark/>
          </w:tcPr>
          <w:p w14:paraId="3909AEB0" w14:textId="633800A5" w:rsidR="008A51B4" w:rsidRPr="00887108" w:rsidRDefault="008A51B4" w:rsidP="008A51B4">
            <w:pPr>
              <w:jc w:val="right"/>
              <w:rPr>
                <w:rFonts w:cs="Times New Roman"/>
                <w:color w:val="000000"/>
                <w:sz w:val="20"/>
              </w:rPr>
            </w:pPr>
            <w:r w:rsidRPr="00887108">
              <w:rPr>
                <w:sz w:val="20"/>
              </w:rPr>
              <w:t>79</w:t>
            </w:r>
          </w:p>
        </w:tc>
        <w:tc>
          <w:tcPr>
            <w:tcW w:w="665" w:type="dxa"/>
            <w:tcBorders>
              <w:top w:val="nil"/>
              <w:left w:val="nil"/>
              <w:right w:val="nil"/>
            </w:tcBorders>
            <w:shd w:val="clear" w:color="auto" w:fill="auto"/>
            <w:noWrap/>
            <w:hideMark/>
          </w:tcPr>
          <w:p w14:paraId="437F5EFE" w14:textId="4FEDB407" w:rsidR="008A51B4" w:rsidRPr="00887108" w:rsidRDefault="008A51B4" w:rsidP="008A51B4">
            <w:pPr>
              <w:jc w:val="right"/>
              <w:rPr>
                <w:rFonts w:cs="Times New Roman"/>
                <w:color w:val="000000"/>
                <w:sz w:val="20"/>
              </w:rPr>
            </w:pPr>
            <w:r w:rsidRPr="00887108">
              <w:rPr>
                <w:sz w:val="20"/>
              </w:rPr>
              <w:t>104</w:t>
            </w:r>
          </w:p>
        </w:tc>
        <w:tc>
          <w:tcPr>
            <w:tcW w:w="717" w:type="dxa"/>
            <w:tcBorders>
              <w:top w:val="nil"/>
              <w:left w:val="nil"/>
              <w:right w:val="nil"/>
            </w:tcBorders>
            <w:shd w:val="clear" w:color="auto" w:fill="auto"/>
            <w:noWrap/>
            <w:hideMark/>
          </w:tcPr>
          <w:p w14:paraId="086C13F0" w14:textId="0B39DE9F" w:rsidR="008A51B4" w:rsidRPr="00887108" w:rsidRDefault="008A51B4" w:rsidP="008A51B4">
            <w:pPr>
              <w:jc w:val="right"/>
              <w:rPr>
                <w:rFonts w:cs="Times New Roman"/>
                <w:color w:val="000000"/>
                <w:sz w:val="20"/>
              </w:rPr>
            </w:pPr>
            <w:r w:rsidRPr="00887108">
              <w:rPr>
                <w:sz w:val="20"/>
              </w:rPr>
              <w:t>118</w:t>
            </w:r>
          </w:p>
        </w:tc>
        <w:tc>
          <w:tcPr>
            <w:tcW w:w="665" w:type="dxa"/>
            <w:tcBorders>
              <w:top w:val="nil"/>
              <w:left w:val="nil"/>
              <w:right w:val="nil"/>
            </w:tcBorders>
            <w:shd w:val="clear" w:color="auto" w:fill="auto"/>
            <w:noWrap/>
            <w:hideMark/>
          </w:tcPr>
          <w:p w14:paraId="3545939D" w14:textId="0F72468F" w:rsidR="008A51B4" w:rsidRPr="00887108" w:rsidRDefault="008A51B4" w:rsidP="008A51B4">
            <w:pPr>
              <w:jc w:val="right"/>
              <w:rPr>
                <w:rFonts w:cs="Times New Roman"/>
                <w:b/>
                <w:bCs/>
                <w:color w:val="000000"/>
                <w:sz w:val="20"/>
              </w:rPr>
            </w:pPr>
            <w:r w:rsidRPr="00887108">
              <w:rPr>
                <w:sz w:val="20"/>
              </w:rPr>
              <w:t>134</w:t>
            </w:r>
          </w:p>
        </w:tc>
      </w:tr>
      <w:tr w:rsidR="008A51B4" w:rsidRPr="00887108" w14:paraId="5F30265A" w14:textId="77777777" w:rsidTr="004C1271">
        <w:trPr>
          <w:trHeight w:val="257"/>
        </w:trPr>
        <w:tc>
          <w:tcPr>
            <w:tcW w:w="6395" w:type="dxa"/>
            <w:tcBorders>
              <w:top w:val="nil"/>
              <w:left w:val="nil"/>
              <w:bottom w:val="nil"/>
              <w:right w:val="nil"/>
            </w:tcBorders>
            <w:shd w:val="clear" w:color="auto" w:fill="auto"/>
            <w:noWrap/>
            <w:hideMark/>
          </w:tcPr>
          <w:p w14:paraId="38FB2E82" w14:textId="11A4D1D3" w:rsidR="008A51B4" w:rsidRPr="00887108" w:rsidRDefault="008A51B4" w:rsidP="008A51B4">
            <w:pPr>
              <w:rPr>
                <w:rFonts w:cs="Times New Roman"/>
                <w:color w:val="000000"/>
                <w:sz w:val="20"/>
              </w:rPr>
            </w:pPr>
            <w:r w:rsidRPr="00887108">
              <w:rPr>
                <w:sz w:val="20"/>
              </w:rPr>
              <w:t>Minimálna výška vyplácaných dôchodkov</w:t>
            </w:r>
          </w:p>
        </w:tc>
        <w:tc>
          <w:tcPr>
            <w:tcW w:w="628" w:type="dxa"/>
            <w:tcBorders>
              <w:top w:val="nil"/>
              <w:left w:val="nil"/>
              <w:bottom w:val="nil"/>
              <w:right w:val="nil"/>
            </w:tcBorders>
            <w:shd w:val="clear" w:color="auto" w:fill="auto"/>
            <w:noWrap/>
            <w:hideMark/>
          </w:tcPr>
          <w:p w14:paraId="17340932" w14:textId="4076D2C5" w:rsidR="008A51B4" w:rsidRPr="00887108" w:rsidRDefault="008A51B4" w:rsidP="008A51B4">
            <w:pPr>
              <w:jc w:val="right"/>
              <w:rPr>
                <w:rFonts w:cs="Times New Roman"/>
                <w:color w:val="000000"/>
                <w:sz w:val="20"/>
              </w:rPr>
            </w:pPr>
            <w:r w:rsidRPr="00887108">
              <w:rPr>
                <w:sz w:val="20"/>
              </w:rPr>
              <w:t> 80</w:t>
            </w:r>
          </w:p>
        </w:tc>
        <w:tc>
          <w:tcPr>
            <w:tcW w:w="665" w:type="dxa"/>
            <w:tcBorders>
              <w:top w:val="nil"/>
              <w:left w:val="nil"/>
              <w:bottom w:val="nil"/>
              <w:right w:val="nil"/>
            </w:tcBorders>
            <w:shd w:val="clear" w:color="auto" w:fill="auto"/>
            <w:noWrap/>
            <w:hideMark/>
          </w:tcPr>
          <w:p w14:paraId="42518015" w14:textId="468B5C7D" w:rsidR="008A51B4" w:rsidRPr="00887108" w:rsidRDefault="008A51B4" w:rsidP="008A51B4">
            <w:pPr>
              <w:jc w:val="right"/>
              <w:rPr>
                <w:rFonts w:cs="Times New Roman"/>
                <w:color w:val="000000"/>
                <w:sz w:val="20"/>
              </w:rPr>
            </w:pPr>
            <w:r w:rsidRPr="00887108">
              <w:rPr>
                <w:sz w:val="20"/>
              </w:rPr>
              <w:t>119</w:t>
            </w:r>
          </w:p>
        </w:tc>
        <w:tc>
          <w:tcPr>
            <w:tcW w:w="717" w:type="dxa"/>
            <w:tcBorders>
              <w:top w:val="nil"/>
              <w:left w:val="nil"/>
              <w:bottom w:val="nil"/>
              <w:right w:val="nil"/>
            </w:tcBorders>
            <w:shd w:val="clear" w:color="auto" w:fill="auto"/>
            <w:noWrap/>
            <w:hideMark/>
          </w:tcPr>
          <w:p w14:paraId="4BAB72F4" w14:textId="11CAF17E" w:rsidR="008A51B4" w:rsidRPr="00887108" w:rsidRDefault="008A51B4" w:rsidP="008A51B4">
            <w:pPr>
              <w:jc w:val="right"/>
              <w:rPr>
                <w:rFonts w:cs="Times New Roman"/>
                <w:color w:val="000000"/>
                <w:sz w:val="20"/>
              </w:rPr>
            </w:pPr>
            <w:r w:rsidRPr="00887108">
              <w:rPr>
                <w:sz w:val="20"/>
              </w:rPr>
              <w:t>147</w:t>
            </w:r>
          </w:p>
        </w:tc>
        <w:tc>
          <w:tcPr>
            <w:tcW w:w="665" w:type="dxa"/>
            <w:tcBorders>
              <w:top w:val="nil"/>
              <w:left w:val="nil"/>
              <w:bottom w:val="nil"/>
              <w:right w:val="nil"/>
            </w:tcBorders>
            <w:shd w:val="clear" w:color="auto" w:fill="auto"/>
            <w:noWrap/>
            <w:hideMark/>
          </w:tcPr>
          <w:p w14:paraId="0B65E5DE" w14:textId="4108C1E3" w:rsidR="008A51B4" w:rsidRPr="00887108" w:rsidRDefault="008A51B4" w:rsidP="008A51B4">
            <w:pPr>
              <w:jc w:val="right"/>
              <w:rPr>
                <w:rFonts w:cs="Times New Roman"/>
                <w:b/>
                <w:bCs/>
                <w:color w:val="000000"/>
                <w:sz w:val="20"/>
              </w:rPr>
            </w:pPr>
            <w:r w:rsidRPr="00887108">
              <w:rPr>
                <w:sz w:val="20"/>
              </w:rPr>
              <w:t> 177</w:t>
            </w:r>
          </w:p>
        </w:tc>
      </w:tr>
      <w:tr w:rsidR="008A51B4" w:rsidRPr="00887108" w14:paraId="1AD7B0B3" w14:textId="77777777" w:rsidTr="004C1271">
        <w:trPr>
          <w:trHeight w:val="257"/>
        </w:trPr>
        <w:tc>
          <w:tcPr>
            <w:tcW w:w="6395" w:type="dxa"/>
            <w:tcBorders>
              <w:top w:val="nil"/>
              <w:left w:val="nil"/>
              <w:bottom w:val="nil"/>
              <w:right w:val="nil"/>
            </w:tcBorders>
            <w:shd w:val="clear" w:color="auto" w:fill="auto"/>
            <w:noWrap/>
            <w:hideMark/>
          </w:tcPr>
          <w:p w14:paraId="553C2715" w14:textId="092BC2B6" w:rsidR="008A51B4" w:rsidRPr="00887108" w:rsidRDefault="008A51B4" w:rsidP="008A51B4">
            <w:pPr>
              <w:rPr>
                <w:rFonts w:cs="Times New Roman"/>
                <w:color w:val="000000"/>
                <w:sz w:val="20"/>
              </w:rPr>
            </w:pPr>
            <w:r w:rsidRPr="00887108">
              <w:rPr>
                <w:sz w:val="20"/>
              </w:rPr>
              <w:t>Povinné predprimárne vzdelávanie v materských školách</w:t>
            </w:r>
          </w:p>
        </w:tc>
        <w:tc>
          <w:tcPr>
            <w:tcW w:w="628" w:type="dxa"/>
            <w:tcBorders>
              <w:top w:val="nil"/>
              <w:left w:val="nil"/>
              <w:bottom w:val="nil"/>
              <w:right w:val="nil"/>
            </w:tcBorders>
            <w:shd w:val="clear" w:color="auto" w:fill="auto"/>
            <w:noWrap/>
            <w:hideMark/>
          </w:tcPr>
          <w:p w14:paraId="7FB4290A" w14:textId="762D6878" w:rsidR="008A51B4" w:rsidRPr="00887108" w:rsidRDefault="008A51B4" w:rsidP="008A51B4">
            <w:pPr>
              <w:jc w:val="right"/>
              <w:rPr>
                <w:rFonts w:cs="Times New Roman"/>
                <w:color w:val="000000"/>
                <w:sz w:val="20"/>
              </w:rPr>
            </w:pPr>
            <w:r w:rsidRPr="00887108">
              <w:rPr>
                <w:sz w:val="20"/>
              </w:rPr>
              <w:t>16</w:t>
            </w:r>
          </w:p>
        </w:tc>
        <w:tc>
          <w:tcPr>
            <w:tcW w:w="665" w:type="dxa"/>
            <w:tcBorders>
              <w:top w:val="nil"/>
              <w:left w:val="nil"/>
              <w:bottom w:val="nil"/>
              <w:right w:val="nil"/>
            </w:tcBorders>
            <w:shd w:val="clear" w:color="auto" w:fill="auto"/>
            <w:noWrap/>
            <w:hideMark/>
          </w:tcPr>
          <w:p w14:paraId="3D9771B9" w14:textId="7587C194" w:rsidR="008A51B4" w:rsidRPr="00887108" w:rsidRDefault="008A51B4" w:rsidP="008A51B4">
            <w:pPr>
              <w:jc w:val="right"/>
              <w:rPr>
                <w:rFonts w:cs="Times New Roman"/>
                <w:color w:val="000000"/>
                <w:sz w:val="20"/>
              </w:rPr>
            </w:pPr>
            <w:r w:rsidRPr="00887108">
              <w:rPr>
                <w:sz w:val="20"/>
              </w:rPr>
              <w:t>47</w:t>
            </w:r>
          </w:p>
        </w:tc>
        <w:tc>
          <w:tcPr>
            <w:tcW w:w="717" w:type="dxa"/>
            <w:tcBorders>
              <w:top w:val="nil"/>
              <w:left w:val="nil"/>
              <w:bottom w:val="nil"/>
              <w:right w:val="nil"/>
            </w:tcBorders>
            <w:shd w:val="clear" w:color="auto" w:fill="auto"/>
            <w:noWrap/>
            <w:hideMark/>
          </w:tcPr>
          <w:p w14:paraId="75F2A13E" w14:textId="2E538E15" w:rsidR="008A51B4" w:rsidRPr="00887108" w:rsidRDefault="008A51B4" w:rsidP="008A51B4">
            <w:pPr>
              <w:jc w:val="right"/>
              <w:rPr>
                <w:rFonts w:cs="Times New Roman"/>
                <w:color w:val="000000"/>
                <w:sz w:val="20"/>
              </w:rPr>
            </w:pPr>
            <w:r w:rsidRPr="00887108">
              <w:rPr>
                <w:sz w:val="20"/>
              </w:rPr>
              <w:t>47</w:t>
            </w:r>
          </w:p>
        </w:tc>
        <w:tc>
          <w:tcPr>
            <w:tcW w:w="665" w:type="dxa"/>
            <w:tcBorders>
              <w:top w:val="nil"/>
              <w:left w:val="nil"/>
              <w:bottom w:val="nil"/>
              <w:right w:val="nil"/>
            </w:tcBorders>
            <w:shd w:val="clear" w:color="auto" w:fill="auto"/>
            <w:noWrap/>
            <w:hideMark/>
          </w:tcPr>
          <w:p w14:paraId="7820BBF5" w14:textId="4FF6FCC0" w:rsidR="008A51B4" w:rsidRPr="00887108" w:rsidRDefault="008A51B4" w:rsidP="008A51B4">
            <w:pPr>
              <w:jc w:val="right"/>
              <w:rPr>
                <w:rFonts w:cs="Times New Roman"/>
                <w:b/>
                <w:bCs/>
                <w:color w:val="000000"/>
                <w:sz w:val="20"/>
              </w:rPr>
            </w:pPr>
            <w:r w:rsidRPr="00887108">
              <w:rPr>
                <w:sz w:val="20"/>
              </w:rPr>
              <w:t>47</w:t>
            </w:r>
          </w:p>
        </w:tc>
      </w:tr>
      <w:tr w:rsidR="008A51B4" w:rsidRPr="00887108" w14:paraId="1D7C15D8" w14:textId="77777777" w:rsidTr="008A51B4">
        <w:trPr>
          <w:trHeight w:val="257"/>
        </w:trPr>
        <w:tc>
          <w:tcPr>
            <w:tcW w:w="6395" w:type="dxa"/>
            <w:tcBorders>
              <w:top w:val="nil"/>
              <w:left w:val="nil"/>
              <w:right w:val="nil"/>
            </w:tcBorders>
            <w:shd w:val="clear" w:color="auto" w:fill="auto"/>
            <w:noWrap/>
            <w:hideMark/>
          </w:tcPr>
          <w:p w14:paraId="5FA27EE5" w14:textId="27EC579E" w:rsidR="008A51B4" w:rsidRPr="00887108" w:rsidRDefault="008A51B4" w:rsidP="008A51B4">
            <w:pPr>
              <w:rPr>
                <w:rFonts w:cs="Times New Roman"/>
                <w:color w:val="000000"/>
                <w:sz w:val="20"/>
              </w:rPr>
            </w:pPr>
            <w:r w:rsidRPr="00887108">
              <w:rPr>
                <w:sz w:val="20"/>
              </w:rPr>
              <w:t>Fond na podporu športu</w:t>
            </w:r>
          </w:p>
        </w:tc>
        <w:tc>
          <w:tcPr>
            <w:tcW w:w="628" w:type="dxa"/>
            <w:tcBorders>
              <w:top w:val="nil"/>
              <w:left w:val="nil"/>
              <w:right w:val="nil"/>
            </w:tcBorders>
            <w:shd w:val="clear" w:color="auto" w:fill="auto"/>
            <w:noWrap/>
            <w:hideMark/>
          </w:tcPr>
          <w:p w14:paraId="77EAF60C" w14:textId="4BF0D03C" w:rsidR="008A51B4" w:rsidRPr="00887108" w:rsidRDefault="008A51B4" w:rsidP="008A51B4">
            <w:pPr>
              <w:jc w:val="right"/>
              <w:rPr>
                <w:rFonts w:cs="Times New Roman"/>
                <w:color w:val="000000"/>
                <w:sz w:val="20"/>
              </w:rPr>
            </w:pPr>
            <w:r w:rsidRPr="00887108">
              <w:rPr>
                <w:sz w:val="20"/>
              </w:rPr>
              <w:t>20</w:t>
            </w:r>
          </w:p>
        </w:tc>
        <w:tc>
          <w:tcPr>
            <w:tcW w:w="665" w:type="dxa"/>
            <w:tcBorders>
              <w:top w:val="nil"/>
              <w:left w:val="nil"/>
              <w:right w:val="nil"/>
            </w:tcBorders>
            <w:shd w:val="clear" w:color="auto" w:fill="auto"/>
            <w:noWrap/>
            <w:hideMark/>
          </w:tcPr>
          <w:p w14:paraId="0BEE28EB" w14:textId="49232F94" w:rsidR="008A51B4" w:rsidRPr="00887108" w:rsidRDefault="008A51B4" w:rsidP="008A51B4">
            <w:pPr>
              <w:jc w:val="right"/>
              <w:rPr>
                <w:rFonts w:cs="Times New Roman"/>
                <w:color w:val="000000"/>
                <w:sz w:val="20"/>
              </w:rPr>
            </w:pPr>
            <w:r w:rsidRPr="00887108">
              <w:rPr>
                <w:sz w:val="20"/>
              </w:rPr>
              <w:t>20</w:t>
            </w:r>
          </w:p>
        </w:tc>
        <w:tc>
          <w:tcPr>
            <w:tcW w:w="717" w:type="dxa"/>
            <w:tcBorders>
              <w:top w:val="nil"/>
              <w:left w:val="nil"/>
              <w:right w:val="nil"/>
            </w:tcBorders>
            <w:shd w:val="clear" w:color="auto" w:fill="auto"/>
            <w:noWrap/>
            <w:hideMark/>
          </w:tcPr>
          <w:p w14:paraId="4AA46AE7" w14:textId="1F9C909B" w:rsidR="008A51B4" w:rsidRPr="00887108" w:rsidRDefault="008A51B4" w:rsidP="008A51B4">
            <w:pPr>
              <w:jc w:val="right"/>
              <w:rPr>
                <w:rFonts w:cs="Times New Roman"/>
                <w:color w:val="000000"/>
                <w:sz w:val="20"/>
              </w:rPr>
            </w:pPr>
            <w:r w:rsidRPr="00887108">
              <w:rPr>
                <w:sz w:val="20"/>
              </w:rPr>
              <w:t>20</w:t>
            </w:r>
          </w:p>
        </w:tc>
        <w:tc>
          <w:tcPr>
            <w:tcW w:w="665" w:type="dxa"/>
            <w:tcBorders>
              <w:top w:val="nil"/>
              <w:left w:val="nil"/>
              <w:right w:val="nil"/>
            </w:tcBorders>
            <w:shd w:val="clear" w:color="auto" w:fill="auto"/>
            <w:noWrap/>
            <w:hideMark/>
          </w:tcPr>
          <w:p w14:paraId="20A60E37" w14:textId="2743BB6E" w:rsidR="008A51B4" w:rsidRPr="00887108" w:rsidRDefault="008A51B4" w:rsidP="008A51B4">
            <w:pPr>
              <w:jc w:val="right"/>
              <w:rPr>
                <w:rFonts w:cs="Times New Roman"/>
                <w:b/>
                <w:bCs/>
                <w:color w:val="000000"/>
                <w:sz w:val="20"/>
              </w:rPr>
            </w:pPr>
            <w:r w:rsidRPr="00887108">
              <w:rPr>
                <w:sz w:val="20"/>
              </w:rPr>
              <w:t>20</w:t>
            </w:r>
          </w:p>
        </w:tc>
      </w:tr>
      <w:tr w:rsidR="008A51B4" w:rsidRPr="00887108" w14:paraId="38A87531" w14:textId="77777777" w:rsidTr="008A51B4">
        <w:trPr>
          <w:trHeight w:val="257"/>
        </w:trPr>
        <w:tc>
          <w:tcPr>
            <w:tcW w:w="6395" w:type="dxa"/>
            <w:tcBorders>
              <w:top w:val="nil"/>
              <w:left w:val="nil"/>
              <w:right w:val="nil"/>
            </w:tcBorders>
            <w:shd w:val="clear" w:color="auto" w:fill="auto"/>
            <w:noWrap/>
          </w:tcPr>
          <w:p w14:paraId="17C4EAE0" w14:textId="30EA005F" w:rsidR="008A51B4" w:rsidRPr="00887108" w:rsidRDefault="008A51B4" w:rsidP="008A51B4">
            <w:pPr>
              <w:rPr>
                <w:sz w:val="20"/>
              </w:rPr>
            </w:pPr>
            <w:r w:rsidRPr="00887108">
              <w:rPr>
                <w:sz w:val="20"/>
              </w:rPr>
              <w:t>Sčítanie obyvateľstva v 2021</w:t>
            </w:r>
          </w:p>
        </w:tc>
        <w:tc>
          <w:tcPr>
            <w:tcW w:w="628" w:type="dxa"/>
            <w:tcBorders>
              <w:top w:val="nil"/>
              <w:left w:val="nil"/>
              <w:right w:val="nil"/>
            </w:tcBorders>
            <w:shd w:val="clear" w:color="auto" w:fill="auto"/>
            <w:noWrap/>
          </w:tcPr>
          <w:p w14:paraId="78736472" w14:textId="6C7A3F1A" w:rsidR="008A51B4" w:rsidRPr="00887108" w:rsidRDefault="008A51B4" w:rsidP="008A51B4">
            <w:pPr>
              <w:jc w:val="right"/>
              <w:rPr>
                <w:sz w:val="20"/>
              </w:rPr>
            </w:pPr>
            <w:r w:rsidRPr="00887108">
              <w:rPr>
                <w:sz w:val="20"/>
              </w:rPr>
              <w:t>25</w:t>
            </w:r>
          </w:p>
        </w:tc>
        <w:tc>
          <w:tcPr>
            <w:tcW w:w="665" w:type="dxa"/>
            <w:tcBorders>
              <w:top w:val="nil"/>
              <w:left w:val="nil"/>
              <w:right w:val="nil"/>
            </w:tcBorders>
            <w:shd w:val="clear" w:color="auto" w:fill="auto"/>
            <w:noWrap/>
          </w:tcPr>
          <w:p w14:paraId="7DE157C8" w14:textId="28D3C7FA" w:rsidR="008A51B4" w:rsidRPr="00887108" w:rsidRDefault="008A51B4" w:rsidP="008A51B4">
            <w:pPr>
              <w:jc w:val="right"/>
              <w:rPr>
                <w:sz w:val="20"/>
              </w:rPr>
            </w:pPr>
            <w:r w:rsidRPr="00887108">
              <w:rPr>
                <w:sz w:val="20"/>
              </w:rPr>
              <w:t>20</w:t>
            </w:r>
          </w:p>
        </w:tc>
        <w:tc>
          <w:tcPr>
            <w:tcW w:w="717" w:type="dxa"/>
            <w:tcBorders>
              <w:top w:val="nil"/>
              <w:left w:val="nil"/>
              <w:right w:val="nil"/>
            </w:tcBorders>
            <w:shd w:val="clear" w:color="auto" w:fill="auto"/>
            <w:noWrap/>
          </w:tcPr>
          <w:p w14:paraId="48F182ED" w14:textId="5FAB7B4A" w:rsidR="008A51B4" w:rsidRPr="00887108" w:rsidRDefault="008A51B4" w:rsidP="008A51B4">
            <w:pPr>
              <w:jc w:val="right"/>
              <w:rPr>
                <w:sz w:val="20"/>
              </w:rPr>
            </w:pPr>
            <w:r w:rsidRPr="00887108">
              <w:rPr>
                <w:sz w:val="20"/>
              </w:rPr>
              <w:t>3</w:t>
            </w:r>
          </w:p>
        </w:tc>
        <w:tc>
          <w:tcPr>
            <w:tcW w:w="665" w:type="dxa"/>
            <w:tcBorders>
              <w:top w:val="nil"/>
              <w:left w:val="nil"/>
              <w:right w:val="nil"/>
            </w:tcBorders>
            <w:shd w:val="clear" w:color="auto" w:fill="auto"/>
            <w:noWrap/>
          </w:tcPr>
          <w:p w14:paraId="74388DE5" w14:textId="50A5ABEF" w:rsidR="008A51B4" w:rsidRPr="00887108" w:rsidRDefault="008A51B4" w:rsidP="008A51B4">
            <w:pPr>
              <w:jc w:val="right"/>
              <w:rPr>
                <w:sz w:val="20"/>
              </w:rPr>
            </w:pPr>
            <w:r w:rsidRPr="00887108">
              <w:rPr>
                <w:sz w:val="20"/>
              </w:rPr>
              <w:t>0</w:t>
            </w:r>
          </w:p>
        </w:tc>
      </w:tr>
      <w:tr w:rsidR="008A51B4" w:rsidRPr="00887108" w14:paraId="7B555E41" w14:textId="77777777" w:rsidTr="008A51B4">
        <w:trPr>
          <w:trHeight w:val="257"/>
        </w:trPr>
        <w:tc>
          <w:tcPr>
            <w:tcW w:w="6395" w:type="dxa"/>
            <w:tcBorders>
              <w:top w:val="nil"/>
              <w:left w:val="nil"/>
              <w:right w:val="nil"/>
            </w:tcBorders>
            <w:shd w:val="clear" w:color="auto" w:fill="auto"/>
            <w:noWrap/>
          </w:tcPr>
          <w:p w14:paraId="45917421" w14:textId="1C1D0A4A" w:rsidR="008A51B4" w:rsidRPr="00887108" w:rsidRDefault="008A51B4" w:rsidP="008A51B4">
            <w:pPr>
              <w:rPr>
                <w:sz w:val="20"/>
              </w:rPr>
            </w:pPr>
            <w:r w:rsidRPr="00887108">
              <w:rPr>
                <w:sz w:val="20"/>
              </w:rPr>
              <w:t>Platba za dostupnosť D4/R7</w:t>
            </w:r>
          </w:p>
        </w:tc>
        <w:tc>
          <w:tcPr>
            <w:tcW w:w="628" w:type="dxa"/>
            <w:tcBorders>
              <w:top w:val="nil"/>
              <w:left w:val="nil"/>
              <w:right w:val="nil"/>
            </w:tcBorders>
            <w:shd w:val="clear" w:color="auto" w:fill="auto"/>
            <w:noWrap/>
          </w:tcPr>
          <w:p w14:paraId="7820E3C3" w14:textId="7EC1D8CC" w:rsidR="008A51B4" w:rsidRPr="00887108" w:rsidRDefault="008A51B4" w:rsidP="008A51B4">
            <w:pPr>
              <w:jc w:val="right"/>
              <w:rPr>
                <w:sz w:val="20"/>
              </w:rPr>
            </w:pPr>
            <w:r w:rsidRPr="00887108">
              <w:rPr>
                <w:sz w:val="20"/>
              </w:rPr>
              <w:t>0</w:t>
            </w:r>
          </w:p>
        </w:tc>
        <w:tc>
          <w:tcPr>
            <w:tcW w:w="665" w:type="dxa"/>
            <w:tcBorders>
              <w:top w:val="nil"/>
              <w:left w:val="nil"/>
              <w:right w:val="nil"/>
            </w:tcBorders>
            <w:shd w:val="clear" w:color="auto" w:fill="auto"/>
            <w:noWrap/>
          </w:tcPr>
          <w:p w14:paraId="20CE9E83" w14:textId="6DA6F64E" w:rsidR="008A51B4" w:rsidRPr="00887108" w:rsidRDefault="008A51B4" w:rsidP="008A51B4">
            <w:pPr>
              <w:jc w:val="right"/>
              <w:rPr>
                <w:sz w:val="20"/>
              </w:rPr>
            </w:pPr>
            <w:r w:rsidRPr="00887108">
              <w:rPr>
                <w:sz w:val="20"/>
              </w:rPr>
              <w:t>0</w:t>
            </w:r>
          </w:p>
        </w:tc>
        <w:tc>
          <w:tcPr>
            <w:tcW w:w="717" w:type="dxa"/>
            <w:tcBorders>
              <w:top w:val="nil"/>
              <w:left w:val="nil"/>
              <w:right w:val="nil"/>
            </w:tcBorders>
            <w:shd w:val="clear" w:color="auto" w:fill="auto"/>
            <w:noWrap/>
          </w:tcPr>
          <w:p w14:paraId="31A3C602" w14:textId="3943F344" w:rsidR="008A51B4" w:rsidRPr="00887108" w:rsidRDefault="008A51B4" w:rsidP="008A51B4">
            <w:pPr>
              <w:jc w:val="right"/>
              <w:rPr>
                <w:sz w:val="20"/>
              </w:rPr>
            </w:pPr>
            <w:r w:rsidRPr="00887108">
              <w:rPr>
                <w:sz w:val="20"/>
              </w:rPr>
              <w:t>22</w:t>
            </w:r>
          </w:p>
        </w:tc>
        <w:tc>
          <w:tcPr>
            <w:tcW w:w="665" w:type="dxa"/>
            <w:tcBorders>
              <w:top w:val="nil"/>
              <w:left w:val="nil"/>
              <w:right w:val="nil"/>
            </w:tcBorders>
            <w:shd w:val="clear" w:color="auto" w:fill="auto"/>
            <w:noWrap/>
          </w:tcPr>
          <w:p w14:paraId="72EFF9F7" w14:textId="7ED844F3" w:rsidR="008A51B4" w:rsidRPr="00887108" w:rsidRDefault="008A51B4" w:rsidP="008A51B4">
            <w:pPr>
              <w:jc w:val="right"/>
              <w:rPr>
                <w:sz w:val="20"/>
              </w:rPr>
            </w:pPr>
            <w:r w:rsidRPr="00887108">
              <w:rPr>
                <w:sz w:val="20"/>
              </w:rPr>
              <w:t>53</w:t>
            </w:r>
          </w:p>
        </w:tc>
      </w:tr>
      <w:tr w:rsidR="008A51B4" w:rsidRPr="00887108" w14:paraId="338B3E54" w14:textId="77777777" w:rsidTr="008A51B4">
        <w:trPr>
          <w:trHeight w:val="257"/>
        </w:trPr>
        <w:tc>
          <w:tcPr>
            <w:tcW w:w="6395" w:type="dxa"/>
            <w:tcBorders>
              <w:top w:val="nil"/>
              <w:left w:val="nil"/>
              <w:right w:val="nil"/>
            </w:tcBorders>
            <w:shd w:val="clear" w:color="auto" w:fill="auto"/>
            <w:noWrap/>
          </w:tcPr>
          <w:p w14:paraId="19D68381" w14:textId="21208131" w:rsidR="008A51B4" w:rsidRPr="00887108" w:rsidRDefault="008A51B4" w:rsidP="008A51B4">
            <w:pPr>
              <w:rPr>
                <w:sz w:val="20"/>
              </w:rPr>
            </w:pPr>
            <w:r w:rsidRPr="00887108">
              <w:rPr>
                <w:sz w:val="20"/>
              </w:rPr>
              <w:t>Následná zdravotná starostlivosť</w:t>
            </w:r>
          </w:p>
        </w:tc>
        <w:tc>
          <w:tcPr>
            <w:tcW w:w="628" w:type="dxa"/>
            <w:tcBorders>
              <w:top w:val="nil"/>
              <w:left w:val="nil"/>
              <w:right w:val="nil"/>
            </w:tcBorders>
            <w:shd w:val="clear" w:color="auto" w:fill="auto"/>
            <w:noWrap/>
          </w:tcPr>
          <w:p w14:paraId="557FB704" w14:textId="49DA28E5" w:rsidR="008A51B4" w:rsidRPr="00887108" w:rsidRDefault="008A51B4" w:rsidP="008A51B4">
            <w:pPr>
              <w:jc w:val="right"/>
              <w:rPr>
                <w:sz w:val="20"/>
              </w:rPr>
            </w:pPr>
            <w:r w:rsidRPr="00887108">
              <w:rPr>
                <w:sz w:val="20"/>
              </w:rPr>
              <w:t>15</w:t>
            </w:r>
          </w:p>
        </w:tc>
        <w:tc>
          <w:tcPr>
            <w:tcW w:w="665" w:type="dxa"/>
            <w:tcBorders>
              <w:top w:val="nil"/>
              <w:left w:val="nil"/>
              <w:right w:val="nil"/>
            </w:tcBorders>
            <w:shd w:val="clear" w:color="auto" w:fill="auto"/>
            <w:noWrap/>
          </w:tcPr>
          <w:p w14:paraId="1F9CF56A" w14:textId="515FB487" w:rsidR="008A51B4" w:rsidRPr="00887108" w:rsidRDefault="008A51B4" w:rsidP="008A51B4">
            <w:pPr>
              <w:jc w:val="right"/>
              <w:rPr>
                <w:sz w:val="20"/>
              </w:rPr>
            </w:pPr>
            <w:r w:rsidRPr="00887108">
              <w:rPr>
                <w:sz w:val="20"/>
              </w:rPr>
              <w:t>21</w:t>
            </w:r>
          </w:p>
        </w:tc>
        <w:tc>
          <w:tcPr>
            <w:tcW w:w="717" w:type="dxa"/>
            <w:tcBorders>
              <w:top w:val="nil"/>
              <w:left w:val="nil"/>
              <w:right w:val="nil"/>
            </w:tcBorders>
            <w:shd w:val="clear" w:color="auto" w:fill="auto"/>
            <w:noWrap/>
          </w:tcPr>
          <w:p w14:paraId="637F98A1" w14:textId="5F9D88FD" w:rsidR="008A51B4" w:rsidRPr="00887108" w:rsidRDefault="008A51B4" w:rsidP="008A51B4">
            <w:pPr>
              <w:jc w:val="right"/>
              <w:rPr>
                <w:sz w:val="20"/>
              </w:rPr>
            </w:pPr>
            <w:r w:rsidRPr="00887108">
              <w:rPr>
                <w:sz w:val="20"/>
              </w:rPr>
              <w:t>27</w:t>
            </w:r>
          </w:p>
        </w:tc>
        <w:tc>
          <w:tcPr>
            <w:tcW w:w="665" w:type="dxa"/>
            <w:tcBorders>
              <w:top w:val="nil"/>
              <w:left w:val="nil"/>
              <w:right w:val="nil"/>
            </w:tcBorders>
            <w:shd w:val="clear" w:color="auto" w:fill="auto"/>
            <w:noWrap/>
          </w:tcPr>
          <w:p w14:paraId="310F5060" w14:textId="399D4BF8" w:rsidR="008A51B4" w:rsidRPr="00887108" w:rsidRDefault="008A51B4" w:rsidP="008A51B4">
            <w:pPr>
              <w:jc w:val="right"/>
              <w:rPr>
                <w:sz w:val="20"/>
              </w:rPr>
            </w:pPr>
            <w:r w:rsidRPr="00887108">
              <w:rPr>
                <w:sz w:val="20"/>
              </w:rPr>
              <w:t>35</w:t>
            </w:r>
          </w:p>
        </w:tc>
      </w:tr>
      <w:tr w:rsidR="008A51B4" w:rsidRPr="00887108" w14:paraId="67B4C959" w14:textId="77777777" w:rsidTr="008A51B4">
        <w:trPr>
          <w:trHeight w:val="257"/>
        </w:trPr>
        <w:tc>
          <w:tcPr>
            <w:tcW w:w="6395" w:type="dxa"/>
            <w:tcBorders>
              <w:top w:val="nil"/>
              <w:left w:val="nil"/>
              <w:bottom w:val="single" w:sz="4" w:space="0" w:color="auto"/>
              <w:right w:val="nil"/>
            </w:tcBorders>
            <w:shd w:val="clear" w:color="auto" w:fill="auto"/>
            <w:noWrap/>
          </w:tcPr>
          <w:p w14:paraId="003A10CF" w14:textId="7708F323" w:rsidR="008A51B4" w:rsidRPr="00887108" w:rsidRDefault="008A51B4" w:rsidP="008A51B4">
            <w:pPr>
              <w:rPr>
                <w:sz w:val="20"/>
              </w:rPr>
            </w:pPr>
            <w:r w:rsidRPr="00887108">
              <w:rPr>
                <w:sz w:val="20"/>
              </w:rPr>
              <w:t>Zriadenie ambulancií rýchlej zdravotnej starostlivosti</w:t>
            </w:r>
          </w:p>
        </w:tc>
        <w:tc>
          <w:tcPr>
            <w:tcW w:w="628" w:type="dxa"/>
            <w:tcBorders>
              <w:top w:val="nil"/>
              <w:left w:val="nil"/>
              <w:bottom w:val="single" w:sz="4" w:space="0" w:color="auto"/>
              <w:right w:val="nil"/>
            </w:tcBorders>
            <w:shd w:val="clear" w:color="auto" w:fill="auto"/>
            <w:noWrap/>
          </w:tcPr>
          <w:p w14:paraId="4EA37891" w14:textId="62783ECF" w:rsidR="008A51B4" w:rsidRPr="00887108" w:rsidRDefault="008A51B4" w:rsidP="008A51B4">
            <w:pPr>
              <w:jc w:val="right"/>
              <w:rPr>
                <w:sz w:val="20"/>
              </w:rPr>
            </w:pPr>
            <w:r w:rsidRPr="00887108">
              <w:rPr>
                <w:sz w:val="20"/>
              </w:rPr>
              <w:t>13</w:t>
            </w:r>
          </w:p>
        </w:tc>
        <w:tc>
          <w:tcPr>
            <w:tcW w:w="665" w:type="dxa"/>
            <w:tcBorders>
              <w:top w:val="nil"/>
              <w:left w:val="nil"/>
              <w:bottom w:val="single" w:sz="4" w:space="0" w:color="auto"/>
              <w:right w:val="nil"/>
            </w:tcBorders>
            <w:shd w:val="clear" w:color="auto" w:fill="auto"/>
            <w:noWrap/>
          </w:tcPr>
          <w:p w14:paraId="70552253" w14:textId="3A0E839C" w:rsidR="008A51B4" w:rsidRPr="00887108" w:rsidRDefault="008A51B4" w:rsidP="008A51B4">
            <w:pPr>
              <w:jc w:val="right"/>
              <w:rPr>
                <w:sz w:val="20"/>
              </w:rPr>
            </w:pPr>
            <w:r w:rsidRPr="00887108">
              <w:rPr>
                <w:sz w:val="20"/>
              </w:rPr>
              <w:t>13</w:t>
            </w:r>
          </w:p>
        </w:tc>
        <w:tc>
          <w:tcPr>
            <w:tcW w:w="717" w:type="dxa"/>
            <w:tcBorders>
              <w:top w:val="nil"/>
              <w:left w:val="nil"/>
              <w:bottom w:val="single" w:sz="4" w:space="0" w:color="auto"/>
              <w:right w:val="nil"/>
            </w:tcBorders>
            <w:shd w:val="clear" w:color="auto" w:fill="auto"/>
            <w:noWrap/>
          </w:tcPr>
          <w:p w14:paraId="0D12B59A" w14:textId="59DBCD8A" w:rsidR="008A51B4" w:rsidRPr="00887108" w:rsidRDefault="008A51B4" w:rsidP="008A51B4">
            <w:pPr>
              <w:jc w:val="right"/>
              <w:rPr>
                <w:sz w:val="20"/>
              </w:rPr>
            </w:pPr>
            <w:r w:rsidRPr="00887108">
              <w:rPr>
                <w:sz w:val="20"/>
              </w:rPr>
              <w:t>13</w:t>
            </w:r>
          </w:p>
        </w:tc>
        <w:tc>
          <w:tcPr>
            <w:tcW w:w="665" w:type="dxa"/>
            <w:tcBorders>
              <w:top w:val="nil"/>
              <w:left w:val="nil"/>
              <w:bottom w:val="single" w:sz="4" w:space="0" w:color="auto"/>
              <w:right w:val="nil"/>
            </w:tcBorders>
            <w:shd w:val="clear" w:color="auto" w:fill="auto"/>
            <w:noWrap/>
          </w:tcPr>
          <w:p w14:paraId="21CD9AB5" w14:textId="6069071D" w:rsidR="008A51B4" w:rsidRPr="00887108" w:rsidRDefault="008A51B4" w:rsidP="008A51B4">
            <w:pPr>
              <w:jc w:val="right"/>
              <w:rPr>
                <w:sz w:val="20"/>
              </w:rPr>
            </w:pPr>
            <w:r w:rsidRPr="00887108">
              <w:rPr>
                <w:sz w:val="20"/>
              </w:rPr>
              <w:t>13</w:t>
            </w:r>
          </w:p>
        </w:tc>
      </w:tr>
      <w:tr w:rsidR="008A51B4" w:rsidRPr="00887108" w14:paraId="3E57F054" w14:textId="77777777" w:rsidTr="008A51B4">
        <w:trPr>
          <w:trHeight w:val="257"/>
        </w:trPr>
        <w:tc>
          <w:tcPr>
            <w:tcW w:w="6395" w:type="dxa"/>
            <w:tcBorders>
              <w:top w:val="single" w:sz="4" w:space="0" w:color="auto"/>
              <w:left w:val="nil"/>
              <w:bottom w:val="nil"/>
              <w:right w:val="nil"/>
            </w:tcBorders>
            <w:shd w:val="clear" w:color="auto" w:fill="auto"/>
            <w:noWrap/>
            <w:hideMark/>
          </w:tcPr>
          <w:p w14:paraId="3C5ECC59" w14:textId="77777777" w:rsidR="008A51B4" w:rsidRPr="00887108" w:rsidRDefault="008A51B4" w:rsidP="008A51B4">
            <w:pPr>
              <w:rPr>
                <w:rFonts w:cs="Times New Roman"/>
                <w:b/>
                <w:bCs/>
                <w:color w:val="000000"/>
                <w:sz w:val="20"/>
              </w:rPr>
            </w:pPr>
            <w:r w:rsidRPr="00887108">
              <w:rPr>
                <w:rFonts w:cs="Times New Roman"/>
                <w:b/>
                <w:bCs/>
                <w:color w:val="000000"/>
                <w:sz w:val="20"/>
              </w:rPr>
              <w:t>Spolu výdavkové</w:t>
            </w:r>
          </w:p>
        </w:tc>
        <w:tc>
          <w:tcPr>
            <w:tcW w:w="628" w:type="dxa"/>
            <w:tcBorders>
              <w:top w:val="single" w:sz="4" w:space="0" w:color="auto"/>
              <w:left w:val="nil"/>
              <w:bottom w:val="nil"/>
              <w:right w:val="nil"/>
            </w:tcBorders>
            <w:shd w:val="clear" w:color="auto" w:fill="auto"/>
            <w:noWrap/>
            <w:hideMark/>
          </w:tcPr>
          <w:p w14:paraId="1BD233BF" w14:textId="4970D066" w:rsidR="008A51B4" w:rsidRPr="00887108" w:rsidRDefault="008A51B4" w:rsidP="00B91595">
            <w:pPr>
              <w:jc w:val="right"/>
              <w:rPr>
                <w:rFonts w:cs="Times New Roman"/>
                <w:b/>
                <w:bCs/>
                <w:color w:val="000000"/>
                <w:sz w:val="20"/>
              </w:rPr>
            </w:pPr>
            <w:r w:rsidRPr="00887108">
              <w:rPr>
                <w:b/>
                <w:sz w:val="20"/>
              </w:rPr>
              <w:t>1</w:t>
            </w:r>
            <w:r w:rsidR="00B91595" w:rsidRPr="00887108">
              <w:rPr>
                <w:b/>
                <w:sz w:val="20"/>
              </w:rPr>
              <w:t>5</w:t>
            </w:r>
            <w:r w:rsidR="0084712D" w:rsidRPr="00887108">
              <w:rPr>
                <w:b/>
                <w:sz w:val="20"/>
              </w:rPr>
              <w:t>8</w:t>
            </w:r>
            <w:r w:rsidR="00B91595" w:rsidRPr="00887108">
              <w:rPr>
                <w:b/>
                <w:sz w:val="20"/>
              </w:rPr>
              <w:t>6</w:t>
            </w:r>
          </w:p>
        </w:tc>
        <w:tc>
          <w:tcPr>
            <w:tcW w:w="665" w:type="dxa"/>
            <w:tcBorders>
              <w:top w:val="single" w:sz="4" w:space="0" w:color="auto"/>
              <w:left w:val="nil"/>
              <w:bottom w:val="nil"/>
              <w:right w:val="nil"/>
            </w:tcBorders>
            <w:shd w:val="clear" w:color="auto" w:fill="auto"/>
            <w:noWrap/>
            <w:hideMark/>
          </w:tcPr>
          <w:p w14:paraId="6A17EFD0" w14:textId="080CD493" w:rsidR="008A51B4" w:rsidRPr="00887108" w:rsidRDefault="00B91595" w:rsidP="00B91595">
            <w:pPr>
              <w:jc w:val="right"/>
              <w:rPr>
                <w:rFonts w:cs="Times New Roman"/>
                <w:b/>
                <w:bCs/>
                <w:color w:val="000000"/>
                <w:sz w:val="20"/>
              </w:rPr>
            </w:pPr>
            <w:r w:rsidRPr="00887108">
              <w:rPr>
                <w:b/>
                <w:sz w:val="20"/>
              </w:rPr>
              <w:t>1880</w:t>
            </w:r>
          </w:p>
        </w:tc>
        <w:tc>
          <w:tcPr>
            <w:tcW w:w="717" w:type="dxa"/>
            <w:tcBorders>
              <w:top w:val="single" w:sz="4" w:space="0" w:color="auto"/>
              <w:left w:val="nil"/>
              <w:bottom w:val="nil"/>
              <w:right w:val="nil"/>
            </w:tcBorders>
            <w:shd w:val="clear" w:color="auto" w:fill="auto"/>
            <w:noWrap/>
            <w:hideMark/>
          </w:tcPr>
          <w:p w14:paraId="3357FF11" w14:textId="6F43CF82" w:rsidR="008A51B4" w:rsidRPr="00887108" w:rsidRDefault="008A51B4" w:rsidP="00B91595">
            <w:pPr>
              <w:jc w:val="right"/>
              <w:rPr>
                <w:rFonts w:cs="Times New Roman"/>
                <w:b/>
                <w:bCs/>
                <w:color w:val="000000"/>
                <w:sz w:val="20"/>
              </w:rPr>
            </w:pPr>
            <w:r w:rsidRPr="00887108">
              <w:rPr>
                <w:b/>
                <w:sz w:val="20"/>
              </w:rPr>
              <w:t>2</w:t>
            </w:r>
            <w:r w:rsidR="00B91595" w:rsidRPr="00887108">
              <w:rPr>
                <w:b/>
                <w:sz w:val="20"/>
              </w:rPr>
              <w:t>009</w:t>
            </w:r>
          </w:p>
        </w:tc>
        <w:tc>
          <w:tcPr>
            <w:tcW w:w="665" w:type="dxa"/>
            <w:tcBorders>
              <w:top w:val="single" w:sz="4" w:space="0" w:color="auto"/>
              <w:left w:val="nil"/>
              <w:bottom w:val="nil"/>
              <w:right w:val="nil"/>
            </w:tcBorders>
            <w:shd w:val="clear" w:color="auto" w:fill="auto"/>
            <w:noWrap/>
            <w:hideMark/>
          </w:tcPr>
          <w:p w14:paraId="51E0F65B" w14:textId="2DAE511E" w:rsidR="008A51B4" w:rsidRPr="00887108" w:rsidRDefault="00B9563B" w:rsidP="00B91595">
            <w:pPr>
              <w:jc w:val="right"/>
              <w:rPr>
                <w:rFonts w:cs="Times New Roman"/>
                <w:b/>
                <w:bCs/>
                <w:color w:val="000000"/>
                <w:sz w:val="20"/>
              </w:rPr>
            </w:pPr>
            <w:r w:rsidRPr="00887108">
              <w:rPr>
                <w:b/>
                <w:sz w:val="20"/>
              </w:rPr>
              <w:t>2160</w:t>
            </w:r>
          </w:p>
        </w:tc>
      </w:tr>
    </w:tbl>
    <w:p w14:paraId="11F76D8E" w14:textId="2C55D6FA" w:rsidR="00F37A19" w:rsidRPr="00887108" w:rsidRDefault="00F37A19" w:rsidP="00512982"/>
    <w:p w14:paraId="742507C3" w14:textId="77777777" w:rsidR="00F37A19" w:rsidRPr="00887108" w:rsidRDefault="00F37A19">
      <w:r w:rsidRPr="00887108">
        <w:br w:type="page"/>
      </w:r>
    </w:p>
    <w:p w14:paraId="57DAB3A7" w14:textId="517AC1F7" w:rsidR="00F37A19" w:rsidRPr="00887108" w:rsidRDefault="00F37A19" w:rsidP="00F37A19">
      <w:pPr>
        <w:pStyle w:val="Nadpis3"/>
        <w:spacing w:after="120"/>
        <w:rPr>
          <w:color w:val="2C9ADC" w:themeColor="accent1"/>
          <w:sz w:val="24"/>
          <w:szCs w:val="24"/>
        </w:rPr>
      </w:pPr>
      <w:r w:rsidRPr="00887108">
        <w:rPr>
          <w:color w:val="2C9ADC" w:themeColor="accent1"/>
          <w:sz w:val="24"/>
          <w:szCs w:val="24"/>
        </w:rPr>
        <w:t xml:space="preserve">Príloha 10 </w:t>
      </w:r>
      <w:r w:rsidR="00433FA5" w:rsidRPr="00887108">
        <w:rPr>
          <w:color w:val="2C9ADC" w:themeColor="accent1"/>
          <w:sz w:val="24"/>
          <w:szCs w:val="24"/>
        </w:rPr>
        <w:t>–</w:t>
      </w:r>
      <w:r w:rsidRPr="00887108">
        <w:rPr>
          <w:color w:val="2C9ADC" w:themeColor="accent1"/>
          <w:sz w:val="24"/>
          <w:szCs w:val="24"/>
        </w:rPr>
        <w:t xml:space="preserve"> </w:t>
      </w:r>
      <w:r w:rsidR="00433FA5" w:rsidRPr="00887108">
        <w:rPr>
          <w:color w:val="2C9ADC" w:themeColor="accent1"/>
          <w:sz w:val="24"/>
          <w:szCs w:val="24"/>
        </w:rPr>
        <w:t>Vývoj rozpočtu na hlavných položkách za roky 2019 a 2020</w:t>
      </w:r>
    </w:p>
    <w:p w14:paraId="408EA13D" w14:textId="77777777" w:rsidR="00433FA5" w:rsidRPr="00887108" w:rsidRDefault="00433FA5" w:rsidP="009637BB"/>
    <w:tbl>
      <w:tblPr>
        <w:tblW w:w="9286" w:type="dxa"/>
        <w:tblCellMar>
          <w:left w:w="70" w:type="dxa"/>
          <w:right w:w="70" w:type="dxa"/>
        </w:tblCellMar>
        <w:tblLook w:val="04A0" w:firstRow="1" w:lastRow="0" w:firstColumn="1" w:lastColumn="0" w:noHBand="0" w:noVBand="1"/>
      </w:tblPr>
      <w:tblGrid>
        <w:gridCol w:w="2811"/>
        <w:gridCol w:w="2657"/>
        <w:gridCol w:w="966"/>
        <w:gridCol w:w="912"/>
        <w:gridCol w:w="1030"/>
        <w:gridCol w:w="910"/>
      </w:tblGrid>
      <w:tr w:rsidR="004B5328" w:rsidRPr="00887108" w14:paraId="03798F9F" w14:textId="77777777" w:rsidTr="000570B1">
        <w:trPr>
          <w:trHeight w:val="300"/>
        </w:trPr>
        <w:tc>
          <w:tcPr>
            <w:tcW w:w="9286" w:type="dxa"/>
            <w:gridSpan w:val="6"/>
            <w:tcBorders>
              <w:top w:val="nil"/>
              <w:left w:val="nil"/>
              <w:bottom w:val="single" w:sz="8" w:space="0" w:color="auto"/>
              <w:right w:val="nil"/>
            </w:tcBorders>
            <w:shd w:val="clear" w:color="auto" w:fill="auto"/>
            <w:noWrap/>
            <w:vAlign w:val="center"/>
            <w:hideMark/>
          </w:tcPr>
          <w:p w14:paraId="103CB1B1" w14:textId="0A95AE66" w:rsidR="004B5328" w:rsidRPr="00887108" w:rsidRDefault="00F30BA2" w:rsidP="00060DDC">
            <w:pPr>
              <w:jc w:val="both"/>
              <w:rPr>
                <w:rFonts w:eastAsiaTheme="minorHAnsi"/>
                <w:b/>
                <w:color w:val="2C9ADC" w:themeColor="accent1"/>
                <w:sz w:val="20"/>
                <w:szCs w:val="20"/>
                <w:lang w:eastAsia="en-US"/>
              </w:rPr>
            </w:pPr>
            <w:r w:rsidRPr="00887108">
              <w:rPr>
                <w:rFonts w:eastAsiaTheme="minorHAnsi"/>
                <w:b/>
                <w:color w:val="2C9ADC" w:themeColor="accent1"/>
                <w:sz w:val="20"/>
                <w:szCs w:val="20"/>
                <w:lang w:eastAsia="en-US"/>
              </w:rPr>
              <w:t>TABUĽKA 25</w:t>
            </w:r>
            <w:r w:rsidR="004B5328" w:rsidRPr="00887108">
              <w:rPr>
                <w:rFonts w:eastAsiaTheme="minorHAnsi"/>
                <w:b/>
                <w:color w:val="2C9ADC" w:themeColor="accent1"/>
                <w:sz w:val="20"/>
                <w:szCs w:val="20"/>
                <w:lang w:eastAsia="en-US"/>
              </w:rPr>
              <w:t xml:space="preserve"> - Porovnanie vybraných rozpočtovaných položiek  a skutočnosti, respektíve aktuálne</w:t>
            </w:r>
            <w:r w:rsidR="00060DDC" w:rsidRPr="00887108">
              <w:rPr>
                <w:rFonts w:eastAsiaTheme="minorHAnsi"/>
                <w:b/>
                <w:color w:val="2C9ADC" w:themeColor="accent1"/>
                <w:sz w:val="20"/>
                <w:szCs w:val="20"/>
                <w:lang w:eastAsia="en-US"/>
              </w:rPr>
              <w:t>ho</w:t>
            </w:r>
            <w:r w:rsidR="004B5328" w:rsidRPr="00887108">
              <w:rPr>
                <w:rFonts w:eastAsiaTheme="minorHAnsi"/>
                <w:b/>
                <w:color w:val="2C9ADC" w:themeColor="accent1"/>
                <w:sz w:val="20"/>
                <w:szCs w:val="20"/>
                <w:lang w:eastAsia="en-US"/>
              </w:rPr>
              <w:t xml:space="preserve"> </w:t>
            </w:r>
            <w:r w:rsidR="00060DDC" w:rsidRPr="00887108">
              <w:rPr>
                <w:rFonts w:eastAsiaTheme="minorHAnsi"/>
                <w:b/>
                <w:color w:val="2C9ADC" w:themeColor="accent1"/>
                <w:sz w:val="20"/>
                <w:szCs w:val="20"/>
                <w:lang w:eastAsia="en-US"/>
              </w:rPr>
              <w:t>odhadu</w:t>
            </w:r>
            <w:r w:rsidR="004B5328" w:rsidRPr="00887108">
              <w:rPr>
                <w:rFonts w:eastAsiaTheme="minorHAnsi"/>
                <w:b/>
                <w:color w:val="2C9ADC" w:themeColor="accent1"/>
                <w:sz w:val="20"/>
                <w:szCs w:val="20"/>
                <w:lang w:eastAsia="en-US"/>
              </w:rPr>
              <w:t xml:space="preserve"> (ESA 2010)</w:t>
            </w:r>
          </w:p>
        </w:tc>
      </w:tr>
      <w:tr w:rsidR="004B5328" w:rsidRPr="00887108" w14:paraId="553CB632" w14:textId="77777777" w:rsidTr="000570B1">
        <w:trPr>
          <w:trHeight w:val="540"/>
        </w:trPr>
        <w:tc>
          <w:tcPr>
            <w:tcW w:w="2811" w:type="dxa"/>
            <w:tcBorders>
              <w:top w:val="nil"/>
              <w:left w:val="nil"/>
              <w:bottom w:val="single" w:sz="8" w:space="0" w:color="auto"/>
              <w:right w:val="nil"/>
            </w:tcBorders>
            <w:shd w:val="clear" w:color="auto" w:fill="auto"/>
            <w:noWrap/>
            <w:vAlign w:val="bottom"/>
            <w:hideMark/>
          </w:tcPr>
          <w:p w14:paraId="698782B4" w14:textId="77777777" w:rsidR="004B5328" w:rsidRPr="00887108" w:rsidRDefault="004B5328" w:rsidP="004B5328">
            <w:pPr>
              <w:rPr>
                <w:rFonts w:ascii="Calibri" w:hAnsi="Calibri" w:cs="Times New Roman"/>
                <w:color w:val="000000"/>
              </w:rPr>
            </w:pPr>
            <w:r w:rsidRPr="00887108">
              <w:rPr>
                <w:rFonts w:ascii="Calibri" w:hAnsi="Calibri" w:cs="Times New Roman"/>
                <w:color w:val="000000"/>
              </w:rPr>
              <w:t> </w:t>
            </w:r>
          </w:p>
        </w:tc>
        <w:tc>
          <w:tcPr>
            <w:tcW w:w="2657" w:type="dxa"/>
            <w:tcBorders>
              <w:top w:val="nil"/>
              <w:left w:val="nil"/>
              <w:bottom w:val="single" w:sz="8" w:space="0" w:color="auto"/>
              <w:right w:val="nil"/>
            </w:tcBorders>
            <w:shd w:val="clear" w:color="auto" w:fill="auto"/>
            <w:noWrap/>
            <w:vAlign w:val="bottom"/>
            <w:hideMark/>
          </w:tcPr>
          <w:p w14:paraId="0EAE1939" w14:textId="77777777" w:rsidR="004B5328" w:rsidRPr="00887108" w:rsidRDefault="004B5328" w:rsidP="004B5328">
            <w:pPr>
              <w:rPr>
                <w:rFonts w:ascii="Calibri" w:hAnsi="Calibri" w:cs="Times New Roman"/>
                <w:color w:val="000000"/>
              </w:rPr>
            </w:pPr>
            <w:r w:rsidRPr="00887108">
              <w:rPr>
                <w:rFonts w:ascii="Calibri" w:hAnsi="Calibri" w:cs="Times New Roman"/>
                <w:color w:val="000000"/>
              </w:rPr>
              <w:t> </w:t>
            </w:r>
          </w:p>
        </w:tc>
        <w:tc>
          <w:tcPr>
            <w:tcW w:w="1878" w:type="dxa"/>
            <w:gridSpan w:val="2"/>
            <w:tcBorders>
              <w:top w:val="single" w:sz="8" w:space="0" w:color="auto"/>
              <w:left w:val="nil"/>
              <w:bottom w:val="single" w:sz="8" w:space="0" w:color="auto"/>
              <w:right w:val="nil"/>
            </w:tcBorders>
            <w:shd w:val="clear" w:color="auto" w:fill="auto"/>
            <w:vAlign w:val="bottom"/>
            <w:hideMark/>
          </w:tcPr>
          <w:p w14:paraId="480A4D6A"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Rozdiel medzi RVS 2019 a S 2019</w:t>
            </w:r>
          </w:p>
        </w:tc>
        <w:tc>
          <w:tcPr>
            <w:tcW w:w="1938" w:type="dxa"/>
            <w:gridSpan w:val="2"/>
            <w:tcBorders>
              <w:top w:val="single" w:sz="8" w:space="0" w:color="auto"/>
              <w:left w:val="nil"/>
              <w:bottom w:val="single" w:sz="8" w:space="0" w:color="auto"/>
              <w:right w:val="nil"/>
            </w:tcBorders>
            <w:shd w:val="clear" w:color="auto" w:fill="auto"/>
            <w:vAlign w:val="bottom"/>
            <w:hideMark/>
          </w:tcPr>
          <w:p w14:paraId="4E48ADB4"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Rozdiel medzi RVS 2020 a OS 2020</w:t>
            </w:r>
          </w:p>
        </w:tc>
      </w:tr>
      <w:tr w:rsidR="004B5328" w:rsidRPr="00887108" w14:paraId="2401AA4C" w14:textId="77777777" w:rsidTr="000570B1">
        <w:trPr>
          <w:trHeight w:val="288"/>
        </w:trPr>
        <w:tc>
          <w:tcPr>
            <w:tcW w:w="2811" w:type="dxa"/>
            <w:tcBorders>
              <w:top w:val="nil"/>
              <w:left w:val="nil"/>
              <w:bottom w:val="nil"/>
              <w:right w:val="nil"/>
            </w:tcBorders>
            <w:shd w:val="clear" w:color="auto" w:fill="auto"/>
            <w:noWrap/>
            <w:vAlign w:val="bottom"/>
            <w:hideMark/>
          </w:tcPr>
          <w:p w14:paraId="152673E8" w14:textId="77777777" w:rsidR="004B5328" w:rsidRPr="00887108" w:rsidRDefault="004B5328" w:rsidP="004B5328">
            <w:pPr>
              <w:jc w:val="center"/>
              <w:rPr>
                <w:rFonts w:cs="Times New Roman"/>
                <w:b/>
                <w:bCs/>
                <w:color w:val="000000"/>
                <w:sz w:val="18"/>
                <w:szCs w:val="18"/>
              </w:rPr>
            </w:pPr>
          </w:p>
        </w:tc>
        <w:tc>
          <w:tcPr>
            <w:tcW w:w="2657" w:type="dxa"/>
            <w:tcBorders>
              <w:top w:val="nil"/>
              <w:left w:val="nil"/>
              <w:bottom w:val="nil"/>
              <w:right w:val="nil"/>
            </w:tcBorders>
            <w:shd w:val="clear" w:color="auto" w:fill="auto"/>
            <w:vAlign w:val="center"/>
            <w:hideMark/>
          </w:tcPr>
          <w:p w14:paraId="7F3959A7"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ESA 2010 code</w:t>
            </w:r>
          </w:p>
        </w:tc>
        <w:tc>
          <w:tcPr>
            <w:tcW w:w="966" w:type="dxa"/>
            <w:tcBorders>
              <w:top w:val="nil"/>
              <w:left w:val="nil"/>
              <w:bottom w:val="nil"/>
              <w:right w:val="nil"/>
            </w:tcBorders>
            <w:shd w:val="clear" w:color="auto" w:fill="auto"/>
            <w:vAlign w:val="center"/>
            <w:hideMark/>
          </w:tcPr>
          <w:p w14:paraId="56315BB8"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 xml:space="preserve">v mil. </w:t>
            </w:r>
          </w:p>
        </w:tc>
        <w:tc>
          <w:tcPr>
            <w:tcW w:w="911" w:type="dxa"/>
            <w:tcBorders>
              <w:top w:val="nil"/>
              <w:left w:val="nil"/>
              <w:bottom w:val="nil"/>
              <w:right w:val="single" w:sz="4" w:space="0" w:color="auto"/>
            </w:tcBorders>
            <w:shd w:val="clear" w:color="auto" w:fill="auto"/>
            <w:vAlign w:val="center"/>
            <w:hideMark/>
          </w:tcPr>
          <w:p w14:paraId="3E988C04"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v % HDP</w:t>
            </w:r>
          </w:p>
        </w:tc>
        <w:tc>
          <w:tcPr>
            <w:tcW w:w="1030" w:type="dxa"/>
            <w:tcBorders>
              <w:top w:val="nil"/>
              <w:left w:val="nil"/>
              <w:bottom w:val="nil"/>
              <w:right w:val="nil"/>
            </w:tcBorders>
            <w:shd w:val="clear" w:color="auto" w:fill="auto"/>
            <w:vAlign w:val="center"/>
            <w:hideMark/>
          </w:tcPr>
          <w:p w14:paraId="7D405E0D"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 xml:space="preserve">v mil. </w:t>
            </w:r>
          </w:p>
        </w:tc>
        <w:tc>
          <w:tcPr>
            <w:tcW w:w="908" w:type="dxa"/>
            <w:tcBorders>
              <w:top w:val="nil"/>
              <w:left w:val="nil"/>
              <w:bottom w:val="nil"/>
              <w:right w:val="nil"/>
            </w:tcBorders>
            <w:shd w:val="clear" w:color="auto" w:fill="auto"/>
            <w:vAlign w:val="center"/>
            <w:hideMark/>
          </w:tcPr>
          <w:p w14:paraId="29650871"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v % HDP</w:t>
            </w:r>
          </w:p>
        </w:tc>
      </w:tr>
      <w:tr w:rsidR="004B5328" w:rsidRPr="00887108" w14:paraId="02E77240" w14:textId="77777777" w:rsidTr="000570B1">
        <w:trPr>
          <w:trHeight w:val="288"/>
        </w:trPr>
        <w:tc>
          <w:tcPr>
            <w:tcW w:w="2811" w:type="dxa"/>
            <w:tcBorders>
              <w:top w:val="nil"/>
              <w:left w:val="nil"/>
              <w:bottom w:val="nil"/>
              <w:right w:val="nil"/>
            </w:tcBorders>
            <w:shd w:val="clear" w:color="auto" w:fill="auto"/>
            <w:vAlign w:val="center"/>
            <w:hideMark/>
          </w:tcPr>
          <w:p w14:paraId="6EEEF7E1" w14:textId="77777777" w:rsidR="004B5328" w:rsidRPr="00887108" w:rsidRDefault="004B5328" w:rsidP="004B5328">
            <w:pPr>
              <w:rPr>
                <w:rFonts w:cs="Times New Roman"/>
                <w:b/>
                <w:bCs/>
                <w:sz w:val="18"/>
                <w:szCs w:val="18"/>
              </w:rPr>
            </w:pPr>
            <w:r w:rsidRPr="00887108">
              <w:rPr>
                <w:rFonts w:cs="Times New Roman"/>
                <w:b/>
                <w:bCs/>
                <w:sz w:val="18"/>
                <w:szCs w:val="18"/>
              </w:rPr>
              <w:t>Príjmy spolu</w:t>
            </w:r>
          </w:p>
        </w:tc>
        <w:tc>
          <w:tcPr>
            <w:tcW w:w="2657" w:type="dxa"/>
            <w:tcBorders>
              <w:top w:val="nil"/>
              <w:left w:val="nil"/>
              <w:bottom w:val="nil"/>
              <w:right w:val="nil"/>
            </w:tcBorders>
            <w:shd w:val="clear" w:color="auto" w:fill="auto"/>
            <w:vAlign w:val="center"/>
            <w:hideMark/>
          </w:tcPr>
          <w:p w14:paraId="60A85D82"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 </w:t>
            </w:r>
          </w:p>
        </w:tc>
        <w:tc>
          <w:tcPr>
            <w:tcW w:w="966" w:type="dxa"/>
            <w:tcBorders>
              <w:top w:val="nil"/>
              <w:left w:val="nil"/>
              <w:bottom w:val="nil"/>
              <w:right w:val="nil"/>
            </w:tcBorders>
            <w:shd w:val="clear" w:color="auto" w:fill="auto"/>
            <w:vAlign w:val="center"/>
            <w:hideMark/>
          </w:tcPr>
          <w:p w14:paraId="36183E49" w14:textId="21502837" w:rsidR="004B5328" w:rsidRPr="00887108" w:rsidRDefault="004B5328" w:rsidP="0013133E">
            <w:pPr>
              <w:jc w:val="center"/>
              <w:rPr>
                <w:rFonts w:cs="Times New Roman"/>
                <w:b/>
                <w:bCs/>
                <w:color w:val="000000"/>
                <w:sz w:val="18"/>
                <w:szCs w:val="18"/>
              </w:rPr>
            </w:pPr>
            <w:r w:rsidRPr="00887108">
              <w:rPr>
                <w:rFonts w:cs="Times New Roman"/>
                <w:b/>
                <w:bCs/>
                <w:color w:val="000000"/>
                <w:sz w:val="18"/>
                <w:szCs w:val="18"/>
              </w:rPr>
              <w:t>1868</w:t>
            </w:r>
          </w:p>
        </w:tc>
        <w:tc>
          <w:tcPr>
            <w:tcW w:w="911" w:type="dxa"/>
            <w:tcBorders>
              <w:top w:val="nil"/>
              <w:left w:val="nil"/>
              <w:bottom w:val="nil"/>
              <w:right w:val="single" w:sz="4" w:space="0" w:color="auto"/>
            </w:tcBorders>
            <w:shd w:val="clear" w:color="auto" w:fill="auto"/>
            <w:vAlign w:val="center"/>
            <w:hideMark/>
          </w:tcPr>
          <w:p w14:paraId="5B1A4C3C"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2,0</w:t>
            </w:r>
          </w:p>
        </w:tc>
        <w:tc>
          <w:tcPr>
            <w:tcW w:w="1030" w:type="dxa"/>
            <w:tcBorders>
              <w:top w:val="nil"/>
              <w:left w:val="nil"/>
              <w:bottom w:val="nil"/>
              <w:right w:val="nil"/>
            </w:tcBorders>
            <w:shd w:val="clear" w:color="auto" w:fill="auto"/>
            <w:vAlign w:val="center"/>
            <w:hideMark/>
          </w:tcPr>
          <w:p w14:paraId="1AEB9236" w14:textId="23CCDEC4" w:rsidR="004B5328" w:rsidRPr="00887108" w:rsidRDefault="004B5328" w:rsidP="0013133E">
            <w:pPr>
              <w:jc w:val="center"/>
              <w:rPr>
                <w:rFonts w:cs="Times New Roman"/>
                <w:b/>
                <w:bCs/>
                <w:color w:val="000000"/>
                <w:sz w:val="18"/>
                <w:szCs w:val="18"/>
              </w:rPr>
            </w:pPr>
            <w:r w:rsidRPr="00887108">
              <w:rPr>
                <w:rFonts w:cs="Times New Roman"/>
                <w:b/>
                <w:bCs/>
                <w:color w:val="000000"/>
                <w:sz w:val="18"/>
                <w:szCs w:val="18"/>
              </w:rPr>
              <w:t>-2024</w:t>
            </w:r>
          </w:p>
        </w:tc>
        <w:tc>
          <w:tcPr>
            <w:tcW w:w="908" w:type="dxa"/>
            <w:tcBorders>
              <w:top w:val="nil"/>
              <w:left w:val="nil"/>
              <w:bottom w:val="nil"/>
              <w:right w:val="nil"/>
            </w:tcBorders>
            <w:shd w:val="clear" w:color="auto" w:fill="auto"/>
            <w:vAlign w:val="center"/>
            <w:hideMark/>
          </w:tcPr>
          <w:p w14:paraId="5A54D11F" w14:textId="77777777" w:rsidR="004B5328" w:rsidRPr="00887108" w:rsidRDefault="004B5328" w:rsidP="004B5328">
            <w:pPr>
              <w:jc w:val="center"/>
              <w:rPr>
                <w:rFonts w:cs="Times New Roman"/>
                <w:b/>
                <w:bCs/>
                <w:color w:val="000000"/>
                <w:sz w:val="18"/>
                <w:szCs w:val="18"/>
              </w:rPr>
            </w:pPr>
            <w:r w:rsidRPr="00887108">
              <w:rPr>
                <w:rFonts w:cs="Times New Roman"/>
                <w:b/>
                <w:bCs/>
                <w:color w:val="000000"/>
                <w:sz w:val="18"/>
                <w:szCs w:val="18"/>
              </w:rPr>
              <w:t>-2,3</w:t>
            </w:r>
          </w:p>
        </w:tc>
      </w:tr>
      <w:tr w:rsidR="004B5328" w:rsidRPr="00887108" w14:paraId="676B52CB" w14:textId="77777777" w:rsidTr="000570B1">
        <w:trPr>
          <w:trHeight w:val="288"/>
        </w:trPr>
        <w:tc>
          <w:tcPr>
            <w:tcW w:w="2811" w:type="dxa"/>
            <w:tcBorders>
              <w:top w:val="nil"/>
              <w:left w:val="nil"/>
              <w:bottom w:val="nil"/>
              <w:right w:val="nil"/>
            </w:tcBorders>
            <w:shd w:val="clear" w:color="auto" w:fill="auto"/>
            <w:vAlign w:val="center"/>
            <w:hideMark/>
          </w:tcPr>
          <w:p w14:paraId="0416A884"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Daňové príjmy</w:t>
            </w:r>
          </w:p>
        </w:tc>
        <w:tc>
          <w:tcPr>
            <w:tcW w:w="2657" w:type="dxa"/>
            <w:tcBorders>
              <w:top w:val="nil"/>
              <w:left w:val="nil"/>
              <w:bottom w:val="nil"/>
              <w:right w:val="nil"/>
            </w:tcBorders>
            <w:shd w:val="clear" w:color="auto" w:fill="auto"/>
            <w:vAlign w:val="center"/>
            <w:hideMark/>
          </w:tcPr>
          <w:p w14:paraId="744B8A52" w14:textId="77777777" w:rsidR="004B5328" w:rsidRPr="00887108" w:rsidRDefault="004B5328" w:rsidP="004B5328">
            <w:pPr>
              <w:jc w:val="center"/>
              <w:rPr>
                <w:rFonts w:cs="Times New Roman"/>
                <w:b/>
                <w:bCs/>
                <w:sz w:val="18"/>
                <w:szCs w:val="18"/>
              </w:rPr>
            </w:pPr>
            <w:r w:rsidRPr="00887108">
              <w:rPr>
                <w:rFonts w:cs="Times New Roman"/>
                <w:b/>
                <w:bCs/>
                <w:sz w:val="18"/>
                <w:szCs w:val="18"/>
              </w:rPr>
              <w:t>D.2+D.5+D.91</w:t>
            </w:r>
          </w:p>
        </w:tc>
        <w:tc>
          <w:tcPr>
            <w:tcW w:w="966" w:type="dxa"/>
            <w:tcBorders>
              <w:top w:val="nil"/>
              <w:left w:val="nil"/>
              <w:bottom w:val="nil"/>
              <w:right w:val="nil"/>
            </w:tcBorders>
            <w:shd w:val="clear" w:color="auto" w:fill="auto"/>
            <w:vAlign w:val="center"/>
            <w:hideMark/>
          </w:tcPr>
          <w:p w14:paraId="11066FBB" w14:textId="77777777" w:rsidR="004B5328" w:rsidRPr="00887108" w:rsidRDefault="004B5328" w:rsidP="004B5328">
            <w:pPr>
              <w:jc w:val="center"/>
              <w:rPr>
                <w:rFonts w:cs="Times New Roman"/>
                <w:b/>
                <w:bCs/>
                <w:sz w:val="18"/>
                <w:szCs w:val="18"/>
              </w:rPr>
            </w:pPr>
            <w:r w:rsidRPr="00887108">
              <w:rPr>
                <w:rFonts w:cs="Times New Roman"/>
                <w:b/>
                <w:bCs/>
                <w:sz w:val="18"/>
                <w:szCs w:val="18"/>
              </w:rPr>
              <w:t>490</w:t>
            </w:r>
          </w:p>
        </w:tc>
        <w:tc>
          <w:tcPr>
            <w:tcW w:w="911" w:type="dxa"/>
            <w:tcBorders>
              <w:top w:val="nil"/>
              <w:left w:val="nil"/>
              <w:bottom w:val="nil"/>
              <w:right w:val="single" w:sz="4" w:space="0" w:color="auto"/>
            </w:tcBorders>
            <w:shd w:val="clear" w:color="auto" w:fill="auto"/>
            <w:vAlign w:val="center"/>
            <w:hideMark/>
          </w:tcPr>
          <w:p w14:paraId="3EF91E8B" w14:textId="77777777" w:rsidR="004B5328" w:rsidRPr="00887108" w:rsidRDefault="004B5328" w:rsidP="004B5328">
            <w:pPr>
              <w:jc w:val="center"/>
              <w:rPr>
                <w:rFonts w:cs="Times New Roman"/>
                <w:b/>
                <w:bCs/>
                <w:sz w:val="18"/>
                <w:szCs w:val="18"/>
              </w:rPr>
            </w:pPr>
            <w:r w:rsidRPr="00887108">
              <w:rPr>
                <w:rFonts w:cs="Times New Roman"/>
                <w:b/>
                <w:bCs/>
                <w:sz w:val="18"/>
                <w:szCs w:val="18"/>
              </w:rPr>
              <w:t>0,5</w:t>
            </w:r>
          </w:p>
        </w:tc>
        <w:tc>
          <w:tcPr>
            <w:tcW w:w="1030" w:type="dxa"/>
            <w:tcBorders>
              <w:top w:val="nil"/>
              <w:left w:val="nil"/>
              <w:bottom w:val="nil"/>
              <w:right w:val="nil"/>
            </w:tcBorders>
            <w:shd w:val="clear" w:color="auto" w:fill="auto"/>
            <w:vAlign w:val="center"/>
            <w:hideMark/>
          </w:tcPr>
          <w:p w14:paraId="76158A84" w14:textId="77777777" w:rsidR="004B5328" w:rsidRPr="00887108" w:rsidRDefault="004B5328" w:rsidP="004B5328">
            <w:pPr>
              <w:jc w:val="center"/>
              <w:rPr>
                <w:rFonts w:cs="Times New Roman"/>
                <w:b/>
                <w:bCs/>
                <w:sz w:val="18"/>
                <w:szCs w:val="18"/>
              </w:rPr>
            </w:pPr>
            <w:r w:rsidRPr="00887108">
              <w:rPr>
                <w:rFonts w:cs="Times New Roman"/>
                <w:b/>
                <w:bCs/>
                <w:sz w:val="18"/>
                <w:szCs w:val="18"/>
              </w:rPr>
              <w:t>-1918</w:t>
            </w:r>
          </w:p>
        </w:tc>
        <w:tc>
          <w:tcPr>
            <w:tcW w:w="908" w:type="dxa"/>
            <w:tcBorders>
              <w:top w:val="nil"/>
              <w:left w:val="nil"/>
              <w:bottom w:val="nil"/>
              <w:right w:val="nil"/>
            </w:tcBorders>
            <w:shd w:val="clear" w:color="auto" w:fill="auto"/>
            <w:vAlign w:val="center"/>
            <w:hideMark/>
          </w:tcPr>
          <w:p w14:paraId="336FE9DB" w14:textId="77777777" w:rsidR="004B5328" w:rsidRPr="00887108" w:rsidRDefault="004B5328" w:rsidP="004B5328">
            <w:pPr>
              <w:jc w:val="center"/>
              <w:rPr>
                <w:rFonts w:cs="Times New Roman"/>
                <w:b/>
                <w:bCs/>
                <w:sz w:val="18"/>
                <w:szCs w:val="18"/>
              </w:rPr>
            </w:pPr>
            <w:r w:rsidRPr="00887108">
              <w:rPr>
                <w:rFonts w:cs="Times New Roman"/>
                <w:b/>
                <w:bCs/>
                <w:sz w:val="18"/>
                <w:szCs w:val="18"/>
              </w:rPr>
              <w:t>-2,2</w:t>
            </w:r>
          </w:p>
        </w:tc>
      </w:tr>
      <w:tr w:rsidR="004B5328" w:rsidRPr="00887108" w14:paraId="5E82DD50" w14:textId="77777777" w:rsidTr="000570B1">
        <w:trPr>
          <w:trHeight w:val="288"/>
        </w:trPr>
        <w:tc>
          <w:tcPr>
            <w:tcW w:w="2811" w:type="dxa"/>
            <w:tcBorders>
              <w:top w:val="nil"/>
              <w:left w:val="nil"/>
              <w:bottom w:val="nil"/>
              <w:right w:val="nil"/>
            </w:tcBorders>
            <w:shd w:val="clear" w:color="auto" w:fill="auto"/>
            <w:vAlign w:val="center"/>
            <w:hideMark/>
          </w:tcPr>
          <w:p w14:paraId="1B542697" w14:textId="77777777" w:rsidR="004B5328" w:rsidRPr="00887108" w:rsidRDefault="004B5328" w:rsidP="004B5328">
            <w:pPr>
              <w:rPr>
                <w:rFonts w:cs="Times New Roman"/>
                <w:color w:val="000000"/>
                <w:sz w:val="18"/>
                <w:szCs w:val="18"/>
              </w:rPr>
            </w:pPr>
            <w:r w:rsidRPr="00887108">
              <w:rPr>
                <w:rFonts w:cs="Times New Roman"/>
                <w:color w:val="000000"/>
                <w:sz w:val="18"/>
                <w:szCs w:val="18"/>
              </w:rPr>
              <w:t>Dane z produkcie a dovozu</w:t>
            </w:r>
          </w:p>
        </w:tc>
        <w:tc>
          <w:tcPr>
            <w:tcW w:w="2657" w:type="dxa"/>
            <w:tcBorders>
              <w:top w:val="nil"/>
              <w:left w:val="nil"/>
              <w:bottom w:val="nil"/>
              <w:right w:val="nil"/>
            </w:tcBorders>
            <w:shd w:val="clear" w:color="auto" w:fill="auto"/>
            <w:vAlign w:val="center"/>
            <w:hideMark/>
          </w:tcPr>
          <w:p w14:paraId="06593777" w14:textId="77777777" w:rsidR="004B5328" w:rsidRPr="00887108" w:rsidRDefault="004B5328" w:rsidP="004B5328">
            <w:pPr>
              <w:jc w:val="center"/>
              <w:rPr>
                <w:rFonts w:cs="Times New Roman"/>
                <w:sz w:val="18"/>
                <w:szCs w:val="18"/>
              </w:rPr>
            </w:pPr>
            <w:r w:rsidRPr="00887108">
              <w:rPr>
                <w:rFonts w:cs="Times New Roman"/>
                <w:sz w:val="18"/>
                <w:szCs w:val="18"/>
              </w:rPr>
              <w:t>D.2</w:t>
            </w:r>
          </w:p>
        </w:tc>
        <w:tc>
          <w:tcPr>
            <w:tcW w:w="966" w:type="dxa"/>
            <w:tcBorders>
              <w:top w:val="nil"/>
              <w:left w:val="nil"/>
              <w:bottom w:val="nil"/>
              <w:right w:val="nil"/>
            </w:tcBorders>
            <w:shd w:val="clear" w:color="auto" w:fill="auto"/>
            <w:vAlign w:val="center"/>
            <w:hideMark/>
          </w:tcPr>
          <w:p w14:paraId="27B18415" w14:textId="77777777" w:rsidR="004B5328" w:rsidRPr="00887108" w:rsidRDefault="004B5328" w:rsidP="004B5328">
            <w:pPr>
              <w:jc w:val="center"/>
              <w:rPr>
                <w:rFonts w:cs="Times New Roman"/>
                <w:sz w:val="18"/>
                <w:szCs w:val="18"/>
              </w:rPr>
            </w:pPr>
            <w:r w:rsidRPr="00887108">
              <w:rPr>
                <w:rFonts w:cs="Times New Roman"/>
                <w:sz w:val="18"/>
                <w:szCs w:val="18"/>
              </w:rPr>
              <w:t>711</w:t>
            </w:r>
          </w:p>
        </w:tc>
        <w:tc>
          <w:tcPr>
            <w:tcW w:w="911" w:type="dxa"/>
            <w:tcBorders>
              <w:top w:val="nil"/>
              <w:left w:val="nil"/>
              <w:bottom w:val="nil"/>
              <w:right w:val="single" w:sz="4" w:space="0" w:color="auto"/>
            </w:tcBorders>
            <w:shd w:val="clear" w:color="auto" w:fill="auto"/>
            <w:vAlign w:val="center"/>
            <w:hideMark/>
          </w:tcPr>
          <w:p w14:paraId="6024E7C7" w14:textId="77777777" w:rsidR="004B5328" w:rsidRPr="00887108" w:rsidRDefault="004B5328" w:rsidP="004B5328">
            <w:pPr>
              <w:jc w:val="center"/>
              <w:rPr>
                <w:rFonts w:cs="Times New Roman"/>
                <w:sz w:val="18"/>
                <w:szCs w:val="18"/>
              </w:rPr>
            </w:pPr>
            <w:r w:rsidRPr="00887108">
              <w:rPr>
                <w:rFonts w:cs="Times New Roman"/>
                <w:sz w:val="18"/>
                <w:szCs w:val="18"/>
              </w:rPr>
              <w:t>0,8</w:t>
            </w:r>
          </w:p>
        </w:tc>
        <w:tc>
          <w:tcPr>
            <w:tcW w:w="1030" w:type="dxa"/>
            <w:tcBorders>
              <w:top w:val="nil"/>
              <w:left w:val="nil"/>
              <w:bottom w:val="nil"/>
              <w:right w:val="nil"/>
            </w:tcBorders>
            <w:shd w:val="clear" w:color="auto" w:fill="auto"/>
            <w:vAlign w:val="center"/>
            <w:hideMark/>
          </w:tcPr>
          <w:p w14:paraId="02DCA872" w14:textId="77777777" w:rsidR="004B5328" w:rsidRPr="00887108" w:rsidRDefault="004B5328" w:rsidP="004B5328">
            <w:pPr>
              <w:jc w:val="center"/>
              <w:rPr>
                <w:rFonts w:cs="Times New Roman"/>
                <w:sz w:val="18"/>
                <w:szCs w:val="18"/>
              </w:rPr>
            </w:pPr>
            <w:r w:rsidRPr="00887108">
              <w:rPr>
                <w:rFonts w:cs="Times New Roman"/>
                <w:sz w:val="18"/>
                <w:szCs w:val="18"/>
              </w:rPr>
              <w:t>-811</w:t>
            </w:r>
          </w:p>
        </w:tc>
        <w:tc>
          <w:tcPr>
            <w:tcW w:w="908" w:type="dxa"/>
            <w:tcBorders>
              <w:top w:val="nil"/>
              <w:left w:val="nil"/>
              <w:bottom w:val="nil"/>
              <w:right w:val="nil"/>
            </w:tcBorders>
            <w:shd w:val="clear" w:color="auto" w:fill="auto"/>
            <w:vAlign w:val="center"/>
            <w:hideMark/>
          </w:tcPr>
          <w:p w14:paraId="6636C726" w14:textId="77777777" w:rsidR="004B5328" w:rsidRPr="00887108" w:rsidRDefault="004B5328" w:rsidP="004B5328">
            <w:pPr>
              <w:jc w:val="center"/>
              <w:rPr>
                <w:rFonts w:cs="Times New Roman"/>
                <w:sz w:val="18"/>
                <w:szCs w:val="18"/>
              </w:rPr>
            </w:pPr>
            <w:r w:rsidRPr="00887108">
              <w:rPr>
                <w:rFonts w:cs="Times New Roman"/>
                <w:sz w:val="18"/>
                <w:szCs w:val="18"/>
              </w:rPr>
              <w:t>-0,9</w:t>
            </w:r>
          </w:p>
        </w:tc>
      </w:tr>
      <w:tr w:rsidR="004B5328" w:rsidRPr="00887108" w14:paraId="5B04AB68" w14:textId="77777777" w:rsidTr="000570B1">
        <w:trPr>
          <w:trHeight w:val="288"/>
        </w:trPr>
        <w:tc>
          <w:tcPr>
            <w:tcW w:w="2811" w:type="dxa"/>
            <w:tcBorders>
              <w:top w:val="nil"/>
              <w:left w:val="nil"/>
              <w:bottom w:val="nil"/>
              <w:right w:val="nil"/>
            </w:tcBorders>
            <w:shd w:val="clear" w:color="auto" w:fill="auto"/>
            <w:vAlign w:val="center"/>
            <w:hideMark/>
          </w:tcPr>
          <w:p w14:paraId="5D71351B" w14:textId="77777777" w:rsidR="004B5328" w:rsidRPr="00887108" w:rsidRDefault="004B5328" w:rsidP="004B5328">
            <w:pPr>
              <w:rPr>
                <w:rFonts w:cs="Times New Roman"/>
                <w:color w:val="000000"/>
                <w:sz w:val="18"/>
                <w:szCs w:val="18"/>
              </w:rPr>
            </w:pPr>
            <w:r w:rsidRPr="00887108">
              <w:rPr>
                <w:rFonts w:cs="Times New Roman"/>
                <w:color w:val="000000"/>
                <w:sz w:val="18"/>
                <w:szCs w:val="18"/>
              </w:rPr>
              <w:t>Bežné dane z dôchodkov, majetku</w:t>
            </w:r>
          </w:p>
        </w:tc>
        <w:tc>
          <w:tcPr>
            <w:tcW w:w="2657" w:type="dxa"/>
            <w:tcBorders>
              <w:top w:val="nil"/>
              <w:left w:val="nil"/>
              <w:bottom w:val="nil"/>
              <w:right w:val="nil"/>
            </w:tcBorders>
            <w:shd w:val="clear" w:color="auto" w:fill="auto"/>
            <w:vAlign w:val="center"/>
            <w:hideMark/>
          </w:tcPr>
          <w:p w14:paraId="5B0F2DFD" w14:textId="77777777" w:rsidR="004B5328" w:rsidRPr="00887108" w:rsidRDefault="004B5328" w:rsidP="004B5328">
            <w:pPr>
              <w:jc w:val="center"/>
              <w:rPr>
                <w:rFonts w:cs="Times New Roman"/>
                <w:sz w:val="18"/>
                <w:szCs w:val="18"/>
              </w:rPr>
            </w:pPr>
            <w:r w:rsidRPr="00887108">
              <w:rPr>
                <w:rFonts w:cs="Times New Roman"/>
                <w:sz w:val="18"/>
                <w:szCs w:val="18"/>
              </w:rPr>
              <w:t>D.5</w:t>
            </w:r>
          </w:p>
        </w:tc>
        <w:tc>
          <w:tcPr>
            <w:tcW w:w="966" w:type="dxa"/>
            <w:tcBorders>
              <w:top w:val="nil"/>
              <w:left w:val="nil"/>
              <w:bottom w:val="nil"/>
              <w:right w:val="nil"/>
            </w:tcBorders>
            <w:shd w:val="clear" w:color="auto" w:fill="auto"/>
            <w:vAlign w:val="center"/>
            <w:hideMark/>
          </w:tcPr>
          <w:p w14:paraId="7064334D" w14:textId="77777777" w:rsidR="004B5328" w:rsidRPr="00887108" w:rsidRDefault="004B5328" w:rsidP="004B5328">
            <w:pPr>
              <w:jc w:val="center"/>
              <w:rPr>
                <w:rFonts w:cs="Times New Roman"/>
                <w:sz w:val="18"/>
                <w:szCs w:val="18"/>
              </w:rPr>
            </w:pPr>
            <w:r w:rsidRPr="00887108">
              <w:rPr>
                <w:rFonts w:cs="Times New Roman"/>
                <w:sz w:val="18"/>
                <w:szCs w:val="18"/>
              </w:rPr>
              <w:t>-221</w:t>
            </w:r>
          </w:p>
        </w:tc>
        <w:tc>
          <w:tcPr>
            <w:tcW w:w="911" w:type="dxa"/>
            <w:tcBorders>
              <w:top w:val="nil"/>
              <w:left w:val="nil"/>
              <w:bottom w:val="nil"/>
              <w:right w:val="single" w:sz="4" w:space="0" w:color="auto"/>
            </w:tcBorders>
            <w:shd w:val="clear" w:color="auto" w:fill="auto"/>
            <w:vAlign w:val="center"/>
            <w:hideMark/>
          </w:tcPr>
          <w:p w14:paraId="4F10FC7F" w14:textId="77777777" w:rsidR="004B5328" w:rsidRPr="00887108" w:rsidRDefault="004B5328" w:rsidP="004B5328">
            <w:pPr>
              <w:jc w:val="center"/>
              <w:rPr>
                <w:rFonts w:cs="Times New Roman"/>
                <w:sz w:val="18"/>
                <w:szCs w:val="18"/>
              </w:rPr>
            </w:pPr>
            <w:r w:rsidRPr="00887108">
              <w:rPr>
                <w:rFonts w:cs="Times New Roman"/>
                <w:sz w:val="18"/>
                <w:szCs w:val="18"/>
              </w:rPr>
              <w:t>-0,2</w:t>
            </w:r>
          </w:p>
        </w:tc>
        <w:tc>
          <w:tcPr>
            <w:tcW w:w="1030" w:type="dxa"/>
            <w:tcBorders>
              <w:top w:val="nil"/>
              <w:left w:val="nil"/>
              <w:bottom w:val="nil"/>
              <w:right w:val="nil"/>
            </w:tcBorders>
            <w:shd w:val="clear" w:color="auto" w:fill="auto"/>
            <w:vAlign w:val="center"/>
            <w:hideMark/>
          </w:tcPr>
          <w:p w14:paraId="59B360CA" w14:textId="77777777" w:rsidR="004B5328" w:rsidRPr="00887108" w:rsidRDefault="004B5328" w:rsidP="004B5328">
            <w:pPr>
              <w:jc w:val="center"/>
              <w:rPr>
                <w:rFonts w:cs="Times New Roman"/>
                <w:sz w:val="18"/>
                <w:szCs w:val="18"/>
              </w:rPr>
            </w:pPr>
            <w:r w:rsidRPr="00887108">
              <w:rPr>
                <w:rFonts w:cs="Times New Roman"/>
                <w:sz w:val="18"/>
                <w:szCs w:val="18"/>
              </w:rPr>
              <w:t>-1107</w:t>
            </w:r>
          </w:p>
        </w:tc>
        <w:tc>
          <w:tcPr>
            <w:tcW w:w="908" w:type="dxa"/>
            <w:tcBorders>
              <w:top w:val="nil"/>
              <w:left w:val="nil"/>
              <w:bottom w:val="nil"/>
              <w:right w:val="nil"/>
            </w:tcBorders>
            <w:shd w:val="clear" w:color="auto" w:fill="auto"/>
            <w:vAlign w:val="center"/>
            <w:hideMark/>
          </w:tcPr>
          <w:p w14:paraId="5194F841" w14:textId="77777777" w:rsidR="004B5328" w:rsidRPr="00887108" w:rsidRDefault="004B5328" w:rsidP="004B5328">
            <w:pPr>
              <w:jc w:val="center"/>
              <w:rPr>
                <w:rFonts w:cs="Times New Roman"/>
                <w:sz w:val="18"/>
                <w:szCs w:val="18"/>
              </w:rPr>
            </w:pPr>
            <w:r w:rsidRPr="00887108">
              <w:rPr>
                <w:rFonts w:cs="Times New Roman"/>
                <w:sz w:val="18"/>
                <w:szCs w:val="18"/>
              </w:rPr>
              <w:t>-1,2</w:t>
            </w:r>
          </w:p>
        </w:tc>
      </w:tr>
      <w:tr w:rsidR="004B5328" w:rsidRPr="00887108" w14:paraId="3C28E413" w14:textId="77777777" w:rsidTr="000570B1">
        <w:trPr>
          <w:trHeight w:val="288"/>
        </w:trPr>
        <w:tc>
          <w:tcPr>
            <w:tcW w:w="2811" w:type="dxa"/>
            <w:tcBorders>
              <w:top w:val="nil"/>
              <w:left w:val="nil"/>
              <w:bottom w:val="nil"/>
              <w:right w:val="nil"/>
            </w:tcBorders>
            <w:shd w:val="clear" w:color="auto" w:fill="auto"/>
            <w:vAlign w:val="center"/>
            <w:hideMark/>
          </w:tcPr>
          <w:p w14:paraId="5D308DCB" w14:textId="77777777" w:rsidR="004B5328" w:rsidRPr="00887108" w:rsidRDefault="004B5328" w:rsidP="004B5328">
            <w:pPr>
              <w:rPr>
                <w:rFonts w:cs="Times New Roman"/>
                <w:color w:val="000000"/>
                <w:sz w:val="18"/>
                <w:szCs w:val="18"/>
              </w:rPr>
            </w:pPr>
            <w:r w:rsidRPr="00887108">
              <w:rPr>
                <w:rFonts w:cs="Times New Roman"/>
                <w:color w:val="000000"/>
                <w:sz w:val="18"/>
                <w:szCs w:val="18"/>
              </w:rPr>
              <w:t>Dane z kapitálu</w:t>
            </w:r>
          </w:p>
        </w:tc>
        <w:tc>
          <w:tcPr>
            <w:tcW w:w="2657" w:type="dxa"/>
            <w:tcBorders>
              <w:top w:val="nil"/>
              <w:left w:val="nil"/>
              <w:bottom w:val="nil"/>
              <w:right w:val="nil"/>
            </w:tcBorders>
            <w:shd w:val="clear" w:color="auto" w:fill="auto"/>
            <w:vAlign w:val="center"/>
            <w:hideMark/>
          </w:tcPr>
          <w:p w14:paraId="2ABC9CDC" w14:textId="77777777" w:rsidR="004B5328" w:rsidRPr="00887108" w:rsidRDefault="004B5328" w:rsidP="004B5328">
            <w:pPr>
              <w:jc w:val="center"/>
              <w:rPr>
                <w:rFonts w:cs="Times New Roman"/>
                <w:sz w:val="18"/>
                <w:szCs w:val="18"/>
              </w:rPr>
            </w:pPr>
            <w:r w:rsidRPr="00887108">
              <w:rPr>
                <w:rFonts w:cs="Times New Roman"/>
                <w:sz w:val="18"/>
                <w:szCs w:val="18"/>
              </w:rPr>
              <w:t>D.91</w:t>
            </w:r>
          </w:p>
        </w:tc>
        <w:tc>
          <w:tcPr>
            <w:tcW w:w="966" w:type="dxa"/>
            <w:tcBorders>
              <w:top w:val="nil"/>
              <w:left w:val="nil"/>
              <w:bottom w:val="nil"/>
              <w:right w:val="nil"/>
            </w:tcBorders>
            <w:shd w:val="clear" w:color="auto" w:fill="auto"/>
            <w:vAlign w:val="center"/>
            <w:hideMark/>
          </w:tcPr>
          <w:p w14:paraId="20DA5DEB" w14:textId="77777777" w:rsidR="004B5328" w:rsidRPr="00887108" w:rsidRDefault="004B5328" w:rsidP="004B5328">
            <w:pPr>
              <w:jc w:val="center"/>
              <w:rPr>
                <w:rFonts w:cs="Times New Roman"/>
                <w:sz w:val="18"/>
                <w:szCs w:val="18"/>
              </w:rPr>
            </w:pPr>
            <w:r w:rsidRPr="00887108">
              <w:rPr>
                <w:rFonts w:cs="Times New Roman"/>
                <w:sz w:val="18"/>
                <w:szCs w:val="18"/>
              </w:rPr>
              <w:t>0</w:t>
            </w:r>
          </w:p>
        </w:tc>
        <w:tc>
          <w:tcPr>
            <w:tcW w:w="911" w:type="dxa"/>
            <w:tcBorders>
              <w:top w:val="nil"/>
              <w:left w:val="nil"/>
              <w:bottom w:val="nil"/>
              <w:right w:val="single" w:sz="4" w:space="0" w:color="auto"/>
            </w:tcBorders>
            <w:shd w:val="clear" w:color="auto" w:fill="auto"/>
            <w:vAlign w:val="center"/>
            <w:hideMark/>
          </w:tcPr>
          <w:p w14:paraId="7451CA79" w14:textId="77777777" w:rsidR="004B5328" w:rsidRPr="00887108" w:rsidRDefault="004B5328" w:rsidP="004B5328">
            <w:pPr>
              <w:jc w:val="center"/>
              <w:rPr>
                <w:rFonts w:cs="Times New Roman"/>
                <w:sz w:val="18"/>
                <w:szCs w:val="18"/>
              </w:rPr>
            </w:pPr>
            <w:r w:rsidRPr="00887108">
              <w:rPr>
                <w:rFonts w:cs="Times New Roman"/>
                <w:sz w:val="18"/>
                <w:szCs w:val="18"/>
              </w:rPr>
              <w:t>0,0</w:t>
            </w:r>
          </w:p>
        </w:tc>
        <w:tc>
          <w:tcPr>
            <w:tcW w:w="1030" w:type="dxa"/>
            <w:tcBorders>
              <w:top w:val="nil"/>
              <w:left w:val="nil"/>
              <w:bottom w:val="nil"/>
              <w:right w:val="nil"/>
            </w:tcBorders>
            <w:shd w:val="clear" w:color="auto" w:fill="auto"/>
            <w:vAlign w:val="center"/>
            <w:hideMark/>
          </w:tcPr>
          <w:p w14:paraId="00D17674" w14:textId="77777777" w:rsidR="004B5328" w:rsidRPr="00887108" w:rsidRDefault="004B5328" w:rsidP="004B5328">
            <w:pPr>
              <w:jc w:val="center"/>
              <w:rPr>
                <w:rFonts w:cs="Times New Roman"/>
                <w:sz w:val="18"/>
                <w:szCs w:val="18"/>
              </w:rPr>
            </w:pPr>
            <w:r w:rsidRPr="00887108">
              <w:rPr>
                <w:rFonts w:cs="Times New Roman"/>
                <w:sz w:val="18"/>
                <w:szCs w:val="18"/>
              </w:rPr>
              <w:t>0</w:t>
            </w:r>
          </w:p>
        </w:tc>
        <w:tc>
          <w:tcPr>
            <w:tcW w:w="908" w:type="dxa"/>
            <w:tcBorders>
              <w:top w:val="nil"/>
              <w:left w:val="nil"/>
              <w:bottom w:val="nil"/>
              <w:right w:val="nil"/>
            </w:tcBorders>
            <w:shd w:val="clear" w:color="auto" w:fill="auto"/>
            <w:vAlign w:val="center"/>
            <w:hideMark/>
          </w:tcPr>
          <w:p w14:paraId="7EB9E23B" w14:textId="77777777" w:rsidR="004B5328" w:rsidRPr="00887108" w:rsidRDefault="004B5328" w:rsidP="004B5328">
            <w:pPr>
              <w:jc w:val="center"/>
              <w:rPr>
                <w:rFonts w:cs="Times New Roman"/>
                <w:sz w:val="18"/>
                <w:szCs w:val="18"/>
              </w:rPr>
            </w:pPr>
            <w:r w:rsidRPr="00887108">
              <w:rPr>
                <w:rFonts w:cs="Times New Roman"/>
                <w:sz w:val="18"/>
                <w:szCs w:val="18"/>
              </w:rPr>
              <w:t>0,0</w:t>
            </w:r>
          </w:p>
        </w:tc>
      </w:tr>
      <w:tr w:rsidR="004B5328" w:rsidRPr="00887108" w14:paraId="50C3A17B" w14:textId="77777777" w:rsidTr="000570B1">
        <w:trPr>
          <w:trHeight w:val="288"/>
        </w:trPr>
        <w:tc>
          <w:tcPr>
            <w:tcW w:w="2811" w:type="dxa"/>
            <w:tcBorders>
              <w:top w:val="nil"/>
              <w:left w:val="nil"/>
              <w:bottom w:val="nil"/>
              <w:right w:val="nil"/>
            </w:tcBorders>
            <w:shd w:val="clear" w:color="auto" w:fill="auto"/>
            <w:vAlign w:val="center"/>
            <w:hideMark/>
          </w:tcPr>
          <w:p w14:paraId="07C28ED6"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Príspevky na sociálne zabezpečenie</w:t>
            </w:r>
          </w:p>
        </w:tc>
        <w:tc>
          <w:tcPr>
            <w:tcW w:w="2657" w:type="dxa"/>
            <w:tcBorders>
              <w:top w:val="nil"/>
              <w:left w:val="nil"/>
              <w:bottom w:val="nil"/>
              <w:right w:val="nil"/>
            </w:tcBorders>
            <w:shd w:val="clear" w:color="auto" w:fill="auto"/>
            <w:vAlign w:val="center"/>
            <w:hideMark/>
          </w:tcPr>
          <w:p w14:paraId="4DEE6ABA" w14:textId="77777777" w:rsidR="004B5328" w:rsidRPr="00887108" w:rsidRDefault="004B5328" w:rsidP="004B5328">
            <w:pPr>
              <w:jc w:val="center"/>
              <w:rPr>
                <w:rFonts w:cs="Times New Roman"/>
                <w:b/>
                <w:bCs/>
                <w:sz w:val="18"/>
                <w:szCs w:val="18"/>
              </w:rPr>
            </w:pPr>
            <w:r w:rsidRPr="00887108">
              <w:rPr>
                <w:rFonts w:cs="Times New Roman"/>
                <w:b/>
                <w:bCs/>
                <w:sz w:val="18"/>
                <w:szCs w:val="18"/>
              </w:rPr>
              <w:t>D.61</w:t>
            </w:r>
          </w:p>
        </w:tc>
        <w:tc>
          <w:tcPr>
            <w:tcW w:w="966" w:type="dxa"/>
            <w:tcBorders>
              <w:top w:val="nil"/>
              <w:left w:val="nil"/>
              <w:bottom w:val="nil"/>
              <w:right w:val="nil"/>
            </w:tcBorders>
            <w:shd w:val="clear" w:color="auto" w:fill="auto"/>
            <w:vAlign w:val="center"/>
            <w:hideMark/>
          </w:tcPr>
          <w:p w14:paraId="4E814A3F" w14:textId="77777777" w:rsidR="004B5328" w:rsidRPr="00887108" w:rsidRDefault="004B5328" w:rsidP="004B5328">
            <w:pPr>
              <w:jc w:val="center"/>
              <w:rPr>
                <w:rFonts w:cs="Times New Roman"/>
                <w:b/>
                <w:bCs/>
                <w:sz w:val="18"/>
                <w:szCs w:val="18"/>
              </w:rPr>
            </w:pPr>
            <w:r w:rsidRPr="00887108">
              <w:rPr>
                <w:rFonts w:cs="Times New Roman"/>
                <w:b/>
                <w:bCs/>
                <w:sz w:val="18"/>
                <w:szCs w:val="18"/>
              </w:rPr>
              <w:t>284</w:t>
            </w:r>
          </w:p>
        </w:tc>
        <w:tc>
          <w:tcPr>
            <w:tcW w:w="911" w:type="dxa"/>
            <w:tcBorders>
              <w:top w:val="nil"/>
              <w:left w:val="nil"/>
              <w:bottom w:val="nil"/>
              <w:right w:val="single" w:sz="4" w:space="0" w:color="auto"/>
            </w:tcBorders>
            <w:shd w:val="clear" w:color="auto" w:fill="auto"/>
            <w:vAlign w:val="center"/>
            <w:hideMark/>
          </w:tcPr>
          <w:p w14:paraId="510A2336" w14:textId="77777777" w:rsidR="004B5328" w:rsidRPr="00887108" w:rsidRDefault="004B5328" w:rsidP="004B5328">
            <w:pPr>
              <w:jc w:val="center"/>
              <w:rPr>
                <w:rFonts w:cs="Times New Roman"/>
                <w:b/>
                <w:bCs/>
                <w:sz w:val="18"/>
                <w:szCs w:val="18"/>
              </w:rPr>
            </w:pPr>
            <w:r w:rsidRPr="00887108">
              <w:rPr>
                <w:rFonts w:cs="Times New Roman"/>
                <w:b/>
                <w:bCs/>
                <w:sz w:val="18"/>
                <w:szCs w:val="18"/>
              </w:rPr>
              <w:t>0,3</w:t>
            </w:r>
          </w:p>
        </w:tc>
        <w:tc>
          <w:tcPr>
            <w:tcW w:w="1030" w:type="dxa"/>
            <w:tcBorders>
              <w:top w:val="nil"/>
              <w:left w:val="nil"/>
              <w:bottom w:val="nil"/>
              <w:right w:val="nil"/>
            </w:tcBorders>
            <w:shd w:val="clear" w:color="auto" w:fill="auto"/>
            <w:vAlign w:val="center"/>
            <w:hideMark/>
          </w:tcPr>
          <w:p w14:paraId="0CF59DAC" w14:textId="77777777" w:rsidR="004B5328" w:rsidRPr="00887108" w:rsidRDefault="004B5328" w:rsidP="004B5328">
            <w:pPr>
              <w:jc w:val="center"/>
              <w:rPr>
                <w:rFonts w:cs="Times New Roman"/>
                <w:b/>
                <w:bCs/>
                <w:sz w:val="18"/>
                <w:szCs w:val="18"/>
              </w:rPr>
            </w:pPr>
            <w:r w:rsidRPr="00887108">
              <w:rPr>
                <w:rFonts w:cs="Times New Roman"/>
                <w:b/>
                <w:bCs/>
                <w:sz w:val="18"/>
                <w:szCs w:val="18"/>
              </w:rPr>
              <w:t>-497</w:t>
            </w:r>
          </w:p>
        </w:tc>
        <w:tc>
          <w:tcPr>
            <w:tcW w:w="908" w:type="dxa"/>
            <w:tcBorders>
              <w:top w:val="nil"/>
              <w:left w:val="nil"/>
              <w:bottom w:val="nil"/>
              <w:right w:val="nil"/>
            </w:tcBorders>
            <w:shd w:val="clear" w:color="auto" w:fill="auto"/>
            <w:vAlign w:val="center"/>
            <w:hideMark/>
          </w:tcPr>
          <w:p w14:paraId="45AE74CC" w14:textId="77777777" w:rsidR="004B5328" w:rsidRPr="00887108" w:rsidRDefault="004B5328" w:rsidP="004B5328">
            <w:pPr>
              <w:jc w:val="center"/>
              <w:rPr>
                <w:rFonts w:cs="Times New Roman"/>
                <w:b/>
                <w:bCs/>
                <w:sz w:val="18"/>
                <w:szCs w:val="18"/>
              </w:rPr>
            </w:pPr>
            <w:r w:rsidRPr="00887108">
              <w:rPr>
                <w:rFonts w:cs="Times New Roman"/>
                <w:b/>
                <w:bCs/>
                <w:sz w:val="18"/>
                <w:szCs w:val="18"/>
              </w:rPr>
              <w:t>-0,6</w:t>
            </w:r>
          </w:p>
        </w:tc>
      </w:tr>
      <w:tr w:rsidR="004B5328" w:rsidRPr="00887108" w14:paraId="5ADBE0B7" w14:textId="77777777" w:rsidTr="000570B1">
        <w:trPr>
          <w:trHeight w:val="288"/>
        </w:trPr>
        <w:tc>
          <w:tcPr>
            <w:tcW w:w="2811" w:type="dxa"/>
            <w:tcBorders>
              <w:top w:val="nil"/>
              <w:left w:val="nil"/>
              <w:bottom w:val="nil"/>
              <w:right w:val="nil"/>
            </w:tcBorders>
            <w:shd w:val="clear" w:color="auto" w:fill="auto"/>
            <w:vAlign w:val="center"/>
            <w:hideMark/>
          </w:tcPr>
          <w:p w14:paraId="7C16D0AF"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Nedaňové príjmy</w:t>
            </w:r>
          </w:p>
        </w:tc>
        <w:tc>
          <w:tcPr>
            <w:tcW w:w="2657" w:type="dxa"/>
            <w:tcBorders>
              <w:top w:val="nil"/>
              <w:left w:val="nil"/>
              <w:bottom w:val="nil"/>
              <w:right w:val="nil"/>
            </w:tcBorders>
            <w:shd w:val="clear" w:color="auto" w:fill="auto"/>
            <w:vAlign w:val="center"/>
            <w:hideMark/>
          </w:tcPr>
          <w:p w14:paraId="1250C416" w14:textId="77777777" w:rsidR="004B5328" w:rsidRPr="00887108" w:rsidRDefault="004B5328" w:rsidP="004B5328">
            <w:pPr>
              <w:jc w:val="center"/>
              <w:rPr>
                <w:rFonts w:cs="Times New Roman"/>
                <w:b/>
                <w:bCs/>
                <w:sz w:val="18"/>
                <w:szCs w:val="18"/>
              </w:rPr>
            </w:pPr>
            <w:r w:rsidRPr="00887108">
              <w:rPr>
                <w:rFonts w:cs="Times New Roman"/>
                <w:b/>
                <w:bCs/>
                <w:sz w:val="18"/>
                <w:szCs w:val="18"/>
              </w:rPr>
              <w:t>P.11 + P.12 + P.131 + D.4</w:t>
            </w:r>
          </w:p>
        </w:tc>
        <w:tc>
          <w:tcPr>
            <w:tcW w:w="966" w:type="dxa"/>
            <w:tcBorders>
              <w:top w:val="nil"/>
              <w:left w:val="nil"/>
              <w:bottom w:val="nil"/>
              <w:right w:val="nil"/>
            </w:tcBorders>
            <w:shd w:val="clear" w:color="auto" w:fill="auto"/>
            <w:vAlign w:val="center"/>
            <w:hideMark/>
          </w:tcPr>
          <w:p w14:paraId="3F7F32DE" w14:textId="77777777" w:rsidR="004B5328" w:rsidRPr="00887108" w:rsidRDefault="004B5328" w:rsidP="004B5328">
            <w:pPr>
              <w:jc w:val="center"/>
              <w:rPr>
                <w:rFonts w:cs="Times New Roman"/>
                <w:b/>
                <w:bCs/>
                <w:sz w:val="18"/>
                <w:szCs w:val="18"/>
              </w:rPr>
            </w:pPr>
            <w:r w:rsidRPr="00887108">
              <w:rPr>
                <w:rFonts w:cs="Times New Roman"/>
                <w:b/>
                <w:bCs/>
                <w:sz w:val="18"/>
                <w:szCs w:val="18"/>
              </w:rPr>
              <w:t>615</w:t>
            </w:r>
          </w:p>
        </w:tc>
        <w:tc>
          <w:tcPr>
            <w:tcW w:w="911" w:type="dxa"/>
            <w:tcBorders>
              <w:top w:val="nil"/>
              <w:left w:val="nil"/>
              <w:bottom w:val="nil"/>
              <w:right w:val="single" w:sz="4" w:space="0" w:color="auto"/>
            </w:tcBorders>
            <w:shd w:val="clear" w:color="auto" w:fill="auto"/>
            <w:vAlign w:val="center"/>
            <w:hideMark/>
          </w:tcPr>
          <w:p w14:paraId="0DCF554E" w14:textId="77777777" w:rsidR="004B5328" w:rsidRPr="00887108" w:rsidRDefault="004B5328" w:rsidP="004B5328">
            <w:pPr>
              <w:jc w:val="center"/>
              <w:rPr>
                <w:rFonts w:cs="Times New Roman"/>
                <w:b/>
                <w:bCs/>
                <w:sz w:val="18"/>
                <w:szCs w:val="18"/>
              </w:rPr>
            </w:pPr>
            <w:r w:rsidRPr="00887108">
              <w:rPr>
                <w:rFonts w:cs="Times New Roman"/>
                <w:b/>
                <w:bCs/>
                <w:sz w:val="18"/>
                <w:szCs w:val="18"/>
              </w:rPr>
              <w:t>0,7</w:t>
            </w:r>
          </w:p>
        </w:tc>
        <w:tc>
          <w:tcPr>
            <w:tcW w:w="1030" w:type="dxa"/>
            <w:tcBorders>
              <w:top w:val="nil"/>
              <w:left w:val="nil"/>
              <w:bottom w:val="nil"/>
              <w:right w:val="nil"/>
            </w:tcBorders>
            <w:shd w:val="clear" w:color="auto" w:fill="auto"/>
            <w:vAlign w:val="center"/>
            <w:hideMark/>
          </w:tcPr>
          <w:p w14:paraId="66083EF7" w14:textId="77777777" w:rsidR="004B5328" w:rsidRPr="00887108" w:rsidRDefault="004B5328" w:rsidP="004B5328">
            <w:pPr>
              <w:jc w:val="center"/>
              <w:rPr>
                <w:rFonts w:cs="Times New Roman"/>
                <w:b/>
                <w:bCs/>
                <w:sz w:val="18"/>
                <w:szCs w:val="18"/>
              </w:rPr>
            </w:pPr>
            <w:r w:rsidRPr="00887108">
              <w:rPr>
                <w:rFonts w:cs="Times New Roman"/>
                <w:b/>
                <w:bCs/>
                <w:sz w:val="18"/>
                <w:szCs w:val="18"/>
              </w:rPr>
              <w:t>85</w:t>
            </w:r>
          </w:p>
        </w:tc>
        <w:tc>
          <w:tcPr>
            <w:tcW w:w="908" w:type="dxa"/>
            <w:tcBorders>
              <w:top w:val="nil"/>
              <w:left w:val="nil"/>
              <w:bottom w:val="nil"/>
              <w:right w:val="nil"/>
            </w:tcBorders>
            <w:shd w:val="clear" w:color="auto" w:fill="auto"/>
            <w:vAlign w:val="center"/>
            <w:hideMark/>
          </w:tcPr>
          <w:p w14:paraId="65647B52" w14:textId="77777777" w:rsidR="004B5328" w:rsidRPr="00887108" w:rsidRDefault="004B5328" w:rsidP="004B5328">
            <w:pPr>
              <w:jc w:val="center"/>
              <w:rPr>
                <w:rFonts w:cs="Times New Roman"/>
                <w:b/>
                <w:bCs/>
                <w:sz w:val="18"/>
                <w:szCs w:val="18"/>
              </w:rPr>
            </w:pPr>
            <w:r w:rsidRPr="00887108">
              <w:rPr>
                <w:rFonts w:cs="Times New Roman"/>
                <w:b/>
                <w:bCs/>
                <w:sz w:val="18"/>
                <w:szCs w:val="18"/>
              </w:rPr>
              <w:t>0,1</w:t>
            </w:r>
          </w:p>
        </w:tc>
      </w:tr>
      <w:tr w:rsidR="004B5328" w:rsidRPr="00887108" w14:paraId="4B418B0C" w14:textId="77777777" w:rsidTr="000570B1">
        <w:trPr>
          <w:trHeight w:val="288"/>
        </w:trPr>
        <w:tc>
          <w:tcPr>
            <w:tcW w:w="2811" w:type="dxa"/>
            <w:tcBorders>
              <w:top w:val="nil"/>
              <w:left w:val="nil"/>
              <w:bottom w:val="nil"/>
              <w:right w:val="nil"/>
            </w:tcBorders>
            <w:shd w:val="clear" w:color="auto" w:fill="auto"/>
            <w:vAlign w:val="center"/>
            <w:hideMark/>
          </w:tcPr>
          <w:p w14:paraId="4048A3D9" w14:textId="77777777" w:rsidR="004B5328" w:rsidRPr="00887108" w:rsidRDefault="004B5328" w:rsidP="004B5328">
            <w:pPr>
              <w:rPr>
                <w:rFonts w:cs="Times New Roman"/>
                <w:color w:val="000000"/>
                <w:sz w:val="18"/>
                <w:szCs w:val="18"/>
              </w:rPr>
            </w:pPr>
            <w:r w:rsidRPr="00887108">
              <w:rPr>
                <w:rFonts w:cs="Times New Roman"/>
                <w:color w:val="000000"/>
                <w:sz w:val="18"/>
                <w:szCs w:val="18"/>
              </w:rPr>
              <w:t>Tržby</w:t>
            </w:r>
          </w:p>
        </w:tc>
        <w:tc>
          <w:tcPr>
            <w:tcW w:w="2657" w:type="dxa"/>
            <w:tcBorders>
              <w:top w:val="nil"/>
              <w:left w:val="nil"/>
              <w:bottom w:val="nil"/>
              <w:right w:val="nil"/>
            </w:tcBorders>
            <w:shd w:val="clear" w:color="auto" w:fill="auto"/>
            <w:vAlign w:val="center"/>
            <w:hideMark/>
          </w:tcPr>
          <w:p w14:paraId="3DC28DBB" w14:textId="77777777" w:rsidR="004B5328" w:rsidRPr="00887108" w:rsidRDefault="004B5328" w:rsidP="004B5328">
            <w:pPr>
              <w:jc w:val="center"/>
              <w:rPr>
                <w:rFonts w:cs="Times New Roman"/>
                <w:sz w:val="18"/>
                <w:szCs w:val="18"/>
              </w:rPr>
            </w:pPr>
            <w:r w:rsidRPr="00887108">
              <w:rPr>
                <w:rFonts w:cs="Times New Roman"/>
                <w:sz w:val="18"/>
                <w:szCs w:val="18"/>
              </w:rPr>
              <w:t>P.11 + P.12 + P.131</w:t>
            </w:r>
          </w:p>
        </w:tc>
        <w:tc>
          <w:tcPr>
            <w:tcW w:w="966" w:type="dxa"/>
            <w:tcBorders>
              <w:top w:val="nil"/>
              <w:left w:val="nil"/>
              <w:bottom w:val="nil"/>
              <w:right w:val="nil"/>
            </w:tcBorders>
            <w:shd w:val="clear" w:color="auto" w:fill="auto"/>
            <w:vAlign w:val="center"/>
            <w:hideMark/>
          </w:tcPr>
          <w:p w14:paraId="6BC406DD" w14:textId="77777777" w:rsidR="004B5328" w:rsidRPr="00887108" w:rsidRDefault="004B5328" w:rsidP="004B5328">
            <w:pPr>
              <w:jc w:val="center"/>
              <w:rPr>
                <w:rFonts w:cs="Times New Roman"/>
                <w:sz w:val="18"/>
                <w:szCs w:val="18"/>
              </w:rPr>
            </w:pPr>
            <w:r w:rsidRPr="00887108">
              <w:rPr>
                <w:rFonts w:cs="Times New Roman"/>
                <w:sz w:val="18"/>
                <w:szCs w:val="18"/>
              </w:rPr>
              <w:t>636</w:t>
            </w:r>
          </w:p>
        </w:tc>
        <w:tc>
          <w:tcPr>
            <w:tcW w:w="911" w:type="dxa"/>
            <w:tcBorders>
              <w:top w:val="nil"/>
              <w:left w:val="nil"/>
              <w:bottom w:val="nil"/>
              <w:right w:val="single" w:sz="4" w:space="0" w:color="auto"/>
            </w:tcBorders>
            <w:shd w:val="clear" w:color="auto" w:fill="auto"/>
            <w:vAlign w:val="center"/>
            <w:hideMark/>
          </w:tcPr>
          <w:p w14:paraId="5A483482" w14:textId="77777777" w:rsidR="004B5328" w:rsidRPr="00887108" w:rsidRDefault="004B5328" w:rsidP="004B5328">
            <w:pPr>
              <w:jc w:val="center"/>
              <w:rPr>
                <w:rFonts w:cs="Times New Roman"/>
                <w:sz w:val="18"/>
                <w:szCs w:val="18"/>
              </w:rPr>
            </w:pPr>
            <w:r w:rsidRPr="00887108">
              <w:rPr>
                <w:rFonts w:cs="Times New Roman"/>
                <w:sz w:val="18"/>
                <w:szCs w:val="18"/>
              </w:rPr>
              <w:t>0,7</w:t>
            </w:r>
          </w:p>
        </w:tc>
        <w:tc>
          <w:tcPr>
            <w:tcW w:w="1030" w:type="dxa"/>
            <w:tcBorders>
              <w:top w:val="nil"/>
              <w:left w:val="nil"/>
              <w:bottom w:val="nil"/>
              <w:right w:val="nil"/>
            </w:tcBorders>
            <w:shd w:val="clear" w:color="auto" w:fill="auto"/>
            <w:vAlign w:val="center"/>
            <w:hideMark/>
          </w:tcPr>
          <w:p w14:paraId="1F13528B" w14:textId="77777777" w:rsidR="004B5328" w:rsidRPr="00887108" w:rsidRDefault="004B5328" w:rsidP="004B5328">
            <w:pPr>
              <w:jc w:val="center"/>
              <w:rPr>
                <w:rFonts w:cs="Times New Roman"/>
                <w:sz w:val="18"/>
                <w:szCs w:val="18"/>
              </w:rPr>
            </w:pPr>
            <w:r w:rsidRPr="00887108">
              <w:rPr>
                <w:rFonts w:cs="Times New Roman"/>
                <w:sz w:val="18"/>
                <w:szCs w:val="18"/>
              </w:rPr>
              <w:t>39</w:t>
            </w:r>
          </w:p>
        </w:tc>
        <w:tc>
          <w:tcPr>
            <w:tcW w:w="908" w:type="dxa"/>
            <w:tcBorders>
              <w:top w:val="nil"/>
              <w:left w:val="nil"/>
              <w:bottom w:val="nil"/>
              <w:right w:val="nil"/>
            </w:tcBorders>
            <w:shd w:val="clear" w:color="auto" w:fill="auto"/>
            <w:vAlign w:val="center"/>
            <w:hideMark/>
          </w:tcPr>
          <w:p w14:paraId="435266E0" w14:textId="77777777" w:rsidR="004B5328" w:rsidRPr="00887108" w:rsidRDefault="004B5328" w:rsidP="004B5328">
            <w:pPr>
              <w:jc w:val="center"/>
              <w:rPr>
                <w:rFonts w:cs="Times New Roman"/>
                <w:sz w:val="18"/>
                <w:szCs w:val="18"/>
              </w:rPr>
            </w:pPr>
            <w:r w:rsidRPr="00887108">
              <w:rPr>
                <w:rFonts w:cs="Times New Roman"/>
                <w:sz w:val="18"/>
                <w:szCs w:val="18"/>
              </w:rPr>
              <w:t>0,0</w:t>
            </w:r>
          </w:p>
        </w:tc>
      </w:tr>
      <w:tr w:rsidR="004B5328" w:rsidRPr="00887108" w14:paraId="713F33C8" w14:textId="77777777" w:rsidTr="000570B1">
        <w:trPr>
          <w:trHeight w:val="288"/>
        </w:trPr>
        <w:tc>
          <w:tcPr>
            <w:tcW w:w="2811" w:type="dxa"/>
            <w:tcBorders>
              <w:top w:val="nil"/>
              <w:left w:val="nil"/>
              <w:bottom w:val="nil"/>
              <w:right w:val="nil"/>
            </w:tcBorders>
            <w:shd w:val="clear" w:color="auto" w:fill="auto"/>
            <w:vAlign w:val="center"/>
            <w:hideMark/>
          </w:tcPr>
          <w:p w14:paraId="2C8025E0" w14:textId="77777777" w:rsidR="004B5328" w:rsidRPr="00887108" w:rsidRDefault="004B5328" w:rsidP="004B5328">
            <w:pPr>
              <w:rPr>
                <w:rFonts w:cs="Times New Roman"/>
                <w:color w:val="000000"/>
                <w:sz w:val="18"/>
                <w:szCs w:val="18"/>
              </w:rPr>
            </w:pPr>
            <w:r w:rsidRPr="00887108">
              <w:rPr>
                <w:rFonts w:cs="Times New Roman"/>
                <w:color w:val="000000"/>
                <w:sz w:val="18"/>
                <w:szCs w:val="18"/>
              </w:rPr>
              <w:t>Dôchodky z majetku, z ktorých</w:t>
            </w:r>
          </w:p>
        </w:tc>
        <w:tc>
          <w:tcPr>
            <w:tcW w:w="2657" w:type="dxa"/>
            <w:tcBorders>
              <w:top w:val="nil"/>
              <w:left w:val="nil"/>
              <w:bottom w:val="nil"/>
              <w:right w:val="nil"/>
            </w:tcBorders>
            <w:shd w:val="clear" w:color="auto" w:fill="auto"/>
            <w:vAlign w:val="center"/>
            <w:hideMark/>
          </w:tcPr>
          <w:p w14:paraId="4B39C609" w14:textId="77777777" w:rsidR="004B5328" w:rsidRPr="00887108" w:rsidRDefault="004B5328" w:rsidP="004B5328">
            <w:pPr>
              <w:jc w:val="center"/>
              <w:rPr>
                <w:rFonts w:cs="Times New Roman"/>
                <w:sz w:val="18"/>
                <w:szCs w:val="18"/>
              </w:rPr>
            </w:pPr>
            <w:r w:rsidRPr="00887108">
              <w:rPr>
                <w:rFonts w:cs="Times New Roman"/>
                <w:sz w:val="18"/>
                <w:szCs w:val="18"/>
              </w:rPr>
              <w:t>D.4</w:t>
            </w:r>
          </w:p>
        </w:tc>
        <w:tc>
          <w:tcPr>
            <w:tcW w:w="966" w:type="dxa"/>
            <w:tcBorders>
              <w:top w:val="nil"/>
              <w:left w:val="nil"/>
              <w:bottom w:val="nil"/>
              <w:right w:val="nil"/>
            </w:tcBorders>
            <w:shd w:val="clear" w:color="auto" w:fill="auto"/>
            <w:vAlign w:val="center"/>
            <w:hideMark/>
          </w:tcPr>
          <w:p w14:paraId="026F21F0" w14:textId="77777777" w:rsidR="004B5328" w:rsidRPr="00887108" w:rsidRDefault="004B5328" w:rsidP="004B5328">
            <w:pPr>
              <w:jc w:val="center"/>
              <w:rPr>
                <w:rFonts w:cs="Times New Roman"/>
                <w:sz w:val="18"/>
                <w:szCs w:val="18"/>
              </w:rPr>
            </w:pPr>
            <w:r w:rsidRPr="00887108">
              <w:rPr>
                <w:rFonts w:cs="Times New Roman"/>
                <w:sz w:val="18"/>
                <w:szCs w:val="18"/>
              </w:rPr>
              <w:t>-21</w:t>
            </w:r>
          </w:p>
        </w:tc>
        <w:tc>
          <w:tcPr>
            <w:tcW w:w="911" w:type="dxa"/>
            <w:tcBorders>
              <w:top w:val="nil"/>
              <w:left w:val="nil"/>
              <w:bottom w:val="nil"/>
              <w:right w:val="single" w:sz="4" w:space="0" w:color="auto"/>
            </w:tcBorders>
            <w:shd w:val="clear" w:color="auto" w:fill="auto"/>
            <w:vAlign w:val="center"/>
            <w:hideMark/>
          </w:tcPr>
          <w:p w14:paraId="7C759F6B" w14:textId="77777777" w:rsidR="004B5328" w:rsidRPr="00887108" w:rsidRDefault="004B5328" w:rsidP="004B5328">
            <w:pPr>
              <w:jc w:val="center"/>
              <w:rPr>
                <w:rFonts w:cs="Times New Roman"/>
                <w:sz w:val="18"/>
                <w:szCs w:val="18"/>
              </w:rPr>
            </w:pPr>
            <w:r w:rsidRPr="00887108">
              <w:rPr>
                <w:rFonts w:cs="Times New Roman"/>
                <w:sz w:val="18"/>
                <w:szCs w:val="18"/>
              </w:rPr>
              <w:t>0,0</w:t>
            </w:r>
          </w:p>
        </w:tc>
        <w:tc>
          <w:tcPr>
            <w:tcW w:w="1030" w:type="dxa"/>
            <w:tcBorders>
              <w:top w:val="nil"/>
              <w:left w:val="nil"/>
              <w:bottom w:val="nil"/>
              <w:right w:val="nil"/>
            </w:tcBorders>
            <w:shd w:val="clear" w:color="auto" w:fill="auto"/>
            <w:vAlign w:val="center"/>
            <w:hideMark/>
          </w:tcPr>
          <w:p w14:paraId="4771C4A8" w14:textId="77777777" w:rsidR="004B5328" w:rsidRPr="00887108" w:rsidRDefault="004B5328" w:rsidP="004B5328">
            <w:pPr>
              <w:jc w:val="center"/>
              <w:rPr>
                <w:rFonts w:cs="Times New Roman"/>
                <w:sz w:val="18"/>
                <w:szCs w:val="18"/>
              </w:rPr>
            </w:pPr>
            <w:r w:rsidRPr="00887108">
              <w:rPr>
                <w:rFonts w:cs="Times New Roman"/>
                <w:sz w:val="18"/>
                <w:szCs w:val="18"/>
              </w:rPr>
              <w:t>46</w:t>
            </w:r>
          </w:p>
        </w:tc>
        <w:tc>
          <w:tcPr>
            <w:tcW w:w="908" w:type="dxa"/>
            <w:tcBorders>
              <w:top w:val="nil"/>
              <w:left w:val="nil"/>
              <w:bottom w:val="nil"/>
              <w:right w:val="nil"/>
            </w:tcBorders>
            <w:shd w:val="clear" w:color="auto" w:fill="auto"/>
            <w:vAlign w:val="center"/>
            <w:hideMark/>
          </w:tcPr>
          <w:p w14:paraId="72924A74" w14:textId="77777777" w:rsidR="004B5328" w:rsidRPr="00887108" w:rsidRDefault="004B5328" w:rsidP="004B5328">
            <w:pPr>
              <w:jc w:val="center"/>
              <w:rPr>
                <w:rFonts w:cs="Times New Roman"/>
                <w:sz w:val="18"/>
                <w:szCs w:val="18"/>
              </w:rPr>
            </w:pPr>
            <w:r w:rsidRPr="00887108">
              <w:rPr>
                <w:rFonts w:cs="Times New Roman"/>
                <w:sz w:val="18"/>
                <w:szCs w:val="18"/>
              </w:rPr>
              <w:t>0,1</w:t>
            </w:r>
          </w:p>
        </w:tc>
      </w:tr>
      <w:tr w:rsidR="004B5328" w:rsidRPr="00887108" w14:paraId="551E7621" w14:textId="77777777" w:rsidTr="000570B1">
        <w:trPr>
          <w:trHeight w:val="288"/>
        </w:trPr>
        <w:tc>
          <w:tcPr>
            <w:tcW w:w="2811" w:type="dxa"/>
            <w:tcBorders>
              <w:top w:val="nil"/>
              <w:left w:val="nil"/>
              <w:bottom w:val="nil"/>
              <w:right w:val="nil"/>
            </w:tcBorders>
            <w:shd w:val="clear" w:color="auto" w:fill="auto"/>
            <w:vAlign w:val="center"/>
            <w:hideMark/>
          </w:tcPr>
          <w:p w14:paraId="20B27260"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Granty a transfery</w:t>
            </w:r>
          </w:p>
        </w:tc>
        <w:tc>
          <w:tcPr>
            <w:tcW w:w="2657" w:type="dxa"/>
            <w:tcBorders>
              <w:top w:val="nil"/>
              <w:left w:val="nil"/>
              <w:bottom w:val="nil"/>
              <w:right w:val="nil"/>
            </w:tcBorders>
            <w:shd w:val="clear" w:color="auto" w:fill="auto"/>
            <w:vAlign w:val="center"/>
            <w:hideMark/>
          </w:tcPr>
          <w:p w14:paraId="78DA83F2" w14:textId="77777777" w:rsidR="004B5328" w:rsidRPr="00887108" w:rsidRDefault="004B5328" w:rsidP="004B5328">
            <w:pPr>
              <w:jc w:val="center"/>
              <w:rPr>
                <w:rFonts w:cs="Times New Roman"/>
                <w:b/>
                <w:bCs/>
                <w:sz w:val="18"/>
                <w:szCs w:val="18"/>
              </w:rPr>
            </w:pPr>
            <w:r w:rsidRPr="00887108">
              <w:rPr>
                <w:rFonts w:cs="Times New Roman"/>
                <w:b/>
                <w:bCs/>
                <w:sz w:val="18"/>
                <w:szCs w:val="18"/>
              </w:rPr>
              <w:t>D.39+D.7+D.9</w:t>
            </w:r>
          </w:p>
        </w:tc>
        <w:tc>
          <w:tcPr>
            <w:tcW w:w="966" w:type="dxa"/>
            <w:tcBorders>
              <w:top w:val="nil"/>
              <w:left w:val="nil"/>
              <w:bottom w:val="single" w:sz="4" w:space="0" w:color="auto"/>
              <w:right w:val="nil"/>
            </w:tcBorders>
            <w:shd w:val="clear" w:color="auto" w:fill="auto"/>
            <w:vAlign w:val="center"/>
            <w:hideMark/>
          </w:tcPr>
          <w:p w14:paraId="7204C828" w14:textId="77777777" w:rsidR="004B5328" w:rsidRPr="00887108" w:rsidRDefault="004B5328" w:rsidP="004B5328">
            <w:pPr>
              <w:jc w:val="center"/>
              <w:rPr>
                <w:rFonts w:cs="Times New Roman"/>
                <w:b/>
                <w:bCs/>
                <w:sz w:val="18"/>
                <w:szCs w:val="18"/>
              </w:rPr>
            </w:pPr>
            <w:r w:rsidRPr="00887108">
              <w:rPr>
                <w:rFonts w:cs="Times New Roman"/>
                <w:b/>
                <w:bCs/>
                <w:sz w:val="18"/>
                <w:szCs w:val="18"/>
              </w:rPr>
              <w:t>479</w:t>
            </w:r>
          </w:p>
        </w:tc>
        <w:tc>
          <w:tcPr>
            <w:tcW w:w="911" w:type="dxa"/>
            <w:tcBorders>
              <w:top w:val="nil"/>
              <w:left w:val="nil"/>
              <w:bottom w:val="single" w:sz="4" w:space="0" w:color="auto"/>
              <w:right w:val="single" w:sz="4" w:space="0" w:color="auto"/>
            </w:tcBorders>
            <w:shd w:val="clear" w:color="auto" w:fill="auto"/>
            <w:vAlign w:val="center"/>
            <w:hideMark/>
          </w:tcPr>
          <w:p w14:paraId="3C7FA071" w14:textId="77777777" w:rsidR="004B5328" w:rsidRPr="00887108" w:rsidRDefault="004B5328" w:rsidP="004B5328">
            <w:pPr>
              <w:jc w:val="center"/>
              <w:rPr>
                <w:rFonts w:cs="Times New Roman"/>
                <w:b/>
                <w:bCs/>
                <w:sz w:val="18"/>
                <w:szCs w:val="18"/>
              </w:rPr>
            </w:pPr>
            <w:r w:rsidRPr="00887108">
              <w:rPr>
                <w:rFonts w:cs="Times New Roman"/>
                <w:b/>
                <w:bCs/>
                <w:sz w:val="18"/>
                <w:szCs w:val="18"/>
              </w:rPr>
              <w:t>0,5</w:t>
            </w:r>
          </w:p>
        </w:tc>
        <w:tc>
          <w:tcPr>
            <w:tcW w:w="1030" w:type="dxa"/>
            <w:tcBorders>
              <w:top w:val="nil"/>
              <w:left w:val="nil"/>
              <w:bottom w:val="single" w:sz="4" w:space="0" w:color="auto"/>
              <w:right w:val="nil"/>
            </w:tcBorders>
            <w:shd w:val="clear" w:color="auto" w:fill="auto"/>
            <w:vAlign w:val="center"/>
            <w:hideMark/>
          </w:tcPr>
          <w:p w14:paraId="073AD6E9" w14:textId="77777777" w:rsidR="004B5328" w:rsidRPr="00887108" w:rsidRDefault="004B5328" w:rsidP="004B5328">
            <w:pPr>
              <w:jc w:val="center"/>
              <w:rPr>
                <w:rFonts w:cs="Times New Roman"/>
                <w:b/>
                <w:bCs/>
                <w:sz w:val="18"/>
                <w:szCs w:val="18"/>
              </w:rPr>
            </w:pPr>
            <w:r w:rsidRPr="00887108">
              <w:rPr>
                <w:rFonts w:cs="Times New Roman"/>
                <w:b/>
                <w:bCs/>
                <w:sz w:val="18"/>
                <w:szCs w:val="18"/>
              </w:rPr>
              <w:t>306</w:t>
            </w:r>
          </w:p>
        </w:tc>
        <w:tc>
          <w:tcPr>
            <w:tcW w:w="908" w:type="dxa"/>
            <w:tcBorders>
              <w:top w:val="nil"/>
              <w:left w:val="nil"/>
              <w:bottom w:val="single" w:sz="4" w:space="0" w:color="auto"/>
              <w:right w:val="nil"/>
            </w:tcBorders>
            <w:shd w:val="clear" w:color="auto" w:fill="auto"/>
            <w:vAlign w:val="center"/>
            <w:hideMark/>
          </w:tcPr>
          <w:p w14:paraId="77536389" w14:textId="77777777" w:rsidR="004B5328" w:rsidRPr="00887108" w:rsidRDefault="004B5328" w:rsidP="004B5328">
            <w:pPr>
              <w:jc w:val="center"/>
              <w:rPr>
                <w:rFonts w:cs="Times New Roman"/>
                <w:b/>
                <w:bCs/>
                <w:sz w:val="18"/>
                <w:szCs w:val="18"/>
              </w:rPr>
            </w:pPr>
            <w:r w:rsidRPr="00887108">
              <w:rPr>
                <w:rFonts w:cs="Times New Roman"/>
                <w:b/>
                <w:bCs/>
                <w:sz w:val="18"/>
                <w:szCs w:val="18"/>
              </w:rPr>
              <w:t>0,3</w:t>
            </w:r>
          </w:p>
        </w:tc>
      </w:tr>
      <w:tr w:rsidR="004B5328" w:rsidRPr="00887108" w14:paraId="0146CA44" w14:textId="77777777" w:rsidTr="000570B1">
        <w:trPr>
          <w:trHeight w:val="288"/>
        </w:trPr>
        <w:tc>
          <w:tcPr>
            <w:tcW w:w="2811" w:type="dxa"/>
            <w:tcBorders>
              <w:top w:val="single" w:sz="4" w:space="0" w:color="auto"/>
              <w:left w:val="nil"/>
              <w:bottom w:val="nil"/>
              <w:right w:val="nil"/>
            </w:tcBorders>
            <w:shd w:val="clear" w:color="auto" w:fill="auto"/>
            <w:vAlign w:val="center"/>
            <w:hideMark/>
          </w:tcPr>
          <w:p w14:paraId="0CA6B778" w14:textId="77777777" w:rsidR="004B5328" w:rsidRPr="00887108" w:rsidRDefault="004B5328" w:rsidP="004B5328">
            <w:pPr>
              <w:rPr>
                <w:rFonts w:cs="Times New Roman"/>
                <w:b/>
                <w:bCs/>
                <w:sz w:val="18"/>
                <w:szCs w:val="18"/>
              </w:rPr>
            </w:pPr>
            <w:r w:rsidRPr="00887108">
              <w:rPr>
                <w:rFonts w:cs="Times New Roman"/>
                <w:b/>
                <w:bCs/>
                <w:sz w:val="18"/>
                <w:szCs w:val="18"/>
              </w:rPr>
              <w:t>Výdavky spolu</w:t>
            </w:r>
          </w:p>
        </w:tc>
        <w:tc>
          <w:tcPr>
            <w:tcW w:w="2657" w:type="dxa"/>
            <w:tcBorders>
              <w:top w:val="single" w:sz="4" w:space="0" w:color="auto"/>
              <w:left w:val="nil"/>
              <w:bottom w:val="nil"/>
              <w:right w:val="nil"/>
            </w:tcBorders>
            <w:shd w:val="clear" w:color="auto" w:fill="auto"/>
            <w:vAlign w:val="center"/>
            <w:hideMark/>
          </w:tcPr>
          <w:p w14:paraId="72D92426" w14:textId="77777777" w:rsidR="004B5328" w:rsidRPr="00887108" w:rsidRDefault="004B5328" w:rsidP="004B5328">
            <w:pPr>
              <w:jc w:val="center"/>
              <w:rPr>
                <w:rFonts w:cs="Times New Roman"/>
                <w:b/>
                <w:bCs/>
                <w:sz w:val="18"/>
                <w:szCs w:val="18"/>
              </w:rPr>
            </w:pPr>
            <w:r w:rsidRPr="00887108">
              <w:rPr>
                <w:rFonts w:cs="Times New Roman"/>
                <w:b/>
                <w:bCs/>
                <w:sz w:val="18"/>
                <w:szCs w:val="18"/>
              </w:rPr>
              <w:t>TE</w:t>
            </w:r>
          </w:p>
        </w:tc>
        <w:tc>
          <w:tcPr>
            <w:tcW w:w="966" w:type="dxa"/>
            <w:tcBorders>
              <w:top w:val="nil"/>
              <w:left w:val="nil"/>
              <w:bottom w:val="nil"/>
              <w:right w:val="nil"/>
            </w:tcBorders>
            <w:shd w:val="clear" w:color="auto" w:fill="auto"/>
            <w:vAlign w:val="center"/>
            <w:hideMark/>
          </w:tcPr>
          <w:p w14:paraId="0F4CB06E" w14:textId="77777777" w:rsidR="004B5328" w:rsidRPr="00887108" w:rsidRDefault="004B5328" w:rsidP="004B5328">
            <w:pPr>
              <w:jc w:val="center"/>
              <w:rPr>
                <w:rFonts w:cs="Times New Roman"/>
                <w:b/>
                <w:bCs/>
                <w:sz w:val="18"/>
                <w:szCs w:val="18"/>
              </w:rPr>
            </w:pPr>
            <w:r w:rsidRPr="00887108">
              <w:rPr>
                <w:rFonts w:cs="Times New Roman"/>
                <w:b/>
                <w:bCs/>
                <w:sz w:val="18"/>
                <w:szCs w:val="18"/>
              </w:rPr>
              <w:t>3088</w:t>
            </w:r>
          </w:p>
        </w:tc>
        <w:tc>
          <w:tcPr>
            <w:tcW w:w="911" w:type="dxa"/>
            <w:tcBorders>
              <w:top w:val="nil"/>
              <w:left w:val="nil"/>
              <w:bottom w:val="nil"/>
              <w:right w:val="single" w:sz="4" w:space="0" w:color="auto"/>
            </w:tcBorders>
            <w:shd w:val="clear" w:color="auto" w:fill="auto"/>
            <w:vAlign w:val="center"/>
            <w:hideMark/>
          </w:tcPr>
          <w:p w14:paraId="0C1931B9" w14:textId="77777777" w:rsidR="004B5328" w:rsidRPr="00887108" w:rsidRDefault="004B5328" w:rsidP="004B5328">
            <w:pPr>
              <w:jc w:val="center"/>
              <w:rPr>
                <w:rFonts w:cs="Times New Roman"/>
                <w:b/>
                <w:bCs/>
                <w:sz w:val="18"/>
                <w:szCs w:val="18"/>
              </w:rPr>
            </w:pPr>
            <w:r w:rsidRPr="00887108">
              <w:rPr>
                <w:rFonts w:cs="Times New Roman"/>
                <w:b/>
                <w:bCs/>
                <w:sz w:val="18"/>
                <w:szCs w:val="18"/>
              </w:rPr>
              <w:t>3,3</w:t>
            </w:r>
          </w:p>
        </w:tc>
        <w:tc>
          <w:tcPr>
            <w:tcW w:w="1030" w:type="dxa"/>
            <w:tcBorders>
              <w:top w:val="nil"/>
              <w:left w:val="nil"/>
              <w:bottom w:val="nil"/>
              <w:right w:val="nil"/>
            </w:tcBorders>
            <w:shd w:val="clear" w:color="auto" w:fill="auto"/>
            <w:vAlign w:val="center"/>
            <w:hideMark/>
          </w:tcPr>
          <w:p w14:paraId="3D953DCE" w14:textId="77777777" w:rsidR="004B5328" w:rsidRPr="00887108" w:rsidRDefault="004B5328" w:rsidP="004B5328">
            <w:pPr>
              <w:jc w:val="center"/>
              <w:rPr>
                <w:rFonts w:cs="Times New Roman"/>
                <w:b/>
                <w:bCs/>
                <w:sz w:val="18"/>
                <w:szCs w:val="18"/>
              </w:rPr>
            </w:pPr>
            <w:r w:rsidRPr="00887108">
              <w:rPr>
                <w:rFonts w:cs="Times New Roman"/>
                <w:b/>
                <w:bCs/>
                <w:sz w:val="18"/>
                <w:szCs w:val="18"/>
              </w:rPr>
              <w:t>4970</w:t>
            </w:r>
          </w:p>
        </w:tc>
        <w:tc>
          <w:tcPr>
            <w:tcW w:w="908" w:type="dxa"/>
            <w:tcBorders>
              <w:top w:val="nil"/>
              <w:left w:val="nil"/>
              <w:bottom w:val="nil"/>
              <w:right w:val="nil"/>
            </w:tcBorders>
            <w:shd w:val="clear" w:color="auto" w:fill="auto"/>
            <w:vAlign w:val="center"/>
            <w:hideMark/>
          </w:tcPr>
          <w:p w14:paraId="2170D923" w14:textId="77777777" w:rsidR="004B5328" w:rsidRPr="00887108" w:rsidRDefault="004B5328" w:rsidP="004B5328">
            <w:pPr>
              <w:jc w:val="center"/>
              <w:rPr>
                <w:rFonts w:cs="Times New Roman"/>
                <w:b/>
                <w:bCs/>
                <w:sz w:val="18"/>
                <w:szCs w:val="18"/>
              </w:rPr>
            </w:pPr>
            <w:r w:rsidRPr="00887108">
              <w:rPr>
                <w:rFonts w:cs="Times New Roman"/>
                <w:b/>
                <w:bCs/>
                <w:sz w:val="18"/>
                <w:szCs w:val="18"/>
              </w:rPr>
              <w:t>5,6</w:t>
            </w:r>
          </w:p>
        </w:tc>
      </w:tr>
      <w:tr w:rsidR="004B5328" w:rsidRPr="00887108" w14:paraId="7E50A083" w14:textId="77777777" w:rsidTr="000570B1">
        <w:trPr>
          <w:trHeight w:val="288"/>
        </w:trPr>
        <w:tc>
          <w:tcPr>
            <w:tcW w:w="2811" w:type="dxa"/>
            <w:tcBorders>
              <w:top w:val="nil"/>
              <w:left w:val="nil"/>
              <w:bottom w:val="nil"/>
              <w:right w:val="nil"/>
            </w:tcBorders>
            <w:shd w:val="clear" w:color="auto" w:fill="auto"/>
            <w:vAlign w:val="bottom"/>
            <w:hideMark/>
          </w:tcPr>
          <w:p w14:paraId="13CA4F2C"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Bežné výdavky</w:t>
            </w:r>
          </w:p>
        </w:tc>
        <w:tc>
          <w:tcPr>
            <w:tcW w:w="2657" w:type="dxa"/>
            <w:tcBorders>
              <w:top w:val="nil"/>
              <w:left w:val="nil"/>
              <w:bottom w:val="nil"/>
              <w:right w:val="nil"/>
            </w:tcBorders>
            <w:shd w:val="clear" w:color="auto" w:fill="auto"/>
            <w:vAlign w:val="center"/>
            <w:hideMark/>
          </w:tcPr>
          <w:p w14:paraId="534C14DD" w14:textId="77777777" w:rsidR="004B5328" w:rsidRPr="00887108" w:rsidRDefault="004B5328" w:rsidP="004B5328">
            <w:pPr>
              <w:jc w:val="center"/>
              <w:rPr>
                <w:rFonts w:cs="Times New Roman"/>
                <w:b/>
                <w:bCs/>
                <w:sz w:val="14"/>
                <w:szCs w:val="14"/>
              </w:rPr>
            </w:pPr>
            <w:r w:rsidRPr="00887108">
              <w:rPr>
                <w:rFonts w:cs="Times New Roman"/>
                <w:b/>
                <w:bCs/>
                <w:sz w:val="14"/>
                <w:szCs w:val="14"/>
              </w:rPr>
              <w:t>D.1 + P.2 + D.29 + D.5 + D.3 +D.4 + D.6 + D.7</w:t>
            </w:r>
          </w:p>
        </w:tc>
        <w:tc>
          <w:tcPr>
            <w:tcW w:w="966" w:type="dxa"/>
            <w:tcBorders>
              <w:top w:val="nil"/>
              <w:left w:val="nil"/>
              <w:bottom w:val="nil"/>
              <w:right w:val="nil"/>
            </w:tcBorders>
            <w:shd w:val="clear" w:color="auto" w:fill="auto"/>
            <w:vAlign w:val="center"/>
            <w:hideMark/>
          </w:tcPr>
          <w:p w14:paraId="28C94B60" w14:textId="77777777" w:rsidR="004B5328" w:rsidRPr="00887108" w:rsidRDefault="004B5328" w:rsidP="004B5328">
            <w:pPr>
              <w:jc w:val="center"/>
              <w:rPr>
                <w:rFonts w:cs="Times New Roman"/>
                <w:b/>
                <w:bCs/>
                <w:sz w:val="18"/>
                <w:szCs w:val="18"/>
              </w:rPr>
            </w:pPr>
            <w:r w:rsidRPr="00887108">
              <w:rPr>
                <w:rFonts w:cs="Times New Roman"/>
                <w:b/>
                <w:bCs/>
                <w:sz w:val="18"/>
                <w:szCs w:val="18"/>
              </w:rPr>
              <w:t>1668</w:t>
            </w:r>
          </w:p>
        </w:tc>
        <w:tc>
          <w:tcPr>
            <w:tcW w:w="911" w:type="dxa"/>
            <w:tcBorders>
              <w:top w:val="nil"/>
              <w:left w:val="nil"/>
              <w:bottom w:val="nil"/>
              <w:right w:val="single" w:sz="4" w:space="0" w:color="auto"/>
            </w:tcBorders>
            <w:shd w:val="clear" w:color="auto" w:fill="auto"/>
            <w:vAlign w:val="center"/>
            <w:hideMark/>
          </w:tcPr>
          <w:p w14:paraId="4D5D5F04" w14:textId="77777777" w:rsidR="004B5328" w:rsidRPr="00887108" w:rsidRDefault="004B5328" w:rsidP="004B5328">
            <w:pPr>
              <w:jc w:val="center"/>
              <w:rPr>
                <w:rFonts w:cs="Times New Roman"/>
                <w:b/>
                <w:bCs/>
                <w:sz w:val="18"/>
                <w:szCs w:val="18"/>
              </w:rPr>
            </w:pPr>
            <w:r w:rsidRPr="00887108">
              <w:rPr>
                <w:rFonts w:cs="Times New Roman"/>
                <w:b/>
                <w:bCs/>
                <w:sz w:val="18"/>
                <w:szCs w:val="18"/>
              </w:rPr>
              <w:t>1,8</w:t>
            </w:r>
          </w:p>
        </w:tc>
        <w:tc>
          <w:tcPr>
            <w:tcW w:w="1030" w:type="dxa"/>
            <w:tcBorders>
              <w:top w:val="nil"/>
              <w:left w:val="nil"/>
              <w:bottom w:val="nil"/>
              <w:right w:val="nil"/>
            </w:tcBorders>
            <w:shd w:val="clear" w:color="auto" w:fill="auto"/>
            <w:vAlign w:val="center"/>
            <w:hideMark/>
          </w:tcPr>
          <w:p w14:paraId="1212FEB0" w14:textId="77777777" w:rsidR="004B5328" w:rsidRPr="00887108" w:rsidRDefault="004B5328" w:rsidP="004B5328">
            <w:pPr>
              <w:jc w:val="center"/>
              <w:rPr>
                <w:rFonts w:cs="Times New Roman"/>
                <w:b/>
                <w:bCs/>
                <w:sz w:val="18"/>
                <w:szCs w:val="18"/>
              </w:rPr>
            </w:pPr>
            <w:r w:rsidRPr="00887108">
              <w:rPr>
                <w:rFonts w:cs="Times New Roman"/>
                <w:b/>
                <w:bCs/>
                <w:sz w:val="18"/>
                <w:szCs w:val="18"/>
              </w:rPr>
              <w:t>3498</w:t>
            </w:r>
          </w:p>
        </w:tc>
        <w:tc>
          <w:tcPr>
            <w:tcW w:w="908" w:type="dxa"/>
            <w:tcBorders>
              <w:top w:val="nil"/>
              <w:left w:val="nil"/>
              <w:bottom w:val="nil"/>
              <w:right w:val="nil"/>
            </w:tcBorders>
            <w:shd w:val="clear" w:color="auto" w:fill="auto"/>
            <w:vAlign w:val="center"/>
            <w:hideMark/>
          </w:tcPr>
          <w:p w14:paraId="7DC15E6E" w14:textId="77777777" w:rsidR="004B5328" w:rsidRPr="00887108" w:rsidRDefault="004B5328" w:rsidP="004B5328">
            <w:pPr>
              <w:jc w:val="center"/>
              <w:rPr>
                <w:rFonts w:cs="Times New Roman"/>
                <w:b/>
                <w:bCs/>
                <w:sz w:val="18"/>
                <w:szCs w:val="18"/>
              </w:rPr>
            </w:pPr>
            <w:r w:rsidRPr="00887108">
              <w:rPr>
                <w:rFonts w:cs="Times New Roman"/>
                <w:b/>
                <w:bCs/>
                <w:sz w:val="18"/>
                <w:szCs w:val="18"/>
              </w:rPr>
              <w:t>3,9</w:t>
            </w:r>
          </w:p>
        </w:tc>
      </w:tr>
      <w:tr w:rsidR="004B5328" w:rsidRPr="00887108" w14:paraId="3E5B6EF9" w14:textId="77777777" w:rsidTr="000570B1">
        <w:trPr>
          <w:trHeight w:val="288"/>
        </w:trPr>
        <w:tc>
          <w:tcPr>
            <w:tcW w:w="2811" w:type="dxa"/>
            <w:tcBorders>
              <w:top w:val="nil"/>
              <w:left w:val="nil"/>
              <w:bottom w:val="nil"/>
              <w:right w:val="nil"/>
            </w:tcBorders>
            <w:shd w:val="clear" w:color="auto" w:fill="auto"/>
            <w:vAlign w:val="center"/>
            <w:hideMark/>
          </w:tcPr>
          <w:p w14:paraId="762AB9D9"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Kompenzácie zamestnancov</w:t>
            </w:r>
          </w:p>
        </w:tc>
        <w:tc>
          <w:tcPr>
            <w:tcW w:w="2657" w:type="dxa"/>
            <w:tcBorders>
              <w:top w:val="nil"/>
              <w:left w:val="nil"/>
              <w:bottom w:val="nil"/>
              <w:right w:val="nil"/>
            </w:tcBorders>
            <w:shd w:val="clear" w:color="auto" w:fill="auto"/>
            <w:vAlign w:val="center"/>
            <w:hideMark/>
          </w:tcPr>
          <w:p w14:paraId="6028A833" w14:textId="77777777" w:rsidR="004B5328" w:rsidRPr="00887108" w:rsidRDefault="004B5328" w:rsidP="004B5328">
            <w:pPr>
              <w:jc w:val="center"/>
              <w:rPr>
                <w:rFonts w:cs="Times New Roman"/>
                <w:b/>
                <w:bCs/>
                <w:sz w:val="18"/>
                <w:szCs w:val="18"/>
              </w:rPr>
            </w:pPr>
            <w:r w:rsidRPr="00887108">
              <w:rPr>
                <w:rFonts w:cs="Times New Roman"/>
                <w:b/>
                <w:bCs/>
                <w:sz w:val="18"/>
                <w:szCs w:val="18"/>
              </w:rPr>
              <w:t>D.1</w:t>
            </w:r>
          </w:p>
        </w:tc>
        <w:tc>
          <w:tcPr>
            <w:tcW w:w="966" w:type="dxa"/>
            <w:tcBorders>
              <w:top w:val="nil"/>
              <w:left w:val="nil"/>
              <w:bottom w:val="nil"/>
              <w:right w:val="nil"/>
            </w:tcBorders>
            <w:shd w:val="clear" w:color="auto" w:fill="auto"/>
            <w:vAlign w:val="center"/>
            <w:hideMark/>
          </w:tcPr>
          <w:p w14:paraId="12C99BCD" w14:textId="77777777" w:rsidR="004B5328" w:rsidRPr="00887108" w:rsidRDefault="004B5328" w:rsidP="004B5328">
            <w:pPr>
              <w:jc w:val="center"/>
              <w:rPr>
                <w:rFonts w:cs="Times New Roman"/>
                <w:b/>
                <w:bCs/>
                <w:sz w:val="18"/>
                <w:szCs w:val="18"/>
              </w:rPr>
            </w:pPr>
            <w:r w:rsidRPr="00887108">
              <w:rPr>
                <w:rFonts w:cs="Times New Roman"/>
                <w:b/>
                <w:bCs/>
                <w:sz w:val="18"/>
                <w:szCs w:val="18"/>
              </w:rPr>
              <w:t>696</w:t>
            </w:r>
          </w:p>
        </w:tc>
        <w:tc>
          <w:tcPr>
            <w:tcW w:w="911" w:type="dxa"/>
            <w:tcBorders>
              <w:top w:val="nil"/>
              <w:left w:val="nil"/>
              <w:bottom w:val="nil"/>
              <w:right w:val="single" w:sz="4" w:space="0" w:color="auto"/>
            </w:tcBorders>
            <w:shd w:val="clear" w:color="auto" w:fill="auto"/>
            <w:vAlign w:val="center"/>
            <w:hideMark/>
          </w:tcPr>
          <w:p w14:paraId="5B6AB0D5" w14:textId="77777777" w:rsidR="004B5328" w:rsidRPr="00887108" w:rsidRDefault="004B5328" w:rsidP="004B5328">
            <w:pPr>
              <w:jc w:val="center"/>
              <w:rPr>
                <w:rFonts w:cs="Times New Roman"/>
                <w:b/>
                <w:bCs/>
                <w:sz w:val="18"/>
                <w:szCs w:val="18"/>
              </w:rPr>
            </w:pPr>
            <w:r w:rsidRPr="00887108">
              <w:rPr>
                <w:rFonts w:cs="Times New Roman"/>
                <w:b/>
                <w:bCs/>
                <w:sz w:val="18"/>
                <w:szCs w:val="18"/>
              </w:rPr>
              <w:t>0,7</w:t>
            </w:r>
          </w:p>
        </w:tc>
        <w:tc>
          <w:tcPr>
            <w:tcW w:w="1030" w:type="dxa"/>
            <w:tcBorders>
              <w:top w:val="nil"/>
              <w:left w:val="nil"/>
              <w:bottom w:val="nil"/>
              <w:right w:val="nil"/>
            </w:tcBorders>
            <w:shd w:val="clear" w:color="auto" w:fill="auto"/>
            <w:vAlign w:val="center"/>
            <w:hideMark/>
          </w:tcPr>
          <w:p w14:paraId="270EBF69" w14:textId="77777777" w:rsidR="004B5328" w:rsidRPr="00887108" w:rsidRDefault="004B5328" w:rsidP="004B5328">
            <w:pPr>
              <w:jc w:val="center"/>
              <w:rPr>
                <w:rFonts w:cs="Times New Roman"/>
                <w:b/>
                <w:bCs/>
                <w:sz w:val="18"/>
                <w:szCs w:val="18"/>
              </w:rPr>
            </w:pPr>
            <w:r w:rsidRPr="00887108">
              <w:rPr>
                <w:rFonts w:cs="Times New Roman"/>
                <w:b/>
                <w:bCs/>
                <w:sz w:val="18"/>
                <w:szCs w:val="18"/>
              </w:rPr>
              <w:t>359</w:t>
            </w:r>
          </w:p>
        </w:tc>
        <w:tc>
          <w:tcPr>
            <w:tcW w:w="908" w:type="dxa"/>
            <w:tcBorders>
              <w:top w:val="nil"/>
              <w:left w:val="nil"/>
              <w:bottom w:val="nil"/>
              <w:right w:val="nil"/>
            </w:tcBorders>
            <w:shd w:val="clear" w:color="auto" w:fill="auto"/>
            <w:vAlign w:val="center"/>
            <w:hideMark/>
          </w:tcPr>
          <w:p w14:paraId="7BD1E56D" w14:textId="77777777" w:rsidR="004B5328" w:rsidRPr="00887108" w:rsidRDefault="004B5328" w:rsidP="004B5328">
            <w:pPr>
              <w:jc w:val="center"/>
              <w:rPr>
                <w:rFonts w:cs="Times New Roman"/>
                <w:b/>
                <w:bCs/>
                <w:sz w:val="18"/>
                <w:szCs w:val="18"/>
              </w:rPr>
            </w:pPr>
            <w:r w:rsidRPr="00887108">
              <w:rPr>
                <w:rFonts w:cs="Times New Roman"/>
                <w:b/>
                <w:bCs/>
                <w:sz w:val="18"/>
                <w:szCs w:val="18"/>
              </w:rPr>
              <w:t>0,4</w:t>
            </w:r>
          </w:p>
        </w:tc>
      </w:tr>
      <w:tr w:rsidR="004B5328" w:rsidRPr="00887108" w14:paraId="3273C209" w14:textId="77777777" w:rsidTr="000570B1">
        <w:trPr>
          <w:trHeight w:val="288"/>
        </w:trPr>
        <w:tc>
          <w:tcPr>
            <w:tcW w:w="2811" w:type="dxa"/>
            <w:tcBorders>
              <w:top w:val="nil"/>
              <w:left w:val="nil"/>
              <w:bottom w:val="nil"/>
              <w:right w:val="nil"/>
            </w:tcBorders>
            <w:shd w:val="clear" w:color="auto" w:fill="auto"/>
            <w:vAlign w:val="center"/>
            <w:hideMark/>
          </w:tcPr>
          <w:p w14:paraId="54BD2158"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Medzispotreba</w:t>
            </w:r>
          </w:p>
        </w:tc>
        <w:tc>
          <w:tcPr>
            <w:tcW w:w="2657" w:type="dxa"/>
            <w:tcBorders>
              <w:top w:val="nil"/>
              <w:left w:val="nil"/>
              <w:bottom w:val="nil"/>
              <w:right w:val="nil"/>
            </w:tcBorders>
            <w:shd w:val="clear" w:color="auto" w:fill="auto"/>
            <w:vAlign w:val="center"/>
            <w:hideMark/>
          </w:tcPr>
          <w:p w14:paraId="76B51378" w14:textId="77777777" w:rsidR="004B5328" w:rsidRPr="00887108" w:rsidRDefault="004B5328" w:rsidP="004B5328">
            <w:pPr>
              <w:jc w:val="center"/>
              <w:rPr>
                <w:rFonts w:cs="Times New Roman"/>
                <w:b/>
                <w:bCs/>
                <w:sz w:val="18"/>
                <w:szCs w:val="18"/>
              </w:rPr>
            </w:pPr>
            <w:r w:rsidRPr="00887108">
              <w:rPr>
                <w:rFonts w:cs="Times New Roman"/>
                <w:b/>
                <w:bCs/>
                <w:sz w:val="18"/>
                <w:szCs w:val="18"/>
              </w:rPr>
              <w:t>P.2</w:t>
            </w:r>
          </w:p>
        </w:tc>
        <w:tc>
          <w:tcPr>
            <w:tcW w:w="966" w:type="dxa"/>
            <w:tcBorders>
              <w:top w:val="nil"/>
              <w:left w:val="nil"/>
              <w:bottom w:val="nil"/>
              <w:right w:val="nil"/>
            </w:tcBorders>
            <w:shd w:val="clear" w:color="auto" w:fill="auto"/>
            <w:vAlign w:val="center"/>
            <w:hideMark/>
          </w:tcPr>
          <w:p w14:paraId="1BB8CF04" w14:textId="77777777" w:rsidR="004B5328" w:rsidRPr="00887108" w:rsidRDefault="004B5328" w:rsidP="004B5328">
            <w:pPr>
              <w:jc w:val="center"/>
              <w:rPr>
                <w:rFonts w:cs="Times New Roman"/>
                <w:b/>
                <w:bCs/>
                <w:sz w:val="18"/>
                <w:szCs w:val="18"/>
              </w:rPr>
            </w:pPr>
            <w:r w:rsidRPr="00887108">
              <w:rPr>
                <w:rFonts w:cs="Times New Roman"/>
                <w:b/>
                <w:bCs/>
                <w:sz w:val="18"/>
                <w:szCs w:val="18"/>
              </w:rPr>
              <w:t>-186</w:t>
            </w:r>
          </w:p>
        </w:tc>
        <w:tc>
          <w:tcPr>
            <w:tcW w:w="911" w:type="dxa"/>
            <w:tcBorders>
              <w:top w:val="nil"/>
              <w:left w:val="nil"/>
              <w:bottom w:val="nil"/>
              <w:right w:val="single" w:sz="4" w:space="0" w:color="auto"/>
            </w:tcBorders>
            <w:shd w:val="clear" w:color="auto" w:fill="auto"/>
            <w:vAlign w:val="center"/>
            <w:hideMark/>
          </w:tcPr>
          <w:p w14:paraId="1BEAA000" w14:textId="77777777" w:rsidR="004B5328" w:rsidRPr="00887108" w:rsidRDefault="004B5328" w:rsidP="004B5328">
            <w:pPr>
              <w:jc w:val="center"/>
              <w:rPr>
                <w:rFonts w:cs="Times New Roman"/>
                <w:b/>
                <w:bCs/>
                <w:sz w:val="18"/>
                <w:szCs w:val="18"/>
              </w:rPr>
            </w:pPr>
            <w:r w:rsidRPr="00887108">
              <w:rPr>
                <w:rFonts w:cs="Times New Roman"/>
                <w:b/>
                <w:bCs/>
                <w:sz w:val="18"/>
                <w:szCs w:val="18"/>
              </w:rPr>
              <w:t>-0,2</w:t>
            </w:r>
          </w:p>
        </w:tc>
        <w:tc>
          <w:tcPr>
            <w:tcW w:w="1030" w:type="dxa"/>
            <w:tcBorders>
              <w:top w:val="nil"/>
              <w:left w:val="nil"/>
              <w:bottom w:val="nil"/>
              <w:right w:val="nil"/>
            </w:tcBorders>
            <w:shd w:val="clear" w:color="auto" w:fill="auto"/>
            <w:vAlign w:val="center"/>
            <w:hideMark/>
          </w:tcPr>
          <w:p w14:paraId="1308E7C9" w14:textId="77777777" w:rsidR="004B5328" w:rsidRPr="00887108" w:rsidRDefault="004B5328" w:rsidP="004B5328">
            <w:pPr>
              <w:jc w:val="center"/>
              <w:rPr>
                <w:rFonts w:cs="Times New Roman"/>
                <w:b/>
                <w:bCs/>
                <w:sz w:val="18"/>
                <w:szCs w:val="18"/>
              </w:rPr>
            </w:pPr>
            <w:r w:rsidRPr="00887108">
              <w:rPr>
                <w:rFonts w:cs="Times New Roman"/>
                <w:b/>
                <w:bCs/>
                <w:sz w:val="18"/>
                <w:szCs w:val="18"/>
              </w:rPr>
              <w:t>379</w:t>
            </w:r>
          </w:p>
        </w:tc>
        <w:tc>
          <w:tcPr>
            <w:tcW w:w="908" w:type="dxa"/>
            <w:tcBorders>
              <w:top w:val="nil"/>
              <w:left w:val="nil"/>
              <w:bottom w:val="nil"/>
              <w:right w:val="nil"/>
            </w:tcBorders>
            <w:shd w:val="clear" w:color="auto" w:fill="auto"/>
            <w:vAlign w:val="center"/>
            <w:hideMark/>
          </w:tcPr>
          <w:p w14:paraId="57B0BDF2" w14:textId="77777777" w:rsidR="004B5328" w:rsidRPr="00887108" w:rsidRDefault="004B5328" w:rsidP="004B5328">
            <w:pPr>
              <w:jc w:val="center"/>
              <w:rPr>
                <w:rFonts w:cs="Times New Roman"/>
                <w:b/>
                <w:bCs/>
                <w:sz w:val="18"/>
                <w:szCs w:val="18"/>
              </w:rPr>
            </w:pPr>
            <w:r w:rsidRPr="00887108">
              <w:rPr>
                <w:rFonts w:cs="Times New Roman"/>
                <w:b/>
                <w:bCs/>
                <w:sz w:val="18"/>
                <w:szCs w:val="18"/>
              </w:rPr>
              <w:t>0,4</w:t>
            </w:r>
          </w:p>
        </w:tc>
      </w:tr>
      <w:tr w:rsidR="004B5328" w:rsidRPr="00887108" w14:paraId="08697C16" w14:textId="77777777" w:rsidTr="000570B1">
        <w:trPr>
          <w:trHeight w:val="288"/>
        </w:trPr>
        <w:tc>
          <w:tcPr>
            <w:tcW w:w="2811" w:type="dxa"/>
            <w:tcBorders>
              <w:top w:val="nil"/>
              <w:left w:val="nil"/>
              <w:bottom w:val="nil"/>
              <w:right w:val="nil"/>
            </w:tcBorders>
            <w:shd w:val="clear" w:color="auto" w:fill="auto"/>
            <w:vAlign w:val="center"/>
            <w:hideMark/>
          </w:tcPr>
          <w:p w14:paraId="1DE793EF"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Dane</w:t>
            </w:r>
          </w:p>
        </w:tc>
        <w:tc>
          <w:tcPr>
            <w:tcW w:w="2657" w:type="dxa"/>
            <w:tcBorders>
              <w:top w:val="nil"/>
              <w:left w:val="nil"/>
              <w:bottom w:val="nil"/>
              <w:right w:val="nil"/>
            </w:tcBorders>
            <w:shd w:val="clear" w:color="auto" w:fill="auto"/>
            <w:vAlign w:val="center"/>
            <w:hideMark/>
          </w:tcPr>
          <w:p w14:paraId="5823084C" w14:textId="77777777" w:rsidR="004B5328" w:rsidRPr="00887108" w:rsidRDefault="004B5328" w:rsidP="004B5328">
            <w:pPr>
              <w:jc w:val="center"/>
              <w:rPr>
                <w:rFonts w:cs="Times New Roman"/>
                <w:b/>
                <w:bCs/>
                <w:sz w:val="18"/>
                <w:szCs w:val="18"/>
              </w:rPr>
            </w:pPr>
            <w:r w:rsidRPr="00887108">
              <w:rPr>
                <w:rFonts w:cs="Times New Roman"/>
                <w:b/>
                <w:bCs/>
                <w:sz w:val="18"/>
                <w:szCs w:val="18"/>
              </w:rPr>
              <w:t>D.29+D.5</w:t>
            </w:r>
          </w:p>
        </w:tc>
        <w:tc>
          <w:tcPr>
            <w:tcW w:w="966" w:type="dxa"/>
            <w:tcBorders>
              <w:top w:val="nil"/>
              <w:left w:val="nil"/>
              <w:bottom w:val="nil"/>
              <w:right w:val="nil"/>
            </w:tcBorders>
            <w:shd w:val="clear" w:color="auto" w:fill="auto"/>
            <w:vAlign w:val="center"/>
            <w:hideMark/>
          </w:tcPr>
          <w:p w14:paraId="53022898" w14:textId="77777777" w:rsidR="004B5328" w:rsidRPr="00887108" w:rsidRDefault="004B5328" w:rsidP="004B5328">
            <w:pPr>
              <w:jc w:val="center"/>
              <w:rPr>
                <w:rFonts w:cs="Times New Roman"/>
                <w:b/>
                <w:bCs/>
                <w:sz w:val="18"/>
                <w:szCs w:val="18"/>
              </w:rPr>
            </w:pPr>
            <w:r w:rsidRPr="00887108">
              <w:rPr>
                <w:rFonts w:cs="Times New Roman"/>
                <w:b/>
                <w:bCs/>
                <w:sz w:val="18"/>
                <w:szCs w:val="18"/>
              </w:rPr>
              <w:t>98</w:t>
            </w:r>
          </w:p>
        </w:tc>
        <w:tc>
          <w:tcPr>
            <w:tcW w:w="911" w:type="dxa"/>
            <w:tcBorders>
              <w:top w:val="nil"/>
              <w:left w:val="nil"/>
              <w:bottom w:val="nil"/>
              <w:right w:val="single" w:sz="4" w:space="0" w:color="auto"/>
            </w:tcBorders>
            <w:shd w:val="clear" w:color="auto" w:fill="auto"/>
            <w:vAlign w:val="center"/>
            <w:hideMark/>
          </w:tcPr>
          <w:p w14:paraId="14DC3905" w14:textId="77777777" w:rsidR="004B5328" w:rsidRPr="00887108" w:rsidRDefault="004B5328" w:rsidP="004B5328">
            <w:pPr>
              <w:jc w:val="center"/>
              <w:rPr>
                <w:rFonts w:cs="Times New Roman"/>
                <w:b/>
                <w:bCs/>
                <w:sz w:val="18"/>
                <w:szCs w:val="18"/>
              </w:rPr>
            </w:pPr>
            <w:r w:rsidRPr="00887108">
              <w:rPr>
                <w:rFonts w:cs="Times New Roman"/>
                <w:b/>
                <w:bCs/>
                <w:sz w:val="18"/>
                <w:szCs w:val="18"/>
              </w:rPr>
              <w:t>0,1</w:t>
            </w:r>
          </w:p>
        </w:tc>
        <w:tc>
          <w:tcPr>
            <w:tcW w:w="1030" w:type="dxa"/>
            <w:tcBorders>
              <w:top w:val="nil"/>
              <w:left w:val="nil"/>
              <w:bottom w:val="nil"/>
              <w:right w:val="nil"/>
            </w:tcBorders>
            <w:shd w:val="clear" w:color="auto" w:fill="auto"/>
            <w:vAlign w:val="center"/>
            <w:hideMark/>
          </w:tcPr>
          <w:p w14:paraId="5F843A93" w14:textId="77777777" w:rsidR="004B5328" w:rsidRPr="00887108" w:rsidRDefault="004B5328" w:rsidP="004B5328">
            <w:pPr>
              <w:jc w:val="center"/>
              <w:rPr>
                <w:rFonts w:cs="Times New Roman"/>
                <w:b/>
                <w:bCs/>
                <w:sz w:val="18"/>
                <w:szCs w:val="18"/>
              </w:rPr>
            </w:pPr>
            <w:r w:rsidRPr="00887108">
              <w:rPr>
                <w:rFonts w:cs="Times New Roman"/>
                <w:b/>
                <w:bCs/>
                <w:sz w:val="18"/>
                <w:szCs w:val="18"/>
              </w:rPr>
              <w:t>0</w:t>
            </w:r>
          </w:p>
        </w:tc>
        <w:tc>
          <w:tcPr>
            <w:tcW w:w="908" w:type="dxa"/>
            <w:tcBorders>
              <w:top w:val="nil"/>
              <w:left w:val="nil"/>
              <w:bottom w:val="nil"/>
              <w:right w:val="nil"/>
            </w:tcBorders>
            <w:shd w:val="clear" w:color="auto" w:fill="auto"/>
            <w:vAlign w:val="center"/>
            <w:hideMark/>
          </w:tcPr>
          <w:p w14:paraId="6EC7F75C" w14:textId="77777777" w:rsidR="004B5328" w:rsidRPr="00887108" w:rsidRDefault="004B5328" w:rsidP="004B5328">
            <w:pPr>
              <w:jc w:val="center"/>
              <w:rPr>
                <w:rFonts w:cs="Times New Roman"/>
                <w:b/>
                <w:bCs/>
                <w:sz w:val="18"/>
                <w:szCs w:val="18"/>
              </w:rPr>
            </w:pPr>
            <w:r w:rsidRPr="00887108">
              <w:rPr>
                <w:rFonts w:cs="Times New Roman"/>
                <w:b/>
                <w:bCs/>
                <w:sz w:val="18"/>
                <w:szCs w:val="18"/>
              </w:rPr>
              <w:t>0,0</w:t>
            </w:r>
          </w:p>
        </w:tc>
      </w:tr>
      <w:tr w:rsidR="004B5328" w:rsidRPr="00887108" w14:paraId="189F2D74" w14:textId="77777777" w:rsidTr="000570B1">
        <w:trPr>
          <w:trHeight w:val="288"/>
        </w:trPr>
        <w:tc>
          <w:tcPr>
            <w:tcW w:w="2811" w:type="dxa"/>
            <w:tcBorders>
              <w:top w:val="nil"/>
              <w:left w:val="nil"/>
              <w:bottom w:val="nil"/>
              <w:right w:val="nil"/>
            </w:tcBorders>
            <w:shd w:val="clear" w:color="auto" w:fill="auto"/>
            <w:vAlign w:val="center"/>
            <w:hideMark/>
          </w:tcPr>
          <w:p w14:paraId="51CA0E9D"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Subvencie</w:t>
            </w:r>
          </w:p>
        </w:tc>
        <w:tc>
          <w:tcPr>
            <w:tcW w:w="2657" w:type="dxa"/>
            <w:tcBorders>
              <w:top w:val="nil"/>
              <w:left w:val="nil"/>
              <w:bottom w:val="nil"/>
              <w:right w:val="nil"/>
            </w:tcBorders>
            <w:shd w:val="clear" w:color="auto" w:fill="auto"/>
            <w:vAlign w:val="center"/>
            <w:hideMark/>
          </w:tcPr>
          <w:p w14:paraId="4F9F86D5" w14:textId="77777777" w:rsidR="004B5328" w:rsidRPr="00887108" w:rsidRDefault="004B5328" w:rsidP="004B5328">
            <w:pPr>
              <w:jc w:val="center"/>
              <w:rPr>
                <w:rFonts w:cs="Times New Roman"/>
                <w:b/>
                <w:bCs/>
                <w:sz w:val="18"/>
                <w:szCs w:val="18"/>
              </w:rPr>
            </w:pPr>
            <w:r w:rsidRPr="00887108">
              <w:rPr>
                <w:rFonts w:cs="Times New Roman"/>
                <w:b/>
                <w:bCs/>
                <w:sz w:val="18"/>
                <w:szCs w:val="18"/>
              </w:rPr>
              <w:t>D.3</w:t>
            </w:r>
          </w:p>
        </w:tc>
        <w:tc>
          <w:tcPr>
            <w:tcW w:w="966" w:type="dxa"/>
            <w:tcBorders>
              <w:top w:val="nil"/>
              <w:left w:val="nil"/>
              <w:bottom w:val="nil"/>
              <w:right w:val="nil"/>
            </w:tcBorders>
            <w:shd w:val="clear" w:color="auto" w:fill="auto"/>
            <w:vAlign w:val="center"/>
            <w:hideMark/>
          </w:tcPr>
          <w:p w14:paraId="36048580" w14:textId="77777777" w:rsidR="004B5328" w:rsidRPr="00887108" w:rsidRDefault="004B5328" w:rsidP="004B5328">
            <w:pPr>
              <w:jc w:val="center"/>
              <w:rPr>
                <w:rFonts w:cs="Times New Roman"/>
                <w:b/>
                <w:bCs/>
                <w:sz w:val="18"/>
                <w:szCs w:val="18"/>
              </w:rPr>
            </w:pPr>
            <w:r w:rsidRPr="00887108">
              <w:rPr>
                <w:rFonts w:cs="Times New Roman"/>
                <w:b/>
                <w:bCs/>
                <w:sz w:val="18"/>
                <w:szCs w:val="18"/>
              </w:rPr>
              <w:t>575</w:t>
            </w:r>
          </w:p>
        </w:tc>
        <w:tc>
          <w:tcPr>
            <w:tcW w:w="911" w:type="dxa"/>
            <w:tcBorders>
              <w:top w:val="nil"/>
              <w:left w:val="nil"/>
              <w:bottom w:val="nil"/>
              <w:right w:val="single" w:sz="4" w:space="0" w:color="auto"/>
            </w:tcBorders>
            <w:shd w:val="clear" w:color="auto" w:fill="auto"/>
            <w:vAlign w:val="center"/>
            <w:hideMark/>
          </w:tcPr>
          <w:p w14:paraId="66825D75" w14:textId="77777777" w:rsidR="004B5328" w:rsidRPr="00887108" w:rsidRDefault="004B5328" w:rsidP="004B5328">
            <w:pPr>
              <w:jc w:val="center"/>
              <w:rPr>
                <w:rFonts w:cs="Times New Roman"/>
                <w:b/>
                <w:bCs/>
                <w:sz w:val="18"/>
                <w:szCs w:val="18"/>
              </w:rPr>
            </w:pPr>
            <w:r w:rsidRPr="00887108">
              <w:rPr>
                <w:rFonts w:cs="Times New Roman"/>
                <w:b/>
                <w:bCs/>
                <w:sz w:val="18"/>
                <w:szCs w:val="18"/>
              </w:rPr>
              <w:t>0,6</w:t>
            </w:r>
          </w:p>
        </w:tc>
        <w:tc>
          <w:tcPr>
            <w:tcW w:w="1030" w:type="dxa"/>
            <w:tcBorders>
              <w:top w:val="nil"/>
              <w:left w:val="nil"/>
              <w:bottom w:val="nil"/>
              <w:right w:val="nil"/>
            </w:tcBorders>
            <w:shd w:val="clear" w:color="auto" w:fill="auto"/>
            <w:vAlign w:val="center"/>
            <w:hideMark/>
          </w:tcPr>
          <w:p w14:paraId="3248492A" w14:textId="77777777" w:rsidR="004B5328" w:rsidRPr="00887108" w:rsidRDefault="004B5328" w:rsidP="004B5328">
            <w:pPr>
              <w:jc w:val="center"/>
              <w:rPr>
                <w:rFonts w:cs="Times New Roman"/>
                <w:b/>
                <w:bCs/>
                <w:sz w:val="18"/>
                <w:szCs w:val="18"/>
              </w:rPr>
            </w:pPr>
            <w:r w:rsidRPr="00887108">
              <w:rPr>
                <w:rFonts w:cs="Times New Roman"/>
                <w:b/>
                <w:bCs/>
                <w:sz w:val="18"/>
                <w:szCs w:val="18"/>
              </w:rPr>
              <w:t>617</w:t>
            </w:r>
          </w:p>
        </w:tc>
        <w:tc>
          <w:tcPr>
            <w:tcW w:w="908" w:type="dxa"/>
            <w:tcBorders>
              <w:top w:val="nil"/>
              <w:left w:val="nil"/>
              <w:bottom w:val="nil"/>
              <w:right w:val="nil"/>
            </w:tcBorders>
            <w:shd w:val="clear" w:color="auto" w:fill="auto"/>
            <w:vAlign w:val="center"/>
            <w:hideMark/>
          </w:tcPr>
          <w:p w14:paraId="1A2BAD2C" w14:textId="77777777" w:rsidR="004B5328" w:rsidRPr="00887108" w:rsidRDefault="004B5328" w:rsidP="004B5328">
            <w:pPr>
              <w:jc w:val="center"/>
              <w:rPr>
                <w:rFonts w:cs="Times New Roman"/>
                <w:b/>
                <w:bCs/>
                <w:sz w:val="18"/>
                <w:szCs w:val="18"/>
              </w:rPr>
            </w:pPr>
            <w:r w:rsidRPr="00887108">
              <w:rPr>
                <w:rFonts w:cs="Times New Roman"/>
                <w:b/>
                <w:bCs/>
                <w:sz w:val="18"/>
                <w:szCs w:val="18"/>
              </w:rPr>
              <w:t>0,7</w:t>
            </w:r>
          </w:p>
        </w:tc>
      </w:tr>
      <w:tr w:rsidR="004B5328" w:rsidRPr="00887108" w14:paraId="4B97A3DC" w14:textId="77777777" w:rsidTr="000570B1">
        <w:trPr>
          <w:trHeight w:val="288"/>
        </w:trPr>
        <w:tc>
          <w:tcPr>
            <w:tcW w:w="2811" w:type="dxa"/>
            <w:tcBorders>
              <w:top w:val="nil"/>
              <w:left w:val="nil"/>
              <w:bottom w:val="nil"/>
              <w:right w:val="nil"/>
            </w:tcBorders>
            <w:shd w:val="clear" w:color="auto" w:fill="auto"/>
            <w:vAlign w:val="center"/>
            <w:hideMark/>
          </w:tcPr>
          <w:p w14:paraId="2D9F8505"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Dôchodky z majetku</w:t>
            </w:r>
          </w:p>
        </w:tc>
        <w:tc>
          <w:tcPr>
            <w:tcW w:w="2657" w:type="dxa"/>
            <w:tcBorders>
              <w:top w:val="nil"/>
              <w:left w:val="nil"/>
              <w:bottom w:val="nil"/>
              <w:right w:val="nil"/>
            </w:tcBorders>
            <w:shd w:val="clear" w:color="auto" w:fill="auto"/>
            <w:vAlign w:val="center"/>
            <w:hideMark/>
          </w:tcPr>
          <w:p w14:paraId="5BBEEE67" w14:textId="77777777" w:rsidR="004B5328" w:rsidRPr="00887108" w:rsidRDefault="004B5328" w:rsidP="004B5328">
            <w:pPr>
              <w:jc w:val="center"/>
              <w:rPr>
                <w:rFonts w:cs="Times New Roman"/>
                <w:b/>
                <w:bCs/>
                <w:sz w:val="18"/>
                <w:szCs w:val="18"/>
              </w:rPr>
            </w:pPr>
            <w:r w:rsidRPr="00887108">
              <w:rPr>
                <w:rFonts w:cs="Times New Roman"/>
                <w:b/>
                <w:bCs/>
                <w:sz w:val="18"/>
                <w:szCs w:val="18"/>
              </w:rPr>
              <w:t>D.4</w:t>
            </w:r>
          </w:p>
        </w:tc>
        <w:tc>
          <w:tcPr>
            <w:tcW w:w="966" w:type="dxa"/>
            <w:tcBorders>
              <w:top w:val="nil"/>
              <w:left w:val="nil"/>
              <w:bottom w:val="nil"/>
              <w:right w:val="nil"/>
            </w:tcBorders>
            <w:shd w:val="clear" w:color="auto" w:fill="auto"/>
            <w:vAlign w:val="center"/>
            <w:hideMark/>
          </w:tcPr>
          <w:p w14:paraId="46CCBA3D" w14:textId="77777777" w:rsidR="004B5328" w:rsidRPr="00887108" w:rsidRDefault="004B5328" w:rsidP="004B5328">
            <w:pPr>
              <w:jc w:val="center"/>
              <w:rPr>
                <w:rFonts w:cs="Times New Roman"/>
                <w:b/>
                <w:bCs/>
                <w:sz w:val="18"/>
                <w:szCs w:val="18"/>
              </w:rPr>
            </w:pPr>
            <w:r w:rsidRPr="00887108">
              <w:rPr>
                <w:rFonts w:cs="Times New Roman"/>
                <w:b/>
                <w:bCs/>
                <w:sz w:val="18"/>
                <w:szCs w:val="18"/>
              </w:rPr>
              <w:t>32</w:t>
            </w:r>
          </w:p>
        </w:tc>
        <w:tc>
          <w:tcPr>
            <w:tcW w:w="911" w:type="dxa"/>
            <w:tcBorders>
              <w:top w:val="nil"/>
              <w:left w:val="nil"/>
              <w:bottom w:val="nil"/>
              <w:right w:val="single" w:sz="4" w:space="0" w:color="auto"/>
            </w:tcBorders>
            <w:shd w:val="clear" w:color="auto" w:fill="auto"/>
            <w:vAlign w:val="center"/>
            <w:hideMark/>
          </w:tcPr>
          <w:p w14:paraId="37118150" w14:textId="77777777" w:rsidR="004B5328" w:rsidRPr="00887108" w:rsidRDefault="004B5328" w:rsidP="004B5328">
            <w:pPr>
              <w:jc w:val="center"/>
              <w:rPr>
                <w:rFonts w:cs="Times New Roman"/>
                <w:b/>
                <w:bCs/>
                <w:sz w:val="18"/>
                <w:szCs w:val="18"/>
              </w:rPr>
            </w:pPr>
            <w:r w:rsidRPr="00887108">
              <w:rPr>
                <w:rFonts w:cs="Times New Roman"/>
                <w:b/>
                <w:bCs/>
                <w:sz w:val="18"/>
                <w:szCs w:val="18"/>
              </w:rPr>
              <w:t>0,0</w:t>
            </w:r>
          </w:p>
        </w:tc>
        <w:tc>
          <w:tcPr>
            <w:tcW w:w="1030" w:type="dxa"/>
            <w:tcBorders>
              <w:top w:val="nil"/>
              <w:left w:val="nil"/>
              <w:bottom w:val="nil"/>
              <w:right w:val="nil"/>
            </w:tcBorders>
            <w:shd w:val="clear" w:color="auto" w:fill="auto"/>
            <w:vAlign w:val="center"/>
            <w:hideMark/>
          </w:tcPr>
          <w:p w14:paraId="359ABB05" w14:textId="77777777" w:rsidR="004B5328" w:rsidRPr="00887108" w:rsidRDefault="004B5328" w:rsidP="004B5328">
            <w:pPr>
              <w:jc w:val="center"/>
              <w:rPr>
                <w:rFonts w:cs="Times New Roman"/>
                <w:b/>
                <w:bCs/>
                <w:sz w:val="18"/>
                <w:szCs w:val="18"/>
              </w:rPr>
            </w:pPr>
            <w:r w:rsidRPr="00887108">
              <w:rPr>
                <w:rFonts w:cs="Times New Roman"/>
                <w:b/>
                <w:bCs/>
                <w:sz w:val="18"/>
                <w:szCs w:val="18"/>
              </w:rPr>
              <w:t>-4</w:t>
            </w:r>
          </w:p>
        </w:tc>
        <w:tc>
          <w:tcPr>
            <w:tcW w:w="908" w:type="dxa"/>
            <w:tcBorders>
              <w:top w:val="nil"/>
              <w:left w:val="nil"/>
              <w:bottom w:val="nil"/>
              <w:right w:val="nil"/>
            </w:tcBorders>
            <w:shd w:val="clear" w:color="auto" w:fill="auto"/>
            <w:vAlign w:val="center"/>
            <w:hideMark/>
          </w:tcPr>
          <w:p w14:paraId="0C058A4F" w14:textId="77777777" w:rsidR="004B5328" w:rsidRPr="00887108" w:rsidRDefault="004B5328" w:rsidP="004B5328">
            <w:pPr>
              <w:jc w:val="center"/>
              <w:rPr>
                <w:rFonts w:cs="Times New Roman"/>
                <w:b/>
                <w:bCs/>
                <w:sz w:val="18"/>
                <w:szCs w:val="18"/>
              </w:rPr>
            </w:pPr>
            <w:r w:rsidRPr="00887108">
              <w:rPr>
                <w:rFonts w:cs="Times New Roman"/>
                <w:b/>
                <w:bCs/>
                <w:sz w:val="18"/>
                <w:szCs w:val="18"/>
              </w:rPr>
              <w:t>0,0</w:t>
            </w:r>
          </w:p>
        </w:tc>
      </w:tr>
      <w:tr w:rsidR="004B5328" w:rsidRPr="00887108" w14:paraId="1B3735A3" w14:textId="77777777" w:rsidTr="000570B1">
        <w:trPr>
          <w:trHeight w:val="288"/>
        </w:trPr>
        <w:tc>
          <w:tcPr>
            <w:tcW w:w="2811" w:type="dxa"/>
            <w:tcBorders>
              <w:top w:val="nil"/>
              <w:left w:val="nil"/>
              <w:bottom w:val="nil"/>
              <w:right w:val="nil"/>
            </w:tcBorders>
            <w:shd w:val="clear" w:color="auto" w:fill="auto"/>
            <w:vAlign w:val="center"/>
            <w:hideMark/>
          </w:tcPr>
          <w:p w14:paraId="1375FA61"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Celkové sociálne transfery</w:t>
            </w:r>
          </w:p>
        </w:tc>
        <w:tc>
          <w:tcPr>
            <w:tcW w:w="2657" w:type="dxa"/>
            <w:tcBorders>
              <w:top w:val="nil"/>
              <w:left w:val="nil"/>
              <w:bottom w:val="nil"/>
              <w:right w:val="nil"/>
            </w:tcBorders>
            <w:shd w:val="clear" w:color="auto" w:fill="auto"/>
            <w:vAlign w:val="center"/>
            <w:hideMark/>
          </w:tcPr>
          <w:p w14:paraId="30130B58" w14:textId="77777777" w:rsidR="004B5328" w:rsidRPr="00887108" w:rsidRDefault="004B5328" w:rsidP="004B5328">
            <w:pPr>
              <w:jc w:val="center"/>
              <w:rPr>
                <w:rFonts w:cs="Times New Roman"/>
                <w:b/>
                <w:bCs/>
                <w:sz w:val="18"/>
                <w:szCs w:val="18"/>
              </w:rPr>
            </w:pPr>
            <w:r w:rsidRPr="00887108">
              <w:rPr>
                <w:rFonts w:cs="Times New Roman"/>
                <w:b/>
                <w:bCs/>
                <w:sz w:val="18"/>
                <w:szCs w:val="18"/>
              </w:rPr>
              <w:t>D.6</w:t>
            </w:r>
          </w:p>
        </w:tc>
        <w:tc>
          <w:tcPr>
            <w:tcW w:w="966" w:type="dxa"/>
            <w:tcBorders>
              <w:top w:val="nil"/>
              <w:left w:val="nil"/>
              <w:bottom w:val="nil"/>
              <w:right w:val="nil"/>
            </w:tcBorders>
            <w:shd w:val="clear" w:color="auto" w:fill="auto"/>
            <w:vAlign w:val="center"/>
            <w:hideMark/>
          </w:tcPr>
          <w:p w14:paraId="65A6F9F8" w14:textId="77777777" w:rsidR="004B5328" w:rsidRPr="00887108" w:rsidRDefault="004B5328" w:rsidP="004B5328">
            <w:pPr>
              <w:jc w:val="center"/>
              <w:rPr>
                <w:rFonts w:cs="Times New Roman"/>
                <w:b/>
                <w:bCs/>
                <w:sz w:val="18"/>
                <w:szCs w:val="18"/>
              </w:rPr>
            </w:pPr>
            <w:r w:rsidRPr="00887108">
              <w:rPr>
                <w:rFonts w:cs="Times New Roman"/>
                <w:b/>
                <w:bCs/>
                <w:sz w:val="18"/>
                <w:szCs w:val="18"/>
              </w:rPr>
              <w:t>483</w:t>
            </w:r>
          </w:p>
        </w:tc>
        <w:tc>
          <w:tcPr>
            <w:tcW w:w="911" w:type="dxa"/>
            <w:tcBorders>
              <w:top w:val="nil"/>
              <w:left w:val="nil"/>
              <w:bottom w:val="nil"/>
              <w:right w:val="single" w:sz="4" w:space="0" w:color="auto"/>
            </w:tcBorders>
            <w:shd w:val="clear" w:color="auto" w:fill="auto"/>
            <w:vAlign w:val="center"/>
            <w:hideMark/>
          </w:tcPr>
          <w:p w14:paraId="51D0987A" w14:textId="77777777" w:rsidR="004B5328" w:rsidRPr="00887108" w:rsidRDefault="004B5328" w:rsidP="004B5328">
            <w:pPr>
              <w:jc w:val="center"/>
              <w:rPr>
                <w:rFonts w:cs="Times New Roman"/>
                <w:b/>
                <w:bCs/>
                <w:sz w:val="18"/>
                <w:szCs w:val="18"/>
              </w:rPr>
            </w:pPr>
            <w:r w:rsidRPr="00887108">
              <w:rPr>
                <w:rFonts w:cs="Times New Roman"/>
                <w:b/>
                <w:bCs/>
                <w:sz w:val="18"/>
                <w:szCs w:val="18"/>
              </w:rPr>
              <w:t>0,5</w:t>
            </w:r>
          </w:p>
        </w:tc>
        <w:tc>
          <w:tcPr>
            <w:tcW w:w="1030" w:type="dxa"/>
            <w:tcBorders>
              <w:top w:val="nil"/>
              <w:left w:val="nil"/>
              <w:bottom w:val="nil"/>
              <w:right w:val="nil"/>
            </w:tcBorders>
            <w:shd w:val="clear" w:color="auto" w:fill="auto"/>
            <w:vAlign w:val="center"/>
            <w:hideMark/>
          </w:tcPr>
          <w:p w14:paraId="4A76640D" w14:textId="77777777" w:rsidR="004B5328" w:rsidRPr="00887108" w:rsidRDefault="004B5328" w:rsidP="004B5328">
            <w:pPr>
              <w:jc w:val="center"/>
              <w:rPr>
                <w:rFonts w:cs="Times New Roman"/>
                <w:b/>
                <w:bCs/>
                <w:sz w:val="18"/>
                <w:szCs w:val="18"/>
              </w:rPr>
            </w:pPr>
            <w:r w:rsidRPr="00887108">
              <w:rPr>
                <w:rFonts w:cs="Times New Roman"/>
                <w:b/>
                <w:bCs/>
                <w:sz w:val="18"/>
                <w:szCs w:val="18"/>
              </w:rPr>
              <w:t>2443</w:t>
            </w:r>
          </w:p>
        </w:tc>
        <w:tc>
          <w:tcPr>
            <w:tcW w:w="908" w:type="dxa"/>
            <w:tcBorders>
              <w:top w:val="nil"/>
              <w:left w:val="nil"/>
              <w:bottom w:val="nil"/>
              <w:right w:val="nil"/>
            </w:tcBorders>
            <w:shd w:val="clear" w:color="auto" w:fill="auto"/>
            <w:vAlign w:val="center"/>
            <w:hideMark/>
          </w:tcPr>
          <w:p w14:paraId="3AE9177F" w14:textId="77777777" w:rsidR="004B5328" w:rsidRPr="00887108" w:rsidRDefault="004B5328" w:rsidP="004B5328">
            <w:pPr>
              <w:jc w:val="center"/>
              <w:rPr>
                <w:rFonts w:cs="Times New Roman"/>
                <w:b/>
                <w:bCs/>
                <w:sz w:val="18"/>
                <w:szCs w:val="18"/>
              </w:rPr>
            </w:pPr>
            <w:r w:rsidRPr="00887108">
              <w:rPr>
                <w:rFonts w:cs="Times New Roman"/>
                <w:b/>
                <w:bCs/>
                <w:sz w:val="18"/>
                <w:szCs w:val="18"/>
              </w:rPr>
              <w:t>2,7</w:t>
            </w:r>
          </w:p>
        </w:tc>
      </w:tr>
      <w:tr w:rsidR="004B5328" w:rsidRPr="00887108" w14:paraId="6C492172" w14:textId="77777777" w:rsidTr="000570B1">
        <w:trPr>
          <w:trHeight w:val="288"/>
        </w:trPr>
        <w:tc>
          <w:tcPr>
            <w:tcW w:w="2811" w:type="dxa"/>
            <w:tcBorders>
              <w:top w:val="nil"/>
              <w:left w:val="nil"/>
              <w:bottom w:val="nil"/>
              <w:right w:val="nil"/>
            </w:tcBorders>
            <w:shd w:val="clear" w:color="auto" w:fill="auto"/>
            <w:vAlign w:val="center"/>
            <w:hideMark/>
          </w:tcPr>
          <w:p w14:paraId="3011612B" w14:textId="77777777" w:rsidR="004B5328" w:rsidRPr="00887108" w:rsidRDefault="004B5328" w:rsidP="004B5328">
            <w:pPr>
              <w:rPr>
                <w:rFonts w:cs="Times New Roman"/>
                <w:color w:val="000000"/>
                <w:sz w:val="18"/>
                <w:szCs w:val="18"/>
              </w:rPr>
            </w:pPr>
            <w:r w:rsidRPr="00887108">
              <w:rPr>
                <w:rFonts w:cs="Times New Roman"/>
                <w:color w:val="000000"/>
                <w:sz w:val="18"/>
                <w:szCs w:val="18"/>
              </w:rPr>
              <w:t xml:space="preserve"> - Sociálne dávky okrem D.632</w:t>
            </w:r>
          </w:p>
        </w:tc>
        <w:tc>
          <w:tcPr>
            <w:tcW w:w="2657" w:type="dxa"/>
            <w:tcBorders>
              <w:top w:val="nil"/>
              <w:left w:val="nil"/>
              <w:bottom w:val="nil"/>
              <w:right w:val="nil"/>
            </w:tcBorders>
            <w:shd w:val="clear" w:color="auto" w:fill="auto"/>
            <w:vAlign w:val="center"/>
            <w:hideMark/>
          </w:tcPr>
          <w:p w14:paraId="25C975E1" w14:textId="77777777" w:rsidR="004B5328" w:rsidRPr="00887108" w:rsidRDefault="004B5328" w:rsidP="004B5328">
            <w:pPr>
              <w:jc w:val="center"/>
              <w:rPr>
                <w:rFonts w:cs="Times New Roman"/>
                <w:sz w:val="18"/>
                <w:szCs w:val="18"/>
              </w:rPr>
            </w:pPr>
            <w:r w:rsidRPr="00887108">
              <w:rPr>
                <w:rFonts w:cs="Times New Roman"/>
                <w:sz w:val="18"/>
                <w:szCs w:val="18"/>
              </w:rPr>
              <w:t>D.62</w:t>
            </w:r>
          </w:p>
        </w:tc>
        <w:tc>
          <w:tcPr>
            <w:tcW w:w="966" w:type="dxa"/>
            <w:tcBorders>
              <w:top w:val="nil"/>
              <w:left w:val="nil"/>
              <w:bottom w:val="nil"/>
              <w:right w:val="nil"/>
            </w:tcBorders>
            <w:shd w:val="clear" w:color="auto" w:fill="auto"/>
            <w:vAlign w:val="center"/>
            <w:hideMark/>
          </w:tcPr>
          <w:p w14:paraId="3CBC089D" w14:textId="77777777" w:rsidR="004B5328" w:rsidRPr="00887108" w:rsidRDefault="004B5328" w:rsidP="004B5328">
            <w:pPr>
              <w:jc w:val="center"/>
              <w:rPr>
                <w:rFonts w:cs="Times New Roman"/>
                <w:sz w:val="18"/>
                <w:szCs w:val="18"/>
              </w:rPr>
            </w:pPr>
            <w:r w:rsidRPr="00887108">
              <w:rPr>
                <w:rFonts w:cs="Times New Roman"/>
                <w:sz w:val="18"/>
                <w:szCs w:val="18"/>
              </w:rPr>
              <w:t>399</w:t>
            </w:r>
          </w:p>
        </w:tc>
        <w:tc>
          <w:tcPr>
            <w:tcW w:w="911" w:type="dxa"/>
            <w:tcBorders>
              <w:top w:val="nil"/>
              <w:left w:val="nil"/>
              <w:bottom w:val="nil"/>
              <w:right w:val="single" w:sz="4" w:space="0" w:color="auto"/>
            </w:tcBorders>
            <w:shd w:val="clear" w:color="auto" w:fill="auto"/>
            <w:vAlign w:val="center"/>
            <w:hideMark/>
          </w:tcPr>
          <w:p w14:paraId="14A33AA4" w14:textId="77777777" w:rsidR="004B5328" w:rsidRPr="00887108" w:rsidRDefault="004B5328" w:rsidP="004B5328">
            <w:pPr>
              <w:jc w:val="center"/>
              <w:rPr>
                <w:rFonts w:cs="Times New Roman"/>
                <w:sz w:val="18"/>
                <w:szCs w:val="18"/>
              </w:rPr>
            </w:pPr>
            <w:r w:rsidRPr="00887108">
              <w:rPr>
                <w:rFonts w:cs="Times New Roman"/>
                <w:sz w:val="18"/>
                <w:szCs w:val="18"/>
              </w:rPr>
              <w:t>0,4</w:t>
            </w:r>
          </w:p>
        </w:tc>
        <w:tc>
          <w:tcPr>
            <w:tcW w:w="1030" w:type="dxa"/>
            <w:tcBorders>
              <w:top w:val="nil"/>
              <w:left w:val="nil"/>
              <w:bottom w:val="nil"/>
              <w:right w:val="nil"/>
            </w:tcBorders>
            <w:shd w:val="clear" w:color="auto" w:fill="auto"/>
            <w:vAlign w:val="center"/>
            <w:hideMark/>
          </w:tcPr>
          <w:p w14:paraId="550D639E" w14:textId="77777777" w:rsidR="004B5328" w:rsidRPr="00887108" w:rsidRDefault="004B5328" w:rsidP="004B5328">
            <w:pPr>
              <w:jc w:val="center"/>
              <w:rPr>
                <w:rFonts w:cs="Times New Roman"/>
                <w:sz w:val="18"/>
                <w:szCs w:val="18"/>
              </w:rPr>
            </w:pPr>
            <w:r w:rsidRPr="00887108">
              <w:rPr>
                <w:rFonts w:cs="Times New Roman"/>
                <w:sz w:val="18"/>
                <w:szCs w:val="18"/>
              </w:rPr>
              <w:t>2418</w:t>
            </w:r>
          </w:p>
        </w:tc>
        <w:tc>
          <w:tcPr>
            <w:tcW w:w="908" w:type="dxa"/>
            <w:tcBorders>
              <w:top w:val="nil"/>
              <w:left w:val="nil"/>
              <w:bottom w:val="nil"/>
              <w:right w:val="nil"/>
            </w:tcBorders>
            <w:shd w:val="clear" w:color="auto" w:fill="auto"/>
            <w:vAlign w:val="center"/>
            <w:hideMark/>
          </w:tcPr>
          <w:p w14:paraId="7DB38D85" w14:textId="77777777" w:rsidR="004B5328" w:rsidRPr="00887108" w:rsidRDefault="004B5328" w:rsidP="004B5328">
            <w:pPr>
              <w:jc w:val="center"/>
              <w:rPr>
                <w:rFonts w:cs="Times New Roman"/>
                <w:sz w:val="18"/>
                <w:szCs w:val="18"/>
              </w:rPr>
            </w:pPr>
            <w:r w:rsidRPr="00887108">
              <w:rPr>
                <w:rFonts w:cs="Times New Roman"/>
                <w:sz w:val="18"/>
                <w:szCs w:val="18"/>
              </w:rPr>
              <w:t>2,7</w:t>
            </w:r>
          </w:p>
        </w:tc>
      </w:tr>
      <w:tr w:rsidR="004B5328" w:rsidRPr="00887108" w14:paraId="5D3C82C2" w14:textId="77777777" w:rsidTr="000570B1">
        <w:trPr>
          <w:trHeight w:val="288"/>
        </w:trPr>
        <w:tc>
          <w:tcPr>
            <w:tcW w:w="2811" w:type="dxa"/>
            <w:tcBorders>
              <w:top w:val="nil"/>
              <w:left w:val="nil"/>
              <w:bottom w:val="nil"/>
              <w:right w:val="nil"/>
            </w:tcBorders>
            <w:shd w:val="clear" w:color="auto" w:fill="auto"/>
            <w:vAlign w:val="center"/>
            <w:hideMark/>
          </w:tcPr>
          <w:p w14:paraId="4C95159D" w14:textId="77777777" w:rsidR="004B5328" w:rsidRPr="00887108" w:rsidRDefault="004B5328" w:rsidP="004B5328">
            <w:pPr>
              <w:rPr>
                <w:rFonts w:cs="Times New Roman"/>
                <w:color w:val="000000"/>
                <w:sz w:val="18"/>
                <w:szCs w:val="18"/>
              </w:rPr>
            </w:pPr>
            <w:r w:rsidRPr="00887108">
              <w:rPr>
                <w:rFonts w:cs="Times New Roman"/>
                <w:color w:val="000000"/>
                <w:sz w:val="18"/>
                <w:szCs w:val="18"/>
              </w:rPr>
              <w:t xml:space="preserve"> - Naturálne sociálne transfery (ZZ)</w:t>
            </w:r>
          </w:p>
        </w:tc>
        <w:tc>
          <w:tcPr>
            <w:tcW w:w="2657" w:type="dxa"/>
            <w:tcBorders>
              <w:top w:val="nil"/>
              <w:left w:val="nil"/>
              <w:bottom w:val="nil"/>
              <w:right w:val="nil"/>
            </w:tcBorders>
            <w:shd w:val="clear" w:color="auto" w:fill="auto"/>
            <w:vAlign w:val="center"/>
            <w:hideMark/>
          </w:tcPr>
          <w:p w14:paraId="0E6B03FA" w14:textId="77777777" w:rsidR="004B5328" w:rsidRPr="00887108" w:rsidRDefault="004B5328" w:rsidP="004B5328">
            <w:pPr>
              <w:jc w:val="center"/>
              <w:rPr>
                <w:rFonts w:cs="Times New Roman"/>
                <w:sz w:val="18"/>
                <w:szCs w:val="18"/>
              </w:rPr>
            </w:pPr>
            <w:r w:rsidRPr="00887108">
              <w:rPr>
                <w:rFonts w:cs="Times New Roman"/>
                <w:sz w:val="18"/>
                <w:szCs w:val="18"/>
              </w:rPr>
              <w:t>D.632</w:t>
            </w:r>
          </w:p>
        </w:tc>
        <w:tc>
          <w:tcPr>
            <w:tcW w:w="966" w:type="dxa"/>
            <w:tcBorders>
              <w:top w:val="nil"/>
              <w:left w:val="nil"/>
              <w:bottom w:val="nil"/>
              <w:right w:val="nil"/>
            </w:tcBorders>
            <w:shd w:val="clear" w:color="auto" w:fill="auto"/>
            <w:vAlign w:val="center"/>
            <w:hideMark/>
          </w:tcPr>
          <w:p w14:paraId="3A843C6D" w14:textId="77777777" w:rsidR="004B5328" w:rsidRPr="00887108" w:rsidRDefault="004B5328" w:rsidP="004B5328">
            <w:pPr>
              <w:jc w:val="center"/>
              <w:rPr>
                <w:rFonts w:cs="Times New Roman"/>
                <w:sz w:val="18"/>
                <w:szCs w:val="18"/>
              </w:rPr>
            </w:pPr>
            <w:r w:rsidRPr="00887108">
              <w:rPr>
                <w:rFonts w:cs="Times New Roman"/>
                <w:sz w:val="18"/>
                <w:szCs w:val="18"/>
              </w:rPr>
              <w:t>84</w:t>
            </w:r>
          </w:p>
        </w:tc>
        <w:tc>
          <w:tcPr>
            <w:tcW w:w="911" w:type="dxa"/>
            <w:tcBorders>
              <w:top w:val="nil"/>
              <w:left w:val="nil"/>
              <w:bottom w:val="nil"/>
              <w:right w:val="single" w:sz="4" w:space="0" w:color="auto"/>
            </w:tcBorders>
            <w:shd w:val="clear" w:color="auto" w:fill="auto"/>
            <w:vAlign w:val="center"/>
            <w:hideMark/>
          </w:tcPr>
          <w:p w14:paraId="7E0EFAAF" w14:textId="77777777" w:rsidR="004B5328" w:rsidRPr="00887108" w:rsidRDefault="004B5328" w:rsidP="004B5328">
            <w:pPr>
              <w:jc w:val="center"/>
              <w:rPr>
                <w:rFonts w:cs="Times New Roman"/>
                <w:sz w:val="18"/>
                <w:szCs w:val="18"/>
              </w:rPr>
            </w:pPr>
            <w:r w:rsidRPr="00887108">
              <w:rPr>
                <w:rFonts w:cs="Times New Roman"/>
                <w:sz w:val="18"/>
                <w:szCs w:val="18"/>
              </w:rPr>
              <w:t>0,1</w:t>
            </w:r>
          </w:p>
        </w:tc>
        <w:tc>
          <w:tcPr>
            <w:tcW w:w="1030" w:type="dxa"/>
            <w:tcBorders>
              <w:top w:val="nil"/>
              <w:left w:val="nil"/>
              <w:bottom w:val="nil"/>
              <w:right w:val="nil"/>
            </w:tcBorders>
            <w:shd w:val="clear" w:color="auto" w:fill="auto"/>
            <w:vAlign w:val="center"/>
            <w:hideMark/>
          </w:tcPr>
          <w:p w14:paraId="1FB40AA8" w14:textId="77777777" w:rsidR="004B5328" w:rsidRPr="00887108" w:rsidRDefault="004B5328" w:rsidP="004B5328">
            <w:pPr>
              <w:jc w:val="center"/>
              <w:rPr>
                <w:rFonts w:cs="Times New Roman"/>
                <w:sz w:val="18"/>
                <w:szCs w:val="18"/>
              </w:rPr>
            </w:pPr>
            <w:r w:rsidRPr="00887108">
              <w:rPr>
                <w:rFonts w:cs="Times New Roman"/>
                <w:sz w:val="18"/>
                <w:szCs w:val="18"/>
              </w:rPr>
              <w:t>25</w:t>
            </w:r>
          </w:p>
        </w:tc>
        <w:tc>
          <w:tcPr>
            <w:tcW w:w="908" w:type="dxa"/>
            <w:tcBorders>
              <w:top w:val="nil"/>
              <w:left w:val="nil"/>
              <w:bottom w:val="nil"/>
              <w:right w:val="nil"/>
            </w:tcBorders>
            <w:shd w:val="clear" w:color="auto" w:fill="auto"/>
            <w:vAlign w:val="center"/>
            <w:hideMark/>
          </w:tcPr>
          <w:p w14:paraId="590984E7" w14:textId="77777777" w:rsidR="004B5328" w:rsidRPr="00887108" w:rsidRDefault="004B5328" w:rsidP="004B5328">
            <w:pPr>
              <w:jc w:val="center"/>
              <w:rPr>
                <w:rFonts w:cs="Times New Roman"/>
                <w:sz w:val="18"/>
                <w:szCs w:val="18"/>
              </w:rPr>
            </w:pPr>
            <w:r w:rsidRPr="00887108">
              <w:rPr>
                <w:rFonts w:cs="Times New Roman"/>
                <w:sz w:val="18"/>
                <w:szCs w:val="18"/>
              </w:rPr>
              <w:t>0,0</w:t>
            </w:r>
          </w:p>
        </w:tc>
      </w:tr>
      <w:tr w:rsidR="004B5328" w:rsidRPr="00887108" w14:paraId="1BF241B7" w14:textId="77777777" w:rsidTr="000570B1">
        <w:trPr>
          <w:trHeight w:val="288"/>
        </w:trPr>
        <w:tc>
          <w:tcPr>
            <w:tcW w:w="2811" w:type="dxa"/>
            <w:tcBorders>
              <w:top w:val="nil"/>
              <w:left w:val="nil"/>
              <w:bottom w:val="nil"/>
              <w:right w:val="nil"/>
            </w:tcBorders>
            <w:shd w:val="clear" w:color="auto" w:fill="auto"/>
            <w:vAlign w:val="center"/>
            <w:hideMark/>
          </w:tcPr>
          <w:p w14:paraId="75713B71"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Ostatné bežné transfery</w:t>
            </w:r>
          </w:p>
        </w:tc>
        <w:tc>
          <w:tcPr>
            <w:tcW w:w="2657" w:type="dxa"/>
            <w:tcBorders>
              <w:top w:val="nil"/>
              <w:left w:val="nil"/>
              <w:bottom w:val="nil"/>
              <w:right w:val="nil"/>
            </w:tcBorders>
            <w:shd w:val="clear" w:color="auto" w:fill="auto"/>
            <w:vAlign w:val="center"/>
            <w:hideMark/>
          </w:tcPr>
          <w:p w14:paraId="14025EA1" w14:textId="77777777" w:rsidR="004B5328" w:rsidRPr="00887108" w:rsidRDefault="004B5328" w:rsidP="004B5328">
            <w:pPr>
              <w:jc w:val="center"/>
              <w:rPr>
                <w:rFonts w:cs="Times New Roman"/>
                <w:b/>
                <w:bCs/>
                <w:sz w:val="18"/>
                <w:szCs w:val="18"/>
              </w:rPr>
            </w:pPr>
            <w:r w:rsidRPr="00887108">
              <w:rPr>
                <w:rFonts w:cs="Times New Roman"/>
                <w:b/>
                <w:bCs/>
                <w:sz w:val="18"/>
                <w:szCs w:val="18"/>
              </w:rPr>
              <w:t>D.7</w:t>
            </w:r>
          </w:p>
        </w:tc>
        <w:tc>
          <w:tcPr>
            <w:tcW w:w="966" w:type="dxa"/>
            <w:tcBorders>
              <w:top w:val="nil"/>
              <w:left w:val="nil"/>
              <w:bottom w:val="nil"/>
              <w:right w:val="nil"/>
            </w:tcBorders>
            <w:shd w:val="clear" w:color="auto" w:fill="auto"/>
            <w:vAlign w:val="center"/>
            <w:hideMark/>
          </w:tcPr>
          <w:p w14:paraId="39F514A4" w14:textId="77777777" w:rsidR="004B5328" w:rsidRPr="00887108" w:rsidRDefault="004B5328" w:rsidP="004B5328">
            <w:pPr>
              <w:jc w:val="center"/>
              <w:rPr>
                <w:rFonts w:cs="Times New Roman"/>
                <w:b/>
                <w:bCs/>
                <w:sz w:val="18"/>
                <w:szCs w:val="18"/>
              </w:rPr>
            </w:pPr>
            <w:r w:rsidRPr="00887108">
              <w:rPr>
                <w:rFonts w:cs="Times New Roman"/>
                <w:b/>
                <w:bCs/>
                <w:sz w:val="18"/>
                <w:szCs w:val="18"/>
              </w:rPr>
              <w:t>-30</w:t>
            </w:r>
          </w:p>
        </w:tc>
        <w:tc>
          <w:tcPr>
            <w:tcW w:w="911" w:type="dxa"/>
            <w:tcBorders>
              <w:top w:val="nil"/>
              <w:left w:val="nil"/>
              <w:bottom w:val="nil"/>
              <w:right w:val="single" w:sz="4" w:space="0" w:color="auto"/>
            </w:tcBorders>
            <w:shd w:val="clear" w:color="auto" w:fill="auto"/>
            <w:vAlign w:val="center"/>
            <w:hideMark/>
          </w:tcPr>
          <w:p w14:paraId="0A259C5E" w14:textId="77777777" w:rsidR="004B5328" w:rsidRPr="00887108" w:rsidRDefault="004B5328" w:rsidP="004B5328">
            <w:pPr>
              <w:jc w:val="center"/>
              <w:rPr>
                <w:rFonts w:cs="Times New Roman"/>
                <w:b/>
                <w:bCs/>
                <w:sz w:val="18"/>
                <w:szCs w:val="18"/>
              </w:rPr>
            </w:pPr>
            <w:r w:rsidRPr="00887108">
              <w:rPr>
                <w:rFonts w:cs="Times New Roman"/>
                <w:b/>
                <w:bCs/>
                <w:sz w:val="18"/>
                <w:szCs w:val="18"/>
              </w:rPr>
              <w:t>0,0</w:t>
            </w:r>
          </w:p>
        </w:tc>
        <w:tc>
          <w:tcPr>
            <w:tcW w:w="1030" w:type="dxa"/>
            <w:tcBorders>
              <w:top w:val="nil"/>
              <w:left w:val="nil"/>
              <w:bottom w:val="nil"/>
              <w:right w:val="nil"/>
            </w:tcBorders>
            <w:shd w:val="clear" w:color="auto" w:fill="auto"/>
            <w:vAlign w:val="center"/>
            <w:hideMark/>
          </w:tcPr>
          <w:p w14:paraId="5FEC6BE2" w14:textId="77777777" w:rsidR="004B5328" w:rsidRPr="00887108" w:rsidRDefault="004B5328" w:rsidP="004B5328">
            <w:pPr>
              <w:jc w:val="center"/>
              <w:rPr>
                <w:rFonts w:cs="Times New Roman"/>
                <w:b/>
                <w:bCs/>
                <w:sz w:val="18"/>
                <w:szCs w:val="18"/>
              </w:rPr>
            </w:pPr>
            <w:r w:rsidRPr="00887108">
              <w:rPr>
                <w:rFonts w:cs="Times New Roman"/>
                <w:b/>
                <w:bCs/>
                <w:sz w:val="18"/>
                <w:szCs w:val="18"/>
              </w:rPr>
              <w:t>-296</w:t>
            </w:r>
          </w:p>
        </w:tc>
        <w:tc>
          <w:tcPr>
            <w:tcW w:w="908" w:type="dxa"/>
            <w:tcBorders>
              <w:top w:val="nil"/>
              <w:left w:val="nil"/>
              <w:bottom w:val="nil"/>
              <w:right w:val="nil"/>
            </w:tcBorders>
            <w:shd w:val="clear" w:color="auto" w:fill="auto"/>
            <w:vAlign w:val="center"/>
            <w:hideMark/>
          </w:tcPr>
          <w:p w14:paraId="0BF39D9D" w14:textId="77777777" w:rsidR="004B5328" w:rsidRPr="00887108" w:rsidRDefault="004B5328" w:rsidP="004B5328">
            <w:pPr>
              <w:jc w:val="center"/>
              <w:rPr>
                <w:rFonts w:cs="Times New Roman"/>
                <w:b/>
                <w:bCs/>
                <w:sz w:val="18"/>
                <w:szCs w:val="18"/>
              </w:rPr>
            </w:pPr>
            <w:r w:rsidRPr="00887108">
              <w:rPr>
                <w:rFonts w:cs="Times New Roman"/>
                <w:b/>
                <w:bCs/>
                <w:sz w:val="18"/>
                <w:szCs w:val="18"/>
              </w:rPr>
              <w:t>-0,3</w:t>
            </w:r>
          </w:p>
        </w:tc>
      </w:tr>
      <w:tr w:rsidR="004B5328" w:rsidRPr="00887108" w14:paraId="1AACEE01" w14:textId="77777777" w:rsidTr="000570B1">
        <w:trPr>
          <w:trHeight w:val="288"/>
        </w:trPr>
        <w:tc>
          <w:tcPr>
            <w:tcW w:w="2811" w:type="dxa"/>
            <w:tcBorders>
              <w:top w:val="nil"/>
              <w:left w:val="nil"/>
              <w:bottom w:val="nil"/>
              <w:right w:val="nil"/>
            </w:tcBorders>
            <w:shd w:val="clear" w:color="auto" w:fill="auto"/>
            <w:vAlign w:val="center"/>
            <w:hideMark/>
          </w:tcPr>
          <w:p w14:paraId="37CFCD5E" w14:textId="77777777" w:rsidR="004B5328" w:rsidRPr="00887108" w:rsidRDefault="004B5328" w:rsidP="004B5328">
            <w:pPr>
              <w:rPr>
                <w:rFonts w:cs="Times New Roman"/>
                <w:b/>
                <w:bCs/>
                <w:color w:val="000000"/>
                <w:sz w:val="18"/>
                <w:szCs w:val="18"/>
              </w:rPr>
            </w:pPr>
            <w:r w:rsidRPr="00887108">
              <w:rPr>
                <w:rFonts w:cs="Times New Roman"/>
                <w:b/>
                <w:bCs/>
                <w:color w:val="000000"/>
                <w:sz w:val="18"/>
                <w:szCs w:val="18"/>
              </w:rPr>
              <w:t>Kapitálové výdavky</w:t>
            </w:r>
          </w:p>
        </w:tc>
        <w:tc>
          <w:tcPr>
            <w:tcW w:w="2657" w:type="dxa"/>
            <w:tcBorders>
              <w:top w:val="nil"/>
              <w:left w:val="nil"/>
              <w:bottom w:val="nil"/>
              <w:right w:val="nil"/>
            </w:tcBorders>
            <w:shd w:val="clear" w:color="auto" w:fill="auto"/>
            <w:vAlign w:val="center"/>
            <w:hideMark/>
          </w:tcPr>
          <w:p w14:paraId="3A06585B" w14:textId="77777777" w:rsidR="004B5328" w:rsidRPr="00887108" w:rsidRDefault="004B5328" w:rsidP="004B5328">
            <w:pPr>
              <w:jc w:val="center"/>
              <w:rPr>
                <w:rFonts w:cs="Times New Roman"/>
                <w:b/>
                <w:bCs/>
                <w:sz w:val="18"/>
                <w:szCs w:val="18"/>
              </w:rPr>
            </w:pPr>
            <w:r w:rsidRPr="00887108">
              <w:rPr>
                <w:rFonts w:cs="Times New Roman"/>
                <w:b/>
                <w:bCs/>
                <w:sz w:val="18"/>
                <w:szCs w:val="18"/>
              </w:rPr>
              <w:t>P.51G + P.5M + NP + D.9</w:t>
            </w:r>
          </w:p>
        </w:tc>
        <w:tc>
          <w:tcPr>
            <w:tcW w:w="966" w:type="dxa"/>
            <w:tcBorders>
              <w:top w:val="nil"/>
              <w:left w:val="nil"/>
              <w:bottom w:val="nil"/>
              <w:right w:val="nil"/>
            </w:tcBorders>
            <w:shd w:val="clear" w:color="auto" w:fill="auto"/>
            <w:vAlign w:val="center"/>
            <w:hideMark/>
          </w:tcPr>
          <w:p w14:paraId="2078604B" w14:textId="77777777" w:rsidR="004B5328" w:rsidRPr="00887108" w:rsidRDefault="004B5328" w:rsidP="004B5328">
            <w:pPr>
              <w:jc w:val="center"/>
              <w:rPr>
                <w:rFonts w:cs="Times New Roman"/>
                <w:b/>
                <w:bCs/>
                <w:sz w:val="18"/>
                <w:szCs w:val="18"/>
              </w:rPr>
            </w:pPr>
            <w:r w:rsidRPr="00887108">
              <w:rPr>
                <w:rFonts w:cs="Times New Roman"/>
                <w:b/>
                <w:bCs/>
                <w:sz w:val="18"/>
                <w:szCs w:val="18"/>
              </w:rPr>
              <w:t>1420</w:t>
            </w:r>
          </w:p>
        </w:tc>
        <w:tc>
          <w:tcPr>
            <w:tcW w:w="911" w:type="dxa"/>
            <w:tcBorders>
              <w:top w:val="nil"/>
              <w:left w:val="nil"/>
              <w:bottom w:val="nil"/>
              <w:right w:val="single" w:sz="4" w:space="0" w:color="auto"/>
            </w:tcBorders>
            <w:shd w:val="clear" w:color="auto" w:fill="auto"/>
            <w:vAlign w:val="center"/>
            <w:hideMark/>
          </w:tcPr>
          <w:p w14:paraId="4512F0CB" w14:textId="77777777" w:rsidR="004B5328" w:rsidRPr="00887108" w:rsidRDefault="004B5328" w:rsidP="004B5328">
            <w:pPr>
              <w:jc w:val="center"/>
              <w:rPr>
                <w:rFonts w:cs="Times New Roman"/>
                <w:b/>
                <w:bCs/>
                <w:sz w:val="18"/>
                <w:szCs w:val="18"/>
              </w:rPr>
            </w:pPr>
            <w:r w:rsidRPr="00887108">
              <w:rPr>
                <w:rFonts w:cs="Times New Roman"/>
                <w:b/>
                <w:bCs/>
                <w:sz w:val="18"/>
                <w:szCs w:val="18"/>
              </w:rPr>
              <w:t>1,5</w:t>
            </w:r>
          </w:p>
        </w:tc>
        <w:tc>
          <w:tcPr>
            <w:tcW w:w="1030" w:type="dxa"/>
            <w:tcBorders>
              <w:top w:val="nil"/>
              <w:left w:val="nil"/>
              <w:bottom w:val="nil"/>
              <w:right w:val="nil"/>
            </w:tcBorders>
            <w:shd w:val="clear" w:color="auto" w:fill="auto"/>
            <w:vAlign w:val="center"/>
            <w:hideMark/>
          </w:tcPr>
          <w:p w14:paraId="02AC6388" w14:textId="77777777" w:rsidR="004B5328" w:rsidRPr="00887108" w:rsidRDefault="004B5328" w:rsidP="004B5328">
            <w:pPr>
              <w:jc w:val="center"/>
              <w:rPr>
                <w:rFonts w:cs="Times New Roman"/>
                <w:b/>
                <w:bCs/>
                <w:sz w:val="18"/>
                <w:szCs w:val="18"/>
              </w:rPr>
            </w:pPr>
            <w:r w:rsidRPr="00887108">
              <w:rPr>
                <w:rFonts w:cs="Times New Roman"/>
                <w:b/>
                <w:bCs/>
                <w:sz w:val="18"/>
                <w:szCs w:val="18"/>
              </w:rPr>
              <w:t>1471</w:t>
            </w:r>
          </w:p>
        </w:tc>
        <w:tc>
          <w:tcPr>
            <w:tcW w:w="908" w:type="dxa"/>
            <w:tcBorders>
              <w:top w:val="nil"/>
              <w:left w:val="nil"/>
              <w:bottom w:val="nil"/>
              <w:right w:val="nil"/>
            </w:tcBorders>
            <w:shd w:val="clear" w:color="auto" w:fill="auto"/>
            <w:vAlign w:val="center"/>
            <w:hideMark/>
          </w:tcPr>
          <w:p w14:paraId="2A730C55" w14:textId="77777777" w:rsidR="004B5328" w:rsidRPr="00887108" w:rsidRDefault="004B5328" w:rsidP="004B5328">
            <w:pPr>
              <w:jc w:val="center"/>
              <w:rPr>
                <w:rFonts w:cs="Times New Roman"/>
                <w:b/>
                <w:bCs/>
                <w:sz w:val="18"/>
                <w:szCs w:val="18"/>
              </w:rPr>
            </w:pPr>
            <w:r w:rsidRPr="00887108">
              <w:rPr>
                <w:rFonts w:cs="Times New Roman"/>
                <w:b/>
                <w:bCs/>
                <w:sz w:val="18"/>
                <w:szCs w:val="18"/>
              </w:rPr>
              <w:t>1,7</w:t>
            </w:r>
          </w:p>
        </w:tc>
      </w:tr>
      <w:tr w:rsidR="004B5328" w:rsidRPr="00887108" w14:paraId="64AE9721" w14:textId="77777777" w:rsidTr="000570B1">
        <w:trPr>
          <w:trHeight w:val="288"/>
        </w:trPr>
        <w:tc>
          <w:tcPr>
            <w:tcW w:w="2811" w:type="dxa"/>
            <w:tcBorders>
              <w:top w:val="nil"/>
              <w:left w:val="nil"/>
              <w:bottom w:val="nil"/>
              <w:right w:val="nil"/>
            </w:tcBorders>
            <w:shd w:val="clear" w:color="auto" w:fill="auto"/>
            <w:vAlign w:val="center"/>
            <w:hideMark/>
          </w:tcPr>
          <w:p w14:paraId="77334DAA" w14:textId="77777777" w:rsidR="004B5328" w:rsidRPr="00887108" w:rsidRDefault="004B5328" w:rsidP="004B5328">
            <w:pPr>
              <w:rPr>
                <w:rFonts w:cs="Times New Roman"/>
                <w:color w:val="000000"/>
                <w:sz w:val="18"/>
                <w:szCs w:val="18"/>
              </w:rPr>
            </w:pPr>
            <w:r w:rsidRPr="00887108">
              <w:rPr>
                <w:rFonts w:cs="Times New Roman"/>
                <w:color w:val="000000"/>
                <w:sz w:val="18"/>
                <w:szCs w:val="18"/>
              </w:rPr>
              <w:t>Kapitálové investície</w:t>
            </w:r>
          </w:p>
        </w:tc>
        <w:tc>
          <w:tcPr>
            <w:tcW w:w="2657" w:type="dxa"/>
            <w:tcBorders>
              <w:top w:val="nil"/>
              <w:left w:val="nil"/>
              <w:bottom w:val="nil"/>
              <w:right w:val="nil"/>
            </w:tcBorders>
            <w:shd w:val="clear" w:color="auto" w:fill="auto"/>
            <w:vAlign w:val="center"/>
            <w:hideMark/>
          </w:tcPr>
          <w:p w14:paraId="06376088" w14:textId="77777777" w:rsidR="004B5328" w:rsidRPr="00887108" w:rsidRDefault="004B5328" w:rsidP="004B5328">
            <w:pPr>
              <w:jc w:val="center"/>
              <w:rPr>
                <w:rFonts w:cs="Times New Roman"/>
                <w:sz w:val="18"/>
                <w:szCs w:val="18"/>
              </w:rPr>
            </w:pPr>
            <w:r w:rsidRPr="00887108">
              <w:rPr>
                <w:rFonts w:cs="Times New Roman"/>
                <w:sz w:val="18"/>
                <w:szCs w:val="18"/>
              </w:rPr>
              <w:t>P.51G + P.5M + NP</w:t>
            </w:r>
          </w:p>
        </w:tc>
        <w:tc>
          <w:tcPr>
            <w:tcW w:w="966" w:type="dxa"/>
            <w:tcBorders>
              <w:top w:val="nil"/>
              <w:left w:val="nil"/>
              <w:bottom w:val="nil"/>
              <w:right w:val="nil"/>
            </w:tcBorders>
            <w:shd w:val="clear" w:color="auto" w:fill="auto"/>
            <w:vAlign w:val="center"/>
            <w:hideMark/>
          </w:tcPr>
          <w:p w14:paraId="157EF8EE" w14:textId="77777777" w:rsidR="004B5328" w:rsidRPr="00887108" w:rsidRDefault="004B5328" w:rsidP="004B5328">
            <w:pPr>
              <w:jc w:val="center"/>
              <w:rPr>
                <w:rFonts w:cs="Times New Roman"/>
                <w:sz w:val="18"/>
                <w:szCs w:val="18"/>
              </w:rPr>
            </w:pPr>
            <w:r w:rsidRPr="00887108">
              <w:rPr>
                <w:rFonts w:cs="Times New Roman"/>
                <w:sz w:val="18"/>
                <w:szCs w:val="18"/>
              </w:rPr>
              <w:t>1243</w:t>
            </w:r>
          </w:p>
        </w:tc>
        <w:tc>
          <w:tcPr>
            <w:tcW w:w="911" w:type="dxa"/>
            <w:tcBorders>
              <w:top w:val="nil"/>
              <w:left w:val="nil"/>
              <w:bottom w:val="nil"/>
              <w:right w:val="single" w:sz="4" w:space="0" w:color="auto"/>
            </w:tcBorders>
            <w:shd w:val="clear" w:color="auto" w:fill="auto"/>
            <w:vAlign w:val="center"/>
            <w:hideMark/>
          </w:tcPr>
          <w:p w14:paraId="43208CCA" w14:textId="77777777" w:rsidR="004B5328" w:rsidRPr="00887108" w:rsidRDefault="004B5328" w:rsidP="004B5328">
            <w:pPr>
              <w:jc w:val="center"/>
              <w:rPr>
                <w:rFonts w:cs="Times New Roman"/>
                <w:sz w:val="18"/>
                <w:szCs w:val="18"/>
              </w:rPr>
            </w:pPr>
            <w:r w:rsidRPr="00887108">
              <w:rPr>
                <w:rFonts w:cs="Times New Roman"/>
                <w:sz w:val="18"/>
                <w:szCs w:val="18"/>
              </w:rPr>
              <w:t>1,3</w:t>
            </w:r>
          </w:p>
        </w:tc>
        <w:tc>
          <w:tcPr>
            <w:tcW w:w="1030" w:type="dxa"/>
            <w:tcBorders>
              <w:top w:val="nil"/>
              <w:left w:val="nil"/>
              <w:bottom w:val="nil"/>
              <w:right w:val="nil"/>
            </w:tcBorders>
            <w:shd w:val="clear" w:color="auto" w:fill="auto"/>
            <w:vAlign w:val="center"/>
            <w:hideMark/>
          </w:tcPr>
          <w:p w14:paraId="52C6026A" w14:textId="77777777" w:rsidR="004B5328" w:rsidRPr="00887108" w:rsidRDefault="004B5328" w:rsidP="004B5328">
            <w:pPr>
              <w:jc w:val="center"/>
              <w:rPr>
                <w:rFonts w:cs="Times New Roman"/>
                <w:sz w:val="18"/>
                <w:szCs w:val="18"/>
              </w:rPr>
            </w:pPr>
            <w:r w:rsidRPr="00887108">
              <w:rPr>
                <w:rFonts w:cs="Times New Roman"/>
                <w:sz w:val="18"/>
                <w:szCs w:val="18"/>
              </w:rPr>
              <w:t>1042</w:t>
            </w:r>
          </w:p>
        </w:tc>
        <w:tc>
          <w:tcPr>
            <w:tcW w:w="908" w:type="dxa"/>
            <w:tcBorders>
              <w:top w:val="nil"/>
              <w:left w:val="nil"/>
              <w:bottom w:val="nil"/>
              <w:right w:val="nil"/>
            </w:tcBorders>
            <w:shd w:val="clear" w:color="auto" w:fill="auto"/>
            <w:vAlign w:val="center"/>
            <w:hideMark/>
          </w:tcPr>
          <w:p w14:paraId="11577EF7" w14:textId="77777777" w:rsidR="004B5328" w:rsidRPr="00887108" w:rsidRDefault="004B5328" w:rsidP="004B5328">
            <w:pPr>
              <w:jc w:val="center"/>
              <w:rPr>
                <w:rFonts w:cs="Times New Roman"/>
                <w:sz w:val="18"/>
                <w:szCs w:val="18"/>
              </w:rPr>
            </w:pPr>
            <w:r w:rsidRPr="00887108">
              <w:rPr>
                <w:rFonts w:cs="Times New Roman"/>
                <w:sz w:val="18"/>
                <w:szCs w:val="18"/>
              </w:rPr>
              <w:t>1,2</w:t>
            </w:r>
          </w:p>
        </w:tc>
      </w:tr>
      <w:tr w:rsidR="004B5328" w:rsidRPr="00887108" w14:paraId="7F938525" w14:textId="77777777" w:rsidTr="000570B1">
        <w:trPr>
          <w:trHeight w:val="300"/>
        </w:trPr>
        <w:tc>
          <w:tcPr>
            <w:tcW w:w="2811" w:type="dxa"/>
            <w:tcBorders>
              <w:top w:val="nil"/>
              <w:left w:val="nil"/>
              <w:bottom w:val="single" w:sz="8" w:space="0" w:color="auto"/>
              <w:right w:val="nil"/>
            </w:tcBorders>
            <w:shd w:val="clear" w:color="auto" w:fill="auto"/>
            <w:vAlign w:val="center"/>
            <w:hideMark/>
          </w:tcPr>
          <w:p w14:paraId="18E8BF2F" w14:textId="77777777" w:rsidR="004B5328" w:rsidRPr="00887108" w:rsidRDefault="004B5328" w:rsidP="004B5328">
            <w:pPr>
              <w:rPr>
                <w:rFonts w:cs="Times New Roman"/>
                <w:color w:val="000000"/>
                <w:sz w:val="18"/>
                <w:szCs w:val="18"/>
              </w:rPr>
            </w:pPr>
            <w:r w:rsidRPr="00887108">
              <w:rPr>
                <w:rFonts w:cs="Times New Roman"/>
                <w:color w:val="000000"/>
                <w:sz w:val="18"/>
                <w:szCs w:val="18"/>
              </w:rPr>
              <w:t>Kapitálové transfery</w:t>
            </w:r>
          </w:p>
        </w:tc>
        <w:tc>
          <w:tcPr>
            <w:tcW w:w="2657" w:type="dxa"/>
            <w:tcBorders>
              <w:top w:val="nil"/>
              <w:left w:val="nil"/>
              <w:bottom w:val="single" w:sz="8" w:space="0" w:color="auto"/>
              <w:right w:val="nil"/>
            </w:tcBorders>
            <w:shd w:val="clear" w:color="auto" w:fill="auto"/>
            <w:vAlign w:val="center"/>
            <w:hideMark/>
          </w:tcPr>
          <w:p w14:paraId="33FB1AA8" w14:textId="77777777" w:rsidR="004B5328" w:rsidRPr="00887108" w:rsidRDefault="004B5328" w:rsidP="004B5328">
            <w:pPr>
              <w:jc w:val="center"/>
              <w:rPr>
                <w:rFonts w:cs="Times New Roman"/>
                <w:sz w:val="18"/>
                <w:szCs w:val="18"/>
              </w:rPr>
            </w:pPr>
            <w:r w:rsidRPr="00887108">
              <w:rPr>
                <w:rFonts w:cs="Times New Roman"/>
                <w:sz w:val="18"/>
                <w:szCs w:val="18"/>
              </w:rPr>
              <w:t>D.9</w:t>
            </w:r>
          </w:p>
        </w:tc>
        <w:tc>
          <w:tcPr>
            <w:tcW w:w="966" w:type="dxa"/>
            <w:tcBorders>
              <w:top w:val="nil"/>
              <w:left w:val="nil"/>
              <w:bottom w:val="single" w:sz="8" w:space="0" w:color="auto"/>
              <w:right w:val="nil"/>
            </w:tcBorders>
            <w:shd w:val="clear" w:color="auto" w:fill="auto"/>
            <w:vAlign w:val="center"/>
            <w:hideMark/>
          </w:tcPr>
          <w:p w14:paraId="433A7BCB" w14:textId="77777777" w:rsidR="004B5328" w:rsidRPr="00887108" w:rsidRDefault="004B5328" w:rsidP="004B5328">
            <w:pPr>
              <w:jc w:val="center"/>
              <w:rPr>
                <w:rFonts w:cs="Times New Roman"/>
                <w:sz w:val="18"/>
                <w:szCs w:val="18"/>
              </w:rPr>
            </w:pPr>
            <w:r w:rsidRPr="00887108">
              <w:rPr>
                <w:rFonts w:cs="Times New Roman"/>
                <w:sz w:val="18"/>
                <w:szCs w:val="18"/>
              </w:rPr>
              <w:t>177</w:t>
            </w:r>
          </w:p>
        </w:tc>
        <w:tc>
          <w:tcPr>
            <w:tcW w:w="911" w:type="dxa"/>
            <w:tcBorders>
              <w:top w:val="nil"/>
              <w:left w:val="nil"/>
              <w:bottom w:val="single" w:sz="8" w:space="0" w:color="auto"/>
              <w:right w:val="single" w:sz="4" w:space="0" w:color="auto"/>
            </w:tcBorders>
            <w:shd w:val="clear" w:color="auto" w:fill="auto"/>
            <w:vAlign w:val="center"/>
            <w:hideMark/>
          </w:tcPr>
          <w:p w14:paraId="35ABEFA4" w14:textId="77777777" w:rsidR="004B5328" w:rsidRPr="00887108" w:rsidRDefault="004B5328" w:rsidP="004B5328">
            <w:pPr>
              <w:jc w:val="center"/>
              <w:rPr>
                <w:rFonts w:cs="Times New Roman"/>
                <w:sz w:val="18"/>
                <w:szCs w:val="18"/>
              </w:rPr>
            </w:pPr>
            <w:r w:rsidRPr="00887108">
              <w:rPr>
                <w:rFonts w:cs="Times New Roman"/>
                <w:sz w:val="18"/>
                <w:szCs w:val="18"/>
              </w:rPr>
              <w:t>0,2</w:t>
            </w:r>
          </w:p>
        </w:tc>
        <w:tc>
          <w:tcPr>
            <w:tcW w:w="1030" w:type="dxa"/>
            <w:tcBorders>
              <w:top w:val="nil"/>
              <w:left w:val="nil"/>
              <w:bottom w:val="single" w:sz="8" w:space="0" w:color="auto"/>
              <w:right w:val="nil"/>
            </w:tcBorders>
            <w:shd w:val="clear" w:color="auto" w:fill="auto"/>
            <w:vAlign w:val="center"/>
            <w:hideMark/>
          </w:tcPr>
          <w:p w14:paraId="201538B4" w14:textId="77777777" w:rsidR="004B5328" w:rsidRPr="00887108" w:rsidRDefault="004B5328" w:rsidP="004B5328">
            <w:pPr>
              <w:jc w:val="center"/>
              <w:rPr>
                <w:rFonts w:cs="Times New Roman"/>
                <w:sz w:val="18"/>
                <w:szCs w:val="18"/>
              </w:rPr>
            </w:pPr>
            <w:r w:rsidRPr="00887108">
              <w:rPr>
                <w:rFonts w:cs="Times New Roman"/>
                <w:sz w:val="18"/>
                <w:szCs w:val="18"/>
              </w:rPr>
              <w:t>430</w:t>
            </w:r>
          </w:p>
        </w:tc>
        <w:tc>
          <w:tcPr>
            <w:tcW w:w="908" w:type="dxa"/>
            <w:tcBorders>
              <w:top w:val="nil"/>
              <w:left w:val="nil"/>
              <w:bottom w:val="single" w:sz="8" w:space="0" w:color="auto"/>
              <w:right w:val="nil"/>
            </w:tcBorders>
            <w:shd w:val="clear" w:color="auto" w:fill="auto"/>
            <w:vAlign w:val="center"/>
            <w:hideMark/>
          </w:tcPr>
          <w:p w14:paraId="692D07DC" w14:textId="77777777" w:rsidR="004B5328" w:rsidRPr="00887108" w:rsidRDefault="004B5328" w:rsidP="004B5328">
            <w:pPr>
              <w:jc w:val="center"/>
              <w:rPr>
                <w:rFonts w:cs="Times New Roman"/>
                <w:sz w:val="18"/>
                <w:szCs w:val="18"/>
              </w:rPr>
            </w:pPr>
            <w:r w:rsidRPr="00887108">
              <w:rPr>
                <w:rFonts w:cs="Times New Roman"/>
                <w:sz w:val="18"/>
                <w:szCs w:val="18"/>
              </w:rPr>
              <w:t>0,5</w:t>
            </w:r>
          </w:p>
        </w:tc>
      </w:tr>
    </w:tbl>
    <w:p w14:paraId="37ED795E" w14:textId="34359F12" w:rsidR="00FA7E64" w:rsidRPr="00887108" w:rsidRDefault="00421976" w:rsidP="009637BB">
      <w:pPr>
        <w:jc w:val="right"/>
        <w:rPr>
          <w:sz w:val="16"/>
          <w:szCs w:val="16"/>
        </w:rPr>
      </w:pPr>
      <w:r w:rsidRPr="00887108">
        <w:rPr>
          <w:sz w:val="16"/>
          <w:szCs w:val="16"/>
        </w:rPr>
        <w:t>Zdroj: MF SR</w:t>
      </w:r>
    </w:p>
    <w:p w14:paraId="082431DC" w14:textId="77777777" w:rsidR="00FA7E64" w:rsidRPr="00887108" w:rsidRDefault="00FA7E64">
      <w:pPr>
        <w:rPr>
          <w:sz w:val="16"/>
          <w:szCs w:val="16"/>
        </w:rPr>
      </w:pPr>
      <w:r w:rsidRPr="00887108">
        <w:rPr>
          <w:sz w:val="16"/>
          <w:szCs w:val="16"/>
        </w:rPr>
        <w:br w:type="page"/>
      </w:r>
    </w:p>
    <w:p w14:paraId="09FD0A44" w14:textId="60AB9945" w:rsidR="00FC6123" w:rsidRPr="00887108" w:rsidRDefault="00FC6123" w:rsidP="00FA7E64">
      <w:pPr>
        <w:pStyle w:val="Nadpis3"/>
        <w:spacing w:after="120"/>
        <w:rPr>
          <w:color w:val="2C9ADC" w:themeColor="accent1"/>
          <w:sz w:val="24"/>
          <w:szCs w:val="24"/>
        </w:rPr>
      </w:pPr>
      <w:r w:rsidRPr="00887108">
        <w:rPr>
          <w:color w:val="2C9ADC" w:themeColor="accent1"/>
          <w:sz w:val="24"/>
          <w:szCs w:val="24"/>
        </w:rPr>
        <w:t xml:space="preserve">Externá príloha 1 - </w:t>
      </w:r>
      <w:r w:rsidR="004B2D88" w:rsidRPr="00887108">
        <w:rPr>
          <w:color w:val="2C9ADC" w:themeColor="accent1"/>
          <w:sz w:val="24"/>
          <w:szCs w:val="24"/>
        </w:rPr>
        <w:t>REVÍZIA VÝDAVKOV NA INFORMATIZÁCIU</w:t>
      </w:r>
    </w:p>
    <w:p w14:paraId="68E761E4" w14:textId="736A13FF" w:rsidR="00FC6123" w:rsidRPr="00887108" w:rsidRDefault="00FC6123" w:rsidP="004B2D88">
      <w:pPr>
        <w:pStyle w:val="Nadpis3"/>
        <w:spacing w:after="120"/>
        <w:jc w:val="both"/>
        <w:rPr>
          <w:color w:val="2C9ADC" w:themeColor="accent1"/>
          <w:sz w:val="24"/>
          <w:szCs w:val="24"/>
        </w:rPr>
      </w:pPr>
      <w:r w:rsidRPr="00887108">
        <w:rPr>
          <w:color w:val="2C9ADC" w:themeColor="accent1"/>
          <w:sz w:val="24"/>
          <w:szCs w:val="24"/>
        </w:rPr>
        <w:t xml:space="preserve">Externá príloha 2 </w:t>
      </w:r>
      <w:r w:rsidR="004B2D88" w:rsidRPr="00887108">
        <w:rPr>
          <w:color w:val="2C9ADC" w:themeColor="accent1"/>
          <w:sz w:val="24"/>
          <w:szCs w:val="24"/>
        </w:rPr>
        <w:t>-</w:t>
      </w:r>
      <w:r w:rsidRPr="00887108">
        <w:rPr>
          <w:color w:val="2C9ADC" w:themeColor="accent1"/>
          <w:sz w:val="24"/>
          <w:szCs w:val="24"/>
        </w:rPr>
        <w:t xml:space="preserve"> </w:t>
      </w:r>
      <w:r w:rsidR="004B2D88" w:rsidRPr="00887108">
        <w:rPr>
          <w:color w:val="2C9ADC" w:themeColor="accent1"/>
          <w:sz w:val="24"/>
          <w:szCs w:val="24"/>
        </w:rPr>
        <w:t xml:space="preserve">REVÍZIA VÝDAVKOV NA SKUPINY OHROZENÉ CHUDOBOU ALEBO SOCIÁLNYM VYLÚČENÍM </w:t>
      </w:r>
    </w:p>
    <w:p w14:paraId="4B404B84" w14:textId="2FDCACB8" w:rsidR="00FC6123" w:rsidRPr="00887108" w:rsidRDefault="00FC6123" w:rsidP="004B2D88">
      <w:pPr>
        <w:pStyle w:val="Nadpis3"/>
        <w:spacing w:after="120"/>
        <w:jc w:val="both"/>
      </w:pPr>
      <w:r w:rsidRPr="00887108">
        <w:rPr>
          <w:color w:val="2C9ADC" w:themeColor="accent1"/>
          <w:sz w:val="24"/>
          <w:szCs w:val="24"/>
        </w:rPr>
        <w:t xml:space="preserve">Externá príloha 3 - </w:t>
      </w:r>
      <w:r w:rsidR="004B2D88" w:rsidRPr="00887108">
        <w:rPr>
          <w:color w:val="2C9ADC" w:themeColor="accent1"/>
          <w:sz w:val="24"/>
          <w:szCs w:val="24"/>
        </w:rPr>
        <w:t>REVÍZIA VÝDAVKOV ZAMESTNANOSTI A ODMEŇOVANIA VO VEREJNEJ SPRÁVE</w:t>
      </w:r>
    </w:p>
    <w:p w14:paraId="3AD7611A" w14:textId="4B7F983C" w:rsidR="00FA7E64" w:rsidRPr="00887108" w:rsidRDefault="00FA7E64" w:rsidP="00FA7E64">
      <w:pPr>
        <w:pStyle w:val="Nadpis3"/>
        <w:spacing w:after="120"/>
        <w:rPr>
          <w:color w:val="2C9ADC" w:themeColor="accent1"/>
          <w:sz w:val="24"/>
          <w:szCs w:val="24"/>
        </w:rPr>
      </w:pPr>
      <w:r w:rsidRPr="00887108">
        <w:rPr>
          <w:color w:val="2C9ADC" w:themeColor="accent1"/>
          <w:sz w:val="24"/>
          <w:szCs w:val="24"/>
        </w:rPr>
        <w:t>Externá príloha 4 - SÚHRNNÁ IMPLEMENTAČNÁ SPRÁVA ZA ROK 2019 (Zdravotníctvo, doprava, informatizácia, vzdelávanie, životné prostredie, trh práce a sociálne politiky</w:t>
      </w:r>
      <w:r w:rsidR="006E2F8A" w:rsidRPr="00887108">
        <w:rPr>
          <w:color w:val="2C9ADC" w:themeColor="accent1"/>
          <w:sz w:val="24"/>
          <w:szCs w:val="24"/>
        </w:rPr>
        <w:t>, pôdohospodárstvo a rozvoj vidieka</w:t>
      </w:r>
      <w:r w:rsidRPr="00887108">
        <w:rPr>
          <w:color w:val="2C9ADC" w:themeColor="accent1"/>
          <w:sz w:val="24"/>
          <w:szCs w:val="24"/>
        </w:rPr>
        <w:t>)</w:t>
      </w:r>
    </w:p>
    <w:p w14:paraId="2F85C80D" w14:textId="4FBE9CF4" w:rsidR="00FC6123" w:rsidRPr="00887108" w:rsidRDefault="00FA7E64" w:rsidP="000570B1">
      <w:pPr>
        <w:jc w:val="both"/>
      </w:pPr>
      <w:r w:rsidRPr="00887108">
        <w:t>Materiál</w:t>
      </w:r>
      <w:r w:rsidR="00334CBF" w:rsidRPr="00887108">
        <w:t>y sú</w:t>
      </w:r>
      <w:r w:rsidRPr="00887108">
        <w:t xml:space="preserve"> </w:t>
      </w:r>
      <w:r w:rsidR="00334CBF" w:rsidRPr="00887108">
        <w:t>externými prílohami</w:t>
      </w:r>
      <w:r w:rsidRPr="00887108">
        <w:t xml:space="preserve"> Programu stability Slovenskej republiky na roky 2020-2023</w:t>
      </w:r>
    </w:p>
    <w:sectPr w:rsidR="00FC6123" w:rsidRPr="00887108" w:rsidSect="0090687F">
      <w:headerReference w:type="default" r:id="rId46"/>
      <w:footerReference w:type="default" r:id="rId47"/>
      <w:headerReference w:type="first" r:id="rId48"/>
      <w:type w:val="continuous"/>
      <w:pgSz w:w="11906" w:h="16838" w:code="9"/>
      <w:pgMar w:top="1276" w:right="1418" w:bottom="1418" w:left="1418"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6CDD1" w14:textId="77777777" w:rsidR="00003F14" w:rsidRDefault="00003F14" w:rsidP="001543E7">
      <w:r>
        <w:separator/>
      </w:r>
    </w:p>
  </w:endnote>
  <w:endnote w:type="continuationSeparator" w:id="0">
    <w:p w14:paraId="02D034BB" w14:textId="77777777" w:rsidR="00003F14" w:rsidRDefault="00003F14" w:rsidP="001543E7">
      <w:r>
        <w:continuationSeparator/>
      </w:r>
    </w:p>
  </w:endnote>
  <w:endnote w:type="continuationNotice" w:id="1">
    <w:p w14:paraId="3AB3A868" w14:textId="77777777" w:rsidR="00003F14" w:rsidRDefault="00003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NeueHaasGroteskText W02">
    <w:panose1 w:val="020B0504020202020204"/>
    <w:charset w:val="EE"/>
    <w:family w:val="swiss"/>
    <w:pitch w:val="variable"/>
    <w:sig w:usb0="800000AF" w:usb1="4000204A" w:usb2="00000000" w:usb3="00000000" w:csb0="00000093" w:csb1="00000000"/>
  </w:font>
  <w:font w:name="&amp;quot">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739428"/>
      <w:docPartObj>
        <w:docPartGallery w:val="Page Numbers (Bottom of Page)"/>
        <w:docPartUnique/>
      </w:docPartObj>
    </w:sdtPr>
    <w:sdtContent>
      <w:p w14:paraId="6F4C93DD" w14:textId="2DD186F7" w:rsidR="00003F14" w:rsidRDefault="00003F14">
        <w:pPr>
          <w:pStyle w:val="Pta"/>
          <w:jc w:val="center"/>
        </w:pPr>
        <w:r>
          <w:fldChar w:fldCharType="begin"/>
        </w:r>
        <w:r>
          <w:instrText>PAGE   \* MERGEFORMAT</w:instrText>
        </w:r>
        <w:r>
          <w:fldChar w:fldCharType="separate"/>
        </w:r>
        <w:r w:rsidR="00D47A36">
          <w:rPr>
            <w:noProof/>
          </w:rPr>
          <w:t>18</w:t>
        </w:r>
        <w:r>
          <w:fldChar w:fldCharType="end"/>
        </w:r>
      </w:p>
    </w:sdtContent>
  </w:sdt>
  <w:p w14:paraId="67D16664" w14:textId="77777777" w:rsidR="00003F14" w:rsidRPr="008D4615" w:rsidRDefault="00003F14" w:rsidP="008D4615">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C811B" w14:textId="77777777" w:rsidR="00003F14" w:rsidRDefault="00003F14" w:rsidP="001543E7">
      <w:r>
        <w:separator/>
      </w:r>
    </w:p>
  </w:footnote>
  <w:footnote w:type="continuationSeparator" w:id="0">
    <w:p w14:paraId="7B57B093" w14:textId="77777777" w:rsidR="00003F14" w:rsidRDefault="00003F14" w:rsidP="001543E7">
      <w:r>
        <w:continuationSeparator/>
      </w:r>
    </w:p>
  </w:footnote>
  <w:footnote w:type="continuationNotice" w:id="1">
    <w:p w14:paraId="0B2D0F9D" w14:textId="77777777" w:rsidR="00003F14" w:rsidRDefault="00003F14"/>
  </w:footnote>
  <w:footnote w:id="2">
    <w:p w14:paraId="60ADA39A" w14:textId="77777777" w:rsidR="00003F14" w:rsidRPr="00B64B02" w:rsidRDefault="00003F14" w:rsidP="00204588">
      <w:pPr>
        <w:pStyle w:val="Textpoznmkypodiarou"/>
        <w:rPr>
          <w:sz w:val="16"/>
          <w:szCs w:val="16"/>
        </w:rPr>
      </w:pPr>
      <w:r w:rsidRPr="00B64B02">
        <w:rPr>
          <w:rStyle w:val="Odkaznapoznmkupodiarou"/>
          <w:sz w:val="16"/>
          <w:szCs w:val="16"/>
        </w:rPr>
        <w:footnoteRef/>
      </w:r>
      <w:r w:rsidRPr="00B64B02">
        <w:rPr>
          <w:sz w:val="16"/>
          <w:szCs w:val="16"/>
        </w:rPr>
        <w:t xml:space="preserve"> </w:t>
      </w:r>
      <w:hyperlink r:id="rId1" w:history="1">
        <w:r w:rsidRPr="00684201">
          <w:rPr>
            <w:rStyle w:val="Hypertextovprepojenie"/>
            <w:rFonts w:cs="Book Antiqua"/>
            <w:color w:val="2C9ADC" w:themeColor="accent1"/>
            <w:sz w:val="16"/>
            <w:szCs w:val="16"/>
          </w:rPr>
          <w:t>Prognóza Výboru pre makroekonomické prognózy.</w:t>
        </w:r>
      </w:hyperlink>
    </w:p>
  </w:footnote>
  <w:footnote w:id="3">
    <w:p w14:paraId="006A3952" w14:textId="77777777" w:rsidR="00003F14" w:rsidRPr="00A4622D" w:rsidRDefault="00003F14" w:rsidP="00204588">
      <w:pPr>
        <w:ind w:left="170" w:hanging="170"/>
        <w:jc w:val="both"/>
        <w:rPr>
          <w:sz w:val="16"/>
          <w:szCs w:val="16"/>
        </w:rPr>
      </w:pPr>
      <w:r w:rsidRPr="00A4622D">
        <w:rPr>
          <w:rStyle w:val="Odkaznapoznmkupodiarou"/>
          <w:i/>
          <w:sz w:val="16"/>
          <w:szCs w:val="16"/>
        </w:rPr>
        <w:footnoteRef/>
      </w:r>
      <w:r w:rsidRPr="00A4622D">
        <w:rPr>
          <w:i/>
          <w:sz w:val="16"/>
          <w:szCs w:val="16"/>
        </w:rPr>
        <w:t xml:space="preserve"> </w:t>
      </w:r>
      <w:r>
        <w:rPr>
          <w:sz w:val="16"/>
          <w:szCs w:val="16"/>
        </w:rPr>
        <w:t>Prognóza pre roky 2020 až 2023</w:t>
      </w:r>
      <w:r w:rsidRPr="00A4622D">
        <w:rPr>
          <w:sz w:val="16"/>
          <w:szCs w:val="16"/>
        </w:rPr>
        <w:t xml:space="preserve"> bola schválená Výborom pre makroekonomické prognózy v</w:t>
      </w:r>
      <w:r>
        <w:rPr>
          <w:sz w:val="16"/>
          <w:szCs w:val="16"/>
        </w:rPr>
        <w:t> apríli 2020.</w:t>
      </w:r>
    </w:p>
  </w:footnote>
  <w:footnote w:id="4">
    <w:p w14:paraId="0625A143" w14:textId="77777777" w:rsidR="00003F14" w:rsidRPr="00A4622D" w:rsidRDefault="00003F14" w:rsidP="00204588">
      <w:pPr>
        <w:ind w:left="170" w:hanging="170"/>
        <w:jc w:val="both"/>
        <w:rPr>
          <w:sz w:val="16"/>
          <w:szCs w:val="16"/>
        </w:rPr>
      </w:pPr>
      <w:r w:rsidRPr="00A4622D">
        <w:rPr>
          <w:rStyle w:val="Odkaznapoznmkupodiarou"/>
          <w:i/>
          <w:sz w:val="16"/>
          <w:szCs w:val="16"/>
        </w:rPr>
        <w:footnoteRef/>
      </w:r>
      <w:r w:rsidRPr="00A4622D">
        <w:rPr>
          <w:i/>
          <w:sz w:val="16"/>
          <w:szCs w:val="16"/>
        </w:rPr>
        <w:t xml:space="preserve"> </w:t>
      </w:r>
      <w:r w:rsidRPr="00A4622D">
        <w:rPr>
          <w:sz w:val="16"/>
          <w:szCs w:val="16"/>
        </w:rPr>
        <w:t>V nasledujúcom texte budeme pod spotrebou domácností rozumieť spotrebu domácností a neziskových inštitúcií slúžiacim domácnostiam (NISD).</w:t>
      </w:r>
    </w:p>
  </w:footnote>
  <w:footnote w:id="5">
    <w:p w14:paraId="14247C6A" w14:textId="15C4CDAA" w:rsidR="00003F14" w:rsidRPr="00B34E82" w:rsidRDefault="00003F14" w:rsidP="00204588">
      <w:pPr>
        <w:pStyle w:val="Textpoznmkypodiarou"/>
        <w:jc w:val="both"/>
        <w:rPr>
          <w:sz w:val="16"/>
          <w:szCs w:val="16"/>
        </w:rPr>
      </w:pPr>
      <w:r w:rsidRPr="0070184E">
        <w:rPr>
          <w:rStyle w:val="Odkaznapoznmkupodiarou"/>
          <w:sz w:val="16"/>
          <w:szCs w:val="16"/>
        </w:rPr>
        <w:footnoteRef/>
      </w:r>
      <w:r w:rsidRPr="0070184E">
        <w:rPr>
          <w:sz w:val="16"/>
          <w:szCs w:val="16"/>
        </w:rPr>
        <w:t xml:space="preserve"> Aktuálna aprílová prognóza </w:t>
      </w:r>
      <w:r>
        <w:rPr>
          <w:sz w:val="16"/>
          <w:szCs w:val="16"/>
        </w:rPr>
        <w:t>daňového výboru</w:t>
      </w:r>
      <w:r w:rsidRPr="0070184E">
        <w:rPr>
          <w:sz w:val="16"/>
          <w:szCs w:val="16"/>
        </w:rPr>
        <w:t xml:space="preserve"> spresnila výber daní za rok 2019, pričom došlo k zníženiu najmä na dani z príjmu právnických osôb a sociálnych odvodoch. </w:t>
      </w:r>
      <w:r w:rsidRPr="00B34E82">
        <w:rPr>
          <w:sz w:val="16"/>
          <w:szCs w:val="16"/>
        </w:rPr>
        <w:t>Spolu s ostatnými vplyvmi je pokles 73 mil. eur</w:t>
      </w:r>
      <w:r>
        <w:rPr>
          <w:sz w:val="16"/>
          <w:szCs w:val="16"/>
        </w:rPr>
        <w:t xml:space="preserve">. </w:t>
      </w:r>
      <w:r w:rsidRPr="00B34E82">
        <w:rPr>
          <w:sz w:val="16"/>
          <w:szCs w:val="16"/>
        </w:rPr>
        <w:t xml:space="preserve">Zároveň NR SR schválil možnosť započítať minulé straty firiem za roky 2015 až 2018 do daňové priznania za rok 2019, </w:t>
      </w:r>
      <w:r>
        <w:rPr>
          <w:sz w:val="16"/>
          <w:szCs w:val="16"/>
        </w:rPr>
        <w:t>čo predstavuje dodatočné riziko pre</w:t>
      </w:r>
      <w:r w:rsidRPr="00B34E82">
        <w:rPr>
          <w:sz w:val="16"/>
          <w:szCs w:val="16"/>
        </w:rPr>
        <w:t xml:space="preserve"> deficit </w:t>
      </w:r>
      <w:r>
        <w:rPr>
          <w:sz w:val="16"/>
          <w:szCs w:val="16"/>
        </w:rPr>
        <w:t xml:space="preserve">za rok </w:t>
      </w:r>
      <w:r w:rsidRPr="00B34E82">
        <w:rPr>
          <w:sz w:val="16"/>
          <w:szCs w:val="16"/>
        </w:rPr>
        <w:t xml:space="preserve">2019 </w:t>
      </w:r>
      <w:r>
        <w:rPr>
          <w:sz w:val="16"/>
          <w:szCs w:val="16"/>
        </w:rPr>
        <w:t>vo výške</w:t>
      </w:r>
      <w:r w:rsidRPr="00B34E82">
        <w:rPr>
          <w:sz w:val="16"/>
          <w:szCs w:val="16"/>
        </w:rPr>
        <w:t xml:space="preserve"> 43 mil. eur.</w:t>
      </w:r>
    </w:p>
  </w:footnote>
  <w:footnote w:id="6">
    <w:p w14:paraId="56C5B53D" w14:textId="77777777" w:rsidR="00003F14" w:rsidRDefault="00003F14" w:rsidP="00204588">
      <w:pPr>
        <w:pStyle w:val="Textpoznmkypodiarou"/>
        <w:jc w:val="both"/>
      </w:pPr>
      <w:r w:rsidRPr="008A4197">
        <w:rPr>
          <w:rStyle w:val="Odkaznapoznmkupodiarou"/>
          <w:sz w:val="16"/>
        </w:rPr>
        <w:footnoteRef/>
      </w:r>
      <w:r>
        <w:rPr>
          <w:sz w:val="16"/>
        </w:rPr>
        <w:t xml:space="preserve"> Ide o výdavky ŠR s vplyvom na deficit v metodike ESA2010, mimo transfer sociálnej poisťovni, výdavky na obsluhu dlhu a mimo výdavkov súvisiacich s rozpočtom EÚ. Rozdiel oproti predpokladom rozpočtu je upravený o rozpočtované rezervy na nové príjmové opatrenia (</w:t>
      </w:r>
      <w:r w:rsidRPr="004956A1">
        <w:rPr>
          <w:sz w:val="16"/>
        </w:rPr>
        <w:t>vplyv nižšej DPH na ubytovacie služby ako aj o zavedenie rekreačných šekov, keďže tieto boli uvádzané v rozpočte VS na výdavkovej strane</w:t>
      </w:r>
      <w:r>
        <w:rPr>
          <w:sz w:val="16"/>
        </w:rPr>
        <w:t>), ktoré sa alokovali na príjmovú stranu.</w:t>
      </w:r>
      <w:r w:rsidRPr="008A4197">
        <w:rPr>
          <w:sz w:val="16"/>
        </w:rPr>
        <w:t xml:space="preserve"> </w:t>
      </w:r>
    </w:p>
  </w:footnote>
  <w:footnote w:id="7">
    <w:p w14:paraId="32D19D56" w14:textId="13A69D43" w:rsidR="00003F14" w:rsidRPr="003C301C" w:rsidRDefault="00003F14" w:rsidP="003C301C">
      <w:pPr>
        <w:rPr>
          <w:rFonts w:cs="Times New Roman"/>
          <w:sz w:val="16"/>
          <w:szCs w:val="16"/>
        </w:rPr>
      </w:pPr>
      <w:r w:rsidRPr="003C301C">
        <w:rPr>
          <w:rStyle w:val="Odkaznapoznmkupodiarou"/>
          <w:sz w:val="16"/>
          <w:szCs w:val="16"/>
        </w:rPr>
        <w:footnoteRef/>
      </w:r>
      <w:r w:rsidRPr="003C301C">
        <w:rPr>
          <w:sz w:val="16"/>
          <w:szCs w:val="16"/>
        </w:rPr>
        <w:t xml:space="preserve"> </w:t>
      </w:r>
      <w:r>
        <w:rPr>
          <w:sz w:val="16"/>
          <w:szCs w:val="16"/>
        </w:rPr>
        <w:t>Viď aj</w:t>
      </w:r>
      <w:r w:rsidRPr="003C301C">
        <w:rPr>
          <w:sz w:val="16"/>
          <w:szCs w:val="16"/>
        </w:rPr>
        <w:t> revízi</w:t>
      </w:r>
      <w:r>
        <w:rPr>
          <w:sz w:val="16"/>
          <w:szCs w:val="16"/>
        </w:rPr>
        <w:t>a</w:t>
      </w:r>
      <w:r w:rsidRPr="003C301C">
        <w:rPr>
          <w:sz w:val="16"/>
          <w:szCs w:val="16"/>
        </w:rPr>
        <w:t xml:space="preserve"> UHP - Zdravotníctvo vol. 2, kapitola 3.7. </w:t>
      </w:r>
      <w:hyperlink r:id="rId2" w:tgtFrame="_blank" w:history="1">
        <w:r w:rsidRPr="00905528">
          <w:rPr>
            <w:rStyle w:val="Hypertextovprepojenie"/>
            <w:rFonts w:cs="Tahoma"/>
            <w:color w:val="2C9ADC" w:themeColor="accent1"/>
            <w:sz w:val="16"/>
            <w:szCs w:val="16"/>
          </w:rPr>
          <w:t>https://www.mfsr.sk/files/archiv/44/revizia_zdravotnictvo_2.pdf</w:t>
        </w:r>
      </w:hyperlink>
      <w:r w:rsidRPr="003C301C">
        <w:rPr>
          <w:rFonts w:cs="Tahoma"/>
          <w:color w:val="000000"/>
          <w:sz w:val="16"/>
          <w:szCs w:val="16"/>
        </w:rPr>
        <w:t>)</w:t>
      </w:r>
    </w:p>
  </w:footnote>
  <w:footnote w:id="8">
    <w:p w14:paraId="79C6D0FB" w14:textId="45DCEC89" w:rsidR="00003F14" w:rsidRPr="00C03C00" w:rsidRDefault="00003F14" w:rsidP="009637BB">
      <w:pPr>
        <w:pStyle w:val="Textpoznmkypodiarou"/>
        <w:jc w:val="both"/>
        <w:rPr>
          <w:sz w:val="16"/>
          <w:szCs w:val="16"/>
        </w:rPr>
      </w:pPr>
      <w:r w:rsidRPr="00C03C00">
        <w:rPr>
          <w:rStyle w:val="Odkaznapoznmkupodiarou"/>
          <w:sz w:val="16"/>
          <w:szCs w:val="16"/>
        </w:rPr>
        <w:footnoteRef/>
      </w:r>
      <w:r w:rsidRPr="00C03C00">
        <w:rPr>
          <w:sz w:val="16"/>
          <w:szCs w:val="16"/>
        </w:rPr>
        <w:t xml:space="preserve"> Ide však iba o akrualizačnú položku, teda presun </w:t>
      </w:r>
      <w:r>
        <w:rPr>
          <w:sz w:val="16"/>
          <w:szCs w:val="16"/>
        </w:rPr>
        <w:t xml:space="preserve">celkovej </w:t>
      </w:r>
      <w:r w:rsidRPr="00C03C00">
        <w:rPr>
          <w:sz w:val="16"/>
          <w:szCs w:val="16"/>
        </w:rPr>
        <w:t xml:space="preserve">platby </w:t>
      </w:r>
      <w:r>
        <w:rPr>
          <w:sz w:val="16"/>
          <w:szCs w:val="16"/>
        </w:rPr>
        <w:t>medzi jednotlivými rokmi v závislosti na moment  dodania vojenskej techniky</w:t>
      </w:r>
      <w:r w:rsidRPr="00C03C00">
        <w:rPr>
          <w:sz w:val="16"/>
          <w:szCs w:val="16"/>
        </w:rPr>
        <w:t xml:space="preserve">. </w:t>
      </w:r>
      <w:r>
        <w:rPr>
          <w:sz w:val="16"/>
          <w:szCs w:val="16"/>
        </w:rPr>
        <w:t>K Dodaniu vojenskej techniky teda došlo skôr, ako sa predpokladalo v rozpočte.</w:t>
      </w:r>
    </w:p>
  </w:footnote>
  <w:footnote w:id="9">
    <w:p w14:paraId="5B4C15A2" w14:textId="77777777" w:rsidR="00003F14" w:rsidRPr="004956A1" w:rsidRDefault="00003F14" w:rsidP="00204588">
      <w:pPr>
        <w:pStyle w:val="Textpoznmkypodiarou"/>
        <w:rPr>
          <w:sz w:val="16"/>
          <w:szCs w:val="16"/>
        </w:rPr>
      </w:pPr>
      <w:r w:rsidRPr="004956A1">
        <w:rPr>
          <w:rStyle w:val="Odkaznapoznmkupodiarou"/>
          <w:sz w:val="16"/>
          <w:szCs w:val="16"/>
        </w:rPr>
        <w:footnoteRef/>
      </w:r>
      <w:r w:rsidRPr="004956A1">
        <w:rPr>
          <w:sz w:val="16"/>
          <w:szCs w:val="16"/>
        </w:rPr>
        <w:t xml:space="preserve"> V tomto roku sa minulo až 1,1 % HDP výdavkov, ktoré sa preniesli z minulých rokov.</w:t>
      </w:r>
    </w:p>
  </w:footnote>
  <w:footnote w:id="10">
    <w:p w14:paraId="10E6C9C9" w14:textId="5B403FA6" w:rsidR="00003F14" w:rsidRPr="00075B8E" w:rsidRDefault="00003F14" w:rsidP="00204588">
      <w:pPr>
        <w:pStyle w:val="Textpoznmkypodiarou"/>
        <w:rPr>
          <w:sz w:val="16"/>
          <w:szCs w:val="16"/>
        </w:rPr>
      </w:pPr>
      <w:r w:rsidRPr="00075B8E">
        <w:rPr>
          <w:rStyle w:val="Odkaznapoznmkupodiarou"/>
          <w:sz w:val="16"/>
          <w:szCs w:val="16"/>
        </w:rPr>
        <w:footnoteRef/>
      </w:r>
      <w:r w:rsidRPr="00075B8E">
        <w:rPr>
          <w:sz w:val="16"/>
          <w:szCs w:val="16"/>
        </w:rPr>
        <w:t xml:space="preserve"> V rámci rozsiahlej tzv. benchmarkovej revízie národných účtov zo strany Eurostatu, ktorá prebieha raz za dlhšie obdobie</w:t>
      </w:r>
      <w:r>
        <w:rPr>
          <w:sz w:val="16"/>
          <w:szCs w:val="16"/>
        </w:rPr>
        <w:t>.</w:t>
      </w:r>
    </w:p>
  </w:footnote>
  <w:footnote w:id="11">
    <w:p w14:paraId="75C5FA09" w14:textId="79EBBD39" w:rsidR="00003F14" w:rsidRPr="002A4B6F" w:rsidRDefault="00003F14" w:rsidP="005D39E1">
      <w:pPr>
        <w:pStyle w:val="Textpoznmkypodiarou"/>
        <w:jc w:val="both"/>
        <w:rPr>
          <w:sz w:val="16"/>
        </w:rPr>
      </w:pPr>
      <w:r w:rsidRPr="002A4B6F">
        <w:rPr>
          <w:rStyle w:val="Odkaznapoznmkupodiarou"/>
          <w:sz w:val="16"/>
        </w:rPr>
        <w:footnoteRef/>
      </w:r>
      <w:r w:rsidRPr="002A4B6F">
        <w:rPr>
          <w:sz w:val="16"/>
        </w:rPr>
        <w:t xml:space="preserve"> </w:t>
      </w:r>
      <w:r>
        <w:rPr>
          <w:sz w:val="16"/>
        </w:rPr>
        <w:t>Celkové daňové príjmy očistené o  daň z príjmu fyzických osôb</w:t>
      </w:r>
      <w:r w:rsidRPr="002A4B6F">
        <w:rPr>
          <w:sz w:val="16"/>
        </w:rPr>
        <w:t xml:space="preserve"> a dan</w:t>
      </w:r>
      <w:r>
        <w:rPr>
          <w:sz w:val="16"/>
        </w:rPr>
        <w:t>e</w:t>
      </w:r>
      <w:r w:rsidRPr="002A4B6F">
        <w:rPr>
          <w:sz w:val="16"/>
        </w:rPr>
        <w:t xml:space="preserve"> z nehnuteľnosti, ktoré sú príjmami samospráv.</w:t>
      </w:r>
      <w:r>
        <w:rPr>
          <w:sz w:val="16"/>
        </w:rPr>
        <w:t xml:space="preserve"> Ide o rozsah daňových príjmov, ktorý prognózuje Výbor pre daňové prognózy. Tiež nie sú zahrnuté imputované príjmy z tzv. „zelenej energie“ vo výške 563 mil. eur. Zelená energia má svoju výdavkovú protipoložku vo výške 542 mil. eur, takže jej vplyv na deficit je zanedbateľný. Bližšie pozri BOX 4 v </w:t>
      </w:r>
      <w:hyperlink r:id="rId3" w:history="1">
        <w:r w:rsidRPr="00905528">
          <w:rPr>
            <w:rStyle w:val="Hypertextovprepojenie"/>
            <w:rFonts w:cs="Book Antiqua"/>
            <w:color w:val="2C9ADC" w:themeColor="accent1"/>
            <w:sz w:val="16"/>
          </w:rPr>
          <w:t>Návrhu rozpočtového plánu na rok 2020</w:t>
        </w:r>
      </w:hyperlink>
      <w:r>
        <w:rPr>
          <w:sz w:val="16"/>
        </w:rPr>
        <w:t xml:space="preserve">. </w:t>
      </w:r>
      <w:r>
        <w:rPr>
          <w:sz w:val="16"/>
          <w:szCs w:val="16"/>
        </w:rPr>
        <w:t>Porovnanie</w:t>
      </w:r>
      <w:r w:rsidRPr="00D213E3">
        <w:rPr>
          <w:sz w:val="16"/>
          <w:szCs w:val="16"/>
        </w:rPr>
        <w:t xml:space="preserve"> daňovo-odvodových príjmov oproti rozpočtu je analyticky očistená o vplyv nižšej DPH na ubytovacie služby ako aj o zavedenie rekreačných šekov, keďže tieto boli uvádzané v rozpočte VS na výdavkovej strane</w:t>
      </w:r>
      <w:r>
        <w:rPr>
          <w:sz w:val="16"/>
          <w:szCs w:val="16"/>
        </w:rPr>
        <w:t xml:space="preserve"> a schválené neskôr</w:t>
      </w:r>
      <w:r w:rsidRPr="00D213E3">
        <w:rPr>
          <w:sz w:val="16"/>
          <w:szCs w:val="16"/>
        </w:rPr>
        <w:t>. Ďalej sú daňové príjmy očistené o vplyv oslobodenia nepeňažného benefitu pre zamestnanca na ubytovanie a zníženie limitu pre refundáciu DPH turistom, keďže tieto opatrenia rovnako ako predošlé boli schválené až po prijatí rozpočtu.</w:t>
      </w:r>
    </w:p>
  </w:footnote>
  <w:footnote w:id="12">
    <w:p w14:paraId="37218E98" w14:textId="63C72226" w:rsidR="00003F14" w:rsidRPr="00B928EA" w:rsidRDefault="00003F14" w:rsidP="00C04742">
      <w:pPr>
        <w:pStyle w:val="Textpoznmkypodiarou"/>
        <w:jc w:val="both"/>
        <w:rPr>
          <w:sz w:val="16"/>
          <w:szCs w:val="16"/>
        </w:rPr>
      </w:pPr>
      <w:r w:rsidRPr="00D213E3">
        <w:rPr>
          <w:rStyle w:val="Odkaznapoznmkupodiarou"/>
          <w:sz w:val="16"/>
          <w:szCs w:val="16"/>
        </w:rPr>
        <w:footnoteRef/>
      </w:r>
      <w:r w:rsidRPr="00D213E3">
        <w:rPr>
          <w:sz w:val="16"/>
          <w:szCs w:val="16"/>
        </w:rPr>
        <w:t xml:space="preserve"> Legislatívne bolo schválené zavedenie eKasy pre všetky subjekty najneskôr do 1. júla</w:t>
      </w:r>
      <w:r>
        <w:rPr>
          <w:sz w:val="16"/>
          <w:szCs w:val="16"/>
        </w:rPr>
        <w:t xml:space="preserve"> 2019</w:t>
      </w:r>
      <w:r w:rsidRPr="00D213E3">
        <w:rPr>
          <w:sz w:val="16"/>
          <w:szCs w:val="16"/>
        </w:rPr>
        <w:t>. Pokuty za nezavedenie boli neskôr posunuté na 1. január 2020</w:t>
      </w:r>
      <w:r>
        <w:rPr>
          <w:sz w:val="16"/>
          <w:szCs w:val="16"/>
        </w:rPr>
        <w:t>,</w:t>
      </w:r>
      <w:r w:rsidRPr="00D213E3">
        <w:rPr>
          <w:sz w:val="16"/>
          <w:szCs w:val="16"/>
        </w:rPr>
        <w:t xml:space="preserve"> aby mali subjekty dostatok času na prechod na novú online pokladňu, nakoľko hrozilo, že by nebol </w:t>
      </w:r>
      <w:r>
        <w:rPr>
          <w:sz w:val="16"/>
          <w:szCs w:val="16"/>
        </w:rPr>
        <w:t xml:space="preserve">na trhu </w:t>
      </w:r>
      <w:r w:rsidRPr="00D213E3">
        <w:rPr>
          <w:sz w:val="16"/>
          <w:szCs w:val="16"/>
        </w:rPr>
        <w:t>dostatok certifikovaných pokladníc.</w:t>
      </w:r>
    </w:p>
  </w:footnote>
  <w:footnote w:id="13">
    <w:p w14:paraId="233C8FDA" w14:textId="51868FC2" w:rsidR="00003F14" w:rsidRPr="00C04742" w:rsidRDefault="00003F14" w:rsidP="002456FC">
      <w:pPr>
        <w:pStyle w:val="Textpoznmkypodiarou"/>
        <w:jc w:val="both"/>
        <w:rPr>
          <w:sz w:val="16"/>
          <w:szCs w:val="16"/>
        </w:rPr>
      </w:pPr>
      <w:r w:rsidRPr="00C04742">
        <w:rPr>
          <w:rStyle w:val="Odkaznapoznmkupodiarou"/>
          <w:sz w:val="16"/>
          <w:szCs w:val="16"/>
        </w:rPr>
        <w:footnoteRef/>
      </w:r>
      <w:r w:rsidRPr="00C04742">
        <w:rPr>
          <w:sz w:val="16"/>
          <w:szCs w:val="16"/>
        </w:rPr>
        <w:t xml:space="preserve"> Vplyv na deficit môže byť nižší z titulu výraznejšej realokácie EU fondov na boji proti COVID 19 (z prostriedkov predtým určených na obdobie po roku 2020). Táto realokácia však bude zapracovaná až po schválení Programu stability. Aktuálne je zapracovaných 197 mil. eur na podporu zamestnanosti. Celková realokácia EU fondov môže byť až v objeme 1,2 mld. eur, v závislosti od toho, či pôjde vo výraznejšej miere o realokáciu z projektov po roku 2020.</w:t>
      </w:r>
    </w:p>
  </w:footnote>
  <w:footnote w:id="14">
    <w:p w14:paraId="01DAFD84" w14:textId="43AD6AE9" w:rsidR="00003F14" w:rsidRPr="006F2B75" w:rsidRDefault="00003F14" w:rsidP="002456FC">
      <w:pPr>
        <w:pStyle w:val="Textpoznmkypodiarou"/>
        <w:rPr>
          <w:sz w:val="16"/>
          <w:szCs w:val="16"/>
        </w:rPr>
      </w:pPr>
      <w:r w:rsidRPr="006F2B75">
        <w:rPr>
          <w:rStyle w:val="Odkaznapoznmkupodiarou"/>
          <w:sz w:val="16"/>
          <w:szCs w:val="16"/>
        </w:rPr>
        <w:footnoteRef/>
      </w:r>
      <w:r w:rsidRPr="006F2B75">
        <w:rPr>
          <w:sz w:val="16"/>
          <w:szCs w:val="16"/>
        </w:rPr>
        <w:t xml:space="preserve"> </w:t>
      </w:r>
      <w:r w:rsidRPr="00C04742">
        <w:rPr>
          <w:sz w:val="16"/>
          <w:szCs w:val="16"/>
        </w:rPr>
        <w:t>Vláda môže v priebehu roka opatrenia podľa potreby ešte aktualizovať.</w:t>
      </w:r>
    </w:p>
  </w:footnote>
  <w:footnote w:id="15">
    <w:p w14:paraId="4AB482A0" w14:textId="77777777" w:rsidR="00003F14" w:rsidRPr="00C04742" w:rsidRDefault="00003F14" w:rsidP="00204588">
      <w:pPr>
        <w:pStyle w:val="Textpoznmkypodiarou"/>
        <w:rPr>
          <w:sz w:val="16"/>
          <w:szCs w:val="16"/>
        </w:rPr>
      </w:pPr>
      <w:r w:rsidRPr="00C04742">
        <w:rPr>
          <w:rStyle w:val="Odkaznapoznmkupodiarou"/>
          <w:sz w:val="16"/>
          <w:szCs w:val="16"/>
        </w:rPr>
        <w:footnoteRef/>
      </w:r>
      <w:r w:rsidRPr="00C04742">
        <w:rPr>
          <w:sz w:val="16"/>
          <w:szCs w:val="16"/>
        </w:rPr>
        <w:t xml:space="preserve"> V kvantifikáciách sa neuvažuje s prípadnými bankrotmi a predpokladá sa, že firmy dane a odvody doplatia.</w:t>
      </w:r>
    </w:p>
  </w:footnote>
  <w:footnote w:id="16">
    <w:p w14:paraId="375DAD9D" w14:textId="0F32A242" w:rsidR="00003F14" w:rsidRDefault="00003F14">
      <w:pPr>
        <w:pStyle w:val="Textpoznmkypodiarou"/>
      </w:pPr>
      <w:r>
        <w:rPr>
          <w:rStyle w:val="Odkaznapoznmkupodiarou"/>
        </w:rPr>
        <w:footnoteRef/>
      </w:r>
      <w:r>
        <w:t xml:space="preserve"> </w:t>
      </w:r>
      <w:r w:rsidRPr="006F2B75">
        <w:rPr>
          <w:sz w:val="16"/>
          <w:szCs w:val="16"/>
        </w:rPr>
        <w:t>S príslušným obmedzením</w:t>
      </w:r>
      <w:r>
        <w:t xml:space="preserve"> </w:t>
      </w:r>
      <w:r w:rsidRPr="006F2B75">
        <w:rPr>
          <w:sz w:val="16"/>
          <w:szCs w:val="16"/>
        </w:rPr>
        <w:t>maximálnej výšky denného vymeriavacieho základu.</w:t>
      </w:r>
      <w:r>
        <w:t xml:space="preserve"> </w:t>
      </w:r>
    </w:p>
  </w:footnote>
  <w:footnote w:id="17">
    <w:p w14:paraId="5A5BDA19" w14:textId="77777777" w:rsidR="00003F14" w:rsidRPr="00314B3D" w:rsidRDefault="00003F14" w:rsidP="00204588">
      <w:pPr>
        <w:pStyle w:val="Textpoznmkypodiarou"/>
        <w:jc w:val="both"/>
        <w:rPr>
          <w:sz w:val="16"/>
          <w:szCs w:val="16"/>
        </w:rPr>
      </w:pPr>
      <w:r w:rsidRPr="00314B3D">
        <w:rPr>
          <w:rStyle w:val="Odkaznapoznmkupodiarou"/>
        </w:rPr>
        <w:footnoteRef/>
      </w:r>
      <w:r w:rsidRPr="00314B3D">
        <w:rPr>
          <w:sz w:val="16"/>
          <w:szCs w:val="16"/>
        </w:rPr>
        <w:t xml:space="preserve"> Predtým od 11.</w:t>
      </w:r>
      <w:r>
        <w:rPr>
          <w:sz w:val="16"/>
          <w:szCs w:val="16"/>
        </w:rPr>
        <w:t xml:space="preserve"> </w:t>
      </w:r>
      <w:r w:rsidRPr="00314B3D">
        <w:rPr>
          <w:sz w:val="16"/>
          <w:szCs w:val="16"/>
        </w:rPr>
        <w:t>dňa – prvých 10 dní platil zamestnávateľ, pričom prvé tri dni len vo výška 25 % predošlého príjmu.</w:t>
      </w:r>
    </w:p>
  </w:footnote>
  <w:footnote w:id="18">
    <w:p w14:paraId="10CACFA5" w14:textId="77777777" w:rsidR="00003F14" w:rsidRPr="00314B3D" w:rsidRDefault="00003F14" w:rsidP="00204588">
      <w:pPr>
        <w:pStyle w:val="Textpoznmkypodiarou"/>
        <w:jc w:val="both"/>
        <w:rPr>
          <w:sz w:val="16"/>
          <w:szCs w:val="16"/>
        </w:rPr>
      </w:pPr>
      <w:r w:rsidRPr="00314B3D">
        <w:rPr>
          <w:rStyle w:val="Odkaznapoznmkupodiarou"/>
        </w:rPr>
        <w:footnoteRef/>
      </w:r>
      <w:r w:rsidRPr="00314B3D">
        <w:rPr>
          <w:sz w:val="16"/>
          <w:szCs w:val="16"/>
        </w:rPr>
        <w:t xml:space="preserve"> Ošetrovné sa doteraz vyplácalo v maximálnej dĺžke 10 dní</w:t>
      </w:r>
      <w:r>
        <w:rPr>
          <w:sz w:val="16"/>
          <w:szCs w:val="16"/>
        </w:rPr>
        <w:t xml:space="preserve"> na jednu diagnózu</w:t>
      </w:r>
      <w:r w:rsidRPr="00314B3D">
        <w:rPr>
          <w:sz w:val="16"/>
          <w:szCs w:val="16"/>
        </w:rPr>
        <w:t>.</w:t>
      </w:r>
      <w:r>
        <w:rPr>
          <w:sz w:val="16"/>
          <w:szCs w:val="16"/>
        </w:rPr>
        <w:t xml:space="preserve"> </w:t>
      </w:r>
      <w:r w:rsidRPr="00F4132C">
        <w:rPr>
          <w:sz w:val="16"/>
          <w:szCs w:val="16"/>
        </w:rPr>
        <w:t>Ak je dieťa choré alebo ZŤP, ošetrovné sa uvoľňuje obdobným spôsobom pre rodičov s deťmi až do veku 16 resp. 18 rokov (ZŤP).  Počas celého obdobia poberania ošetrovného zostáva rodič sociálne poistený pri súčasnej výnimke z povinnosti platiť poistné.</w:t>
      </w:r>
    </w:p>
  </w:footnote>
  <w:footnote w:id="19">
    <w:p w14:paraId="4F8CA942" w14:textId="77777777" w:rsidR="00003F14" w:rsidRPr="00C7230A" w:rsidRDefault="00003F14" w:rsidP="00204588">
      <w:pPr>
        <w:pStyle w:val="Textpoznmkypodiarou"/>
        <w:rPr>
          <w:sz w:val="16"/>
          <w:szCs w:val="16"/>
        </w:rPr>
      </w:pPr>
      <w:r w:rsidRPr="00C7230A">
        <w:rPr>
          <w:rStyle w:val="Odkaznapoznmkupodiarou"/>
        </w:rPr>
        <w:footnoteRef/>
      </w:r>
      <w:r w:rsidRPr="00C7230A">
        <w:rPr>
          <w:sz w:val="16"/>
          <w:szCs w:val="16"/>
        </w:rPr>
        <w:t xml:space="preserve"> Prekážka pri práci umožňuje zamestnávateľom znížiť hrubú mzdu zamestnancov na maximálne 60 % pri kolektívnych zmluvách a na práve 80 % pri zamestnancoch bez kolektívnej zmluvy. </w:t>
      </w:r>
    </w:p>
  </w:footnote>
  <w:footnote w:id="20">
    <w:p w14:paraId="033A047C" w14:textId="6740CFBA" w:rsidR="00003F14" w:rsidRPr="006F2B75" w:rsidRDefault="00003F14">
      <w:pPr>
        <w:pStyle w:val="Textpoznmkypodiarou"/>
        <w:rPr>
          <w:sz w:val="16"/>
          <w:szCs w:val="16"/>
        </w:rPr>
      </w:pPr>
      <w:r w:rsidRPr="006F2B75">
        <w:rPr>
          <w:rStyle w:val="Odkaznapoznmkupodiarou"/>
          <w:sz w:val="16"/>
          <w:szCs w:val="16"/>
        </w:rPr>
        <w:footnoteRef/>
      </w:r>
      <w:r w:rsidRPr="006F2B75">
        <w:rPr>
          <w:sz w:val="16"/>
          <w:szCs w:val="16"/>
        </w:rPr>
        <w:t xml:space="preserve"> Na základe odhadov z marca 2020</w:t>
      </w:r>
    </w:p>
  </w:footnote>
  <w:footnote w:id="21">
    <w:p w14:paraId="62462B48" w14:textId="4A10B1FB" w:rsidR="00003F14" w:rsidRPr="004C455D" w:rsidRDefault="00003F14" w:rsidP="00204588">
      <w:pPr>
        <w:pStyle w:val="Textpoznmkypodiarou"/>
        <w:rPr>
          <w:sz w:val="16"/>
          <w:szCs w:val="16"/>
        </w:rPr>
      </w:pPr>
      <w:r w:rsidRPr="004F3FF4">
        <w:rPr>
          <w:rStyle w:val="Odkaznapoznmkupodiarou"/>
          <w:sz w:val="16"/>
          <w:szCs w:val="16"/>
        </w:rPr>
        <w:footnoteRef/>
      </w:r>
      <w:r w:rsidRPr="004F3FF4">
        <w:rPr>
          <w:sz w:val="16"/>
          <w:szCs w:val="16"/>
        </w:rPr>
        <w:t xml:space="preserve"> Legislatívne NRSR schválila odklad odvodov z marca na júl, ale skrz nariadenie vlády vytvorila mechanizmus na opätovný odklad o ďalší mesiac v </w:t>
      </w:r>
      <w:r w:rsidRPr="004C455D">
        <w:rPr>
          <w:sz w:val="16"/>
          <w:szCs w:val="16"/>
        </w:rPr>
        <w:t xml:space="preserve">prípade trvania pandémie. </w:t>
      </w:r>
      <w:r>
        <w:rPr>
          <w:sz w:val="16"/>
          <w:szCs w:val="16"/>
        </w:rPr>
        <w:t>Kvantifikácia v rámci Výboru pre daňové prognózy predpokladá, že dôjde z titulu pandémie k odkladu odvodov za viac ako len jeden mesiac. Vplyv opatrenia sa bude spresňovať podľa aktuálneho vývoja.</w:t>
      </w:r>
    </w:p>
  </w:footnote>
  <w:footnote w:id="22">
    <w:p w14:paraId="5B428BAD" w14:textId="552AC515" w:rsidR="00003F14" w:rsidRPr="00865CC8" w:rsidRDefault="00003F14" w:rsidP="008823D3">
      <w:pPr>
        <w:pStyle w:val="Textpoznmkypodiarou"/>
        <w:rPr>
          <w:sz w:val="16"/>
          <w:szCs w:val="16"/>
        </w:rPr>
      </w:pPr>
      <w:r w:rsidRPr="00865CC8">
        <w:rPr>
          <w:rStyle w:val="Odkaznapoznmkupodiarou"/>
          <w:sz w:val="16"/>
          <w:szCs w:val="16"/>
        </w:rPr>
        <w:footnoteRef/>
      </w:r>
      <w:r w:rsidRPr="00865CC8">
        <w:rPr>
          <w:sz w:val="16"/>
          <w:szCs w:val="16"/>
        </w:rPr>
        <w:t xml:space="preserve"> </w:t>
      </w:r>
      <w:r>
        <w:rPr>
          <w:sz w:val="16"/>
          <w:szCs w:val="16"/>
        </w:rPr>
        <w:t>Dohoda o odklade sa týka bánk</w:t>
      </w:r>
      <w:r w:rsidRPr="00865CC8">
        <w:rPr>
          <w:sz w:val="16"/>
          <w:szCs w:val="16"/>
        </w:rPr>
        <w:t>, lízingov</w:t>
      </w:r>
      <w:r>
        <w:rPr>
          <w:sz w:val="16"/>
          <w:szCs w:val="16"/>
        </w:rPr>
        <w:t>ých</w:t>
      </w:r>
      <w:r w:rsidRPr="00865CC8">
        <w:rPr>
          <w:sz w:val="16"/>
          <w:szCs w:val="16"/>
        </w:rPr>
        <w:t xml:space="preserve"> a nebankov</w:t>
      </w:r>
      <w:r>
        <w:rPr>
          <w:sz w:val="16"/>
          <w:szCs w:val="16"/>
        </w:rPr>
        <w:t>ých</w:t>
      </w:r>
      <w:r w:rsidRPr="00865CC8">
        <w:rPr>
          <w:sz w:val="16"/>
          <w:szCs w:val="16"/>
        </w:rPr>
        <w:t xml:space="preserve"> spoločnost</w:t>
      </w:r>
      <w:r>
        <w:rPr>
          <w:sz w:val="16"/>
          <w:szCs w:val="16"/>
        </w:rPr>
        <w:t>í v prípade v</w:t>
      </w:r>
      <w:r w:rsidRPr="00865CC8">
        <w:rPr>
          <w:sz w:val="16"/>
          <w:szCs w:val="16"/>
        </w:rPr>
        <w:t>šetk</w:t>
      </w:r>
      <w:r>
        <w:rPr>
          <w:sz w:val="16"/>
          <w:szCs w:val="16"/>
        </w:rPr>
        <w:t>ých</w:t>
      </w:r>
      <w:r w:rsidRPr="00865CC8">
        <w:rPr>
          <w:sz w:val="16"/>
          <w:szCs w:val="16"/>
        </w:rPr>
        <w:t xml:space="preserve"> druh</w:t>
      </w:r>
      <w:r>
        <w:rPr>
          <w:sz w:val="16"/>
          <w:szCs w:val="16"/>
        </w:rPr>
        <w:t>ov</w:t>
      </w:r>
      <w:r w:rsidRPr="00865CC8">
        <w:rPr>
          <w:sz w:val="16"/>
          <w:szCs w:val="16"/>
        </w:rPr>
        <w:t xml:space="preserve"> úverov od hypoték až po spotrebné úvery</w:t>
      </w:r>
      <w:r>
        <w:rPr>
          <w:sz w:val="16"/>
          <w:szCs w:val="16"/>
        </w:rPr>
        <w:t>, pričom ú</w:t>
      </w:r>
      <w:r w:rsidRPr="00865CC8">
        <w:rPr>
          <w:sz w:val="16"/>
          <w:szCs w:val="16"/>
        </w:rPr>
        <w:t>very v banke sa môžu odložiť o 9 mesiacov</w:t>
      </w:r>
      <w:r>
        <w:rPr>
          <w:sz w:val="16"/>
          <w:szCs w:val="16"/>
        </w:rPr>
        <w:t>. Ne</w:t>
      </w:r>
      <w:r w:rsidRPr="00865CC8">
        <w:rPr>
          <w:sz w:val="16"/>
          <w:szCs w:val="16"/>
        </w:rPr>
        <w:t>bankové a lízingové spoločnosti môžu klienti požiadať o 3 mesačný odklad s možnosťou dodatočne požiadať o ďalší trojmesačný odklad</w:t>
      </w:r>
      <w:r>
        <w:rPr>
          <w:sz w:val="16"/>
          <w:szCs w:val="16"/>
        </w:rPr>
        <w:t>.</w:t>
      </w:r>
    </w:p>
  </w:footnote>
  <w:footnote w:id="23">
    <w:p w14:paraId="5B37E306" w14:textId="3FDAEDC2" w:rsidR="00003F14" w:rsidRPr="000311B5" w:rsidRDefault="00003F14" w:rsidP="00204588">
      <w:pPr>
        <w:pStyle w:val="Textpoznmkypodiarou"/>
        <w:jc w:val="both"/>
        <w:rPr>
          <w:sz w:val="16"/>
          <w:szCs w:val="16"/>
        </w:rPr>
      </w:pPr>
      <w:r w:rsidRPr="000311B5">
        <w:rPr>
          <w:rStyle w:val="Odkaznapoznmkupodiarou"/>
          <w:sz w:val="16"/>
          <w:szCs w:val="16"/>
        </w:rPr>
        <w:footnoteRef/>
      </w:r>
      <w:r w:rsidRPr="000311B5">
        <w:rPr>
          <w:sz w:val="16"/>
          <w:szCs w:val="16"/>
        </w:rPr>
        <w:t xml:space="preserve"> </w:t>
      </w:r>
      <w:r>
        <w:rPr>
          <w:sz w:val="16"/>
          <w:szCs w:val="16"/>
        </w:rPr>
        <w:t xml:space="preserve">Ide o čistý vplyv. </w:t>
      </w:r>
      <w:r w:rsidRPr="000311B5">
        <w:rPr>
          <w:sz w:val="16"/>
          <w:szCs w:val="16"/>
        </w:rPr>
        <w:t>Zároveň došlo k úspore v štátnom rozpočte, keďže sa zavedením 13. dôchodku zrušil vianočn</w:t>
      </w:r>
      <w:r>
        <w:rPr>
          <w:sz w:val="16"/>
          <w:szCs w:val="16"/>
        </w:rPr>
        <w:t>ý príspevok pre dôchodcov. Ten</w:t>
      </w:r>
      <w:r w:rsidRPr="000311B5">
        <w:rPr>
          <w:sz w:val="16"/>
          <w:szCs w:val="16"/>
        </w:rPr>
        <w:t xml:space="preserve"> bol rozpočtovaný vo výške </w:t>
      </w:r>
      <w:r>
        <w:rPr>
          <w:sz w:val="16"/>
          <w:szCs w:val="16"/>
        </w:rPr>
        <w:t>153</w:t>
      </w:r>
      <w:r w:rsidRPr="000311B5">
        <w:rPr>
          <w:sz w:val="16"/>
          <w:szCs w:val="16"/>
        </w:rPr>
        <w:t xml:space="preserve"> mil. eur.</w:t>
      </w:r>
    </w:p>
  </w:footnote>
  <w:footnote w:id="24">
    <w:p w14:paraId="0A0D4C01" w14:textId="7CAF39FC" w:rsidR="00003F14" w:rsidRPr="0032730C" w:rsidRDefault="00003F14" w:rsidP="00204588">
      <w:pPr>
        <w:pStyle w:val="Textpoznmkypodiarou"/>
        <w:rPr>
          <w:sz w:val="16"/>
          <w:szCs w:val="16"/>
        </w:rPr>
      </w:pPr>
      <w:r w:rsidRPr="0032730C">
        <w:rPr>
          <w:rStyle w:val="Odkaznapoznmkupodiarou"/>
          <w:sz w:val="16"/>
          <w:szCs w:val="16"/>
        </w:rPr>
        <w:footnoteRef/>
      </w:r>
      <w:r w:rsidRPr="0032730C">
        <w:rPr>
          <w:sz w:val="16"/>
          <w:szCs w:val="16"/>
        </w:rPr>
        <w:t xml:space="preserve"> Ide o ostatné subjekty</w:t>
      </w:r>
      <w:r>
        <w:rPr>
          <w:sz w:val="16"/>
          <w:szCs w:val="16"/>
        </w:rPr>
        <w:t>, ktoré nie sú vyššie spomenuté -</w:t>
      </w:r>
      <w:r w:rsidRPr="0032730C">
        <w:rPr>
          <w:sz w:val="16"/>
          <w:szCs w:val="16"/>
        </w:rPr>
        <w:t xml:space="preserve"> bez Environmentálneho fondu</w:t>
      </w:r>
      <w:r>
        <w:rPr>
          <w:sz w:val="16"/>
          <w:szCs w:val="16"/>
        </w:rPr>
        <w:t>,</w:t>
      </w:r>
      <w:r w:rsidRPr="0032730C">
        <w:rPr>
          <w:sz w:val="16"/>
          <w:szCs w:val="16"/>
        </w:rPr>
        <w:t> EOSA</w:t>
      </w:r>
      <w:r>
        <w:rPr>
          <w:sz w:val="16"/>
          <w:szCs w:val="16"/>
        </w:rPr>
        <w:t>, Sociálnej poisťovne a samospráv</w:t>
      </w:r>
      <w:r w:rsidRPr="0032730C">
        <w:rPr>
          <w:sz w:val="16"/>
          <w:szCs w:val="16"/>
        </w:rPr>
        <w:t xml:space="preserve">. </w:t>
      </w:r>
    </w:p>
  </w:footnote>
  <w:footnote w:id="25">
    <w:p w14:paraId="07EB56DA" w14:textId="3FCC1356" w:rsidR="00003F14" w:rsidRPr="009637BB" w:rsidRDefault="00003F14">
      <w:pPr>
        <w:pStyle w:val="Textpoznmkypodiarou"/>
        <w:rPr>
          <w:sz w:val="16"/>
          <w:szCs w:val="16"/>
        </w:rPr>
      </w:pPr>
      <w:r w:rsidRPr="009637BB">
        <w:rPr>
          <w:rStyle w:val="Odkaznapoznmkupodiarou"/>
          <w:sz w:val="16"/>
          <w:szCs w:val="16"/>
        </w:rPr>
        <w:footnoteRef/>
      </w:r>
      <w:r w:rsidRPr="009637BB">
        <w:rPr>
          <w:sz w:val="16"/>
          <w:szCs w:val="16"/>
        </w:rPr>
        <w:t xml:space="preserve"> </w:t>
      </w:r>
      <w:r>
        <w:rPr>
          <w:sz w:val="16"/>
          <w:szCs w:val="16"/>
        </w:rPr>
        <w:t>Predpokladá sa dodanie vojenskej techniky skôr, ako sa predpokladalo v rozpočte</w:t>
      </w:r>
    </w:p>
  </w:footnote>
  <w:footnote w:id="26">
    <w:p w14:paraId="16CF59F8" w14:textId="130EA150" w:rsidR="00003F14" w:rsidRPr="003C301C" w:rsidRDefault="00003F14">
      <w:pPr>
        <w:pStyle w:val="Textpoznmkypodiarou"/>
        <w:rPr>
          <w:sz w:val="16"/>
          <w:szCs w:val="16"/>
        </w:rPr>
      </w:pPr>
      <w:r w:rsidRPr="003C301C">
        <w:rPr>
          <w:rStyle w:val="Odkaznapoznmkupodiarou"/>
          <w:sz w:val="16"/>
          <w:szCs w:val="16"/>
        </w:rPr>
        <w:footnoteRef/>
      </w:r>
      <w:r w:rsidRPr="003C301C">
        <w:rPr>
          <w:sz w:val="16"/>
          <w:szCs w:val="16"/>
        </w:rPr>
        <w:t xml:space="preserve"> Korekcie sú očistené o príjmy platobnej jednotky.</w:t>
      </w:r>
      <w:r>
        <w:rPr>
          <w:sz w:val="16"/>
          <w:szCs w:val="16"/>
        </w:rPr>
        <w:t xml:space="preserve"> </w:t>
      </w:r>
    </w:p>
  </w:footnote>
  <w:footnote w:id="27">
    <w:p w14:paraId="3E924230" w14:textId="64EE4082" w:rsidR="00003F14" w:rsidRPr="00781BA7" w:rsidRDefault="00003F14" w:rsidP="00204588">
      <w:pPr>
        <w:pStyle w:val="Textpoznmkypodiarou"/>
        <w:jc w:val="both"/>
        <w:rPr>
          <w:sz w:val="16"/>
          <w:szCs w:val="16"/>
        </w:rPr>
      </w:pPr>
      <w:r w:rsidRPr="00781BA7">
        <w:rPr>
          <w:rStyle w:val="Odkaznapoznmkupodiarou"/>
          <w:sz w:val="16"/>
          <w:szCs w:val="16"/>
        </w:rPr>
        <w:footnoteRef/>
      </w:r>
      <w:r w:rsidRPr="00781BA7">
        <w:rPr>
          <w:sz w:val="16"/>
          <w:szCs w:val="16"/>
        </w:rPr>
        <w:t xml:space="preserve"> </w:t>
      </w:r>
      <w:r w:rsidRPr="00781BA7">
        <w:rPr>
          <w:color w:val="000000"/>
          <w:sz w:val="16"/>
          <w:szCs w:val="16"/>
        </w:rPr>
        <w:t>Prebiehajúce konzultácie ohľadne možnosti zaviesť tzv. srbský model označovania minerálneho oleja sa pre Slovensko nejav</w:t>
      </w:r>
      <w:r>
        <w:rPr>
          <w:color w:val="000000"/>
          <w:sz w:val="16"/>
          <w:szCs w:val="16"/>
        </w:rPr>
        <w:t>ia</w:t>
      </w:r>
      <w:r w:rsidRPr="00781BA7">
        <w:rPr>
          <w:color w:val="000000"/>
          <w:sz w:val="16"/>
          <w:szCs w:val="16"/>
        </w:rPr>
        <w:t xml:space="preserve"> ako vhodn</w:t>
      </w:r>
      <w:r>
        <w:rPr>
          <w:color w:val="000000"/>
          <w:sz w:val="16"/>
          <w:szCs w:val="16"/>
        </w:rPr>
        <w:t>é</w:t>
      </w:r>
      <w:r w:rsidRPr="00781BA7">
        <w:rPr>
          <w:color w:val="000000"/>
          <w:sz w:val="16"/>
          <w:szCs w:val="16"/>
        </w:rPr>
        <w:t>. Dôvodom je, že Slovensko na základe európskej legislatívy nemôže vytvárať prekážky voľnému pohybu minerálneho oleja napr. tým, že by boli zásielky smerujúce z EÚ sústredené na vyhradených miestach za účelom ich označenia</w:t>
      </w:r>
      <w:r>
        <w:rPr>
          <w:color w:val="000000"/>
          <w:sz w:val="16"/>
          <w:szCs w:val="16"/>
        </w:rPr>
        <w:t>,</w:t>
      </w:r>
      <w:r w:rsidRPr="00781BA7">
        <w:rPr>
          <w:color w:val="000000"/>
          <w:sz w:val="16"/>
          <w:szCs w:val="16"/>
        </w:rPr>
        <w:t xml:space="preserve"> tak ako to je v Srbsku.</w:t>
      </w:r>
    </w:p>
  </w:footnote>
  <w:footnote w:id="28">
    <w:p w14:paraId="414CCC19" w14:textId="01438CD2" w:rsidR="00003F14" w:rsidRPr="007F4E81" w:rsidRDefault="00003F14" w:rsidP="00204588">
      <w:pPr>
        <w:pStyle w:val="Textpoznmkypodiarou"/>
        <w:rPr>
          <w:sz w:val="16"/>
          <w:szCs w:val="16"/>
        </w:rPr>
      </w:pPr>
      <w:r w:rsidRPr="007F4E81">
        <w:rPr>
          <w:rStyle w:val="Odkaznapoznmkupodiarou"/>
          <w:sz w:val="16"/>
          <w:szCs w:val="16"/>
        </w:rPr>
        <w:footnoteRef/>
      </w:r>
      <w:r w:rsidRPr="007F4E81">
        <w:rPr>
          <w:sz w:val="16"/>
          <w:szCs w:val="16"/>
        </w:rPr>
        <w:t xml:space="preserve"> </w:t>
      </w:r>
      <w:r>
        <w:rPr>
          <w:sz w:val="16"/>
          <w:szCs w:val="16"/>
        </w:rPr>
        <w:t xml:space="preserve">Z toho </w:t>
      </w:r>
      <w:r w:rsidRPr="007F4E81">
        <w:rPr>
          <w:rFonts w:cs="Arial Narrow"/>
          <w:sz w:val="16"/>
          <w:szCs w:val="16"/>
        </w:rPr>
        <w:t>Slovenský plynárenský priemysel -50 mil. eur, Stredoslovenská energetika 60 mil. eur a Slovenská elektrizačná a prenosová sústava 30 mil. eur.</w:t>
      </w:r>
    </w:p>
  </w:footnote>
  <w:footnote w:id="29">
    <w:p w14:paraId="5B36031D" w14:textId="77777777" w:rsidR="00003F14" w:rsidRPr="00865CC8" w:rsidRDefault="00003F14" w:rsidP="006F2B75">
      <w:pPr>
        <w:pStyle w:val="Textpoznmkypodiarou"/>
        <w:jc w:val="both"/>
        <w:rPr>
          <w:sz w:val="16"/>
          <w:szCs w:val="16"/>
        </w:rPr>
      </w:pPr>
      <w:r w:rsidRPr="00865CC8">
        <w:rPr>
          <w:rStyle w:val="Odkaznapoznmkupodiarou"/>
          <w:sz w:val="16"/>
          <w:szCs w:val="16"/>
        </w:rPr>
        <w:footnoteRef/>
      </w:r>
      <w:r w:rsidRPr="00865CC8">
        <w:rPr>
          <w:sz w:val="16"/>
          <w:szCs w:val="16"/>
        </w:rPr>
        <w:t xml:space="preserve"> Opatrenia vlády na stabilizáciu ekonomiky sú jednorazové a v NPC scenári neovplyvňujú vývoj za rokom 2020.</w:t>
      </w:r>
    </w:p>
  </w:footnote>
  <w:footnote w:id="30">
    <w:p w14:paraId="42225104" w14:textId="64FEBC63" w:rsidR="00003F14" w:rsidRPr="00D07EC5" w:rsidRDefault="00003F14" w:rsidP="006F2B75">
      <w:pPr>
        <w:pStyle w:val="Textpoznmkypodiarou"/>
        <w:jc w:val="both"/>
        <w:rPr>
          <w:sz w:val="16"/>
          <w:szCs w:val="16"/>
        </w:rPr>
      </w:pPr>
      <w:r w:rsidRPr="00AC4475">
        <w:rPr>
          <w:rStyle w:val="Odkaznapoznmkupodiarou"/>
          <w:sz w:val="16"/>
          <w:szCs w:val="16"/>
        </w:rPr>
        <w:footnoteRef/>
      </w:r>
      <w:r>
        <w:rPr>
          <w:sz w:val="16"/>
          <w:szCs w:val="16"/>
        </w:rPr>
        <w:t xml:space="preserve"> </w:t>
      </w:r>
      <w:r w:rsidRPr="0030425F">
        <w:rPr>
          <w:sz w:val="16"/>
          <w:szCs w:val="16"/>
        </w:rPr>
        <w:t>Základom pre zostavenie scenára nezmenených politík na roky 2021 až 2023 je aktuálny odhad rozpočtu verejnej správy pre rok 2020</w:t>
      </w:r>
      <w:r>
        <w:rPr>
          <w:sz w:val="16"/>
          <w:szCs w:val="16"/>
        </w:rPr>
        <w:t>.</w:t>
      </w:r>
      <w:r w:rsidRPr="0030425F">
        <w:rPr>
          <w:sz w:val="16"/>
          <w:szCs w:val="16"/>
        </w:rPr>
        <w:t xml:space="preserve"> V ďalších rokoch sa položky vyvíjajú len v </w:t>
      </w:r>
      <w:r w:rsidRPr="00D07EC5">
        <w:rPr>
          <w:sz w:val="16"/>
          <w:szCs w:val="16"/>
        </w:rPr>
        <w:t>súlade s makroekonomickými fundamentmi a existujúcou legislatívou pred 1. januárom 2020. Podrobnejšie sú predpoklady NPC scenára uvedené v</w:t>
      </w:r>
      <w:r w:rsidRPr="00D07EC5">
        <w:rPr>
          <w:color w:val="2C9ADC" w:themeColor="accent1"/>
          <w:sz w:val="16"/>
          <w:szCs w:val="16"/>
        </w:rPr>
        <w:t> </w:t>
      </w:r>
      <w:hyperlink r:id="rId4" w:history="1">
        <w:r w:rsidRPr="00D07EC5">
          <w:rPr>
            <w:rStyle w:val="Hypertextovprepojenie"/>
            <w:rFonts w:cs="Book Antiqua"/>
            <w:color w:val="2C9ADC" w:themeColor="accent1"/>
            <w:sz w:val="16"/>
            <w:szCs w:val="16"/>
          </w:rPr>
          <w:t>Metodike zostavenia scenára nezmenených politík</w:t>
        </w:r>
      </w:hyperlink>
      <w:r w:rsidRPr="00D07EC5">
        <w:rPr>
          <w:color w:val="2C9ADC" w:themeColor="accent1"/>
          <w:sz w:val="16"/>
          <w:szCs w:val="16"/>
        </w:rPr>
        <w:t>.</w:t>
      </w:r>
      <w:r w:rsidRPr="00CA01E2">
        <w:t xml:space="preserve"> </w:t>
      </w:r>
      <w:r>
        <w:rPr>
          <w:sz w:val="16"/>
          <w:szCs w:val="16"/>
        </w:rPr>
        <w:t>Nad rámec Metodiky</w:t>
      </w:r>
      <w:r w:rsidRPr="00865CC8">
        <w:rPr>
          <w:sz w:val="16"/>
          <w:szCs w:val="16"/>
        </w:rPr>
        <w:t xml:space="preserve"> je</w:t>
      </w:r>
      <w:r>
        <w:rPr>
          <w:sz w:val="16"/>
          <w:szCs w:val="16"/>
        </w:rPr>
        <w:t xml:space="preserve"> do NPC scenára zahrnutý aj vplyv </w:t>
      </w:r>
      <w:r w:rsidRPr="00865CC8">
        <w:rPr>
          <w:sz w:val="16"/>
          <w:szCs w:val="16"/>
        </w:rPr>
        <w:t xml:space="preserve"> 13. dôchodkov</w:t>
      </w:r>
      <w:r>
        <w:rPr>
          <w:sz w:val="16"/>
          <w:szCs w:val="16"/>
        </w:rPr>
        <w:t xml:space="preserve"> (0,4 % HDP) vzhľadom na ich schválenie v predchádzajúcom volebnom období a účinnosť už v aktuálnom roku. Zároveň bola do NPC scenára zapracovaná aj  rezerva na dodatočný </w:t>
      </w:r>
      <w:r w:rsidRPr="00CA01E2">
        <w:rPr>
          <w:sz w:val="16"/>
          <w:szCs w:val="16"/>
        </w:rPr>
        <w:t>odvod do všeobecného rozpočtu EÚ (</w:t>
      </w:r>
      <w:r>
        <w:rPr>
          <w:sz w:val="16"/>
          <w:szCs w:val="16"/>
        </w:rPr>
        <w:t xml:space="preserve">na základe nálezu </w:t>
      </w:r>
      <w:r w:rsidRPr="00F735FC">
        <w:rPr>
          <w:sz w:val="16"/>
          <w:szCs w:val="16"/>
        </w:rPr>
        <w:t>Európskeho úradu pre boj proti podvodom</w:t>
      </w:r>
      <w:r>
        <w:rPr>
          <w:sz w:val="16"/>
          <w:szCs w:val="16"/>
        </w:rPr>
        <w:t>, 0,3 % HDP) v roku 2021, keďže sa považuje za vplyv mimo kontroly novej vlády.</w:t>
      </w:r>
    </w:p>
  </w:footnote>
  <w:footnote w:id="31">
    <w:p w14:paraId="50028EDB" w14:textId="129F7D4D" w:rsidR="00003F14" w:rsidRPr="003C301C" w:rsidRDefault="00003F14" w:rsidP="006F2B75">
      <w:pPr>
        <w:jc w:val="both"/>
        <w:rPr>
          <w:rFonts w:ascii="&amp;quot" w:hAnsi="&amp;quot" w:cs="Tahoma"/>
          <w:color w:val="000000"/>
          <w:sz w:val="16"/>
          <w:szCs w:val="16"/>
        </w:rPr>
      </w:pPr>
      <w:r w:rsidRPr="003C301C">
        <w:rPr>
          <w:rStyle w:val="Odkaznapoznmkupodiarou"/>
          <w:sz w:val="16"/>
          <w:szCs w:val="16"/>
        </w:rPr>
        <w:footnoteRef/>
      </w:r>
      <w:r w:rsidRPr="003C301C">
        <w:rPr>
          <w:sz w:val="16"/>
          <w:szCs w:val="16"/>
        </w:rPr>
        <w:t xml:space="preserve"> </w:t>
      </w:r>
      <w:r>
        <w:rPr>
          <w:rFonts w:cs="Tahoma"/>
          <w:sz w:val="16"/>
          <w:szCs w:val="16"/>
        </w:rPr>
        <w:t>V</w:t>
      </w:r>
      <w:r w:rsidRPr="003C301C">
        <w:rPr>
          <w:rFonts w:cs="Tahoma"/>
          <w:sz w:val="16"/>
          <w:szCs w:val="16"/>
        </w:rPr>
        <w:t> súvislost</w:t>
      </w:r>
      <w:r>
        <w:rPr>
          <w:rFonts w:cs="Tahoma"/>
          <w:sz w:val="16"/>
          <w:szCs w:val="16"/>
        </w:rPr>
        <w:t>i</w:t>
      </w:r>
      <w:r w:rsidRPr="003C301C">
        <w:rPr>
          <w:rFonts w:cs="Tahoma"/>
          <w:sz w:val="16"/>
          <w:szCs w:val="16"/>
        </w:rPr>
        <w:t xml:space="preserve"> s deklarovaním hodnôt čínskeho textilu pri dovoze do EÚ</w:t>
      </w:r>
      <w:r>
        <w:rPr>
          <w:rFonts w:cs="Tahoma"/>
          <w:sz w:val="16"/>
          <w:szCs w:val="16"/>
        </w:rPr>
        <w:t xml:space="preserve"> došlo podľa OLAF k strate na vlastných zdrojoch EÚ zdrojoch. Rozhodnutie o odvode a jeho výške zatiaľ nie je uzavreté</w:t>
      </w:r>
      <w:r>
        <w:rPr>
          <w:sz w:val="16"/>
          <w:szCs w:val="16"/>
          <w:lang w:eastAsia="en-US"/>
        </w:rPr>
        <w:t xml:space="preserve">. Scenár nezmenených politík uvažuje prudenciálne so sumou vyčíslenej straty na 300 mil. eur, ktorú by SR </w:t>
      </w:r>
      <w:r w:rsidR="00887108">
        <w:rPr>
          <w:sz w:val="16"/>
          <w:szCs w:val="16"/>
          <w:lang w:eastAsia="en-US"/>
        </w:rPr>
        <w:t>eventuálne</w:t>
      </w:r>
      <w:r>
        <w:rPr>
          <w:sz w:val="16"/>
          <w:szCs w:val="16"/>
          <w:lang w:eastAsia="en-US"/>
        </w:rPr>
        <w:t xml:space="preserve"> vyplatilo do EÚ rozpočtu v roku 2021.</w:t>
      </w:r>
    </w:p>
  </w:footnote>
  <w:footnote w:id="32">
    <w:p w14:paraId="398AEC5B" w14:textId="2293746A" w:rsidR="00003F14" w:rsidRDefault="00003F14" w:rsidP="006F2B75">
      <w:pPr>
        <w:pStyle w:val="Textpoznmkypodiarou"/>
        <w:jc w:val="both"/>
      </w:pPr>
      <w:r w:rsidRPr="00865CC8">
        <w:rPr>
          <w:rStyle w:val="Odkaznapoznmkupodiarou"/>
          <w:sz w:val="16"/>
          <w:szCs w:val="16"/>
        </w:rPr>
        <w:footnoteRef/>
      </w:r>
      <w:r w:rsidRPr="00865CC8">
        <w:rPr>
          <w:sz w:val="16"/>
          <w:szCs w:val="16"/>
        </w:rPr>
        <w:t xml:space="preserve"> Najmä prijatie 13-tych dôchodkov</w:t>
      </w:r>
      <w:r>
        <w:rPr>
          <w:sz w:val="16"/>
          <w:szCs w:val="16"/>
        </w:rPr>
        <w:t xml:space="preserve"> (0,4 % HDP)</w:t>
      </w:r>
      <w:r w:rsidRPr="00865CC8">
        <w:rPr>
          <w:sz w:val="16"/>
          <w:szCs w:val="16"/>
        </w:rPr>
        <w:t>, rozšírenie minimálnych dôchodkov</w:t>
      </w:r>
      <w:r>
        <w:rPr>
          <w:sz w:val="16"/>
          <w:szCs w:val="16"/>
        </w:rPr>
        <w:t xml:space="preserve"> (0,1 % HDP)</w:t>
      </w:r>
      <w:r w:rsidRPr="00865CC8">
        <w:rPr>
          <w:sz w:val="16"/>
          <w:szCs w:val="16"/>
        </w:rPr>
        <w:t xml:space="preserve"> </w:t>
      </w:r>
      <w:r>
        <w:rPr>
          <w:sz w:val="16"/>
          <w:szCs w:val="16"/>
        </w:rPr>
        <w:t>a v sociálnych dávkach aj zvýšenie rodičovského príspevku (0,2 % HDP)</w:t>
      </w:r>
    </w:p>
  </w:footnote>
  <w:footnote w:id="33">
    <w:p w14:paraId="5CFB0B56" w14:textId="78B6AA59" w:rsidR="00003F14" w:rsidRPr="00C26FB7" w:rsidRDefault="00003F14" w:rsidP="00204588">
      <w:pPr>
        <w:pStyle w:val="Textpoznmkypodiarou"/>
        <w:jc w:val="both"/>
        <w:rPr>
          <w:sz w:val="16"/>
          <w:szCs w:val="16"/>
        </w:rPr>
      </w:pPr>
      <w:r w:rsidRPr="00C26FB7">
        <w:rPr>
          <w:rStyle w:val="Odkaznapoznmkupodiarou"/>
          <w:sz w:val="16"/>
          <w:szCs w:val="16"/>
        </w:rPr>
        <w:footnoteRef/>
      </w:r>
      <w:r w:rsidRPr="00C26FB7">
        <w:rPr>
          <w:sz w:val="16"/>
          <w:szCs w:val="16"/>
        </w:rPr>
        <w:t xml:space="preserve"> </w:t>
      </w:r>
      <w:r>
        <w:rPr>
          <w:sz w:val="16"/>
          <w:szCs w:val="16"/>
        </w:rPr>
        <w:t xml:space="preserve">Uvedené štrukturálne saldo </w:t>
      </w:r>
      <w:r w:rsidRPr="00C26FB7">
        <w:rPr>
          <w:sz w:val="16"/>
          <w:szCs w:val="16"/>
        </w:rPr>
        <w:t xml:space="preserve">je vypočítané štandardným spôsobom </w:t>
      </w:r>
      <w:r>
        <w:rPr>
          <w:sz w:val="16"/>
          <w:szCs w:val="16"/>
        </w:rPr>
        <w:t>započítania</w:t>
      </w:r>
      <w:r w:rsidRPr="00C26FB7">
        <w:rPr>
          <w:sz w:val="16"/>
          <w:szCs w:val="16"/>
        </w:rPr>
        <w:t xml:space="preserve"> jednorazových </w:t>
      </w:r>
      <w:r>
        <w:rPr>
          <w:sz w:val="16"/>
          <w:szCs w:val="16"/>
        </w:rPr>
        <w:t xml:space="preserve">a dočasných </w:t>
      </w:r>
      <w:r w:rsidRPr="00C26FB7">
        <w:rPr>
          <w:sz w:val="16"/>
          <w:szCs w:val="16"/>
        </w:rPr>
        <w:t xml:space="preserve">vplyvov. Štrukturálne saldo vypočítané podľa manuálu EK pre tento rok, kedy sa opatrenia spojené s COVID 19 neuvádzajú v jednorazových </w:t>
      </w:r>
      <w:r>
        <w:rPr>
          <w:sz w:val="16"/>
          <w:szCs w:val="16"/>
        </w:rPr>
        <w:t>opatreniach je uvedené</w:t>
      </w:r>
      <w:r w:rsidRPr="00C26FB7">
        <w:rPr>
          <w:sz w:val="16"/>
          <w:szCs w:val="16"/>
        </w:rPr>
        <w:t xml:space="preserve"> </w:t>
      </w:r>
      <w:r w:rsidRPr="001D7FBD">
        <w:rPr>
          <w:sz w:val="16"/>
          <w:szCs w:val="16"/>
        </w:rPr>
        <w:t>v </w:t>
      </w:r>
      <w:r w:rsidRPr="001D7FBD">
        <w:rPr>
          <w:color w:val="2C9ADC" w:themeColor="accent1"/>
          <w:sz w:val="16"/>
          <w:szCs w:val="16"/>
        </w:rPr>
        <w:t>Prílohe 4</w:t>
      </w:r>
      <w:r w:rsidRPr="001D7FBD">
        <w:rPr>
          <w:sz w:val="16"/>
          <w:szCs w:val="16"/>
        </w:rPr>
        <w:t>.</w:t>
      </w:r>
    </w:p>
  </w:footnote>
  <w:footnote w:id="34">
    <w:p w14:paraId="5A543D94" w14:textId="4EDD02E9" w:rsidR="00003F14" w:rsidRPr="009637BB" w:rsidRDefault="00003F14" w:rsidP="009637BB">
      <w:pPr>
        <w:pStyle w:val="Textpoznmkypodiarou"/>
        <w:jc w:val="both"/>
        <w:rPr>
          <w:sz w:val="16"/>
          <w:szCs w:val="16"/>
        </w:rPr>
      </w:pPr>
      <w:r w:rsidRPr="009637BB">
        <w:rPr>
          <w:rStyle w:val="Odkaznapoznmkupodiarou"/>
          <w:sz w:val="16"/>
          <w:szCs w:val="16"/>
        </w:rPr>
        <w:footnoteRef/>
      </w:r>
      <w:r w:rsidRPr="009637BB">
        <w:rPr>
          <w:sz w:val="16"/>
          <w:szCs w:val="16"/>
        </w:rPr>
        <w:t xml:space="preserve"> Tabuľka s jednorazovými vplyvmi je uvedená v </w:t>
      </w:r>
      <w:r w:rsidRPr="00D03E3F">
        <w:rPr>
          <w:color w:val="2C9ADC" w:themeColor="accent1"/>
          <w:sz w:val="16"/>
          <w:szCs w:val="16"/>
        </w:rPr>
        <w:t>Prílohe 4</w:t>
      </w:r>
      <w:r w:rsidRPr="00D03E3F">
        <w:rPr>
          <w:sz w:val="16"/>
          <w:szCs w:val="16"/>
        </w:rPr>
        <w:t>.</w:t>
      </w:r>
    </w:p>
  </w:footnote>
  <w:footnote w:id="35">
    <w:p w14:paraId="68AF2F8B" w14:textId="30512221" w:rsidR="00003F14" w:rsidRPr="003F40A9" w:rsidRDefault="00003F14" w:rsidP="00FC1EC4">
      <w:pPr>
        <w:pStyle w:val="Textpoznmkypodiarou"/>
        <w:jc w:val="both"/>
        <w:rPr>
          <w:sz w:val="16"/>
          <w:szCs w:val="16"/>
        </w:rPr>
      </w:pPr>
      <w:r w:rsidRPr="004111F0">
        <w:rPr>
          <w:rStyle w:val="Odkaznapoznmkupodiarou"/>
          <w:sz w:val="16"/>
        </w:rPr>
        <w:footnoteRef/>
      </w:r>
      <w:r>
        <w:t xml:space="preserve"> </w:t>
      </w:r>
      <w:r w:rsidRPr="003F40A9">
        <w:rPr>
          <w:sz w:val="16"/>
          <w:szCs w:val="16"/>
        </w:rPr>
        <w:t xml:space="preserve">Vláda úroveň MTO vo výške 1 % HDP </w:t>
      </w:r>
      <w:r>
        <w:rPr>
          <w:sz w:val="16"/>
          <w:szCs w:val="16"/>
        </w:rPr>
        <w:t>(</w:t>
      </w:r>
      <w:r w:rsidRPr="003F40A9">
        <w:rPr>
          <w:sz w:val="16"/>
          <w:szCs w:val="16"/>
        </w:rPr>
        <w:t>v zmysle európskych pravidiel</w:t>
      </w:r>
      <w:r>
        <w:rPr>
          <w:sz w:val="16"/>
          <w:szCs w:val="16"/>
        </w:rPr>
        <w:t>)</w:t>
      </w:r>
      <w:r w:rsidRPr="003F40A9">
        <w:rPr>
          <w:sz w:val="16"/>
          <w:szCs w:val="16"/>
        </w:rPr>
        <w:t xml:space="preserve"> predloženým Programom stability s ohľadom na výraznú </w:t>
      </w:r>
      <w:r>
        <w:rPr>
          <w:sz w:val="16"/>
          <w:szCs w:val="16"/>
        </w:rPr>
        <w:t xml:space="preserve">ekonomickú </w:t>
      </w:r>
      <w:r w:rsidRPr="003F40A9">
        <w:rPr>
          <w:sz w:val="16"/>
          <w:szCs w:val="16"/>
        </w:rPr>
        <w:t>neistotu</w:t>
      </w:r>
      <w:r>
        <w:rPr>
          <w:sz w:val="16"/>
          <w:szCs w:val="16"/>
        </w:rPr>
        <w:t xml:space="preserve"> </w:t>
      </w:r>
      <w:r w:rsidRPr="003F40A9">
        <w:rPr>
          <w:sz w:val="16"/>
          <w:szCs w:val="16"/>
        </w:rPr>
        <w:t>nemení.</w:t>
      </w:r>
    </w:p>
  </w:footnote>
  <w:footnote w:id="36">
    <w:p w14:paraId="23BFE11B" w14:textId="77777777" w:rsidR="00003F14" w:rsidRPr="0068315C" w:rsidRDefault="00003F14" w:rsidP="00FC1EC4">
      <w:pPr>
        <w:pStyle w:val="Textpoznmkypodiarou"/>
        <w:jc w:val="both"/>
        <w:rPr>
          <w:sz w:val="16"/>
          <w:szCs w:val="16"/>
        </w:rPr>
      </w:pPr>
      <w:r w:rsidRPr="0057153D">
        <w:rPr>
          <w:rStyle w:val="Odkaznapoznmkupodiarou"/>
          <w:sz w:val="16"/>
          <w:szCs w:val="16"/>
        </w:rPr>
        <w:footnoteRef/>
      </w:r>
      <w:r w:rsidRPr="0057153D">
        <w:rPr>
          <w:sz w:val="16"/>
          <w:szCs w:val="16"/>
        </w:rPr>
        <w:t xml:space="preserve"> </w:t>
      </w:r>
      <w:hyperlink r:id="rId5" w:history="1">
        <w:r w:rsidRPr="0057153D">
          <w:rPr>
            <w:rStyle w:val="Hypertextovprepojenie"/>
            <w:sz w:val="16"/>
            <w:szCs w:val="16"/>
          </w:rPr>
          <w:t>https://www.europarl.europa.eu/thinktank/en/document.html?reference=EPRS_BRI(2020)649351</w:t>
        </w:r>
      </w:hyperlink>
    </w:p>
  </w:footnote>
  <w:footnote w:id="37">
    <w:p w14:paraId="2EAD3385" w14:textId="025E5A07" w:rsidR="00003F14" w:rsidRDefault="00003F14" w:rsidP="00FC1EC4">
      <w:pPr>
        <w:pStyle w:val="Textpoznmkypodiarou"/>
        <w:jc w:val="both"/>
      </w:pPr>
      <w:r w:rsidRPr="00532CE8">
        <w:rPr>
          <w:rStyle w:val="Odkaznapoznmkupodiarou"/>
          <w:sz w:val="16"/>
          <w:szCs w:val="16"/>
        </w:rPr>
        <w:footnoteRef/>
      </w:r>
      <w:r w:rsidRPr="00532CE8">
        <w:rPr>
          <w:sz w:val="16"/>
          <w:szCs w:val="16"/>
        </w:rPr>
        <w:t xml:space="preserve"> Výdavkové pravidlo je uvedená v </w:t>
      </w:r>
      <w:r w:rsidRPr="00346474">
        <w:rPr>
          <w:color w:val="2C9ADC" w:themeColor="accent1"/>
          <w:sz w:val="16"/>
          <w:szCs w:val="16"/>
        </w:rPr>
        <w:t>Prílohe 5</w:t>
      </w:r>
      <w:r>
        <w:rPr>
          <w:sz w:val="16"/>
          <w:szCs w:val="16"/>
        </w:rPr>
        <w:t>.</w:t>
      </w:r>
    </w:p>
  </w:footnote>
  <w:footnote w:id="38">
    <w:p w14:paraId="25EEC261" w14:textId="33B70AB7" w:rsidR="00003F14" w:rsidRPr="003356BD" w:rsidRDefault="00003F14" w:rsidP="00FC1EC4">
      <w:pPr>
        <w:pStyle w:val="Textpoznmkypodiarou"/>
        <w:jc w:val="both"/>
        <w:rPr>
          <w:sz w:val="16"/>
          <w:szCs w:val="16"/>
        </w:rPr>
      </w:pPr>
      <w:r w:rsidRPr="003356BD">
        <w:rPr>
          <w:rStyle w:val="Odkaznapoznmkupodiarou"/>
          <w:sz w:val="16"/>
          <w:szCs w:val="16"/>
        </w:rPr>
        <w:footnoteRef/>
      </w:r>
      <w:r w:rsidRPr="003356BD">
        <w:rPr>
          <w:sz w:val="16"/>
          <w:szCs w:val="16"/>
        </w:rPr>
        <w:t xml:space="preserve"> Podľa európskych pravidiel</w:t>
      </w:r>
      <w:r>
        <w:rPr>
          <w:sz w:val="16"/>
          <w:szCs w:val="16"/>
        </w:rPr>
        <w:t xml:space="preserve"> a matice požadovanej konsolidácie (</w:t>
      </w:r>
      <w:r w:rsidRPr="00346474">
        <w:rPr>
          <w:color w:val="2C9ADC" w:themeColor="accent1"/>
          <w:sz w:val="16"/>
          <w:szCs w:val="16"/>
        </w:rPr>
        <w:t xml:space="preserve">Príloha </w:t>
      </w:r>
      <w:r>
        <w:rPr>
          <w:color w:val="2C9ADC" w:themeColor="accent1"/>
          <w:sz w:val="16"/>
          <w:szCs w:val="16"/>
        </w:rPr>
        <w:t>4</w:t>
      </w:r>
      <w:r>
        <w:rPr>
          <w:sz w:val="16"/>
          <w:szCs w:val="16"/>
        </w:rPr>
        <w:t>)</w:t>
      </w:r>
      <w:r w:rsidRPr="003356BD">
        <w:rPr>
          <w:sz w:val="16"/>
          <w:szCs w:val="16"/>
        </w:rPr>
        <w:t xml:space="preserve"> </w:t>
      </w:r>
      <w:r>
        <w:rPr>
          <w:sz w:val="16"/>
          <w:szCs w:val="16"/>
        </w:rPr>
        <w:t>máme</w:t>
      </w:r>
      <w:r w:rsidRPr="003356BD">
        <w:rPr>
          <w:sz w:val="16"/>
          <w:szCs w:val="16"/>
        </w:rPr>
        <w:t xml:space="preserve"> v roku 2021 konsolidovať 0,25 % HDP – keďže ide o „zlé“ obdobie so zatvárajúcou sa produkčnou medzerou. V ďalších rokoch nám pravidlá predpisujú konsolidovať 0,5 % HDP – budeme sa nachádzať v „normálnom“ období, keď naša ekonomika bude mierne pod svojim potenciálom, pri produkčnej medzere menej ako 1,5 % HDP.</w:t>
      </w:r>
    </w:p>
  </w:footnote>
  <w:footnote w:id="39">
    <w:p w14:paraId="636239AA" w14:textId="0D0A8451" w:rsidR="00003F14" w:rsidRPr="009B7436" w:rsidRDefault="00003F14" w:rsidP="00204588">
      <w:pPr>
        <w:jc w:val="both"/>
        <w:rPr>
          <w:rFonts w:cs="Times New Roman"/>
          <w:sz w:val="16"/>
          <w:szCs w:val="16"/>
        </w:rPr>
      </w:pPr>
      <w:r w:rsidRPr="009B7436">
        <w:rPr>
          <w:rStyle w:val="Odkaznapoznmkupodiarou"/>
          <w:sz w:val="16"/>
          <w:szCs w:val="16"/>
        </w:rPr>
        <w:footnoteRef/>
      </w:r>
      <w:r w:rsidRPr="009B7436">
        <w:rPr>
          <w:sz w:val="16"/>
          <w:szCs w:val="16"/>
        </w:rPr>
        <w:t xml:space="preserve"> </w:t>
      </w:r>
      <w:r w:rsidRPr="009B7436">
        <w:rPr>
          <w:rFonts w:cs="Times New Roman"/>
          <w:sz w:val="16"/>
          <w:szCs w:val="16"/>
        </w:rPr>
        <w:t xml:space="preserve">Prezentovaná výška hrubého dlhu vychádza z jarnej notifikácie Eurostatu a pri matematickom zaokrúhlení predstavuje hodnotu 47,99 </w:t>
      </w:r>
      <w:r w:rsidRPr="00305A97">
        <w:rPr>
          <w:rFonts w:cs="Times New Roman"/>
          <w:sz w:val="16"/>
          <w:szCs w:val="16"/>
        </w:rPr>
        <w:t>% HDP</w:t>
      </w:r>
      <w:r w:rsidRPr="009B7436">
        <w:rPr>
          <w:rFonts w:cs="Times New Roman"/>
          <w:sz w:val="16"/>
          <w:szCs w:val="16"/>
        </w:rPr>
        <w:t>.</w:t>
      </w:r>
    </w:p>
  </w:footnote>
  <w:footnote w:id="40">
    <w:p w14:paraId="4A4B1230" w14:textId="77777777" w:rsidR="00003F14" w:rsidRPr="009B7436" w:rsidRDefault="00003F14" w:rsidP="00204588">
      <w:pPr>
        <w:pStyle w:val="Textpoznmkypodiarou"/>
        <w:jc w:val="both"/>
        <w:rPr>
          <w:sz w:val="16"/>
          <w:szCs w:val="16"/>
        </w:rPr>
      </w:pPr>
      <w:r w:rsidRPr="009B7436">
        <w:rPr>
          <w:rStyle w:val="Odkaznapoznmkupodiarou"/>
          <w:sz w:val="16"/>
          <w:szCs w:val="16"/>
        </w:rPr>
        <w:footnoteRef/>
      </w:r>
      <w:r w:rsidRPr="009B7436">
        <w:rPr>
          <w:sz w:val="16"/>
          <w:szCs w:val="16"/>
        </w:rPr>
        <w:t xml:space="preserve"> Z pohľadu vyhodnotenia výšky zadlženia VS podľa ústavného zákona o rozpočtovej zodpovednosti je rozhodujúcou hodnota hrubého dlhu potvrdená Eurostatom počas jesennej notifikácie.</w:t>
      </w:r>
    </w:p>
  </w:footnote>
  <w:footnote w:id="41">
    <w:p w14:paraId="3D0596B3" w14:textId="4C7BEF0C" w:rsidR="00003F14" w:rsidRPr="009B7436" w:rsidRDefault="00003F14" w:rsidP="00204588">
      <w:pPr>
        <w:pStyle w:val="Textpoznmkypodiarou"/>
        <w:jc w:val="both"/>
        <w:rPr>
          <w:sz w:val="16"/>
          <w:szCs w:val="16"/>
        </w:rPr>
      </w:pPr>
      <w:r w:rsidRPr="009B7436">
        <w:rPr>
          <w:rStyle w:val="Odkaznapoznmkupodiarou"/>
          <w:sz w:val="16"/>
          <w:szCs w:val="16"/>
        </w:rPr>
        <w:footnoteRef/>
      </w:r>
      <w:r w:rsidRPr="009B7436">
        <w:rPr>
          <w:sz w:val="16"/>
          <w:szCs w:val="16"/>
        </w:rPr>
        <w:t xml:space="preserve"> Priemern</w:t>
      </w:r>
      <w:r>
        <w:rPr>
          <w:sz w:val="16"/>
          <w:szCs w:val="16"/>
        </w:rPr>
        <w:t>á</w:t>
      </w:r>
      <w:r w:rsidRPr="009B7436">
        <w:rPr>
          <w:sz w:val="16"/>
          <w:szCs w:val="16"/>
        </w:rPr>
        <w:t xml:space="preserve"> medziročná miera znižovania dlhu od kulminácie v roku 2013 je vo výške 1,1 p.b..</w:t>
      </w:r>
    </w:p>
  </w:footnote>
  <w:footnote w:id="42">
    <w:p w14:paraId="1A733403" w14:textId="77777777" w:rsidR="00003F14" w:rsidRPr="009B7436" w:rsidRDefault="00003F14" w:rsidP="00204588">
      <w:pPr>
        <w:pStyle w:val="Textpoznmkypodiarou"/>
        <w:jc w:val="both"/>
        <w:rPr>
          <w:sz w:val="16"/>
          <w:szCs w:val="16"/>
        </w:rPr>
      </w:pPr>
      <w:r w:rsidRPr="009B7436">
        <w:rPr>
          <w:rStyle w:val="Odkaznapoznmkupodiarou"/>
          <w:rFonts w:eastAsia="Arial Narrow"/>
          <w:sz w:val="16"/>
          <w:szCs w:val="16"/>
        </w:rPr>
        <w:footnoteRef/>
      </w:r>
      <w:r w:rsidRPr="009B7436">
        <w:rPr>
          <w:sz w:val="16"/>
          <w:szCs w:val="16"/>
        </w:rPr>
        <w:t xml:space="preserve"> Primárne saldo predstavuje saldo verejnej správy očistené o úrokové náklady.</w:t>
      </w:r>
    </w:p>
  </w:footnote>
  <w:footnote w:id="43">
    <w:p w14:paraId="2342BAAD" w14:textId="77777777" w:rsidR="00003F14" w:rsidRPr="000228C2" w:rsidRDefault="00003F14" w:rsidP="006F2B75">
      <w:pPr>
        <w:pStyle w:val="Textpoznmkypodiarou"/>
        <w:jc w:val="both"/>
        <w:rPr>
          <w:sz w:val="16"/>
          <w:szCs w:val="16"/>
        </w:rPr>
      </w:pPr>
      <w:r w:rsidRPr="000228C2">
        <w:rPr>
          <w:rStyle w:val="Odkaznapoznmkupodiarou"/>
          <w:sz w:val="16"/>
          <w:szCs w:val="16"/>
        </w:rPr>
        <w:footnoteRef/>
      </w:r>
      <w:r w:rsidRPr="000228C2">
        <w:rPr>
          <w:sz w:val="16"/>
          <w:szCs w:val="16"/>
        </w:rPr>
        <w:t xml:space="preserve"> Negatívny dopad prepadu reálneho HDP na dlh je mierne kompenzovaný </w:t>
      </w:r>
      <w:r w:rsidRPr="000228C2">
        <w:rPr>
          <w:rFonts w:cs="Times New Roman"/>
          <w:color w:val="000000" w:themeColor="text1"/>
          <w:sz w:val="16"/>
          <w:szCs w:val="16"/>
        </w:rPr>
        <w:t>pozitívnym príspevkom rastu cenovej hladiny mierne pod 2 %.</w:t>
      </w:r>
    </w:p>
  </w:footnote>
  <w:footnote w:id="44">
    <w:p w14:paraId="520042F5" w14:textId="78BE375A" w:rsidR="00003F14" w:rsidRPr="000228C2" w:rsidRDefault="00003F14" w:rsidP="006F2B75">
      <w:pPr>
        <w:pStyle w:val="Textpoznmkypodiarou"/>
        <w:jc w:val="both"/>
        <w:rPr>
          <w:color w:val="000000" w:themeColor="text1"/>
          <w:sz w:val="16"/>
          <w:szCs w:val="16"/>
        </w:rPr>
      </w:pPr>
      <w:r w:rsidRPr="000228C2">
        <w:rPr>
          <w:rStyle w:val="Odkaznapoznmkupodiarou"/>
          <w:color w:val="000000" w:themeColor="text1"/>
          <w:sz w:val="16"/>
          <w:szCs w:val="16"/>
        </w:rPr>
        <w:footnoteRef/>
      </w:r>
      <w:r w:rsidRPr="000228C2">
        <w:rPr>
          <w:color w:val="000000" w:themeColor="text1"/>
          <w:sz w:val="16"/>
          <w:szCs w:val="16"/>
        </w:rPr>
        <w:t xml:space="preserve"> </w:t>
      </w:r>
      <w:r>
        <w:rPr>
          <w:color w:val="000000" w:themeColor="text1"/>
          <w:sz w:val="16"/>
          <w:szCs w:val="16"/>
        </w:rPr>
        <w:t xml:space="preserve">Údaj uvažuje aj so splatnosťou </w:t>
      </w:r>
      <w:r w:rsidRPr="00865CC8">
        <w:rPr>
          <w:sz w:val="16"/>
          <w:szCs w:val="16"/>
        </w:rPr>
        <w:t>Štátnych pokladničných poukážok s 3 a 6 mesačnou splatnosťou</w:t>
      </w:r>
      <w:r>
        <w:rPr>
          <w:sz w:val="16"/>
          <w:szCs w:val="16"/>
        </w:rPr>
        <w:t xml:space="preserve"> vydaných v tomto roku</w:t>
      </w:r>
      <w:r>
        <w:rPr>
          <w:color w:val="000000" w:themeColor="text1"/>
          <w:sz w:val="16"/>
          <w:szCs w:val="16"/>
        </w:rPr>
        <w:t>.</w:t>
      </w:r>
    </w:p>
  </w:footnote>
  <w:footnote w:id="45">
    <w:p w14:paraId="6F159CC0" w14:textId="77777777" w:rsidR="00003F14" w:rsidRPr="002A0492" w:rsidRDefault="00003F14" w:rsidP="006F2B75">
      <w:pPr>
        <w:pStyle w:val="Textpoznmkypodiarou"/>
        <w:jc w:val="both"/>
        <w:rPr>
          <w:sz w:val="16"/>
          <w:szCs w:val="16"/>
        </w:rPr>
      </w:pPr>
      <w:r w:rsidRPr="000228C2">
        <w:rPr>
          <w:rStyle w:val="Odkaznapoznmkupodiarou"/>
          <w:sz w:val="16"/>
          <w:szCs w:val="16"/>
        </w:rPr>
        <w:footnoteRef/>
      </w:r>
      <w:r w:rsidRPr="000228C2">
        <w:rPr>
          <w:sz w:val="16"/>
          <w:szCs w:val="16"/>
        </w:rPr>
        <w:t xml:space="preserve"> Ukazovateľ potreby financovania (GFN) vyjadruje záväzky zo splácania dlhu (istinu, úroky a nový primárny deficit) vo vzťahu k ekonomike. </w:t>
      </w:r>
      <w:hyperlink r:id="rId6" w:history="1">
        <w:r w:rsidRPr="000228C2">
          <w:rPr>
            <w:rStyle w:val="Hypertextovprepojenie"/>
            <w:rFonts w:cs="Book Antiqua"/>
            <w:sz w:val="16"/>
            <w:szCs w:val="16"/>
          </w:rPr>
          <w:t>V odporúčaniach Medzinárodného menového fondu</w:t>
        </w:r>
      </w:hyperlink>
      <w:r w:rsidRPr="000228C2">
        <w:rPr>
          <w:sz w:val="16"/>
          <w:szCs w:val="16"/>
        </w:rPr>
        <w:t xml:space="preserve"> sa uvádza, že tento indikátor by nemal prekročiť hodnotu 15% resp. 20%</w:t>
      </w:r>
      <w:r>
        <w:rPr>
          <w:sz w:val="16"/>
          <w:szCs w:val="16"/>
        </w:rPr>
        <w:t xml:space="preserve"> (</w:t>
      </w:r>
      <w:r w:rsidRPr="000228C2">
        <w:rPr>
          <w:sz w:val="16"/>
          <w:szCs w:val="16"/>
        </w:rPr>
        <w:t>v závislosti od stupňa rozvoja ekonomiky)</w:t>
      </w:r>
      <w:r>
        <w:rPr>
          <w:sz w:val="16"/>
          <w:szCs w:val="16"/>
        </w:rPr>
        <w:t>,</w:t>
      </w:r>
      <w:r w:rsidRPr="000228C2">
        <w:rPr>
          <w:sz w:val="16"/>
          <w:szCs w:val="16"/>
        </w:rPr>
        <w:t xml:space="preserve"> aby sa zabezpečila udržateľnosť dlhu.</w:t>
      </w:r>
      <w:r>
        <w:rPr>
          <w:sz w:val="16"/>
          <w:szCs w:val="16"/>
        </w:rPr>
        <w:t xml:space="preserve"> V prípade Slovenska ako </w:t>
      </w:r>
      <w:r w:rsidRPr="002A0492">
        <w:rPr>
          <w:sz w:val="16"/>
          <w:szCs w:val="16"/>
        </w:rPr>
        <w:t>rozvinutej ekonomiky je smerodajná 20 %-ná hranica.</w:t>
      </w:r>
    </w:p>
  </w:footnote>
  <w:footnote w:id="46">
    <w:p w14:paraId="2B2B533C" w14:textId="3D4FA3DE" w:rsidR="00003F14" w:rsidRPr="002A0492" w:rsidRDefault="00003F14" w:rsidP="006F2B75">
      <w:pPr>
        <w:pStyle w:val="Textpoznmkypodiarou"/>
        <w:jc w:val="both"/>
        <w:rPr>
          <w:sz w:val="16"/>
          <w:szCs w:val="16"/>
        </w:rPr>
      </w:pPr>
      <w:r w:rsidRPr="002A0492">
        <w:rPr>
          <w:rStyle w:val="Odkaznapoznmkupodiarou"/>
          <w:sz w:val="16"/>
          <w:szCs w:val="16"/>
        </w:rPr>
        <w:footnoteRef/>
      </w:r>
      <w:r w:rsidRPr="002A0492">
        <w:rPr>
          <w:sz w:val="16"/>
          <w:szCs w:val="16"/>
        </w:rPr>
        <w:t xml:space="preserve"> Stav k 6.5.2020 aj so zahrnutím emisii Štátnych pokladničných poukážok s 3 a 6 mesačnou splatnosťou vydaných v tomto roku..</w:t>
      </w:r>
    </w:p>
  </w:footnote>
  <w:footnote w:id="47">
    <w:p w14:paraId="3824E469" w14:textId="2505AD21" w:rsidR="00003F14" w:rsidRPr="00621D78" w:rsidRDefault="00003F14" w:rsidP="00204588">
      <w:pPr>
        <w:pStyle w:val="Textpoznmkypodiarou"/>
        <w:jc w:val="both"/>
        <w:rPr>
          <w:sz w:val="16"/>
          <w:szCs w:val="16"/>
        </w:rPr>
      </w:pPr>
      <w:r w:rsidRPr="002A0492">
        <w:rPr>
          <w:rStyle w:val="Odkaznapoznmkupodiarou"/>
          <w:sz w:val="16"/>
          <w:szCs w:val="16"/>
        </w:rPr>
        <w:footnoteRef/>
      </w:r>
      <w:r w:rsidRPr="002A0492">
        <w:rPr>
          <w:sz w:val="16"/>
          <w:szCs w:val="16"/>
        </w:rPr>
        <w:t xml:space="preserve"> E</w:t>
      </w:r>
      <w:r w:rsidRPr="002A0492">
        <w:rPr>
          <w:rFonts w:cs="Times New Roman"/>
          <w:sz w:val="16"/>
          <w:szCs w:val="16"/>
        </w:rPr>
        <w:t>fekt tzv. snehovej gule definovaný ako rozdiel medzi rastom ekonomiky a úrokovými nákladmi. Celkové náklady na dlhovú službu si napriek nárastu dlhu zachovajú na horizonte rokov 2020 až 2023 približne stabilnú úroveň okolo 1,1 % HDP. Dôvodom je priebežné nahrádzanie maturujúcich dlhopisov za emisie s nižším výnosom.</w:t>
      </w:r>
    </w:p>
  </w:footnote>
  <w:footnote w:id="48">
    <w:p w14:paraId="401236F5" w14:textId="6F45071D" w:rsidR="00003F14" w:rsidRDefault="00003F14">
      <w:pPr>
        <w:pStyle w:val="Textpoznmkypodiarou"/>
      </w:pPr>
      <w:r w:rsidRPr="00EB0847">
        <w:rPr>
          <w:rStyle w:val="Odkaznapoznmkupodiarou"/>
          <w:sz w:val="16"/>
        </w:rPr>
        <w:footnoteRef/>
      </w:r>
      <w:r>
        <w:t xml:space="preserve"> </w:t>
      </w:r>
      <w:r w:rsidRPr="00B07CE4">
        <w:rPr>
          <w:rFonts w:cs="Times New Roman"/>
          <w:sz w:val="16"/>
          <w:szCs w:val="16"/>
        </w:rPr>
        <w:t>V rizikových scenároch sa uvažuje s nárastom cieľov deficitov len o odhadované výpadky daní a odvodov a ako menovateľ HDP sa používa odhad HDP v jednotlivých rizikových scenároch.</w:t>
      </w:r>
    </w:p>
  </w:footnote>
  <w:footnote w:id="49">
    <w:p w14:paraId="7A5B7226" w14:textId="77777777" w:rsidR="00003F14" w:rsidRPr="00B30E0C" w:rsidRDefault="00003F14" w:rsidP="00204588">
      <w:pPr>
        <w:pStyle w:val="Textpoznmkypodiarou"/>
        <w:rPr>
          <w:sz w:val="16"/>
          <w:szCs w:val="16"/>
        </w:rPr>
      </w:pPr>
      <w:r w:rsidRPr="00B30E0C">
        <w:rPr>
          <w:rStyle w:val="Odkaznapoznmkupodiarou"/>
          <w:sz w:val="16"/>
          <w:szCs w:val="16"/>
        </w:rPr>
        <w:footnoteRef/>
      </w:r>
      <w:r w:rsidRPr="00B30E0C">
        <w:rPr>
          <w:sz w:val="16"/>
          <w:szCs w:val="16"/>
        </w:rPr>
        <w:t xml:space="preserve"> Dôvera novej Vláde SR bola vyjadrená hlasovaním v NR SR dňa 30.4.2020.</w:t>
      </w:r>
    </w:p>
  </w:footnote>
  <w:footnote w:id="50">
    <w:p w14:paraId="21370C20" w14:textId="77777777" w:rsidR="00003F14" w:rsidRPr="00305A97" w:rsidRDefault="00003F14" w:rsidP="00204588">
      <w:pPr>
        <w:pStyle w:val="Textpoznmkypodiarou"/>
        <w:jc w:val="both"/>
        <w:rPr>
          <w:sz w:val="16"/>
          <w:szCs w:val="16"/>
        </w:rPr>
      </w:pPr>
      <w:r w:rsidRPr="006D3F03">
        <w:rPr>
          <w:rStyle w:val="Odkaznapoznmkupodiarou"/>
          <w:sz w:val="16"/>
          <w:szCs w:val="16"/>
        </w:rPr>
        <w:footnoteRef/>
      </w:r>
      <w:r w:rsidRPr="006D3F03">
        <w:rPr>
          <w:sz w:val="16"/>
          <w:szCs w:val="16"/>
        </w:rPr>
        <w:t xml:space="preserve"> Ústavný zákon definuje splnenie tejto podmienky, keď Štatistický úrad Slovenskej republiky (ŠUSR) zistí, že percentuálne vyjadrená medziročná zmena nominálneho hrubého domáceho produktu (HDP) poklesla najmenej o 12 percentuálnych bodov. ŠUSR obvykle zverejňuje informácie o medziročnej zmene HDP za prechádzajúci rok do konca marca bežného roku, čo by znamenalo spustenie únikovej klauzuly v apríli 20</w:t>
      </w:r>
      <w:r w:rsidRPr="00305A97">
        <w:rPr>
          <w:sz w:val="16"/>
          <w:szCs w:val="16"/>
        </w:rPr>
        <w:t>21 s trvaním do apríla 2024.</w:t>
      </w:r>
    </w:p>
  </w:footnote>
  <w:footnote w:id="51">
    <w:p w14:paraId="28EB8348" w14:textId="6BB1534C" w:rsidR="00003F14" w:rsidRPr="009637BB" w:rsidRDefault="00003F14">
      <w:pPr>
        <w:pStyle w:val="Textpoznmkypodiarou"/>
        <w:rPr>
          <w:sz w:val="16"/>
          <w:szCs w:val="16"/>
        </w:rPr>
      </w:pPr>
      <w:r w:rsidRPr="009637BB">
        <w:rPr>
          <w:rStyle w:val="Odkaznapoznmkupodiarou"/>
          <w:sz w:val="16"/>
          <w:szCs w:val="16"/>
        </w:rPr>
        <w:footnoteRef/>
      </w:r>
      <w:r w:rsidRPr="009637BB">
        <w:rPr>
          <w:sz w:val="16"/>
          <w:szCs w:val="16"/>
        </w:rPr>
        <w:t xml:space="preserve"> Bude potrebné právne stanovisko, ktoré určí, či je pandémia považovaná za prírodnú katastrofu v kontexte dlhovej brzdy.</w:t>
      </w:r>
    </w:p>
  </w:footnote>
  <w:footnote w:id="52">
    <w:p w14:paraId="3B3EEB4F" w14:textId="4E269593" w:rsidR="00003F14" w:rsidRDefault="00003F14">
      <w:pPr>
        <w:pStyle w:val="Textpoznmkypodiarou"/>
      </w:pPr>
      <w:r w:rsidRPr="008B7BBA">
        <w:rPr>
          <w:rStyle w:val="Odkaznapoznmkupodiarou"/>
          <w:sz w:val="16"/>
          <w:szCs w:val="16"/>
        </w:rPr>
        <w:footnoteRef/>
      </w:r>
      <w:r w:rsidRPr="008B7BBA">
        <w:rPr>
          <w:sz w:val="16"/>
          <w:szCs w:val="16"/>
        </w:rPr>
        <w:t xml:space="preserve"> Vrátane nárastu dávok v nezamestnanosti, nad rámec diskrečných výdavkových opatrení</w:t>
      </w:r>
    </w:p>
  </w:footnote>
  <w:footnote w:id="53">
    <w:p w14:paraId="57D8E5E4" w14:textId="105DF800" w:rsidR="00003F14" w:rsidRPr="006D3F03" w:rsidRDefault="00003F14" w:rsidP="00204588">
      <w:pPr>
        <w:pStyle w:val="Textpoznmkypodiarou"/>
        <w:rPr>
          <w:sz w:val="16"/>
          <w:szCs w:val="16"/>
        </w:rPr>
      </w:pPr>
      <w:r w:rsidRPr="006D3F03">
        <w:rPr>
          <w:rStyle w:val="Odkaznapoznmkupodiarou"/>
          <w:sz w:val="16"/>
          <w:szCs w:val="16"/>
        </w:rPr>
        <w:footnoteRef/>
      </w:r>
      <w:r w:rsidRPr="006D3F03">
        <w:rPr>
          <w:sz w:val="16"/>
          <w:szCs w:val="16"/>
        </w:rPr>
        <w:t xml:space="preserve"> Ústavný zákon definuje splnenie tejto podmienky, keď MF SR zistí, že výdavky z verejných prostriedkov spojené s odstraňovaním následkov prírodných katastrof, ktoré zasiahli územie Slovenskej republiky presiahli v úhrne 3 % HDP. V tomto prípade by moment spustenia závisel od zverejnenia výdavkov MF</w:t>
      </w:r>
      <w:r>
        <w:rPr>
          <w:sz w:val="16"/>
          <w:szCs w:val="16"/>
        </w:rPr>
        <w:t> </w:t>
      </w:r>
      <w:r w:rsidRPr="006D3F03">
        <w:rPr>
          <w:sz w:val="16"/>
          <w:szCs w:val="16"/>
        </w:rPr>
        <w:t>SR, najneskôr však v apríli 2021.</w:t>
      </w:r>
    </w:p>
  </w:footnote>
  <w:footnote w:id="54">
    <w:p w14:paraId="36F8337F" w14:textId="77777777" w:rsidR="00003F14" w:rsidRPr="00A86B3D" w:rsidRDefault="00003F14" w:rsidP="00204588">
      <w:pPr>
        <w:pStyle w:val="Textpoznmkypodiarou"/>
        <w:jc w:val="both"/>
        <w:rPr>
          <w:sz w:val="16"/>
          <w:szCs w:val="16"/>
        </w:rPr>
      </w:pPr>
      <w:r w:rsidRPr="006D3F03">
        <w:rPr>
          <w:rStyle w:val="Odkaznapoznmkupodiarou"/>
          <w:sz w:val="16"/>
          <w:szCs w:val="16"/>
        </w:rPr>
        <w:footnoteRef/>
      </w:r>
      <w:r w:rsidRPr="006D3F03">
        <w:rPr>
          <w:sz w:val="16"/>
          <w:szCs w:val="16"/>
        </w:rPr>
        <w:t xml:space="preserve"> Ide o približný popis jednotlivých sankčných pásiem. Ich vyčerpávajúci obsah je súčasťou ústavného zákona o rozpočtovej zodpovednosti.</w:t>
      </w:r>
    </w:p>
  </w:footnote>
  <w:footnote w:id="55">
    <w:p w14:paraId="314152BA" w14:textId="77777777" w:rsidR="00003F14" w:rsidRPr="00B24734" w:rsidRDefault="00003F14" w:rsidP="00204588">
      <w:pPr>
        <w:pStyle w:val="Textpoznmkypodiarou"/>
        <w:jc w:val="both"/>
        <w:rPr>
          <w:sz w:val="16"/>
          <w:szCs w:val="16"/>
        </w:rPr>
      </w:pPr>
      <w:r w:rsidRPr="00B24734">
        <w:rPr>
          <w:rStyle w:val="Odkaznapoznmkupodiarou"/>
          <w:sz w:val="16"/>
          <w:szCs w:val="16"/>
        </w:rPr>
        <w:footnoteRef/>
      </w:r>
      <w:r w:rsidRPr="00B24734">
        <w:rPr>
          <w:sz w:val="16"/>
          <w:szCs w:val="16"/>
        </w:rPr>
        <w:t xml:space="preserve"> S1 (strednodobý horizont) - prezentuje hodnotu, o ktorú sa musí trvalo zmeniť aktuálne primárne štrukturálne saldo, aby hrubý dlh verejnej správy do roku 2034 (</w:t>
      </w:r>
      <w:r w:rsidRPr="00B24734">
        <w:rPr>
          <w:rFonts w:cs="Times New Roman"/>
          <w:bCs/>
          <w:color w:val="000000"/>
          <w:sz w:val="16"/>
          <w:szCs w:val="16"/>
        </w:rPr>
        <w:t>t</w:t>
      </w:r>
      <w:r w:rsidRPr="00B24734">
        <w:rPr>
          <w:rFonts w:cs="Times New Roman"/>
          <w:bCs/>
          <w:color w:val="000000"/>
          <w:sz w:val="16"/>
          <w:szCs w:val="16"/>
          <w:vertAlign w:val="subscript"/>
        </w:rPr>
        <w:t>0</w:t>
      </w:r>
      <w:r w:rsidRPr="00B24734">
        <w:rPr>
          <w:sz w:val="16"/>
          <w:szCs w:val="16"/>
        </w:rPr>
        <w:t xml:space="preserve">+15) nepresiahol úroveň 60 % HDP (po zohľadnení očakávaných budúcich výdavkov súvisiacich so starnutím obyvateľstva). MF SR pri svojich kvantifikáciách na základe strednodobých cieľov sleduje aj prísnejší národný scenár, ktorý považuje v dlhodobom horizonte za smerodajnú hranicu dlhu úroveň 40 % HDP, čo bude po uplynutí prechodného obdobia najnižšie sankčné pásmo podľa ústavného zákona o rozpočtovej zodpovednosti. MF SR zároveň uvažuje aj s vplyvom druhého piliera na príjmovej aj výdavkovej strane. </w:t>
      </w:r>
    </w:p>
    <w:p w14:paraId="320F7879" w14:textId="77777777" w:rsidR="00003F14" w:rsidRPr="00B24734" w:rsidRDefault="00003F14" w:rsidP="00204588">
      <w:pPr>
        <w:pStyle w:val="Textpoznmkypodiarou"/>
        <w:jc w:val="both"/>
        <w:rPr>
          <w:sz w:val="16"/>
          <w:szCs w:val="16"/>
        </w:rPr>
      </w:pPr>
      <w:r w:rsidRPr="00B24734">
        <w:rPr>
          <w:sz w:val="16"/>
          <w:szCs w:val="16"/>
        </w:rPr>
        <w:t>S2 (dlhodobý horizont) - prezentuje hodnotu, o ktorú sa musí trvalo zmeniť primárne štrukturálne saldo, aby sa súčasná hodnota budúcich primárnych sáld (po zohľadnení očakávaných budúcich výdavkov súvisiacich so starnutím obyvateľstva) rovnala súčasnej úrovni hrubého dlhu. Na rozdiel od S1, indikátor S2 berie do úvahy projekcie súvisiace so starnutím populácie v nekonečnom horizonte, pričom požadovaná zmena salda má zabezpečiť stabilizáciu aktuálnej úrovne dlhu. MF SR pri svojich kvantifikáciách aj pri tomto indikátore uvažuje s vplyvom druhého piliera na príjmovej aj výdavkovej strane.</w:t>
      </w:r>
    </w:p>
  </w:footnote>
  <w:footnote w:id="56">
    <w:p w14:paraId="6EC3028B" w14:textId="77777777" w:rsidR="00003F14" w:rsidRPr="00C408ED" w:rsidRDefault="00003F14" w:rsidP="00204588">
      <w:pPr>
        <w:pStyle w:val="Textpoznmkypodiarou"/>
        <w:jc w:val="both"/>
        <w:rPr>
          <w:sz w:val="16"/>
          <w:szCs w:val="16"/>
        </w:rPr>
      </w:pPr>
      <w:r w:rsidRPr="00C408ED">
        <w:rPr>
          <w:rStyle w:val="Odkaznapoznmkupodiarou"/>
          <w:sz w:val="16"/>
          <w:szCs w:val="16"/>
        </w:rPr>
        <w:footnoteRef/>
      </w:r>
      <w:r w:rsidRPr="00C408ED">
        <w:rPr>
          <w:sz w:val="16"/>
          <w:szCs w:val="16"/>
        </w:rPr>
        <w:t xml:space="preserve"> Cieľ zohľadňuje efekty vypuknutia pandémie COVID19 a prijat</w:t>
      </w:r>
      <w:r>
        <w:rPr>
          <w:sz w:val="16"/>
          <w:szCs w:val="16"/>
        </w:rPr>
        <w:t>é</w:t>
      </w:r>
      <w:r w:rsidRPr="00C408ED">
        <w:rPr>
          <w:sz w:val="16"/>
          <w:szCs w:val="16"/>
        </w:rPr>
        <w:t xml:space="preserve"> zmeny v dôchodkovom systéme v rokoch 2019 a </w:t>
      </w:r>
      <w:r>
        <w:rPr>
          <w:sz w:val="16"/>
          <w:szCs w:val="16"/>
        </w:rPr>
        <w:t>zač</w:t>
      </w:r>
      <w:r w:rsidRPr="00C408ED">
        <w:rPr>
          <w:sz w:val="16"/>
          <w:szCs w:val="16"/>
        </w:rPr>
        <w:t>i</w:t>
      </w:r>
      <w:r>
        <w:rPr>
          <w:sz w:val="16"/>
          <w:szCs w:val="16"/>
        </w:rPr>
        <w:t>a</w:t>
      </w:r>
      <w:r w:rsidRPr="00C408ED">
        <w:rPr>
          <w:sz w:val="16"/>
          <w:szCs w:val="16"/>
        </w:rPr>
        <w:t xml:space="preserve">tku </w:t>
      </w:r>
      <w:r>
        <w:rPr>
          <w:sz w:val="16"/>
          <w:szCs w:val="16"/>
        </w:rPr>
        <w:t xml:space="preserve">roku </w:t>
      </w:r>
      <w:r w:rsidRPr="00C408ED">
        <w:rPr>
          <w:sz w:val="16"/>
          <w:szCs w:val="16"/>
        </w:rPr>
        <w:t>2020.</w:t>
      </w:r>
    </w:p>
  </w:footnote>
  <w:footnote w:id="57">
    <w:p w14:paraId="4A4590DF" w14:textId="77777777" w:rsidR="00003F14" w:rsidRPr="009927C6" w:rsidRDefault="00003F14" w:rsidP="00204588">
      <w:pPr>
        <w:pStyle w:val="Textpoznmkypodiarou"/>
        <w:jc w:val="both"/>
        <w:rPr>
          <w:sz w:val="16"/>
          <w:szCs w:val="16"/>
        </w:rPr>
      </w:pPr>
      <w:r w:rsidRPr="009927C6">
        <w:rPr>
          <w:rStyle w:val="Odkaznapoznmkupodiarou"/>
          <w:sz w:val="16"/>
          <w:szCs w:val="16"/>
        </w:rPr>
        <w:footnoteRef/>
      </w:r>
      <w:r w:rsidRPr="009927C6">
        <w:rPr>
          <w:sz w:val="16"/>
          <w:szCs w:val="16"/>
        </w:rPr>
        <w:t xml:space="preserve"> </w:t>
      </w:r>
      <w:r>
        <w:rPr>
          <w:sz w:val="16"/>
          <w:szCs w:val="16"/>
        </w:rPr>
        <w:t>P</w:t>
      </w:r>
      <w:r w:rsidRPr="009927C6">
        <w:rPr>
          <w:sz w:val="16"/>
          <w:szCs w:val="16"/>
        </w:rPr>
        <w:t>redpoklad</w:t>
      </w:r>
      <w:r>
        <w:rPr>
          <w:sz w:val="16"/>
          <w:szCs w:val="16"/>
        </w:rPr>
        <w:t>á sa</w:t>
      </w:r>
      <w:r w:rsidRPr="009927C6">
        <w:rPr>
          <w:sz w:val="16"/>
          <w:szCs w:val="16"/>
        </w:rPr>
        <w:t xml:space="preserve"> udrž</w:t>
      </w:r>
      <w:r>
        <w:rPr>
          <w:sz w:val="16"/>
          <w:szCs w:val="16"/>
        </w:rPr>
        <w:t xml:space="preserve">iavanie výšky </w:t>
      </w:r>
      <w:r w:rsidRPr="009927C6">
        <w:rPr>
          <w:sz w:val="16"/>
          <w:szCs w:val="16"/>
        </w:rPr>
        <w:t>hrubého dlhu 60 % HDP na celom strednodobom horizonte.</w:t>
      </w:r>
    </w:p>
  </w:footnote>
  <w:footnote w:id="58">
    <w:p w14:paraId="3B9FC625" w14:textId="77777777" w:rsidR="00003F14" w:rsidRPr="00B24734" w:rsidRDefault="00003F14" w:rsidP="003973C7">
      <w:pPr>
        <w:pStyle w:val="Textpoznmkypodiarou"/>
        <w:jc w:val="both"/>
        <w:rPr>
          <w:sz w:val="16"/>
          <w:szCs w:val="16"/>
        </w:rPr>
      </w:pPr>
      <w:r w:rsidRPr="00B24734">
        <w:rPr>
          <w:rStyle w:val="Odkaznapoznmkupodiarou"/>
          <w:sz w:val="16"/>
          <w:szCs w:val="16"/>
        </w:rPr>
        <w:footnoteRef/>
      </w:r>
      <w:r>
        <w:rPr>
          <w:sz w:val="16"/>
          <w:szCs w:val="16"/>
        </w:rPr>
        <w:t xml:space="preserve"> N</w:t>
      </w:r>
      <w:r w:rsidRPr="00B24734">
        <w:rPr>
          <w:sz w:val="16"/>
          <w:szCs w:val="16"/>
        </w:rPr>
        <w:t>a základe jesennej prognózy EK pre rok 2021 a projekcií výdavkov citlivých na starnutie z roku 2018</w:t>
      </w:r>
    </w:p>
  </w:footnote>
  <w:footnote w:id="59">
    <w:p w14:paraId="7B813E39" w14:textId="77777777" w:rsidR="00003F14" w:rsidRPr="00B24734" w:rsidRDefault="00003F14" w:rsidP="003973C7">
      <w:pPr>
        <w:pStyle w:val="Textpoznmkypodiarou"/>
        <w:jc w:val="both"/>
        <w:rPr>
          <w:sz w:val="16"/>
          <w:szCs w:val="16"/>
        </w:rPr>
      </w:pPr>
      <w:r w:rsidRPr="00B24734">
        <w:rPr>
          <w:rStyle w:val="Odkaznapoznmkupodiarou"/>
          <w:sz w:val="16"/>
          <w:szCs w:val="16"/>
        </w:rPr>
        <w:footnoteRef/>
      </w:r>
      <w:r w:rsidRPr="00B24734">
        <w:rPr>
          <w:sz w:val="16"/>
          <w:szCs w:val="16"/>
        </w:rPr>
        <w:t xml:space="preserve"> Schválené pracovnou skupinou EK zaoberajúcou sa starnutím obyvateľstva.</w:t>
      </w:r>
    </w:p>
  </w:footnote>
  <w:footnote w:id="60">
    <w:p w14:paraId="283D072C" w14:textId="77777777" w:rsidR="00003F14" w:rsidRPr="00B24734" w:rsidRDefault="00003F14" w:rsidP="003973C7">
      <w:pPr>
        <w:pStyle w:val="Textpoznmkypodiarou"/>
        <w:jc w:val="both"/>
      </w:pPr>
      <w:r w:rsidRPr="00B24734">
        <w:rPr>
          <w:rStyle w:val="Odkaznapoznmkupodiarou"/>
          <w:sz w:val="16"/>
          <w:szCs w:val="16"/>
        </w:rPr>
        <w:footnoteRef/>
      </w:r>
      <w:r w:rsidRPr="00B24734">
        <w:rPr>
          <w:sz w:val="16"/>
          <w:szCs w:val="16"/>
        </w:rPr>
        <w:t xml:space="preserve"> Zatiaľ neschválené pracovnou skupinou EK.</w:t>
      </w:r>
    </w:p>
  </w:footnote>
  <w:footnote w:id="61">
    <w:p w14:paraId="43626911" w14:textId="77777777" w:rsidR="00003F14" w:rsidRPr="00C51916" w:rsidRDefault="00003F14" w:rsidP="00683A4A">
      <w:pPr>
        <w:pStyle w:val="Textpoznmkypodiarou"/>
        <w:rPr>
          <w:color w:val="000000" w:themeColor="text1"/>
          <w:sz w:val="16"/>
          <w:szCs w:val="16"/>
        </w:rPr>
      </w:pPr>
      <w:r w:rsidRPr="00C51916">
        <w:rPr>
          <w:rStyle w:val="Odkaznapoznmkupodiarou"/>
          <w:sz w:val="16"/>
          <w:szCs w:val="16"/>
        </w:rPr>
        <w:footnoteRef/>
      </w:r>
      <w:r w:rsidRPr="00C51916">
        <w:rPr>
          <w:sz w:val="16"/>
          <w:szCs w:val="16"/>
        </w:rPr>
        <w:t xml:space="preserve"> </w:t>
      </w:r>
      <w:hyperlink r:id="rId7" w:history="1">
        <w:r w:rsidRPr="00C51916">
          <w:rPr>
            <w:rStyle w:val="Hypertextovprepojenie"/>
            <w:color w:val="2C9ADC"/>
            <w:sz w:val="16"/>
            <w:szCs w:val="16"/>
          </w:rPr>
          <w:t>Analýza IFP (2019): Default strategy in pension saving: The case of Slovakia</w:t>
        </w:r>
      </w:hyperlink>
      <w:r w:rsidRPr="00C51916">
        <w:rPr>
          <w:color w:val="000000" w:themeColor="text1"/>
          <w:sz w:val="16"/>
          <w:szCs w:val="16"/>
        </w:rPr>
        <w:t>.</w:t>
      </w:r>
    </w:p>
  </w:footnote>
  <w:footnote w:id="62">
    <w:p w14:paraId="31659B20" w14:textId="77777777" w:rsidR="00003F14" w:rsidRPr="00C51916" w:rsidRDefault="00003F14" w:rsidP="00683A4A">
      <w:pPr>
        <w:pStyle w:val="Textpoznmkypodiarou"/>
        <w:rPr>
          <w:sz w:val="16"/>
          <w:szCs w:val="16"/>
        </w:rPr>
      </w:pPr>
      <w:r w:rsidRPr="00C51916">
        <w:rPr>
          <w:sz w:val="16"/>
          <w:szCs w:val="16"/>
          <w:vertAlign w:val="superscript"/>
        </w:rPr>
        <w:footnoteRef/>
      </w:r>
      <w:r w:rsidRPr="00C51916">
        <w:rPr>
          <w:sz w:val="16"/>
          <w:szCs w:val="16"/>
        </w:rPr>
        <w:t xml:space="preserve"> Návrhy opatrení by mali nadobudnúť platnosť v prvom polroku 2020, účinné budú od 1. januára 2021. </w:t>
      </w:r>
    </w:p>
  </w:footnote>
  <w:footnote w:id="63">
    <w:p w14:paraId="53BE4128" w14:textId="49C16485" w:rsidR="00003F14" w:rsidRDefault="00003F14">
      <w:pPr>
        <w:pStyle w:val="Textpoznmkypodiarou"/>
      </w:pPr>
      <w:r>
        <w:rPr>
          <w:rStyle w:val="Odkaznapoznmkupodiarou"/>
        </w:rPr>
        <w:footnoteRef/>
      </w:r>
      <w:r>
        <w:t xml:space="preserve"> </w:t>
      </w:r>
      <w:r w:rsidRPr="009637BB">
        <w:rPr>
          <w:sz w:val="16"/>
          <w:szCs w:val="16"/>
        </w:rPr>
        <w:t>Výdavky na dôchodky zahŕňajú dôchodky sociálneho poistenia (starobný, predčasný starobný, invalidný, vdovský, vdovecký a sirotský), dodatočné výdavky (minimálny dôchodok a vianočný príspevok) a výdavky na dôchodky policajtov a</w:t>
      </w:r>
      <w:r>
        <w:rPr>
          <w:sz w:val="16"/>
          <w:szCs w:val="16"/>
        </w:rPr>
        <w:t> </w:t>
      </w:r>
      <w:r w:rsidRPr="009637BB">
        <w:rPr>
          <w:sz w:val="16"/>
          <w:szCs w:val="16"/>
        </w:rPr>
        <w:t>vojakov</w:t>
      </w:r>
      <w:r>
        <w:rPr>
          <w:sz w:val="16"/>
          <w:szCs w:val="16"/>
        </w:rPr>
        <w:t>.</w:t>
      </w:r>
    </w:p>
  </w:footnote>
  <w:footnote w:id="64">
    <w:p w14:paraId="2E66A435" w14:textId="3917B793" w:rsidR="00003F14" w:rsidRPr="00C51916" w:rsidRDefault="00003F14" w:rsidP="005D39E1">
      <w:pPr>
        <w:pStyle w:val="Textpoznmkypodiarou"/>
        <w:jc w:val="both"/>
        <w:rPr>
          <w:sz w:val="16"/>
          <w:szCs w:val="16"/>
        </w:rPr>
      </w:pPr>
      <w:r w:rsidRPr="00C51916">
        <w:rPr>
          <w:rStyle w:val="Odkaznapoznmkupodiarou"/>
          <w:sz w:val="16"/>
          <w:szCs w:val="16"/>
        </w:rPr>
        <w:footnoteRef/>
      </w:r>
      <w:r w:rsidRPr="00C51916">
        <w:rPr>
          <w:sz w:val="16"/>
          <w:szCs w:val="16"/>
        </w:rPr>
        <w:t xml:space="preserve"> Pre kvantifikáciu je použitá metodológia AWG. Táto metodológia uvažuje rast indexácie minimálnych dôchodkov a vianočného príspevku priemernou mzdou bez ohľadu na legislatívu. Projekcie boli schválené zo strany AWG a následne aj Výborom pre hospodársku politiku (EPC) vo februári 2020. Podrobnosti o nových projekciách možno nájsť v </w:t>
      </w:r>
      <w:hyperlink r:id="rId8" w:history="1">
        <w:r w:rsidRPr="00C51916">
          <w:rPr>
            <w:rStyle w:val="Hypertextovprepojenie"/>
            <w:rFonts w:cs="Book Antiqua"/>
            <w:color w:val="2C9ADC"/>
            <w:sz w:val="16"/>
            <w:szCs w:val="16"/>
          </w:rPr>
          <w:t>aktualizácii dlhodobých projekcii v rámci AWG</w:t>
        </w:r>
      </w:hyperlink>
      <w:r w:rsidRPr="00C51916">
        <w:rPr>
          <w:sz w:val="16"/>
          <w:szCs w:val="16"/>
        </w:rPr>
        <w:t>.</w:t>
      </w:r>
      <w:r>
        <w:rPr>
          <w:sz w:val="16"/>
          <w:szCs w:val="16"/>
        </w:rPr>
        <w:t xml:space="preserve"> Pre kvantifikáciu boli použité predpoklady AWG:</w:t>
      </w:r>
      <w:r w:rsidRPr="009637BB">
        <w:rPr>
          <w:color w:val="2C9ADC"/>
          <w:sz w:val="16"/>
          <w:szCs w:val="16"/>
        </w:rPr>
        <w:t xml:space="preserve"> </w:t>
      </w:r>
      <w:hyperlink r:id="rId9" w:history="1">
        <w:r w:rsidRPr="009637BB">
          <w:rPr>
            <w:rStyle w:val="Hypertextovprepojenie"/>
            <w:rFonts w:cs="Book Antiqua"/>
            <w:color w:val="2C9ADC"/>
            <w:sz w:val="16"/>
            <w:szCs w:val="16"/>
          </w:rPr>
          <w:t>The 2018 Ageing Report: Underlying Assumptions and Projection Methodologies</w:t>
        </w:r>
      </w:hyperlink>
      <w:r w:rsidRPr="009637BB">
        <w:rPr>
          <w:color w:val="2C9ADC"/>
          <w:sz w:val="16"/>
          <w:szCs w:val="16"/>
        </w:rPr>
        <w:t>.</w:t>
      </w:r>
    </w:p>
  </w:footnote>
  <w:footnote w:id="65">
    <w:p w14:paraId="32B64D69" w14:textId="77777777" w:rsidR="00003F14" w:rsidRPr="00C51916" w:rsidRDefault="00003F14" w:rsidP="005D39E1">
      <w:pPr>
        <w:pStyle w:val="Textpoznmkypodiarou"/>
        <w:jc w:val="both"/>
        <w:rPr>
          <w:sz w:val="16"/>
          <w:szCs w:val="16"/>
        </w:rPr>
      </w:pPr>
      <w:r w:rsidRPr="00C51916">
        <w:rPr>
          <w:sz w:val="16"/>
          <w:szCs w:val="16"/>
          <w:vertAlign w:val="superscript"/>
        </w:rPr>
        <w:footnoteRef/>
      </w:r>
      <w:r w:rsidRPr="00C51916">
        <w:rPr>
          <w:sz w:val="16"/>
          <w:szCs w:val="16"/>
          <w:vertAlign w:val="superscript"/>
        </w:rPr>
        <w:t xml:space="preserve"> </w:t>
      </w:r>
      <w:r w:rsidRPr="00C51916">
        <w:rPr>
          <w:sz w:val="16"/>
          <w:szCs w:val="16"/>
        </w:rPr>
        <w:t>Metodologická zmena spočívala v oprave pôvodného výpočtu podhodnocujúceho celkové výdavky na minimálne dôchodky. Podrobnosti o nových projekciách možno nájsť v </w:t>
      </w:r>
      <w:hyperlink r:id="rId10" w:history="1">
        <w:r w:rsidRPr="00C51916">
          <w:rPr>
            <w:rStyle w:val="Hypertextovprepojenie"/>
            <w:rFonts w:cs="Book Antiqua"/>
            <w:color w:val="2C9ADC"/>
            <w:sz w:val="16"/>
            <w:szCs w:val="16"/>
          </w:rPr>
          <w:t>aktualizácii dlhodobých projekcii v rámci AWG</w:t>
        </w:r>
      </w:hyperlink>
      <w:r w:rsidRPr="00C51916">
        <w:rPr>
          <w:sz w:val="16"/>
          <w:szCs w:val="16"/>
        </w:rPr>
        <w:t>.</w:t>
      </w:r>
    </w:p>
  </w:footnote>
  <w:footnote w:id="66">
    <w:p w14:paraId="0D385086" w14:textId="77777777" w:rsidR="00003F14" w:rsidRPr="00C80FED" w:rsidRDefault="00003F14" w:rsidP="00C80FED">
      <w:pPr>
        <w:pStyle w:val="Textpoznmkypodiarou"/>
        <w:jc w:val="both"/>
        <w:rPr>
          <w:sz w:val="16"/>
          <w:szCs w:val="16"/>
        </w:rPr>
      </w:pPr>
      <w:r w:rsidRPr="00C80FED">
        <w:rPr>
          <w:sz w:val="16"/>
          <w:szCs w:val="16"/>
          <w:vertAlign w:val="superscript"/>
        </w:rPr>
        <w:footnoteRef/>
      </w:r>
      <w:r w:rsidRPr="00C80FED">
        <w:rPr>
          <w:sz w:val="16"/>
          <w:szCs w:val="16"/>
          <w:vertAlign w:val="superscript"/>
        </w:rPr>
        <w:t xml:space="preserve"> </w:t>
      </w:r>
      <w:r w:rsidRPr="00C80FED">
        <w:rPr>
          <w:sz w:val="16"/>
          <w:szCs w:val="16"/>
        </w:rPr>
        <w:t>Osobe sa na nárok započítali len také roky, kedy boli za ňu zaplatené odvody minimálne z vymeriavacieho základu na úrovni 24,1 % priemernej mzdy z pred dvoch rokov. Táto podmienka bola v novej právnej úprave vypustená.</w:t>
      </w:r>
    </w:p>
  </w:footnote>
  <w:footnote w:id="67">
    <w:p w14:paraId="4475E737" w14:textId="77777777" w:rsidR="00003F14" w:rsidRPr="00C80FED" w:rsidRDefault="00003F14" w:rsidP="00C80FED">
      <w:pPr>
        <w:pStyle w:val="Textpoznmkypodiarou"/>
        <w:jc w:val="both"/>
        <w:rPr>
          <w:sz w:val="16"/>
          <w:szCs w:val="16"/>
        </w:rPr>
      </w:pPr>
      <w:r w:rsidRPr="00C80FED">
        <w:rPr>
          <w:sz w:val="16"/>
          <w:szCs w:val="16"/>
          <w:vertAlign w:val="superscript"/>
        </w:rPr>
        <w:footnoteRef/>
      </w:r>
      <w:r w:rsidRPr="00C80FED">
        <w:rPr>
          <w:sz w:val="16"/>
          <w:szCs w:val="16"/>
          <w:vertAlign w:val="superscript"/>
        </w:rPr>
        <w:t xml:space="preserve"> </w:t>
      </w:r>
      <w:r w:rsidRPr="00C80FED">
        <w:rPr>
          <w:sz w:val="16"/>
          <w:szCs w:val="16"/>
        </w:rPr>
        <w:t>Minimálny dôchodok pri 30 odpracovaných rokoch tak vzrástol o 17 %.</w:t>
      </w:r>
    </w:p>
  </w:footnote>
  <w:footnote w:id="68">
    <w:p w14:paraId="2DBE80E3" w14:textId="47D1DD37" w:rsidR="00003F14" w:rsidRDefault="00003F14">
      <w:pPr>
        <w:pStyle w:val="Textpoznmkypodiarou"/>
      </w:pPr>
      <w:r w:rsidRPr="00EA7E15">
        <w:rPr>
          <w:sz w:val="16"/>
          <w:szCs w:val="16"/>
          <w:vertAlign w:val="superscript"/>
        </w:rPr>
        <w:footnoteRef/>
      </w:r>
      <w:r w:rsidRPr="009637BB">
        <w:rPr>
          <w:sz w:val="16"/>
          <w:szCs w:val="16"/>
          <w:vertAlign w:val="superscript"/>
        </w:rPr>
        <w:t xml:space="preserve"> </w:t>
      </w:r>
      <w:r w:rsidRPr="009637BB">
        <w:rPr>
          <w:sz w:val="16"/>
          <w:szCs w:val="16"/>
        </w:rPr>
        <w:t>Zmena krátenia dôchodkov z I. piliera platí aj pre už priznané dôchodky</w:t>
      </w:r>
      <w:r>
        <w:rPr>
          <w:sz w:val="16"/>
          <w:szCs w:val="16"/>
        </w:rPr>
        <w:t>.</w:t>
      </w:r>
    </w:p>
  </w:footnote>
  <w:footnote w:id="69">
    <w:p w14:paraId="7A340E35" w14:textId="77777777" w:rsidR="00003F14" w:rsidRPr="00C80FED" w:rsidRDefault="00003F14" w:rsidP="00C80FED">
      <w:pPr>
        <w:pStyle w:val="Textpoznmkypodiarou"/>
        <w:jc w:val="both"/>
        <w:rPr>
          <w:sz w:val="16"/>
          <w:szCs w:val="16"/>
        </w:rPr>
      </w:pPr>
      <w:r w:rsidRPr="00C80FED">
        <w:rPr>
          <w:sz w:val="16"/>
          <w:szCs w:val="16"/>
          <w:vertAlign w:val="superscript"/>
        </w:rPr>
        <w:footnoteRef/>
      </w:r>
      <w:r w:rsidRPr="00C80FED">
        <w:rPr>
          <w:sz w:val="16"/>
          <w:szCs w:val="16"/>
          <w:vertAlign w:val="superscript"/>
        </w:rPr>
        <w:t xml:space="preserve"> </w:t>
      </w:r>
      <w:r w:rsidRPr="00C80FED">
        <w:rPr>
          <w:sz w:val="16"/>
          <w:szCs w:val="16"/>
        </w:rPr>
        <w:t>Vianočný príspevok bol vo februári 2020 nahradený tzv. trinástym dôchodkom. Toto opatrenie tak bolo prijaté až po aktualizácii dlhodobej projekcie dôchodkových výdavkov a preto v nej nie je zahrnuté.</w:t>
      </w:r>
    </w:p>
  </w:footnote>
  <w:footnote w:id="70">
    <w:p w14:paraId="3A11F04E" w14:textId="77777777" w:rsidR="00003F14" w:rsidRDefault="00003F14" w:rsidP="00C80FED">
      <w:pPr>
        <w:pStyle w:val="Textpoznmkypodiarou"/>
        <w:jc w:val="both"/>
      </w:pPr>
      <w:r w:rsidRPr="00C80FED">
        <w:rPr>
          <w:sz w:val="16"/>
          <w:szCs w:val="16"/>
          <w:vertAlign w:val="superscript"/>
        </w:rPr>
        <w:footnoteRef/>
      </w:r>
      <w:r w:rsidRPr="00C80FED">
        <w:rPr>
          <w:sz w:val="16"/>
          <w:szCs w:val="16"/>
        </w:rPr>
        <w:t xml:space="preserve"> Kým v minulosti získali nárok len tí dôchodcovia, ktorých úhrn súm dôchodkov nepresiahol 60 % priemernej mzdy, od roku 2019 sa táto hranica posunie na 65 % priemernej mzdy.</w:t>
      </w:r>
    </w:p>
  </w:footnote>
  <w:footnote w:id="71">
    <w:p w14:paraId="5D3CAD49" w14:textId="77777777" w:rsidR="00003F14" w:rsidRDefault="00003F14" w:rsidP="00AD6A92">
      <w:pPr>
        <w:pStyle w:val="Textpoznmkypodiarou"/>
        <w:jc w:val="both"/>
      </w:pPr>
      <w:r w:rsidRPr="005A17F8">
        <w:rPr>
          <w:sz w:val="16"/>
          <w:vertAlign w:val="superscript"/>
        </w:rPr>
        <w:footnoteRef/>
      </w:r>
      <w:r>
        <w:t xml:space="preserve"> </w:t>
      </w:r>
      <w:r w:rsidRPr="00550706">
        <w:rPr>
          <w:sz w:val="16"/>
          <w:szCs w:val="16"/>
        </w:rPr>
        <w:t>Aktualizácia výdavkov citlivých na starnutie a ich následné schválenie Výborom pre hospodársku politiku EK nastalo pred prijatím tohto opatrenia.</w:t>
      </w:r>
    </w:p>
  </w:footnote>
  <w:footnote w:id="72">
    <w:p w14:paraId="7BD0B843" w14:textId="77777777" w:rsidR="00003F14" w:rsidRDefault="00003F14" w:rsidP="00AD6A92">
      <w:pPr>
        <w:pStyle w:val="Textpoznmkypodiarou"/>
        <w:jc w:val="both"/>
      </w:pPr>
      <w:r w:rsidRPr="005A17F8">
        <w:rPr>
          <w:sz w:val="16"/>
          <w:vertAlign w:val="superscript"/>
        </w:rPr>
        <w:footnoteRef/>
      </w:r>
      <w:r>
        <w:t xml:space="preserve"> </w:t>
      </w:r>
      <w:r w:rsidRPr="00550706">
        <w:rPr>
          <w:sz w:val="16"/>
          <w:szCs w:val="16"/>
        </w:rPr>
        <w:t>Konkrétne priemerný dôchodok daného druhu, napríklad starobný dôchodca dostane priemerný starobný dôchodok.</w:t>
      </w:r>
    </w:p>
  </w:footnote>
  <w:footnote w:id="73">
    <w:p w14:paraId="1139CE04" w14:textId="77777777" w:rsidR="00003F14" w:rsidRDefault="00003F14" w:rsidP="00AD6A92">
      <w:pPr>
        <w:pStyle w:val="Textpoznmkypodiarou"/>
        <w:jc w:val="both"/>
      </w:pPr>
      <w:r w:rsidRPr="005A17F8">
        <w:rPr>
          <w:sz w:val="16"/>
          <w:vertAlign w:val="superscript"/>
        </w:rPr>
        <w:footnoteRef/>
      </w:r>
      <w:r w:rsidRPr="00810B47">
        <w:rPr>
          <w:sz w:val="16"/>
          <w:szCs w:val="16"/>
          <w:vertAlign w:val="superscript"/>
        </w:rPr>
        <w:t xml:space="preserve"> </w:t>
      </w:r>
      <w:r w:rsidRPr="00550706">
        <w:rPr>
          <w:sz w:val="16"/>
          <w:szCs w:val="16"/>
        </w:rPr>
        <w:t xml:space="preserve">Pri projekcii je použitý predpoklad, že vianočný príspevok bude v budúcnosti rásť tempom priemernej mzdy. Keďže priemerná mzda rastie rýchlejšie ako priemerný dôchodok, dodatočné výdavky nebudú počas celej projekcie rásť. Z dôvodu </w:t>
      </w:r>
      <w:r>
        <w:rPr>
          <w:sz w:val="16"/>
          <w:szCs w:val="16"/>
        </w:rPr>
        <w:t>výrazného</w:t>
      </w:r>
      <w:r w:rsidRPr="00550706">
        <w:rPr>
          <w:sz w:val="16"/>
          <w:szCs w:val="16"/>
        </w:rPr>
        <w:t xml:space="preserve"> rastu priemernej mzdy v prvých 20 rokoch projekcie budú výdavky na 13. dôchodok relatívne k HDP klesať, pretože vianočný príspevok by v tomto čase rýchlo rástol.</w:t>
      </w:r>
    </w:p>
  </w:footnote>
  <w:footnote w:id="74">
    <w:p w14:paraId="3D3A4DCF" w14:textId="77777777" w:rsidR="00003F14" w:rsidRPr="00E50F32" w:rsidRDefault="00003F14" w:rsidP="00204588">
      <w:pPr>
        <w:pStyle w:val="Textpoznmkypodiarou"/>
        <w:jc w:val="both"/>
        <w:rPr>
          <w:color w:val="2C9ADC" w:themeColor="accent1"/>
          <w:sz w:val="16"/>
          <w:szCs w:val="16"/>
        </w:rPr>
      </w:pPr>
      <w:r w:rsidRPr="00E50F32">
        <w:rPr>
          <w:rStyle w:val="Odkaznapoznmkupodiarou"/>
          <w:sz w:val="16"/>
          <w:szCs w:val="16"/>
        </w:rPr>
        <w:footnoteRef/>
      </w:r>
      <w:r w:rsidRPr="00E50F32">
        <w:rPr>
          <w:sz w:val="16"/>
          <w:szCs w:val="16"/>
        </w:rPr>
        <w:t xml:space="preserve"> Národné fiškálne pravidlá vychádzajú aj z noriem z európskej úrovne (najmä </w:t>
      </w:r>
      <w:hyperlink r:id="rId11" w:history="1">
        <w:r w:rsidRPr="00E50F32">
          <w:rPr>
            <w:rStyle w:val="Hypertextovprepojenie"/>
            <w:color w:val="2C9ADC" w:themeColor="accent1"/>
            <w:sz w:val="16"/>
            <w:szCs w:val="16"/>
          </w:rPr>
          <w:t>Vade Mecum on the Stability and Growth Pact</w:t>
        </w:r>
      </w:hyperlink>
      <w:r w:rsidRPr="00E50F32">
        <w:rPr>
          <w:color w:val="2C9ADC" w:themeColor="accent1"/>
          <w:sz w:val="16"/>
          <w:szCs w:val="16"/>
        </w:rPr>
        <w:t xml:space="preserve">). </w:t>
      </w:r>
      <w:r w:rsidRPr="00E50F32">
        <w:rPr>
          <w:sz w:val="16"/>
          <w:szCs w:val="16"/>
        </w:rPr>
        <w:t xml:space="preserve">Medzi hlavné národné numerické fiškálne pravidlá na SR patrí </w:t>
      </w:r>
      <w:hyperlink r:id="rId12" w:history="1">
        <w:r w:rsidRPr="00E50F32">
          <w:rPr>
            <w:rStyle w:val="Hypertextovprepojenie"/>
            <w:color w:val="2C9ADC" w:themeColor="accent1"/>
            <w:sz w:val="16"/>
            <w:szCs w:val="16"/>
          </w:rPr>
          <w:t>Ústavný zákon o rozpočtovej zodpovednosti</w:t>
        </w:r>
      </w:hyperlink>
      <w:r w:rsidRPr="00E50F32">
        <w:rPr>
          <w:sz w:val="16"/>
          <w:szCs w:val="16"/>
        </w:rPr>
        <w:t xml:space="preserve"> a </w:t>
      </w:r>
      <w:hyperlink r:id="rId13" w:history="1">
        <w:r w:rsidRPr="00E50F32">
          <w:rPr>
            <w:rStyle w:val="Hypertextovprepojenie"/>
            <w:color w:val="2C9ADC" w:themeColor="accent1"/>
            <w:sz w:val="16"/>
            <w:szCs w:val="16"/>
          </w:rPr>
          <w:t>Zákon o rozpočtových pravidlách verejnej správy (§ 30a)</w:t>
        </w:r>
      </w:hyperlink>
      <w:r w:rsidRPr="00E50F32">
        <w:rPr>
          <w:sz w:val="16"/>
          <w:szCs w:val="16"/>
        </w:rPr>
        <w:t xml:space="preserve">, ktoré určujú numerické pravidlá pre hrubý dlh a saldo hospodárenia VS. Bližšie sú všetky rozpočtové pravidlá popísané aj v dokumentoch Rady pre Rozpočtovú zodpovednosť, ktorá hodnotí ich dodržiavanie (napr. </w:t>
      </w:r>
      <w:hyperlink r:id="rId14" w:history="1">
        <w:r w:rsidRPr="00E50F32">
          <w:rPr>
            <w:rStyle w:val="Hypertextovprepojenie"/>
            <w:color w:val="2C9ADC" w:themeColor="accent1"/>
            <w:sz w:val="16"/>
            <w:szCs w:val="16"/>
          </w:rPr>
          <w:t>Správa o hodnotení plnenia pravidiel rozpočtovej zodpovednosti a pravidiel rozpočtovej transparentnosti za rok 2017</w:t>
        </w:r>
      </w:hyperlink>
      <w:r w:rsidRPr="00E50F32">
        <w:rPr>
          <w:color w:val="2C9ADC" w:themeColor="accent1"/>
          <w:sz w:val="16"/>
          <w:szCs w:val="16"/>
        </w:rPr>
        <w:t>).</w:t>
      </w:r>
    </w:p>
  </w:footnote>
  <w:footnote w:id="75">
    <w:p w14:paraId="00C7CA8E" w14:textId="77777777" w:rsidR="00003F14" w:rsidRPr="003C4445" w:rsidRDefault="00003F14" w:rsidP="00204588">
      <w:pPr>
        <w:pStyle w:val="Textpoznmkypodiarou"/>
        <w:rPr>
          <w:sz w:val="16"/>
          <w:szCs w:val="16"/>
        </w:rPr>
      </w:pPr>
      <w:r w:rsidRPr="003C4445">
        <w:rPr>
          <w:rStyle w:val="Odkaznapoznmkupodiarou"/>
          <w:sz w:val="16"/>
          <w:szCs w:val="16"/>
        </w:rPr>
        <w:footnoteRef/>
      </w:r>
      <w:r w:rsidRPr="003C4445">
        <w:rPr>
          <w:sz w:val="16"/>
          <w:szCs w:val="16"/>
        </w:rPr>
        <w:t xml:space="preserve"> </w:t>
      </w:r>
      <w:r>
        <w:rPr>
          <w:sz w:val="16"/>
          <w:szCs w:val="16"/>
        </w:rPr>
        <w:t>K</w:t>
      </w:r>
      <w:r w:rsidRPr="003C4445">
        <w:rPr>
          <w:sz w:val="16"/>
          <w:szCs w:val="16"/>
        </w:rPr>
        <w:t>toré zabezpečujú prípravu, realizáciu, monitorovanie a záväznosť rozpočtovej politiky na viacročnom horizonte</w:t>
      </w:r>
    </w:p>
  </w:footnote>
  <w:footnote w:id="76">
    <w:p w14:paraId="0BB26096" w14:textId="77777777" w:rsidR="00003F14" w:rsidRPr="003C4445" w:rsidRDefault="00003F14" w:rsidP="00204588">
      <w:pPr>
        <w:pStyle w:val="Odsekzoznamu"/>
        <w:spacing w:after="240"/>
        <w:ind w:left="0"/>
        <w:contextualSpacing w:val="0"/>
        <w:jc w:val="both"/>
        <w:rPr>
          <w:sz w:val="16"/>
          <w:szCs w:val="16"/>
        </w:rPr>
      </w:pPr>
      <w:r w:rsidRPr="003C4445">
        <w:rPr>
          <w:rStyle w:val="Odkaznapoznmkupodiarou"/>
          <w:sz w:val="16"/>
          <w:szCs w:val="16"/>
        </w:rPr>
        <w:footnoteRef/>
      </w:r>
      <w:r w:rsidRPr="003C4445">
        <w:rPr>
          <w:sz w:val="16"/>
          <w:szCs w:val="16"/>
        </w:rPr>
        <w:t xml:space="preserve"> </w:t>
      </w:r>
      <w:r>
        <w:rPr>
          <w:sz w:val="16"/>
          <w:szCs w:val="16"/>
        </w:rPr>
        <w:t>K</w:t>
      </w:r>
      <w:r w:rsidRPr="003C4445">
        <w:rPr>
          <w:sz w:val="16"/>
          <w:szCs w:val="16"/>
        </w:rPr>
        <w:t>toré produkujú nezávislé makroekonomické a daňové prognózy, monitorujú a hodnotia vývoj fiškálnej politiky a plnenie pravidiel rozpočtovej zodpovednosti a transparentnosti.</w:t>
      </w:r>
    </w:p>
    <w:p w14:paraId="55301A68" w14:textId="77777777" w:rsidR="00003F14" w:rsidRDefault="00003F14" w:rsidP="00204588">
      <w:pPr>
        <w:pStyle w:val="Textpoznmkypodiarou"/>
      </w:pPr>
    </w:p>
  </w:footnote>
  <w:footnote w:id="77">
    <w:p w14:paraId="54B0A74B" w14:textId="77777777" w:rsidR="00003F14" w:rsidRPr="000F4E9F" w:rsidRDefault="00003F14" w:rsidP="00AD6A92">
      <w:pPr>
        <w:pStyle w:val="Textpoznmkypodiarou"/>
        <w:jc w:val="both"/>
      </w:pPr>
      <w:r w:rsidRPr="000F4E9F">
        <w:rPr>
          <w:rStyle w:val="Odkaznapoznmkupodiarou"/>
        </w:rPr>
        <w:footnoteRef/>
      </w:r>
      <w:r w:rsidRPr="000F4E9F">
        <w:rPr>
          <w:sz w:val="16"/>
        </w:rPr>
        <w:t xml:space="preserve"> </w:t>
      </w:r>
      <w:hyperlink r:id="rId15" w:history="1">
        <w:r w:rsidRPr="00E13447">
          <w:rPr>
            <w:rStyle w:val="Hypertextovprepojenie"/>
            <w:color w:val="2C9ADC"/>
            <w:sz w:val="16"/>
          </w:rPr>
          <w:t>Európska zelená dohoda (European Green Deal) publikovaná v decembri 2019</w:t>
        </w:r>
      </w:hyperlink>
      <w:r w:rsidRPr="000F4E9F">
        <w:rPr>
          <w:sz w:val="16"/>
        </w:rPr>
        <w:t>.</w:t>
      </w:r>
    </w:p>
  </w:footnote>
  <w:footnote w:id="78">
    <w:p w14:paraId="0186F1A9" w14:textId="77777777" w:rsidR="00003F14" w:rsidRDefault="00003F14" w:rsidP="007D5DC4">
      <w:pPr>
        <w:pStyle w:val="Textpoznmkypodiarou"/>
        <w:jc w:val="both"/>
      </w:pPr>
      <w:r>
        <w:rPr>
          <w:rStyle w:val="Odkaznapoznmkupodiarou"/>
        </w:rPr>
        <w:footnoteRef/>
      </w:r>
      <w:r>
        <w:t xml:space="preserve"> </w:t>
      </w:r>
      <w:r w:rsidRPr="00A137B2">
        <w:rPr>
          <w:rFonts w:eastAsiaTheme="minorHAnsi" w:cstheme="minorBidi"/>
          <w:sz w:val="16"/>
          <w:szCs w:val="16"/>
        </w:rPr>
        <w:t>Za schválený rozpočet sa pre tento účel hodnotenia považuje rozpočet schválený parlamentom v decembri 2018 upravený o vplyv legislatívnych opatrení, ktoré sa schválili v parlamente v decembri 2018 až po schválení rozpočtu.</w:t>
      </w:r>
    </w:p>
  </w:footnote>
  <w:footnote w:id="79">
    <w:p w14:paraId="30F19093" w14:textId="77777777" w:rsidR="00003F14" w:rsidRDefault="00003F14" w:rsidP="007D5DC4">
      <w:pPr>
        <w:pStyle w:val="Textpoznmkypodiarou"/>
        <w:jc w:val="both"/>
      </w:pPr>
      <w:r>
        <w:rPr>
          <w:rStyle w:val="Odkaznapoznmkupodiarou"/>
        </w:rPr>
        <w:footnoteRef/>
      </w:r>
      <w:r>
        <w:t xml:space="preserve"> </w:t>
      </w:r>
      <w:r w:rsidRPr="004916D0">
        <w:rPr>
          <w:rFonts w:eastAsiaTheme="minorHAnsi" w:cstheme="minorBidi"/>
          <w:sz w:val="16"/>
          <w:szCs w:val="16"/>
        </w:rPr>
        <w:t>Daňové príjmy prognózované výborom nezahŕňajú vplyv tzv. „zelenej energie“ vo výške 563 mil. eur na príjmovej strane. Ide o metodický vplyv zohľadnenia príjmov dosahovaných z podpory obnoviteľných zdrojov energie a vysoko účinnej kombinovanej výroby energie, ktoré sú imputované v rámci notifikácie.</w:t>
      </w:r>
      <w:r>
        <w:t xml:space="preserve"> </w:t>
      </w:r>
    </w:p>
  </w:footnote>
  <w:footnote w:id="80">
    <w:p w14:paraId="35CFB608" w14:textId="77777777" w:rsidR="006053BA" w:rsidRPr="00381915" w:rsidRDefault="006053BA" w:rsidP="006053BA">
      <w:pPr>
        <w:jc w:val="both"/>
        <w:rPr>
          <w:sz w:val="16"/>
          <w:szCs w:val="16"/>
        </w:rPr>
      </w:pPr>
      <w:r w:rsidRPr="00381915">
        <w:rPr>
          <w:rStyle w:val="Odkaznapoznmkupodiarou"/>
          <w:sz w:val="16"/>
          <w:szCs w:val="16"/>
        </w:rPr>
        <w:footnoteRef/>
      </w:r>
      <w:r w:rsidRPr="00381915">
        <w:rPr>
          <w:sz w:val="16"/>
          <w:szCs w:val="16"/>
        </w:rPr>
        <w:t xml:space="preserve"> </w:t>
      </w:r>
      <w:r w:rsidRPr="00381915">
        <w:rPr>
          <w:rFonts w:cs="Arial"/>
          <w:color w:val="000000" w:themeColor="text1"/>
          <w:sz w:val="16"/>
          <w:szCs w:val="16"/>
        </w:rPr>
        <w:t>Pakt stability a rastu vychádza z premisy, že členské štáty by mali dosiahnuť symetrický prístup k fiškálnej politike v súlade s cyklickým vývojom ekonomiky.</w:t>
      </w:r>
    </w:p>
  </w:footnote>
  <w:footnote w:id="81">
    <w:p w14:paraId="3E7EE5A3" w14:textId="77777777" w:rsidR="00003F14" w:rsidRPr="00381915" w:rsidRDefault="00003F14" w:rsidP="00D37A31">
      <w:pPr>
        <w:pStyle w:val="Textpoznmkypodiarou"/>
        <w:jc w:val="both"/>
        <w:rPr>
          <w:sz w:val="16"/>
          <w:szCs w:val="16"/>
        </w:rPr>
      </w:pPr>
      <w:r w:rsidRPr="00381915">
        <w:rPr>
          <w:rStyle w:val="Odkaznapoznmkupodiarou"/>
          <w:sz w:val="16"/>
          <w:szCs w:val="16"/>
        </w:rPr>
        <w:footnoteRef/>
      </w:r>
      <w:r w:rsidRPr="00381915">
        <w:rPr>
          <w:sz w:val="16"/>
          <w:szCs w:val="16"/>
        </w:rPr>
        <w:t xml:space="preserve"> Odhadovaných pomocou produkčnej medzery ako rozdiel medzi skutočnou a potenciálnou úrovňou HDP.</w:t>
      </w:r>
    </w:p>
  </w:footnote>
  <w:footnote w:id="82">
    <w:p w14:paraId="253C8205" w14:textId="77777777" w:rsidR="00003F14" w:rsidRPr="00851B85" w:rsidRDefault="00003F14" w:rsidP="00D37A31">
      <w:pPr>
        <w:jc w:val="both"/>
        <w:rPr>
          <w:sz w:val="16"/>
          <w:szCs w:val="16"/>
        </w:rPr>
      </w:pPr>
      <w:r w:rsidRPr="00851B85">
        <w:rPr>
          <w:sz w:val="16"/>
          <w:szCs w:val="16"/>
          <w:vertAlign w:val="superscript"/>
        </w:rPr>
        <w:footnoteRef/>
      </w:r>
      <w:r w:rsidRPr="00851B85">
        <w:rPr>
          <w:sz w:val="16"/>
          <w:szCs w:val="16"/>
        </w:rPr>
        <w:t xml:space="preserve"> Pôvodná metodika bola prezentovaná v Girouard, N., André, Ch. (2005): Measuring cyclically-adjusted budget balances for OECD countries. V roku 2014</w:t>
      </w:r>
      <w:r>
        <w:rPr>
          <w:sz w:val="16"/>
          <w:szCs w:val="16"/>
        </w:rPr>
        <w:t xml:space="preserve"> </w:t>
      </w:r>
      <w:r w:rsidRPr="00851B85">
        <w:rPr>
          <w:sz w:val="16"/>
          <w:szCs w:val="16"/>
        </w:rPr>
        <w:t>prebehol proces aktualizácie metodiky a zahrnutia nových údajov pre výpočet elasticít. Metodika bola schválená členskými štátmi v septembri 2014.</w:t>
      </w:r>
    </w:p>
  </w:footnote>
  <w:footnote w:id="83">
    <w:p w14:paraId="1D54D18F" w14:textId="77777777" w:rsidR="00003F14" w:rsidRPr="00605148" w:rsidRDefault="00003F14" w:rsidP="00D37A31">
      <w:pPr>
        <w:jc w:val="both"/>
        <w:rPr>
          <w:sz w:val="16"/>
          <w:szCs w:val="16"/>
        </w:rPr>
      </w:pPr>
      <w:r w:rsidRPr="00605148">
        <w:rPr>
          <w:rStyle w:val="Odkaznapoznmkupodiarou"/>
          <w:sz w:val="16"/>
          <w:szCs w:val="16"/>
        </w:rPr>
        <w:footnoteRef/>
      </w:r>
      <w:r w:rsidRPr="00605148">
        <w:rPr>
          <w:sz w:val="16"/>
          <w:szCs w:val="16"/>
        </w:rPr>
        <w:t xml:space="preserve"> </w:t>
      </w:r>
      <w:r w:rsidRPr="00605148">
        <w:rPr>
          <w:rFonts w:cs="Times New Roman"/>
          <w:sz w:val="16"/>
          <w:szCs w:val="16"/>
        </w:rPr>
        <w:t>Metodika Európskej komisie (EK)</w:t>
      </w:r>
      <w:r w:rsidRPr="00352162">
        <w:rPr>
          <w:rStyle w:val="Odkaznapoznmkupodiarou"/>
          <w:sz w:val="16"/>
          <w:szCs w:val="16"/>
          <w:lang w:val="sk-SK"/>
        </w:rPr>
        <w:t xml:space="preserve"> </w:t>
      </w:r>
      <w:r w:rsidRPr="00605148">
        <w:rPr>
          <w:rFonts w:cs="Times New Roman"/>
          <w:sz w:val="16"/>
          <w:szCs w:val="16"/>
        </w:rPr>
        <w:t xml:space="preserve">charakterizuje jednorazové opatrenie ako dočasné opatrenie, ktoré nemá trvalý charakter a vzniklo nezávisle od vládnych rozhodnutí. EK vytvorila direktíva postupu klasifikácie jednorazových opatrení - </w:t>
      </w:r>
      <w:hyperlink r:id="rId16" w:history="1">
        <w:r w:rsidRPr="00605148">
          <w:rPr>
            <w:rStyle w:val="Hypertextovprepojenie"/>
            <w:color w:val="2C9ADC" w:themeColor="accent1"/>
            <w:sz w:val="16"/>
            <w:szCs w:val="16"/>
          </w:rPr>
          <w:t>Vade Mecum on the Stability and Growth Pact – 2018 Edition – Guiding principles str.28</w:t>
        </w:r>
      </w:hyperlink>
      <w:r w:rsidRPr="00605148">
        <w:rPr>
          <w:rStyle w:val="Hypertextovprepojenie"/>
          <w:color w:val="2C9ADC" w:themeColor="accent1"/>
          <w:sz w:val="16"/>
          <w:szCs w:val="16"/>
        </w:rPr>
        <w:t>.</w:t>
      </w:r>
    </w:p>
  </w:footnote>
  <w:footnote w:id="84">
    <w:p w14:paraId="59F82953" w14:textId="77777777" w:rsidR="00003F14" w:rsidRPr="00381915" w:rsidRDefault="00003F14" w:rsidP="00D37A31">
      <w:pPr>
        <w:pStyle w:val="Textpoznmkypodiarou"/>
        <w:jc w:val="both"/>
        <w:rPr>
          <w:sz w:val="16"/>
          <w:szCs w:val="16"/>
        </w:rPr>
      </w:pPr>
      <w:r w:rsidRPr="00381915">
        <w:rPr>
          <w:rStyle w:val="Odkaznapoznmkupodiarou"/>
          <w:sz w:val="16"/>
          <w:szCs w:val="16"/>
        </w:rPr>
        <w:footnoteRef/>
      </w:r>
      <w:r w:rsidRPr="00381915">
        <w:rPr>
          <w:sz w:val="16"/>
          <w:szCs w:val="16"/>
        </w:rPr>
        <w:t xml:space="preserve"> </w:t>
      </w:r>
      <w:r w:rsidRPr="00381915">
        <w:rPr>
          <w:rFonts w:cs="Times New Roman"/>
          <w:sz w:val="16"/>
          <w:szCs w:val="16"/>
        </w:rPr>
        <w:t>Všetky typické jednorazové opatrenia sú popísané v 2015 Report of Public Finances in EMU</w:t>
      </w:r>
      <w:r w:rsidRPr="00381915">
        <w:rPr>
          <w:rStyle w:val="Odkaznapoznmkupodiarou"/>
          <w:sz w:val="16"/>
          <w:szCs w:val="16"/>
        </w:rPr>
        <w:footnoteRef/>
      </w:r>
      <w:r w:rsidRPr="00381915">
        <w:rPr>
          <w:rFonts w:cs="Times New Roman"/>
          <w:sz w:val="16"/>
          <w:szCs w:val="16"/>
        </w:rPr>
        <w:t>, kapitola 3.3. EK navyše určila špecifické výnimky a postupy k nim, kedy sa za jednorazové opatrenie môže považovať aj vplyv, ktorý narušuje vyššie uvedené princípy, tieto prípady sú rovnako uvedené v danej kapitole.</w:t>
      </w:r>
    </w:p>
  </w:footnote>
  <w:footnote w:id="85">
    <w:p w14:paraId="1F3CBFD7" w14:textId="5616C50A" w:rsidR="00003F14" w:rsidRPr="00265FD8" w:rsidRDefault="00003F14" w:rsidP="00475EA2">
      <w:pPr>
        <w:pStyle w:val="Textpoznmkypodiarou"/>
        <w:ind w:left="170" w:hanging="170"/>
        <w:jc w:val="both"/>
        <w:rPr>
          <w:sz w:val="16"/>
          <w:szCs w:val="16"/>
        </w:rPr>
      </w:pPr>
      <w:r w:rsidRPr="00265FD8">
        <w:rPr>
          <w:rStyle w:val="Odkaznapoznmkupodiarou"/>
          <w:sz w:val="16"/>
          <w:szCs w:val="16"/>
        </w:rPr>
        <w:footnoteRef/>
      </w:r>
      <w:r w:rsidRPr="00265FD8">
        <w:rPr>
          <w:sz w:val="16"/>
          <w:szCs w:val="16"/>
        </w:rPr>
        <w:t xml:space="preserve"> Tzv. diskrečné príjmové opatrenia predstavujú dodatočné medziročné </w:t>
      </w:r>
      <w:r>
        <w:rPr>
          <w:sz w:val="16"/>
          <w:szCs w:val="16"/>
        </w:rPr>
        <w:t xml:space="preserve">rozpočtové </w:t>
      </w:r>
      <w:r w:rsidRPr="00265FD8">
        <w:rPr>
          <w:sz w:val="16"/>
          <w:szCs w:val="16"/>
        </w:rPr>
        <w:t xml:space="preserve">vplyvy </w:t>
      </w:r>
      <w:r>
        <w:rPr>
          <w:sz w:val="16"/>
          <w:szCs w:val="16"/>
        </w:rPr>
        <w:t>príjmových opatrení.</w:t>
      </w:r>
    </w:p>
  </w:footnote>
  <w:footnote w:id="86">
    <w:p w14:paraId="78984AFB" w14:textId="35AED3CF" w:rsidR="00003F14" w:rsidRPr="00CD533E" w:rsidRDefault="00003F14" w:rsidP="00475EA2">
      <w:pPr>
        <w:pStyle w:val="Textpoznmkypodiarou"/>
        <w:jc w:val="both"/>
        <w:rPr>
          <w:sz w:val="16"/>
          <w:szCs w:val="16"/>
        </w:rPr>
      </w:pPr>
      <w:r w:rsidRPr="00265FD8">
        <w:rPr>
          <w:rStyle w:val="Odkaznapoznmkupodiarou"/>
          <w:sz w:val="16"/>
          <w:szCs w:val="16"/>
        </w:rPr>
        <w:footnoteRef/>
      </w:r>
      <w:r w:rsidRPr="00265FD8">
        <w:rPr>
          <w:sz w:val="16"/>
          <w:szCs w:val="16"/>
        </w:rPr>
        <w:t xml:space="preserve"> Potenciál ekonomiky sa vyjadruje referenčnou miero</w:t>
      </w:r>
      <w:r>
        <w:rPr>
          <w:sz w:val="16"/>
          <w:szCs w:val="16"/>
        </w:rPr>
        <w:t>u</w:t>
      </w:r>
      <w:r w:rsidRPr="00265FD8">
        <w:rPr>
          <w:sz w:val="16"/>
          <w:szCs w:val="16"/>
        </w:rPr>
        <w:t xml:space="preserve"> rastu výdavkov, vypočítaný ako 10-ročný priemer </w:t>
      </w:r>
      <w:r w:rsidRPr="009B1FA2">
        <w:rPr>
          <w:sz w:val="16"/>
          <w:szCs w:val="16"/>
        </w:rPr>
        <w:t xml:space="preserve">potenciálneho rastu (v rokoch t-5 </w:t>
      </w:r>
      <w:r w:rsidRPr="00216C89">
        <w:rPr>
          <w:sz w:val="16"/>
          <w:szCs w:val="16"/>
        </w:rPr>
        <w:t>až t+4).</w:t>
      </w:r>
      <w:r w:rsidRPr="007942C1">
        <w:rPr>
          <w:sz w:val="16"/>
          <w:szCs w:val="16"/>
        </w:rPr>
        <w:t xml:space="preserve"> Takéto tempo by malo zabezpečiť stabilizáciu úrovne salda VS.</w:t>
      </w:r>
      <w:r w:rsidRPr="007942C1">
        <w:rPr>
          <w:rFonts w:cs="Arial Narrow"/>
          <w:sz w:val="16"/>
          <w:szCs w:val="16"/>
        </w:rPr>
        <w:t xml:space="preserve"> V prípade, že krajina ešte nedosiahla svoj MTO, rast výdavkov musí zohľadniť aj potrebu postupnej konvergencie k tomuto cieľu. V takomto prípade sa výdavkové pravidlo v jednotlivých rokoch upravuje o tzv. konvergenčnú mieru, ktorá sa odvíja od požadovaného konsolidačného </w:t>
      </w:r>
      <w:r>
        <w:rPr>
          <w:rFonts w:cs="Arial Narrow"/>
          <w:sz w:val="16"/>
          <w:szCs w:val="16"/>
        </w:rPr>
        <w:t>úsilia štrukturálneho salda.</w:t>
      </w:r>
    </w:p>
  </w:footnote>
  <w:footnote w:id="87">
    <w:p w14:paraId="05818203" w14:textId="77777777" w:rsidR="00003F14" w:rsidRPr="00A552ED" w:rsidRDefault="00003F14" w:rsidP="00475EA2">
      <w:pPr>
        <w:pStyle w:val="Textpoznmkypodiarou"/>
        <w:jc w:val="both"/>
        <w:rPr>
          <w:sz w:val="16"/>
          <w:szCs w:val="16"/>
        </w:rPr>
      </w:pPr>
      <w:r w:rsidRPr="00CD533E">
        <w:rPr>
          <w:rStyle w:val="Odkaznapoznmkupodiarou"/>
          <w:sz w:val="16"/>
          <w:szCs w:val="16"/>
        </w:rPr>
        <w:footnoteRef/>
      </w:r>
      <w:r w:rsidRPr="00CD533E">
        <w:rPr>
          <w:sz w:val="16"/>
          <w:szCs w:val="16"/>
        </w:rPr>
        <w:t xml:space="preserve"> </w:t>
      </w:r>
      <w:r w:rsidRPr="00A552ED">
        <w:rPr>
          <w:rFonts w:cs="Arial Narrow"/>
          <w:sz w:val="16"/>
          <w:szCs w:val="16"/>
        </w:rPr>
        <w:t>Predpokladá sa jednotková elasticita výberu daní voči rastu HDP.</w:t>
      </w:r>
    </w:p>
  </w:footnote>
  <w:footnote w:id="88">
    <w:p w14:paraId="28F4F0BF" w14:textId="62BC62B7" w:rsidR="00003F14" w:rsidRPr="00966014" w:rsidRDefault="00003F14" w:rsidP="00475EA2">
      <w:pPr>
        <w:pStyle w:val="Textpoznmkypodiarou"/>
        <w:jc w:val="both"/>
        <w:rPr>
          <w:sz w:val="16"/>
          <w:szCs w:val="16"/>
        </w:rPr>
      </w:pPr>
      <w:r w:rsidRPr="00966014">
        <w:rPr>
          <w:rStyle w:val="Odkaznapoznmkupodiarou"/>
          <w:sz w:val="16"/>
          <w:szCs w:val="16"/>
        </w:rPr>
        <w:footnoteRef/>
      </w:r>
      <w:r w:rsidRPr="00966014">
        <w:rPr>
          <w:sz w:val="16"/>
          <w:szCs w:val="16"/>
        </w:rPr>
        <w:t xml:space="preserve"> Sú zarátané všetky vplyvy na výdavkovej ako aj príjmovej strane.</w:t>
      </w:r>
    </w:p>
  </w:footnote>
  <w:footnote w:id="89">
    <w:p w14:paraId="03262487" w14:textId="77777777" w:rsidR="00003F14" w:rsidRPr="00986BBB" w:rsidRDefault="00003F14" w:rsidP="00D37A31">
      <w:pPr>
        <w:pStyle w:val="Textpoznmkypodiarou"/>
        <w:rPr>
          <w:sz w:val="16"/>
          <w:szCs w:val="16"/>
        </w:rPr>
      </w:pPr>
      <w:r w:rsidRPr="00986BBB">
        <w:rPr>
          <w:rStyle w:val="Odkaznapoznmkupodiarou"/>
          <w:sz w:val="16"/>
          <w:szCs w:val="16"/>
        </w:rPr>
        <w:footnoteRef/>
      </w:r>
      <w:r w:rsidRPr="00986BBB">
        <w:rPr>
          <w:sz w:val="16"/>
          <w:szCs w:val="16"/>
        </w:rPr>
        <w:t xml:space="preserve"> Nasledovný príklad ilustruje vplyv marginálnych zmien. Celkový vplyv opatrenia je 200. Keďže je zavedené v polovici roka ma vplyv v danom roku 100. V ďalšom roku narastie vplyv na celú sumu 200, ale marginálne sa zaznamená len rozdiel týchto dvoch vplyvov, t.j. 100. Kumulatívne je celkový vplyv 200, len je rozložený do dvoch rokov.</w:t>
      </w:r>
    </w:p>
  </w:footnote>
  <w:footnote w:id="90">
    <w:p w14:paraId="6953F627" w14:textId="77777777" w:rsidR="00003F14" w:rsidRPr="00874145" w:rsidRDefault="00003F14" w:rsidP="00D37A31">
      <w:pPr>
        <w:pStyle w:val="Textpoznmkypodiarou"/>
        <w:jc w:val="both"/>
        <w:rPr>
          <w:sz w:val="16"/>
          <w:szCs w:val="16"/>
        </w:rPr>
      </w:pPr>
      <w:r w:rsidRPr="00874145">
        <w:rPr>
          <w:rStyle w:val="Odkaznapoznmkupodiarou"/>
          <w:sz w:val="16"/>
          <w:szCs w:val="16"/>
        </w:rPr>
        <w:footnoteRef/>
      </w:r>
      <w:r w:rsidRPr="00874145">
        <w:rPr>
          <w:sz w:val="16"/>
          <w:szCs w:val="16"/>
        </w:rPr>
        <w:t xml:space="preserve"> Celkový vplyv príjmov do II. piliera na hodnoten</w:t>
      </w:r>
      <w:r>
        <w:rPr>
          <w:sz w:val="16"/>
          <w:szCs w:val="16"/>
        </w:rPr>
        <w:t>ie udržateľnosti je do roku 2034</w:t>
      </w:r>
      <w:r w:rsidRPr="00874145">
        <w:rPr>
          <w:sz w:val="16"/>
          <w:szCs w:val="16"/>
        </w:rPr>
        <w:t xml:space="preserve"> mierne negatívny. V dlhodobom horizonte sa prejavuje mierne pozitívne. MF SR považuje tento prístup za správnejší, pretože zmeny kapitalizačných systémov majú vplyv nielen na výdavky aj príjmy dôchodkového systému.</w:t>
      </w:r>
    </w:p>
  </w:footnote>
  <w:footnote w:id="91">
    <w:p w14:paraId="55172F54" w14:textId="77777777" w:rsidR="00003F14" w:rsidRPr="009927C6" w:rsidRDefault="00003F14" w:rsidP="00D37A31">
      <w:pPr>
        <w:pStyle w:val="Textpoznmkypodiarou"/>
        <w:jc w:val="both"/>
        <w:rPr>
          <w:sz w:val="16"/>
          <w:szCs w:val="16"/>
        </w:rPr>
      </w:pPr>
      <w:r w:rsidRPr="009927C6">
        <w:rPr>
          <w:rStyle w:val="Odkaznapoznmkupodiarou"/>
          <w:sz w:val="16"/>
          <w:szCs w:val="16"/>
        </w:rPr>
        <w:footnoteRef/>
      </w:r>
      <w:r w:rsidRPr="009927C6">
        <w:rPr>
          <w:sz w:val="16"/>
          <w:szCs w:val="16"/>
        </w:rPr>
        <w:t xml:space="preserve"> Ide o tzv. „AWG rizikový scenár“, pri ktorom EK kvantifikuje riziká nárastu výdavkov na zdravotnú a dlhodobú starostlivosť vyplývajúce z nedemografických faktorov. Citlivosť výdavkov súvisiacich so starnutím na nedemografické faktory zvýrazňujú náklady na zdravotnú a dlhodobú starostlivosť nad rámec očakávaní z čisto demografických dôvodov. Tlak na rast týchto výdavkov je zvyčajne spojený s technologickými zmenami (napr. vývojom nových liekov a liečebných postupov) a inštitucionálnymi faktormi (napr. rozšírenie pokrytia zdravotnou starostlivosťou).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C97CB" w14:textId="77777777" w:rsidR="00003F14" w:rsidRDefault="00003F14" w:rsidP="00CA5604">
    <w:pPr>
      <w:pStyle w:val="Hlavika"/>
      <w:tabs>
        <w:tab w:val="clear" w:pos="9072"/>
        <w:tab w:val="right" w:pos="9540"/>
      </w:tabs>
      <w:rPr>
        <w:rFonts w:cs="Arial Narrow"/>
        <w:b/>
        <w:bCs/>
      </w:rPr>
    </w:pPr>
  </w:p>
  <w:p w14:paraId="586818A4" w14:textId="77777777" w:rsidR="00003F14" w:rsidRPr="009C03E3" w:rsidRDefault="00003F14" w:rsidP="00CA5604">
    <w:pPr>
      <w:pStyle w:val="Hlavika"/>
      <w:tabs>
        <w:tab w:val="clear" w:pos="9072"/>
        <w:tab w:val="right" w:pos="9540"/>
      </w:tabs>
      <w:rPr>
        <w:rFonts w:cs="Arial Narrow"/>
        <w:b/>
        <w:bCs/>
      </w:rPr>
    </w:pPr>
  </w:p>
  <w:p w14:paraId="2C8639E0" w14:textId="77777777" w:rsidR="00003F14" w:rsidRPr="00F46CC1" w:rsidRDefault="00003F14" w:rsidP="00CA5604">
    <w:pPr>
      <w:pStyle w:val="Hlavika"/>
      <w:tabs>
        <w:tab w:val="clear" w:pos="9072"/>
        <w:tab w:val="left" w:pos="567"/>
        <w:tab w:val="left" w:pos="6660"/>
      </w:tabs>
      <w:rPr>
        <w:rFonts w:cs="Arial Narrow"/>
        <w:b/>
        <w:bCs/>
        <w:color w:val="7F7F7F" w:themeColor="text1" w:themeTint="80"/>
      </w:rPr>
    </w:pPr>
    <w:r w:rsidRPr="003A6131">
      <w:rPr>
        <w:rFonts w:cs="Arial Narrow"/>
        <w:b/>
        <w:bCs/>
        <w:color w:val="7F7F7F" w:themeColor="text1" w:themeTint="80"/>
      </w:rPr>
      <w:t xml:space="preserve">      </w:t>
    </w:r>
    <w:r w:rsidRPr="003A6131">
      <w:rPr>
        <w:noProof/>
        <w:color w:val="7F7F7F" w:themeColor="text1" w:themeTint="80"/>
        <w:lang w:eastAsia="sk-SK"/>
      </w:rPr>
      <w:drawing>
        <wp:anchor distT="0" distB="0" distL="114300" distR="114300" simplePos="0" relativeHeight="251649024" behindDoc="0" locked="1" layoutInCell="1" allowOverlap="0" wp14:anchorId="0E5369C2" wp14:editId="310CF512">
          <wp:simplePos x="0" y="0"/>
          <wp:positionH relativeFrom="column">
            <wp:posOffset>-8255</wp:posOffset>
          </wp:positionH>
          <wp:positionV relativeFrom="paragraph">
            <wp:posOffset>-10160</wp:posOffset>
          </wp:positionV>
          <wp:extent cx="318770" cy="375285"/>
          <wp:effectExtent l="0" t="0" r="5080" b="5715"/>
          <wp:wrapNone/>
          <wp:docPr id="3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
                  <a:srcRect/>
                  <a:stretch>
                    <a:fillRect/>
                  </a:stretch>
                </pic:blipFill>
                <pic:spPr bwMode="auto">
                  <a:xfrm>
                    <a:off x="0" y="0"/>
                    <a:ext cx="318770" cy="375285"/>
                  </a:xfrm>
                  <a:prstGeom prst="rect">
                    <a:avLst/>
                  </a:prstGeom>
                  <a:noFill/>
                  <a:ln w="9525">
                    <a:noFill/>
                    <a:miter lim="800000"/>
                    <a:headEnd/>
                    <a:tailEnd/>
                  </a:ln>
                </pic:spPr>
              </pic:pic>
            </a:graphicData>
          </a:graphic>
        </wp:anchor>
      </w:drawing>
    </w:r>
    <w:r w:rsidRPr="003A6131">
      <w:rPr>
        <w:rFonts w:cs="Arial Narrow"/>
        <w:b/>
        <w:bCs/>
        <w:color w:val="7F7F7F" w:themeColor="text1" w:themeTint="80"/>
      </w:rPr>
      <w:t xml:space="preserve">      </w:t>
    </w:r>
    <w:r w:rsidRPr="00F46CC1">
      <w:rPr>
        <w:rFonts w:cs="Arial Narrow"/>
        <w:b/>
        <w:bCs/>
        <w:color w:val="7F7F7F" w:themeColor="text1" w:themeTint="80"/>
        <w:spacing w:val="6"/>
      </w:rPr>
      <w:t>Ministerstvo financií</w:t>
    </w:r>
  </w:p>
  <w:p w14:paraId="3467083D" w14:textId="77777777" w:rsidR="00003F14" w:rsidRPr="00F46CC1" w:rsidRDefault="00003F14" w:rsidP="00CA5604">
    <w:pPr>
      <w:pStyle w:val="Hlavika"/>
      <w:tabs>
        <w:tab w:val="clear" w:pos="9072"/>
        <w:tab w:val="left" w:pos="567"/>
        <w:tab w:val="left" w:pos="6660"/>
      </w:tabs>
      <w:rPr>
        <w:rFonts w:cs="Arial Narrow"/>
        <w:b/>
        <w:bCs/>
        <w:color w:val="7F7F7F" w:themeColor="text1" w:themeTint="80"/>
      </w:rPr>
    </w:pPr>
    <w:r w:rsidRPr="00F46CC1">
      <w:rPr>
        <w:rFonts w:cs="Arial Narrow"/>
        <w:b/>
        <w:bCs/>
        <w:color w:val="7F7F7F" w:themeColor="text1" w:themeTint="80"/>
      </w:rPr>
      <w:t xml:space="preserve">            Slovenskej republiky</w:t>
    </w:r>
  </w:p>
  <w:p w14:paraId="6FB3D909" w14:textId="77777777" w:rsidR="00003F14" w:rsidRPr="009C03E3" w:rsidRDefault="00003F14" w:rsidP="00CA5604">
    <w:pPr>
      <w:pStyle w:val="Hlavika"/>
      <w:rPr>
        <w:rFonts w:cs="Arial Narrow"/>
      </w:rPr>
    </w:pPr>
    <w:r>
      <w:rPr>
        <w:noProof/>
        <w:lang w:eastAsia="sk-SK"/>
      </w:rPr>
      <mc:AlternateContent>
        <mc:Choice Requires="wps">
          <w:drawing>
            <wp:anchor distT="4294967291" distB="4294967291" distL="114300" distR="114300" simplePos="0" relativeHeight="251657216" behindDoc="0" locked="1" layoutInCell="1" allowOverlap="1" wp14:anchorId="592272DA" wp14:editId="199D01B2">
              <wp:simplePos x="0" y="0"/>
              <wp:positionH relativeFrom="column">
                <wp:posOffset>0</wp:posOffset>
              </wp:positionH>
              <wp:positionV relativeFrom="paragraph">
                <wp:posOffset>108584</wp:posOffset>
              </wp:positionV>
              <wp:extent cx="5715000" cy="0"/>
              <wp:effectExtent l="0" t="0" r="19050" b="19050"/>
              <wp:wrapNone/>
              <wp:docPr id="6"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03833A" id="Rovná spojnica 11"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55pt" to="45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" strokecolor="gray [1629]">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0FC65" w14:textId="77777777" w:rsidR="00003F14" w:rsidRPr="009C03E3" w:rsidRDefault="00003F14" w:rsidP="00663B80">
    <w:pPr>
      <w:pStyle w:val="Hlavika"/>
      <w:tabs>
        <w:tab w:val="clear" w:pos="9072"/>
        <w:tab w:val="right" w:pos="9540"/>
      </w:tabs>
      <w:rPr>
        <w:rFonts w:cs="Arial Narrow"/>
        <w:b/>
        <w:bCs/>
      </w:rPr>
    </w:pPr>
  </w:p>
  <w:p w14:paraId="16DF7AE5" w14:textId="77777777" w:rsidR="00003F14" w:rsidRPr="009C03E3" w:rsidRDefault="00003F14" w:rsidP="00663B80">
    <w:pPr>
      <w:pStyle w:val="Hlavika"/>
      <w:tabs>
        <w:tab w:val="clear" w:pos="9072"/>
        <w:tab w:val="right" w:pos="9540"/>
      </w:tabs>
      <w:rPr>
        <w:rFonts w:cs="Arial Narrow"/>
        <w:b/>
        <w:bCs/>
      </w:rPr>
    </w:pPr>
  </w:p>
  <w:p w14:paraId="167A729E" w14:textId="77777777" w:rsidR="00003F14" w:rsidRPr="009C03E3" w:rsidRDefault="00003F14" w:rsidP="00CA5604">
    <w:pPr>
      <w:pStyle w:val="Hlavika"/>
      <w:tabs>
        <w:tab w:val="clear" w:pos="9072"/>
        <w:tab w:val="left" w:pos="567"/>
        <w:tab w:val="left" w:pos="6660"/>
      </w:tabs>
      <w:rPr>
        <w:rFonts w:cs="Arial Narrow"/>
        <w:b/>
        <w:bCs/>
      </w:rPr>
    </w:pPr>
    <w:r w:rsidRPr="009C03E3">
      <w:rPr>
        <w:rFonts w:cs="Arial Narrow"/>
        <w:b/>
        <w:bCs/>
      </w:rPr>
      <w:t xml:space="preserve">            </w:t>
    </w:r>
  </w:p>
  <w:p w14:paraId="728BDF8D" w14:textId="77777777" w:rsidR="00003F14" w:rsidRPr="009C03E3" w:rsidRDefault="00003F14" w:rsidP="00663B80">
    <w:pPr>
      <w:pStyle w:val="Hlavika"/>
      <w:rPr>
        <w:rFonts w:cs="Arial Narr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3805"/>
    <w:multiLevelType w:val="hybridMultilevel"/>
    <w:tmpl w:val="92B0DD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4CB06B8"/>
    <w:multiLevelType w:val="hybridMultilevel"/>
    <w:tmpl w:val="0B2C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B5C57"/>
    <w:multiLevelType w:val="hybridMultilevel"/>
    <w:tmpl w:val="8140D874"/>
    <w:lvl w:ilvl="0" w:tplc="AA60D832">
      <w:start w:val="1"/>
      <w:numFmt w:val="bullet"/>
      <w:lvlText w:val=""/>
      <w:lvlJc w:val="left"/>
      <w:pPr>
        <w:ind w:left="720" w:hanging="360"/>
      </w:pPr>
      <w:rPr>
        <w:rFonts w:ascii="Symbol" w:hAnsi="Symbol" w:hint="default"/>
        <w:color w:val="2C9ADC"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B11308E"/>
    <w:multiLevelType w:val="hybridMultilevel"/>
    <w:tmpl w:val="CE1E0A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321648"/>
    <w:multiLevelType w:val="hybridMultilevel"/>
    <w:tmpl w:val="D478B2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7F129DC"/>
    <w:multiLevelType w:val="hybridMultilevel"/>
    <w:tmpl w:val="2438D228"/>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6" w15:restartNumberingAfterBreak="0">
    <w:nsid w:val="1A597AA8"/>
    <w:multiLevelType w:val="hybridMultilevel"/>
    <w:tmpl w:val="BCBCFFC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273D7C33"/>
    <w:multiLevelType w:val="hybridMultilevel"/>
    <w:tmpl w:val="350C6802"/>
    <w:lvl w:ilvl="0" w:tplc="AA60D832">
      <w:start w:val="1"/>
      <w:numFmt w:val="bullet"/>
      <w:lvlText w:val=""/>
      <w:lvlJc w:val="left"/>
      <w:pPr>
        <w:ind w:left="720" w:hanging="360"/>
      </w:pPr>
      <w:rPr>
        <w:rFonts w:ascii="Symbol" w:hAnsi="Symbol" w:hint="default"/>
        <w:color w:val="2C9ADC"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1B94882"/>
    <w:multiLevelType w:val="hybridMultilevel"/>
    <w:tmpl w:val="A984A076"/>
    <w:lvl w:ilvl="0" w:tplc="3EC45408">
      <w:start w:val="1"/>
      <w:numFmt w:val="bullet"/>
      <w:lvlText w:val="•"/>
      <w:lvlJc w:val="left"/>
      <w:pPr>
        <w:tabs>
          <w:tab w:val="num" w:pos="720"/>
        </w:tabs>
        <w:ind w:left="720" w:hanging="360"/>
      </w:pPr>
      <w:rPr>
        <w:rFonts w:ascii="Arial" w:hAnsi="Arial" w:hint="default"/>
      </w:rPr>
    </w:lvl>
    <w:lvl w:ilvl="1" w:tplc="2A4271CA">
      <w:start w:val="1"/>
      <w:numFmt w:val="bullet"/>
      <w:lvlText w:val="•"/>
      <w:lvlJc w:val="left"/>
      <w:pPr>
        <w:tabs>
          <w:tab w:val="num" w:pos="1440"/>
        </w:tabs>
        <w:ind w:left="1440" w:hanging="360"/>
      </w:pPr>
      <w:rPr>
        <w:rFonts w:ascii="Arial" w:hAnsi="Arial" w:hint="default"/>
      </w:rPr>
    </w:lvl>
    <w:lvl w:ilvl="2" w:tplc="AAB4688E" w:tentative="1">
      <w:start w:val="1"/>
      <w:numFmt w:val="bullet"/>
      <w:lvlText w:val="•"/>
      <w:lvlJc w:val="left"/>
      <w:pPr>
        <w:tabs>
          <w:tab w:val="num" w:pos="2160"/>
        </w:tabs>
        <w:ind w:left="2160" w:hanging="360"/>
      </w:pPr>
      <w:rPr>
        <w:rFonts w:ascii="Arial" w:hAnsi="Arial" w:hint="default"/>
      </w:rPr>
    </w:lvl>
    <w:lvl w:ilvl="3" w:tplc="8E909E28" w:tentative="1">
      <w:start w:val="1"/>
      <w:numFmt w:val="bullet"/>
      <w:lvlText w:val="•"/>
      <w:lvlJc w:val="left"/>
      <w:pPr>
        <w:tabs>
          <w:tab w:val="num" w:pos="2880"/>
        </w:tabs>
        <w:ind w:left="2880" w:hanging="360"/>
      </w:pPr>
      <w:rPr>
        <w:rFonts w:ascii="Arial" w:hAnsi="Arial" w:hint="default"/>
      </w:rPr>
    </w:lvl>
    <w:lvl w:ilvl="4" w:tplc="D548D484" w:tentative="1">
      <w:start w:val="1"/>
      <w:numFmt w:val="bullet"/>
      <w:lvlText w:val="•"/>
      <w:lvlJc w:val="left"/>
      <w:pPr>
        <w:tabs>
          <w:tab w:val="num" w:pos="3600"/>
        </w:tabs>
        <w:ind w:left="3600" w:hanging="360"/>
      </w:pPr>
      <w:rPr>
        <w:rFonts w:ascii="Arial" w:hAnsi="Arial" w:hint="default"/>
      </w:rPr>
    </w:lvl>
    <w:lvl w:ilvl="5" w:tplc="697AFDBC" w:tentative="1">
      <w:start w:val="1"/>
      <w:numFmt w:val="bullet"/>
      <w:lvlText w:val="•"/>
      <w:lvlJc w:val="left"/>
      <w:pPr>
        <w:tabs>
          <w:tab w:val="num" w:pos="4320"/>
        </w:tabs>
        <w:ind w:left="4320" w:hanging="360"/>
      </w:pPr>
      <w:rPr>
        <w:rFonts w:ascii="Arial" w:hAnsi="Arial" w:hint="default"/>
      </w:rPr>
    </w:lvl>
    <w:lvl w:ilvl="6" w:tplc="E34EA586" w:tentative="1">
      <w:start w:val="1"/>
      <w:numFmt w:val="bullet"/>
      <w:lvlText w:val="•"/>
      <w:lvlJc w:val="left"/>
      <w:pPr>
        <w:tabs>
          <w:tab w:val="num" w:pos="5040"/>
        </w:tabs>
        <w:ind w:left="5040" w:hanging="360"/>
      </w:pPr>
      <w:rPr>
        <w:rFonts w:ascii="Arial" w:hAnsi="Arial" w:hint="default"/>
      </w:rPr>
    </w:lvl>
    <w:lvl w:ilvl="7" w:tplc="B78AB158" w:tentative="1">
      <w:start w:val="1"/>
      <w:numFmt w:val="bullet"/>
      <w:lvlText w:val="•"/>
      <w:lvlJc w:val="left"/>
      <w:pPr>
        <w:tabs>
          <w:tab w:val="num" w:pos="5760"/>
        </w:tabs>
        <w:ind w:left="5760" w:hanging="360"/>
      </w:pPr>
      <w:rPr>
        <w:rFonts w:ascii="Arial" w:hAnsi="Arial" w:hint="default"/>
      </w:rPr>
    </w:lvl>
    <w:lvl w:ilvl="8" w:tplc="EE70D0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D2112F"/>
    <w:multiLevelType w:val="hybridMultilevel"/>
    <w:tmpl w:val="13A401CE"/>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C81587C"/>
    <w:multiLevelType w:val="hybridMultilevel"/>
    <w:tmpl w:val="B332FB02"/>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F974367"/>
    <w:multiLevelType w:val="hybridMultilevel"/>
    <w:tmpl w:val="8E6A033E"/>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05A73DD"/>
    <w:multiLevelType w:val="hybridMultilevel"/>
    <w:tmpl w:val="AF54E0C0"/>
    <w:lvl w:ilvl="0" w:tplc="381AC794">
      <w:start w:val="1"/>
      <w:numFmt w:val="bullet"/>
      <w:lvlText w:val=""/>
      <w:lvlJc w:val="left"/>
      <w:pPr>
        <w:ind w:left="360" w:hanging="360"/>
      </w:pPr>
      <w:rPr>
        <w:rFonts w:ascii="Wingdings" w:hAnsi="Wingdings" w:hint="default"/>
        <w:color w:val="2C9ADC"/>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381AC794">
      <w:start w:val="1"/>
      <w:numFmt w:val="bullet"/>
      <w:lvlText w:val=""/>
      <w:lvlJc w:val="left"/>
      <w:pPr>
        <w:ind w:left="2520" w:hanging="360"/>
      </w:pPr>
      <w:rPr>
        <w:rFonts w:ascii="Wingdings" w:hAnsi="Wingdings" w:hint="default"/>
        <w:color w:val="2C9ADC"/>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21858C8"/>
    <w:multiLevelType w:val="hybridMultilevel"/>
    <w:tmpl w:val="AD5E77AE"/>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3137D84"/>
    <w:multiLevelType w:val="hybridMultilevel"/>
    <w:tmpl w:val="C2AE1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184EDD"/>
    <w:multiLevelType w:val="multilevel"/>
    <w:tmpl w:val="94C4D012"/>
    <w:lvl w:ilvl="0">
      <w:start w:val="1"/>
      <w:numFmt w:val="upperRoman"/>
      <w:lvlText w:val="%1."/>
      <w:lvlJc w:val="left"/>
      <w:pPr>
        <w:tabs>
          <w:tab w:val="num" w:pos="0"/>
        </w:tabs>
        <w:ind w:left="680" w:hanging="680"/>
      </w:pPr>
      <w:rPr>
        <w:rFonts w:ascii="Arial Narrow" w:hAnsi="Arial Narrow" w:cs="Arial Narrow" w:hint="default"/>
        <w:b/>
        <w:bCs/>
        <w:i w:val="0"/>
        <w:iCs w:val="0"/>
        <w:sz w:val="28"/>
        <w:szCs w:val="28"/>
      </w:rPr>
    </w:lvl>
    <w:lvl w:ilvl="1">
      <w:start w:val="1"/>
      <w:numFmt w:val="decimal"/>
      <w:pStyle w:val="NRP2uroven"/>
      <w:lvlText w:val="%1.%2."/>
      <w:lvlJc w:val="left"/>
      <w:pPr>
        <w:tabs>
          <w:tab w:val="num" w:pos="567"/>
        </w:tabs>
        <w:ind w:left="1304" w:hanging="1304"/>
      </w:pPr>
      <w:rPr>
        <w:rFonts w:ascii="Arial Narrow" w:hAnsi="Arial Narrow" w:cs="Arial Narrow" w:hint="default"/>
        <w:b/>
        <w:bCs/>
        <w:i w:val="0"/>
        <w:iCs w:val="0"/>
        <w:sz w:val="24"/>
        <w:szCs w:val="24"/>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4BAF4829"/>
    <w:multiLevelType w:val="hybridMultilevel"/>
    <w:tmpl w:val="3F809E52"/>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4BCC1150"/>
    <w:multiLevelType w:val="hybridMultilevel"/>
    <w:tmpl w:val="98FC6524"/>
    <w:lvl w:ilvl="0" w:tplc="540E1290">
      <w:start w:val="4"/>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BF82AEA"/>
    <w:multiLevelType w:val="hybridMultilevel"/>
    <w:tmpl w:val="0D36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4342D3"/>
    <w:multiLevelType w:val="multilevel"/>
    <w:tmpl w:val="611A84CA"/>
    <w:lvl w:ilvl="0">
      <w:start w:val="1"/>
      <w:numFmt w:val="decimal"/>
      <w:lvlText w:val="%1"/>
      <w:lvlJc w:val="left"/>
      <w:pPr>
        <w:ind w:left="720" w:hanging="720"/>
      </w:pPr>
      <w:rPr>
        <w:rFonts w:hint="default"/>
        <w:color w:val="2C9ADC"/>
      </w:rPr>
    </w:lvl>
    <w:lvl w:ilvl="1">
      <w:start w:val="1"/>
      <w:numFmt w:val="decimal"/>
      <w:lvlText w:val="%1.%2"/>
      <w:lvlJc w:val="left"/>
      <w:pPr>
        <w:ind w:left="720" w:hanging="720"/>
      </w:pPr>
      <w:rPr>
        <w:rFonts w:ascii="Arial Narrow" w:hAnsi="Arial Narrow" w:hint="default"/>
        <w:i w:val="0"/>
        <w:color w:val="2C9ADC"/>
        <w:sz w:val="24"/>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2C336C2"/>
    <w:multiLevelType w:val="hybridMultilevel"/>
    <w:tmpl w:val="DD326E52"/>
    <w:lvl w:ilvl="0" w:tplc="DC3204A0">
      <w:start w:val="1"/>
      <w:numFmt w:val="bullet"/>
      <w:lvlText w:val="•"/>
      <w:lvlJc w:val="left"/>
      <w:pPr>
        <w:tabs>
          <w:tab w:val="num" w:pos="720"/>
        </w:tabs>
        <w:ind w:left="720" w:hanging="360"/>
      </w:pPr>
      <w:rPr>
        <w:rFonts w:ascii="Arial" w:hAnsi="Arial" w:hint="default"/>
      </w:rPr>
    </w:lvl>
    <w:lvl w:ilvl="1" w:tplc="C67AD29C" w:tentative="1">
      <w:start w:val="1"/>
      <w:numFmt w:val="bullet"/>
      <w:lvlText w:val="•"/>
      <w:lvlJc w:val="left"/>
      <w:pPr>
        <w:tabs>
          <w:tab w:val="num" w:pos="1440"/>
        </w:tabs>
        <w:ind w:left="1440" w:hanging="360"/>
      </w:pPr>
      <w:rPr>
        <w:rFonts w:ascii="Arial" w:hAnsi="Arial" w:hint="default"/>
      </w:rPr>
    </w:lvl>
    <w:lvl w:ilvl="2" w:tplc="315E65A8">
      <w:start w:val="1"/>
      <w:numFmt w:val="bullet"/>
      <w:lvlText w:val="•"/>
      <w:lvlJc w:val="left"/>
      <w:pPr>
        <w:tabs>
          <w:tab w:val="num" w:pos="2160"/>
        </w:tabs>
        <w:ind w:left="2160" w:hanging="360"/>
      </w:pPr>
      <w:rPr>
        <w:rFonts w:ascii="Arial" w:hAnsi="Arial" w:hint="default"/>
      </w:rPr>
    </w:lvl>
    <w:lvl w:ilvl="3" w:tplc="32ECF274" w:tentative="1">
      <w:start w:val="1"/>
      <w:numFmt w:val="bullet"/>
      <w:lvlText w:val="•"/>
      <w:lvlJc w:val="left"/>
      <w:pPr>
        <w:tabs>
          <w:tab w:val="num" w:pos="2880"/>
        </w:tabs>
        <w:ind w:left="2880" w:hanging="360"/>
      </w:pPr>
      <w:rPr>
        <w:rFonts w:ascii="Arial" w:hAnsi="Arial" w:hint="default"/>
      </w:rPr>
    </w:lvl>
    <w:lvl w:ilvl="4" w:tplc="14821B3A" w:tentative="1">
      <w:start w:val="1"/>
      <w:numFmt w:val="bullet"/>
      <w:lvlText w:val="•"/>
      <w:lvlJc w:val="left"/>
      <w:pPr>
        <w:tabs>
          <w:tab w:val="num" w:pos="3600"/>
        </w:tabs>
        <w:ind w:left="3600" w:hanging="360"/>
      </w:pPr>
      <w:rPr>
        <w:rFonts w:ascii="Arial" w:hAnsi="Arial" w:hint="default"/>
      </w:rPr>
    </w:lvl>
    <w:lvl w:ilvl="5" w:tplc="06CC1C40" w:tentative="1">
      <w:start w:val="1"/>
      <w:numFmt w:val="bullet"/>
      <w:lvlText w:val="•"/>
      <w:lvlJc w:val="left"/>
      <w:pPr>
        <w:tabs>
          <w:tab w:val="num" w:pos="4320"/>
        </w:tabs>
        <w:ind w:left="4320" w:hanging="360"/>
      </w:pPr>
      <w:rPr>
        <w:rFonts w:ascii="Arial" w:hAnsi="Arial" w:hint="default"/>
      </w:rPr>
    </w:lvl>
    <w:lvl w:ilvl="6" w:tplc="282EEAC8" w:tentative="1">
      <w:start w:val="1"/>
      <w:numFmt w:val="bullet"/>
      <w:lvlText w:val="•"/>
      <w:lvlJc w:val="left"/>
      <w:pPr>
        <w:tabs>
          <w:tab w:val="num" w:pos="5040"/>
        </w:tabs>
        <w:ind w:left="5040" w:hanging="360"/>
      </w:pPr>
      <w:rPr>
        <w:rFonts w:ascii="Arial" w:hAnsi="Arial" w:hint="default"/>
      </w:rPr>
    </w:lvl>
    <w:lvl w:ilvl="7" w:tplc="90E0441C" w:tentative="1">
      <w:start w:val="1"/>
      <w:numFmt w:val="bullet"/>
      <w:lvlText w:val="•"/>
      <w:lvlJc w:val="left"/>
      <w:pPr>
        <w:tabs>
          <w:tab w:val="num" w:pos="5760"/>
        </w:tabs>
        <w:ind w:left="5760" w:hanging="360"/>
      </w:pPr>
      <w:rPr>
        <w:rFonts w:ascii="Arial" w:hAnsi="Arial" w:hint="default"/>
      </w:rPr>
    </w:lvl>
    <w:lvl w:ilvl="8" w:tplc="345C2D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33970C2"/>
    <w:multiLevelType w:val="hybridMultilevel"/>
    <w:tmpl w:val="813A3754"/>
    <w:lvl w:ilvl="0" w:tplc="7F38FE46">
      <w:start w:val="3"/>
      <w:numFmt w:val="bullet"/>
      <w:lvlText w:val="-"/>
      <w:lvlJc w:val="left"/>
      <w:pPr>
        <w:ind w:left="720" w:hanging="360"/>
      </w:pPr>
      <w:rPr>
        <w:rFonts w:ascii="Arial Narrow" w:eastAsia="Times New Roman" w:hAnsi="Arial Narrow" w:cs="Book Antiqua"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5B30C2E"/>
    <w:multiLevelType w:val="hybridMultilevel"/>
    <w:tmpl w:val="1452162E"/>
    <w:lvl w:ilvl="0" w:tplc="381AC794">
      <w:start w:val="1"/>
      <w:numFmt w:val="bullet"/>
      <w:lvlText w:val=""/>
      <w:lvlJc w:val="left"/>
      <w:pPr>
        <w:ind w:left="720" w:hanging="360"/>
      </w:pPr>
      <w:rPr>
        <w:rFonts w:ascii="Wingdings" w:hAnsi="Wingdings" w:hint="default"/>
        <w:color w:val="2C9AD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33C05"/>
    <w:multiLevelType w:val="hybridMultilevel"/>
    <w:tmpl w:val="ACE43A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7B60447"/>
    <w:multiLevelType w:val="hybridMultilevel"/>
    <w:tmpl w:val="79E237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E3824A6"/>
    <w:multiLevelType w:val="hybridMultilevel"/>
    <w:tmpl w:val="EB56EF0A"/>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F3B4F47"/>
    <w:multiLevelType w:val="hybridMultilevel"/>
    <w:tmpl w:val="417A412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15"/>
  </w:num>
  <w:num w:numId="2">
    <w:abstractNumId w:val="19"/>
  </w:num>
  <w:num w:numId="3">
    <w:abstractNumId w:val="6"/>
  </w:num>
  <w:num w:numId="4">
    <w:abstractNumId w:val="1"/>
  </w:num>
  <w:num w:numId="5">
    <w:abstractNumId w:val="26"/>
  </w:num>
  <w:num w:numId="6">
    <w:abstractNumId w:val="18"/>
  </w:num>
  <w:num w:numId="7">
    <w:abstractNumId w:val="14"/>
  </w:num>
  <w:num w:numId="8">
    <w:abstractNumId w:val="7"/>
  </w:num>
  <w:num w:numId="9">
    <w:abstractNumId w:val="16"/>
  </w:num>
  <w:num w:numId="10">
    <w:abstractNumId w:val="9"/>
  </w:num>
  <w:num w:numId="11">
    <w:abstractNumId w:val="17"/>
  </w:num>
  <w:num w:numId="12">
    <w:abstractNumId w:val="13"/>
  </w:num>
  <w:num w:numId="13">
    <w:abstractNumId w:val="2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3"/>
  </w:num>
  <w:num w:numId="17">
    <w:abstractNumId w:val="2"/>
  </w:num>
  <w:num w:numId="18">
    <w:abstractNumId w:val="10"/>
  </w:num>
  <w:num w:numId="19">
    <w:abstractNumId w:val="12"/>
  </w:num>
  <w:num w:numId="20">
    <w:abstractNumId w:val="11"/>
  </w:num>
  <w:num w:numId="21">
    <w:abstractNumId w:val="21"/>
  </w:num>
  <w:num w:numId="22">
    <w:abstractNumId w:val="24"/>
  </w:num>
  <w:num w:numId="23">
    <w:abstractNumId w:val="4"/>
  </w:num>
  <w:num w:numId="24">
    <w:abstractNumId w:val="3"/>
  </w:num>
  <w:num w:numId="25">
    <w:abstractNumId w:val="0"/>
  </w:num>
  <w:num w:numId="26">
    <w:abstractNumId w:val="20"/>
  </w:num>
  <w:num w:numId="27">
    <w:abstractNumId w:val="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hideSpellingErrors/>
  <w:hideGrammaticalErrors/>
  <w:defaultTabStop w:val="708"/>
  <w:hyphenationZone w:val="425"/>
  <w:drawingGridHorizontalSpacing w:val="110"/>
  <w:displayHorizontalDrawingGridEvery w:val="2"/>
  <w:characterSpacingControl w:val="doNotCompress"/>
  <w:hdrShapeDefaults>
    <o:shapedefaults v:ext="edit" spidmax="237569" style="mso-position-horizontal:left" o:allowincell="f" fillcolor="none [2412]">
      <v:fill color="none [2412]"/>
      <v:stroke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6B"/>
    <w:rsid w:val="000003DC"/>
    <w:rsid w:val="00000453"/>
    <w:rsid w:val="00000796"/>
    <w:rsid w:val="00000A02"/>
    <w:rsid w:val="000010E8"/>
    <w:rsid w:val="000013EC"/>
    <w:rsid w:val="000014D4"/>
    <w:rsid w:val="000017C7"/>
    <w:rsid w:val="0000187A"/>
    <w:rsid w:val="000018A9"/>
    <w:rsid w:val="000024ED"/>
    <w:rsid w:val="00002683"/>
    <w:rsid w:val="00002A1A"/>
    <w:rsid w:val="00002C25"/>
    <w:rsid w:val="00002CBB"/>
    <w:rsid w:val="00002F29"/>
    <w:rsid w:val="000031AC"/>
    <w:rsid w:val="000032FE"/>
    <w:rsid w:val="00003F14"/>
    <w:rsid w:val="00004574"/>
    <w:rsid w:val="0000525F"/>
    <w:rsid w:val="00005C4D"/>
    <w:rsid w:val="00005ECA"/>
    <w:rsid w:val="00006440"/>
    <w:rsid w:val="00006534"/>
    <w:rsid w:val="000068C5"/>
    <w:rsid w:val="000078C0"/>
    <w:rsid w:val="00007C33"/>
    <w:rsid w:val="000102B0"/>
    <w:rsid w:val="00010736"/>
    <w:rsid w:val="0001101C"/>
    <w:rsid w:val="000112F6"/>
    <w:rsid w:val="000114A5"/>
    <w:rsid w:val="00011642"/>
    <w:rsid w:val="00011EE3"/>
    <w:rsid w:val="00011FCE"/>
    <w:rsid w:val="0001239C"/>
    <w:rsid w:val="0001272B"/>
    <w:rsid w:val="000127E0"/>
    <w:rsid w:val="00012D77"/>
    <w:rsid w:val="000130F4"/>
    <w:rsid w:val="00013718"/>
    <w:rsid w:val="00013B99"/>
    <w:rsid w:val="00013F59"/>
    <w:rsid w:val="00014EFF"/>
    <w:rsid w:val="00014F36"/>
    <w:rsid w:val="0001520C"/>
    <w:rsid w:val="000154B1"/>
    <w:rsid w:val="00015C0D"/>
    <w:rsid w:val="00015DEB"/>
    <w:rsid w:val="00016421"/>
    <w:rsid w:val="00016615"/>
    <w:rsid w:val="0001668E"/>
    <w:rsid w:val="000168CD"/>
    <w:rsid w:val="000171A7"/>
    <w:rsid w:val="000177E8"/>
    <w:rsid w:val="000178C5"/>
    <w:rsid w:val="00017B27"/>
    <w:rsid w:val="00017BFC"/>
    <w:rsid w:val="00020059"/>
    <w:rsid w:val="000200E7"/>
    <w:rsid w:val="0002101F"/>
    <w:rsid w:val="0002104D"/>
    <w:rsid w:val="0002139A"/>
    <w:rsid w:val="00021BDE"/>
    <w:rsid w:val="000223A8"/>
    <w:rsid w:val="00022450"/>
    <w:rsid w:val="000224CF"/>
    <w:rsid w:val="00022C73"/>
    <w:rsid w:val="000231C4"/>
    <w:rsid w:val="00023675"/>
    <w:rsid w:val="00023F48"/>
    <w:rsid w:val="00023F63"/>
    <w:rsid w:val="000241E8"/>
    <w:rsid w:val="000245E2"/>
    <w:rsid w:val="00024BC4"/>
    <w:rsid w:val="000254B2"/>
    <w:rsid w:val="00025C07"/>
    <w:rsid w:val="00025C45"/>
    <w:rsid w:val="000264CA"/>
    <w:rsid w:val="000265D7"/>
    <w:rsid w:val="00027424"/>
    <w:rsid w:val="000274A8"/>
    <w:rsid w:val="000274C1"/>
    <w:rsid w:val="000278DD"/>
    <w:rsid w:val="00027CF1"/>
    <w:rsid w:val="0003017A"/>
    <w:rsid w:val="000301E3"/>
    <w:rsid w:val="00030553"/>
    <w:rsid w:val="000305F2"/>
    <w:rsid w:val="00030690"/>
    <w:rsid w:val="00030E7D"/>
    <w:rsid w:val="0003177D"/>
    <w:rsid w:val="00031F31"/>
    <w:rsid w:val="0003217E"/>
    <w:rsid w:val="000323CA"/>
    <w:rsid w:val="00032977"/>
    <w:rsid w:val="000329B4"/>
    <w:rsid w:val="00032AC7"/>
    <w:rsid w:val="00032EAE"/>
    <w:rsid w:val="0003311A"/>
    <w:rsid w:val="000336AB"/>
    <w:rsid w:val="00033FDA"/>
    <w:rsid w:val="0003435D"/>
    <w:rsid w:val="00034471"/>
    <w:rsid w:val="000344F1"/>
    <w:rsid w:val="00034CCB"/>
    <w:rsid w:val="00035482"/>
    <w:rsid w:val="00035552"/>
    <w:rsid w:val="00035BE2"/>
    <w:rsid w:val="00036668"/>
    <w:rsid w:val="0003740D"/>
    <w:rsid w:val="0003766E"/>
    <w:rsid w:val="0004029A"/>
    <w:rsid w:val="00040614"/>
    <w:rsid w:val="00040829"/>
    <w:rsid w:val="00040A72"/>
    <w:rsid w:val="00040E0F"/>
    <w:rsid w:val="00041422"/>
    <w:rsid w:val="0004167D"/>
    <w:rsid w:val="00041976"/>
    <w:rsid w:val="00041C92"/>
    <w:rsid w:val="00041DAA"/>
    <w:rsid w:val="00042258"/>
    <w:rsid w:val="00042391"/>
    <w:rsid w:val="00042548"/>
    <w:rsid w:val="000429DA"/>
    <w:rsid w:val="00042BD7"/>
    <w:rsid w:val="00042D39"/>
    <w:rsid w:val="000430C5"/>
    <w:rsid w:val="00043F90"/>
    <w:rsid w:val="00044464"/>
    <w:rsid w:val="000449FC"/>
    <w:rsid w:val="00044BEC"/>
    <w:rsid w:val="00045296"/>
    <w:rsid w:val="0004532B"/>
    <w:rsid w:val="0004541D"/>
    <w:rsid w:val="0004569B"/>
    <w:rsid w:val="00045795"/>
    <w:rsid w:val="00045AF4"/>
    <w:rsid w:val="00045E2A"/>
    <w:rsid w:val="00045ED0"/>
    <w:rsid w:val="00045FCD"/>
    <w:rsid w:val="000464F6"/>
    <w:rsid w:val="00046831"/>
    <w:rsid w:val="00046E3B"/>
    <w:rsid w:val="00047328"/>
    <w:rsid w:val="00047419"/>
    <w:rsid w:val="00047761"/>
    <w:rsid w:val="00047BE6"/>
    <w:rsid w:val="00047CC6"/>
    <w:rsid w:val="000502EB"/>
    <w:rsid w:val="0005039F"/>
    <w:rsid w:val="0005066C"/>
    <w:rsid w:val="00050894"/>
    <w:rsid w:val="00050B0E"/>
    <w:rsid w:val="00050BA1"/>
    <w:rsid w:val="000511A2"/>
    <w:rsid w:val="000512EC"/>
    <w:rsid w:val="00051358"/>
    <w:rsid w:val="00051536"/>
    <w:rsid w:val="0005164E"/>
    <w:rsid w:val="00051824"/>
    <w:rsid w:val="00051D1F"/>
    <w:rsid w:val="00051E32"/>
    <w:rsid w:val="00051ED5"/>
    <w:rsid w:val="00052113"/>
    <w:rsid w:val="000521C2"/>
    <w:rsid w:val="00052398"/>
    <w:rsid w:val="000527E6"/>
    <w:rsid w:val="00052800"/>
    <w:rsid w:val="000528B0"/>
    <w:rsid w:val="00052E39"/>
    <w:rsid w:val="00053393"/>
    <w:rsid w:val="00053566"/>
    <w:rsid w:val="000536C6"/>
    <w:rsid w:val="000538AC"/>
    <w:rsid w:val="00053D16"/>
    <w:rsid w:val="0005445E"/>
    <w:rsid w:val="00054586"/>
    <w:rsid w:val="0005491D"/>
    <w:rsid w:val="00054F1E"/>
    <w:rsid w:val="000556BA"/>
    <w:rsid w:val="00055F09"/>
    <w:rsid w:val="00055FC2"/>
    <w:rsid w:val="000570B1"/>
    <w:rsid w:val="000577CC"/>
    <w:rsid w:val="0005796F"/>
    <w:rsid w:val="00057A38"/>
    <w:rsid w:val="00057E11"/>
    <w:rsid w:val="00060DDC"/>
    <w:rsid w:val="0006112C"/>
    <w:rsid w:val="00061395"/>
    <w:rsid w:val="00061405"/>
    <w:rsid w:val="00062314"/>
    <w:rsid w:val="00062D4E"/>
    <w:rsid w:val="00062F86"/>
    <w:rsid w:val="000630E3"/>
    <w:rsid w:val="0006352E"/>
    <w:rsid w:val="0006355D"/>
    <w:rsid w:val="00063F5F"/>
    <w:rsid w:val="000641ED"/>
    <w:rsid w:val="00064497"/>
    <w:rsid w:val="00064536"/>
    <w:rsid w:val="00064977"/>
    <w:rsid w:val="00064D75"/>
    <w:rsid w:val="000650AD"/>
    <w:rsid w:val="00065A6B"/>
    <w:rsid w:val="000660BB"/>
    <w:rsid w:val="000661A7"/>
    <w:rsid w:val="00066423"/>
    <w:rsid w:val="00066453"/>
    <w:rsid w:val="000665B1"/>
    <w:rsid w:val="00066606"/>
    <w:rsid w:val="00066C3C"/>
    <w:rsid w:val="00066D0E"/>
    <w:rsid w:val="00066D10"/>
    <w:rsid w:val="00066DC5"/>
    <w:rsid w:val="00066FCC"/>
    <w:rsid w:val="0006760C"/>
    <w:rsid w:val="00067B6D"/>
    <w:rsid w:val="00067B86"/>
    <w:rsid w:val="000700FC"/>
    <w:rsid w:val="000701AD"/>
    <w:rsid w:val="000705AA"/>
    <w:rsid w:val="0007085C"/>
    <w:rsid w:val="0007095B"/>
    <w:rsid w:val="00070E0E"/>
    <w:rsid w:val="00071260"/>
    <w:rsid w:val="000717F5"/>
    <w:rsid w:val="0007218E"/>
    <w:rsid w:val="00072ADC"/>
    <w:rsid w:val="00072B81"/>
    <w:rsid w:val="00072C3F"/>
    <w:rsid w:val="00072C62"/>
    <w:rsid w:val="00073289"/>
    <w:rsid w:val="00073B21"/>
    <w:rsid w:val="00073E3E"/>
    <w:rsid w:val="00073EB4"/>
    <w:rsid w:val="000741B8"/>
    <w:rsid w:val="0007429D"/>
    <w:rsid w:val="00075544"/>
    <w:rsid w:val="000759E8"/>
    <w:rsid w:val="0007738F"/>
    <w:rsid w:val="00077674"/>
    <w:rsid w:val="0008239F"/>
    <w:rsid w:val="00082F98"/>
    <w:rsid w:val="0008307D"/>
    <w:rsid w:val="0008350D"/>
    <w:rsid w:val="000837BD"/>
    <w:rsid w:val="00084456"/>
    <w:rsid w:val="00084D85"/>
    <w:rsid w:val="000850DF"/>
    <w:rsid w:val="00085178"/>
    <w:rsid w:val="0008528C"/>
    <w:rsid w:val="000855BC"/>
    <w:rsid w:val="00086829"/>
    <w:rsid w:val="000868E2"/>
    <w:rsid w:val="000875C5"/>
    <w:rsid w:val="00087673"/>
    <w:rsid w:val="00087B5E"/>
    <w:rsid w:val="00087C70"/>
    <w:rsid w:val="00087CDA"/>
    <w:rsid w:val="000910F5"/>
    <w:rsid w:val="0009185B"/>
    <w:rsid w:val="00092F32"/>
    <w:rsid w:val="0009350E"/>
    <w:rsid w:val="00093662"/>
    <w:rsid w:val="0009411B"/>
    <w:rsid w:val="000948FF"/>
    <w:rsid w:val="00094910"/>
    <w:rsid w:val="00094FA3"/>
    <w:rsid w:val="000957AA"/>
    <w:rsid w:val="000958FB"/>
    <w:rsid w:val="00095900"/>
    <w:rsid w:val="00095AF3"/>
    <w:rsid w:val="00096699"/>
    <w:rsid w:val="00096BA1"/>
    <w:rsid w:val="0009701E"/>
    <w:rsid w:val="00097504"/>
    <w:rsid w:val="0009759D"/>
    <w:rsid w:val="0009793B"/>
    <w:rsid w:val="00097CF2"/>
    <w:rsid w:val="000A014E"/>
    <w:rsid w:val="000A02CE"/>
    <w:rsid w:val="000A031E"/>
    <w:rsid w:val="000A0376"/>
    <w:rsid w:val="000A04BD"/>
    <w:rsid w:val="000A1036"/>
    <w:rsid w:val="000A1BF4"/>
    <w:rsid w:val="000A1C7D"/>
    <w:rsid w:val="000A2093"/>
    <w:rsid w:val="000A2293"/>
    <w:rsid w:val="000A273E"/>
    <w:rsid w:val="000A2C7B"/>
    <w:rsid w:val="000A383E"/>
    <w:rsid w:val="000A384E"/>
    <w:rsid w:val="000A3B47"/>
    <w:rsid w:val="000A4124"/>
    <w:rsid w:val="000A45CC"/>
    <w:rsid w:val="000A48E6"/>
    <w:rsid w:val="000A4BF3"/>
    <w:rsid w:val="000A4C31"/>
    <w:rsid w:val="000A4F47"/>
    <w:rsid w:val="000A5663"/>
    <w:rsid w:val="000A58D8"/>
    <w:rsid w:val="000A5A49"/>
    <w:rsid w:val="000A5D5A"/>
    <w:rsid w:val="000A5DAD"/>
    <w:rsid w:val="000A5E6A"/>
    <w:rsid w:val="000A632A"/>
    <w:rsid w:val="000A638F"/>
    <w:rsid w:val="000A67C4"/>
    <w:rsid w:val="000A68AD"/>
    <w:rsid w:val="000A6902"/>
    <w:rsid w:val="000A6CF3"/>
    <w:rsid w:val="000A70C2"/>
    <w:rsid w:val="000A7752"/>
    <w:rsid w:val="000B00DC"/>
    <w:rsid w:val="000B049E"/>
    <w:rsid w:val="000B0877"/>
    <w:rsid w:val="000B0903"/>
    <w:rsid w:val="000B0D5A"/>
    <w:rsid w:val="000B0E26"/>
    <w:rsid w:val="000B1633"/>
    <w:rsid w:val="000B1660"/>
    <w:rsid w:val="000B1880"/>
    <w:rsid w:val="000B19D8"/>
    <w:rsid w:val="000B1C5A"/>
    <w:rsid w:val="000B1ECF"/>
    <w:rsid w:val="000B222D"/>
    <w:rsid w:val="000B261F"/>
    <w:rsid w:val="000B2B1E"/>
    <w:rsid w:val="000B3539"/>
    <w:rsid w:val="000B35A2"/>
    <w:rsid w:val="000B381C"/>
    <w:rsid w:val="000B3BAA"/>
    <w:rsid w:val="000B3FD6"/>
    <w:rsid w:val="000B4467"/>
    <w:rsid w:val="000B4B3C"/>
    <w:rsid w:val="000B4E0D"/>
    <w:rsid w:val="000B5236"/>
    <w:rsid w:val="000B572D"/>
    <w:rsid w:val="000B57C2"/>
    <w:rsid w:val="000B57D6"/>
    <w:rsid w:val="000B5819"/>
    <w:rsid w:val="000B5EE7"/>
    <w:rsid w:val="000B65C8"/>
    <w:rsid w:val="000B6DCF"/>
    <w:rsid w:val="000B723A"/>
    <w:rsid w:val="000B7480"/>
    <w:rsid w:val="000B7757"/>
    <w:rsid w:val="000B7E0D"/>
    <w:rsid w:val="000C02F6"/>
    <w:rsid w:val="000C0873"/>
    <w:rsid w:val="000C1C0B"/>
    <w:rsid w:val="000C1F20"/>
    <w:rsid w:val="000C24AD"/>
    <w:rsid w:val="000C281F"/>
    <w:rsid w:val="000C30AE"/>
    <w:rsid w:val="000C3186"/>
    <w:rsid w:val="000C337B"/>
    <w:rsid w:val="000C3420"/>
    <w:rsid w:val="000C35B2"/>
    <w:rsid w:val="000C3D96"/>
    <w:rsid w:val="000C45AA"/>
    <w:rsid w:val="000C4864"/>
    <w:rsid w:val="000C4BE9"/>
    <w:rsid w:val="000C4C6B"/>
    <w:rsid w:val="000C5115"/>
    <w:rsid w:val="000C5B15"/>
    <w:rsid w:val="000C5CBA"/>
    <w:rsid w:val="000C67AF"/>
    <w:rsid w:val="000C6842"/>
    <w:rsid w:val="000C6E47"/>
    <w:rsid w:val="000C6EBD"/>
    <w:rsid w:val="000C7234"/>
    <w:rsid w:val="000C7523"/>
    <w:rsid w:val="000D0E2B"/>
    <w:rsid w:val="000D1010"/>
    <w:rsid w:val="000D1242"/>
    <w:rsid w:val="000D1718"/>
    <w:rsid w:val="000D1952"/>
    <w:rsid w:val="000D1BC4"/>
    <w:rsid w:val="000D1CB9"/>
    <w:rsid w:val="000D1E96"/>
    <w:rsid w:val="000D1F76"/>
    <w:rsid w:val="000D2178"/>
    <w:rsid w:val="000D2910"/>
    <w:rsid w:val="000D29B5"/>
    <w:rsid w:val="000D2B08"/>
    <w:rsid w:val="000D310B"/>
    <w:rsid w:val="000D34DB"/>
    <w:rsid w:val="000D38A7"/>
    <w:rsid w:val="000D39F4"/>
    <w:rsid w:val="000D4A52"/>
    <w:rsid w:val="000D4DFB"/>
    <w:rsid w:val="000D5095"/>
    <w:rsid w:val="000D51FD"/>
    <w:rsid w:val="000D57C9"/>
    <w:rsid w:val="000D5E25"/>
    <w:rsid w:val="000D60A1"/>
    <w:rsid w:val="000D6A3C"/>
    <w:rsid w:val="000E0634"/>
    <w:rsid w:val="000E0691"/>
    <w:rsid w:val="000E0902"/>
    <w:rsid w:val="000E0CDC"/>
    <w:rsid w:val="000E0F36"/>
    <w:rsid w:val="000E10A1"/>
    <w:rsid w:val="000E10A6"/>
    <w:rsid w:val="000E10AF"/>
    <w:rsid w:val="000E1B0A"/>
    <w:rsid w:val="000E1CD3"/>
    <w:rsid w:val="000E2A1A"/>
    <w:rsid w:val="000E2BC1"/>
    <w:rsid w:val="000E2D70"/>
    <w:rsid w:val="000E323D"/>
    <w:rsid w:val="000E38E1"/>
    <w:rsid w:val="000E424F"/>
    <w:rsid w:val="000E4269"/>
    <w:rsid w:val="000E42B6"/>
    <w:rsid w:val="000E432A"/>
    <w:rsid w:val="000E4745"/>
    <w:rsid w:val="000E4C83"/>
    <w:rsid w:val="000E50AF"/>
    <w:rsid w:val="000E5317"/>
    <w:rsid w:val="000E55F6"/>
    <w:rsid w:val="000E5D3E"/>
    <w:rsid w:val="000E5E77"/>
    <w:rsid w:val="000E64AC"/>
    <w:rsid w:val="000E64DB"/>
    <w:rsid w:val="000E6592"/>
    <w:rsid w:val="000E6721"/>
    <w:rsid w:val="000E6741"/>
    <w:rsid w:val="000E6A2B"/>
    <w:rsid w:val="000E6A30"/>
    <w:rsid w:val="000E6D10"/>
    <w:rsid w:val="000E78D4"/>
    <w:rsid w:val="000E793C"/>
    <w:rsid w:val="000F0338"/>
    <w:rsid w:val="000F06B9"/>
    <w:rsid w:val="000F0786"/>
    <w:rsid w:val="000F14F5"/>
    <w:rsid w:val="000F1C73"/>
    <w:rsid w:val="000F1C79"/>
    <w:rsid w:val="000F1EF9"/>
    <w:rsid w:val="000F2260"/>
    <w:rsid w:val="000F23AA"/>
    <w:rsid w:val="000F24B7"/>
    <w:rsid w:val="000F2969"/>
    <w:rsid w:val="000F29D2"/>
    <w:rsid w:val="000F2B04"/>
    <w:rsid w:val="000F3195"/>
    <w:rsid w:val="000F3470"/>
    <w:rsid w:val="000F39BC"/>
    <w:rsid w:val="000F3F2F"/>
    <w:rsid w:val="000F46D5"/>
    <w:rsid w:val="000F4E65"/>
    <w:rsid w:val="000F4F48"/>
    <w:rsid w:val="000F5850"/>
    <w:rsid w:val="000F5A90"/>
    <w:rsid w:val="000F5CC6"/>
    <w:rsid w:val="000F5F21"/>
    <w:rsid w:val="000F5FF6"/>
    <w:rsid w:val="000F662E"/>
    <w:rsid w:val="000F673B"/>
    <w:rsid w:val="000F6A93"/>
    <w:rsid w:val="000F6DED"/>
    <w:rsid w:val="000F7E8C"/>
    <w:rsid w:val="001003B7"/>
    <w:rsid w:val="00100520"/>
    <w:rsid w:val="00100B0E"/>
    <w:rsid w:val="00101D4E"/>
    <w:rsid w:val="00102026"/>
    <w:rsid w:val="001024A9"/>
    <w:rsid w:val="0010351A"/>
    <w:rsid w:val="00103557"/>
    <w:rsid w:val="00103755"/>
    <w:rsid w:val="00103BA3"/>
    <w:rsid w:val="00104212"/>
    <w:rsid w:val="00104216"/>
    <w:rsid w:val="00104CCB"/>
    <w:rsid w:val="00104E95"/>
    <w:rsid w:val="00104EBF"/>
    <w:rsid w:val="00104F4E"/>
    <w:rsid w:val="00104FE9"/>
    <w:rsid w:val="00105DD2"/>
    <w:rsid w:val="001063B1"/>
    <w:rsid w:val="00106714"/>
    <w:rsid w:val="0010713E"/>
    <w:rsid w:val="0010744C"/>
    <w:rsid w:val="00107585"/>
    <w:rsid w:val="00107C58"/>
    <w:rsid w:val="00110ABB"/>
    <w:rsid w:val="0011107F"/>
    <w:rsid w:val="001114F4"/>
    <w:rsid w:val="0011179D"/>
    <w:rsid w:val="0011193E"/>
    <w:rsid w:val="00111979"/>
    <w:rsid w:val="00112865"/>
    <w:rsid w:val="00113273"/>
    <w:rsid w:val="001132BE"/>
    <w:rsid w:val="00114151"/>
    <w:rsid w:val="00114A07"/>
    <w:rsid w:val="00114B26"/>
    <w:rsid w:val="00114BB7"/>
    <w:rsid w:val="00114E4B"/>
    <w:rsid w:val="001150E1"/>
    <w:rsid w:val="0011545C"/>
    <w:rsid w:val="00115C64"/>
    <w:rsid w:val="00116390"/>
    <w:rsid w:val="00116517"/>
    <w:rsid w:val="0011667B"/>
    <w:rsid w:val="001166F8"/>
    <w:rsid w:val="00117A5B"/>
    <w:rsid w:val="00117BE9"/>
    <w:rsid w:val="00117F08"/>
    <w:rsid w:val="00121065"/>
    <w:rsid w:val="001218D8"/>
    <w:rsid w:val="00121C9C"/>
    <w:rsid w:val="00121F42"/>
    <w:rsid w:val="00122479"/>
    <w:rsid w:val="0012371B"/>
    <w:rsid w:val="001238A4"/>
    <w:rsid w:val="00123D0F"/>
    <w:rsid w:val="00123D90"/>
    <w:rsid w:val="001241C5"/>
    <w:rsid w:val="0012445C"/>
    <w:rsid w:val="001247CF"/>
    <w:rsid w:val="00124DB0"/>
    <w:rsid w:val="00124F57"/>
    <w:rsid w:val="0012574E"/>
    <w:rsid w:val="0012584E"/>
    <w:rsid w:val="00125ECB"/>
    <w:rsid w:val="001263C4"/>
    <w:rsid w:val="0012650A"/>
    <w:rsid w:val="0012664C"/>
    <w:rsid w:val="00126A27"/>
    <w:rsid w:val="00126C95"/>
    <w:rsid w:val="00126D8A"/>
    <w:rsid w:val="00126F33"/>
    <w:rsid w:val="0012742C"/>
    <w:rsid w:val="00127A2B"/>
    <w:rsid w:val="00127DBD"/>
    <w:rsid w:val="00127DE7"/>
    <w:rsid w:val="0013026B"/>
    <w:rsid w:val="00130325"/>
    <w:rsid w:val="00130A96"/>
    <w:rsid w:val="00130BCB"/>
    <w:rsid w:val="0013133E"/>
    <w:rsid w:val="0013143F"/>
    <w:rsid w:val="0013156E"/>
    <w:rsid w:val="001316F2"/>
    <w:rsid w:val="00132474"/>
    <w:rsid w:val="00132773"/>
    <w:rsid w:val="00133236"/>
    <w:rsid w:val="001334DD"/>
    <w:rsid w:val="0013378E"/>
    <w:rsid w:val="00133865"/>
    <w:rsid w:val="001344C4"/>
    <w:rsid w:val="00135081"/>
    <w:rsid w:val="00135EC2"/>
    <w:rsid w:val="00135EFB"/>
    <w:rsid w:val="001366C4"/>
    <w:rsid w:val="00136CB3"/>
    <w:rsid w:val="00137F4F"/>
    <w:rsid w:val="00137F60"/>
    <w:rsid w:val="001400B4"/>
    <w:rsid w:val="00140163"/>
    <w:rsid w:val="001401C5"/>
    <w:rsid w:val="00140D94"/>
    <w:rsid w:val="001412F4"/>
    <w:rsid w:val="00141398"/>
    <w:rsid w:val="001413A6"/>
    <w:rsid w:val="00141931"/>
    <w:rsid w:val="001426C0"/>
    <w:rsid w:val="00142807"/>
    <w:rsid w:val="00142AC7"/>
    <w:rsid w:val="0014375E"/>
    <w:rsid w:val="00143812"/>
    <w:rsid w:val="00143A58"/>
    <w:rsid w:val="0014436A"/>
    <w:rsid w:val="00144753"/>
    <w:rsid w:val="00144D15"/>
    <w:rsid w:val="00145689"/>
    <w:rsid w:val="00145736"/>
    <w:rsid w:val="00145A68"/>
    <w:rsid w:val="00146176"/>
    <w:rsid w:val="0014625B"/>
    <w:rsid w:val="00146A9C"/>
    <w:rsid w:val="0014712A"/>
    <w:rsid w:val="001473B9"/>
    <w:rsid w:val="00147693"/>
    <w:rsid w:val="00147749"/>
    <w:rsid w:val="00147CA9"/>
    <w:rsid w:val="00150A5F"/>
    <w:rsid w:val="00150EFE"/>
    <w:rsid w:val="001510B8"/>
    <w:rsid w:val="0015185C"/>
    <w:rsid w:val="00151A78"/>
    <w:rsid w:val="00152128"/>
    <w:rsid w:val="0015214D"/>
    <w:rsid w:val="00152D03"/>
    <w:rsid w:val="00152F99"/>
    <w:rsid w:val="00153288"/>
    <w:rsid w:val="00153ACE"/>
    <w:rsid w:val="001542D6"/>
    <w:rsid w:val="001543DE"/>
    <w:rsid w:val="001543E7"/>
    <w:rsid w:val="0015458D"/>
    <w:rsid w:val="00155393"/>
    <w:rsid w:val="00155525"/>
    <w:rsid w:val="00155AD0"/>
    <w:rsid w:val="00156601"/>
    <w:rsid w:val="0015688E"/>
    <w:rsid w:val="00156C7D"/>
    <w:rsid w:val="0015712D"/>
    <w:rsid w:val="001575B9"/>
    <w:rsid w:val="001577FB"/>
    <w:rsid w:val="001579B8"/>
    <w:rsid w:val="00160A9C"/>
    <w:rsid w:val="00160B43"/>
    <w:rsid w:val="00160C87"/>
    <w:rsid w:val="00160FD4"/>
    <w:rsid w:val="0016124F"/>
    <w:rsid w:val="001612F4"/>
    <w:rsid w:val="00161701"/>
    <w:rsid w:val="001621C8"/>
    <w:rsid w:val="001627D1"/>
    <w:rsid w:val="00162878"/>
    <w:rsid w:val="00162C6C"/>
    <w:rsid w:val="00162CDF"/>
    <w:rsid w:val="00162FCC"/>
    <w:rsid w:val="00163767"/>
    <w:rsid w:val="00163949"/>
    <w:rsid w:val="00163B99"/>
    <w:rsid w:val="00164D8A"/>
    <w:rsid w:val="00165094"/>
    <w:rsid w:val="00165884"/>
    <w:rsid w:val="00165DE0"/>
    <w:rsid w:val="00165DFB"/>
    <w:rsid w:val="00166684"/>
    <w:rsid w:val="001673A6"/>
    <w:rsid w:val="0017006D"/>
    <w:rsid w:val="001701C0"/>
    <w:rsid w:val="0017049D"/>
    <w:rsid w:val="00170E3B"/>
    <w:rsid w:val="00170F33"/>
    <w:rsid w:val="00171121"/>
    <w:rsid w:val="001711C1"/>
    <w:rsid w:val="0017128E"/>
    <w:rsid w:val="00171AEB"/>
    <w:rsid w:val="00171E14"/>
    <w:rsid w:val="0017204B"/>
    <w:rsid w:val="00172077"/>
    <w:rsid w:val="0017224E"/>
    <w:rsid w:val="00172DC9"/>
    <w:rsid w:val="00172F63"/>
    <w:rsid w:val="00173522"/>
    <w:rsid w:val="00173C8A"/>
    <w:rsid w:val="00174C8D"/>
    <w:rsid w:val="00174EA1"/>
    <w:rsid w:val="0017520B"/>
    <w:rsid w:val="0017528B"/>
    <w:rsid w:val="001756A8"/>
    <w:rsid w:val="00175708"/>
    <w:rsid w:val="0017580D"/>
    <w:rsid w:val="00176E72"/>
    <w:rsid w:val="001777A7"/>
    <w:rsid w:val="00177F14"/>
    <w:rsid w:val="001805C8"/>
    <w:rsid w:val="00180E14"/>
    <w:rsid w:val="001817C9"/>
    <w:rsid w:val="00181E95"/>
    <w:rsid w:val="00182272"/>
    <w:rsid w:val="00183124"/>
    <w:rsid w:val="00183976"/>
    <w:rsid w:val="00183B79"/>
    <w:rsid w:val="00183F96"/>
    <w:rsid w:val="00183FF9"/>
    <w:rsid w:val="001844E1"/>
    <w:rsid w:val="0018454F"/>
    <w:rsid w:val="001849D1"/>
    <w:rsid w:val="00184A1B"/>
    <w:rsid w:val="00184E84"/>
    <w:rsid w:val="00185B7E"/>
    <w:rsid w:val="00185C41"/>
    <w:rsid w:val="00186006"/>
    <w:rsid w:val="00186286"/>
    <w:rsid w:val="001867E4"/>
    <w:rsid w:val="00187831"/>
    <w:rsid w:val="00187A84"/>
    <w:rsid w:val="00190E7D"/>
    <w:rsid w:val="00191833"/>
    <w:rsid w:val="00191AAC"/>
    <w:rsid w:val="00191D59"/>
    <w:rsid w:val="00192233"/>
    <w:rsid w:val="001922FA"/>
    <w:rsid w:val="00192BD0"/>
    <w:rsid w:val="00192EC5"/>
    <w:rsid w:val="001930D5"/>
    <w:rsid w:val="001931D0"/>
    <w:rsid w:val="00193396"/>
    <w:rsid w:val="00193449"/>
    <w:rsid w:val="00193AD4"/>
    <w:rsid w:val="00193C25"/>
    <w:rsid w:val="00194168"/>
    <w:rsid w:val="00194A4D"/>
    <w:rsid w:val="001953B4"/>
    <w:rsid w:val="001955D8"/>
    <w:rsid w:val="00195E7E"/>
    <w:rsid w:val="00197C3F"/>
    <w:rsid w:val="00197C9C"/>
    <w:rsid w:val="00197D1F"/>
    <w:rsid w:val="00197F2C"/>
    <w:rsid w:val="001A03F4"/>
    <w:rsid w:val="001A095A"/>
    <w:rsid w:val="001A10DC"/>
    <w:rsid w:val="001A1165"/>
    <w:rsid w:val="001A12B1"/>
    <w:rsid w:val="001A1EAC"/>
    <w:rsid w:val="001A25D0"/>
    <w:rsid w:val="001A299F"/>
    <w:rsid w:val="001A3F49"/>
    <w:rsid w:val="001A4173"/>
    <w:rsid w:val="001A4E7E"/>
    <w:rsid w:val="001A54E6"/>
    <w:rsid w:val="001A558D"/>
    <w:rsid w:val="001A5749"/>
    <w:rsid w:val="001A5CBE"/>
    <w:rsid w:val="001A65EF"/>
    <w:rsid w:val="001A6A04"/>
    <w:rsid w:val="001A6CE7"/>
    <w:rsid w:val="001A79C3"/>
    <w:rsid w:val="001B006E"/>
    <w:rsid w:val="001B02ED"/>
    <w:rsid w:val="001B088F"/>
    <w:rsid w:val="001B0C68"/>
    <w:rsid w:val="001B0D34"/>
    <w:rsid w:val="001B1D8C"/>
    <w:rsid w:val="001B22B6"/>
    <w:rsid w:val="001B25F8"/>
    <w:rsid w:val="001B286B"/>
    <w:rsid w:val="001B2E67"/>
    <w:rsid w:val="001B30F6"/>
    <w:rsid w:val="001B3B82"/>
    <w:rsid w:val="001B3DA7"/>
    <w:rsid w:val="001B435D"/>
    <w:rsid w:val="001B4885"/>
    <w:rsid w:val="001B4E1C"/>
    <w:rsid w:val="001B4F3E"/>
    <w:rsid w:val="001B5063"/>
    <w:rsid w:val="001B5239"/>
    <w:rsid w:val="001B5416"/>
    <w:rsid w:val="001B5800"/>
    <w:rsid w:val="001B58A7"/>
    <w:rsid w:val="001B5E5E"/>
    <w:rsid w:val="001B6851"/>
    <w:rsid w:val="001B6948"/>
    <w:rsid w:val="001B6953"/>
    <w:rsid w:val="001B6E09"/>
    <w:rsid w:val="001B76D5"/>
    <w:rsid w:val="001B78F8"/>
    <w:rsid w:val="001B7DA7"/>
    <w:rsid w:val="001C0B6E"/>
    <w:rsid w:val="001C0C51"/>
    <w:rsid w:val="001C0DAB"/>
    <w:rsid w:val="001C0DD1"/>
    <w:rsid w:val="001C13E4"/>
    <w:rsid w:val="001C175D"/>
    <w:rsid w:val="001C1D46"/>
    <w:rsid w:val="001C1D48"/>
    <w:rsid w:val="001C2A1B"/>
    <w:rsid w:val="001C2CBF"/>
    <w:rsid w:val="001C2E1D"/>
    <w:rsid w:val="001C300F"/>
    <w:rsid w:val="001C3440"/>
    <w:rsid w:val="001C36D4"/>
    <w:rsid w:val="001C36E8"/>
    <w:rsid w:val="001C3B0D"/>
    <w:rsid w:val="001C421B"/>
    <w:rsid w:val="001C441D"/>
    <w:rsid w:val="001C4944"/>
    <w:rsid w:val="001C52B8"/>
    <w:rsid w:val="001C54A9"/>
    <w:rsid w:val="001C58EA"/>
    <w:rsid w:val="001C5F4F"/>
    <w:rsid w:val="001C618B"/>
    <w:rsid w:val="001C6547"/>
    <w:rsid w:val="001C6640"/>
    <w:rsid w:val="001C6AAF"/>
    <w:rsid w:val="001C6D5C"/>
    <w:rsid w:val="001C6D92"/>
    <w:rsid w:val="001C6E56"/>
    <w:rsid w:val="001C6E86"/>
    <w:rsid w:val="001C72AE"/>
    <w:rsid w:val="001D0C06"/>
    <w:rsid w:val="001D102F"/>
    <w:rsid w:val="001D1F49"/>
    <w:rsid w:val="001D1F88"/>
    <w:rsid w:val="001D2701"/>
    <w:rsid w:val="001D299B"/>
    <w:rsid w:val="001D34B9"/>
    <w:rsid w:val="001D3A24"/>
    <w:rsid w:val="001D3BFF"/>
    <w:rsid w:val="001D3C7A"/>
    <w:rsid w:val="001D430C"/>
    <w:rsid w:val="001D454D"/>
    <w:rsid w:val="001D47BC"/>
    <w:rsid w:val="001D4B43"/>
    <w:rsid w:val="001D5457"/>
    <w:rsid w:val="001D5A1C"/>
    <w:rsid w:val="001D5CE1"/>
    <w:rsid w:val="001D6068"/>
    <w:rsid w:val="001D6B4C"/>
    <w:rsid w:val="001D6E89"/>
    <w:rsid w:val="001D6F71"/>
    <w:rsid w:val="001D7BF3"/>
    <w:rsid w:val="001D7C2A"/>
    <w:rsid w:val="001D7E96"/>
    <w:rsid w:val="001D7FBD"/>
    <w:rsid w:val="001E012C"/>
    <w:rsid w:val="001E05A8"/>
    <w:rsid w:val="001E0802"/>
    <w:rsid w:val="001E0E57"/>
    <w:rsid w:val="001E1347"/>
    <w:rsid w:val="001E1530"/>
    <w:rsid w:val="001E163B"/>
    <w:rsid w:val="001E16FB"/>
    <w:rsid w:val="001E1780"/>
    <w:rsid w:val="001E21FF"/>
    <w:rsid w:val="001E2596"/>
    <w:rsid w:val="001E259B"/>
    <w:rsid w:val="001E2847"/>
    <w:rsid w:val="001E2B42"/>
    <w:rsid w:val="001E3018"/>
    <w:rsid w:val="001E3C9E"/>
    <w:rsid w:val="001E3D5D"/>
    <w:rsid w:val="001E3E78"/>
    <w:rsid w:val="001E41B8"/>
    <w:rsid w:val="001E4A94"/>
    <w:rsid w:val="001E4B2D"/>
    <w:rsid w:val="001E54F7"/>
    <w:rsid w:val="001E56F9"/>
    <w:rsid w:val="001E5764"/>
    <w:rsid w:val="001E5778"/>
    <w:rsid w:val="001E5945"/>
    <w:rsid w:val="001E5A36"/>
    <w:rsid w:val="001E5A4F"/>
    <w:rsid w:val="001E5FCA"/>
    <w:rsid w:val="001E63A7"/>
    <w:rsid w:val="001E63B4"/>
    <w:rsid w:val="001E7720"/>
    <w:rsid w:val="001E7C68"/>
    <w:rsid w:val="001F01C5"/>
    <w:rsid w:val="001F0318"/>
    <w:rsid w:val="001F07A4"/>
    <w:rsid w:val="001F13D7"/>
    <w:rsid w:val="001F1563"/>
    <w:rsid w:val="001F1948"/>
    <w:rsid w:val="001F19A9"/>
    <w:rsid w:val="001F207C"/>
    <w:rsid w:val="001F20CF"/>
    <w:rsid w:val="001F2279"/>
    <w:rsid w:val="001F2846"/>
    <w:rsid w:val="001F2EA3"/>
    <w:rsid w:val="001F2F3D"/>
    <w:rsid w:val="001F313F"/>
    <w:rsid w:val="001F3740"/>
    <w:rsid w:val="001F383F"/>
    <w:rsid w:val="001F3AD5"/>
    <w:rsid w:val="001F444E"/>
    <w:rsid w:val="001F445E"/>
    <w:rsid w:val="001F481A"/>
    <w:rsid w:val="001F4AFB"/>
    <w:rsid w:val="001F4C2A"/>
    <w:rsid w:val="001F50B3"/>
    <w:rsid w:val="001F5110"/>
    <w:rsid w:val="001F54FD"/>
    <w:rsid w:val="001F5514"/>
    <w:rsid w:val="001F68FE"/>
    <w:rsid w:val="001F6992"/>
    <w:rsid w:val="001F6B19"/>
    <w:rsid w:val="001F6CC6"/>
    <w:rsid w:val="001F6DAA"/>
    <w:rsid w:val="001F6E46"/>
    <w:rsid w:val="001F727C"/>
    <w:rsid w:val="001F7417"/>
    <w:rsid w:val="001F7B1C"/>
    <w:rsid w:val="002004FB"/>
    <w:rsid w:val="00200A6F"/>
    <w:rsid w:val="002014D7"/>
    <w:rsid w:val="002017D9"/>
    <w:rsid w:val="00201D89"/>
    <w:rsid w:val="00201F56"/>
    <w:rsid w:val="0020220B"/>
    <w:rsid w:val="002022DE"/>
    <w:rsid w:val="00202654"/>
    <w:rsid w:val="00203045"/>
    <w:rsid w:val="00203AF9"/>
    <w:rsid w:val="00203DE3"/>
    <w:rsid w:val="002040D7"/>
    <w:rsid w:val="002041C8"/>
    <w:rsid w:val="0020446D"/>
    <w:rsid w:val="00204588"/>
    <w:rsid w:val="00204772"/>
    <w:rsid w:val="002052BE"/>
    <w:rsid w:val="0020532F"/>
    <w:rsid w:val="0020547D"/>
    <w:rsid w:val="0020559F"/>
    <w:rsid w:val="0020599E"/>
    <w:rsid w:val="00205B3A"/>
    <w:rsid w:val="00205D39"/>
    <w:rsid w:val="00205F13"/>
    <w:rsid w:val="002062C9"/>
    <w:rsid w:val="00206585"/>
    <w:rsid w:val="00206B5F"/>
    <w:rsid w:val="00206F61"/>
    <w:rsid w:val="00206F75"/>
    <w:rsid w:val="002074EB"/>
    <w:rsid w:val="0020768E"/>
    <w:rsid w:val="00207797"/>
    <w:rsid w:val="00207B31"/>
    <w:rsid w:val="00207F33"/>
    <w:rsid w:val="00210935"/>
    <w:rsid w:val="00210A62"/>
    <w:rsid w:val="00210F79"/>
    <w:rsid w:val="00211158"/>
    <w:rsid w:val="00211F7F"/>
    <w:rsid w:val="00212658"/>
    <w:rsid w:val="00212DA5"/>
    <w:rsid w:val="00213012"/>
    <w:rsid w:val="00213B72"/>
    <w:rsid w:val="00213F27"/>
    <w:rsid w:val="00213F38"/>
    <w:rsid w:val="00214226"/>
    <w:rsid w:val="0021455A"/>
    <w:rsid w:val="00214801"/>
    <w:rsid w:val="002149A1"/>
    <w:rsid w:val="00216D9B"/>
    <w:rsid w:val="00216E22"/>
    <w:rsid w:val="002176AE"/>
    <w:rsid w:val="00217D51"/>
    <w:rsid w:val="00217F3F"/>
    <w:rsid w:val="00220650"/>
    <w:rsid w:val="00220701"/>
    <w:rsid w:val="00220783"/>
    <w:rsid w:val="002207C2"/>
    <w:rsid w:val="00220A22"/>
    <w:rsid w:val="00220DEF"/>
    <w:rsid w:val="00221916"/>
    <w:rsid w:val="0022198F"/>
    <w:rsid w:val="002223EF"/>
    <w:rsid w:val="0022275E"/>
    <w:rsid w:val="00222AFA"/>
    <w:rsid w:val="0022316F"/>
    <w:rsid w:val="00223A81"/>
    <w:rsid w:val="00223C88"/>
    <w:rsid w:val="00223D5E"/>
    <w:rsid w:val="00224524"/>
    <w:rsid w:val="00224607"/>
    <w:rsid w:val="0022477F"/>
    <w:rsid w:val="0022487A"/>
    <w:rsid w:val="002255D3"/>
    <w:rsid w:val="00225DD7"/>
    <w:rsid w:val="00225FFE"/>
    <w:rsid w:val="00226461"/>
    <w:rsid w:val="00226494"/>
    <w:rsid w:val="00226705"/>
    <w:rsid w:val="002275B4"/>
    <w:rsid w:val="00227A0F"/>
    <w:rsid w:val="00227A5A"/>
    <w:rsid w:val="002300C8"/>
    <w:rsid w:val="00230582"/>
    <w:rsid w:val="00231115"/>
    <w:rsid w:val="00231394"/>
    <w:rsid w:val="00231CC6"/>
    <w:rsid w:val="00231E05"/>
    <w:rsid w:val="00232839"/>
    <w:rsid w:val="00232DE9"/>
    <w:rsid w:val="00232F25"/>
    <w:rsid w:val="002338CF"/>
    <w:rsid w:val="00233C89"/>
    <w:rsid w:val="00233DB5"/>
    <w:rsid w:val="002341E3"/>
    <w:rsid w:val="00234A05"/>
    <w:rsid w:val="00234E0F"/>
    <w:rsid w:val="00235031"/>
    <w:rsid w:val="00235179"/>
    <w:rsid w:val="0023540F"/>
    <w:rsid w:val="002354BA"/>
    <w:rsid w:val="00235575"/>
    <w:rsid w:val="00235BFE"/>
    <w:rsid w:val="00235E70"/>
    <w:rsid w:val="00236133"/>
    <w:rsid w:val="00236378"/>
    <w:rsid w:val="0023643C"/>
    <w:rsid w:val="002364BA"/>
    <w:rsid w:val="00236514"/>
    <w:rsid w:val="0023687A"/>
    <w:rsid w:val="00237AA9"/>
    <w:rsid w:val="0024132F"/>
    <w:rsid w:val="00241896"/>
    <w:rsid w:val="00241904"/>
    <w:rsid w:val="00241944"/>
    <w:rsid w:val="00242586"/>
    <w:rsid w:val="00243015"/>
    <w:rsid w:val="002430EB"/>
    <w:rsid w:val="0024315F"/>
    <w:rsid w:val="002433ED"/>
    <w:rsid w:val="002436F3"/>
    <w:rsid w:val="00243AFE"/>
    <w:rsid w:val="00243BEF"/>
    <w:rsid w:val="00243EF7"/>
    <w:rsid w:val="00244F0B"/>
    <w:rsid w:val="00244F42"/>
    <w:rsid w:val="00245198"/>
    <w:rsid w:val="0024549C"/>
    <w:rsid w:val="0024553B"/>
    <w:rsid w:val="002456FC"/>
    <w:rsid w:val="00245B70"/>
    <w:rsid w:val="00245E03"/>
    <w:rsid w:val="00245F3D"/>
    <w:rsid w:val="002462A9"/>
    <w:rsid w:val="0024659C"/>
    <w:rsid w:val="002467A4"/>
    <w:rsid w:val="002467B5"/>
    <w:rsid w:val="00246B98"/>
    <w:rsid w:val="002475E6"/>
    <w:rsid w:val="00247B70"/>
    <w:rsid w:val="00247BDD"/>
    <w:rsid w:val="00247E78"/>
    <w:rsid w:val="0025011D"/>
    <w:rsid w:val="0025018C"/>
    <w:rsid w:val="00250856"/>
    <w:rsid w:val="00250A56"/>
    <w:rsid w:val="00250D4A"/>
    <w:rsid w:val="002510EC"/>
    <w:rsid w:val="00251528"/>
    <w:rsid w:val="00251534"/>
    <w:rsid w:val="002524E4"/>
    <w:rsid w:val="002525D9"/>
    <w:rsid w:val="00252C62"/>
    <w:rsid w:val="00252CAA"/>
    <w:rsid w:val="00253CF1"/>
    <w:rsid w:val="00253E92"/>
    <w:rsid w:val="0025409E"/>
    <w:rsid w:val="0025471C"/>
    <w:rsid w:val="002547D5"/>
    <w:rsid w:val="00254966"/>
    <w:rsid w:val="00254ABB"/>
    <w:rsid w:val="002553D7"/>
    <w:rsid w:val="00255686"/>
    <w:rsid w:val="00255FC9"/>
    <w:rsid w:val="00256606"/>
    <w:rsid w:val="002566E4"/>
    <w:rsid w:val="00256865"/>
    <w:rsid w:val="00256977"/>
    <w:rsid w:val="00256C3F"/>
    <w:rsid w:val="00256F47"/>
    <w:rsid w:val="002572A7"/>
    <w:rsid w:val="00257822"/>
    <w:rsid w:val="002578F6"/>
    <w:rsid w:val="00257D27"/>
    <w:rsid w:val="00257E31"/>
    <w:rsid w:val="00257F6A"/>
    <w:rsid w:val="00260045"/>
    <w:rsid w:val="0026053A"/>
    <w:rsid w:val="00261175"/>
    <w:rsid w:val="002614BD"/>
    <w:rsid w:val="0026192E"/>
    <w:rsid w:val="0026231F"/>
    <w:rsid w:val="0026414D"/>
    <w:rsid w:val="002641B6"/>
    <w:rsid w:val="002642CA"/>
    <w:rsid w:val="00264D04"/>
    <w:rsid w:val="00265C2A"/>
    <w:rsid w:val="00265D7B"/>
    <w:rsid w:val="00266192"/>
    <w:rsid w:val="00266348"/>
    <w:rsid w:val="00266D6E"/>
    <w:rsid w:val="00267351"/>
    <w:rsid w:val="00267367"/>
    <w:rsid w:val="002675AA"/>
    <w:rsid w:val="002675C1"/>
    <w:rsid w:val="002675D6"/>
    <w:rsid w:val="00267749"/>
    <w:rsid w:val="00267C3F"/>
    <w:rsid w:val="00270191"/>
    <w:rsid w:val="00270B16"/>
    <w:rsid w:val="00270B8C"/>
    <w:rsid w:val="00270F92"/>
    <w:rsid w:val="00271233"/>
    <w:rsid w:val="0027171A"/>
    <w:rsid w:val="00271DDB"/>
    <w:rsid w:val="00271E6C"/>
    <w:rsid w:val="0027218C"/>
    <w:rsid w:val="002721A8"/>
    <w:rsid w:val="0027220C"/>
    <w:rsid w:val="00272740"/>
    <w:rsid w:val="00272E95"/>
    <w:rsid w:val="0027304B"/>
    <w:rsid w:val="0027321C"/>
    <w:rsid w:val="002732FA"/>
    <w:rsid w:val="00274181"/>
    <w:rsid w:val="0027450B"/>
    <w:rsid w:val="00274545"/>
    <w:rsid w:val="00274FFC"/>
    <w:rsid w:val="002760A1"/>
    <w:rsid w:val="002762C1"/>
    <w:rsid w:val="00276413"/>
    <w:rsid w:val="002765B0"/>
    <w:rsid w:val="0027668A"/>
    <w:rsid w:val="00276828"/>
    <w:rsid w:val="00276C35"/>
    <w:rsid w:val="00276CB2"/>
    <w:rsid w:val="00276DD8"/>
    <w:rsid w:val="0027770C"/>
    <w:rsid w:val="00277988"/>
    <w:rsid w:val="00277EB5"/>
    <w:rsid w:val="002801CE"/>
    <w:rsid w:val="002806D3"/>
    <w:rsid w:val="002807EA"/>
    <w:rsid w:val="00281529"/>
    <w:rsid w:val="002819BA"/>
    <w:rsid w:val="00281A04"/>
    <w:rsid w:val="00282260"/>
    <w:rsid w:val="0028256A"/>
    <w:rsid w:val="0028263C"/>
    <w:rsid w:val="00282E78"/>
    <w:rsid w:val="00282FF0"/>
    <w:rsid w:val="0028377F"/>
    <w:rsid w:val="00283879"/>
    <w:rsid w:val="00283A36"/>
    <w:rsid w:val="00283BF6"/>
    <w:rsid w:val="00283D3C"/>
    <w:rsid w:val="00283FDC"/>
    <w:rsid w:val="0028429A"/>
    <w:rsid w:val="00284436"/>
    <w:rsid w:val="00284902"/>
    <w:rsid w:val="00285464"/>
    <w:rsid w:val="00285AAF"/>
    <w:rsid w:val="00285AB1"/>
    <w:rsid w:val="00285DEC"/>
    <w:rsid w:val="00285F28"/>
    <w:rsid w:val="00286A52"/>
    <w:rsid w:val="00287582"/>
    <w:rsid w:val="00287A79"/>
    <w:rsid w:val="002901BB"/>
    <w:rsid w:val="00290A26"/>
    <w:rsid w:val="00290B39"/>
    <w:rsid w:val="00290E4B"/>
    <w:rsid w:val="0029127C"/>
    <w:rsid w:val="00291423"/>
    <w:rsid w:val="00291470"/>
    <w:rsid w:val="00291C1E"/>
    <w:rsid w:val="00291C31"/>
    <w:rsid w:val="0029255E"/>
    <w:rsid w:val="00292606"/>
    <w:rsid w:val="00292A22"/>
    <w:rsid w:val="00292C02"/>
    <w:rsid w:val="0029326B"/>
    <w:rsid w:val="00293640"/>
    <w:rsid w:val="00293B20"/>
    <w:rsid w:val="00293EA7"/>
    <w:rsid w:val="0029404A"/>
    <w:rsid w:val="002940E0"/>
    <w:rsid w:val="00294390"/>
    <w:rsid w:val="002948DB"/>
    <w:rsid w:val="00294C29"/>
    <w:rsid w:val="00294F84"/>
    <w:rsid w:val="002952FF"/>
    <w:rsid w:val="002954A7"/>
    <w:rsid w:val="002958C3"/>
    <w:rsid w:val="00295A0E"/>
    <w:rsid w:val="00295D3D"/>
    <w:rsid w:val="00296AE6"/>
    <w:rsid w:val="00297004"/>
    <w:rsid w:val="002978AE"/>
    <w:rsid w:val="00297F0C"/>
    <w:rsid w:val="002A0223"/>
    <w:rsid w:val="002A0487"/>
    <w:rsid w:val="002A0492"/>
    <w:rsid w:val="002A05B1"/>
    <w:rsid w:val="002A0874"/>
    <w:rsid w:val="002A087D"/>
    <w:rsid w:val="002A19D9"/>
    <w:rsid w:val="002A1BF1"/>
    <w:rsid w:val="002A1DCB"/>
    <w:rsid w:val="002A250F"/>
    <w:rsid w:val="002A288A"/>
    <w:rsid w:val="002A28C2"/>
    <w:rsid w:val="002A2A64"/>
    <w:rsid w:val="002A39A0"/>
    <w:rsid w:val="002A3C1C"/>
    <w:rsid w:val="002A4B0C"/>
    <w:rsid w:val="002A4DB3"/>
    <w:rsid w:val="002A4FA3"/>
    <w:rsid w:val="002A50D0"/>
    <w:rsid w:val="002A5303"/>
    <w:rsid w:val="002A5E6D"/>
    <w:rsid w:val="002A62D2"/>
    <w:rsid w:val="002A6373"/>
    <w:rsid w:val="002A64DB"/>
    <w:rsid w:val="002A6B6F"/>
    <w:rsid w:val="002A6DD8"/>
    <w:rsid w:val="002A7A7D"/>
    <w:rsid w:val="002A7B65"/>
    <w:rsid w:val="002A7DFB"/>
    <w:rsid w:val="002B04A5"/>
    <w:rsid w:val="002B05F1"/>
    <w:rsid w:val="002B09AA"/>
    <w:rsid w:val="002B0B8B"/>
    <w:rsid w:val="002B0DC9"/>
    <w:rsid w:val="002B0FBF"/>
    <w:rsid w:val="002B1722"/>
    <w:rsid w:val="002B1960"/>
    <w:rsid w:val="002B196F"/>
    <w:rsid w:val="002B199A"/>
    <w:rsid w:val="002B1C4F"/>
    <w:rsid w:val="002B1D4D"/>
    <w:rsid w:val="002B28D7"/>
    <w:rsid w:val="002B2A64"/>
    <w:rsid w:val="002B2F43"/>
    <w:rsid w:val="002B3448"/>
    <w:rsid w:val="002B3752"/>
    <w:rsid w:val="002B38A3"/>
    <w:rsid w:val="002B3C64"/>
    <w:rsid w:val="002B4714"/>
    <w:rsid w:val="002B563A"/>
    <w:rsid w:val="002B59E4"/>
    <w:rsid w:val="002B663C"/>
    <w:rsid w:val="002B71FB"/>
    <w:rsid w:val="002B7690"/>
    <w:rsid w:val="002B77E7"/>
    <w:rsid w:val="002B7B2A"/>
    <w:rsid w:val="002B7B45"/>
    <w:rsid w:val="002C0050"/>
    <w:rsid w:val="002C0296"/>
    <w:rsid w:val="002C0624"/>
    <w:rsid w:val="002C068D"/>
    <w:rsid w:val="002C0714"/>
    <w:rsid w:val="002C0B29"/>
    <w:rsid w:val="002C0B91"/>
    <w:rsid w:val="002C0EB2"/>
    <w:rsid w:val="002C192F"/>
    <w:rsid w:val="002C20D5"/>
    <w:rsid w:val="002C2866"/>
    <w:rsid w:val="002C330D"/>
    <w:rsid w:val="002C3830"/>
    <w:rsid w:val="002C3A3C"/>
    <w:rsid w:val="002C3B13"/>
    <w:rsid w:val="002C3BC8"/>
    <w:rsid w:val="002C4247"/>
    <w:rsid w:val="002C49E9"/>
    <w:rsid w:val="002C54D8"/>
    <w:rsid w:val="002C600B"/>
    <w:rsid w:val="002C613B"/>
    <w:rsid w:val="002C6455"/>
    <w:rsid w:val="002C6EA3"/>
    <w:rsid w:val="002C71A9"/>
    <w:rsid w:val="002C79D3"/>
    <w:rsid w:val="002C7E7E"/>
    <w:rsid w:val="002D08DB"/>
    <w:rsid w:val="002D0D17"/>
    <w:rsid w:val="002D0D60"/>
    <w:rsid w:val="002D0FBB"/>
    <w:rsid w:val="002D2069"/>
    <w:rsid w:val="002D2580"/>
    <w:rsid w:val="002D290C"/>
    <w:rsid w:val="002D4227"/>
    <w:rsid w:val="002D4C40"/>
    <w:rsid w:val="002D5538"/>
    <w:rsid w:val="002D556B"/>
    <w:rsid w:val="002D5CB8"/>
    <w:rsid w:val="002D6080"/>
    <w:rsid w:val="002D688C"/>
    <w:rsid w:val="002D75F7"/>
    <w:rsid w:val="002E057A"/>
    <w:rsid w:val="002E05CA"/>
    <w:rsid w:val="002E077C"/>
    <w:rsid w:val="002E0912"/>
    <w:rsid w:val="002E1007"/>
    <w:rsid w:val="002E1257"/>
    <w:rsid w:val="002E1CAA"/>
    <w:rsid w:val="002E2C6D"/>
    <w:rsid w:val="002E2F52"/>
    <w:rsid w:val="002E47E3"/>
    <w:rsid w:val="002E4A95"/>
    <w:rsid w:val="002E54AA"/>
    <w:rsid w:val="002E5846"/>
    <w:rsid w:val="002E5E56"/>
    <w:rsid w:val="002E5F4D"/>
    <w:rsid w:val="002E5F9B"/>
    <w:rsid w:val="002E6849"/>
    <w:rsid w:val="002E6984"/>
    <w:rsid w:val="002E69F1"/>
    <w:rsid w:val="002E72BE"/>
    <w:rsid w:val="002E753B"/>
    <w:rsid w:val="002E7A05"/>
    <w:rsid w:val="002E7A52"/>
    <w:rsid w:val="002E7A87"/>
    <w:rsid w:val="002E7C13"/>
    <w:rsid w:val="002F099A"/>
    <w:rsid w:val="002F0B8C"/>
    <w:rsid w:val="002F0BCC"/>
    <w:rsid w:val="002F1409"/>
    <w:rsid w:val="002F15A2"/>
    <w:rsid w:val="002F1618"/>
    <w:rsid w:val="002F1987"/>
    <w:rsid w:val="002F1E47"/>
    <w:rsid w:val="002F1EF8"/>
    <w:rsid w:val="002F2A33"/>
    <w:rsid w:val="002F2AAE"/>
    <w:rsid w:val="002F2C9C"/>
    <w:rsid w:val="002F2EFD"/>
    <w:rsid w:val="002F3ADF"/>
    <w:rsid w:val="002F3D51"/>
    <w:rsid w:val="002F3F07"/>
    <w:rsid w:val="002F467A"/>
    <w:rsid w:val="002F4E7F"/>
    <w:rsid w:val="002F4FA3"/>
    <w:rsid w:val="002F51D7"/>
    <w:rsid w:val="002F52C1"/>
    <w:rsid w:val="002F5B41"/>
    <w:rsid w:val="002F626B"/>
    <w:rsid w:val="002F626F"/>
    <w:rsid w:val="002F66E7"/>
    <w:rsid w:val="002F75B0"/>
    <w:rsid w:val="002F7624"/>
    <w:rsid w:val="002F77AF"/>
    <w:rsid w:val="003009B6"/>
    <w:rsid w:val="00300FCB"/>
    <w:rsid w:val="0030100B"/>
    <w:rsid w:val="00301296"/>
    <w:rsid w:val="00301C4B"/>
    <w:rsid w:val="00301F57"/>
    <w:rsid w:val="0030249E"/>
    <w:rsid w:val="00302827"/>
    <w:rsid w:val="003029D5"/>
    <w:rsid w:val="003030A3"/>
    <w:rsid w:val="0030352A"/>
    <w:rsid w:val="00303FA8"/>
    <w:rsid w:val="00303FB9"/>
    <w:rsid w:val="00304A2F"/>
    <w:rsid w:val="00304C90"/>
    <w:rsid w:val="00304FED"/>
    <w:rsid w:val="003050D4"/>
    <w:rsid w:val="00305258"/>
    <w:rsid w:val="003054FE"/>
    <w:rsid w:val="00305756"/>
    <w:rsid w:val="00305A97"/>
    <w:rsid w:val="00305E4E"/>
    <w:rsid w:val="0030675A"/>
    <w:rsid w:val="00306A57"/>
    <w:rsid w:val="00306BD8"/>
    <w:rsid w:val="00306BE2"/>
    <w:rsid w:val="00307921"/>
    <w:rsid w:val="00310392"/>
    <w:rsid w:val="00311344"/>
    <w:rsid w:val="00311368"/>
    <w:rsid w:val="003113A8"/>
    <w:rsid w:val="00311CE6"/>
    <w:rsid w:val="00311D97"/>
    <w:rsid w:val="0031204E"/>
    <w:rsid w:val="003120BA"/>
    <w:rsid w:val="00312130"/>
    <w:rsid w:val="00312F8F"/>
    <w:rsid w:val="0031304F"/>
    <w:rsid w:val="0031358B"/>
    <w:rsid w:val="003137B3"/>
    <w:rsid w:val="00313F77"/>
    <w:rsid w:val="0031444B"/>
    <w:rsid w:val="003144BE"/>
    <w:rsid w:val="003144EA"/>
    <w:rsid w:val="00314A46"/>
    <w:rsid w:val="0031522C"/>
    <w:rsid w:val="00316431"/>
    <w:rsid w:val="003166E2"/>
    <w:rsid w:val="00316AF1"/>
    <w:rsid w:val="0032040F"/>
    <w:rsid w:val="00320E7C"/>
    <w:rsid w:val="00320F17"/>
    <w:rsid w:val="00322802"/>
    <w:rsid w:val="00322960"/>
    <w:rsid w:val="00322FE3"/>
    <w:rsid w:val="00323647"/>
    <w:rsid w:val="0032398C"/>
    <w:rsid w:val="003239A6"/>
    <w:rsid w:val="003241C5"/>
    <w:rsid w:val="0032473E"/>
    <w:rsid w:val="00324A75"/>
    <w:rsid w:val="00324E49"/>
    <w:rsid w:val="003251AB"/>
    <w:rsid w:val="00325586"/>
    <w:rsid w:val="00326076"/>
    <w:rsid w:val="00326266"/>
    <w:rsid w:val="00326B99"/>
    <w:rsid w:val="00326D46"/>
    <w:rsid w:val="00326E19"/>
    <w:rsid w:val="0032756B"/>
    <w:rsid w:val="0033025F"/>
    <w:rsid w:val="003302B2"/>
    <w:rsid w:val="003303C0"/>
    <w:rsid w:val="00330475"/>
    <w:rsid w:val="00331658"/>
    <w:rsid w:val="003319A5"/>
    <w:rsid w:val="003328DC"/>
    <w:rsid w:val="00333BF6"/>
    <w:rsid w:val="00334323"/>
    <w:rsid w:val="003344ED"/>
    <w:rsid w:val="00334778"/>
    <w:rsid w:val="00334CBF"/>
    <w:rsid w:val="003356B5"/>
    <w:rsid w:val="00335856"/>
    <w:rsid w:val="00335D0A"/>
    <w:rsid w:val="00335FF6"/>
    <w:rsid w:val="0033634F"/>
    <w:rsid w:val="00336581"/>
    <w:rsid w:val="003365E8"/>
    <w:rsid w:val="003368E5"/>
    <w:rsid w:val="00336BE7"/>
    <w:rsid w:val="0033757F"/>
    <w:rsid w:val="00337781"/>
    <w:rsid w:val="003377BB"/>
    <w:rsid w:val="00337DA8"/>
    <w:rsid w:val="003402B8"/>
    <w:rsid w:val="003402FC"/>
    <w:rsid w:val="003403BA"/>
    <w:rsid w:val="00340A89"/>
    <w:rsid w:val="00340DE5"/>
    <w:rsid w:val="003410C7"/>
    <w:rsid w:val="003410F9"/>
    <w:rsid w:val="003415F3"/>
    <w:rsid w:val="00341EB7"/>
    <w:rsid w:val="003420EA"/>
    <w:rsid w:val="00342B48"/>
    <w:rsid w:val="00343699"/>
    <w:rsid w:val="00343B57"/>
    <w:rsid w:val="00343BB3"/>
    <w:rsid w:val="00344585"/>
    <w:rsid w:val="0034461A"/>
    <w:rsid w:val="00344635"/>
    <w:rsid w:val="00344701"/>
    <w:rsid w:val="00345145"/>
    <w:rsid w:val="003455ED"/>
    <w:rsid w:val="003456C2"/>
    <w:rsid w:val="00345E6F"/>
    <w:rsid w:val="0034601E"/>
    <w:rsid w:val="00346474"/>
    <w:rsid w:val="00346558"/>
    <w:rsid w:val="00346698"/>
    <w:rsid w:val="0034675B"/>
    <w:rsid w:val="00347F45"/>
    <w:rsid w:val="00350A20"/>
    <w:rsid w:val="00351F06"/>
    <w:rsid w:val="00352162"/>
    <w:rsid w:val="00352285"/>
    <w:rsid w:val="00352AC1"/>
    <w:rsid w:val="00352D3A"/>
    <w:rsid w:val="003530F1"/>
    <w:rsid w:val="00353DA0"/>
    <w:rsid w:val="00353DB9"/>
    <w:rsid w:val="0035422D"/>
    <w:rsid w:val="0035494E"/>
    <w:rsid w:val="003549C4"/>
    <w:rsid w:val="00354D39"/>
    <w:rsid w:val="0035542E"/>
    <w:rsid w:val="00355650"/>
    <w:rsid w:val="00355C28"/>
    <w:rsid w:val="0035619F"/>
    <w:rsid w:val="00356A29"/>
    <w:rsid w:val="0035765F"/>
    <w:rsid w:val="0035772F"/>
    <w:rsid w:val="00357754"/>
    <w:rsid w:val="00357C00"/>
    <w:rsid w:val="00357DFA"/>
    <w:rsid w:val="00360146"/>
    <w:rsid w:val="0036022F"/>
    <w:rsid w:val="0036032B"/>
    <w:rsid w:val="00360464"/>
    <w:rsid w:val="003605C8"/>
    <w:rsid w:val="003605D8"/>
    <w:rsid w:val="00360CE2"/>
    <w:rsid w:val="00360E18"/>
    <w:rsid w:val="00360E5B"/>
    <w:rsid w:val="00361587"/>
    <w:rsid w:val="00362349"/>
    <w:rsid w:val="00363251"/>
    <w:rsid w:val="00363A9A"/>
    <w:rsid w:val="00363BE6"/>
    <w:rsid w:val="0036431C"/>
    <w:rsid w:val="003646DA"/>
    <w:rsid w:val="0036535B"/>
    <w:rsid w:val="003659E8"/>
    <w:rsid w:val="00366142"/>
    <w:rsid w:val="00366645"/>
    <w:rsid w:val="00366C3A"/>
    <w:rsid w:val="00367186"/>
    <w:rsid w:val="003700CF"/>
    <w:rsid w:val="0037070F"/>
    <w:rsid w:val="00370E23"/>
    <w:rsid w:val="003711A1"/>
    <w:rsid w:val="0037164A"/>
    <w:rsid w:val="00371CB6"/>
    <w:rsid w:val="00371ECE"/>
    <w:rsid w:val="00371F43"/>
    <w:rsid w:val="0037204D"/>
    <w:rsid w:val="0037253B"/>
    <w:rsid w:val="00372A8E"/>
    <w:rsid w:val="00372D4E"/>
    <w:rsid w:val="00372E0D"/>
    <w:rsid w:val="003732D9"/>
    <w:rsid w:val="00373C43"/>
    <w:rsid w:val="00373F06"/>
    <w:rsid w:val="0037402F"/>
    <w:rsid w:val="00374A9B"/>
    <w:rsid w:val="00374CF9"/>
    <w:rsid w:val="003750E7"/>
    <w:rsid w:val="0037538C"/>
    <w:rsid w:val="00375AD3"/>
    <w:rsid w:val="00375BBB"/>
    <w:rsid w:val="00375E99"/>
    <w:rsid w:val="00376132"/>
    <w:rsid w:val="0037639D"/>
    <w:rsid w:val="003765A3"/>
    <w:rsid w:val="00376B6A"/>
    <w:rsid w:val="00376C88"/>
    <w:rsid w:val="00376DF7"/>
    <w:rsid w:val="00377AF5"/>
    <w:rsid w:val="00377C98"/>
    <w:rsid w:val="003808C8"/>
    <w:rsid w:val="00380BFD"/>
    <w:rsid w:val="00380D80"/>
    <w:rsid w:val="003814CD"/>
    <w:rsid w:val="00382231"/>
    <w:rsid w:val="003827D2"/>
    <w:rsid w:val="003827F4"/>
    <w:rsid w:val="003828C3"/>
    <w:rsid w:val="003829D4"/>
    <w:rsid w:val="00382D86"/>
    <w:rsid w:val="00382DDD"/>
    <w:rsid w:val="0038307D"/>
    <w:rsid w:val="003830B7"/>
    <w:rsid w:val="00383439"/>
    <w:rsid w:val="00383AC4"/>
    <w:rsid w:val="00383CD9"/>
    <w:rsid w:val="00383D2A"/>
    <w:rsid w:val="00384581"/>
    <w:rsid w:val="0038476A"/>
    <w:rsid w:val="00384908"/>
    <w:rsid w:val="00384A0D"/>
    <w:rsid w:val="00384B79"/>
    <w:rsid w:val="00384DA5"/>
    <w:rsid w:val="00385B7F"/>
    <w:rsid w:val="00385CDA"/>
    <w:rsid w:val="003860AA"/>
    <w:rsid w:val="003861FF"/>
    <w:rsid w:val="00386E07"/>
    <w:rsid w:val="003870C8"/>
    <w:rsid w:val="003873FF"/>
    <w:rsid w:val="003877A2"/>
    <w:rsid w:val="003877C8"/>
    <w:rsid w:val="00387971"/>
    <w:rsid w:val="00387AE5"/>
    <w:rsid w:val="00387B85"/>
    <w:rsid w:val="00387CE0"/>
    <w:rsid w:val="00387D63"/>
    <w:rsid w:val="0039046A"/>
    <w:rsid w:val="003905FA"/>
    <w:rsid w:val="0039092A"/>
    <w:rsid w:val="003909F3"/>
    <w:rsid w:val="00390DB7"/>
    <w:rsid w:val="0039100C"/>
    <w:rsid w:val="00391416"/>
    <w:rsid w:val="003917E3"/>
    <w:rsid w:val="00391A0C"/>
    <w:rsid w:val="00391D4E"/>
    <w:rsid w:val="00392363"/>
    <w:rsid w:val="00392903"/>
    <w:rsid w:val="0039386F"/>
    <w:rsid w:val="00393A41"/>
    <w:rsid w:val="00393A9E"/>
    <w:rsid w:val="00393CB5"/>
    <w:rsid w:val="00393CFB"/>
    <w:rsid w:val="00393EB8"/>
    <w:rsid w:val="0039420C"/>
    <w:rsid w:val="00394BEF"/>
    <w:rsid w:val="00394D92"/>
    <w:rsid w:val="00395929"/>
    <w:rsid w:val="00395C82"/>
    <w:rsid w:val="003963DB"/>
    <w:rsid w:val="003964DC"/>
    <w:rsid w:val="0039675F"/>
    <w:rsid w:val="00396FC3"/>
    <w:rsid w:val="003973C7"/>
    <w:rsid w:val="003974CD"/>
    <w:rsid w:val="0039780F"/>
    <w:rsid w:val="00397CBC"/>
    <w:rsid w:val="00397EE5"/>
    <w:rsid w:val="00397EEB"/>
    <w:rsid w:val="003A05A4"/>
    <w:rsid w:val="003A0A5D"/>
    <w:rsid w:val="003A0AB9"/>
    <w:rsid w:val="003A151D"/>
    <w:rsid w:val="003A1822"/>
    <w:rsid w:val="003A1A7A"/>
    <w:rsid w:val="003A1C0B"/>
    <w:rsid w:val="003A1D14"/>
    <w:rsid w:val="003A2336"/>
    <w:rsid w:val="003A2732"/>
    <w:rsid w:val="003A2754"/>
    <w:rsid w:val="003A27E7"/>
    <w:rsid w:val="003A284D"/>
    <w:rsid w:val="003A2F9D"/>
    <w:rsid w:val="003A30BA"/>
    <w:rsid w:val="003A34A2"/>
    <w:rsid w:val="003A3CB5"/>
    <w:rsid w:val="003A4037"/>
    <w:rsid w:val="003A5190"/>
    <w:rsid w:val="003A5325"/>
    <w:rsid w:val="003A5665"/>
    <w:rsid w:val="003A6131"/>
    <w:rsid w:val="003A6293"/>
    <w:rsid w:val="003A64DA"/>
    <w:rsid w:val="003A67CD"/>
    <w:rsid w:val="003A77AD"/>
    <w:rsid w:val="003B02FD"/>
    <w:rsid w:val="003B0E5B"/>
    <w:rsid w:val="003B12FF"/>
    <w:rsid w:val="003B1434"/>
    <w:rsid w:val="003B14B8"/>
    <w:rsid w:val="003B1BEE"/>
    <w:rsid w:val="003B2575"/>
    <w:rsid w:val="003B28A5"/>
    <w:rsid w:val="003B2A44"/>
    <w:rsid w:val="003B310A"/>
    <w:rsid w:val="003B35DF"/>
    <w:rsid w:val="003B3C8C"/>
    <w:rsid w:val="003B3F92"/>
    <w:rsid w:val="003B4136"/>
    <w:rsid w:val="003B4473"/>
    <w:rsid w:val="003B4A61"/>
    <w:rsid w:val="003B4A9A"/>
    <w:rsid w:val="003B4BA8"/>
    <w:rsid w:val="003B577B"/>
    <w:rsid w:val="003B5E88"/>
    <w:rsid w:val="003B5FBB"/>
    <w:rsid w:val="003B5FF1"/>
    <w:rsid w:val="003B6041"/>
    <w:rsid w:val="003B60E3"/>
    <w:rsid w:val="003B6482"/>
    <w:rsid w:val="003B6682"/>
    <w:rsid w:val="003B700A"/>
    <w:rsid w:val="003B73D8"/>
    <w:rsid w:val="003B7457"/>
    <w:rsid w:val="003B7B6E"/>
    <w:rsid w:val="003B7DF9"/>
    <w:rsid w:val="003C0168"/>
    <w:rsid w:val="003C0909"/>
    <w:rsid w:val="003C0ACA"/>
    <w:rsid w:val="003C0B41"/>
    <w:rsid w:val="003C0BFB"/>
    <w:rsid w:val="003C0CAE"/>
    <w:rsid w:val="003C0CE8"/>
    <w:rsid w:val="003C10D0"/>
    <w:rsid w:val="003C189C"/>
    <w:rsid w:val="003C1EA6"/>
    <w:rsid w:val="003C1EB1"/>
    <w:rsid w:val="003C2194"/>
    <w:rsid w:val="003C301C"/>
    <w:rsid w:val="003C3089"/>
    <w:rsid w:val="003C31E0"/>
    <w:rsid w:val="003C32C5"/>
    <w:rsid w:val="003C3EA8"/>
    <w:rsid w:val="003C41C7"/>
    <w:rsid w:val="003C4229"/>
    <w:rsid w:val="003C4443"/>
    <w:rsid w:val="003C4D04"/>
    <w:rsid w:val="003C56C7"/>
    <w:rsid w:val="003C5A0A"/>
    <w:rsid w:val="003C655A"/>
    <w:rsid w:val="003C66E6"/>
    <w:rsid w:val="003C7848"/>
    <w:rsid w:val="003C7ACA"/>
    <w:rsid w:val="003C7D2F"/>
    <w:rsid w:val="003D0FCE"/>
    <w:rsid w:val="003D11E1"/>
    <w:rsid w:val="003D1AB1"/>
    <w:rsid w:val="003D1D3D"/>
    <w:rsid w:val="003D2388"/>
    <w:rsid w:val="003D2795"/>
    <w:rsid w:val="003D2CE3"/>
    <w:rsid w:val="003D2F7A"/>
    <w:rsid w:val="003D34B8"/>
    <w:rsid w:val="003D37A4"/>
    <w:rsid w:val="003D3AEF"/>
    <w:rsid w:val="003D3AF9"/>
    <w:rsid w:val="003D3D6A"/>
    <w:rsid w:val="003D40F1"/>
    <w:rsid w:val="003D4530"/>
    <w:rsid w:val="003D50E6"/>
    <w:rsid w:val="003D5210"/>
    <w:rsid w:val="003D5224"/>
    <w:rsid w:val="003D554E"/>
    <w:rsid w:val="003D5C12"/>
    <w:rsid w:val="003D5F1C"/>
    <w:rsid w:val="003D650A"/>
    <w:rsid w:val="003D66A0"/>
    <w:rsid w:val="003D6EE9"/>
    <w:rsid w:val="003D6F2E"/>
    <w:rsid w:val="003D72B1"/>
    <w:rsid w:val="003D7330"/>
    <w:rsid w:val="003D7C84"/>
    <w:rsid w:val="003E0076"/>
    <w:rsid w:val="003E041C"/>
    <w:rsid w:val="003E0539"/>
    <w:rsid w:val="003E098C"/>
    <w:rsid w:val="003E0D24"/>
    <w:rsid w:val="003E1737"/>
    <w:rsid w:val="003E18D7"/>
    <w:rsid w:val="003E1C5A"/>
    <w:rsid w:val="003E1DB5"/>
    <w:rsid w:val="003E290C"/>
    <w:rsid w:val="003E29BF"/>
    <w:rsid w:val="003E39BD"/>
    <w:rsid w:val="003E39CB"/>
    <w:rsid w:val="003E3D2B"/>
    <w:rsid w:val="003E3E07"/>
    <w:rsid w:val="003E3F79"/>
    <w:rsid w:val="003E41FF"/>
    <w:rsid w:val="003E44BC"/>
    <w:rsid w:val="003E4B82"/>
    <w:rsid w:val="003E503F"/>
    <w:rsid w:val="003E5204"/>
    <w:rsid w:val="003E5818"/>
    <w:rsid w:val="003E5D12"/>
    <w:rsid w:val="003E6597"/>
    <w:rsid w:val="003F022F"/>
    <w:rsid w:val="003F02A8"/>
    <w:rsid w:val="003F07EC"/>
    <w:rsid w:val="003F0A1E"/>
    <w:rsid w:val="003F0ECB"/>
    <w:rsid w:val="003F1038"/>
    <w:rsid w:val="003F1A0F"/>
    <w:rsid w:val="003F1D13"/>
    <w:rsid w:val="003F25A2"/>
    <w:rsid w:val="003F2614"/>
    <w:rsid w:val="003F2B19"/>
    <w:rsid w:val="003F392E"/>
    <w:rsid w:val="003F3A5A"/>
    <w:rsid w:val="003F3B25"/>
    <w:rsid w:val="003F3DC4"/>
    <w:rsid w:val="003F3EDB"/>
    <w:rsid w:val="003F484C"/>
    <w:rsid w:val="003F51AB"/>
    <w:rsid w:val="003F5219"/>
    <w:rsid w:val="003F58A7"/>
    <w:rsid w:val="003F6502"/>
    <w:rsid w:val="003F6F72"/>
    <w:rsid w:val="003F7321"/>
    <w:rsid w:val="003F736F"/>
    <w:rsid w:val="003F7908"/>
    <w:rsid w:val="003F7AC9"/>
    <w:rsid w:val="003F7CDF"/>
    <w:rsid w:val="0040019B"/>
    <w:rsid w:val="004003E6"/>
    <w:rsid w:val="0040139E"/>
    <w:rsid w:val="00402AE8"/>
    <w:rsid w:val="00402DB5"/>
    <w:rsid w:val="00402EA1"/>
    <w:rsid w:val="004032C8"/>
    <w:rsid w:val="004034BC"/>
    <w:rsid w:val="00403816"/>
    <w:rsid w:val="00403970"/>
    <w:rsid w:val="00403A82"/>
    <w:rsid w:val="00403E79"/>
    <w:rsid w:val="00403E7B"/>
    <w:rsid w:val="00403E7C"/>
    <w:rsid w:val="00404283"/>
    <w:rsid w:val="004042D3"/>
    <w:rsid w:val="00404418"/>
    <w:rsid w:val="00404447"/>
    <w:rsid w:val="00404561"/>
    <w:rsid w:val="00404BF7"/>
    <w:rsid w:val="00404DCA"/>
    <w:rsid w:val="00404F09"/>
    <w:rsid w:val="004054E4"/>
    <w:rsid w:val="00405D97"/>
    <w:rsid w:val="00405F88"/>
    <w:rsid w:val="00406887"/>
    <w:rsid w:val="0040695C"/>
    <w:rsid w:val="00406A40"/>
    <w:rsid w:val="00406E41"/>
    <w:rsid w:val="00406EA1"/>
    <w:rsid w:val="0040703B"/>
    <w:rsid w:val="00407483"/>
    <w:rsid w:val="00407612"/>
    <w:rsid w:val="004106A2"/>
    <w:rsid w:val="00410C1A"/>
    <w:rsid w:val="00410FD5"/>
    <w:rsid w:val="00411153"/>
    <w:rsid w:val="004111F0"/>
    <w:rsid w:val="004119A4"/>
    <w:rsid w:val="00411CC5"/>
    <w:rsid w:val="00411D9B"/>
    <w:rsid w:val="004120FF"/>
    <w:rsid w:val="00412A89"/>
    <w:rsid w:val="00412CE0"/>
    <w:rsid w:val="00412F79"/>
    <w:rsid w:val="0041307D"/>
    <w:rsid w:val="00413529"/>
    <w:rsid w:val="004136A9"/>
    <w:rsid w:val="0041378E"/>
    <w:rsid w:val="00414E84"/>
    <w:rsid w:val="00414ECD"/>
    <w:rsid w:val="00415590"/>
    <w:rsid w:val="0041566A"/>
    <w:rsid w:val="00415947"/>
    <w:rsid w:val="00415B35"/>
    <w:rsid w:val="00415E8A"/>
    <w:rsid w:val="00416281"/>
    <w:rsid w:val="004166A0"/>
    <w:rsid w:val="004173B1"/>
    <w:rsid w:val="004173CE"/>
    <w:rsid w:val="004176F4"/>
    <w:rsid w:val="0042039C"/>
    <w:rsid w:val="00421466"/>
    <w:rsid w:val="00421976"/>
    <w:rsid w:val="00421A42"/>
    <w:rsid w:val="00421EA2"/>
    <w:rsid w:val="0042261E"/>
    <w:rsid w:val="0042311F"/>
    <w:rsid w:val="0042317F"/>
    <w:rsid w:val="00423314"/>
    <w:rsid w:val="0042371D"/>
    <w:rsid w:val="0042374F"/>
    <w:rsid w:val="00423786"/>
    <w:rsid w:val="00424350"/>
    <w:rsid w:val="00424393"/>
    <w:rsid w:val="004243AE"/>
    <w:rsid w:val="0042456B"/>
    <w:rsid w:val="004246B9"/>
    <w:rsid w:val="00424FD1"/>
    <w:rsid w:val="0042544F"/>
    <w:rsid w:val="00425844"/>
    <w:rsid w:val="004262A5"/>
    <w:rsid w:val="004262EF"/>
    <w:rsid w:val="004264C5"/>
    <w:rsid w:val="0042674B"/>
    <w:rsid w:val="00426790"/>
    <w:rsid w:val="0042682B"/>
    <w:rsid w:val="00426AA4"/>
    <w:rsid w:val="00427013"/>
    <w:rsid w:val="0042782E"/>
    <w:rsid w:val="004301AF"/>
    <w:rsid w:val="00430955"/>
    <w:rsid w:val="004311D6"/>
    <w:rsid w:val="00431E43"/>
    <w:rsid w:val="004327B6"/>
    <w:rsid w:val="00432DB1"/>
    <w:rsid w:val="004336CA"/>
    <w:rsid w:val="00433754"/>
    <w:rsid w:val="00433FA5"/>
    <w:rsid w:val="00434EDF"/>
    <w:rsid w:val="0043531A"/>
    <w:rsid w:val="0043561A"/>
    <w:rsid w:val="004359AA"/>
    <w:rsid w:val="00435D70"/>
    <w:rsid w:val="00435EA0"/>
    <w:rsid w:val="00436069"/>
    <w:rsid w:val="0043644C"/>
    <w:rsid w:val="00436459"/>
    <w:rsid w:val="0043670E"/>
    <w:rsid w:val="00436805"/>
    <w:rsid w:val="00436959"/>
    <w:rsid w:val="00436A01"/>
    <w:rsid w:val="004374CC"/>
    <w:rsid w:val="00437609"/>
    <w:rsid w:val="0043764A"/>
    <w:rsid w:val="004376D8"/>
    <w:rsid w:val="00437BA8"/>
    <w:rsid w:val="00437EB4"/>
    <w:rsid w:val="0044050D"/>
    <w:rsid w:val="0044133B"/>
    <w:rsid w:val="0044156B"/>
    <w:rsid w:val="00441A47"/>
    <w:rsid w:val="0044271C"/>
    <w:rsid w:val="00442EEC"/>
    <w:rsid w:val="00442F31"/>
    <w:rsid w:val="0044322A"/>
    <w:rsid w:val="004433C8"/>
    <w:rsid w:val="004434E9"/>
    <w:rsid w:val="004439A4"/>
    <w:rsid w:val="00443B14"/>
    <w:rsid w:val="00443DF8"/>
    <w:rsid w:val="00443F27"/>
    <w:rsid w:val="00444013"/>
    <w:rsid w:val="004440E1"/>
    <w:rsid w:val="004443DD"/>
    <w:rsid w:val="004443E9"/>
    <w:rsid w:val="00444544"/>
    <w:rsid w:val="00444800"/>
    <w:rsid w:val="00444997"/>
    <w:rsid w:val="00444BCC"/>
    <w:rsid w:val="004450F6"/>
    <w:rsid w:val="004451D2"/>
    <w:rsid w:val="004455AF"/>
    <w:rsid w:val="0044600F"/>
    <w:rsid w:val="0044608F"/>
    <w:rsid w:val="00446427"/>
    <w:rsid w:val="004465AA"/>
    <w:rsid w:val="00446788"/>
    <w:rsid w:val="00446A29"/>
    <w:rsid w:val="00446E18"/>
    <w:rsid w:val="00447EAA"/>
    <w:rsid w:val="0045018E"/>
    <w:rsid w:val="004502BA"/>
    <w:rsid w:val="004505A2"/>
    <w:rsid w:val="004509A2"/>
    <w:rsid w:val="00450AEB"/>
    <w:rsid w:val="00450BCC"/>
    <w:rsid w:val="0045105C"/>
    <w:rsid w:val="00451B72"/>
    <w:rsid w:val="00451BFF"/>
    <w:rsid w:val="00452365"/>
    <w:rsid w:val="004527B5"/>
    <w:rsid w:val="004529E0"/>
    <w:rsid w:val="00452A5B"/>
    <w:rsid w:val="00452E2A"/>
    <w:rsid w:val="0045306C"/>
    <w:rsid w:val="00453600"/>
    <w:rsid w:val="0045395F"/>
    <w:rsid w:val="004539FC"/>
    <w:rsid w:val="00453CFB"/>
    <w:rsid w:val="00454088"/>
    <w:rsid w:val="0045496C"/>
    <w:rsid w:val="00455124"/>
    <w:rsid w:val="0045526C"/>
    <w:rsid w:val="00455272"/>
    <w:rsid w:val="00455382"/>
    <w:rsid w:val="00455655"/>
    <w:rsid w:val="00455DF6"/>
    <w:rsid w:val="00455E7B"/>
    <w:rsid w:val="004562DC"/>
    <w:rsid w:val="00456526"/>
    <w:rsid w:val="00456D4B"/>
    <w:rsid w:val="004575BA"/>
    <w:rsid w:val="00460C4D"/>
    <w:rsid w:val="00460DD4"/>
    <w:rsid w:val="00461405"/>
    <w:rsid w:val="00461788"/>
    <w:rsid w:val="00461C40"/>
    <w:rsid w:val="00461E32"/>
    <w:rsid w:val="00462823"/>
    <w:rsid w:val="00462C64"/>
    <w:rsid w:val="0046395C"/>
    <w:rsid w:val="00463ACB"/>
    <w:rsid w:val="00463BE2"/>
    <w:rsid w:val="0046434E"/>
    <w:rsid w:val="0046517F"/>
    <w:rsid w:val="00466102"/>
    <w:rsid w:val="00466299"/>
    <w:rsid w:val="004665B9"/>
    <w:rsid w:val="00466C1A"/>
    <w:rsid w:val="004670A1"/>
    <w:rsid w:val="0046725F"/>
    <w:rsid w:val="004679C3"/>
    <w:rsid w:val="00467EC9"/>
    <w:rsid w:val="004701BF"/>
    <w:rsid w:val="004702B9"/>
    <w:rsid w:val="004703D6"/>
    <w:rsid w:val="00470419"/>
    <w:rsid w:val="004707EC"/>
    <w:rsid w:val="00470F14"/>
    <w:rsid w:val="00470F81"/>
    <w:rsid w:val="0047148B"/>
    <w:rsid w:val="00471AE7"/>
    <w:rsid w:val="00472401"/>
    <w:rsid w:val="004724BF"/>
    <w:rsid w:val="00472F9F"/>
    <w:rsid w:val="0047370A"/>
    <w:rsid w:val="00473767"/>
    <w:rsid w:val="00473789"/>
    <w:rsid w:val="00473C4A"/>
    <w:rsid w:val="00473C59"/>
    <w:rsid w:val="00474109"/>
    <w:rsid w:val="004750DB"/>
    <w:rsid w:val="004755E2"/>
    <w:rsid w:val="0047575E"/>
    <w:rsid w:val="00475EA2"/>
    <w:rsid w:val="00475EE1"/>
    <w:rsid w:val="00476215"/>
    <w:rsid w:val="004763A3"/>
    <w:rsid w:val="0047737E"/>
    <w:rsid w:val="0047749D"/>
    <w:rsid w:val="004776B7"/>
    <w:rsid w:val="0047794C"/>
    <w:rsid w:val="00477A16"/>
    <w:rsid w:val="00480C9F"/>
    <w:rsid w:val="00481843"/>
    <w:rsid w:val="00481B55"/>
    <w:rsid w:val="00481FE9"/>
    <w:rsid w:val="004826AE"/>
    <w:rsid w:val="00482812"/>
    <w:rsid w:val="00483444"/>
    <w:rsid w:val="00483451"/>
    <w:rsid w:val="00483721"/>
    <w:rsid w:val="0048377E"/>
    <w:rsid w:val="0048381D"/>
    <w:rsid w:val="004840B6"/>
    <w:rsid w:val="00484140"/>
    <w:rsid w:val="004842DD"/>
    <w:rsid w:val="0048487F"/>
    <w:rsid w:val="00484DD9"/>
    <w:rsid w:val="004853D8"/>
    <w:rsid w:val="00485699"/>
    <w:rsid w:val="00485721"/>
    <w:rsid w:val="00485D45"/>
    <w:rsid w:val="00485E23"/>
    <w:rsid w:val="00486152"/>
    <w:rsid w:val="004865C4"/>
    <w:rsid w:val="00486869"/>
    <w:rsid w:val="00486AD4"/>
    <w:rsid w:val="00486C19"/>
    <w:rsid w:val="00486C88"/>
    <w:rsid w:val="00487007"/>
    <w:rsid w:val="00490337"/>
    <w:rsid w:val="004903FB"/>
    <w:rsid w:val="0049044D"/>
    <w:rsid w:val="00491108"/>
    <w:rsid w:val="004913B7"/>
    <w:rsid w:val="004915F7"/>
    <w:rsid w:val="00492269"/>
    <w:rsid w:val="00492445"/>
    <w:rsid w:val="00492645"/>
    <w:rsid w:val="0049271C"/>
    <w:rsid w:val="00492D34"/>
    <w:rsid w:val="00492F5C"/>
    <w:rsid w:val="00493599"/>
    <w:rsid w:val="0049430E"/>
    <w:rsid w:val="004948DA"/>
    <w:rsid w:val="00494D51"/>
    <w:rsid w:val="00495B69"/>
    <w:rsid w:val="004963DB"/>
    <w:rsid w:val="00496AEB"/>
    <w:rsid w:val="00497717"/>
    <w:rsid w:val="00497E92"/>
    <w:rsid w:val="00497F9F"/>
    <w:rsid w:val="004A032B"/>
    <w:rsid w:val="004A118B"/>
    <w:rsid w:val="004A1272"/>
    <w:rsid w:val="004A15EB"/>
    <w:rsid w:val="004A1C5C"/>
    <w:rsid w:val="004A20AB"/>
    <w:rsid w:val="004A23B3"/>
    <w:rsid w:val="004A2909"/>
    <w:rsid w:val="004A2AF9"/>
    <w:rsid w:val="004A2AFD"/>
    <w:rsid w:val="004A2BF8"/>
    <w:rsid w:val="004A336D"/>
    <w:rsid w:val="004A3920"/>
    <w:rsid w:val="004A3D9D"/>
    <w:rsid w:val="004A4182"/>
    <w:rsid w:val="004A522E"/>
    <w:rsid w:val="004A5729"/>
    <w:rsid w:val="004A5826"/>
    <w:rsid w:val="004A596F"/>
    <w:rsid w:val="004A5D62"/>
    <w:rsid w:val="004A5E99"/>
    <w:rsid w:val="004A6293"/>
    <w:rsid w:val="004A70A7"/>
    <w:rsid w:val="004A7A9B"/>
    <w:rsid w:val="004A7ABF"/>
    <w:rsid w:val="004A7AD0"/>
    <w:rsid w:val="004A7AEE"/>
    <w:rsid w:val="004A7FAA"/>
    <w:rsid w:val="004B03E4"/>
    <w:rsid w:val="004B09EC"/>
    <w:rsid w:val="004B1092"/>
    <w:rsid w:val="004B154B"/>
    <w:rsid w:val="004B1666"/>
    <w:rsid w:val="004B16A0"/>
    <w:rsid w:val="004B173E"/>
    <w:rsid w:val="004B1B8F"/>
    <w:rsid w:val="004B1BFE"/>
    <w:rsid w:val="004B1C76"/>
    <w:rsid w:val="004B21DE"/>
    <w:rsid w:val="004B2330"/>
    <w:rsid w:val="004B242B"/>
    <w:rsid w:val="004B2522"/>
    <w:rsid w:val="004B28F4"/>
    <w:rsid w:val="004B2D88"/>
    <w:rsid w:val="004B334B"/>
    <w:rsid w:val="004B40B6"/>
    <w:rsid w:val="004B4276"/>
    <w:rsid w:val="004B4732"/>
    <w:rsid w:val="004B4E24"/>
    <w:rsid w:val="004B5328"/>
    <w:rsid w:val="004B54D3"/>
    <w:rsid w:val="004B5672"/>
    <w:rsid w:val="004B5E1C"/>
    <w:rsid w:val="004B606D"/>
    <w:rsid w:val="004B6466"/>
    <w:rsid w:val="004B6496"/>
    <w:rsid w:val="004B6577"/>
    <w:rsid w:val="004B6E4E"/>
    <w:rsid w:val="004B7466"/>
    <w:rsid w:val="004B7885"/>
    <w:rsid w:val="004B794A"/>
    <w:rsid w:val="004C0F6E"/>
    <w:rsid w:val="004C117A"/>
    <w:rsid w:val="004C1271"/>
    <w:rsid w:val="004C13F5"/>
    <w:rsid w:val="004C188A"/>
    <w:rsid w:val="004C246A"/>
    <w:rsid w:val="004C24CC"/>
    <w:rsid w:val="004C2623"/>
    <w:rsid w:val="004C2848"/>
    <w:rsid w:val="004C2A1A"/>
    <w:rsid w:val="004C2D4D"/>
    <w:rsid w:val="004C2F98"/>
    <w:rsid w:val="004C306B"/>
    <w:rsid w:val="004C3287"/>
    <w:rsid w:val="004C32C2"/>
    <w:rsid w:val="004C354D"/>
    <w:rsid w:val="004C3660"/>
    <w:rsid w:val="004C3680"/>
    <w:rsid w:val="004C375C"/>
    <w:rsid w:val="004C3832"/>
    <w:rsid w:val="004C39A2"/>
    <w:rsid w:val="004C3E33"/>
    <w:rsid w:val="004C4219"/>
    <w:rsid w:val="004C4564"/>
    <w:rsid w:val="004C45E2"/>
    <w:rsid w:val="004C4B17"/>
    <w:rsid w:val="004C5085"/>
    <w:rsid w:val="004C537C"/>
    <w:rsid w:val="004C6F4C"/>
    <w:rsid w:val="004C73BC"/>
    <w:rsid w:val="004C74F8"/>
    <w:rsid w:val="004C77AF"/>
    <w:rsid w:val="004C787A"/>
    <w:rsid w:val="004C790B"/>
    <w:rsid w:val="004C79BF"/>
    <w:rsid w:val="004D0135"/>
    <w:rsid w:val="004D0948"/>
    <w:rsid w:val="004D0994"/>
    <w:rsid w:val="004D09F8"/>
    <w:rsid w:val="004D0A22"/>
    <w:rsid w:val="004D0A4E"/>
    <w:rsid w:val="004D0E7E"/>
    <w:rsid w:val="004D11E1"/>
    <w:rsid w:val="004D190E"/>
    <w:rsid w:val="004D19D6"/>
    <w:rsid w:val="004D1F6B"/>
    <w:rsid w:val="004D221A"/>
    <w:rsid w:val="004D2260"/>
    <w:rsid w:val="004D25A6"/>
    <w:rsid w:val="004D275E"/>
    <w:rsid w:val="004D2F6B"/>
    <w:rsid w:val="004D3A4D"/>
    <w:rsid w:val="004D42CE"/>
    <w:rsid w:val="004D4A04"/>
    <w:rsid w:val="004D4BE7"/>
    <w:rsid w:val="004D4C48"/>
    <w:rsid w:val="004D51D3"/>
    <w:rsid w:val="004D5A3B"/>
    <w:rsid w:val="004D5BE7"/>
    <w:rsid w:val="004D5D2D"/>
    <w:rsid w:val="004D6A21"/>
    <w:rsid w:val="004D707E"/>
    <w:rsid w:val="004D76D2"/>
    <w:rsid w:val="004D7BFD"/>
    <w:rsid w:val="004D7F30"/>
    <w:rsid w:val="004E014F"/>
    <w:rsid w:val="004E0B12"/>
    <w:rsid w:val="004E0D33"/>
    <w:rsid w:val="004E12D7"/>
    <w:rsid w:val="004E1827"/>
    <w:rsid w:val="004E2089"/>
    <w:rsid w:val="004E20B5"/>
    <w:rsid w:val="004E2B7A"/>
    <w:rsid w:val="004E2C2C"/>
    <w:rsid w:val="004E2EAA"/>
    <w:rsid w:val="004E2EED"/>
    <w:rsid w:val="004E3F4B"/>
    <w:rsid w:val="004E43BE"/>
    <w:rsid w:val="004E53E9"/>
    <w:rsid w:val="004E5CAB"/>
    <w:rsid w:val="004E5FD8"/>
    <w:rsid w:val="004E63D4"/>
    <w:rsid w:val="004E6524"/>
    <w:rsid w:val="004E65FF"/>
    <w:rsid w:val="004E6808"/>
    <w:rsid w:val="004E690A"/>
    <w:rsid w:val="004E6955"/>
    <w:rsid w:val="004E7266"/>
    <w:rsid w:val="004E7292"/>
    <w:rsid w:val="004E78AE"/>
    <w:rsid w:val="004F0790"/>
    <w:rsid w:val="004F0995"/>
    <w:rsid w:val="004F0BE7"/>
    <w:rsid w:val="004F0E77"/>
    <w:rsid w:val="004F1265"/>
    <w:rsid w:val="004F1515"/>
    <w:rsid w:val="004F154B"/>
    <w:rsid w:val="004F1613"/>
    <w:rsid w:val="004F1932"/>
    <w:rsid w:val="004F1A88"/>
    <w:rsid w:val="004F1F18"/>
    <w:rsid w:val="004F282D"/>
    <w:rsid w:val="004F2A0E"/>
    <w:rsid w:val="004F2B75"/>
    <w:rsid w:val="004F2DB0"/>
    <w:rsid w:val="004F2EDE"/>
    <w:rsid w:val="004F2F62"/>
    <w:rsid w:val="004F338C"/>
    <w:rsid w:val="004F386D"/>
    <w:rsid w:val="004F38FB"/>
    <w:rsid w:val="004F4180"/>
    <w:rsid w:val="004F4952"/>
    <w:rsid w:val="004F4B58"/>
    <w:rsid w:val="004F4C8D"/>
    <w:rsid w:val="004F556E"/>
    <w:rsid w:val="004F719B"/>
    <w:rsid w:val="004F7604"/>
    <w:rsid w:val="005000C7"/>
    <w:rsid w:val="00500776"/>
    <w:rsid w:val="00500A98"/>
    <w:rsid w:val="00501A8F"/>
    <w:rsid w:val="00501BBE"/>
    <w:rsid w:val="00501D97"/>
    <w:rsid w:val="00501F6F"/>
    <w:rsid w:val="00502490"/>
    <w:rsid w:val="00502686"/>
    <w:rsid w:val="00502930"/>
    <w:rsid w:val="00502E09"/>
    <w:rsid w:val="0050347B"/>
    <w:rsid w:val="00503562"/>
    <w:rsid w:val="00503C33"/>
    <w:rsid w:val="00503F2B"/>
    <w:rsid w:val="00504AA5"/>
    <w:rsid w:val="00504BBE"/>
    <w:rsid w:val="00504CF7"/>
    <w:rsid w:val="0050508A"/>
    <w:rsid w:val="005051D6"/>
    <w:rsid w:val="00505C34"/>
    <w:rsid w:val="00506651"/>
    <w:rsid w:val="0050679D"/>
    <w:rsid w:val="005069E6"/>
    <w:rsid w:val="00506F8A"/>
    <w:rsid w:val="0050716A"/>
    <w:rsid w:val="005071F0"/>
    <w:rsid w:val="00507CF5"/>
    <w:rsid w:val="00507E62"/>
    <w:rsid w:val="00510638"/>
    <w:rsid w:val="00510916"/>
    <w:rsid w:val="00510CB8"/>
    <w:rsid w:val="005110D1"/>
    <w:rsid w:val="0051133A"/>
    <w:rsid w:val="005118D5"/>
    <w:rsid w:val="005120D7"/>
    <w:rsid w:val="00512334"/>
    <w:rsid w:val="0051257F"/>
    <w:rsid w:val="00512595"/>
    <w:rsid w:val="0051276D"/>
    <w:rsid w:val="00512982"/>
    <w:rsid w:val="0051298D"/>
    <w:rsid w:val="00513212"/>
    <w:rsid w:val="005133C6"/>
    <w:rsid w:val="005136C5"/>
    <w:rsid w:val="00513DC0"/>
    <w:rsid w:val="0051404E"/>
    <w:rsid w:val="005143C5"/>
    <w:rsid w:val="005145E8"/>
    <w:rsid w:val="00514799"/>
    <w:rsid w:val="005147C0"/>
    <w:rsid w:val="00514D8E"/>
    <w:rsid w:val="00515D42"/>
    <w:rsid w:val="00515E91"/>
    <w:rsid w:val="00515F6C"/>
    <w:rsid w:val="00516EA8"/>
    <w:rsid w:val="00517918"/>
    <w:rsid w:val="005205BE"/>
    <w:rsid w:val="00520AC6"/>
    <w:rsid w:val="00520EC8"/>
    <w:rsid w:val="0052126B"/>
    <w:rsid w:val="00521464"/>
    <w:rsid w:val="00521A1D"/>
    <w:rsid w:val="005225B2"/>
    <w:rsid w:val="0052263C"/>
    <w:rsid w:val="00522F29"/>
    <w:rsid w:val="00522F4F"/>
    <w:rsid w:val="0052327F"/>
    <w:rsid w:val="0052388A"/>
    <w:rsid w:val="00523A14"/>
    <w:rsid w:val="00523BB6"/>
    <w:rsid w:val="00523E78"/>
    <w:rsid w:val="0052439D"/>
    <w:rsid w:val="00524B23"/>
    <w:rsid w:val="0052546C"/>
    <w:rsid w:val="005258AC"/>
    <w:rsid w:val="00525C0C"/>
    <w:rsid w:val="00525CEF"/>
    <w:rsid w:val="00525DB1"/>
    <w:rsid w:val="0052655A"/>
    <w:rsid w:val="00526691"/>
    <w:rsid w:val="00526987"/>
    <w:rsid w:val="005269C6"/>
    <w:rsid w:val="0052786B"/>
    <w:rsid w:val="00527E4B"/>
    <w:rsid w:val="00530438"/>
    <w:rsid w:val="005304DD"/>
    <w:rsid w:val="00530B31"/>
    <w:rsid w:val="00531D81"/>
    <w:rsid w:val="00531DC4"/>
    <w:rsid w:val="00531F6C"/>
    <w:rsid w:val="00532510"/>
    <w:rsid w:val="00532B3E"/>
    <w:rsid w:val="00532CE8"/>
    <w:rsid w:val="0053321F"/>
    <w:rsid w:val="00533259"/>
    <w:rsid w:val="005337D0"/>
    <w:rsid w:val="00533B0C"/>
    <w:rsid w:val="005344E6"/>
    <w:rsid w:val="0053574D"/>
    <w:rsid w:val="00535BAF"/>
    <w:rsid w:val="00535D1B"/>
    <w:rsid w:val="00535D5D"/>
    <w:rsid w:val="00535E37"/>
    <w:rsid w:val="00535EAE"/>
    <w:rsid w:val="0053605D"/>
    <w:rsid w:val="005362F2"/>
    <w:rsid w:val="00536AFD"/>
    <w:rsid w:val="00536DEE"/>
    <w:rsid w:val="00536EC6"/>
    <w:rsid w:val="00537205"/>
    <w:rsid w:val="00537A7F"/>
    <w:rsid w:val="00537B26"/>
    <w:rsid w:val="00540108"/>
    <w:rsid w:val="00540247"/>
    <w:rsid w:val="005405A9"/>
    <w:rsid w:val="005408CC"/>
    <w:rsid w:val="00541438"/>
    <w:rsid w:val="00541498"/>
    <w:rsid w:val="00541638"/>
    <w:rsid w:val="0054166C"/>
    <w:rsid w:val="00541825"/>
    <w:rsid w:val="0054190E"/>
    <w:rsid w:val="005419D2"/>
    <w:rsid w:val="005420B7"/>
    <w:rsid w:val="005420F7"/>
    <w:rsid w:val="00542B62"/>
    <w:rsid w:val="00542D14"/>
    <w:rsid w:val="005434D9"/>
    <w:rsid w:val="005435F5"/>
    <w:rsid w:val="00543A24"/>
    <w:rsid w:val="0054439B"/>
    <w:rsid w:val="00544993"/>
    <w:rsid w:val="005449B5"/>
    <w:rsid w:val="00544AE4"/>
    <w:rsid w:val="00544B02"/>
    <w:rsid w:val="0054513C"/>
    <w:rsid w:val="005456C9"/>
    <w:rsid w:val="005461D6"/>
    <w:rsid w:val="005466EE"/>
    <w:rsid w:val="00546EC4"/>
    <w:rsid w:val="00547567"/>
    <w:rsid w:val="00547D7A"/>
    <w:rsid w:val="0055078B"/>
    <w:rsid w:val="00550D5A"/>
    <w:rsid w:val="00550D91"/>
    <w:rsid w:val="005514EC"/>
    <w:rsid w:val="00552505"/>
    <w:rsid w:val="005527B4"/>
    <w:rsid w:val="005527D7"/>
    <w:rsid w:val="00552CDE"/>
    <w:rsid w:val="00552DC3"/>
    <w:rsid w:val="00552E24"/>
    <w:rsid w:val="00553235"/>
    <w:rsid w:val="005558B6"/>
    <w:rsid w:val="00555997"/>
    <w:rsid w:val="00555BFE"/>
    <w:rsid w:val="005561D4"/>
    <w:rsid w:val="00556371"/>
    <w:rsid w:val="005563E0"/>
    <w:rsid w:val="005568F6"/>
    <w:rsid w:val="00556B0C"/>
    <w:rsid w:val="00556CAF"/>
    <w:rsid w:val="00557985"/>
    <w:rsid w:val="00557D57"/>
    <w:rsid w:val="00557D8A"/>
    <w:rsid w:val="00560039"/>
    <w:rsid w:val="0056012E"/>
    <w:rsid w:val="0056016D"/>
    <w:rsid w:val="00560462"/>
    <w:rsid w:val="005607F2"/>
    <w:rsid w:val="00560E6E"/>
    <w:rsid w:val="00560FA0"/>
    <w:rsid w:val="0056136E"/>
    <w:rsid w:val="00561BC4"/>
    <w:rsid w:val="0056237F"/>
    <w:rsid w:val="00562F2E"/>
    <w:rsid w:val="0056329C"/>
    <w:rsid w:val="00563828"/>
    <w:rsid w:val="00563E3E"/>
    <w:rsid w:val="0056415C"/>
    <w:rsid w:val="0056423A"/>
    <w:rsid w:val="00564C52"/>
    <w:rsid w:val="00564F1E"/>
    <w:rsid w:val="005654B4"/>
    <w:rsid w:val="005659C9"/>
    <w:rsid w:val="00565DCE"/>
    <w:rsid w:val="005662B3"/>
    <w:rsid w:val="00566BC7"/>
    <w:rsid w:val="00567153"/>
    <w:rsid w:val="00567305"/>
    <w:rsid w:val="00567B70"/>
    <w:rsid w:val="005700F3"/>
    <w:rsid w:val="0057020A"/>
    <w:rsid w:val="0057162B"/>
    <w:rsid w:val="00571760"/>
    <w:rsid w:val="00571E70"/>
    <w:rsid w:val="00572018"/>
    <w:rsid w:val="00573B2A"/>
    <w:rsid w:val="00574699"/>
    <w:rsid w:val="00574ADA"/>
    <w:rsid w:val="00574B6A"/>
    <w:rsid w:val="00575273"/>
    <w:rsid w:val="00575E63"/>
    <w:rsid w:val="00575F49"/>
    <w:rsid w:val="00575F91"/>
    <w:rsid w:val="00576328"/>
    <w:rsid w:val="005765F0"/>
    <w:rsid w:val="005767C9"/>
    <w:rsid w:val="0057683B"/>
    <w:rsid w:val="00576AD1"/>
    <w:rsid w:val="00577160"/>
    <w:rsid w:val="0058083A"/>
    <w:rsid w:val="00581648"/>
    <w:rsid w:val="005823E0"/>
    <w:rsid w:val="005838A4"/>
    <w:rsid w:val="00583E12"/>
    <w:rsid w:val="00583FE2"/>
    <w:rsid w:val="005844E8"/>
    <w:rsid w:val="005848A0"/>
    <w:rsid w:val="005856DB"/>
    <w:rsid w:val="00586237"/>
    <w:rsid w:val="00586B87"/>
    <w:rsid w:val="00586DAD"/>
    <w:rsid w:val="00586DF0"/>
    <w:rsid w:val="00586FB6"/>
    <w:rsid w:val="0058708D"/>
    <w:rsid w:val="00587564"/>
    <w:rsid w:val="0058773B"/>
    <w:rsid w:val="00587A07"/>
    <w:rsid w:val="00587E92"/>
    <w:rsid w:val="00590425"/>
    <w:rsid w:val="00590BB4"/>
    <w:rsid w:val="00590C93"/>
    <w:rsid w:val="00590D6A"/>
    <w:rsid w:val="00591623"/>
    <w:rsid w:val="00591AEA"/>
    <w:rsid w:val="00592550"/>
    <w:rsid w:val="00592642"/>
    <w:rsid w:val="005927E3"/>
    <w:rsid w:val="00592ABA"/>
    <w:rsid w:val="00592FB8"/>
    <w:rsid w:val="005932CB"/>
    <w:rsid w:val="00593BD3"/>
    <w:rsid w:val="00594AF4"/>
    <w:rsid w:val="00594CE5"/>
    <w:rsid w:val="0059533A"/>
    <w:rsid w:val="005965F0"/>
    <w:rsid w:val="00596775"/>
    <w:rsid w:val="005975D7"/>
    <w:rsid w:val="005977F0"/>
    <w:rsid w:val="00597E29"/>
    <w:rsid w:val="005A04DC"/>
    <w:rsid w:val="005A0918"/>
    <w:rsid w:val="005A1F04"/>
    <w:rsid w:val="005A25FC"/>
    <w:rsid w:val="005A27D5"/>
    <w:rsid w:val="005A2980"/>
    <w:rsid w:val="005A2B25"/>
    <w:rsid w:val="005A355C"/>
    <w:rsid w:val="005A38D9"/>
    <w:rsid w:val="005A3DDF"/>
    <w:rsid w:val="005A3FE8"/>
    <w:rsid w:val="005A4B8A"/>
    <w:rsid w:val="005A4DDF"/>
    <w:rsid w:val="005A4F5D"/>
    <w:rsid w:val="005A5F94"/>
    <w:rsid w:val="005A6057"/>
    <w:rsid w:val="005A785C"/>
    <w:rsid w:val="005A7F5C"/>
    <w:rsid w:val="005B0624"/>
    <w:rsid w:val="005B08ED"/>
    <w:rsid w:val="005B0C77"/>
    <w:rsid w:val="005B0E50"/>
    <w:rsid w:val="005B167E"/>
    <w:rsid w:val="005B1748"/>
    <w:rsid w:val="005B20C5"/>
    <w:rsid w:val="005B23C7"/>
    <w:rsid w:val="005B2414"/>
    <w:rsid w:val="005B24CC"/>
    <w:rsid w:val="005B27C4"/>
    <w:rsid w:val="005B2826"/>
    <w:rsid w:val="005B2C0F"/>
    <w:rsid w:val="005B345A"/>
    <w:rsid w:val="005B3ED9"/>
    <w:rsid w:val="005B3F73"/>
    <w:rsid w:val="005B4786"/>
    <w:rsid w:val="005B4E0D"/>
    <w:rsid w:val="005B540E"/>
    <w:rsid w:val="005B5432"/>
    <w:rsid w:val="005B56CB"/>
    <w:rsid w:val="005B59A4"/>
    <w:rsid w:val="005B6231"/>
    <w:rsid w:val="005B6462"/>
    <w:rsid w:val="005B6C19"/>
    <w:rsid w:val="005B6C5E"/>
    <w:rsid w:val="005B6D40"/>
    <w:rsid w:val="005B73EF"/>
    <w:rsid w:val="005B76B3"/>
    <w:rsid w:val="005B7A52"/>
    <w:rsid w:val="005B7EC6"/>
    <w:rsid w:val="005C0331"/>
    <w:rsid w:val="005C076A"/>
    <w:rsid w:val="005C0ECA"/>
    <w:rsid w:val="005C0EE1"/>
    <w:rsid w:val="005C12AA"/>
    <w:rsid w:val="005C13A9"/>
    <w:rsid w:val="005C18FD"/>
    <w:rsid w:val="005C197B"/>
    <w:rsid w:val="005C1B49"/>
    <w:rsid w:val="005C21F8"/>
    <w:rsid w:val="005C2DAF"/>
    <w:rsid w:val="005C3871"/>
    <w:rsid w:val="005C3C39"/>
    <w:rsid w:val="005C3DF0"/>
    <w:rsid w:val="005C4045"/>
    <w:rsid w:val="005C4291"/>
    <w:rsid w:val="005C4303"/>
    <w:rsid w:val="005C45D9"/>
    <w:rsid w:val="005C4E45"/>
    <w:rsid w:val="005C55BD"/>
    <w:rsid w:val="005C59C5"/>
    <w:rsid w:val="005C5B90"/>
    <w:rsid w:val="005C6279"/>
    <w:rsid w:val="005C6ED8"/>
    <w:rsid w:val="005C7540"/>
    <w:rsid w:val="005C772B"/>
    <w:rsid w:val="005C7BE7"/>
    <w:rsid w:val="005D00F7"/>
    <w:rsid w:val="005D0A0F"/>
    <w:rsid w:val="005D0AF2"/>
    <w:rsid w:val="005D1601"/>
    <w:rsid w:val="005D1D02"/>
    <w:rsid w:val="005D215E"/>
    <w:rsid w:val="005D2792"/>
    <w:rsid w:val="005D2996"/>
    <w:rsid w:val="005D2ADA"/>
    <w:rsid w:val="005D2DB9"/>
    <w:rsid w:val="005D2E8C"/>
    <w:rsid w:val="005D3664"/>
    <w:rsid w:val="005D39E1"/>
    <w:rsid w:val="005D4491"/>
    <w:rsid w:val="005D4635"/>
    <w:rsid w:val="005D4689"/>
    <w:rsid w:val="005D46C6"/>
    <w:rsid w:val="005D501F"/>
    <w:rsid w:val="005D50DF"/>
    <w:rsid w:val="005D5765"/>
    <w:rsid w:val="005D599F"/>
    <w:rsid w:val="005D59F3"/>
    <w:rsid w:val="005D5C65"/>
    <w:rsid w:val="005D620B"/>
    <w:rsid w:val="005D62A0"/>
    <w:rsid w:val="005D664F"/>
    <w:rsid w:val="005D69BD"/>
    <w:rsid w:val="005D6F57"/>
    <w:rsid w:val="005D7F11"/>
    <w:rsid w:val="005E0245"/>
    <w:rsid w:val="005E050E"/>
    <w:rsid w:val="005E0A01"/>
    <w:rsid w:val="005E1209"/>
    <w:rsid w:val="005E13DA"/>
    <w:rsid w:val="005E175A"/>
    <w:rsid w:val="005E1A92"/>
    <w:rsid w:val="005E2A65"/>
    <w:rsid w:val="005E2E46"/>
    <w:rsid w:val="005E31AD"/>
    <w:rsid w:val="005E4442"/>
    <w:rsid w:val="005E510A"/>
    <w:rsid w:val="005E569F"/>
    <w:rsid w:val="005E56CC"/>
    <w:rsid w:val="005E59A4"/>
    <w:rsid w:val="005E5EBD"/>
    <w:rsid w:val="005E60F5"/>
    <w:rsid w:val="005E61B2"/>
    <w:rsid w:val="005E64D7"/>
    <w:rsid w:val="005E6AD2"/>
    <w:rsid w:val="005E6C74"/>
    <w:rsid w:val="005E78A1"/>
    <w:rsid w:val="005E7E26"/>
    <w:rsid w:val="005E7F80"/>
    <w:rsid w:val="005F0049"/>
    <w:rsid w:val="005F014D"/>
    <w:rsid w:val="005F0583"/>
    <w:rsid w:val="005F06C3"/>
    <w:rsid w:val="005F074C"/>
    <w:rsid w:val="005F0BB4"/>
    <w:rsid w:val="005F0D5B"/>
    <w:rsid w:val="005F0EFF"/>
    <w:rsid w:val="005F10C2"/>
    <w:rsid w:val="005F138D"/>
    <w:rsid w:val="005F1A38"/>
    <w:rsid w:val="005F2085"/>
    <w:rsid w:val="005F30AD"/>
    <w:rsid w:val="005F375E"/>
    <w:rsid w:val="005F3949"/>
    <w:rsid w:val="005F3A09"/>
    <w:rsid w:val="005F3F86"/>
    <w:rsid w:val="005F3F92"/>
    <w:rsid w:val="005F4FB0"/>
    <w:rsid w:val="005F511F"/>
    <w:rsid w:val="005F5973"/>
    <w:rsid w:val="005F5A11"/>
    <w:rsid w:val="005F5CCB"/>
    <w:rsid w:val="005F5FF8"/>
    <w:rsid w:val="005F6638"/>
    <w:rsid w:val="005F6C3E"/>
    <w:rsid w:val="005F6CF5"/>
    <w:rsid w:val="005F6E67"/>
    <w:rsid w:val="005F6E8D"/>
    <w:rsid w:val="005F6F16"/>
    <w:rsid w:val="005F74DF"/>
    <w:rsid w:val="005F7B7E"/>
    <w:rsid w:val="005F7C4F"/>
    <w:rsid w:val="005F7CE8"/>
    <w:rsid w:val="005F7F0E"/>
    <w:rsid w:val="00600088"/>
    <w:rsid w:val="00600917"/>
    <w:rsid w:val="006009DC"/>
    <w:rsid w:val="00600C31"/>
    <w:rsid w:val="00601BB6"/>
    <w:rsid w:val="00601DC6"/>
    <w:rsid w:val="00601DD4"/>
    <w:rsid w:val="00602898"/>
    <w:rsid w:val="00602B9F"/>
    <w:rsid w:val="00602BBA"/>
    <w:rsid w:val="00602E1A"/>
    <w:rsid w:val="006035E4"/>
    <w:rsid w:val="006049EC"/>
    <w:rsid w:val="00604A61"/>
    <w:rsid w:val="00605257"/>
    <w:rsid w:val="006053BA"/>
    <w:rsid w:val="00605ADC"/>
    <w:rsid w:val="00605FB4"/>
    <w:rsid w:val="00606D8C"/>
    <w:rsid w:val="006073A9"/>
    <w:rsid w:val="00607546"/>
    <w:rsid w:val="00607555"/>
    <w:rsid w:val="00607E10"/>
    <w:rsid w:val="00610E77"/>
    <w:rsid w:val="006110C0"/>
    <w:rsid w:val="0061175C"/>
    <w:rsid w:val="00611D53"/>
    <w:rsid w:val="0061261F"/>
    <w:rsid w:val="006131AE"/>
    <w:rsid w:val="00613281"/>
    <w:rsid w:val="006138BF"/>
    <w:rsid w:val="0061438B"/>
    <w:rsid w:val="006143DC"/>
    <w:rsid w:val="00614C08"/>
    <w:rsid w:val="0061501D"/>
    <w:rsid w:val="00615751"/>
    <w:rsid w:val="006158BB"/>
    <w:rsid w:val="0061592F"/>
    <w:rsid w:val="00615B1A"/>
    <w:rsid w:val="00615D61"/>
    <w:rsid w:val="006161D3"/>
    <w:rsid w:val="00616654"/>
    <w:rsid w:val="00616702"/>
    <w:rsid w:val="00616CA3"/>
    <w:rsid w:val="00617248"/>
    <w:rsid w:val="006178BB"/>
    <w:rsid w:val="00617AA9"/>
    <w:rsid w:val="00617B5E"/>
    <w:rsid w:val="00617B65"/>
    <w:rsid w:val="0062037F"/>
    <w:rsid w:val="00620579"/>
    <w:rsid w:val="006207FF"/>
    <w:rsid w:val="00620A19"/>
    <w:rsid w:val="00620C1F"/>
    <w:rsid w:val="00621451"/>
    <w:rsid w:val="00621CA3"/>
    <w:rsid w:val="00621D78"/>
    <w:rsid w:val="00622051"/>
    <w:rsid w:val="006224A8"/>
    <w:rsid w:val="006224BE"/>
    <w:rsid w:val="00622714"/>
    <w:rsid w:val="00623087"/>
    <w:rsid w:val="00623BE5"/>
    <w:rsid w:val="00623CBF"/>
    <w:rsid w:val="0062504F"/>
    <w:rsid w:val="006253C4"/>
    <w:rsid w:val="00625EAC"/>
    <w:rsid w:val="00626676"/>
    <w:rsid w:val="00626C08"/>
    <w:rsid w:val="00626CAA"/>
    <w:rsid w:val="0062710F"/>
    <w:rsid w:val="00627C4F"/>
    <w:rsid w:val="00627EFB"/>
    <w:rsid w:val="0063024E"/>
    <w:rsid w:val="006306A1"/>
    <w:rsid w:val="0063075E"/>
    <w:rsid w:val="0063080C"/>
    <w:rsid w:val="00630817"/>
    <w:rsid w:val="0063099C"/>
    <w:rsid w:val="00630A44"/>
    <w:rsid w:val="00630AE8"/>
    <w:rsid w:val="0063118F"/>
    <w:rsid w:val="00631238"/>
    <w:rsid w:val="0063125B"/>
    <w:rsid w:val="0063159D"/>
    <w:rsid w:val="00631A47"/>
    <w:rsid w:val="00632179"/>
    <w:rsid w:val="006328EE"/>
    <w:rsid w:val="006329E7"/>
    <w:rsid w:val="00632FBD"/>
    <w:rsid w:val="00633537"/>
    <w:rsid w:val="00633977"/>
    <w:rsid w:val="00634538"/>
    <w:rsid w:val="00634942"/>
    <w:rsid w:val="00634B2B"/>
    <w:rsid w:val="00635055"/>
    <w:rsid w:val="006358DB"/>
    <w:rsid w:val="00635936"/>
    <w:rsid w:val="00635A9E"/>
    <w:rsid w:val="00635FBD"/>
    <w:rsid w:val="00636950"/>
    <w:rsid w:val="00636E8B"/>
    <w:rsid w:val="0063725A"/>
    <w:rsid w:val="006373A9"/>
    <w:rsid w:val="00637512"/>
    <w:rsid w:val="0063765E"/>
    <w:rsid w:val="00637734"/>
    <w:rsid w:val="00637FE0"/>
    <w:rsid w:val="00640027"/>
    <w:rsid w:val="006401F2"/>
    <w:rsid w:val="00640433"/>
    <w:rsid w:val="00640AAA"/>
    <w:rsid w:val="00640C46"/>
    <w:rsid w:val="00640D9B"/>
    <w:rsid w:val="00640F5F"/>
    <w:rsid w:val="00642E56"/>
    <w:rsid w:val="00642EE9"/>
    <w:rsid w:val="0064313F"/>
    <w:rsid w:val="0064344B"/>
    <w:rsid w:val="0064347A"/>
    <w:rsid w:val="006435ED"/>
    <w:rsid w:val="0064398E"/>
    <w:rsid w:val="00643D39"/>
    <w:rsid w:val="00644166"/>
    <w:rsid w:val="006442A1"/>
    <w:rsid w:val="006443A4"/>
    <w:rsid w:val="00644437"/>
    <w:rsid w:val="00645610"/>
    <w:rsid w:val="00645799"/>
    <w:rsid w:val="00645849"/>
    <w:rsid w:val="00645943"/>
    <w:rsid w:val="0064601B"/>
    <w:rsid w:val="006464A8"/>
    <w:rsid w:val="006465A5"/>
    <w:rsid w:val="00646730"/>
    <w:rsid w:val="006468BF"/>
    <w:rsid w:val="006469BC"/>
    <w:rsid w:val="00646DC7"/>
    <w:rsid w:val="00647197"/>
    <w:rsid w:val="00647CBE"/>
    <w:rsid w:val="00650637"/>
    <w:rsid w:val="00650781"/>
    <w:rsid w:val="00650D36"/>
    <w:rsid w:val="006513C7"/>
    <w:rsid w:val="0065158D"/>
    <w:rsid w:val="00651760"/>
    <w:rsid w:val="006517CC"/>
    <w:rsid w:val="00652202"/>
    <w:rsid w:val="0065241A"/>
    <w:rsid w:val="00653199"/>
    <w:rsid w:val="006532C5"/>
    <w:rsid w:val="00653369"/>
    <w:rsid w:val="0065360C"/>
    <w:rsid w:val="00653A23"/>
    <w:rsid w:val="006546DD"/>
    <w:rsid w:val="006552DE"/>
    <w:rsid w:val="0065577E"/>
    <w:rsid w:val="0065615F"/>
    <w:rsid w:val="0065629A"/>
    <w:rsid w:val="0065634A"/>
    <w:rsid w:val="00656680"/>
    <w:rsid w:val="006566A5"/>
    <w:rsid w:val="00656C16"/>
    <w:rsid w:val="00656C6B"/>
    <w:rsid w:val="00656D35"/>
    <w:rsid w:val="00656DD7"/>
    <w:rsid w:val="00656E01"/>
    <w:rsid w:val="00657097"/>
    <w:rsid w:val="00657101"/>
    <w:rsid w:val="0065730A"/>
    <w:rsid w:val="00657EA3"/>
    <w:rsid w:val="006606B7"/>
    <w:rsid w:val="00660F7B"/>
    <w:rsid w:val="006613E1"/>
    <w:rsid w:val="006616C1"/>
    <w:rsid w:val="00661A63"/>
    <w:rsid w:val="00662CD1"/>
    <w:rsid w:val="00662D22"/>
    <w:rsid w:val="00662D59"/>
    <w:rsid w:val="00662F75"/>
    <w:rsid w:val="006632CA"/>
    <w:rsid w:val="006634B7"/>
    <w:rsid w:val="0066390A"/>
    <w:rsid w:val="00663B80"/>
    <w:rsid w:val="00664344"/>
    <w:rsid w:val="00664607"/>
    <w:rsid w:val="00664805"/>
    <w:rsid w:val="00664DEC"/>
    <w:rsid w:val="006652B8"/>
    <w:rsid w:val="0066544C"/>
    <w:rsid w:val="00665678"/>
    <w:rsid w:val="006660D8"/>
    <w:rsid w:val="006660F9"/>
    <w:rsid w:val="00666498"/>
    <w:rsid w:val="00666643"/>
    <w:rsid w:val="0066667B"/>
    <w:rsid w:val="00666C30"/>
    <w:rsid w:val="00666F82"/>
    <w:rsid w:val="006674C9"/>
    <w:rsid w:val="006677CE"/>
    <w:rsid w:val="00667D3D"/>
    <w:rsid w:val="0067004F"/>
    <w:rsid w:val="006703FF"/>
    <w:rsid w:val="00670975"/>
    <w:rsid w:val="006709E2"/>
    <w:rsid w:val="00670D57"/>
    <w:rsid w:val="00671053"/>
    <w:rsid w:val="006711A7"/>
    <w:rsid w:val="00671246"/>
    <w:rsid w:val="006714EE"/>
    <w:rsid w:val="00671A33"/>
    <w:rsid w:val="00671CA3"/>
    <w:rsid w:val="00671DF9"/>
    <w:rsid w:val="006724A7"/>
    <w:rsid w:val="00672534"/>
    <w:rsid w:val="00672740"/>
    <w:rsid w:val="006727AC"/>
    <w:rsid w:val="0067295A"/>
    <w:rsid w:val="00672ABA"/>
    <w:rsid w:val="00672D59"/>
    <w:rsid w:val="00673339"/>
    <w:rsid w:val="00673EA8"/>
    <w:rsid w:val="0067418B"/>
    <w:rsid w:val="006741B9"/>
    <w:rsid w:val="006747E4"/>
    <w:rsid w:val="006756C2"/>
    <w:rsid w:val="006758FA"/>
    <w:rsid w:val="00675FBC"/>
    <w:rsid w:val="00676062"/>
    <w:rsid w:val="00676486"/>
    <w:rsid w:val="00676533"/>
    <w:rsid w:val="006767B9"/>
    <w:rsid w:val="0067697B"/>
    <w:rsid w:val="00676A98"/>
    <w:rsid w:val="00676CBB"/>
    <w:rsid w:val="006770B2"/>
    <w:rsid w:val="00677134"/>
    <w:rsid w:val="00677B24"/>
    <w:rsid w:val="0068020B"/>
    <w:rsid w:val="006803C2"/>
    <w:rsid w:val="006804D2"/>
    <w:rsid w:val="00680731"/>
    <w:rsid w:val="00680AB7"/>
    <w:rsid w:val="006817B8"/>
    <w:rsid w:val="00681EB2"/>
    <w:rsid w:val="006825F1"/>
    <w:rsid w:val="0068272F"/>
    <w:rsid w:val="0068308B"/>
    <w:rsid w:val="0068315C"/>
    <w:rsid w:val="00683573"/>
    <w:rsid w:val="00683A2D"/>
    <w:rsid w:val="00683A4A"/>
    <w:rsid w:val="00684201"/>
    <w:rsid w:val="006842AE"/>
    <w:rsid w:val="006844D2"/>
    <w:rsid w:val="00684652"/>
    <w:rsid w:val="0068465B"/>
    <w:rsid w:val="006855B1"/>
    <w:rsid w:val="0068608B"/>
    <w:rsid w:val="00686F7B"/>
    <w:rsid w:val="00687BD8"/>
    <w:rsid w:val="00687E27"/>
    <w:rsid w:val="00690139"/>
    <w:rsid w:val="00690B1C"/>
    <w:rsid w:val="00690E84"/>
    <w:rsid w:val="00691425"/>
    <w:rsid w:val="00691C3A"/>
    <w:rsid w:val="00691F67"/>
    <w:rsid w:val="006926EE"/>
    <w:rsid w:val="0069300E"/>
    <w:rsid w:val="006935BE"/>
    <w:rsid w:val="00693FE8"/>
    <w:rsid w:val="006944DB"/>
    <w:rsid w:val="0069526E"/>
    <w:rsid w:val="0069548C"/>
    <w:rsid w:val="00695590"/>
    <w:rsid w:val="00695956"/>
    <w:rsid w:val="00695A3E"/>
    <w:rsid w:val="00695DC9"/>
    <w:rsid w:val="00695E63"/>
    <w:rsid w:val="00695EEB"/>
    <w:rsid w:val="00696BD9"/>
    <w:rsid w:val="00696E64"/>
    <w:rsid w:val="006971B6"/>
    <w:rsid w:val="00697321"/>
    <w:rsid w:val="006978DE"/>
    <w:rsid w:val="00697D6B"/>
    <w:rsid w:val="006A0502"/>
    <w:rsid w:val="006A0651"/>
    <w:rsid w:val="006A121A"/>
    <w:rsid w:val="006A1434"/>
    <w:rsid w:val="006A1B64"/>
    <w:rsid w:val="006A1F88"/>
    <w:rsid w:val="006A1FFD"/>
    <w:rsid w:val="006A25E6"/>
    <w:rsid w:val="006A2823"/>
    <w:rsid w:val="006A2879"/>
    <w:rsid w:val="006A2A80"/>
    <w:rsid w:val="006A2D14"/>
    <w:rsid w:val="006A3068"/>
    <w:rsid w:val="006A3667"/>
    <w:rsid w:val="006A3763"/>
    <w:rsid w:val="006A3CB1"/>
    <w:rsid w:val="006A49F8"/>
    <w:rsid w:val="006A50F5"/>
    <w:rsid w:val="006A5148"/>
    <w:rsid w:val="006A5863"/>
    <w:rsid w:val="006A58DF"/>
    <w:rsid w:val="006A5F82"/>
    <w:rsid w:val="006A62F0"/>
    <w:rsid w:val="006A6D7D"/>
    <w:rsid w:val="006A715B"/>
    <w:rsid w:val="006A7223"/>
    <w:rsid w:val="006B0159"/>
    <w:rsid w:val="006B05B3"/>
    <w:rsid w:val="006B071E"/>
    <w:rsid w:val="006B0B12"/>
    <w:rsid w:val="006B0D0C"/>
    <w:rsid w:val="006B0F6D"/>
    <w:rsid w:val="006B164B"/>
    <w:rsid w:val="006B1D92"/>
    <w:rsid w:val="006B1FA9"/>
    <w:rsid w:val="006B2135"/>
    <w:rsid w:val="006B32E0"/>
    <w:rsid w:val="006B349A"/>
    <w:rsid w:val="006B3C1D"/>
    <w:rsid w:val="006B4462"/>
    <w:rsid w:val="006B4625"/>
    <w:rsid w:val="006B46D2"/>
    <w:rsid w:val="006B4870"/>
    <w:rsid w:val="006B4ABF"/>
    <w:rsid w:val="006B4C28"/>
    <w:rsid w:val="006B4E23"/>
    <w:rsid w:val="006B553D"/>
    <w:rsid w:val="006B69CA"/>
    <w:rsid w:val="006B748D"/>
    <w:rsid w:val="006B76B2"/>
    <w:rsid w:val="006B7730"/>
    <w:rsid w:val="006B7A9F"/>
    <w:rsid w:val="006B7B07"/>
    <w:rsid w:val="006B7DEE"/>
    <w:rsid w:val="006B7F44"/>
    <w:rsid w:val="006B7FC7"/>
    <w:rsid w:val="006C0F1E"/>
    <w:rsid w:val="006C164D"/>
    <w:rsid w:val="006C27FA"/>
    <w:rsid w:val="006C2E06"/>
    <w:rsid w:val="006C3E99"/>
    <w:rsid w:val="006C4303"/>
    <w:rsid w:val="006C4861"/>
    <w:rsid w:val="006C4C9E"/>
    <w:rsid w:val="006C52F5"/>
    <w:rsid w:val="006C5BBB"/>
    <w:rsid w:val="006C6BBD"/>
    <w:rsid w:val="006C7B59"/>
    <w:rsid w:val="006C7CDF"/>
    <w:rsid w:val="006D04A2"/>
    <w:rsid w:val="006D07E1"/>
    <w:rsid w:val="006D1417"/>
    <w:rsid w:val="006D182B"/>
    <w:rsid w:val="006D1E34"/>
    <w:rsid w:val="006D1F20"/>
    <w:rsid w:val="006D245D"/>
    <w:rsid w:val="006D284F"/>
    <w:rsid w:val="006D2B7A"/>
    <w:rsid w:val="006D2E0E"/>
    <w:rsid w:val="006D333B"/>
    <w:rsid w:val="006D397D"/>
    <w:rsid w:val="006D3EB9"/>
    <w:rsid w:val="006D5059"/>
    <w:rsid w:val="006D5C5C"/>
    <w:rsid w:val="006D6550"/>
    <w:rsid w:val="006D6F9A"/>
    <w:rsid w:val="006D7148"/>
    <w:rsid w:val="006E0CB7"/>
    <w:rsid w:val="006E0E3C"/>
    <w:rsid w:val="006E0E91"/>
    <w:rsid w:val="006E1216"/>
    <w:rsid w:val="006E1234"/>
    <w:rsid w:val="006E15C7"/>
    <w:rsid w:val="006E1868"/>
    <w:rsid w:val="006E1A31"/>
    <w:rsid w:val="006E1D04"/>
    <w:rsid w:val="006E1FA4"/>
    <w:rsid w:val="006E2277"/>
    <w:rsid w:val="006E2988"/>
    <w:rsid w:val="006E2B1D"/>
    <w:rsid w:val="006E2CD7"/>
    <w:rsid w:val="006E2DF6"/>
    <w:rsid w:val="006E2F8A"/>
    <w:rsid w:val="006E38DA"/>
    <w:rsid w:val="006E3E6B"/>
    <w:rsid w:val="006E424A"/>
    <w:rsid w:val="006E4265"/>
    <w:rsid w:val="006E45FF"/>
    <w:rsid w:val="006E4C4A"/>
    <w:rsid w:val="006E4DDE"/>
    <w:rsid w:val="006E5053"/>
    <w:rsid w:val="006E529B"/>
    <w:rsid w:val="006E56E0"/>
    <w:rsid w:val="006E5BED"/>
    <w:rsid w:val="006E5C1C"/>
    <w:rsid w:val="006E5ED2"/>
    <w:rsid w:val="006E69B7"/>
    <w:rsid w:val="006E7688"/>
    <w:rsid w:val="006E7721"/>
    <w:rsid w:val="006F0019"/>
    <w:rsid w:val="006F01D7"/>
    <w:rsid w:val="006F0B84"/>
    <w:rsid w:val="006F0D7A"/>
    <w:rsid w:val="006F0E54"/>
    <w:rsid w:val="006F160D"/>
    <w:rsid w:val="006F1C0A"/>
    <w:rsid w:val="006F1E01"/>
    <w:rsid w:val="006F292B"/>
    <w:rsid w:val="006F29CE"/>
    <w:rsid w:val="006F2ABE"/>
    <w:rsid w:val="006F2B75"/>
    <w:rsid w:val="006F3597"/>
    <w:rsid w:val="006F35B1"/>
    <w:rsid w:val="006F35E6"/>
    <w:rsid w:val="006F399F"/>
    <w:rsid w:val="006F3DFE"/>
    <w:rsid w:val="006F4141"/>
    <w:rsid w:val="006F4175"/>
    <w:rsid w:val="006F46F1"/>
    <w:rsid w:val="006F4966"/>
    <w:rsid w:val="006F4A24"/>
    <w:rsid w:val="006F4AF1"/>
    <w:rsid w:val="006F4BDA"/>
    <w:rsid w:val="006F4D4F"/>
    <w:rsid w:val="006F54E3"/>
    <w:rsid w:val="006F5763"/>
    <w:rsid w:val="006F5818"/>
    <w:rsid w:val="006F5AB9"/>
    <w:rsid w:val="006F5F4E"/>
    <w:rsid w:val="006F6B76"/>
    <w:rsid w:val="006F704E"/>
    <w:rsid w:val="006F70D4"/>
    <w:rsid w:val="006F7367"/>
    <w:rsid w:val="006F743C"/>
    <w:rsid w:val="006F76BA"/>
    <w:rsid w:val="00700D41"/>
    <w:rsid w:val="007013A5"/>
    <w:rsid w:val="007013F3"/>
    <w:rsid w:val="00701785"/>
    <w:rsid w:val="007019E3"/>
    <w:rsid w:val="007023B5"/>
    <w:rsid w:val="00702594"/>
    <w:rsid w:val="00703292"/>
    <w:rsid w:val="00703572"/>
    <w:rsid w:val="007035BB"/>
    <w:rsid w:val="007035DF"/>
    <w:rsid w:val="00703A44"/>
    <w:rsid w:val="00703ACC"/>
    <w:rsid w:val="0070405B"/>
    <w:rsid w:val="0070406C"/>
    <w:rsid w:val="007043C9"/>
    <w:rsid w:val="0070488B"/>
    <w:rsid w:val="00704917"/>
    <w:rsid w:val="00704BD7"/>
    <w:rsid w:val="00705BE0"/>
    <w:rsid w:val="00705C0D"/>
    <w:rsid w:val="00706166"/>
    <w:rsid w:val="00706EBA"/>
    <w:rsid w:val="00706EC2"/>
    <w:rsid w:val="00707415"/>
    <w:rsid w:val="007078D0"/>
    <w:rsid w:val="007079AE"/>
    <w:rsid w:val="00710209"/>
    <w:rsid w:val="0071083C"/>
    <w:rsid w:val="00712149"/>
    <w:rsid w:val="00712314"/>
    <w:rsid w:val="00712339"/>
    <w:rsid w:val="00712897"/>
    <w:rsid w:val="00712EF5"/>
    <w:rsid w:val="0071317D"/>
    <w:rsid w:val="007132C9"/>
    <w:rsid w:val="007136F6"/>
    <w:rsid w:val="00713A33"/>
    <w:rsid w:val="0071402F"/>
    <w:rsid w:val="007142E7"/>
    <w:rsid w:val="007145DA"/>
    <w:rsid w:val="00714951"/>
    <w:rsid w:val="00714A19"/>
    <w:rsid w:val="00714AED"/>
    <w:rsid w:val="00714D68"/>
    <w:rsid w:val="007152E1"/>
    <w:rsid w:val="00715BBE"/>
    <w:rsid w:val="00715D4E"/>
    <w:rsid w:val="00715E1A"/>
    <w:rsid w:val="00715EB3"/>
    <w:rsid w:val="007162BD"/>
    <w:rsid w:val="00716B3C"/>
    <w:rsid w:val="00717425"/>
    <w:rsid w:val="00717DA7"/>
    <w:rsid w:val="00717E12"/>
    <w:rsid w:val="00720327"/>
    <w:rsid w:val="0072034A"/>
    <w:rsid w:val="007205AB"/>
    <w:rsid w:val="00720DBB"/>
    <w:rsid w:val="00721435"/>
    <w:rsid w:val="0072174E"/>
    <w:rsid w:val="007217DE"/>
    <w:rsid w:val="007218C4"/>
    <w:rsid w:val="007219C7"/>
    <w:rsid w:val="00721A7C"/>
    <w:rsid w:val="00721EA3"/>
    <w:rsid w:val="007222E2"/>
    <w:rsid w:val="00722317"/>
    <w:rsid w:val="00723536"/>
    <w:rsid w:val="0072379C"/>
    <w:rsid w:val="00723836"/>
    <w:rsid w:val="00723B0A"/>
    <w:rsid w:val="00723BB9"/>
    <w:rsid w:val="00723C4E"/>
    <w:rsid w:val="0072417E"/>
    <w:rsid w:val="00724606"/>
    <w:rsid w:val="00724772"/>
    <w:rsid w:val="00724BB8"/>
    <w:rsid w:val="00724DA3"/>
    <w:rsid w:val="0072534E"/>
    <w:rsid w:val="007253E8"/>
    <w:rsid w:val="007254C3"/>
    <w:rsid w:val="00725751"/>
    <w:rsid w:val="007258B0"/>
    <w:rsid w:val="007258C7"/>
    <w:rsid w:val="007261E1"/>
    <w:rsid w:val="00726CB0"/>
    <w:rsid w:val="00726F14"/>
    <w:rsid w:val="0072792F"/>
    <w:rsid w:val="007304FF"/>
    <w:rsid w:val="00730735"/>
    <w:rsid w:val="00731085"/>
    <w:rsid w:val="00731892"/>
    <w:rsid w:val="007318AE"/>
    <w:rsid w:val="007318E1"/>
    <w:rsid w:val="00731BBD"/>
    <w:rsid w:val="0073254E"/>
    <w:rsid w:val="00732DD0"/>
    <w:rsid w:val="00732FEC"/>
    <w:rsid w:val="0073300B"/>
    <w:rsid w:val="00733124"/>
    <w:rsid w:val="00733161"/>
    <w:rsid w:val="007337DE"/>
    <w:rsid w:val="007338D4"/>
    <w:rsid w:val="00733958"/>
    <w:rsid w:val="0073397B"/>
    <w:rsid w:val="00733C94"/>
    <w:rsid w:val="00733DC1"/>
    <w:rsid w:val="007348EF"/>
    <w:rsid w:val="00734A3F"/>
    <w:rsid w:val="00735168"/>
    <w:rsid w:val="0073538C"/>
    <w:rsid w:val="0073551B"/>
    <w:rsid w:val="00735A18"/>
    <w:rsid w:val="007364DC"/>
    <w:rsid w:val="007369EE"/>
    <w:rsid w:val="00736D44"/>
    <w:rsid w:val="007373D6"/>
    <w:rsid w:val="007373FD"/>
    <w:rsid w:val="0073764B"/>
    <w:rsid w:val="00737F21"/>
    <w:rsid w:val="00740018"/>
    <w:rsid w:val="007404B3"/>
    <w:rsid w:val="007405DE"/>
    <w:rsid w:val="00740EAA"/>
    <w:rsid w:val="00741B20"/>
    <w:rsid w:val="00741D49"/>
    <w:rsid w:val="00741DDF"/>
    <w:rsid w:val="00742CC3"/>
    <w:rsid w:val="0074302A"/>
    <w:rsid w:val="007433D7"/>
    <w:rsid w:val="00743A72"/>
    <w:rsid w:val="00743F0F"/>
    <w:rsid w:val="0074420F"/>
    <w:rsid w:val="00744D1F"/>
    <w:rsid w:val="00745041"/>
    <w:rsid w:val="00745AF4"/>
    <w:rsid w:val="00746603"/>
    <w:rsid w:val="00746BA9"/>
    <w:rsid w:val="00746D97"/>
    <w:rsid w:val="0074703C"/>
    <w:rsid w:val="00747636"/>
    <w:rsid w:val="007479E6"/>
    <w:rsid w:val="00747C45"/>
    <w:rsid w:val="00750937"/>
    <w:rsid w:val="0075188B"/>
    <w:rsid w:val="00751CC5"/>
    <w:rsid w:val="00752E9C"/>
    <w:rsid w:val="007533DD"/>
    <w:rsid w:val="007538BE"/>
    <w:rsid w:val="007540C0"/>
    <w:rsid w:val="007540D6"/>
    <w:rsid w:val="007557B3"/>
    <w:rsid w:val="00755A23"/>
    <w:rsid w:val="00755B55"/>
    <w:rsid w:val="00755EB2"/>
    <w:rsid w:val="0075671C"/>
    <w:rsid w:val="00756A74"/>
    <w:rsid w:val="00756AB1"/>
    <w:rsid w:val="007574A4"/>
    <w:rsid w:val="00757D0C"/>
    <w:rsid w:val="00757ED3"/>
    <w:rsid w:val="007610A6"/>
    <w:rsid w:val="00761441"/>
    <w:rsid w:val="0076146B"/>
    <w:rsid w:val="007617B9"/>
    <w:rsid w:val="00761B5B"/>
    <w:rsid w:val="00761BBD"/>
    <w:rsid w:val="00761F5F"/>
    <w:rsid w:val="00762C94"/>
    <w:rsid w:val="00763BA1"/>
    <w:rsid w:val="00763FF3"/>
    <w:rsid w:val="00764196"/>
    <w:rsid w:val="00764576"/>
    <w:rsid w:val="00764758"/>
    <w:rsid w:val="00764AFB"/>
    <w:rsid w:val="0076524C"/>
    <w:rsid w:val="00765303"/>
    <w:rsid w:val="007658FF"/>
    <w:rsid w:val="00765BF7"/>
    <w:rsid w:val="00766132"/>
    <w:rsid w:val="00766473"/>
    <w:rsid w:val="00766C6F"/>
    <w:rsid w:val="007670EE"/>
    <w:rsid w:val="00767443"/>
    <w:rsid w:val="007676AA"/>
    <w:rsid w:val="00767F19"/>
    <w:rsid w:val="00770060"/>
    <w:rsid w:val="007701AB"/>
    <w:rsid w:val="00770B29"/>
    <w:rsid w:val="0077111E"/>
    <w:rsid w:val="00771307"/>
    <w:rsid w:val="00771336"/>
    <w:rsid w:val="00771A0D"/>
    <w:rsid w:val="00772223"/>
    <w:rsid w:val="00772A43"/>
    <w:rsid w:val="00772F7B"/>
    <w:rsid w:val="007731AC"/>
    <w:rsid w:val="00773576"/>
    <w:rsid w:val="007737B7"/>
    <w:rsid w:val="007739D7"/>
    <w:rsid w:val="00773A3D"/>
    <w:rsid w:val="00773AF7"/>
    <w:rsid w:val="007740F0"/>
    <w:rsid w:val="00774CC1"/>
    <w:rsid w:val="007756BF"/>
    <w:rsid w:val="007757FB"/>
    <w:rsid w:val="00775EEC"/>
    <w:rsid w:val="007762E6"/>
    <w:rsid w:val="0077645D"/>
    <w:rsid w:val="0077739C"/>
    <w:rsid w:val="00777B36"/>
    <w:rsid w:val="00777EE7"/>
    <w:rsid w:val="007807D6"/>
    <w:rsid w:val="00780938"/>
    <w:rsid w:val="00781C0A"/>
    <w:rsid w:val="007820D5"/>
    <w:rsid w:val="00782A57"/>
    <w:rsid w:val="00783033"/>
    <w:rsid w:val="00783A5A"/>
    <w:rsid w:val="007847FD"/>
    <w:rsid w:val="00784A40"/>
    <w:rsid w:val="00785C65"/>
    <w:rsid w:val="00786B3C"/>
    <w:rsid w:val="007871C1"/>
    <w:rsid w:val="0078747C"/>
    <w:rsid w:val="00787D4D"/>
    <w:rsid w:val="00787EA3"/>
    <w:rsid w:val="00790BA0"/>
    <w:rsid w:val="00791792"/>
    <w:rsid w:val="00791CC0"/>
    <w:rsid w:val="00791D8B"/>
    <w:rsid w:val="00791E8B"/>
    <w:rsid w:val="0079291F"/>
    <w:rsid w:val="00793002"/>
    <w:rsid w:val="007932D2"/>
    <w:rsid w:val="007934AF"/>
    <w:rsid w:val="007935B8"/>
    <w:rsid w:val="007935F1"/>
    <w:rsid w:val="00793AF2"/>
    <w:rsid w:val="00795021"/>
    <w:rsid w:val="0079518F"/>
    <w:rsid w:val="00795E53"/>
    <w:rsid w:val="007964DB"/>
    <w:rsid w:val="00796604"/>
    <w:rsid w:val="00796A22"/>
    <w:rsid w:val="00796AB8"/>
    <w:rsid w:val="00796FDC"/>
    <w:rsid w:val="007971ED"/>
    <w:rsid w:val="007974E4"/>
    <w:rsid w:val="0079762D"/>
    <w:rsid w:val="0079784E"/>
    <w:rsid w:val="00797B53"/>
    <w:rsid w:val="00797DAD"/>
    <w:rsid w:val="007A0893"/>
    <w:rsid w:val="007A0EB7"/>
    <w:rsid w:val="007A0F72"/>
    <w:rsid w:val="007A1DD6"/>
    <w:rsid w:val="007A1E6F"/>
    <w:rsid w:val="007A24E4"/>
    <w:rsid w:val="007A2AB3"/>
    <w:rsid w:val="007A31F5"/>
    <w:rsid w:val="007A3557"/>
    <w:rsid w:val="007A3710"/>
    <w:rsid w:val="007A3CB3"/>
    <w:rsid w:val="007A3EAA"/>
    <w:rsid w:val="007A4486"/>
    <w:rsid w:val="007A45C4"/>
    <w:rsid w:val="007A4966"/>
    <w:rsid w:val="007A4A9A"/>
    <w:rsid w:val="007A4B7F"/>
    <w:rsid w:val="007A4EB2"/>
    <w:rsid w:val="007A51F0"/>
    <w:rsid w:val="007A5214"/>
    <w:rsid w:val="007A5626"/>
    <w:rsid w:val="007A5628"/>
    <w:rsid w:val="007A64E9"/>
    <w:rsid w:val="007A6769"/>
    <w:rsid w:val="007A7242"/>
    <w:rsid w:val="007A756F"/>
    <w:rsid w:val="007A7AF7"/>
    <w:rsid w:val="007A7B91"/>
    <w:rsid w:val="007A7CF3"/>
    <w:rsid w:val="007B01DD"/>
    <w:rsid w:val="007B0C56"/>
    <w:rsid w:val="007B1878"/>
    <w:rsid w:val="007B1903"/>
    <w:rsid w:val="007B1906"/>
    <w:rsid w:val="007B19A3"/>
    <w:rsid w:val="007B1F44"/>
    <w:rsid w:val="007B1F73"/>
    <w:rsid w:val="007B1F74"/>
    <w:rsid w:val="007B1FCB"/>
    <w:rsid w:val="007B2066"/>
    <w:rsid w:val="007B232E"/>
    <w:rsid w:val="007B244C"/>
    <w:rsid w:val="007B2CDA"/>
    <w:rsid w:val="007B40C5"/>
    <w:rsid w:val="007B4945"/>
    <w:rsid w:val="007B52CA"/>
    <w:rsid w:val="007B576B"/>
    <w:rsid w:val="007B61AF"/>
    <w:rsid w:val="007B6441"/>
    <w:rsid w:val="007B645E"/>
    <w:rsid w:val="007B671A"/>
    <w:rsid w:val="007B67E2"/>
    <w:rsid w:val="007B70F1"/>
    <w:rsid w:val="007B7500"/>
    <w:rsid w:val="007B7575"/>
    <w:rsid w:val="007C02A2"/>
    <w:rsid w:val="007C0508"/>
    <w:rsid w:val="007C07BD"/>
    <w:rsid w:val="007C0997"/>
    <w:rsid w:val="007C10EE"/>
    <w:rsid w:val="007C133A"/>
    <w:rsid w:val="007C15DA"/>
    <w:rsid w:val="007C169A"/>
    <w:rsid w:val="007C1AF4"/>
    <w:rsid w:val="007C1B27"/>
    <w:rsid w:val="007C1FD8"/>
    <w:rsid w:val="007C2060"/>
    <w:rsid w:val="007C230C"/>
    <w:rsid w:val="007C24EB"/>
    <w:rsid w:val="007C2D24"/>
    <w:rsid w:val="007C2E5C"/>
    <w:rsid w:val="007C2E92"/>
    <w:rsid w:val="007C2EB5"/>
    <w:rsid w:val="007C37D5"/>
    <w:rsid w:val="007C3F8F"/>
    <w:rsid w:val="007C4192"/>
    <w:rsid w:val="007C4281"/>
    <w:rsid w:val="007C44B4"/>
    <w:rsid w:val="007C4508"/>
    <w:rsid w:val="007C48D6"/>
    <w:rsid w:val="007C4BB5"/>
    <w:rsid w:val="007C4C94"/>
    <w:rsid w:val="007C4D0C"/>
    <w:rsid w:val="007C50BF"/>
    <w:rsid w:val="007C52E7"/>
    <w:rsid w:val="007C53F9"/>
    <w:rsid w:val="007C542C"/>
    <w:rsid w:val="007C55AC"/>
    <w:rsid w:val="007C5B68"/>
    <w:rsid w:val="007C6DFC"/>
    <w:rsid w:val="007C70B0"/>
    <w:rsid w:val="007C70FB"/>
    <w:rsid w:val="007D0146"/>
    <w:rsid w:val="007D0AA0"/>
    <w:rsid w:val="007D0FC0"/>
    <w:rsid w:val="007D1580"/>
    <w:rsid w:val="007D18D0"/>
    <w:rsid w:val="007D200A"/>
    <w:rsid w:val="007D201D"/>
    <w:rsid w:val="007D22B5"/>
    <w:rsid w:val="007D2353"/>
    <w:rsid w:val="007D2522"/>
    <w:rsid w:val="007D259C"/>
    <w:rsid w:val="007D2A67"/>
    <w:rsid w:val="007D2C59"/>
    <w:rsid w:val="007D3571"/>
    <w:rsid w:val="007D37B5"/>
    <w:rsid w:val="007D3D70"/>
    <w:rsid w:val="007D3DE7"/>
    <w:rsid w:val="007D3F98"/>
    <w:rsid w:val="007D4D00"/>
    <w:rsid w:val="007D565F"/>
    <w:rsid w:val="007D5B13"/>
    <w:rsid w:val="007D5BE5"/>
    <w:rsid w:val="007D5DC4"/>
    <w:rsid w:val="007D5EC8"/>
    <w:rsid w:val="007D624A"/>
    <w:rsid w:val="007D655D"/>
    <w:rsid w:val="007D6B72"/>
    <w:rsid w:val="007D7771"/>
    <w:rsid w:val="007D787E"/>
    <w:rsid w:val="007E0097"/>
    <w:rsid w:val="007E101D"/>
    <w:rsid w:val="007E106C"/>
    <w:rsid w:val="007E1849"/>
    <w:rsid w:val="007E22E7"/>
    <w:rsid w:val="007E2786"/>
    <w:rsid w:val="007E38CE"/>
    <w:rsid w:val="007E44A2"/>
    <w:rsid w:val="007E4FA9"/>
    <w:rsid w:val="007E5756"/>
    <w:rsid w:val="007E5FC9"/>
    <w:rsid w:val="007E614C"/>
    <w:rsid w:val="007E6221"/>
    <w:rsid w:val="007E6695"/>
    <w:rsid w:val="007E69BB"/>
    <w:rsid w:val="007E6F3C"/>
    <w:rsid w:val="007E772D"/>
    <w:rsid w:val="007E78B5"/>
    <w:rsid w:val="007E7933"/>
    <w:rsid w:val="007E7A94"/>
    <w:rsid w:val="007E7B46"/>
    <w:rsid w:val="007E7E5C"/>
    <w:rsid w:val="007E7FE8"/>
    <w:rsid w:val="007F0446"/>
    <w:rsid w:val="007F056D"/>
    <w:rsid w:val="007F0616"/>
    <w:rsid w:val="007F0881"/>
    <w:rsid w:val="007F0F94"/>
    <w:rsid w:val="007F12D0"/>
    <w:rsid w:val="007F15E3"/>
    <w:rsid w:val="007F1D8A"/>
    <w:rsid w:val="007F1D8E"/>
    <w:rsid w:val="007F2D75"/>
    <w:rsid w:val="007F2E02"/>
    <w:rsid w:val="007F33BD"/>
    <w:rsid w:val="007F3AE1"/>
    <w:rsid w:val="007F4352"/>
    <w:rsid w:val="007F449D"/>
    <w:rsid w:val="007F470E"/>
    <w:rsid w:val="007F4822"/>
    <w:rsid w:val="007F4E43"/>
    <w:rsid w:val="007F4F7F"/>
    <w:rsid w:val="007F594C"/>
    <w:rsid w:val="007F5B77"/>
    <w:rsid w:val="007F5C2F"/>
    <w:rsid w:val="007F62B3"/>
    <w:rsid w:val="007F65CA"/>
    <w:rsid w:val="007F6D80"/>
    <w:rsid w:val="007F701F"/>
    <w:rsid w:val="007F70B0"/>
    <w:rsid w:val="0080008D"/>
    <w:rsid w:val="00800B17"/>
    <w:rsid w:val="008013D1"/>
    <w:rsid w:val="00801CF2"/>
    <w:rsid w:val="0080233D"/>
    <w:rsid w:val="0080239B"/>
    <w:rsid w:val="00802635"/>
    <w:rsid w:val="00802FB4"/>
    <w:rsid w:val="008033E9"/>
    <w:rsid w:val="00803816"/>
    <w:rsid w:val="00803924"/>
    <w:rsid w:val="00803B62"/>
    <w:rsid w:val="00803BED"/>
    <w:rsid w:val="00803CAB"/>
    <w:rsid w:val="00803CBA"/>
    <w:rsid w:val="00803F27"/>
    <w:rsid w:val="00804C60"/>
    <w:rsid w:val="008052A1"/>
    <w:rsid w:val="00805792"/>
    <w:rsid w:val="00805794"/>
    <w:rsid w:val="0080582B"/>
    <w:rsid w:val="00805A27"/>
    <w:rsid w:val="00806A3C"/>
    <w:rsid w:val="00806DFD"/>
    <w:rsid w:val="0080798D"/>
    <w:rsid w:val="00807B5B"/>
    <w:rsid w:val="008101D9"/>
    <w:rsid w:val="00810D7A"/>
    <w:rsid w:val="00810EF5"/>
    <w:rsid w:val="00810F85"/>
    <w:rsid w:val="008111FB"/>
    <w:rsid w:val="00811372"/>
    <w:rsid w:val="008115EC"/>
    <w:rsid w:val="00811AEF"/>
    <w:rsid w:val="00811C00"/>
    <w:rsid w:val="00811C2F"/>
    <w:rsid w:val="008120BF"/>
    <w:rsid w:val="00813BF5"/>
    <w:rsid w:val="00813C17"/>
    <w:rsid w:val="0081538E"/>
    <w:rsid w:val="00815DE6"/>
    <w:rsid w:val="0081608A"/>
    <w:rsid w:val="00816492"/>
    <w:rsid w:val="00816646"/>
    <w:rsid w:val="008171DA"/>
    <w:rsid w:val="00820D00"/>
    <w:rsid w:val="00820E57"/>
    <w:rsid w:val="00821600"/>
    <w:rsid w:val="008218CF"/>
    <w:rsid w:val="008221EC"/>
    <w:rsid w:val="00822916"/>
    <w:rsid w:val="00823A83"/>
    <w:rsid w:val="00823CE1"/>
    <w:rsid w:val="0082416B"/>
    <w:rsid w:val="00824238"/>
    <w:rsid w:val="00824364"/>
    <w:rsid w:val="00824E8A"/>
    <w:rsid w:val="00825074"/>
    <w:rsid w:val="00825805"/>
    <w:rsid w:val="00826A94"/>
    <w:rsid w:val="00826BB2"/>
    <w:rsid w:val="00826C76"/>
    <w:rsid w:val="008278A6"/>
    <w:rsid w:val="008279AA"/>
    <w:rsid w:val="008304B6"/>
    <w:rsid w:val="00830A33"/>
    <w:rsid w:val="0083123E"/>
    <w:rsid w:val="0083155F"/>
    <w:rsid w:val="00831AA8"/>
    <w:rsid w:val="00832F4C"/>
    <w:rsid w:val="00832F7D"/>
    <w:rsid w:val="00833490"/>
    <w:rsid w:val="0083361C"/>
    <w:rsid w:val="0083387E"/>
    <w:rsid w:val="00833FBE"/>
    <w:rsid w:val="00834151"/>
    <w:rsid w:val="00834225"/>
    <w:rsid w:val="0083481A"/>
    <w:rsid w:val="00834DD8"/>
    <w:rsid w:val="00835D28"/>
    <w:rsid w:val="00835DF4"/>
    <w:rsid w:val="008364BA"/>
    <w:rsid w:val="00836539"/>
    <w:rsid w:val="0083679C"/>
    <w:rsid w:val="008367EB"/>
    <w:rsid w:val="00836DB1"/>
    <w:rsid w:val="00837254"/>
    <w:rsid w:val="00837257"/>
    <w:rsid w:val="0083753D"/>
    <w:rsid w:val="00840B73"/>
    <w:rsid w:val="0084130E"/>
    <w:rsid w:val="00841964"/>
    <w:rsid w:val="00841B3D"/>
    <w:rsid w:val="00841BEB"/>
    <w:rsid w:val="00841C05"/>
    <w:rsid w:val="00841ECB"/>
    <w:rsid w:val="0084256A"/>
    <w:rsid w:val="008426EF"/>
    <w:rsid w:val="00842A91"/>
    <w:rsid w:val="00842C89"/>
    <w:rsid w:val="00843893"/>
    <w:rsid w:val="00843CB5"/>
    <w:rsid w:val="00843D8F"/>
    <w:rsid w:val="008441F5"/>
    <w:rsid w:val="00844931"/>
    <w:rsid w:val="0084499D"/>
    <w:rsid w:val="00844E83"/>
    <w:rsid w:val="0084664D"/>
    <w:rsid w:val="00846666"/>
    <w:rsid w:val="00846CAA"/>
    <w:rsid w:val="00846CE0"/>
    <w:rsid w:val="00846CF5"/>
    <w:rsid w:val="0084712D"/>
    <w:rsid w:val="00850339"/>
    <w:rsid w:val="00850499"/>
    <w:rsid w:val="00850A9F"/>
    <w:rsid w:val="00850C4A"/>
    <w:rsid w:val="00850E54"/>
    <w:rsid w:val="008510E2"/>
    <w:rsid w:val="008519CF"/>
    <w:rsid w:val="00851C03"/>
    <w:rsid w:val="0085303B"/>
    <w:rsid w:val="00853134"/>
    <w:rsid w:val="00853437"/>
    <w:rsid w:val="008538D1"/>
    <w:rsid w:val="00854068"/>
    <w:rsid w:val="00854E72"/>
    <w:rsid w:val="0085509A"/>
    <w:rsid w:val="008555ED"/>
    <w:rsid w:val="00855861"/>
    <w:rsid w:val="00855B02"/>
    <w:rsid w:val="00855CFF"/>
    <w:rsid w:val="00856DEE"/>
    <w:rsid w:val="00856F35"/>
    <w:rsid w:val="00857522"/>
    <w:rsid w:val="0085752C"/>
    <w:rsid w:val="008576EC"/>
    <w:rsid w:val="00857E5B"/>
    <w:rsid w:val="0086003A"/>
    <w:rsid w:val="008603B2"/>
    <w:rsid w:val="008603BE"/>
    <w:rsid w:val="00860B06"/>
    <w:rsid w:val="00860B32"/>
    <w:rsid w:val="008613BD"/>
    <w:rsid w:val="008614A2"/>
    <w:rsid w:val="00861A20"/>
    <w:rsid w:val="00861BDD"/>
    <w:rsid w:val="0086216E"/>
    <w:rsid w:val="0086383A"/>
    <w:rsid w:val="00863CF8"/>
    <w:rsid w:val="00863DF2"/>
    <w:rsid w:val="0086449E"/>
    <w:rsid w:val="00864FC0"/>
    <w:rsid w:val="008652C4"/>
    <w:rsid w:val="008656DC"/>
    <w:rsid w:val="00865CA3"/>
    <w:rsid w:val="00865FC7"/>
    <w:rsid w:val="00866418"/>
    <w:rsid w:val="008700C6"/>
    <w:rsid w:val="008704D7"/>
    <w:rsid w:val="00870BE1"/>
    <w:rsid w:val="00870DCA"/>
    <w:rsid w:val="008723AF"/>
    <w:rsid w:val="0087281F"/>
    <w:rsid w:val="00872A64"/>
    <w:rsid w:val="00872DD4"/>
    <w:rsid w:val="008731DF"/>
    <w:rsid w:val="00873346"/>
    <w:rsid w:val="00873943"/>
    <w:rsid w:val="008740F5"/>
    <w:rsid w:val="008742EC"/>
    <w:rsid w:val="008743FC"/>
    <w:rsid w:val="00874AED"/>
    <w:rsid w:val="00874ED0"/>
    <w:rsid w:val="0087502C"/>
    <w:rsid w:val="008750C3"/>
    <w:rsid w:val="00875171"/>
    <w:rsid w:val="008752CD"/>
    <w:rsid w:val="0087537A"/>
    <w:rsid w:val="0087580F"/>
    <w:rsid w:val="00876129"/>
    <w:rsid w:val="008765A0"/>
    <w:rsid w:val="0087685E"/>
    <w:rsid w:val="008769B5"/>
    <w:rsid w:val="00876CDA"/>
    <w:rsid w:val="0087734E"/>
    <w:rsid w:val="00877951"/>
    <w:rsid w:val="00877ACC"/>
    <w:rsid w:val="00877C62"/>
    <w:rsid w:val="00877D6D"/>
    <w:rsid w:val="00877D86"/>
    <w:rsid w:val="00877E97"/>
    <w:rsid w:val="0088024E"/>
    <w:rsid w:val="00880941"/>
    <w:rsid w:val="00880CCB"/>
    <w:rsid w:val="008816DA"/>
    <w:rsid w:val="00881BA3"/>
    <w:rsid w:val="00881D64"/>
    <w:rsid w:val="00881FE8"/>
    <w:rsid w:val="008822AD"/>
    <w:rsid w:val="008823D3"/>
    <w:rsid w:val="00882EA4"/>
    <w:rsid w:val="00882FEA"/>
    <w:rsid w:val="008834DD"/>
    <w:rsid w:val="008837A9"/>
    <w:rsid w:val="0088409B"/>
    <w:rsid w:val="0088417A"/>
    <w:rsid w:val="00884250"/>
    <w:rsid w:val="008845AD"/>
    <w:rsid w:val="008845BA"/>
    <w:rsid w:val="00884611"/>
    <w:rsid w:val="00885217"/>
    <w:rsid w:val="00885221"/>
    <w:rsid w:val="00885966"/>
    <w:rsid w:val="00885E0A"/>
    <w:rsid w:val="0088681B"/>
    <w:rsid w:val="00886C1A"/>
    <w:rsid w:val="00887108"/>
    <w:rsid w:val="00887159"/>
    <w:rsid w:val="008872EB"/>
    <w:rsid w:val="0088744D"/>
    <w:rsid w:val="0088750F"/>
    <w:rsid w:val="008876A1"/>
    <w:rsid w:val="00887F25"/>
    <w:rsid w:val="008902CB"/>
    <w:rsid w:val="008907E7"/>
    <w:rsid w:val="00891050"/>
    <w:rsid w:val="0089108C"/>
    <w:rsid w:val="0089109E"/>
    <w:rsid w:val="00891F0A"/>
    <w:rsid w:val="00892491"/>
    <w:rsid w:val="0089251F"/>
    <w:rsid w:val="008928C8"/>
    <w:rsid w:val="00893439"/>
    <w:rsid w:val="0089358A"/>
    <w:rsid w:val="008935C2"/>
    <w:rsid w:val="0089385D"/>
    <w:rsid w:val="00893F86"/>
    <w:rsid w:val="0089406A"/>
    <w:rsid w:val="008943C2"/>
    <w:rsid w:val="00894944"/>
    <w:rsid w:val="00894D75"/>
    <w:rsid w:val="008950B5"/>
    <w:rsid w:val="008958E8"/>
    <w:rsid w:val="00895A40"/>
    <w:rsid w:val="00895E4D"/>
    <w:rsid w:val="00896620"/>
    <w:rsid w:val="00896804"/>
    <w:rsid w:val="0089689C"/>
    <w:rsid w:val="0089692D"/>
    <w:rsid w:val="00896DD9"/>
    <w:rsid w:val="00896ED5"/>
    <w:rsid w:val="008970AE"/>
    <w:rsid w:val="00897150"/>
    <w:rsid w:val="00897EF7"/>
    <w:rsid w:val="008A0D7F"/>
    <w:rsid w:val="008A13DD"/>
    <w:rsid w:val="008A16B1"/>
    <w:rsid w:val="008A1D71"/>
    <w:rsid w:val="008A283C"/>
    <w:rsid w:val="008A33ED"/>
    <w:rsid w:val="008A3A49"/>
    <w:rsid w:val="008A3E7B"/>
    <w:rsid w:val="008A4CEC"/>
    <w:rsid w:val="008A51B4"/>
    <w:rsid w:val="008A54F6"/>
    <w:rsid w:val="008A5C8C"/>
    <w:rsid w:val="008A63E4"/>
    <w:rsid w:val="008A645F"/>
    <w:rsid w:val="008A65A9"/>
    <w:rsid w:val="008A6618"/>
    <w:rsid w:val="008A6662"/>
    <w:rsid w:val="008A671F"/>
    <w:rsid w:val="008A69D0"/>
    <w:rsid w:val="008A6B1D"/>
    <w:rsid w:val="008A6E8B"/>
    <w:rsid w:val="008A746D"/>
    <w:rsid w:val="008A7D35"/>
    <w:rsid w:val="008A7DE7"/>
    <w:rsid w:val="008A7E28"/>
    <w:rsid w:val="008B08C6"/>
    <w:rsid w:val="008B0918"/>
    <w:rsid w:val="008B125F"/>
    <w:rsid w:val="008B18DE"/>
    <w:rsid w:val="008B1917"/>
    <w:rsid w:val="008B2D01"/>
    <w:rsid w:val="008B2DBE"/>
    <w:rsid w:val="008B34C9"/>
    <w:rsid w:val="008B3F4C"/>
    <w:rsid w:val="008B4D15"/>
    <w:rsid w:val="008B4E58"/>
    <w:rsid w:val="008B4EEA"/>
    <w:rsid w:val="008B5C8A"/>
    <w:rsid w:val="008B6008"/>
    <w:rsid w:val="008B65DD"/>
    <w:rsid w:val="008B6CF7"/>
    <w:rsid w:val="008B707C"/>
    <w:rsid w:val="008B7BBA"/>
    <w:rsid w:val="008C0C3E"/>
    <w:rsid w:val="008C1190"/>
    <w:rsid w:val="008C1407"/>
    <w:rsid w:val="008C14C8"/>
    <w:rsid w:val="008C16BA"/>
    <w:rsid w:val="008C178F"/>
    <w:rsid w:val="008C1925"/>
    <w:rsid w:val="008C19A9"/>
    <w:rsid w:val="008C1C96"/>
    <w:rsid w:val="008C290F"/>
    <w:rsid w:val="008C36A2"/>
    <w:rsid w:val="008C3961"/>
    <w:rsid w:val="008C4B1E"/>
    <w:rsid w:val="008C4C9B"/>
    <w:rsid w:val="008C4D64"/>
    <w:rsid w:val="008C5195"/>
    <w:rsid w:val="008C5897"/>
    <w:rsid w:val="008C58D5"/>
    <w:rsid w:val="008C5CEF"/>
    <w:rsid w:val="008C5DC5"/>
    <w:rsid w:val="008C6405"/>
    <w:rsid w:val="008C6817"/>
    <w:rsid w:val="008C6DD3"/>
    <w:rsid w:val="008C6F49"/>
    <w:rsid w:val="008C74A3"/>
    <w:rsid w:val="008C7FF7"/>
    <w:rsid w:val="008D0177"/>
    <w:rsid w:val="008D03B9"/>
    <w:rsid w:val="008D05E3"/>
    <w:rsid w:val="008D0AC1"/>
    <w:rsid w:val="008D1008"/>
    <w:rsid w:val="008D146A"/>
    <w:rsid w:val="008D1C5C"/>
    <w:rsid w:val="008D1C69"/>
    <w:rsid w:val="008D1E39"/>
    <w:rsid w:val="008D21EB"/>
    <w:rsid w:val="008D2684"/>
    <w:rsid w:val="008D2935"/>
    <w:rsid w:val="008D29BA"/>
    <w:rsid w:val="008D2A5D"/>
    <w:rsid w:val="008D2D6A"/>
    <w:rsid w:val="008D2DDC"/>
    <w:rsid w:val="008D2F25"/>
    <w:rsid w:val="008D2FED"/>
    <w:rsid w:val="008D3202"/>
    <w:rsid w:val="008D378C"/>
    <w:rsid w:val="008D38A5"/>
    <w:rsid w:val="008D4269"/>
    <w:rsid w:val="008D452A"/>
    <w:rsid w:val="008D4615"/>
    <w:rsid w:val="008D4AB9"/>
    <w:rsid w:val="008D513B"/>
    <w:rsid w:val="008D5398"/>
    <w:rsid w:val="008D567B"/>
    <w:rsid w:val="008D5838"/>
    <w:rsid w:val="008D60CC"/>
    <w:rsid w:val="008D6113"/>
    <w:rsid w:val="008D6511"/>
    <w:rsid w:val="008D765A"/>
    <w:rsid w:val="008D7779"/>
    <w:rsid w:val="008D7FE8"/>
    <w:rsid w:val="008E028D"/>
    <w:rsid w:val="008E06C7"/>
    <w:rsid w:val="008E0909"/>
    <w:rsid w:val="008E0B09"/>
    <w:rsid w:val="008E0DF3"/>
    <w:rsid w:val="008E11B7"/>
    <w:rsid w:val="008E154B"/>
    <w:rsid w:val="008E1B5E"/>
    <w:rsid w:val="008E2338"/>
    <w:rsid w:val="008E2646"/>
    <w:rsid w:val="008E28DA"/>
    <w:rsid w:val="008E2FF2"/>
    <w:rsid w:val="008E324C"/>
    <w:rsid w:val="008E32DE"/>
    <w:rsid w:val="008E333E"/>
    <w:rsid w:val="008E35AD"/>
    <w:rsid w:val="008E36B2"/>
    <w:rsid w:val="008E3BC6"/>
    <w:rsid w:val="008E3C0C"/>
    <w:rsid w:val="008E44C5"/>
    <w:rsid w:val="008E465E"/>
    <w:rsid w:val="008E4899"/>
    <w:rsid w:val="008E4E35"/>
    <w:rsid w:val="008E5062"/>
    <w:rsid w:val="008E5994"/>
    <w:rsid w:val="008E5ADC"/>
    <w:rsid w:val="008E618F"/>
    <w:rsid w:val="008E67B6"/>
    <w:rsid w:val="008E6BAF"/>
    <w:rsid w:val="008E7140"/>
    <w:rsid w:val="008F0154"/>
    <w:rsid w:val="008F07C4"/>
    <w:rsid w:val="008F10A5"/>
    <w:rsid w:val="008F185C"/>
    <w:rsid w:val="008F1900"/>
    <w:rsid w:val="008F25F4"/>
    <w:rsid w:val="008F2773"/>
    <w:rsid w:val="008F28DE"/>
    <w:rsid w:val="008F2ABA"/>
    <w:rsid w:val="008F2B9C"/>
    <w:rsid w:val="008F2C32"/>
    <w:rsid w:val="008F318F"/>
    <w:rsid w:val="008F33EB"/>
    <w:rsid w:val="008F3928"/>
    <w:rsid w:val="008F3BDD"/>
    <w:rsid w:val="008F3CFE"/>
    <w:rsid w:val="008F3D32"/>
    <w:rsid w:val="008F42BF"/>
    <w:rsid w:val="008F4A09"/>
    <w:rsid w:val="008F4BE1"/>
    <w:rsid w:val="008F51D4"/>
    <w:rsid w:val="008F51EB"/>
    <w:rsid w:val="008F523C"/>
    <w:rsid w:val="008F59DE"/>
    <w:rsid w:val="008F5D87"/>
    <w:rsid w:val="008F631A"/>
    <w:rsid w:val="008F674A"/>
    <w:rsid w:val="008F6B2A"/>
    <w:rsid w:val="008F6CD8"/>
    <w:rsid w:val="008F76AD"/>
    <w:rsid w:val="00900160"/>
    <w:rsid w:val="009003C1"/>
    <w:rsid w:val="00900B28"/>
    <w:rsid w:val="00900FE6"/>
    <w:rsid w:val="0090118F"/>
    <w:rsid w:val="00901689"/>
    <w:rsid w:val="00901F76"/>
    <w:rsid w:val="009021D5"/>
    <w:rsid w:val="0090237B"/>
    <w:rsid w:val="00902DC1"/>
    <w:rsid w:val="00902DDA"/>
    <w:rsid w:val="009034C9"/>
    <w:rsid w:val="0090351A"/>
    <w:rsid w:val="00903547"/>
    <w:rsid w:val="009038E7"/>
    <w:rsid w:val="00904012"/>
    <w:rsid w:val="009045E7"/>
    <w:rsid w:val="00904607"/>
    <w:rsid w:val="00904A84"/>
    <w:rsid w:val="00905370"/>
    <w:rsid w:val="00905468"/>
    <w:rsid w:val="00905528"/>
    <w:rsid w:val="00905D91"/>
    <w:rsid w:val="0090604D"/>
    <w:rsid w:val="0090678A"/>
    <w:rsid w:val="009067DB"/>
    <w:rsid w:val="0090687F"/>
    <w:rsid w:val="00906CF5"/>
    <w:rsid w:val="00906F6C"/>
    <w:rsid w:val="0090766A"/>
    <w:rsid w:val="00910088"/>
    <w:rsid w:val="00910290"/>
    <w:rsid w:val="00910FAD"/>
    <w:rsid w:val="0091161C"/>
    <w:rsid w:val="00911BA4"/>
    <w:rsid w:val="009121E2"/>
    <w:rsid w:val="0091229B"/>
    <w:rsid w:val="00912B6D"/>
    <w:rsid w:val="00912C9A"/>
    <w:rsid w:val="00912D40"/>
    <w:rsid w:val="00912FB7"/>
    <w:rsid w:val="009135C7"/>
    <w:rsid w:val="009136D8"/>
    <w:rsid w:val="00914329"/>
    <w:rsid w:val="009144D1"/>
    <w:rsid w:val="00914642"/>
    <w:rsid w:val="009148AF"/>
    <w:rsid w:val="0091491F"/>
    <w:rsid w:val="00914E09"/>
    <w:rsid w:val="00914E35"/>
    <w:rsid w:val="00914E62"/>
    <w:rsid w:val="00915095"/>
    <w:rsid w:val="00915805"/>
    <w:rsid w:val="00915AD7"/>
    <w:rsid w:val="00915F03"/>
    <w:rsid w:val="00915F23"/>
    <w:rsid w:val="00915F88"/>
    <w:rsid w:val="00916546"/>
    <w:rsid w:val="00916764"/>
    <w:rsid w:val="00916887"/>
    <w:rsid w:val="00916904"/>
    <w:rsid w:val="00916CE2"/>
    <w:rsid w:val="00916ED5"/>
    <w:rsid w:val="0091739C"/>
    <w:rsid w:val="009201B1"/>
    <w:rsid w:val="009207D4"/>
    <w:rsid w:val="00920806"/>
    <w:rsid w:val="00920DC0"/>
    <w:rsid w:val="009210B0"/>
    <w:rsid w:val="00921194"/>
    <w:rsid w:val="009213FA"/>
    <w:rsid w:val="00921696"/>
    <w:rsid w:val="00921D2E"/>
    <w:rsid w:val="00921DC9"/>
    <w:rsid w:val="00922580"/>
    <w:rsid w:val="009227DF"/>
    <w:rsid w:val="00922B1A"/>
    <w:rsid w:val="00922ED9"/>
    <w:rsid w:val="00923424"/>
    <w:rsid w:val="00923735"/>
    <w:rsid w:val="009238E8"/>
    <w:rsid w:val="00923A41"/>
    <w:rsid w:val="00923CD1"/>
    <w:rsid w:val="00924BC3"/>
    <w:rsid w:val="00924F0B"/>
    <w:rsid w:val="0092512E"/>
    <w:rsid w:val="009255A1"/>
    <w:rsid w:val="0092581D"/>
    <w:rsid w:val="009259D7"/>
    <w:rsid w:val="00926A89"/>
    <w:rsid w:val="00927631"/>
    <w:rsid w:val="00927BAA"/>
    <w:rsid w:val="00927E59"/>
    <w:rsid w:val="00930B0B"/>
    <w:rsid w:val="009317EC"/>
    <w:rsid w:val="00932060"/>
    <w:rsid w:val="0093244E"/>
    <w:rsid w:val="00932F2E"/>
    <w:rsid w:val="009335A3"/>
    <w:rsid w:val="009335D0"/>
    <w:rsid w:val="0093380A"/>
    <w:rsid w:val="00933AA3"/>
    <w:rsid w:val="00933C8D"/>
    <w:rsid w:val="00933DA9"/>
    <w:rsid w:val="00934029"/>
    <w:rsid w:val="0093497D"/>
    <w:rsid w:val="00934EBD"/>
    <w:rsid w:val="00935821"/>
    <w:rsid w:val="00935F60"/>
    <w:rsid w:val="009360EA"/>
    <w:rsid w:val="00936605"/>
    <w:rsid w:val="00936704"/>
    <w:rsid w:val="00936742"/>
    <w:rsid w:val="0093682E"/>
    <w:rsid w:val="009369CA"/>
    <w:rsid w:val="009369ED"/>
    <w:rsid w:val="00936B5E"/>
    <w:rsid w:val="00936E73"/>
    <w:rsid w:val="00936F2A"/>
    <w:rsid w:val="00940824"/>
    <w:rsid w:val="00940F00"/>
    <w:rsid w:val="009414CE"/>
    <w:rsid w:val="00941910"/>
    <w:rsid w:val="00941CF9"/>
    <w:rsid w:val="00942B80"/>
    <w:rsid w:val="00942D55"/>
    <w:rsid w:val="00942E63"/>
    <w:rsid w:val="009433D4"/>
    <w:rsid w:val="00943697"/>
    <w:rsid w:val="00944112"/>
    <w:rsid w:val="009441FC"/>
    <w:rsid w:val="009446C5"/>
    <w:rsid w:val="009449CD"/>
    <w:rsid w:val="00944C8F"/>
    <w:rsid w:val="00944D30"/>
    <w:rsid w:val="00945A48"/>
    <w:rsid w:val="009460D9"/>
    <w:rsid w:val="00946225"/>
    <w:rsid w:val="0094625C"/>
    <w:rsid w:val="0094632C"/>
    <w:rsid w:val="009465C0"/>
    <w:rsid w:val="00946638"/>
    <w:rsid w:val="00946842"/>
    <w:rsid w:val="009475E0"/>
    <w:rsid w:val="00947C9A"/>
    <w:rsid w:val="00950987"/>
    <w:rsid w:val="00950DF1"/>
    <w:rsid w:val="00950ED8"/>
    <w:rsid w:val="009511F3"/>
    <w:rsid w:val="00951697"/>
    <w:rsid w:val="00951767"/>
    <w:rsid w:val="00951A5F"/>
    <w:rsid w:val="00951A69"/>
    <w:rsid w:val="00951DB5"/>
    <w:rsid w:val="0095203B"/>
    <w:rsid w:val="00952809"/>
    <w:rsid w:val="00952D64"/>
    <w:rsid w:val="00953965"/>
    <w:rsid w:val="00953983"/>
    <w:rsid w:val="00953B4F"/>
    <w:rsid w:val="00953B99"/>
    <w:rsid w:val="00953BBB"/>
    <w:rsid w:val="009541E1"/>
    <w:rsid w:val="009546F1"/>
    <w:rsid w:val="00955274"/>
    <w:rsid w:val="009554A6"/>
    <w:rsid w:val="00955628"/>
    <w:rsid w:val="0095588B"/>
    <w:rsid w:val="00955C8E"/>
    <w:rsid w:val="00956060"/>
    <w:rsid w:val="00956C1A"/>
    <w:rsid w:val="00956F4A"/>
    <w:rsid w:val="009570F3"/>
    <w:rsid w:val="00957A31"/>
    <w:rsid w:val="00957A4A"/>
    <w:rsid w:val="00957AF2"/>
    <w:rsid w:val="00957F20"/>
    <w:rsid w:val="00960141"/>
    <w:rsid w:val="009602D3"/>
    <w:rsid w:val="0096068D"/>
    <w:rsid w:val="00960959"/>
    <w:rsid w:val="00960B30"/>
    <w:rsid w:val="00961035"/>
    <w:rsid w:val="009613A2"/>
    <w:rsid w:val="009614B9"/>
    <w:rsid w:val="00962685"/>
    <w:rsid w:val="00962C0D"/>
    <w:rsid w:val="009631BA"/>
    <w:rsid w:val="009634B6"/>
    <w:rsid w:val="009637BB"/>
    <w:rsid w:val="009638B7"/>
    <w:rsid w:val="00963B6E"/>
    <w:rsid w:val="00963C4F"/>
    <w:rsid w:val="00964047"/>
    <w:rsid w:val="00964188"/>
    <w:rsid w:val="00964191"/>
    <w:rsid w:val="009641ED"/>
    <w:rsid w:val="00964819"/>
    <w:rsid w:val="00964DF1"/>
    <w:rsid w:val="00965459"/>
    <w:rsid w:val="00965535"/>
    <w:rsid w:val="009656F9"/>
    <w:rsid w:val="00965DE8"/>
    <w:rsid w:val="0096600B"/>
    <w:rsid w:val="00966014"/>
    <w:rsid w:val="00966202"/>
    <w:rsid w:val="00966B05"/>
    <w:rsid w:val="00966C59"/>
    <w:rsid w:val="009674E0"/>
    <w:rsid w:val="00967E7D"/>
    <w:rsid w:val="00967F69"/>
    <w:rsid w:val="00967FB3"/>
    <w:rsid w:val="00967FF2"/>
    <w:rsid w:val="009704D0"/>
    <w:rsid w:val="009725E5"/>
    <w:rsid w:val="00972D88"/>
    <w:rsid w:val="00972E77"/>
    <w:rsid w:val="0097317B"/>
    <w:rsid w:val="00973671"/>
    <w:rsid w:val="009736C7"/>
    <w:rsid w:val="00973C7F"/>
    <w:rsid w:val="00973FE4"/>
    <w:rsid w:val="00974192"/>
    <w:rsid w:val="009743E5"/>
    <w:rsid w:val="00974905"/>
    <w:rsid w:val="00974AFE"/>
    <w:rsid w:val="00975133"/>
    <w:rsid w:val="0097529D"/>
    <w:rsid w:val="0097531E"/>
    <w:rsid w:val="0097533F"/>
    <w:rsid w:val="00975599"/>
    <w:rsid w:val="00975C07"/>
    <w:rsid w:val="00976068"/>
    <w:rsid w:val="0097616E"/>
    <w:rsid w:val="00976181"/>
    <w:rsid w:val="009761FE"/>
    <w:rsid w:val="0097689E"/>
    <w:rsid w:val="009769F6"/>
    <w:rsid w:val="009772E4"/>
    <w:rsid w:val="009776EC"/>
    <w:rsid w:val="00977D1D"/>
    <w:rsid w:val="009810CE"/>
    <w:rsid w:val="00981372"/>
    <w:rsid w:val="00981B4E"/>
    <w:rsid w:val="00981E2A"/>
    <w:rsid w:val="009821F7"/>
    <w:rsid w:val="0098262B"/>
    <w:rsid w:val="0098265F"/>
    <w:rsid w:val="00982B48"/>
    <w:rsid w:val="0098315B"/>
    <w:rsid w:val="009838BB"/>
    <w:rsid w:val="00983BDE"/>
    <w:rsid w:val="00984905"/>
    <w:rsid w:val="0098499C"/>
    <w:rsid w:val="00984A05"/>
    <w:rsid w:val="009851C0"/>
    <w:rsid w:val="009852D8"/>
    <w:rsid w:val="009858A7"/>
    <w:rsid w:val="00985B6E"/>
    <w:rsid w:val="00985BF9"/>
    <w:rsid w:val="00985C35"/>
    <w:rsid w:val="00985E97"/>
    <w:rsid w:val="00986CD2"/>
    <w:rsid w:val="00987179"/>
    <w:rsid w:val="00987791"/>
    <w:rsid w:val="00987963"/>
    <w:rsid w:val="00987C6C"/>
    <w:rsid w:val="00987E4C"/>
    <w:rsid w:val="00987FE0"/>
    <w:rsid w:val="00990085"/>
    <w:rsid w:val="00990287"/>
    <w:rsid w:val="009904B1"/>
    <w:rsid w:val="00990736"/>
    <w:rsid w:val="00990DFC"/>
    <w:rsid w:val="00990F54"/>
    <w:rsid w:val="0099121F"/>
    <w:rsid w:val="00991D35"/>
    <w:rsid w:val="00991D3F"/>
    <w:rsid w:val="00991F8B"/>
    <w:rsid w:val="00992001"/>
    <w:rsid w:val="00992382"/>
    <w:rsid w:val="009924E8"/>
    <w:rsid w:val="009924E9"/>
    <w:rsid w:val="00992655"/>
    <w:rsid w:val="009929C0"/>
    <w:rsid w:val="00992A45"/>
    <w:rsid w:val="00992B8B"/>
    <w:rsid w:val="00992C69"/>
    <w:rsid w:val="00992E22"/>
    <w:rsid w:val="0099301A"/>
    <w:rsid w:val="00993453"/>
    <w:rsid w:val="00993848"/>
    <w:rsid w:val="009942AB"/>
    <w:rsid w:val="00994BC7"/>
    <w:rsid w:val="0099523C"/>
    <w:rsid w:val="0099533A"/>
    <w:rsid w:val="00995537"/>
    <w:rsid w:val="009956A8"/>
    <w:rsid w:val="0099590A"/>
    <w:rsid w:val="00995C15"/>
    <w:rsid w:val="00996A5B"/>
    <w:rsid w:val="00996ACB"/>
    <w:rsid w:val="00997CD7"/>
    <w:rsid w:val="00997D9A"/>
    <w:rsid w:val="009A06ED"/>
    <w:rsid w:val="009A08EF"/>
    <w:rsid w:val="009A0B1E"/>
    <w:rsid w:val="009A0C73"/>
    <w:rsid w:val="009A0DDF"/>
    <w:rsid w:val="009A0F1F"/>
    <w:rsid w:val="009A0F86"/>
    <w:rsid w:val="009A1439"/>
    <w:rsid w:val="009A1972"/>
    <w:rsid w:val="009A1FC2"/>
    <w:rsid w:val="009A22D7"/>
    <w:rsid w:val="009A26AF"/>
    <w:rsid w:val="009A2AC5"/>
    <w:rsid w:val="009A3AD2"/>
    <w:rsid w:val="009A4A2F"/>
    <w:rsid w:val="009A4A9B"/>
    <w:rsid w:val="009A4E97"/>
    <w:rsid w:val="009A50A6"/>
    <w:rsid w:val="009A50E4"/>
    <w:rsid w:val="009A5423"/>
    <w:rsid w:val="009A55D3"/>
    <w:rsid w:val="009A5980"/>
    <w:rsid w:val="009A5A95"/>
    <w:rsid w:val="009A66F4"/>
    <w:rsid w:val="009A683E"/>
    <w:rsid w:val="009A6981"/>
    <w:rsid w:val="009A7031"/>
    <w:rsid w:val="009A75D2"/>
    <w:rsid w:val="009A7BF2"/>
    <w:rsid w:val="009A7E24"/>
    <w:rsid w:val="009A7EAD"/>
    <w:rsid w:val="009B0522"/>
    <w:rsid w:val="009B0D99"/>
    <w:rsid w:val="009B0F0E"/>
    <w:rsid w:val="009B0F74"/>
    <w:rsid w:val="009B1212"/>
    <w:rsid w:val="009B1D5C"/>
    <w:rsid w:val="009B20D7"/>
    <w:rsid w:val="009B2327"/>
    <w:rsid w:val="009B2487"/>
    <w:rsid w:val="009B27A1"/>
    <w:rsid w:val="009B2905"/>
    <w:rsid w:val="009B2DA8"/>
    <w:rsid w:val="009B34B0"/>
    <w:rsid w:val="009B3948"/>
    <w:rsid w:val="009B3F2F"/>
    <w:rsid w:val="009B406F"/>
    <w:rsid w:val="009B44C2"/>
    <w:rsid w:val="009B496B"/>
    <w:rsid w:val="009B55C2"/>
    <w:rsid w:val="009B5D90"/>
    <w:rsid w:val="009B6390"/>
    <w:rsid w:val="009B6647"/>
    <w:rsid w:val="009B6B02"/>
    <w:rsid w:val="009B6CDF"/>
    <w:rsid w:val="009B7007"/>
    <w:rsid w:val="009B7139"/>
    <w:rsid w:val="009B73FF"/>
    <w:rsid w:val="009B782C"/>
    <w:rsid w:val="009B7985"/>
    <w:rsid w:val="009B798C"/>
    <w:rsid w:val="009B7CA2"/>
    <w:rsid w:val="009C0009"/>
    <w:rsid w:val="009C02E4"/>
    <w:rsid w:val="009C03E3"/>
    <w:rsid w:val="009C0E5D"/>
    <w:rsid w:val="009C1378"/>
    <w:rsid w:val="009C15AA"/>
    <w:rsid w:val="009C2150"/>
    <w:rsid w:val="009C2613"/>
    <w:rsid w:val="009C338A"/>
    <w:rsid w:val="009C389A"/>
    <w:rsid w:val="009C40EE"/>
    <w:rsid w:val="009C4321"/>
    <w:rsid w:val="009C4CA6"/>
    <w:rsid w:val="009C4EDB"/>
    <w:rsid w:val="009C5BB2"/>
    <w:rsid w:val="009C5CEC"/>
    <w:rsid w:val="009C619B"/>
    <w:rsid w:val="009C6A69"/>
    <w:rsid w:val="009C6BFA"/>
    <w:rsid w:val="009C7331"/>
    <w:rsid w:val="009C7432"/>
    <w:rsid w:val="009C75DB"/>
    <w:rsid w:val="009C7FEA"/>
    <w:rsid w:val="009D00E6"/>
    <w:rsid w:val="009D076B"/>
    <w:rsid w:val="009D0DCF"/>
    <w:rsid w:val="009D0E0F"/>
    <w:rsid w:val="009D1085"/>
    <w:rsid w:val="009D1A0B"/>
    <w:rsid w:val="009D1A9E"/>
    <w:rsid w:val="009D1D91"/>
    <w:rsid w:val="009D2472"/>
    <w:rsid w:val="009D25D7"/>
    <w:rsid w:val="009D2860"/>
    <w:rsid w:val="009D2FB8"/>
    <w:rsid w:val="009D3244"/>
    <w:rsid w:val="009D35ED"/>
    <w:rsid w:val="009D368C"/>
    <w:rsid w:val="009D3756"/>
    <w:rsid w:val="009D3CD1"/>
    <w:rsid w:val="009D4050"/>
    <w:rsid w:val="009D4AF2"/>
    <w:rsid w:val="009D4E40"/>
    <w:rsid w:val="009D6175"/>
    <w:rsid w:val="009D61E4"/>
    <w:rsid w:val="009D6490"/>
    <w:rsid w:val="009D7138"/>
    <w:rsid w:val="009D72E3"/>
    <w:rsid w:val="009D76F3"/>
    <w:rsid w:val="009D7881"/>
    <w:rsid w:val="009D78DF"/>
    <w:rsid w:val="009D7C53"/>
    <w:rsid w:val="009E1872"/>
    <w:rsid w:val="009E18C9"/>
    <w:rsid w:val="009E2A04"/>
    <w:rsid w:val="009E2E31"/>
    <w:rsid w:val="009E3406"/>
    <w:rsid w:val="009E3497"/>
    <w:rsid w:val="009E360B"/>
    <w:rsid w:val="009E36D5"/>
    <w:rsid w:val="009E3AC5"/>
    <w:rsid w:val="009E3D5F"/>
    <w:rsid w:val="009E4163"/>
    <w:rsid w:val="009E4DCA"/>
    <w:rsid w:val="009E4F1B"/>
    <w:rsid w:val="009E54EC"/>
    <w:rsid w:val="009E55F9"/>
    <w:rsid w:val="009E5B08"/>
    <w:rsid w:val="009E604F"/>
    <w:rsid w:val="009E6788"/>
    <w:rsid w:val="009E6B31"/>
    <w:rsid w:val="009E71C2"/>
    <w:rsid w:val="009E7618"/>
    <w:rsid w:val="009E7F93"/>
    <w:rsid w:val="009F00C4"/>
    <w:rsid w:val="009F04B2"/>
    <w:rsid w:val="009F05D5"/>
    <w:rsid w:val="009F0D67"/>
    <w:rsid w:val="009F102C"/>
    <w:rsid w:val="009F109D"/>
    <w:rsid w:val="009F1EE4"/>
    <w:rsid w:val="009F295E"/>
    <w:rsid w:val="009F2A21"/>
    <w:rsid w:val="009F2C3B"/>
    <w:rsid w:val="009F39B4"/>
    <w:rsid w:val="009F3A6E"/>
    <w:rsid w:val="009F433B"/>
    <w:rsid w:val="009F4410"/>
    <w:rsid w:val="009F542F"/>
    <w:rsid w:val="009F55AA"/>
    <w:rsid w:val="009F5B59"/>
    <w:rsid w:val="009F67B1"/>
    <w:rsid w:val="009F6897"/>
    <w:rsid w:val="009F68B7"/>
    <w:rsid w:val="009F703E"/>
    <w:rsid w:val="009F722B"/>
    <w:rsid w:val="009F7352"/>
    <w:rsid w:val="009F7DBC"/>
    <w:rsid w:val="00A000D7"/>
    <w:rsid w:val="00A00225"/>
    <w:rsid w:val="00A00ED8"/>
    <w:rsid w:val="00A0185C"/>
    <w:rsid w:val="00A01A49"/>
    <w:rsid w:val="00A01E3D"/>
    <w:rsid w:val="00A02160"/>
    <w:rsid w:val="00A02633"/>
    <w:rsid w:val="00A02743"/>
    <w:rsid w:val="00A028EA"/>
    <w:rsid w:val="00A037AE"/>
    <w:rsid w:val="00A03B38"/>
    <w:rsid w:val="00A03C3D"/>
    <w:rsid w:val="00A03F1E"/>
    <w:rsid w:val="00A0472C"/>
    <w:rsid w:val="00A04F36"/>
    <w:rsid w:val="00A053E5"/>
    <w:rsid w:val="00A055F9"/>
    <w:rsid w:val="00A058F2"/>
    <w:rsid w:val="00A05CC6"/>
    <w:rsid w:val="00A05DF4"/>
    <w:rsid w:val="00A061AF"/>
    <w:rsid w:val="00A0649B"/>
    <w:rsid w:val="00A06CC7"/>
    <w:rsid w:val="00A06E16"/>
    <w:rsid w:val="00A07488"/>
    <w:rsid w:val="00A07EEB"/>
    <w:rsid w:val="00A10665"/>
    <w:rsid w:val="00A109EA"/>
    <w:rsid w:val="00A10DCE"/>
    <w:rsid w:val="00A10E69"/>
    <w:rsid w:val="00A11B82"/>
    <w:rsid w:val="00A11D48"/>
    <w:rsid w:val="00A11E38"/>
    <w:rsid w:val="00A11F7B"/>
    <w:rsid w:val="00A1416D"/>
    <w:rsid w:val="00A14C4F"/>
    <w:rsid w:val="00A14DCB"/>
    <w:rsid w:val="00A14ED3"/>
    <w:rsid w:val="00A151EF"/>
    <w:rsid w:val="00A1530A"/>
    <w:rsid w:val="00A154EB"/>
    <w:rsid w:val="00A157EC"/>
    <w:rsid w:val="00A16D18"/>
    <w:rsid w:val="00A17444"/>
    <w:rsid w:val="00A17634"/>
    <w:rsid w:val="00A17700"/>
    <w:rsid w:val="00A17CF2"/>
    <w:rsid w:val="00A20181"/>
    <w:rsid w:val="00A20A8D"/>
    <w:rsid w:val="00A21CEA"/>
    <w:rsid w:val="00A21F0A"/>
    <w:rsid w:val="00A2273F"/>
    <w:rsid w:val="00A233A5"/>
    <w:rsid w:val="00A23BC8"/>
    <w:rsid w:val="00A23FBC"/>
    <w:rsid w:val="00A24089"/>
    <w:rsid w:val="00A2464E"/>
    <w:rsid w:val="00A24ECB"/>
    <w:rsid w:val="00A25396"/>
    <w:rsid w:val="00A25606"/>
    <w:rsid w:val="00A25B45"/>
    <w:rsid w:val="00A25CAD"/>
    <w:rsid w:val="00A25D38"/>
    <w:rsid w:val="00A26048"/>
    <w:rsid w:val="00A26B45"/>
    <w:rsid w:val="00A26CFD"/>
    <w:rsid w:val="00A26F4E"/>
    <w:rsid w:val="00A2771A"/>
    <w:rsid w:val="00A279BC"/>
    <w:rsid w:val="00A3003B"/>
    <w:rsid w:val="00A30BE0"/>
    <w:rsid w:val="00A314D0"/>
    <w:rsid w:val="00A31DBB"/>
    <w:rsid w:val="00A31EA9"/>
    <w:rsid w:val="00A321AC"/>
    <w:rsid w:val="00A323B2"/>
    <w:rsid w:val="00A3274C"/>
    <w:rsid w:val="00A32A8C"/>
    <w:rsid w:val="00A32BA3"/>
    <w:rsid w:val="00A330C9"/>
    <w:rsid w:val="00A3383D"/>
    <w:rsid w:val="00A33A91"/>
    <w:rsid w:val="00A348F9"/>
    <w:rsid w:val="00A34B77"/>
    <w:rsid w:val="00A3517B"/>
    <w:rsid w:val="00A35486"/>
    <w:rsid w:val="00A35C8E"/>
    <w:rsid w:val="00A36211"/>
    <w:rsid w:val="00A367D7"/>
    <w:rsid w:val="00A36AB7"/>
    <w:rsid w:val="00A36B14"/>
    <w:rsid w:val="00A36BD2"/>
    <w:rsid w:val="00A37057"/>
    <w:rsid w:val="00A37390"/>
    <w:rsid w:val="00A37526"/>
    <w:rsid w:val="00A37719"/>
    <w:rsid w:val="00A37D2A"/>
    <w:rsid w:val="00A37DDD"/>
    <w:rsid w:val="00A37FAF"/>
    <w:rsid w:val="00A40708"/>
    <w:rsid w:val="00A409F3"/>
    <w:rsid w:val="00A410A4"/>
    <w:rsid w:val="00A410D6"/>
    <w:rsid w:val="00A41180"/>
    <w:rsid w:val="00A418C3"/>
    <w:rsid w:val="00A41CD9"/>
    <w:rsid w:val="00A41F96"/>
    <w:rsid w:val="00A423DC"/>
    <w:rsid w:val="00A4253E"/>
    <w:rsid w:val="00A4256C"/>
    <w:rsid w:val="00A4307E"/>
    <w:rsid w:val="00A43158"/>
    <w:rsid w:val="00A43574"/>
    <w:rsid w:val="00A43993"/>
    <w:rsid w:val="00A43AE5"/>
    <w:rsid w:val="00A43E0D"/>
    <w:rsid w:val="00A44386"/>
    <w:rsid w:val="00A44418"/>
    <w:rsid w:val="00A4483B"/>
    <w:rsid w:val="00A448A1"/>
    <w:rsid w:val="00A44C19"/>
    <w:rsid w:val="00A45619"/>
    <w:rsid w:val="00A45989"/>
    <w:rsid w:val="00A4622D"/>
    <w:rsid w:val="00A46339"/>
    <w:rsid w:val="00A464C9"/>
    <w:rsid w:val="00A475D9"/>
    <w:rsid w:val="00A47EA8"/>
    <w:rsid w:val="00A50027"/>
    <w:rsid w:val="00A50230"/>
    <w:rsid w:val="00A50852"/>
    <w:rsid w:val="00A50C77"/>
    <w:rsid w:val="00A50E3F"/>
    <w:rsid w:val="00A50EA3"/>
    <w:rsid w:val="00A510CF"/>
    <w:rsid w:val="00A51543"/>
    <w:rsid w:val="00A5155F"/>
    <w:rsid w:val="00A516E8"/>
    <w:rsid w:val="00A52373"/>
    <w:rsid w:val="00A526A8"/>
    <w:rsid w:val="00A52873"/>
    <w:rsid w:val="00A529ED"/>
    <w:rsid w:val="00A531FD"/>
    <w:rsid w:val="00A54433"/>
    <w:rsid w:val="00A54867"/>
    <w:rsid w:val="00A54BBD"/>
    <w:rsid w:val="00A54E2F"/>
    <w:rsid w:val="00A54EA1"/>
    <w:rsid w:val="00A55124"/>
    <w:rsid w:val="00A554AC"/>
    <w:rsid w:val="00A55641"/>
    <w:rsid w:val="00A55D09"/>
    <w:rsid w:val="00A562FD"/>
    <w:rsid w:val="00A56E5E"/>
    <w:rsid w:val="00A56F5B"/>
    <w:rsid w:val="00A574CF"/>
    <w:rsid w:val="00A575AE"/>
    <w:rsid w:val="00A5784B"/>
    <w:rsid w:val="00A57DFB"/>
    <w:rsid w:val="00A6001F"/>
    <w:rsid w:val="00A601F8"/>
    <w:rsid w:val="00A6023A"/>
    <w:rsid w:val="00A604F6"/>
    <w:rsid w:val="00A604FC"/>
    <w:rsid w:val="00A60912"/>
    <w:rsid w:val="00A60A5E"/>
    <w:rsid w:val="00A6102D"/>
    <w:rsid w:val="00A613CB"/>
    <w:rsid w:val="00A61721"/>
    <w:rsid w:val="00A61BE4"/>
    <w:rsid w:val="00A61F11"/>
    <w:rsid w:val="00A6203F"/>
    <w:rsid w:val="00A62C09"/>
    <w:rsid w:val="00A62DFB"/>
    <w:rsid w:val="00A63280"/>
    <w:rsid w:val="00A633EE"/>
    <w:rsid w:val="00A63BB3"/>
    <w:rsid w:val="00A65035"/>
    <w:rsid w:val="00A65068"/>
    <w:rsid w:val="00A65603"/>
    <w:rsid w:val="00A65B02"/>
    <w:rsid w:val="00A667E0"/>
    <w:rsid w:val="00A66950"/>
    <w:rsid w:val="00A66DF8"/>
    <w:rsid w:val="00A66FA5"/>
    <w:rsid w:val="00A6708D"/>
    <w:rsid w:val="00A6789D"/>
    <w:rsid w:val="00A678D1"/>
    <w:rsid w:val="00A67993"/>
    <w:rsid w:val="00A702DB"/>
    <w:rsid w:val="00A704D2"/>
    <w:rsid w:val="00A7072B"/>
    <w:rsid w:val="00A70BD1"/>
    <w:rsid w:val="00A70E9F"/>
    <w:rsid w:val="00A7176B"/>
    <w:rsid w:val="00A71BA0"/>
    <w:rsid w:val="00A71FFC"/>
    <w:rsid w:val="00A72430"/>
    <w:rsid w:val="00A72893"/>
    <w:rsid w:val="00A72BDB"/>
    <w:rsid w:val="00A72E4E"/>
    <w:rsid w:val="00A731D8"/>
    <w:rsid w:val="00A73827"/>
    <w:rsid w:val="00A738FA"/>
    <w:rsid w:val="00A73AC5"/>
    <w:rsid w:val="00A73BF1"/>
    <w:rsid w:val="00A73CC9"/>
    <w:rsid w:val="00A73CE5"/>
    <w:rsid w:val="00A73CFA"/>
    <w:rsid w:val="00A73D77"/>
    <w:rsid w:val="00A741F9"/>
    <w:rsid w:val="00A74E1A"/>
    <w:rsid w:val="00A75F0E"/>
    <w:rsid w:val="00A762F7"/>
    <w:rsid w:val="00A773F0"/>
    <w:rsid w:val="00A77464"/>
    <w:rsid w:val="00A77620"/>
    <w:rsid w:val="00A801B3"/>
    <w:rsid w:val="00A80AAE"/>
    <w:rsid w:val="00A8105B"/>
    <w:rsid w:val="00A81097"/>
    <w:rsid w:val="00A81519"/>
    <w:rsid w:val="00A819B5"/>
    <w:rsid w:val="00A81C1B"/>
    <w:rsid w:val="00A81C1E"/>
    <w:rsid w:val="00A825CD"/>
    <w:rsid w:val="00A8286B"/>
    <w:rsid w:val="00A8289E"/>
    <w:rsid w:val="00A828A3"/>
    <w:rsid w:val="00A82CC8"/>
    <w:rsid w:val="00A835FC"/>
    <w:rsid w:val="00A8360F"/>
    <w:rsid w:val="00A83638"/>
    <w:rsid w:val="00A83761"/>
    <w:rsid w:val="00A8379A"/>
    <w:rsid w:val="00A837F5"/>
    <w:rsid w:val="00A8397F"/>
    <w:rsid w:val="00A84947"/>
    <w:rsid w:val="00A849B3"/>
    <w:rsid w:val="00A84BE5"/>
    <w:rsid w:val="00A85041"/>
    <w:rsid w:val="00A85208"/>
    <w:rsid w:val="00A85A40"/>
    <w:rsid w:val="00A85CAA"/>
    <w:rsid w:val="00A86244"/>
    <w:rsid w:val="00A869FC"/>
    <w:rsid w:val="00A86BD6"/>
    <w:rsid w:val="00A86C40"/>
    <w:rsid w:val="00A86EA3"/>
    <w:rsid w:val="00A870A7"/>
    <w:rsid w:val="00A87135"/>
    <w:rsid w:val="00A87F5F"/>
    <w:rsid w:val="00A905FC"/>
    <w:rsid w:val="00A90BE6"/>
    <w:rsid w:val="00A90C1A"/>
    <w:rsid w:val="00A90D2F"/>
    <w:rsid w:val="00A9166A"/>
    <w:rsid w:val="00A918CA"/>
    <w:rsid w:val="00A91D7D"/>
    <w:rsid w:val="00A920F2"/>
    <w:rsid w:val="00A923C5"/>
    <w:rsid w:val="00A9282F"/>
    <w:rsid w:val="00A93886"/>
    <w:rsid w:val="00A93D19"/>
    <w:rsid w:val="00A94C1D"/>
    <w:rsid w:val="00A94D99"/>
    <w:rsid w:val="00A9589D"/>
    <w:rsid w:val="00A95A16"/>
    <w:rsid w:val="00A95AC0"/>
    <w:rsid w:val="00A966D6"/>
    <w:rsid w:val="00A9770C"/>
    <w:rsid w:val="00A978B8"/>
    <w:rsid w:val="00A97A55"/>
    <w:rsid w:val="00A97DA0"/>
    <w:rsid w:val="00AA0438"/>
    <w:rsid w:val="00AA048F"/>
    <w:rsid w:val="00AA08AB"/>
    <w:rsid w:val="00AA11A9"/>
    <w:rsid w:val="00AA1689"/>
    <w:rsid w:val="00AA2840"/>
    <w:rsid w:val="00AA2CD8"/>
    <w:rsid w:val="00AA467A"/>
    <w:rsid w:val="00AA5235"/>
    <w:rsid w:val="00AA54E4"/>
    <w:rsid w:val="00AA555C"/>
    <w:rsid w:val="00AA56C5"/>
    <w:rsid w:val="00AA617E"/>
    <w:rsid w:val="00AA6664"/>
    <w:rsid w:val="00AA691A"/>
    <w:rsid w:val="00AA6B09"/>
    <w:rsid w:val="00AA76B9"/>
    <w:rsid w:val="00AB0095"/>
    <w:rsid w:val="00AB0341"/>
    <w:rsid w:val="00AB0947"/>
    <w:rsid w:val="00AB20D0"/>
    <w:rsid w:val="00AB2AEF"/>
    <w:rsid w:val="00AB2D32"/>
    <w:rsid w:val="00AB2DB4"/>
    <w:rsid w:val="00AB3735"/>
    <w:rsid w:val="00AB3F89"/>
    <w:rsid w:val="00AB4B44"/>
    <w:rsid w:val="00AB4CF3"/>
    <w:rsid w:val="00AB4D2D"/>
    <w:rsid w:val="00AB53B9"/>
    <w:rsid w:val="00AB5895"/>
    <w:rsid w:val="00AB58B2"/>
    <w:rsid w:val="00AB5A58"/>
    <w:rsid w:val="00AB603F"/>
    <w:rsid w:val="00AB6448"/>
    <w:rsid w:val="00AB6701"/>
    <w:rsid w:val="00AB67B4"/>
    <w:rsid w:val="00AB762C"/>
    <w:rsid w:val="00AB778F"/>
    <w:rsid w:val="00AB7BEF"/>
    <w:rsid w:val="00AB7CEF"/>
    <w:rsid w:val="00AC0561"/>
    <w:rsid w:val="00AC14AA"/>
    <w:rsid w:val="00AC1773"/>
    <w:rsid w:val="00AC18D8"/>
    <w:rsid w:val="00AC19A7"/>
    <w:rsid w:val="00AC1BCE"/>
    <w:rsid w:val="00AC1EB3"/>
    <w:rsid w:val="00AC1FAC"/>
    <w:rsid w:val="00AC26B2"/>
    <w:rsid w:val="00AC28CB"/>
    <w:rsid w:val="00AC298F"/>
    <w:rsid w:val="00AC2D82"/>
    <w:rsid w:val="00AC2EB1"/>
    <w:rsid w:val="00AC31BD"/>
    <w:rsid w:val="00AC34C8"/>
    <w:rsid w:val="00AC35B1"/>
    <w:rsid w:val="00AC3CD8"/>
    <w:rsid w:val="00AC435D"/>
    <w:rsid w:val="00AC53FF"/>
    <w:rsid w:val="00AC6226"/>
    <w:rsid w:val="00AC62C1"/>
    <w:rsid w:val="00AC70EC"/>
    <w:rsid w:val="00AC762E"/>
    <w:rsid w:val="00AC7DEF"/>
    <w:rsid w:val="00AC7F47"/>
    <w:rsid w:val="00AD0427"/>
    <w:rsid w:val="00AD074C"/>
    <w:rsid w:val="00AD154F"/>
    <w:rsid w:val="00AD1D1C"/>
    <w:rsid w:val="00AD1DA9"/>
    <w:rsid w:val="00AD1ECF"/>
    <w:rsid w:val="00AD2D76"/>
    <w:rsid w:val="00AD2FAC"/>
    <w:rsid w:val="00AD36FD"/>
    <w:rsid w:val="00AD382E"/>
    <w:rsid w:val="00AD383B"/>
    <w:rsid w:val="00AD4406"/>
    <w:rsid w:val="00AD5556"/>
    <w:rsid w:val="00AD577F"/>
    <w:rsid w:val="00AD5F9B"/>
    <w:rsid w:val="00AD615F"/>
    <w:rsid w:val="00AD6450"/>
    <w:rsid w:val="00AD65D2"/>
    <w:rsid w:val="00AD68C5"/>
    <w:rsid w:val="00AD6A92"/>
    <w:rsid w:val="00AD6AC8"/>
    <w:rsid w:val="00AD6DDA"/>
    <w:rsid w:val="00AD6F4E"/>
    <w:rsid w:val="00AD7406"/>
    <w:rsid w:val="00AD74B8"/>
    <w:rsid w:val="00AD7533"/>
    <w:rsid w:val="00AD7CE8"/>
    <w:rsid w:val="00AD7DB5"/>
    <w:rsid w:val="00AE0102"/>
    <w:rsid w:val="00AE05AE"/>
    <w:rsid w:val="00AE0E24"/>
    <w:rsid w:val="00AE14C4"/>
    <w:rsid w:val="00AE14C6"/>
    <w:rsid w:val="00AE15E8"/>
    <w:rsid w:val="00AE16A3"/>
    <w:rsid w:val="00AE2709"/>
    <w:rsid w:val="00AE2A44"/>
    <w:rsid w:val="00AE2D19"/>
    <w:rsid w:val="00AE36BE"/>
    <w:rsid w:val="00AE400A"/>
    <w:rsid w:val="00AE45D2"/>
    <w:rsid w:val="00AE4870"/>
    <w:rsid w:val="00AE4C60"/>
    <w:rsid w:val="00AE51B9"/>
    <w:rsid w:val="00AE5CD5"/>
    <w:rsid w:val="00AE63EE"/>
    <w:rsid w:val="00AE6687"/>
    <w:rsid w:val="00AE6704"/>
    <w:rsid w:val="00AE670D"/>
    <w:rsid w:val="00AE6A59"/>
    <w:rsid w:val="00AE6AF0"/>
    <w:rsid w:val="00AE6F06"/>
    <w:rsid w:val="00AE7827"/>
    <w:rsid w:val="00AE7894"/>
    <w:rsid w:val="00AE7B1A"/>
    <w:rsid w:val="00AE7FE0"/>
    <w:rsid w:val="00AF0040"/>
    <w:rsid w:val="00AF0241"/>
    <w:rsid w:val="00AF0629"/>
    <w:rsid w:val="00AF0690"/>
    <w:rsid w:val="00AF0C42"/>
    <w:rsid w:val="00AF1622"/>
    <w:rsid w:val="00AF1B0C"/>
    <w:rsid w:val="00AF1B9A"/>
    <w:rsid w:val="00AF1C20"/>
    <w:rsid w:val="00AF2245"/>
    <w:rsid w:val="00AF2446"/>
    <w:rsid w:val="00AF24D8"/>
    <w:rsid w:val="00AF28CA"/>
    <w:rsid w:val="00AF2C2B"/>
    <w:rsid w:val="00AF2E10"/>
    <w:rsid w:val="00AF312C"/>
    <w:rsid w:val="00AF369B"/>
    <w:rsid w:val="00AF3E9C"/>
    <w:rsid w:val="00AF4692"/>
    <w:rsid w:val="00AF46ED"/>
    <w:rsid w:val="00AF474A"/>
    <w:rsid w:val="00AF54C5"/>
    <w:rsid w:val="00AF57B9"/>
    <w:rsid w:val="00AF5A08"/>
    <w:rsid w:val="00AF5A4F"/>
    <w:rsid w:val="00AF5B17"/>
    <w:rsid w:val="00AF623C"/>
    <w:rsid w:val="00AF7395"/>
    <w:rsid w:val="00AF73BC"/>
    <w:rsid w:val="00AF7770"/>
    <w:rsid w:val="00AF7E09"/>
    <w:rsid w:val="00B001B8"/>
    <w:rsid w:val="00B001EB"/>
    <w:rsid w:val="00B00289"/>
    <w:rsid w:val="00B00322"/>
    <w:rsid w:val="00B0040C"/>
    <w:rsid w:val="00B0084E"/>
    <w:rsid w:val="00B00F94"/>
    <w:rsid w:val="00B01198"/>
    <w:rsid w:val="00B0170C"/>
    <w:rsid w:val="00B01780"/>
    <w:rsid w:val="00B020F7"/>
    <w:rsid w:val="00B02AEE"/>
    <w:rsid w:val="00B02E05"/>
    <w:rsid w:val="00B04CC7"/>
    <w:rsid w:val="00B050FC"/>
    <w:rsid w:val="00B05A3F"/>
    <w:rsid w:val="00B05EB6"/>
    <w:rsid w:val="00B05FFD"/>
    <w:rsid w:val="00B06EBF"/>
    <w:rsid w:val="00B070D5"/>
    <w:rsid w:val="00B0748C"/>
    <w:rsid w:val="00B07A28"/>
    <w:rsid w:val="00B07CE4"/>
    <w:rsid w:val="00B101A2"/>
    <w:rsid w:val="00B10568"/>
    <w:rsid w:val="00B107C5"/>
    <w:rsid w:val="00B1299A"/>
    <w:rsid w:val="00B12DEA"/>
    <w:rsid w:val="00B13347"/>
    <w:rsid w:val="00B13566"/>
    <w:rsid w:val="00B13A03"/>
    <w:rsid w:val="00B13AF8"/>
    <w:rsid w:val="00B13BD6"/>
    <w:rsid w:val="00B14032"/>
    <w:rsid w:val="00B1418D"/>
    <w:rsid w:val="00B14B67"/>
    <w:rsid w:val="00B150B8"/>
    <w:rsid w:val="00B1516B"/>
    <w:rsid w:val="00B15175"/>
    <w:rsid w:val="00B154C1"/>
    <w:rsid w:val="00B15991"/>
    <w:rsid w:val="00B15F11"/>
    <w:rsid w:val="00B15F84"/>
    <w:rsid w:val="00B15FEA"/>
    <w:rsid w:val="00B1684E"/>
    <w:rsid w:val="00B16A39"/>
    <w:rsid w:val="00B172CE"/>
    <w:rsid w:val="00B17B00"/>
    <w:rsid w:val="00B17B01"/>
    <w:rsid w:val="00B20114"/>
    <w:rsid w:val="00B2073D"/>
    <w:rsid w:val="00B20B0F"/>
    <w:rsid w:val="00B21481"/>
    <w:rsid w:val="00B215DB"/>
    <w:rsid w:val="00B21A03"/>
    <w:rsid w:val="00B220F0"/>
    <w:rsid w:val="00B224AC"/>
    <w:rsid w:val="00B2258F"/>
    <w:rsid w:val="00B2286D"/>
    <w:rsid w:val="00B22AE4"/>
    <w:rsid w:val="00B2370F"/>
    <w:rsid w:val="00B23E96"/>
    <w:rsid w:val="00B240FA"/>
    <w:rsid w:val="00B2478B"/>
    <w:rsid w:val="00B24903"/>
    <w:rsid w:val="00B251F7"/>
    <w:rsid w:val="00B25447"/>
    <w:rsid w:val="00B2547A"/>
    <w:rsid w:val="00B255CF"/>
    <w:rsid w:val="00B2561A"/>
    <w:rsid w:val="00B257FF"/>
    <w:rsid w:val="00B25DC8"/>
    <w:rsid w:val="00B26840"/>
    <w:rsid w:val="00B2732F"/>
    <w:rsid w:val="00B27841"/>
    <w:rsid w:val="00B27B07"/>
    <w:rsid w:val="00B27D12"/>
    <w:rsid w:val="00B3005F"/>
    <w:rsid w:val="00B302AA"/>
    <w:rsid w:val="00B3089E"/>
    <w:rsid w:val="00B30D28"/>
    <w:rsid w:val="00B30FEF"/>
    <w:rsid w:val="00B31942"/>
    <w:rsid w:val="00B31BD4"/>
    <w:rsid w:val="00B31C9F"/>
    <w:rsid w:val="00B32C9F"/>
    <w:rsid w:val="00B32DDA"/>
    <w:rsid w:val="00B33028"/>
    <w:rsid w:val="00B33877"/>
    <w:rsid w:val="00B338C4"/>
    <w:rsid w:val="00B3413A"/>
    <w:rsid w:val="00B342E7"/>
    <w:rsid w:val="00B34683"/>
    <w:rsid w:val="00B34E82"/>
    <w:rsid w:val="00B34F14"/>
    <w:rsid w:val="00B35963"/>
    <w:rsid w:val="00B36927"/>
    <w:rsid w:val="00B36AAD"/>
    <w:rsid w:val="00B37198"/>
    <w:rsid w:val="00B37555"/>
    <w:rsid w:val="00B375E6"/>
    <w:rsid w:val="00B3787A"/>
    <w:rsid w:val="00B37986"/>
    <w:rsid w:val="00B40D8E"/>
    <w:rsid w:val="00B40F9D"/>
    <w:rsid w:val="00B413D1"/>
    <w:rsid w:val="00B415E9"/>
    <w:rsid w:val="00B417AF"/>
    <w:rsid w:val="00B41802"/>
    <w:rsid w:val="00B41DAC"/>
    <w:rsid w:val="00B41EF5"/>
    <w:rsid w:val="00B42949"/>
    <w:rsid w:val="00B429A3"/>
    <w:rsid w:val="00B42D38"/>
    <w:rsid w:val="00B42F27"/>
    <w:rsid w:val="00B436D2"/>
    <w:rsid w:val="00B44E94"/>
    <w:rsid w:val="00B4609C"/>
    <w:rsid w:val="00B461FB"/>
    <w:rsid w:val="00B46E40"/>
    <w:rsid w:val="00B4736D"/>
    <w:rsid w:val="00B47403"/>
    <w:rsid w:val="00B4751F"/>
    <w:rsid w:val="00B4772D"/>
    <w:rsid w:val="00B47A69"/>
    <w:rsid w:val="00B502AB"/>
    <w:rsid w:val="00B50618"/>
    <w:rsid w:val="00B5081C"/>
    <w:rsid w:val="00B50A42"/>
    <w:rsid w:val="00B513E3"/>
    <w:rsid w:val="00B513E9"/>
    <w:rsid w:val="00B52387"/>
    <w:rsid w:val="00B52C51"/>
    <w:rsid w:val="00B53316"/>
    <w:rsid w:val="00B534AB"/>
    <w:rsid w:val="00B53BFB"/>
    <w:rsid w:val="00B53C93"/>
    <w:rsid w:val="00B54B90"/>
    <w:rsid w:val="00B55413"/>
    <w:rsid w:val="00B554A4"/>
    <w:rsid w:val="00B55543"/>
    <w:rsid w:val="00B55AF1"/>
    <w:rsid w:val="00B55CD5"/>
    <w:rsid w:val="00B55FA2"/>
    <w:rsid w:val="00B5678D"/>
    <w:rsid w:val="00B56CD5"/>
    <w:rsid w:val="00B56D65"/>
    <w:rsid w:val="00B5760F"/>
    <w:rsid w:val="00B57F2E"/>
    <w:rsid w:val="00B57FF9"/>
    <w:rsid w:val="00B607BD"/>
    <w:rsid w:val="00B608EC"/>
    <w:rsid w:val="00B60BD1"/>
    <w:rsid w:val="00B60DFF"/>
    <w:rsid w:val="00B60E4B"/>
    <w:rsid w:val="00B60ED4"/>
    <w:rsid w:val="00B60EFA"/>
    <w:rsid w:val="00B618A5"/>
    <w:rsid w:val="00B61CA5"/>
    <w:rsid w:val="00B61FE7"/>
    <w:rsid w:val="00B6217C"/>
    <w:rsid w:val="00B62999"/>
    <w:rsid w:val="00B62D4C"/>
    <w:rsid w:val="00B62E20"/>
    <w:rsid w:val="00B640B1"/>
    <w:rsid w:val="00B648F0"/>
    <w:rsid w:val="00B648FC"/>
    <w:rsid w:val="00B64C1D"/>
    <w:rsid w:val="00B64C78"/>
    <w:rsid w:val="00B64F5D"/>
    <w:rsid w:val="00B659CE"/>
    <w:rsid w:val="00B65C44"/>
    <w:rsid w:val="00B65C4D"/>
    <w:rsid w:val="00B66523"/>
    <w:rsid w:val="00B66D6A"/>
    <w:rsid w:val="00B66FF3"/>
    <w:rsid w:val="00B67190"/>
    <w:rsid w:val="00B67470"/>
    <w:rsid w:val="00B674A7"/>
    <w:rsid w:val="00B677C8"/>
    <w:rsid w:val="00B678B2"/>
    <w:rsid w:val="00B67956"/>
    <w:rsid w:val="00B70513"/>
    <w:rsid w:val="00B708DC"/>
    <w:rsid w:val="00B71232"/>
    <w:rsid w:val="00B71C32"/>
    <w:rsid w:val="00B71DC0"/>
    <w:rsid w:val="00B7277C"/>
    <w:rsid w:val="00B72B69"/>
    <w:rsid w:val="00B72D87"/>
    <w:rsid w:val="00B72E0A"/>
    <w:rsid w:val="00B72F36"/>
    <w:rsid w:val="00B7359D"/>
    <w:rsid w:val="00B737A6"/>
    <w:rsid w:val="00B73AAF"/>
    <w:rsid w:val="00B73C9B"/>
    <w:rsid w:val="00B740EC"/>
    <w:rsid w:val="00B74392"/>
    <w:rsid w:val="00B7466A"/>
    <w:rsid w:val="00B747C4"/>
    <w:rsid w:val="00B7494C"/>
    <w:rsid w:val="00B74AED"/>
    <w:rsid w:val="00B76112"/>
    <w:rsid w:val="00B7636B"/>
    <w:rsid w:val="00B768D5"/>
    <w:rsid w:val="00B77013"/>
    <w:rsid w:val="00B7714E"/>
    <w:rsid w:val="00B777F9"/>
    <w:rsid w:val="00B77F84"/>
    <w:rsid w:val="00B80038"/>
    <w:rsid w:val="00B802F5"/>
    <w:rsid w:val="00B806AD"/>
    <w:rsid w:val="00B80A0E"/>
    <w:rsid w:val="00B80F43"/>
    <w:rsid w:val="00B818FE"/>
    <w:rsid w:val="00B81C34"/>
    <w:rsid w:val="00B825CD"/>
    <w:rsid w:val="00B82629"/>
    <w:rsid w:val="00B82727"/>
    <w:rsid w:val="00B82FC0"/>
    <w:rsid w:val="00B83139"/>
    <w:rsid w:val="00B83140"/>
    <w:rsid w:val="00B83838"/>
    <w:rsid w:val="00B83A6E"/>
    <w:rsid w:val="00B83B45"/>
    <w:rsid w:val="00B83D9D"/>
    <w:rsid w:val="00B847B9"/>
    <w:rsid w:val="00B848E8"/>
    <w:rsid w:val="00B8506D"/>
    <w:rsid w:val="00B85283"/>
    <w:rsid w:val="00B85477"/>
    <w:rsid w:val="00B859C9"/>
    <w:rsid w:val="00B85C72"/>
    <w:rsid w:val="00B85DEE"/>
    <w:rsid w:val="00B85E49"/>
    <w:rsid w:val="00B86F18"/>
    <w:rsid w:val="00B87404"/>
    <w:rsid w:val="00B8759E"/>
    <w:rsid w:val="00B87704"/>
    <w:rsid w:val="00B878C4"/>
    <w:rsid w:val="00B9022E"/>
    <w:rsid w:val="00B905A7"/>
    <w:rsid w:val="00B90C2A"/>
    <w:rsid w:val="00B910C3"/>
    <w:rsid w:val="00B91499"/>
    <w:rsid w:val="00B914E0"/>
    <w:rsid w:val="00B9155B"/>
    <w:rsid w:val="00B91595"/>
    <w:rsid w:val="00B915C7"/>
    <w:rsid w:val="00B91807"/>
    <w:rsid w:val="00B91B99"/>
    <w:rsid w:val="00B91E0C"/>
    <w:rsid w:val="00B920AD"/>
    <w:rsid w:val="00B921ED"/>
    <w:rsid w:val="00B92B7D"/>
    <w:rsid w:val="00B92C22"/>
    <w:rsid w:val="00B930A8"/>
    <w:rsid w:val="00B930D4"/>
    <w:rsid w:val="00B9310F"/>
    <w:rsid w:val="00B93AB1"/>
    <w:rsid w:val="00B94718"/>
    <w:rsid w:val="00B94837"/>
    <w:rsid w:val="00B94A79"/>
    <w:rsid w:val="00B94C65"/>
    <w:rsid w:val="00B94E98"/>
    <w:rsid w:val="00B94F8D"/>
    <w:rsid w:val="00B9512E"/>
    <w:rsid w:val="00B95168"/>
    <w:rsid w:val="00B9516E"/>
    <w:rsid w:val="00B9563B"/>
    <w:rsid w:val="00B95DC4"/>
    <w:rsid w:val="00B95EC8"/>
    <w:rsid w:val="00B96336"/>
    <w:rsid w:val="00B96C5A"/>
    <w:rsid w:val="00B9799D"/>
    <w:rsid w:val="00BA0E7A"/>
    <w:rsid w:val="00BA27D5"/>
    <w:rsid w:val="00BA349F"/>
    <w:rsid w:val="00BA3811"/>
    <w:rsid w:val="00BA46EB"/>
    <w:rsid w:val="00BA4747"/>
    <w:rsid w:val="00BA4D62"/>
    <w:rsid w:val="00BA5616"/>
    <w:rsid w:val="00BA5A4F"/>
    <w:rsid w:val="00BA5E77"/>
    <w:rsid w:val="00BA5FF7"/>
    <w:rsid w:val="00BA6881"/>
    <w:rsid w:val="00BA6A14"/>
    <w:rsid w:val="00BA6DF2"/>
    <w:rsid w:val="00BA717F"/>
    <w:rsid w:val="00BA7388"/>
    <w:rsid w:val="00BA7B3B"/>
    <w:rsid w:val="00BA7CA1"/>
    <w:rsid w:val="00BA7D1D"/>
    <w:rsid w:val="00BB06A5"/>
    <w:rsid w:val="00BB10CE"/>
    <w:rsid w:val="00BB137D"/>
    <w:rsid w:val="00BB14A6"/>
    <w:rsid w:val="00BB16D9"/>
    <w:rsid w:val="00BB18EA"/>
    <w:rsid w:val="00BB1EA7"/>
    <w:rsid w:val="00BB22C5"/>
    <w:rsid w:val="00BB2A0C"/>
    <w:rsid w:val="00BB2A9D"/>
    <w:rsid w:val="00BB34BC"/>
    <w:rsid w:val="00BB3B1B"/>
    <w:rsid w:val="00BB4107"/>
    <w:rsid w:val="00BB41D3"/>
    <w:rsid w:val="00BB4267"/>
    <w:rsid w:val="00BB4687"/>
    <w:rsid w:val="00BB4735"/>
    <w:rsid w:val="00BB4818"/>
    <w:rsid w:val="00BB49F7"/>
    <w:rsid w:val="00BB4F3C"/>
    <w:rsid w:val="00BB556E"/>
    <w:rsid w:val="00BB5837"/>
    <w:rsid w:val="00BB5E22"/>
    <w:rsid w:val="00BB6409"/>
    <w:rsid w:val="00BB658D"/>
    <w:rsid w:val="00BB6C23"/>
    <w:rsid w:val="00BB7118"/>
    <w:rsid w:val="00BB72DB"/>
    <w:rsid w:val="00BC0124"/>
    <w:rsid w:val="00BC0180"/>
    <w:rsid w:val="00BC0484"/>
    <w:rsid w:val="00BC05EE"/>
    <w:rsid w:val="00BC0FDF"/>
    <w:rsid w:val="00BC1070"/>
    <w:rsid w:val="00BC1077"/>
    <w:rsid w:val="00BC12B8"/>
    <w:rsid w:val="00BC186B"/>
    <w:rsid w:val="00BC1973"/>
    <w:rsid w:val="00BC1EE4"/>
    <w:rsid w:val="00BC2628"/>
    <w:rsid w:val="00BC26CC"/>
    <w:rsid w:val="00BC2788"/>
    <w:rsid w:val="00BC29A2"/>
    <w:rsid w:val="00BC2F92"/>
    <w:rsid w:val="00BC3382"/>
    <w:rsid w:val="00BC363C"/>
    <w:rsid w:val="00BC3670"/>
    <w:rsid w:val="00BC39CA"/>
    <w:rsid w:val="00BC3AE9"/>
    <w:rsid w:val="00BC3D9B"/>
    <w:rsid w:val="00BC3DC5"/>
    <w:rsid w:val="00BC4169"/>
    <w:rsid w:val="00BC4B49"/>
    <w:rsid w:val="00BC53A4"/>
    <w:rsid w:val="00BC543A"/>
    <w:rsid w:val="00BC5677"/>
    <w:rsid w:val="00BC5D68"/>
    <w:rsid w:val="00BC614A"/>
    <w:rsid w:val="00BC614B"/>
    <w:rsid w:val="00BC6281"/>
    <w:rsid w:val="00BC65EA"/>
    <w:rsid w:val="00BC665F"/>
    <w:rsid w:val="00BC6931"/>
    <w:rsid w:val="00BC698C"/>
    <w:rsid w:val="00BC6991"/>
    <w:rsid w:val="00BC7214"/>
    <w:rsid w:val="00BC72DA"/>
    <w:rsid w:val="00BC7699"/>
    <w:rsid w:val="00BC7B7A"/>
    <w:rsid w:val="00BD00DE"/>
    <w:rsid w:val="00BD0229"/>
    <w:rsid w:val="00BD0483"/>
    <w:rsid w:val="00BD0CC6"/>
    <w:rsid w:val="00BD0D25"/>
    <w:rsid w:val="00BD1485"/>
    <w:rsid w:val="00BD1CBA"/>
    <w:rsid w:val="00BD226E"/>
    <w:rsid w:val="00BD24C4"/>
    <w:rsid w:val="00BD39E7"/>
    <w:rsid w:val="00BD3A4F"/>
    <w:rsid w:val="00BD3D5E"/>
    <w:rsid w:val="00BD4704"/>
    <w:rsid w:val="00BD4C24"/>
    <w:rsid w:val="00BD53AF"/>
    <w:rsid w:val="00BD58F6"/>
    <w:rsid w:val="00BD5F90"/>
    <w:rsid w:val="00BD64A4"/>
    <w:rsid w:val="00BD67B8"/>
    <w:rsid w:val="00BD696D"/>
    <w:rsid w:val="00BD6EE9"/>
    <w:rsid w:val="00BD75C4"/>
    <w:rsid w:val="00BD7AAA"/>
    <w:rsid w:val="00BE0346"/>
    <w:rsid w:val="00BE12C8"/>
    <w:rsid w:val="00BE1BAB"/>
    <w:rsid w:val="00BE27FA"/>
    <w:rsid w:val="00BE36B9"/>
    <w:rsid w:val="00BE3A2E"/>
    <w:rsid w:val="00BE3C05"/>
    <w:rsid w:val="00BE3E83"/>
    <w:rsid w:val="00BE4434"/>
    <w:rsid w:val="00BE4649"/>
    <w:rsid w:val="00BE5392"/>
    <w:rsid w:val="00BE5BCE"/>
    <w:rsid w:val="00BE6389"/>
    <w:rsid w:val="00BE647E"/>
    <w:rsid w:val="00BE662C"/>
    <w:rsid w:val="00BE6AA7"/>
    <w:rsid w:val="00BE70C3"/>
    <w:rsid w:val="00BE716A"/>
    <w:rsid w:val="00BE746E"/>
    <w:rsid w:val="00BE7780"/>
    <w:rsid w:val="00BE791A"/>
    <w:rsid w:val="00BE7937"/>
    <w:rsid w:val="00BE7A5E"/>
    <w:rsid w:val="00BF0008"/>
    <w:rsid w:val="00BF044B"/>
    <w:rsid w:val="00BF053C"/>
    <w:rsid w:val="00BF0690"/>
    <w:rsid w:val="00BF0AAF"/>
    <w:rsid w:val="00BF10CB"/>
    <w:rsid w:val="00BF117F"/>
    <w:rsid w:val="00BF1615"/>
    <w:rsid w:val="00BF1820"/>
    <w:rsid w:val="00BF1FDD"/>
    <w:rsid w:val="00BF22D9"/>
    <w:rsid w:val="00BF2943"/>
    <w:rsid w:val="00BF310A"/>
    <w:rsid w:val="00BF315D"/>
    <w:rsid w:val="00BF331A"/>
    <w:rsid w:val="00BF38EF"/>
    <w:rsid w:val="00BF3A92"/>
    <w:rsid w:val="00BF3F51"/>
    <w:rsid w:val="00BF42D8"/>
    <w:rsid w:val="00BF431A"/>
    <w:rsid w:val="00BF441A"/>
    <w:rsid w:val="00BF46FB"/>
    <w:rsid w:val="00BF485E"/>
    <w:rsid w:val="00BF4AFD"/>
    <w:rsid w:val="00BF4F0D"/>
    <w:rsid w:val="00BF50E7"/>
    <w:rsid w:val="00BF5181"/>
    <w:rsid w:val="00BF51A5"/>
    <w:rsid w:val="00BF59B1"/>
    <w:rsid w:val="00BF5A97"/>
    <w:rsid w:val="00BF5D3B"/>
    <w:rsid w:val="00BF6574"/>
    <w:rsid w:val="00BF6656"/>
    <w:rsid w:val="00BF6E0A"/>
    <w:rsid w:val="00BF70E1"/>
    <w:rsid w:val="00BF725D"/>
    <w:rsid w:val="00BF728A"/>
    <w:rsid w:val="00BF79F9"/>
    <w:rsid w:val="00BF7AF5"/>
    <w:rsid w:val="00BF7F97"/>
    <w:rsid w:val="00C0002D"/>
    <w:rsid w:val="00C0005A"/>
    <w:rsid w:val="00C005D3"/>
    <w:rsid w:val="00C00695"/>
    <w:rsid w:val="00C01126"/>
    <w:rsid w:val="00C013BC"/>
    <w:rsid w:val="00C015D3"/>
    <w:rsid w:val="00C02822"/>
    <w:rsid w:val="00C029ED"/>
    <w:rsid w:val="00C02F12"/>
    <w:rsid w:val="00C0383D"/>
    <w:rsid w:val="00C03876"/>
    <w:rsid w:val="00C0430A"/>
    <w:rsid w:val="00C0434F"/>
    <w:rsid w:val="00C044B7"/>
    <w:rsid w:val="00C04742"/>
    <w:rsid w:val="00C04BA9"/>
    <w:rsid w:val="00C04E98"/>
    <w:rsid w:val="00C0510D"/>
    <w:rsid w:val="00C051CD"/>
    <w:rsid w:val="00C05B6E"/>
    <w:rsid w:val="00C05C1A"/>
    <w:rsid w:val="00C067E2"/>
    <w:rsid w:val="00C06845"/>
    <w:rsid w:val="00C070D8"/>
    <w:rsid w:val="00C071D6"/>
    <w:rsid w:val="00C07381"/>
    <w:rsid w:val="00C07386"/>
    <w:rsid w:val="00C0740A"/>
    <w:rsid w:val="00C07723"/>
    <w:rsid w:val="00C10351"/>
    <w:rsid w:val="00C10B7C"/>
    <w:rsid w:val="00C11E25"/>
    <w:rsid w:val="00C1228A"/>
    <w:rsid w:val="00C12340"/>
    <w:rsid w:val="00C124C0"/>
    <w:rsid w:val="00C12B9D"/>
    <w:rsid w:val="00C136B5"/>
    <w:rsid w:val="00C13D41"/>
    <w:rsid w:val="00C13D45"/>
    <w:rsid w:val="00C14095"/>
    <w:rsid w:val="00C14C52"/>
    <w:rsid w:val="00C150E4"/>
    <w:rsid w:val="00C1576B"/>
    <w:rsid w:val="00C15D7D"/>
    <w:rsid w:val="00C15DCB"/>
    <w:rsid w:val="00C15E54"/>
    <w:rsid w:val="00C16A57"/>
    <w:rsid w:val="00C16F86"/>
    <w:rsid w:val="00C17A8F"/>
    <w:rsid w:val="00C202FB"/>
    <w:rsid w:val="00C20857"/>
    <w:rsid w:val="00C20C16"/>
    <w:rsid w:val="00C21434"/>
    <w:rsid w:val="00C22224"/>
    <w:rsid w:val="00C22901"/>
    <w:rsid w:val="00C22BC0"/>
    <w:rsid w:val="00C22C9B"/>
    <w:rsid w:val="00C23AA0"/>
    <w:rsid w:val="00C23AD6"/>
    <w:rsid w:val="00C23C0C"/>
    <w:rsid w:val="00C23CC1"/>
    <w:rsid w:val="00C23D05"/>
    <w:rsid w:val="00C24049"/>
    <w:rsid w:val="00C24772"/>
    <w:rsid w:val="00C24E9C"/>
    <w:rsid w:val="00C25208"/>
    <w:rsid w:val="00C2533E"/>
    <w:rsid w:val="00C2540D"/>
    <w:rsid w:val="00C26186"/>
    <w:rsid w:val="00C262B8"/>
    <w:rsid w:val="00C26AA0"/>
    <w:rsid w:val="00C26B1E"/>
    <w:rsid w:val="00C26D4E"/>
    <w:rsid w:val="00C273C0"/>
    <w:rsid w:val="00C27599"/>
    <w:rsid w:val="00C27704"/>
    <w:rsid w:val="00C27A38"/>
    <w:rsid w:val="00C27B57"/>
    <w:rsid w:val="00C3011A"/>
    <w:rsid w:val="00C30661"/>
    <w:rsid w:val="00C30ADC"/>
    <w:rsid w:val="00C31EBE"/>
    <w:rsid w:val="00C32340"/>
    <w:rsid w:val="00C323E6"/>
    <w:rsid w:val="00C32722"/>
    <w:rsid w:val="00C32B5B"/>
    <w:rsid w:val="00C32D34"/>
    <w:rsid w:val="00C32F38"/>
    <w:rsid w:val="00C33330"/>
    <w:rsid w:val="00C334CA"/>
    <w:rsid w:val="00C33A6C"/>
    <w:rsid w:val="00C34019"/>
    <w:rsid w:val="00C3495F"/>
    <w:rsid w:val="00C3524D"/>
    <w:rsid w:val="00C35492"/>
    <w:rsid w:val="00C3585E"/>
    <w:rsid w:val="00C35F8F"/>
    <w:rsid w:val="00C360FE"/>
    <w:rsid w:val="00C361EE"/>
    <w:rsid w:val="00C36262"/>
    <w:rsid w:val="00C364DF"/>
    <w:rsid w:val="00C366DC"/>
    <w:rsid w:val="00C3685C"/>
    <w:rsid w:val="00C36940"/>
    <w:rsid w:val="00C36C4A"/>
    <w:rsid w:val="00C3741B"/>
    <w:rsid w:val="00C3744D"/>
    <w:rsid w:val="00C403B8"/>
    <w:rsid w:val="00C40C50"/>
    <w:rsid w:val="00C41357"/>
    <w:rsid w:val="00C413BB"/>
    <w:rsid w:val="00C416D1"/>
    <w:rsid w:val="00C41A21"/>
    <w:rsid w:val="00C4238D"/>
    <w:rsid w:val="00C426F8"/>
    <w:rsid w:val="00C43216"/>
    <w:rsid w:val="00C43646"/>
    <w:rsid w:val="00C43C74"/>
    <w:rsid w:val="00C43F86"/>
    <w:rsid w:val="00C43F9F"/>
    <w:rsid w:val="00C44226"/>
    <w:rsid w:val="00C44290"/>
    <w:rsid w:val="00C44552"/>
    <w:rsid w:val="00C448A4"/>
    <w:rsid w:val="00C44BCA"/>
    <w:rsid w:val="00C45330"/>
    <w:rsid w:val="00C454C0"/>
    <w:rsid w:val="00C455BE"/>
    <w:rsid w:val="00C459CD"/>
    <w:rsid w:val="00C45DAF"/>
    <w:rsid w:val="00C4614C"/>
    <w:rsid w:val="00C46275"/>
    <w:rsid w:val="00C46958"/>
    <w:rsid w:val="00C46BAC"/>
    <w:rsid w:val="00C46BBF"/>
    <w:rsid w:val="00C4781E"/>
    <w:rsid w:val="00C5004D"/>
    <w:rsid w:val="00C502B6"/>
    <w:rsid w:val="00C502CF"/>
    <w:rsid w:val="00C5031A"/>
    <w:rsid w:val="00C505C8"/>
    <w:rsid w:val="00C5097C"/>
    <w:rsid w:val="00C5160B"/>
    <w:rsid w:val="00C51916"/>
    <w:rsid w:val="00C5198B"/>
    <w:rsid w:val="00C51CEF"/>
    <w:rsid w:val="00C51D02"/>
    <w:rsid w:val="00C528B2"/>
    <w:rsid w:val="00C5304F"/>
    <w:rsid w:val="00C53F43"/>
    <w:rsid w:val="00C54042"/>
    <w:rsid w:val="00C54B6D"/>
    <w:rsid w:val="00C54CCB"/>
    <w:rsid w:val="00C54E39"/>
    <w:rsid w:val="00C553EE"/>
    <w:rsid w:val="00C5582E"/>
    <w:rsid w:val="00C55E89"/>
    <w:rsid w:val="00C56017"/>
    <w:rsid w:val="00C56908"/>
    <w:rsid w:val="00C56CB0"/>
    <w:rsid w:val="00C56E49"/>
    <w:rsid w:val="00C56EAC"/>
    <w:rsid w:val="00C57369"/>
    <w:rsid w:val="00C601D9"/>
    <w:rsid w:val="00C60909"/>
    <w:rsid w:val="00C60BCC"/>
    <w:rsid w:val="00C60F0D"/>
    <w:rsid w:val="00C60FAE"/>
    <w:rsid w:val="00C61114"/>
    <w:rsid w:val="00C61C58"/>
    <w:rsid w:val="00C62DF4"/>
    <w:rsid w:val="00C62EE3"/>
    <w:rsid w:val="00C631F2"/>
    <w:rsid w:val="00C63200"/>
    <w:rsid w:val="00C63924"/>
    <w:rsid w:val="00C63932"/>
    <w:rsid w:val="00C63E27"/>
    <w:rsid w:val="00C6412B"/>
    <w:rsid w:val="00C641F6"/>
    <w:rsid w:val="00C64619"/>
    <w:rsid w:val="00C64F5F"/>
    <w:rsid w:val="00C64FA1"/>
    <w:rsid w:val="00C653EE"/>
    <w:rsid w:val="00C65B02"/>
    <w:rsid w:val="00C65BAC"/>
    <w:rsid w:val="00C65C63"/>
    <w:rsid w:val="00C65EA3"/>
    <w:rsid w:val="00C66371"/>
    <w:rsid w:val="00C6652E"/>
    <w:rsid w:val="00C66CF0"/>
    <w:rsid w:val="00C674EF"/>
    <w:rsid w:val="00C7033E"/>
    <w:rsid w:val="00C703B2"/>
    <w:rsid w:val="00C70730"/>
    <w:rsid w:val="00C70939"/>
    <w:rsid w:val="00C70BAE"/>
    <w:rsid w:val="00C7105F"/>
    <w:rsid w:val="00C71423"/>
    <w:rsid w:val="00C714E4"/>
    <w:rsid w:val="00C717EB"/>
    <w:rsid w:val="00C72093"/>
    <w:rsid w:val="00C7213D"/>
    <w:rsid w:val="00C725D2"/>
    <w:rsid w:val="00C72762"/>
    <w:rsid w:val="00C72C25"/>
    <w:rsid w:val="00C72E25"/>
    <w:rsid w:val="00C73F3C"/>
    <w:rsid w:val="00C74112"/>
    <w:rsid w:val="00C748A7"/>
    <w:rsid w:val="00C74931"/>
    <w:rsid w:val="00C74C61"/>
    <w:rsid w:val="00C754B8"/>
    <w:rsid w:val="00C754C4"/>
    <w:rsid w:val="00C76234"/>
    <w:rsid w:val="00C76383"/>
    <w:rsid w:val="00C766EF"/>
    <w:rsid w:val="00C76A3B"/>
    <w:rsid w:val="00C76BB4"/>
    <w:rsid w:val="00C77390"/>
    <w:rsid w:val="00C774A3"/>
    <w:rsid w:val="00C80258"/>
    <w:rsid w:val="00C803D8"/>
    <w:rsid w:val="00C8092D"/>
    <w:rsid w:val="00C80F26"/>
    <w:rsid w:val="00C80FED"/>
    <w:rsid w:val="00C812AE"/>
    <w:rsid w:val="00C81337"/>
    <w:rsid w:val="00C81531"/>
    <w:rsid w:val="00C819EA"/>
    <w:rsid w:val="00C8250F"/>
    <w:rsid w:val="00C82A07"/>
    <w:rsid w:val="00C82AE1"/>
    <w:rsid w:val="00C8405E"/>
    <w:rsid w:val="00C84269"/>
    <w:rsid w:val="00C842BB"/>
    <w:rsid w:val="00C84908"/>
    <w:rsid w:val="00C84D77"/>
    <w:rsid w:val="00C8509F"/>
    <w:rsid w:val="00C85173"/>
    <w:rsid w:val="00C8520A"/>
    <w:rsid w:val="00C85251"/>
    <w:rsid w:val="00C85798"/>
    <w:rsid w:val="00C8596A"/>
    <w:rsid w:val="00C85CFC"/>
    <w:rsid w:val="00C874BA"/>
    <w:rsid w:val="00C876C1"/>
    <w:rsid w:val="00C87C21"/>
    <w:rsid w:val="00C900DC"/>
    <w:rsid w:val="00C904EC"/>
    <w:rsid w:val="00C913ED"/>
    <w:rsid w:val="00C91561"/>
    <w:rsid w:val="00C91DB0"/>
    <w:rsid w:val="00C93072"/>
    <w:rsid w:val="00C9352E"/>
    <w:rsid w:val="00C94472"/>
    <w:rsid w:val="00C945F3"/>
    <w:rsid w:val="00C94D63"/>
    <w:rsid w:val="00C9560C"/>
    <w:rsid w:val="00C9565E"/>
    <w:rsid w:val="00C95B5A"/>
    <w:rsid w:val="00C96521"/>
    <w:rsid w:val="00C96682"/>
    <w:rsid w:val="00C96B91"/>
    <w:rsid w:val="00C973F4"/>
    <w:rsid w:val="00C9743F"/>
    <w:rsid w:val="00C97844"/>
    <w:rsid w:val="00C9787D"/>
    <w:rsid w:val="00CA02BB"/>
    <w:rsid w:val="00CA0453"/>
    <w:rsid w:val="00CA050A"/>
    <w:rsid w:val="00CA0519"/>
    <w:rsid w:val="00CA0DCB"/>
    <w:rsid w:val="00CA109A"/>
    <w:rsid w:val="00CA139B"/>
    <w:rsid w:val="00CA1953"/>
    <w:rsid w:val="00CA1C70"/>
    <w:rsid w:val="00CA2468"/>
    <w:rsid w:val="00CA320E"/>
    <w:rsid w:val="00CA35A6"/>
    <w:rsid w:val="00CA3A89"/>
    <w:rsid w:val="00CA3AC6"/>
    <w:rsid w:val="00CA3C1C"/>
    <w:rsid w:val="00CA42A0"/>
    <w:rsid w:val="00CA42AC"/>
    <w:rsid w:val="00CA4686"/>
    <w:rsid w:val="00CA46EE"/>
    <w:rsid w:val="00CA4AA6"/>
    <w:rsid w:val="00CA4AC4"/>
    <w:rsid w:val="00CA4F7B"/>
    <w:rsid w:val="00CA54D1"/>
    <w:rsid w:val="00CA54D6"/>
    <w:rsid w:val="00CA55B4"/>
    <w:rsid w:val="00CA5604"/>
    <w:rsid w:val="00CA5B54"/>
    <w:rsid w:val="00CA5C77"/>
    <w:rsid w:val="00CA5EE4"/>
    <w:rsid w:val="00CA651A"/>
    <w:rsid w:val="00CA7A09"/>
    <w:rsid w:val="00CB045D"/>
    <w:rsid w:val="00CB176F"/>
    <w:rsid w:val="00CB2947"/>
    <w:rsid w:val="00CB3BF1"/>
    <w:rsid w:val="00CB3EA3"/>
    <w:rsid w:val="00CB4225"/>
    <w:rsid w:val="00CB4563"/>
    <w:rsid w:val="00CB48A9"/>
    <w:rsid w:val="00CB5000"/>
    <w:rsid w:val="00CB584A"/>
    <w:rsid w:val="00CB5AC7"/>
    <w:rsid w:val="00CB5B82"/>
    <w:rsid w:val="00CB5C14"/>
    <w:rsid w:val="00CB677F"/>
    <w:rsid w:val="00CB6951"/>
    <w:rsid w:val="00CB69F3"/>
    <w:rsid w:val="00CB6F29"/>
    <w:rsid w:val="00CB7D9B"/>
    <w:rsid w:val="00CC103D"/>
    <w:rsid w:val="00CC14E4"/>
    <w:rsid w:val="00CC1874"/>
    <w:rsid w:val="00CC1B20"/>
    <w:rsid w:val="00CC1DBE"/>
    <w:rsid w:val="00CC1E7C"/>
    <w:rsid w:val="00CC2626"/>
    <w:rsid w:val="00CC2B4C"/>
    <w:rsid w:val="00CC2BF4"/>
    <w:rsid w:val="00CC331B"/>
    <w:rsid w:val="00CC3EA3"/>
    <w:rsid w:val="00CC4281"/>
    <w:rsid w:val="00CC43FB"/>
    <w:rsid w:val="00CC4E26"/>
    <w:rsid w:val="00CC4F1A"/>
    <w:rsid w:val="00CC692A"/>
    <w:rsid w:val="00CC6A19"/>
    <w:rsid w:val="00CC6A49"/>
    <w:rsid w:val="00CC6B74"/>
    <w:rsid w:val="00CC7755"/>
    <w:rsid w:val="00CC7CE5"/>
    <w:rsid w:val="00CD0D70"/>
    <w:rsid w:val="00CD1024"/>
    <w:rsid w:val="00CD107A"/>
    <w:rsid w:val="00CD16DA"/>
    <w:rsid w:val="00CD17FD"/>
    <w:rsid w:val="00CD1FD6"/>
    <w:rsid w:val="00CD22BA"/>
    <w:rsid w:val="00CD2382"/>
    <w:rsid w:val="00CD24E4"/>
    <w:rsid w:val="00CD2541"/>
    <w:rsid w:val="00CD28CD"/>
    <w:rsid w:val="00CD28ED"/>
    <w:rsid w:val="00CD312C"/>
    <w:rsid w:val="00CD33EB"/>
    <w:rsid w:val="00CD3450"/>
    <w:rsid w:val="00CD36B2"/>
    <w:rsid w:val="00CD3839"/>
    <w:rsid w:val="00CD3F0A"/>
    <w:rsid w:val="00CD4EC0"/>
    <w:rsid w:val="00CD506B"/>
    <w:rsid w:val="00CD5280"/>
    <w:rsid w:val="00CD586F"/>
    <w:rsid w:val="00CD5C93"/>
    <w:rsid w:val="00CD5F58"/>
    <w:rsid w:val="00CD600A"/>
    <w:rsid w:val="00CD60D4"/>
    <w:rsid w:val="00CD61B1"/>
    <w:rsid w:val="00CD64B2"/>
    <w:rsid w:val="00CD6A13"/>
    <w:rsid w:val="00CD6E41"/>
    <w:rsid w:val="00CD6FD6"/>
    <w:rsid w:val="00CD7039"/>
    <w:rsid w:val="00CD75FB"/>
    <w:rsid w:val="00CD7749"/>
    <w:rsid w:val="00CE01E1"/>
    <w:rsid w:val="00CE0343"/>
    <w:rsid w:val="00CE1490"/>
    <w:rsid w:val="00CE22C2"/>
    <w:rsid w:val="00CE2318"/>
    <w:rsid w:val="00CE28CC"/>
    <w:rsid w:val="00CE29F1"/>
    <w:rsid w:val="00CE3D4D"/>
    <w:rsid w:val="00CE3F90"/>
    <w:rsid w:val="00CE45EE"/>
    <w:rsid w:val="00CE4C4C"/>
    <w:rsid w:val="00CE4C56"/>
    <w:rsid w:val="00CE4E74"/>
    <w:rsid w:val="00CE4FE1"/>
    <w:rsid w:val="00CE55D9"/>
    <w:rsid w:val="00CE5B4F"/>
    <w:rsid w:val="00CE5C9A"/>
    <w:rsid w:val="00CE61B6"/>
    <w:rsid w:val="00CE6A43"/>
    <w:rsid w:val="00CE6C82"/>
    <w:rsid w:val="00CE6E92"/>
    <w:rsid w:val="00CE6E93"/>
    <w:rsid w:val="00CE72F9"/>
    <w:rsid w:val="00CF00F4"/>
    <w:rsid w:val="00CF06BB"/>
    <w:rsid w:val="00CF071E"/>
    <w:rsid w:val="00CF0B44"/>
    <w:rsid w:val="00CF1346"/>
    <w:rsid w:val="00CF26D0"/>
    <w:rsid w:val="00CF31DA"/>
    <w:rsid w:val="00CF3C77"/>
    <w:rsid w:val="00CF3E12"/>
    <w:rsid w:val="00CF4277"/>
    <w:rsid w:val="00CF4525"/>
    <w:rsid w:val="00CF4A51"/>
    <w:rsid w:val="00CF4E53"/>
    <w:rsid w:val="00CF51C7"/>
    <w:rsid w:val="00CF554F"/>
    <w:rsid w:val="00CF576D"/>
    <w:rsid w:val="00CF5C63"/>
    <w:rsid w:val="00CF5E32"/>
    <w:rsid w:val="00CF6392"/>
    <w:rsid w:val="00CF6A06"/>
    <w:rsid w:val="00CF6BCC"/>
    <w:rsid w:val="00CF6EE1"/>
    <w:rsid w:val="00D0015A"/>
    <w:rsid w:val="00D0074E"/>
    <w:rsid w:val="00D008A0"/>
    <w:rsid w:val="00D0096B"/>
    <w:rsid w:val="00D00EBC"/>
    <w:rsid w:val="00D012AE"/>
    <w:rsid w:val="00D015CE"/>
    <w:rsid w:val="00D01F53"/>
    <w:rsid w:val="00D02599"/>
    <w:rsid w:val="00D02A59"/>
    <w:rsid w:val="00D03278"/>
    <w:rsid w:val="00D034F0"/>
    <w:rsid w:val="00D034FD"/>
    <w:rsid w:val="00D03E3F"/>
    <w:rsid w:val="00D04761"/>
    <w:rsid w:val="00D04910"/>
    <w:rsid w:val="00D04BDE"/>
    <w:rsid w:val="00D0556E"/>
    <w:rsid w:val="00D056DD"/>
    <w:rsid w:val="00D05800"/>
    <w:rsid w:val="00D059C3"/>
    <w:rsid w:val="00D05A24"/>
    <w:rsid w:val="00D063AD"/>
    <w:rsid w:val="00D06793"/>
    <w:rsid w:val="00D06B9A"/>
    <w:rsid w:val="00D074ED"/>
    <w:rsid w:val="00D07625"/>
    <w:rsid w:val="00D07FA6"/>
    <w:rsid w:val="00D07FC1"/>
    <w:rsid w:val="00D10388"/>
    <w:rsid w:val="00D10979"/>
    <w:rsid w:val="00D11326"/>
    <w:rsid w:val="00D11A49"/>
    <w:rsid w:val="00D128DF"/>
    <w:rsid w:val="00D131F6"/>
    <w:rsid w:val="00D1364A"/>
    <w:rsid w:val="00D13AE5"/>
    <w:rsid w:val="00D13CC0"/>
    <w:rsid w:val="00D140E3"/>
    <w:rsid w:val="00D14737"/>
    <w:rsid w:val="00D14F87"/>
    <w:rsid w:val="00D152D4"/>
    <w:rsid w:val="00D15716"/>
    <w:rsid w:val="00D157FA"/>
    <w:rsid w:val="00D15AC9"/>
    <w:rsid w:val="00D15F4E"/>
    <w:rsid w:val="00D15F98"/>
    <w:rsid w:val="00D16122"/>
    <w:rsid w:val="00D1616C"/>
    <w:rsid w:val="00D16278"/>
    <w:rsid w:val="00D16398"/>
    <w:rsid w:val="00D164CF"/>
    <w:rsid w:val="00D17BAC"/>
    <w:rsid w:val="00D204B8"/>
    <w:rsid w:val="00D2077E"/>
    <w:rsid w:val="00D2121B"/>
    <w:rsid w:val="00D21853"/>
    <w:rsid w:val="00D22204"/>
    <w:rsid w:val="00D22ACB"/>
    <w:rsid w:val="00D22E18"/>
    <w:rsid w:val="00D231A0"/>
    <w:rsid w:val="00D232F2"/>
    <w:rsid w:val="00D23339"/>
    <w:rsid w:val="00D237F6"/>
    <w:rsid w:val="00D24FE4"/>
    <w:rsid w:val="00D251CB"/>
    <w:rsid w:val="00D2548C"/>
    <w:rsid w:val="00D261A5"/>
    <w:rsid w:val="00D26588"/>
    <w:rsid w:val="00D26CC2"/>
    <w:rsid w:val="00D26F1B"/>
    <w:rsid w:val="00D2730E"/>
    <w:rsid w:val="00D27495"/>
    <w:rsid w:val="00D27A6F"/>
    <w:rsid w:val="00D305A4"/>
    <w:rsid w:val="00D30DF1"/>
    <w:rsid w:val="00D315A5"/>
    <w:rsid w:val="00D31CB8"/>
    <w:rsid w:val="00D32322"/>
    <w:rsid w:val="00D32863"/>
    <w:rsid w:val="00D32B9C"/>
    <w:rsid w:val="00D32D2E"/>
    <w:rsid w:val="00D32E9D"/>
    <w:rsid w:val="00D32FD2"/>
    <w:rsid w:val="00D3308D"/>
    <w:rsid w:val="00D332CB"/>
    <w:rsid w:val="00D332E9"/>
    <w:rsid w:val="00D33769"/>
    <w:rsid w:val="00D338CD"/>
    <w:rsid w:val="00D33F3D"/>
    <w:rsid w:val="00D34616"/>
    <w:rsid w:val="00D34677"/>
    <w:rsid w:val="00D35637"/>
    <w:rsid w:val="00D35847"/>
    <w:rsid w:val="00D36511"/>
    <w:rsid w:val="00D3693C"/>
    <w:rsid w:val="00D369B6"/>
    <w:rsid w:val="00D36C74"/>
    <w:rsid w:val="00D373C2"/>
    <w:rsid w:val="00D37A31"/>
    <w:rsid w:val="00D37B9D"/>
    <w:rsid w:val="00D37FA5"/>
    <w:rsid w:val="00D4008D"/>
    <w:rsid w:val="00D4009E"/>
    <w:rsid w:val="00D4010E"/>
    <w:rsid w:val="00D40325"/>
    <w:rsid w:val="00D40748"/>
    <w:rsid w:val="00D407B7"/>
    <w:rsid w:val="00D40D63"/>
    <w:rsid w:val="00D41020"/>
    <w:rsid w:val="00D42422"/>
    <w:rsid w:val="00D43041"/>
    <w:rsid w:val="00D4308E"/>
    <w:rsid w:val="00D4374A"/>
    <w:rsid w:val="00D43DFA"/>
    <w:rsid w:val="00D43EFF"/>
    <w:rsid w:val="00D4421F"/>
    <w:rsid w:val="00D4436B"/>
    <w:rsid w:val="00D44A1E"/>
    <w:rsid w:val="00D458CE"/>
    <w:rsid w:val="00D45BA0"/>
    <w:rsid w:val="00D4627F"/>
    <w:rsid w:val="00D46523"/>
    <w:rsid w:val="00D465E7"/>
    <w:rsid w:val="00D46731"/>
    <w:rsid w:val="00D47367"/>
    <w:rsid w:val="00D4744B"/>
    <w:rsid w:val="00D47977"/>
    <w:rsid w:val="00D47A36"/>
    <w:rsid w:val="00D47AFE"/>
    <w:rsid w:val="00D47C1A"/>
    <w:rsid w:val="00D50AD9"/>
    <w:rsid w:val="00D50B93"/>
    <w:rsid w:val="00D50F7F"/>
    <w:rsid w:val="00D51F44"/>
    <w:rsid w:val="00D5205B"/>
    <w:rsid w:val="00D522EC"/>
    <w:rsid w:val="00D524F8"/>
    <w:rsid w:val="00D52662"/>
    <w:rsid w:val="00D52A81"/>
    <w:rsid w:val="00D52CDC"/>
    <w:rsid w:val="00D534A7"/>
    <w:rsid w:val="00D53A0B"/>
    <w:rsid w:val="00D5431B"/>
    <w:rsid w:val="00D5440C"/>
    <w:rsid w:val="00D548D0"/>
    <w:rsid w:val="00D5492C"/>
    <w:rsid w:val="00D54AC0"/>
    <w:rsid w:val="00D54D81"/>
    <w:rsid w:val="00D55440"/>
    <w:rsid w:val="00D55496"/>
    <w:rsid w:val="00D55AC2"/>
    <w:rsid w:val="00D55D5B"/>
    <w:rsid w:val="00D562E9"/>
    <w:rsid w:val="00D5645F"/>
    <w:rsid w:val="00D5654B"/>
    <w:rsid w:val="00D56A21"/>
    <w:rsid w:val="00D56A7E"/>
    <w:rsid w:val="00D56DE1"/>
    <w:rsid w:val="00D57417"/>
    <w:rsid w:val="00D60696"/>
    <w:rsid w:val="00D60A99"/>
    <w:rsid w:val="00D620F3"/>
    <w:rsid w:val="00D62F86"/>
    <w:rsid w:val="00D63671"/>
    <w:rsid w:val="00D63713"/>
    <w:rsid w:val="00D637A4"/>
    <w:rsid w:val="00D638F6"/>
    <w:rsid w:val="00D63904"/>
    <w:rsid w:val="00D63A34"/>
    <w:rsid w:val="00D63D3A"/>
    <w:rsid w:val="00D6477E"/>
    <w:rsid w:val="00D64816"/>
    <w:rsid w:val="00D64AC1"/>
    <w:rsid w:val="00D64D35"/>
    <w:rsid w:val="00D65715"/>
    <w:rsid w:val="00D67645"/>
    <w:rsid w:val="00D67C68"/>
    <w:rsid w:val="00D70191"/>
    <w:rsid w:val="00D70A69"/>
    <w:rsid w:val="00D70C29"/>
    <w:rsid w:val="00D70FDE"/>
    <w:rsid w:val="00D7155C"/>
    <w:rsid w:val="00D716A7"/>
    <w:rsid w:val="00D716E4"/>
    <w:rsid w:val="00D716F4"/>
    <w:rsid w:val="00D718E1"/>
    <w:rsid w:val="00D71A16"/>
    <w:rsid w:val="00D71A60"/>
    <w:rsid w:val="00D71AD1"/>
    <w:rsid w:val="00D71F26"/>
    <w:rsid w:val="00D71F30"/>
    <w:rsid w:val="00D71F3A"/>
    <w:rsid w:val="00D72DE6"/>
    <w:rsid w:val="00D73008"/>
    <w:rsid w:val="00D735C5"/>
    <w:rsid w:val="00D73BDA"/>
    <w:rsid w:val="00D73F75"/>
    <w:rsid w:val="00D74189"/>
    <w:rsid w:val="00D74251"/>
    <w:rsid w:val="00D744AE"/>
    <w:rsid w:val="00D74885"/>
    <w:rsid w:val="00D74A9D"/>
    <w:rsid w:val="00D74B30"/>
    <w:rsid w:val="00D7515A"/>
    <w:rsid w:val="00D75310"/>
    <w:rsid w:val="00D7587B"/>
    <w:rsid w:val="00D75DB9"/>
    <w:rsid w:val="00D75E3B"/>
    <w:rsid w:val="00D762AC"/>
    <w:rsid w:val="00D76539"/>
    <w:rsid w:val="00D76AC5"/>
    <w:rsid w:val="00D76DCF"/>
    <w:rsid w:val="00D76E5F"/>
    <w:rsid w:val="00D77A97"/>
    <w:rsid w:val="00D80255"/>
    <w:rsid w:val="00D808A1"/>
    <w:rsid w:val="00D80B49"/>
    <w:rsid w:val="00D8101A"/>
    <w:rsid w:val="00D81518"/>
    <w:rsid w:val="00D81C71"/>
    <w:rsid w:val="00D81E57"/>
    <w:rsid w:val="00D81E63"/>
    <w:rsid w:val="00D81FD9"/>
    <w:rsid w:val="00D8249B"/>
    <w:rsid w:val="00D82BC8"/>
    <w:rsid w:val="00D8354C"/>
    <w:rsid w:val="00D8376D"/>
    <w:rsid w:val="00D83A92"/>
    <w:rsid w:val="00D83A98"/>
    <w:rsid w:val="00D84B1E"/>
    <w:rsid w:val="00D85A68"/>
    <w:rsid w:val="00D85F40"/>
    <w:rsid w:val="00D85F5F"/>
    <w:rsid w:val="00D8726E"/>
    <w:rsid w:val="00D87760"/>
    <w:rsid w:val="00D87E80"/>
    <w:rsid w:val="00D9047C"/>
    <w:rsid w:val="00D90CAF"/>
    <w:rsid w:val="00D91C19"/>
    <w:rsid w:val="00D91C74"/>
    <w:rsid w:val="00D92046"/>
    <w:rsid w:val="00D920FB"/>
    <w:rsid w:val="00D94287"/>
    <w:rsid w:val="00D945D8"/>
    <w:rsid w:val="00D94ADB"/>
    <w:rsid w:val="00D94F95"/>
    <w:rsid w:val="00D95054"/>
    <w:rsid w:val="00D9552F"/>
    <w:rsid w:val="00D956F9"/>
    <w:rsid w:val="00D95795"/>
    <w:rsid w:val="00D959C0"/>
    <w:rsid w:val="00D95FE9"/>
    <w:rsid w:val="00D96090"/>
    <w:rsid w:val="00D96162"/>
    <w:rsid w:val="00D96705"/>
    <w:rsid w:val="00D9685E"/>
    <w:rsid w:val="00D9692E"/>
    <w:rsid w:val="00D972B3"/>
    <w:rsid w:val="00DA07E7"/>
    <w:rsid w:val="00DA0B40"/>
    <w:rsid w:val="00DA1352"/>
    <w:rsid w:val="00DA1505"/>
    <w:rsid w:val="00DA15F3"/>
    <w:rsid w:val="00DA18E1"/>
    <w:rsid w:val="00DA2262"/>
    <w:rsid w:val="00DA239F"/>
    <w:rsid w:val="00DA242B"/>
    <w:rsid w:val="00DA2625"/>
    <w:rsid w:val="00DA2764"/>
    <w:rsid w:val="00DA27EF"/>
    <w:rsid w:val="00DA282F"/>
    <w:rsid w:val="00DA332D"/>
    <w:rsid w:val="00DA346C"/>
    <w:rsid w:val="00DA40F9"/>
    <w:rsid w:val="00DA47AC"/>
    <w:rsid w:val="00DA483C"/>
    <w:rsid w:val="00DA4D68"/>
    <w:rsid w:val="00DA54A1"/>
    <w:rsid w:val="00DA5D69"/>
    <w:rsid w:val="00DA5F7F"/>
    <w:rsid w:val="00DA6264"/>
    <w:rsid w:val="00DA688F"/>
    <w:rsid w:val="00DA6911"/>
    <w:rsid w:val="00DA691F"/>
    <w:rsid w:val="00DA7168"/>
    <w:rsid w:val="00DA7BE8"/>
    <w:rsid w:val="00DA7D6E"/>
    <w:rsid w:val="00DB010A"/>
    <w:rsid w:val="00DB0262"/>
    <w:rsid w:val="00DB03FC"/>
    <w:rsid w:val="00DB05AB"/>
    <w:rsid w:val="00DB0A3B"/>
    <w:rsid w:val="00DB0FB4"/>
    <w:rsid w:val="00DB1A9E"/>
    <w:rsid w:val="00DB2DA3"/>
    <w:rsid w:val="00DB357D"/>
    <w:rsid w:val="00DB378F"/>
    <w:rsid w:val="00DB42D6"/>
    <w:rsid w:val="00DB4D1C"/>
    <w:rsid w:val="00DB4DA3"/>
    <w:rsid w:val="00DB536B"/>
    <w:rsid w:val="00DB553D"/>
    <w:rsid w:val="00DB5AAD"/>
    <w:rsid w:val="00DB5BBF"/>
    <w:rsid w:val="00DB5E96"/>
    <w:rsid w:val="00DB6047"/>
    <w:rsid w:val="00DB6566"/>
    <w:rsid w:val="00DB6761"/>
    <w:rsid w:val="00DB6998"/>
    <w:rsid w:val="00DB6AA6"/>
    <w:rsid w:val="00DB6BA2"/>
    <w:rsid w:val="00DB72A2"/>
    <w:rsid w:val="00DB72C8"/>
    <w:rsid w:val="00DB763B"/>
    <w:rsid w:val="00DB7736"/>
    <w:rsid w:val="00DC03E9"/>
    <w:rsid w:val="00DC0A76"/>
    <w:rsid w:val="00DC0B2E"/>
    <w:rsid w:val="00DC12BC"/>
    <w:rsid w:val="00DC1819"/>
    <w:rsid w:val="00DC1867"/>
    <w:rsid w:val="00DC1E4A"/>
    <w:rsid w:val="00DC1EAE"/>
    <w:rsid w:val="00DC22BD"/>
    <w:rsid w:val="00DC258A"/>
    <w:rsid w:val="00DC26AC"/>
    <w:rsid w:val="00DC3696"/>
    <w:rsid w:val="00DC36D7"/>
    <w:rsid w:val="00DC36EA"/>
    <w:rsid w:val="00DC4157"/>
    <w:rsid w:val="00DC4300"/>
    <w:rsid w:val="00DC556A"/>
    <w:rsid w:val="00DC55D9"/>
    <w:rsid w:val="00DC699B"/>
    <w:rsid w:val="00DC757B"/>
    <w:rsid w:val="00DC795A"/>
    <w:rsid w:val="00DD0DC8"/>
    <w:rsid w:val="00DD1388"/>
    <w:rsid w:val="00DD1613"/>
    <w:rsid w:val="00DD24B5"/>
    <w:rsid w:val="00DD2921"/>
    <w:rsid w:val="00DD2ABD"/>
    <w:rsid w:val="00DD2B53"/>
    <w:rsid w:val="00DD2F8D"/>
    <w:rsid w:val="00DD325D"/>
    <w:rsid w:val="00DD3ABE"/>
    <w:rsid w:val="00DD4BBA"/>
    <w:rsid w:val="00DD4C0D"/>
    <w:rsid w:val="00DD50C0"/>
    <w:rsid w:val="00DD5101"/>
    <w:rsid w:val="00DD57FC"/>
    <w:rsid w:val="00DD58AD"/>
    <w:rsid w:val="00DD63E5"/>
    <w:rsid w:val="00DD66A7"/>
    <w:rsid w:val="00DD7693"/>
    <w:rsid w:val="00DD79FA"/>
    <w:rsid w:val="00DD7D55"/>
    <w:rsid w:val="00DD7D86"/>
    <w:rsid w:val="00DE0800"/>
    <w:rsid w:val="00DE18E1"/>
    <w:rsid w:val="00DE1948"/>
    <w:rsid w:val="00DE1975"/>
    <w:rsid w:val="00DE2AB2"/>
    <w:rsid w:val="00DE2C5A"/>
    <w:rsid w:val="00DE2F10"/>
    <w:rsid w:val="00DE3608"/>
    <w:rsid w:val="00DE3776"/>
    <w:rsid w:val="00DE438F"/>
    <w:rsid w:val="00DE49EA"/>
    <w:rsid w:val="00DE512F"/>
    <w:rsid w:val="00DE59CA"/>
    <w:rsid w:val="00DE6781"/>
    <w:rsid w:val="00DE6BE7"/>
    <w:rsid w:val="00DE6F97"/>
    <w:rsid w:val="00DE71F0"/>
    <w:rsid w:val="00DE7980"/>
    <w:rsid w:val="00DE7A29"/>
    <w:rsid w:val="00DE7DA6"/>
    <w:rsid w:val="00DF1054"/>
    <w:rsid w:val="00DF2CCB"/>
    <w:rsid w:val="00DF39C1"/>
    <w:rsid w:val="00DF4C18"/>
    <w:rsid w:val="00DF539E"/>
    <w:rsid w:val="00DF5924"/>
    <w:rsid w:val="00DF5C7B"/>
    <w:rsid w:val="00DF6342"/>
    <w:rsid w:val="00DF6419"/>
    <w:rsid w:val="00DF662D"/>
    <w:rsid w:val="00DF6A05"/>
    <w:rsid w:val="00DF6D7B"/>
    <w:rsid w:val="00DF6FF5"/>
    <w:rsid w:val="00DF725C"/>
    <w:rsid w:val="00DF72F9"/>
    <w:rsid w:val="00DF750D"/>
    <w:rsid w:val="00DF773D"/>
    <w:rsid w:val="00DF7D8A"/>
    <w:rsid w:val="00E0054A"/>
    <w:rsid w:val="00E0059F"/>
    <w:rsid w:val="00E007F5"/>
    <w:rsid w:val="00E00D20"/>
    <w:rsid w:val="00E00E9E"/>
    <w:rsid w:val="00E02D4B"/>
    <w:rsid w:val="00E02DA6"/>
    <w:rsid w:val="00E03040"/>
    <w:rsid w:val="00E03653"/>
    <w:rsid w:val="00E037A0"/>
    <w:rsid w:val="00E04E24"/>
    <w:rsid w:val="00E04EA8"/>
    <w:rsid w:val="00E05A14"/>
    <w:rsid w:val="00E06489"/>
    <w:rsid w:val="00E06561"/>
    <w:rsid w:val="00E06A08"/>
    <w:rsid w:val="00E06D23"/>
    <w:rsid w:val="00E07453"/>
    <w:rsid w:val="00E10190"/>
    <w:rsid w:val="00E105DC"/>
    <w:rsid w:val="00E10898"/>
    <w:rsid w:val="00E109B7"/>
    <w:rsid w:val="00E109C5"/>
    <w:rsid w:val="00E10F28"/>
    <w:rsid w:val="00E12695"/>
    <w:rsid w:val="00E12D15"/>
    <w:rsid w:val="00E13520"/>
    <w:rsid w:val="00E137B5"/>
    <w:rsid w:val="00E138A9"/>
    <w:rsid w:val="00E13BC5"/>
    <w:rsid w:val="00E14193"/>
    <w:rsid w:val="00E14B11"/>
    <w:rsid w:val="00E14DAE"/>
    <w:rsid w:val="00E159CD"/>
    <w:rsid w:val="00E15A55"/>
    <w:rsid w:val="00E166E9"/>
    <w:rsid w:val="00E16A6F"/>
    <w:rsid w:val="00E16F53"/>
    <w:rsid w:val="00E17451"/>
    <w:rsid w:val="00E17978"/>
    <w:rsid w:val="00E17D9C"/>
    <w:rsid w:val="00E20230"/>
    <w:rsid w:val="00E20955"/>
    <w:rsid w:val="00E20B7C"/>
    <w:rsid w:val="00E21BF4"/>
    <w:rsid w:val="00E224D8"/>
    <w:rsid w:val="00E227A6"/>
    <w:rsid w:val="00E229B7"/>
    <w:rsid w:val="00E22F9C"/>
    <w:rsid w:val="00E22FA3"/>
    <w:rsid w:val="00E23308"/>
    <w:rsid w:val="00E236D6"/>
    <w:rsid w:val="00E237EF"/>
    <w:rsid w:val="00E23934"/>
    <w:rsid w:val="00E23CA9"/>
    <w:rsid w:val="00E24784"/>
    <w:rsid w:val="00E249EC"/>
    <w:rsid w:val="00E24F91"/>
    <w:rsid w:val="00E252BE"/>
    <w:rsid w:val="00E2587C"/>
    <w:rsid w:val="00E25CEE"/>
    <w:rsid w:val="00E25E7B"/>
    <w:rsid w:val="00E262DC"/>
    <w:rsid w:val="00E263EE"/>
    <w:rsid w:val="00E265FA"/>
    <w:rsid w:val="00E26741"/>
    <w:rsid w:val="00E26C70"/>
    <w:rsid w:val="00E273C1"/>
    <w:rsid w:val="00E27711"/>
    <w:rsid w:val="00E300E4"/>
    <w:rsid w:val="00E3057D"/>
    <w:rsid w:val="00E305AC"/>
    <w:rsid w:val="00E30822"/>
    <w:rsid w:val="00E309AD"/>
    <w:rsid w:val="00E3109A"/>
    <w:rsid w:val="00E3136F"/>
    <w:rsid w:val="00E31831"/>
    <w:rsid w:val="00E31A9E"/>
    <w:rsid w:val="00E32AA2"/>
    <w:rsid w:val="00E32B20"/>
    <w:rsid w:val="00E335D5"/>
    <w:rsid w:val="00E33664"/>
    <w:rsid w:val="00E33761"/>
    <w:rsid w:val="00E33B9A"/>
    <w:rsid w:val="00E33E6F"/>
    <w:rsid w:val="00E33F76"/>
    <w:rsid w:val="00E34368"/>
    <w:rsid w:val="00E34782"/>
    <w:rsid w:val="00E34F3F"/>
    <w:rsid w:val="00E34F73"/>
    <w:rsid w:val="00E35039"/>
    <w:rsid w:val="00E3524E"/>
    <w:rsid w:val="00E3621F"/>
    <w:rsid w:val="00E36251"/>
    <w:rsid w:val="00E36362"/>
    <w:rsid w:val="00E369DD"/>
    <w:rsid w:val="00E37246"/>
    <w:rsid w:val="00E3789D"/>
    <w:rsid w:val="00E37E66"/>
    <w:rsid w:val="00E37E79"/>
    <w:rsid w:val="00E400C0"/>
    <w:rsid w:val="00E403BE"/>
    <w:rsid w:val="00E40771"/>
    <w:rsid w:val="00E40AB7"/>
    <w:rsid w:val="00E40D81"/>
    <w:rsid w:val="00E418BB"/>
    <w:rsid w:val="00E41A3F"/>
    <w:rsid w:val="00E4248E"/>
    <w:rsid w:val="00E4254A"/>
    <w:rsid w:val="00E42756"/>
    <w:rsid w:val="00E42C5F"/>
    <w:rsid w:val="00E42DDC"/>
    <w:rsid w:val="00E4340A"/>
    <w:rsid w:val="00E43C9E"/>
    <w:rsid w:val="00E44215"/>
    <w:rsid w:val="00E445AA"/>
    <w:rsid w:val="00E44692"/>
    <w:rsid w:val="00E44A04"/>
    <w:rsid w:val="00E454E6"/>
    <w:rsid w:val="00E45654"/>
    <w:rsid w:val="00E459DD"/>
    <w:rsid w:val="00E465BC"/>
    <w:rsid w:val="00E46797"/>
    <w:rsid w:val="00E47322"/>
    <w:rsid w:val="00E47323"/>
    <w:rsid w:val="00E47658"/>
    <w:rsid w:val="00E503CA"/>
    <w:rsid w:val="00E50C2A"/>
    <w:rsid w:val="00E50F03"/>
    <w:rsid w:val="00E5204F"/>
    <w:rsid w:val="00E521BB"/>
    <w:rsid w:val="00E5230D"/>
    <w:rsid w:val="00E523C8"/>
    <w:rsid w:val="00E52698"/>
    <w:rsid w:val="00E52DC3"/>
    <w:rsid w:val="00E53065"/>
    <w:rsid w:val="00E531E0"/>
    <w:rsid w:val="00E53535"/>
    <w:rsid w:val="00E54396"/>
    <w:rsid w:val="00E54AE6"/>
    <w:rsid w:val="00E55886"/>
    <w:rsid w:val="00E55BF8"/>
    <w:rsid w:val="00E55C7E"/>
    <w:rsid w:val="00E55C8E"/>
    <w:rsid w:val="00E55CB7"/>
    <w:rsid w:val="00E56354"/>
    <w:rsid w:val="00E56A71"/>
    <w:rsid w:val="00E57271"/>
    <w:rsid w:val="00E57A7C"/>
    <w:rsid w:val="00E57DEB"/>
    <w:rsid w:val="00E606D7"/>
    <w:rsid w:val="00E60881"/>
    <w:rsid w:val="00E60D5C"/>
    <w:rsid w:val="00E61277"/>
    <w:rsid w:val="00E61699"/>
    <w:rsid w:val="00E61885"/>
    <w:rsid w:val="00E618CD"/>
    <w:rsid w:val="00E61DA6"/>
    <w:rsid w:val="00E61F35"/>
    <w:rsid w:val="00E6213F"/>
    <w:rsid w:val="00E62803"/>
    <w:rsid w:val="00E62831"/>
    <w:rsid w:val="00E62C1F"/>
    <w:rsid w:val="00E63379"/>
    <w:rsid w:val="00E63723"/>
    <w:rsid w:val="00E6393C"/>
    <w:rsid w:val="00E63B02"/>
    <w:rsid w:val="00E63D33"/>
    <w:rsid w:val="00E63D97"/>
    <w:rsid w:val="00E63F8B"/>
    <w:rsid w:val="00E641B4"/>
    <w:rsid w:val="00E645CC"/>
    <w:rsid w:val="00E64617"/>
    <w:rsid w:val="00E64636"/>
    <w:rsid w:val="00E64B43"/>
    <w:rsid w:val="00E64FC9"/>
    <w:rsid w:val="00E66916"/>
    <w:rsid w:val="00E6699F"/>
    <w:rsid w:val="00E669EA"/>
    <w:rsid w:val="00E67118"/>
    <w:rsid w:val="00E672C3"/>
    <w:rsid w:val="00E675B7"/>
    <w:rsid w:val="00E678D9"/>
    <w:rsid w:val="00E67E47"/>
    <w:rsid w:val="00E67FCE"/>
    <w:rsid w:val="00E700C7"/>
    <w:rsid w:val="00E70615"/>
    <w:rsid w:val="00E708D5"/>
    <w:rsid w:val="00E70E71"/>
    <w:rsid w:val="00E70EEA"/>
    <w:rsid w:val="00E71070"/>
    <w:rsid w:val="00E711A1"/>
    <w:rsid w:val="00E71949"/>
    <w:rsid w:val="00E720A4"/>
    <w:rsid w:val="00E726FC"/>
    <w:rsid w:val="00E72797"/>
    <w:rsid w:val="00E72A05"/>
    <w:rsid w:val="00E72E45"/>
    <w:rsid w:val="00E72FEB"/>
    <w:rsid w:val="00E735BD"/>
    <w:rsid w:val="00E740BE"/>
    <w:rsid w:val="00E75186"/>
    <w:rsid w:val="00E75281"/>
    <w:rsid w:val="00E757DE"/>
    <w:rsid w:val="00E75D0F"/>
    <w:rsid w:val="00E75EAE"/>
    <w:rsid w:val="00E7658A"/>
    <w:rsid w:val="00E76819"/>
    <w:rsid w:val="00E7691B"/>
    <w:rsid w:val="00E76F6C"/>
    <w:rsid w:val="00E7722C"/>
    <w:rsid w:val="00E77C56"/>
    <w:rsid w:val="00E77DD4"/>
    <w:rsid w:val="00E77E3A"/>
    <w:rsid w:val="00E77F85"/>
    <w:rsid w:val="00E80461"/>
    <w:rsid w:val="00E80527"/>
    <w:rsid w:val="00E806F9"/>
    <w:rsid w:val="00E80997"/>
    <w:rsid w:val="00E809FE"/>
    <w:rsid w:val="00E80B9F"/>
    <w:rsid w:val="00E80D86"/>
    <w:rsid w:val="00E80E64"/>
    <w:rsid w:val="00E8113A"/>
    <w:rsid w:val="00E81DB9"/>
    <w:rsid w:val="00E820C0"/>
    <w:rsid w:val="00E82993"/>
    <w:rsid w:val="00E82FFC"/>
    <w:rsid w:val="00E834E2"/>
    <w:rsid w:val="00E835DE"/>
    <w:rsid w:val="00E839D4"/>
    <w:rsid w:val="00E839EF"/>
    <w:rsid w:val="00E840CF"/>
    <w:rsid w:val="00E84499"/>
    <w:rsid w:val="00E844DB"/>
    <w:rsid w:val="00E845A9"/>
    <w:rsid w:val="00E8461E"/>
    <w:rsid w:val="00E848AA"/>
    <w:rsid w:val="00E85213"/>
    <w:rsid w:val="00E854FF"/>
    <w:rsid w:val="00E8563A"/>
    <w:rsid w:val="00E85696"/>
    <w:rsid w:val="00E86BF2"/>
    <w:rsid w:val="00E86C53"/>
    <w:rsid w:val="00E86FAF"/>
    <w:rsid w:val="00E8764B"/>
    <w:rsid w:val="00E8795D"/>
    <w:rsid w:val="00E905A0"/>
    <w:rsid w:val="00E907E8"/>
    <w:rsid w:val="00E90DBE"/>
    <w:rsid w:val="00E9118E"/>
    <w:rsid w:val="00E91305"/>
    <w:rsid w:val="00E916CC"/>
    <w:rsid w:val="00E92093"/>
    <w:rsid w:val="00E921BF"/>
    <w:rsid w:val="00E929CA"/>
    <w:rsid w:val="00E92A8F"/>
    <w:rsid w:val="00E92ADA"/>
    <w:rsid w:val="00E92C36"/>
    <w:rsid w:val="00E92C68"/>
    <w:rsid w:val="00E93167"/>
    <w:rsid w:val="00E93E86"/>
    <w:rsid w:val="00E93EA6"/>
    <w:rsid w:val="00E95102"/>
    <w:rsid w:val="00E959D6"/>
    <w:rsid w:val="00E96993"/>
    <w:rsid w:val="00E972FC"/>
    <w:rsid w:val="00E973B0"/>
    <w:rsid w:val="00E9743C"/>
    <w:rsid w:val="00E974FC"/>
    <w:rsid w:val="00E9784C"/>
    <w:rsid w:val="00EA0964"/>
    <w:rsid w:val="00EA0A06"/>
    <w:rsid w:val="00EA0FED"/>
    <w:rsid w:val="00EA12AA"/>
    <w:rsid w:val="00EA153E"/>
    <w:rsid w:val="00EA1673"/>
    <w:rsid w:val="00EA278E"/>
    <w:rsid w:val="00EA286E"/>
    <w:rsid w:val="00EA2972"/>
    <w:rsid w:val="00EA2EA3"/>
    <w:rsid w:val="00EA325A"/>
    <w:rsid w:val="00EA41CC"/>
    <w:rsid w:val="00EA44B4"/>
    <w:rsid w:val="00EA460F"/>
    <w:rsid w:val="00EA4C57"/>
    <w:rsid w:val="00EA5705"/>
    <w:rsid w:val="00EA59E1"/>
    <w:rsid w:val="00EA5D47"/>
    <w:rsid w:val="00EA60D5"/>
    <w:rsid w:val="00EA65E5"/>
    <w:rsid w:val="00EA666D"/>
    <w:rsid w:val="00EA6CA1"/>
    <w:rsid w:val="00EA7508"/>
    <w:rsid w:val="00EA7C1F"/>
    <w:rsid w:val="00EA7C43"/>
    <w:rsid w:val="00EA7C4F"/>
    <w:rsid w:val="00EA7E15"/>
    <w:rsid w:val="00EB05FA"/>
    <w:rsid w:val="00EB0797"/>
    <w:rsid w:val="00EB0847"/>
    <w:rsid w:val="00EB0E3E"/>
    <w:rsid w:val="00EB0F2A"/>
    <w:rsid w:val="00EB12FB"/>
    <w:rsid w:val="00EB2156"/>
    <w:rsid w:val="00EB25F3"/>
    <w:rsid w:val="00EB26B1"/>
    <w:rsid w:val="00EB30F9"/>
    <w:rsid w:val="00EB3A9A"/>
    <w:rsid w:val="00EB427B"/>
    <w:rsid w:val="00EB436D"/>
    <w:rsid w:val="00EB48D7"/>
    <w:rsid w:val="00EB4B6E"/>
    <w:rsid w:val="00EB5406"/>
    <w:rsid w:val="00EB5564"/>
    <w:rsid w:val="00EB5594"/>
    <w:rsid w:val="00EB5B57"/>
    <w:rsid w:val="00EB5B70"/>
    <w:rsid w:val="00EB5DD9"/>
    <w:rsid w:val="00EB651B"/>
    <w:rsid w:val="00EB6601"/>
    <w:rsid w:val="00EB68D3"/>
    <w:rsid w:val="00EB736F"/>
    <w:rsid w:val="00EB7C33"/>
    <w:rsid w:val="00EB7D5F"/>
    <w:rsid w:val="00EB7F14"/>
    <w:rsid w:val="00EB7F9C"/>
    <w:rsid w:val="00EC02E6"/>
    <w:rsid w:val="00EC05D5"/>
    <w:rsid w:val="00EC07AB"/>
    <w:rsid w:val="00EC0B7F"/>
    <w:rsid w:val="00EC1143"/>
    <w:rsid w:val="00EC155B"/>
    <w:rsid w:val="00EC16A9"/>
    <w:rsid w:val="00EC1783"/>
    <w:rsid w:val="00EC20CA"/>
    <w:rsid w:val="00EC22DB"/>
    <w:rsid w:val="00EC25C8"/>
    <w:rsid w:val="00EC2B66"/>
    <w:rsid w:val="00EC32AD"/>
    <w:rsid w:val="00EC34C1"/>
    <w:rsid w:val="00EC3971"/>
    <w:rsid w:val="00EC3D9E"/>
    <w:rsid w:val="00EC3E3A"/>
    <w:rsid w:val="00EC4026"/>
    <w:rsid w:val="00EC40B3"/>
    <w:rsid w:val="00EC434E"/>
    <w:rsid w:val="00EC483D"/>
    <w:rsid w:val="00EC53A3"/>
    <w:rsid w:val="00EC542D"/>
    <w:rsid w:val="00EC61E9"/>
    <w:rsid w:val="00EC6278"/>
    <w:rsid w:val="00EC6552"/>
    <w:rsid w:val="00EC6F4E"/>
    <w:rsid w:val="00EC7029"/>
    <w:rsid w:val="00EC76AF"/>
    <w:rsid w:val="00EC78F9"/>
    <w:rsid w:val="00EC7A13"/>
    <w:rsid w:val="00EC7DCC"/>
    <w:rsid w:val="00EC7E01"/>
    <w:rsid w:val="00ED0479"/>
    <w:rsid w:val="00ED0953"/>
    <w:rsid w:val="00ED0B62"/>
    <w:rsid w:val="00ED1267"/>
    <w:rsid w:val="00ED149D"/>
    <w:rsid w:val="00ED16C1"/>
    <w:rsid w:val="00ED1E11"/>
    <w:rsid w:val="00ED265E"/>
    <w:rsid w:val="00ED2C97"/>
    <w:rsid w:val="00ED301D"/>
    <w:rsid w:val="00ED3A36"/>
    <w:rsid w:val="00ED3DBD"/>
    <w:rsid w:val="00ED40CE"/>
    <w:rsid w:val="00ED421A"/>
    <w:rsid w:val="00ED521D"/>
    <w:rsid w:val="00ED5516"/>
    <w:rsid w:val="00ED5AF9"/>
    <w:rsid w:val="00ED6452"/>
    <w:rsid w:val="00ED6BF9"/>
    <w:rsid w:val="00ED6F11"/>
    <w:rsid w:val="00ED70A8"/>
    <w:rsid w:val="00ED7455"/>
    <w:rsid w:val="00ED7484"/>
    <w:rsid w:val="00ED7C17"/>
    <w:rsid w:val="00EE02CD"/>
    <w:rsid w:val="00EE0D99"/>
    <w:rsid w:val="00EE0DAE"/>
    <w:rsid w:val="00EE0FB2"/>
    <w:rsid w:val="00EE10AB"/>
    <w:rsid w:val="00EE1107"/>
    <w:rsid w:val="00EE110D"/>
    <w:rsid w:val="00EE130D"/>
    <w:rsid w:val="00EE1558"/>
    <w:rsid w:val="00EE1A20"/>
    <w:rsid w:val="00EE1AF4"/>
    <w:rsid w:val="00EE239A"/>
    <w:rsid w:val="00EE23C1"/>
    <w:rsid w:val="00EE3671"/>
    <w:rsid w:val="00EE3C6E"/>
    <w:rsid w:val="00EE3E09"/>
    <w:rsid w:val="00EE40C4"/>
    <w:rsid w:val="00EE4174"/>
    <w:rsid w:val="00EE46DD"/>
    <w:rsid w:val="00EE4AC7"/>
    <w:rsid w:val="00EE5B83"/>
    <w:rsid w:val="00EE5EAD"/>
    <w:rsid w:val="00EE6E5D"/>
    <w:rsid w:val="00EE726D"/>
    <w:rsid w:val="00EE76F3"/>
    <w:rsid w:val="00EE7F53"/>
    <w:rsid w:val="00EE7FA8"/>
    <w:rsid w:val="00EF009B"/>
    <w:rsid w:val="00EF056D"/>
    <w:rsid w:val="00EF0657"/>
    <w:rsid w:val="00EF0D59"/>
    <w:rsid w:val="00EF0F92"/>
    <w:rsid w:val="00EF0FAC"/>
    <w:rsid w:val="00EF184F"/>
    <w:rsid w:val="00EF1873"/>
    <w:rsid w:val="00EF1D85"/>
    <w:rsid w:val="00EF1FF6"/>
    <w:rsid w:val="00EF2008"/>
    <w:rsid w:val="00EF23DC"/>
    <w:rsid w:val="00EF282E"/>
    <w:rsid w:val="00EF2B83"/>
    <w:rsid w:val="00EF3046"/>
    <w:rsid w:val="00EF3572"/>
    <w:rsid w:val="00EF470A"/>
    <w:rsid w:val="00EF4BAF"/>
    <w:rsid w:val="00EF5749"/>
    <w:rsid w:val="00EF58D5"/>
    <w:rsid w:val="00EF641C"/>
    <w:rsid w:val="00EF6CEF"/>
    <w:rsid w:val="00EF70EF"/>
    <w:rsid w:val="00EF7822"/>
    <w:rsid w:val="00EF7DAF"/>
    <w:rsid w:val="00F00359"/>
    <w:rsid w:val="00F0045A"/>
    <w:rsid w:val="00F00691"/>
    <w:rsid w:val="00F0071B"/>
    <w:rsid w:val="00F0096C"/>
    <w:rsid w:val="00F00B45"/>
    <w:rsid w:val="00F016A7"/>
    <w:rsid w:val="00F01876"/>
    <w:rsid w:val="00F01B9F"/>
    <w:rsid w:val="00F01DF5"/>
    <w:rsid w:val="00F01F59"/>
    <w:rsid w:val="00F020D3"/>
    <w:rsid w:val="00F02592"/>
    <w:rsid w:val="00F0291C"/>
    <w:rsid w:val="00F02F57"/>
    <w:rsid w:val="00F02F7E"/>
    <w:rsid w:val="00F0316C"/>
    <w:rsid w:val="00F03749"/>
    <w:rsid w:val="00F03791"/>
    <w:rsid w:val="00F0472C"/>
    <w:rsid w:val="00F04DB8"/>
    <w:rsid w:val="00F056F3"/>
    <w:rsid w:val="00F05A35"/>
    <w:rsid w:val="00F05C64"/>
    <w:rsid w:val="00F061DA"/>
    <w:rsid w:val="00F062A0"/>
    <w:rsid w:val="00F07481"/>
    <w:rsid w:val="00F10714"/>
    <w:rsid w:val="00F115D4"/>
    <w:rsid w:val="00F116A5"/>
    <w:rsid w:val="00F11AF1"/>
    <w:rsid w:val="00F11C75"/>
    <w:rsid w:val="00F12A2D"/>
    <w:rsid w:val="00F12CFD"/>
    <w:rsid w:val="00F1309D"/>
    <w:rsid w:val="00F131B8"/>
    <w:rsid w:val="00F1323B"/>
    <w:rsid w:val="00F13376"/>
    <w:rsid w:val="00F138D6"/>
    <w:rsid w:val="00F13DBB"/>
    <w:rsid w:val="00F13F00"/>
    <w:rsid w:val="00F142D2"/>
    <w:rsid w:val="00F1443A"/>
    <w:rsid w:val="00F1443E"/>
    <w:rsid w:val="00F149E9"/>
    <w:rsid w:val="00F14B55"/>
    <w:rsid w:val="00F14E5E"/>
    <w:rsid w:val="00F14F0B"/>
    <w:rsid w:val="00F152A4"/>
    <w:rsid w:val="00F1565C"/>
    <w:rsid w:val="00F15F17"/>
    <w:rsid w:val="00F16D62"/>
    <w:rsid w:val="00F16E88"/>
    <w:rsid w:val="00F16F7E"/>
    <w:rsid w:val="00F17504"/>
    <w:rsid w:val="00F1763D"/>
    <w:rsid w:val="00F1798A"/>
    <w:rsid w:val="00F17BC0"/>
    <w:rsid w:val="00F17CAC"/>
    <w:rsid w:val="00F17FE7"/>
    <w:rsid w:val="00F20503"/>
    <w:rsid w:val="00F20B51"/>
    <w:rsid w:val="00F210D8"/>
    <w:rsid w:val="00F21455"/>
    <w:rsid w:val="00F21D81"/>
    <w:rsid w:val="00F22154"/>
    <w:rsid w:val="00F221F4"/>
    <w:rsid w:val="00F2249A"/>
    <w:rsid w:val="00F22783"/>
    <w:rsid w:val="00F228B9"/>
    <w:rsid w:val="00F22A5A"/>
    <w:rsid w:val="00F22E57"/>
    <w:rsid w:val="00F236AB"/>
    <w:rsid w:val="00F237F1"/>
    <w:rsid w:val="00F23CF7"/>
    <w:rsid w:val="00F247B2"/>
    <w:rsid w:val="00F253EF"/>
    <w:rsid w:val="00F2622A"/>
    <w:rsid w:val="00F26B28"/>
    <w:rsid w:val="00F274F5"/>
    <w:rsid w:val="00F27A32"/>
    <w:rsid w:val="00F27A73"/>
    <w:rsid w:val="00F27F4A"/>
    <w:rsid w:val="00F30403"/>
    <w:rsid w:val="00F30457"/>
    <w:rsid w:val="00F30775"/>
    <w:rsid w:val="00F30876"/>
    <w:rsid w:val="00F30BA2"/>
    <w:rsid w:val="00F30BB1"/>
    <w:rsid w:val="00F3163C"/>
    <w:rsid w:val="00F3186A"/>
    <w:rsid w:val="00F31935"/>
    <w:rsid w:val="00F31C32"/>
    <w:rsid w:val="00F31E06"/>
    <w:rsid w:val="00F3242A"/>
    <w:rsid w:val="00F3242B"/>
    <w:rsid w:val="00F32497"/>
    <w:rsid w:val="00F3330E"/>
    <w:rsid w:val="00F33333"/>
    <w:rsid w:val="00F33373"/>
    <w:rsid w:val="00F33871"/>
    <w:rsid w:val="00F34029"/>
    <w:rsid w:val="00F341A9"/>
    <w:rsid w:val="00F3485D"/>
    <w:rsid w:val="00F35360"/>
    <w:rsid w:val="00F353D5"/>
    <w:rsid w:val="00F36B0A"/>
    <w:rsid w:val="00F37001"/>
    <w:rsid w:val="00F3770E"/>
    <w:rsid w:val="00F377D5"/>
    <w:rsid w:val="00F37855"/>
    <w:rsid w:val="00F37A19"/>
    <w:rsid w:val="00F4034A"/>
    <w:rsid w:val="00F40455"/>
    <w:rsid w:val="00F4052A"/>
    <w:rsid w:val="00F4066D"/>
    <w:rsid w:val="00F40A3F"/>
    <w:rsid w:val="00F40B93"/>
    <w:rsid w:val="00F40FF2"/>
    <w:rsid w:val="00F4163D"/>
    <w:rsid w:val="00F41754"/>
    <w:rsid w:val="00F41C1A"/>
    <w:rsid w:val="00F41E18"/>
    <w:rsid w:val="00F42087"/>
    <w:rsid w:val="00F42136"/>
    <w:rsid w:val="00F42E01"/>
    <w:rsid w:val="00F4314A"/>
    <w:rsid w:val="00F44143"/>
    <w:rsid w:val="00F441B5"/>
    <w:rsid w:val="00F44206"/>
    <w:rsid w:val="00F4465E"/>
    <w:rsid w:val="00F448B2"/>
    <w:rsid w:val="00F4542C"/>
    <w:rsid w:val="00F45FEC"/>
    <w:rsid w:val="00F46202"/>
    <w:rsid w:val="00F463BF"/>
    <w:rsid w:val="00F46CC1"/>
    <w:rsid w:val="00F47274"/>
    <w:rsid w:val="00F47393"/>
    <w:rsid w:val="00F473CC"/>
    <w:rsid w:val="00F47A34"/>
    <w:rsid w:val="00F47B40"/>
    <w:rsid w:val="00F47CF0"/>
    <w:rsid w:val="00F50305"/>
    <w:rsid w:val="00F50565"/>
    <w:rsid w:val="00F5056A"/>
    <w:rsid w:val="00F50E9A"/>
    <w:rsid w:val="00F5124E"/>
    <w:rsid w:val="00F51401"/>
    <w:rsid w:val="00F514A4"/>
    <w:rsid w:val="00F518BC"/>
    <w:rsid w:val="00F51C6B"/>
    <w:rsid w:val="00F51D1A"/>
    <w:rsid w:val="00F51E63"/>
    <w:rsid w:val="00F52285"/>
    <w:rsid w:val="00F523DF"/>
    <w:rsid w:val="00F52569"/>
    <w:rsid w:val="00F536D7"/>
    <w:rsid w:val="00F53852"/>
    <w:rsid w:val="00F53970"/>
    <w:rsid w:val="00F5440D"/>
    <w:rsid w:val="00F54595"/>
    <w:rsid w:val="00F549BB"/>
    <w:rsid w:val="00F54C01"/>
    <w:rsid w:val="00F551D0"/>
    <w:rsid w:val="00F55201"/>
    <w:rsid w:val="00F55409"/>
    <w:rsid w:val="00F55418"/>
    <w:rsid w:val="00F55A9B"/>
    <w:rsid w:val="00F55C24"/>
    <w:rsid w:val="00F55FA8"/>
    <w:rsid w:val="00F5609D"/>
    <w:rsid w:val="00F5653A"/>
    <w:rsid w:val="00F567FF"/>
    <w:rsid w:val="00F57340"/>
    <w:rsid w:val="00F573E5"/>
    <w:rsid w:val="00F57638"/>
    <w:rsid w:val="00F57DC4"/>
    <w:rsid w:val="00F6017F"/>
    <w:rsid w:val="00F60972"/>
    <w:rsid w:val="00F60AC9"/>
    <w:rsid w:val="00F61000"/>
    <w:rsid w:val="00F61127"/>
    <w:rsid w:val="00F61C12"/>
    <w:rsid w:val="00F63355"/>
    <w:rsid w:val="00F633D3"/>
    <w:rsid w:val="00F63558"/>
    <w:rsid w:val="00F63D27"/>
    <w:rsid w:val="00F64295"/>
    <w:rsid w:val="00F646D8"/>
    <w:rsid w:val="00F64B07"/>
    <w:rsid w:val="00F64C94"/>
    <w:rsid w:val="00F65435"/>
    <w:rsid w:val="00F65B2A"/>
    <w:rsid w:val="00F65EF2"/>
    <w:rsid w:val="00F66117"/>
    <w:rsid w:val="00F661A0"/>
    <w:rsid w:val="00F66F26"/>
    <w:rsid w:val="00F66F67"/>
    <w:rsid w:val="00F67198"/>
    <w:rsid w:val="00F67337"/>
    <w:rsid w:val="00F67558"/>
    <w:rsid w:val="00F676FA"/>
    <w:rsid w:val="00F679AA"/>
    <w:rsid w:val="00F67F22"/>
    <w:rsid w:val="00F67FEA"/>
    <w:rsid w:val="00F70034"/>
    <w:rsid w:val="00F704AA"/>
    <w:rsid w:val="00F70CE1"/>
    <w:rsid w:val="00F718E6"/>
    <w:rsid w:val="00F71CD7"/>
    <w:rsid w:val="00F71DC3"/>
    <w:rsid w:val="00F720D2"/>
    <w:rsid w:val="00F72712"/>
    <w:rsid w:val="00F7311D"/>
    <w:rsid w:val="00F735D3"/>
    <w:rsid w:val="00F735FC"/>
    <w:rsid w:val="00F736FE"/>
    <w:rsid w:val="00F7380C"/>
    <w:rsid w:val="00F73827"/>
    <w:rsid w:val="00F7493A"/>
    <w:rsid w:val="00F74E9B"/>
    <w:rsid w:val="00F75094"/>
    <w:rsid w:val="00F75109"/>
    <w:rsid w:val="00F75569"/>
    <w:rsid w:val="00F75D54"/>
    <w:rsid w:val="00F761CE"/>
    <w:rsid w:val="00F767E4"/>
    <w:rsid w:val="00F76C8B"/>
    <w:rsid w:val="00F771EC"/>
    <w:rsid w:val="00F772A4"/>
    <w:rsid w:val="00F77993"/>
    <w:rsid w:val="00F77998"/>
    <w:rsid w:val="00F77D8F"/>
    <w:rsid w:val="00F77DE0"/>
    <w:rsid w:val="00F8081E"/>
    <w:rsid w:val="00F80C61"/>
    <w:rsid w:val="00F81218"/>
    <w:rsid w:val="00F8130E"/>
    <w:rsid w:val="00F81423"/>
    <w:rsid w:val="00F815CA"/>
    <w:rsid w:val="00F818F7"/>
    <w:rsid w:val="00F81962"/>
    <w:rsid w:val="00F81A9A"/>
    <w:rsid w:val="00F81AFD"/>
    <w:rsid w:val="00F81CA4"/>
    <w:rsid w:val="00F81CF3"/>
    <w:rsid w:val="00F81E6C"/>
    <w:rsid w:val="00F82395"/>
    <w:rsid w:val="00F82AC3"/>
    <w:rsid w:val="00F82E80"/>
    <w:rsid w:val="00F82FE7"/>
    <w:rsid w:val="00F832C6"/>
    <w:rsid w:val="00F83523"/>
    <w:rsid w:val="00F83DB4"/>
    <w:rsid w:val="00F84160"/>
    <w:rsid w:val="00F8489A"/>
    <w:rsid w:val="00F84AD6"/>
    <w:rsid w:val="00F84D63"/>
    <w:rsid w:val="00F852EC"/>
    <w:rsid w:val="00F8532A"/>
    <w:rsid w:val="00F85B6B"/>
    <w:rsid w:val="00F87113"/>
    <w:rsid w:val="00F8738B"/>
    <w:rsid w:val="00F87449"/>
    <w:rsid w:val="00F9009A"/>
    <w:rsid w:val="00F90241"/>
    <w:rsid w:val="00F9024F"/>
    <w:rsid w:val="00F90355"/>
    <w:rsid w:val="00F9101B"/>
    <w:rsid w:val="00F914C6"/>
    <w:rsid w:val="00F9162C"/>
    <w:rsid w:val="00F91ABB"/>
    <w:rsid w:val="00F91AFF"/>
    <w:rsid w:val="00F91FB0"/>
    <w:rsid w:val="00F92350"/>
    <w:rsid w:val="00F92BEB"/>
    <w:rsid w:val="00F93004"/>
    <w:rsid w:val="00F930A4"/>
    <w:rsid w:val="00F932B2"/>
    <w:rsid w:val="00F938E3"/>
    <w:rsid w:val="00F93E20"/>
    <w:rsid w:val="00F94201"/>
    <w:rsid w:val="00F946BF"/>
    <w:rsid w:val="00F94B64"/>
    <w:rsid w:val="00F94BCF"/>
    <w:rsid w:val="00F94C65"/>
    <w:rsid w:val="00F94F1C"/>
    <w:rsid w:val="00F95284"/>
    <w:rsid w:val="00F95376"/>
    <w:rsid w:val="00F9539C"/>
    <w:rsid w:val="00F95686"/>
    <w:rsid w:val="00F956BF"/>
    <w:rsid w:val="00F957A3"/>
    <w:rsid w:val="00F95AC1"/>
    <w:rsid w:val="00F95C53"/>
    <w:rsid w:val="00F95EBA"/>
    <w:rsid w:val="00F961A8"/>
    <w:rsid w:val="00F967AF"/>
    <w:rsid w:val="00F97017"/>
    <w:rsid w:val="00F97445"/>
    <w:rsid w:val="00F97587"/>
    <w:rsid w:val="00F97D70"/>
    <w:rsid w:val="00F97E62"/>
    <w:rsid w:val="00FA0805"/>
    <w:rsid w:val="00FA0A52"/>
    <w:rsid w:val="00FA0B53"/>
    <w:rsid w:val="00FA14D1"/>
    <w:rsid w:val="00FA1885"/>
    <w:rsid w:val="00FA18DA"/>
    <w:rsid w:val="00FA1F19"/>
    <w:rsid w:val="00FA202B"/>
    <w:rsid w:val="00FA2573"/>
    <w:rsid w:val="00FA26B0"/>
    <w:rsid w:val="00FA2AC6"/>
    <w:rsid w:val="00FA308A"/>
    <w:rsid w:val="00FA364A"/>
    <w:rsid w:val="00FA379D"/>
    <w:rsid w:val="00FA3B0E"/>
    <w:rsid w:val="00FA3B1C"/>
    <w:rsid w:val="00FA3B61"/>
    <w:rsid w:val="00FA43FD"/>
    <w:rsid w:val="00FA44D9"/>
    <w:rsid w:val="00FA46CA"/>
    <w:rsid w:val="00FA4750"/>
    <w:rsid w:val="00FA4A92"/>
    <w:rsid w:val="00FA4D78"/>
    <w:rsid w:val="00FA4FFA"/>
    <w:rsid w:val="00FA50C7"/>
    <w:rsid w:val="00FA5527"/>
    <w:rsid w:val="00FA5C8B"/>
    <w:rsid w:val="00FA5F7C"/>
    <w:rsid w:val="00FA66BD"/>
    <w:rsid w:val="00FA673A"/>
    <w:rsid w:val="00FA75CA"/>
    <w:rsid w:val="00FA7E51"/>
    <w:rsid w:val="00FA7E64"/>
    <w:rsid w:val="00FB025F"/>
    <w:rsid w:val="00FB0550"/>
    <w:rsid w:val="00FB06D5"/>
    <w:rsid w:val="00FB0959"/>
    <w:rsid w:val="00FB0EF4"/>
    <w:rsid w:val="00FB1910"/>
    <w:rsid w:val="00FB1AAC"/>
    <w:rsid w:val="00FB1CBD"/>
    <w:rsid w:val="00FB2284"/>
    <w:rsid w:val="00FB2AE8"/>
    <w:rsid w:val="00FB2DA7"/>
    <w:rsid w:val="00FB2F86"/>
    <w:rsid w:val="00FB3AE7"/>
    <w:rsid w:val="00FB3DFD"/>
    <w:rsid w:val="00FB4171"/>
    <w:rsid w:val="00FB55E7"/>
    <w:rsid w:val="00FB596C"/>
    <w:rsid w:val="00FB59E5"/>
    <w:rsid w:val="00FB61A4"/>
    <w:rsid w:val="00FB626E"/>
    <w:rsid w:val="00FB64CC"/>
    <w:rsid w:val="00FB6580"/>
    <w:rsid w:val="00FB6AE9"/>
    <w:rsid w:val="00FB6B63"/>
    <w:rsid w:val="00FB75CE"/>
    <w:rsid w:val="00FB75E1"/>
    <w:rsid w:val="00FB7EBA"/>
    <w:rsid w:val="00FC0724"/>
    <w:rsid w:val="00FC0728"/>
    <w:rsid w:val="00FC074D"/>
    <w:rsid w:val="00FC0ACC"/>
    <w:rsid w:val="00FC0BC9"/>
    <w:rsid w:val="00FC0DF4"/>
    <w:rsid w:val="00FC105D"/>
    <w:rsid w:val="00FC1195"/>
    <w:rsid w:val="00FC15AC"/>
    <w:rsid w:val="00FC1690"/>
    <w:rsid w:val="00FC1B75"/>
    <w:rsid w:val="00FC1EC4"/>
    <w:rsid w:val="00FC1F54"/>
    <w:rsid w:val="00FC20AC"/>
    <w:rsid w:val="00FC2DC4"/>
    <w:rsid w:val="00FC2DD0"/>
    <w:rsid w:val="00FC3760"/>
    <w:rsid w:val="00FC4634"/>
    <w:rsid w:val="00FC4D3E"/>
    <w:rsid w:val="00FC4DD1"/>
    <w:rsid w:val="00FC54F9"/>
    <w:rsid w:val="00FC594A"/>
    <w:rsid w:val="00FC5FDA"/>
    <w:rsid w:val="00FC6123"/>
    <w:rsid w:val="00FC630F"/>
    <w:rsid w:val="00FC63A0"/>
    <w:rsid w:val="00FC6896"/>
    <w:rsid w:val="00FC7178"/>
    <w:rsid w:val="00FC725C"/>
    <w:rsid w:val="00FC7CC1"/>
    <w:rsid w:val="00FD017F"/>
    <w:rsid w:val="00FD0823"/>
    <w:rsid w:val="00FD093B"/>
    <w:rsid w:val="00FD0C2A"/>
    <w:rsid w:val="00FD1422"/>
    <w:rsid w:val="00FD1433"/>
    <w:rsid w:val="00FD159D"/>
    <w:rsid w:val="00FD15C4"/>
    <w:rsid w:val="00FD1FE2"/>
    <w:rsid w:val="00FD253A"/>
    <w:rsid w:val="00FD2A48"/>
    <w:rsid w:val="00FD2E6B"/>
    <w:rsid w:val="00FD3BAA"/>
    <w:rsid w:val="00FD3FFC"/>
    <w:rsid w:val="00FD40EB"/>
    <w:rsid w:val="00FD4355"/>
    <w:rsid w:val="00FD46B8"/>
    <w:rsid w:val="00FD5533"/>
    <w:rsid w:val="00FD63E9"/>
    <w:rsid w:val="00FD6519"/>
    <w:rsid w:val="00FD73A0"/>
    <w:rsid w:val="00FD78E8"/>
    <w:rsid w:val="00FD7D6B"/>
    <w:rsid w:val="00FD7DBB"/>
    <w:rsid w:val="00FD7FFB"/>
    <w:rsid w:val="00FE04D2"/>
    <w:rsid w:val="00FE075E"/>
    <w:rsid w:val="00FE0E5D"/>
    <w:rsid w:val="00FE11C9"/>
    <w:rsid w:val="00FE1343"/>
    <w:rsid w:val="00FE1715"/>
    <w:rsid w:val="00FE1E6F"/>
    <w:rsid w:val="00FE2452"/>
    <w:rsid w:val="00FE2688"/>
    <w:rsid w:val="00FE26D0"/>
    <w:rsid w:val="00FE28D9"/>
    <w:rsid w:val="00FE29C2"/>
    <w:rsid w:val="00FE36FA"/>
    <w:rsid w:val="00FE3868"/>
    <w:rsid w:val="00FE43FF"/>
    <w:rsid w:val="00FE4445"/>
    <w:rsid w:val="00FE4928"/>
    <w:rsid w:val="00FE4A1E"/>
    <w:rsid w:val="00FE4F71"/>
    <w:rsid w:val="00FE55B1"/>
    <w:rsid w:val="00FE56DA"/>
    <w:rsid w:val="00FE5774"/>
    <w:rsid w:val="00FE5D5D"/>
    <w:rsid w:val="00FE5FEC"/>
    <w:rsid w:val="00FE6E1F"/>
    <w:rsid w:val="00FE7AA3"/>
    <w:rsid w:val="00FF10A5"/>
    <w:rsid w:val="00FF1348"/>
    <w:rsid w:val="00FF13C6"/>
    <w:rsid w:val="00FF16A2"/>
    <w:rsid w:val="00FF1A39"/>
    <w:rsid w:val="00FF1D3B"/>
    <w:rsid w:val="00FF1F8B"/>
    <w:rsid w:val="00FF20CF"/>
    <w:rsid w:val="00FF263E"/>
    <w:rsid w:val="00FF3383"/>
    <w:rsid w:val="00FF3704"/>
    <w:rsid w:val="00FF394D"/>
    <w:rsid w:val="00FF3E48"/>
    <w:rsid w:val="00FF48C7"/>
    <w:rsid w:val="00FF520C"/>
    <w:rsid w:val="00FF52C2"/>
    <w:rsid w:val="00FF5619"/>
    <w:rsid w:val="00FF59AB"/>
    <w:rsid w:val="00FF5F03"/>
    <w:rsid w:val="00FF66C4"/>
    <w:rsid w:val="00FF6A50"/>
    <w:rsid w:val="00FF6D5A"/>
    <w:rsid w:val="00FF7178"/>
    <w:rsid w:val="00FF7263"/>
    <w:rsid w:val="00FF760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7569" style="mso-position-horizontal:left" o:allowincell="f" fillcolor="none [2412]">
      <v:fill color="none [2412]"/>
      <v:stroke weight=".5pt"/>
    </o:shapedefaults>
    <o:shapelayout v:ext="edit">
      <o:idmap v:ext="edit" data="1"/>
    </o:shapelayout>
  </w:shapeDefaults>
  <w:decimalSymbol w:val=","/>
  <w:listSeparator w:val=";"/>
  <w14:docId w14:val="13043923"/>
  <w15:docId w15:val="{BD0970CA-1A40-471A-ADFB-9F59AE5F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qFormat="1"/>
    <w:lsdException w:name="annotation text" w:semiHidden="1" w:unhideWhenUsed="1" w:qFormat="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37A31"/>
    <w:rPr>
      <w:rFonts w:ascii="Arial Narrow" w:hAnsi="Arial Narrow" w:cs="Book Antiqua"/>
    </w:rPr>
  </w:style>
  <w:style w:type="paragraph" w:styleId="Nadpis1">
    <w:name w:val="heading 1"/>
    <w:aliases w:val="Nadpis 1 IFP"/>
    <w:basedOn w:val="Normlny"/>
    <w:next w:val="Normlny"/>
    <w:link w:val="Nadpis1Char"/>
    <w:uiPriority w:val="99"/>
    <w:qFormat/>
    <w:rsid w:val="00583E12"/>
    <w:pPr>
      <w:keepNext/>
      <w:spacing w:after="120"/>
      <w:outlineLvl w:val="0"/>
    </w:pPr>
    <w:rPr>
      <w:b/>
      <w:bCs/>
      <w:color w:val="2C9ADC" w:themeColor="accent1"/>
      <w:sz w:val="28"/>
    </w:rPr>
  </w:style>
  <w:style w:type="paragraph" w:styleId="Nadpis2">
    <w:name w:val="heading 2"/>
    <w:aliases w:val="Nadpis 2 IFP"/>
    <w:next w:val="Normlny"/>
    <w:link w:val="Nadpis2Char"/>
    <w:uiPriority w:val="99"/>
    <w:qFormat/>
    <w:rsid w:val="00583E12"/>
    <w:pPr>
      <w:spacing w:before="120"/>
      <w:jc w:val="both"/>
      <w:outlineLvl w:val="1"/>
    </w:pPr>
    <w:rPr>
      <w:rFonts w:ascii="Arial Narrow" w:hAnsi="Arial Narrow" w:cs="Book Antiqua"/>
      <w:color w:val="2C9ADC" w:themeColor="accent1"/>
      <w:sz w:val="24"/>
    </w:rPr>
  </w:style>
  <w:style w:type="paragraph" w:styleId="Nadpis3">
    <w:name w:val="heading 3"/>
    <w:aliases w:val="Tab"/>
    <w:basedOn w:val="Normlny"/>
    <w:next w:val="Normlny"/>
    <w:link w:val="Nadpis3Char"/>
    <w:uiPriority w:val="9"/>
    <w:qFormat/>
    <w:rsid w:val="001543E7"/>
    <w:pPr>
      <w:keepNext/>
      <w:outlineLvl w:val="2"/>
    </w:pPr>
    <w:rPr>
      <w:rFonts w:cs="Arial"/>
      <w:b/>
      <w:bCs/>
      <w:sz w:val="20"/>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IFP Char"/>
    <w:basedOn w:val="Predvolenpsmoodseku"/>
    <w:link w:val="Nadpis1"/>
    <w:uiPriority w:val="99"/>
    <w:locked/>
    <w:rsid w:val="00583E12"/>
    <w:rPr>
      <w:rFonts w:ascii="Arial Narrow" w:hAnsi="Arial Narrow" w:cs="Book Antiqua"/>
      <w:b/>
      <w:bCs/>
      <w:color w:val="2C9ADC" w:themeColor="accent1"/>
      <w:sz w:val="28"/>
    </w:rPr>
  </w:style>
  <w:style w:type="character" w:customStyle="1" w:styleId="Nadpis2Char">
    <w:name w:val="Nadpis 2 Char"/>
    <w:aliases w:val="Nadpis 2 IFP Char"/>
    <w:basedOn w:val="Predvolenpsmoodseku"/>
    <w:link w:val="Nadpis2"/>
    <w:uiPriority w:val="99"/>
    <w:locked/>
    <w:rsid w:val="00583E12"/>
    <w:rPr>
      <w:rFonts w:ascii="Arial Narrow" w:hAnsi="Arial Narrow" w:cs="Book Antiqua"/>
      <w:color w:val="2C9ADC" w:themeColor="accent1"/>
      <w:sz w:val="24"/>
    </w:rPr>
  </w:style>
  <w:style w:type="character" w:customStyle="1" w:styleId="Nadpis3Char">
    <w:name w:val="Nadpis 3 Char"/>
    <w:aliases w:val="Tab Char"/>
    <w:basedOn w:val="Predvolenpsmoodseku"/>
    <w:link w:val="Nadpis3"/>
    <w:uiPriority w:val="9"/>
    <w:locked/>
    <w:rsid w:val="001543E7"/>
    <w:rPr>
      <w:rFonts w:ascii="Arial Narrow" w:hAnsi="Arial Narrow" w:cs="Arial"/>
      <w:b/>
      <w:bCs/>
      <w:sz w:val="26"/>
      <w:szCs w:val="26"/>
      <w:lang w:eastAsia="sk-SK"/>
    </w:rPr>
  </w:style>
  <w:style w:type="paragraph" w:styleId="Textbubliny">
    <w:name w:val="Balloon Text"/>
    <w:basedOn w:val="Normlny"/>
    <w:link w:val="TextbublinyChar"/>
    <w:uiPriority w:val="99"/>
    <w:semiHidden/>
    <w:rsid w:val="001543E7"/>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1543E7"/>
    <w:rPr>
      <w:rFonts w:ascii="Tahoma" w:hAnsi="Tahoma" w:cs="Tahoma"/>
      <w:sz w:val="16"/>
      <w:szCs w:val="16"/>
      <w:lang w:eastAsia="sk-SK"/>
    </w:rPr>
  </w:style>
  <w:style w:type="paragraph" w:styleId="Zkladntext">
    <w:name w:val="Body Text"/>
    <w:basedOn w:val="Normlny"/>
    <w:link w:val="ZkladntextChar"/>
    <w:uiPriority w:val="99"/>
    <w:rsid w:val="001543E7"/>
    <w:pPr>
      <w:widowControl w:val="0"/>
    </w:pPr>
    <w:rPr>
      <w:color w:val="000000"/>
      <w:sz w:val="24"/>
      <w:szCs w:val="24"/>
    </w:rPr>
  </w:style>
  <w:style w:type="character" w:customStyle="1" w:styleId="ZkladntextChar">
    <w:name w:val="Základný text Char"/>
    <w:basedOn w:val="Predvolenpsmoodseku"/>
    <w:link w:val="Zkladntext"/>
    <w:uiPriority w:val="99"/>
    <w:locked/>
    <w:rsid w:val="001543E7"/>
    <w:rPr>
      <w:rFonts w:ascii="Book Antiqua" w:hAnsi="Book Antiqua" w:cs="Book Antiqua"/>
      <w:color w:val="000000"/>
      <w:sz w:val="24"/>
      <w:szCs w:val="24"/>
      <w:lang w:eastAsia="sk-SK"/>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 Char Char Char Char Char,f,Plonk"/>
    <w:basedOn w:val="Normlny"/>
    <w:link w:val="TextpoznmkypodiarouChar"/>
    <w:uiPriority w:val="99"/>
    <w:qFormat/>
    <w:rsid w:val="001543E7"/>
    <w:rPr>
      <w:sz w:val="20"/>
      <w:szCs w:val="20"/>
      <w:lang w:eastAsia="en-US"/>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 Char,Plonk Char"/>
    <w:basedOn w:val="Predvolenpsmoodseku"/>
    <w:link w:val="Textpoznmkypodiarou"/>
    <w:uiPriority w:val="99"/>
    <w:locked/>
    <w:rsid w:val="001543E7"/>
    <w:rPr>
      <w:rFonts w:ascii="Book Antiqua" w:hAnsi="Book Antiqua" w:cs="Book Antiqua"/>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qFormat/>
    <w:rsid w:val="001543E7"/>
    <w:rPr>
      <w:rFonts w:ascii="Arial Narrow" w:hAnsi="Arial Narrow" w:cs="Arial Narrow"/>
      <w:vertAlign w:val="superscript"/>
      <w:lang w:val="en-US" w:eastAsia="en-US"/>
    </w:rPr>
  </w:style>
  <w:style w:type="paragraph" w:styleId="Hlavika">
    <w:name w:val="header"/>
    <w:basedOn w:val="Normlny"/>
    <w:link w:val="HlavikaChar"/>
    <w:uiPriority w:val="99"/>
    <w:rsid w:val="001543E7"/>
    <w:pPr>
      <w:tabs>
        <w:tab w:val="center" w:pos="4536"/>
        <w:tab w:val="right" w:pos="9072"/>
      </w:tabs>
      <w:jc w:val="both"/>
    </w:pPr>
    <w:rPr>
      <w:lang w:eastAsia="cs-CZ"/>
    </w:rPr>
  </w:style>
  <w:style w:type="character" w:customStyle="1" w:styleId="HlavikaChar">
    <w:name w:val="Hlavička Char"/>
    <w:basedOn w:val="Predvolenpsmoodseku"/>
    <w:link w:val="Hlavika"/>
    <w:uiPriority w:val="99"/>
    <w:locked/>
    <w:rsid w:val="001543E7"/>
    <w:rPr>
      <w:rFonts w:ascii="Book Antiqua" w:hAnsi="Book Antiqua" w:cs="Book Antiqua"/>
      <w:lang w:eastAsia="cs-CZ"/>
    </w:rPr>
  </w:style>
  <w:style w:type="paragraph" w:customStyle="1" w:styleId="NormalList">
    <w:name w:val="NormalList"/>
    <w:basedOn w:val="Normlny"/>
    <w:qFormat/>
    <w:rsid w:val="001543E7"/>
    <w:pPr>
      <w:jc w:val="both"/>
    </w:pPr>
    <w:rPr>
      <w:lang w:eastAsia="en-US"/>
    </w:rPr>
  </w:style>
  <w:style w:type="paragraph" w:customStyle="1" w:styleId="Normlny1">
    <w:name w:val="Normálny1"/>
    <w:basedOn w:val="Normlny"/>
    <w:next w:val="Normlny"/>
    <w:uiPriority w:val="99"/>
    <w:rsid w:val="001543E7"/>
    <w:pPr>
      <w:autoSpaceDE w:val="0"/>
      <w:autoSpaceDN w:val="0"/>
      <w:adjustRightInd w:val="0"/>
    </w:pPr>
    <w:rPr>
      <w:sz w:val="24"/>
      <w:szCs w:val="24"/>
      <w:lang w:val="cs-CZ" w:eastAsia="cs-CZ"/>
    </w:rPr>
  </w:style>
  <w:style w:type="paragraph" w:customStyle="1" w:styleId="Normlny4">
    <w:name w:val="Normálny4"/>
    <w:basedOn w:val="Normlny"/>
    <w:next w:val="Normlny"/>
    <w:uiPriority w:val="99"/>
    <w:rsid w:val="001543E7"/>
    <w:pPr>
      <w:autoSpaceDE w:val="0"/>
      <w:autoSpaceDN w:val="0"/>
      <w:adjustRightInd w:val="0"/>
    </w:pPr>
    <w:rPr>
      <w:sz w:val="24"/>
      <w:szCs w:val="24"/>
    </w:rPr>
  </w:style>
  <w:style w:type="paragraph" w:styleId="Odsekzoznamu">
    <w:name w:val="List Paragraph"/>
    <w:aliases w:val="body,Odsek zoznamu2,Dot pt,F5 List Paragraph,No Spacing1,List Paragraph Char Char Char,Indicator Text,Numbered Para 1,Colorful List - Accent 11,Bullet 1,Bullet Points,Párrafo de lista,MAIN CONTENT,Recommendation"/>
    <w:basedOn w:val="Normlny"/>
    <w:link w:val="OdsekzoznamuChar"/>
    <w:uiPriority w:val="34"/>
    <w:qFormat/>
    <w:rsid w:val="001543E7"/>
    <w:pPr>
      <w:ind w:left="720"/>
      <w:contextualSpacing/>
    </w:pPr>
  </w:style>
  <w:style w:type="character" w:customStyle="1" w:styleId="OdsekzoznamuChar">
    <w:name w:val="Odsek zoznamu Char"/>
    <w:aliases w:val="body Char,Odsek zoznamu2 Char,Dot pt Char,F5 List Paragraph Char,No Spacing1 Char,List Paragraph Char Char Char Char,Indicator Text Char,Numbered Para 1 Char,Colorful List - Accent 11 Char,Bullet 1 Char,Bullet Points Char"/>
    <w:link w:val="Odsekzoznamu"/>
    <w:uiPriority w:val="34"/>
    <w:qFormat/>
    <w:locked/>
    <w:rsid w:val="00143A58"/>
    <w:rPr>
      <w:rFonts w:ascii="Arial Narrow" w:hAnsi="Arial Narrow" w:cs="Book Antiqua"/>
    </w:rPr>
  </w:style>
  <w:style w:type="character" w:styleId="Odkaznakomentr">
    <w:name w:val="annotation reference"/>
    <w:basedOn w:val="Predvolenpsmoodseku"/>
    <w:uiPriority w:val="99"/>
    <w:qFormat/>
    <w:rsid w:val="001543E7"/>
    <w:rPr>
      <w:rFonts w:cs="Times New Roman"/>
      <w:sz w:val="16"/>
      <w:szCs w:val="16"/>
    </w:rPr>
  </w:style>
  <w:style w:type="paragraph" w:styleId="Textkomentra">
    <w:name w:val="annotation text"/>
    <w:aliases w:val="Char Char Char"/>
    <w:basedOn w:val="Normlny"/>
    <w:link w:val="TextkomentraChar"/>
    <w:uiPriority w:val="99"/>
    <w:qFormat/>
    <w:rsid w:val="001543E7"/>
    <w:rPr>
      <w:sz w:val="20"/>
      <w:szCs w:val="20"/>
    </w:rPr>
  </w:style>
  <w:style w:type="character" w:customStyle="1" w:styleId="TextkomentraChar">
    <w:name w:val="Text komentára Char"/>
    <w:aliases w:val="Char Char Char Char"/>
    <w:basedOn w:val="Predvolenpsmoodseku"/>
    <w:link w:val="Textkomentra"/>
    <w:uiPriority w:val="99"/>
    <w:qFormat/>
    <w:locked/>
    <w:rsid w:val="001543E7"/>
    <w:rPr>
      <w:rFonts w:ascii="Book Antiqua" w:hAnsi="Book Antiqua" w:cs="Book Antiqua"/>
      <w:sz w:val="20"/>
      <w:szCs w:val="20"/>
      <w:lang w:eastAsia="sk-SK"/>
    </w:rPr>
  </w:style>
  <w:style w:type="paragraph" w:styleId="Predmetkomentra">
    <w:name w:val="annotation subject"/>
    <w:basedOn w:val="Textkomentra"/>
    <w:next w:val="Textkomentra"/>
    <w:link w:val="PredmetkomentraChar"/>
    <w:uiPriority w:val="99"/>
    <w:semiHidden/>
    <w:rsid w:val="001543E7"/>
    <w:rPr>
      <w:b/>
      <w:bCs/>
    </w:rPr>
  </w:style>
  <w:style w:type="character" w:customStyle="1" w:styleId="PredmetkomentraChar">
    <w:name w:val="Predmet komentára Char"/>
    <w:basedOn w:val="TextkomentraChar"/>
    <w:link w:val="Predmetkomentra"/>
    <w:uiPriority w:val="99"/>
    <w:semiHidden/>
    <w:locked/>
    <w:rsid w:val="001543E7"/>
    <w:rPr>
      <w:rFonts w:ascii="Book Antiqua" w:hAnsi="Book Antiqua" w:cs="Book Antiqua"/>
      <w:b/>
      <w:bCs/>
      <w:sz w:val="20"/>
      <w:szCs w:val="20"/>
      <w:lang w:eastAsia="sk-SK"/>
    </w:rPr>
  </w:style>
  <w:style w:type="paragraph" w:styleId="Pta">
    <w:name w:val="footer"/>
    <w:basedOn w:val="Normlny"/>
    <w:link w:val="PtaChar"/>
    <w:uiPriority w:val="99"/>
    <w:rsid w:val="001543E7"/>
    <w:pPr>
      <w:tabs>
        <w:tab w:val="center" w:pos="4536"/>
        <w:tab w:val="right" w:pos="9072"/>
      </w:tabs>
    </w:pPr>
  </w:style>
  <w:style w:type="character" w:customStyle="1" w:styleId="PtaChar">
    <w:name w:val="Päta Char"/>
    <w:basedOn w:val="Predvolenpsmoodseku"/>
    <w:link w:val="Pta"/>
    <w:uiPriority w:val="99"/>
    <w:locked/>
    <w:rsid w:val="001543E7"/>
    <w:rPr>
      <w:rFonts w:ascii="Book Antiqua" w:hAnsi="Book Antiqua" w:cs="Book Antiqua"/>
      <w:lang w:eastAsia="sk-SK"/>
    </w:rPr>
  </w:style>
  <w:style w:type="paragraph" w:styleId="Hlavikaobsahu">
    <w:name w:val="TOC Heading"/>
    <w:basedOn w:val="Nadpis1"/>
    <w:next w:val="Normlny"/>
    <w:uiPriority w:val="99"/>
    <w:qFormat/>
    <w:rsid w:val="001543E7"/>
    <w:pPr>
      <w:keepLines/>
      <w:spacing w:before="480" w:after="0" w:line="276" w:lineRule="auto"/>
      <w:outlineLvl w:val="9"/>
    </w:pPr>
    <w:rPr>
      <w:rFonts w:ascii="Cambria" w:hAnsi="Cambria" w:cs="Times New Roman"/>
      <w:color w:val="365F91"/>
      <w:szCs w:val="28"/>
    </w:rPr>
  </w:style>
  <w:style w:type="paragraph" w:styleId="Obsah1">
    <w:name w:val="toc 1"/>
    <w:basedOn w:val="Normlny"/>
    <w:next w:val="Normlny"/>
    <w:autoRedefine/>
    <w:uiPriority w:val="39"/>
    <w:rsid w:val="00D04761"/>
    <w:pPr>
      <w:tabs>
        <w:tab w:val="left" w:pos="440"/>
        <w:tab w:val="right" w:leader="dot" w:pos="9060"/>
      </w:tabs>
      <w:spacing w:after="100"/>
    </w:pPr>
    <w:rPr>
      <w:b/>
      <w:noProof/>
    </w:rPr>
  </w:style>
  <w:style w:type="paragraph" w:styleId="Obsah2">
    <w:name w:val="toc 2"/>
    <w:basedOn w:val="Normlny"/>
    <w:next w:val="Normlny"/>
    <w:autoRedefine/>
    <w:uiPriority w:val="39"/>
    <w:rsid w:val="001711C1"/>
    <w:pPr>
      <w:tabs>
        <w:tab w:val="left" w:pos="880"/>
        <w:tab w:val="right" w:leader="dot" w:pos="9060"/>
      </w:tabs>
      <w:spacing w:after="100"/>
      <w:ind w:left="220"/>
    </w:pPr>
    <w:rPr>
      <w:rFonts w:cs="Arial Narrow"/>
      <w:noProof/>
    </w:rPr>
  </w:style>
  <w:style w:type="paragraph" w:styleId="Obsah3">
    <w:name w:val="toc 3"/>
    <w:basedOn w:val="Normlny"/>
    <w:next w:val="Normlny"/>
    <w:autoRedefine/>
    <w:uiPriority w:val="39"/>
    <w:rsid w:val="00DC556A"/>
    <w:pPr>
      <w:tabs>
        <w:tab w:val="right" w:leader="dot" w:pos="9060"/>
      </w:tabs>
      <w:spacing w:after="100" w:line="276" w:lineRule="auto"/>
      <w:ind w:left="440"/>
    </w:pPr>
  </w:style>
  <w:style w:type="character" w:styleId="Hypertextovprepojenie">
    <w:name w:val="Hyperlink"/>
    <w:basedOn w:val="Predvolenpsmoodseku"/>
    <w:uiPriority w:val="99"/>
    <w:rsid w:val="001543E7"/>
    <w:rPr>
      <w:rFonts w:cs="Times New Roman"/>
      <w:color w:val="0000FF"/>
      <w:u w:val="single"/>
    </w:rPr>
  </w:style>
  <w:style w:type="paragraph" w:styleId="Normlnywebov">
    <w:name w:val="Normal (Web)"/>
    <w:basedOn w:val="Normlny"/>
    <w:uiPriority w:val="99"/>
    <w:rsid w:val="001E5FCA"/>
    <w:pPr>
      <w:spacing w:before="100" w:beforeAutospacing="1" w:after="100" w:afterAutospacing="1"/>
    </w:pPr>
    <w:rPr>
      <w:rFonts w:ascii="Times New Roman" w:hAnsi="Times New Roman" w:cs="Times New Roman"/>
      <w:sz w:val="24"/>
      <w:szCs w:val="24"/>
    </w:rPr>
  </w:style>
  <w:style w:type="paragraph" w:styleId="Zarkazkladnhotextu2">
    <w:name w:val="Body Text Indent 2"/>
    <w:basedOn w:val="Normlny"/>
    <w:link w:val="Zarkazkladnhotextu2Char"/>
    <w:uiPriority w:val="99"/>
    <w:semiHidden/>
    <w:rsid w:val="0009759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locked/>
    <w:rsid w:val="0009759D"/>
    <w:rPr>
      <w:rFonts w:ascii="Arial Narrow" w:hAnsi="Arial Narrow" w:cs="Book Antiqua"/>
      <w:lang w:eastAsia="sk-SK"/>
    </w:rPr>
  </w:style>
  <w:style w:type="table" w:styleId="Mriekatabuky">
    <w:name w:val="Table Grid"/>
    <w:basedOn w:val="Normlnatabuka"/>
    <w:uiPriority w:val="39"/>
    <w:locked/>
    <w:rsid w:val="000C6EBD"/>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1F6B19"/>
    <w:rPr>
      <w:rFonts w:ascii="Arial Narrow" w:hAnsi="Arial Narrow" w:cs="Book Antiqua"/>
    </w:rPr>
  </w:style>
  <w:style w:type="character" w:styleId="PouitHypertextovPrepojenie">
    <w:name w:val="FollowedHyperlink"/>
    <w:basedOn w:val="Predvolenpsmoodseku"/>
    <w:uiPriority w:val="99"/>
    <w:semiHidden/>
    <w:unhideWhenUsed/>
    <w:rsid w:val="00921696"/>
    <w:rPr>
      <w:rFonts w:cs="Times New Roman"/>
      <w:color w:val="800080" w:themeColor="followedHyperlink"/>
      <w:u w:val="single"/>
    </w:rPr>
  </w:style>
  <w:style w:type="paragraph" w:customStyle="1" w:styleId="ListParagraph1">
    <w:name w:val="List Paragraph1"/>
    <w:basedOn w:val="Normlny"/>
    <w:rsid w:val="000F1C79"/>
    <w:pPr>
      <w:spacing w:after="200" w:line="276" w:lineRule="auto"/>
      <w:ind w:left="720"/>
    </w:pPr>
    <w:rPr>
      <w:rFonts w:ascii="Calibri" w:hAnsi="Calibri" w:cs="Times New Roman"/>
      <w:lang w:eastAsia="en-US"/>
    </w:rPr>
  </w:style>
  <w:style w:type="paragraph" w:customStyle="1" w:styleId="Odsekzoznamu1">
    <w:name w:val="Odsek zoznamu1"/>
    <w:basedOn w:val="Normlny"/>
    <w:rsid w:val="003A151D"/>
    <w:pPr>
      <w:ind w:left="720"/>
      <w:contextualSpacing/>
    </w:pPr>
  </w:style>
  <w:style w:type="paragraph" w:styleId="Obsah4">
    <w:name w:val="toc 4"/>
    <w:basedOn w:val="Normlny"/>
    <w:next w:val="Normlny"/>
    <w:autoRedefine/>
    <w:uiPriority w:val="39"/>
    <w:unhideWhenUsed/>
    <w:locked/>
    <w:rsid w:val="00A058F2"/>
    <w:pPr>
      <w:spacing w:after="100" w:line="276" w:lineRule="auto"/>
      <w:ind w:left="660"/>
    </w:pPr>
    <w:rPr>
      <w:rFonts w:asciiTheme="minorHAnsi" w:eastAsiaTheme="minorEastAsia" w:hAnsiTheme="minorHAnsi" w:cs="Times New Roman"/>
    </w:rPr>
  </w:style>
  <w:style w:type="paragraph" w:styleId="Obsah5">
    <w:name w:val="toc 5"/>
    <w:basedOn w:val="Normlny"/>
    <w:next w:val="Normlny"/>
    <w:autoRedefine/>
    <w:uiPriority w:val="39"/>
    <w:unhideWhenUsed/>
    <w:locked/>
    <w:rsid w:val="00A058F2"/>
    <w:pPr>
      <w:spacing w:after="100" w:line="276" w:lineRule="auto"/>
      <w:ind w:left="880"/>
    </w:pPr>
    <w:rPr>
      <w:rFonts w:asciiTheme="minorHAnsi" w:eastAsiaTheme="minorEastAsia" w:hAnsiTheme="minorHAnsi" w:cs="Times New Roman"/>
    </w:rPr>
  </w:style>
  <w:style w:type="paragraph" w:styleId="Obsah6">
    <w:name w:val="toc 6"/>
    <w:basedOn w:val="Normlny"/>
    <w:next w:val="Normlny"/>
    <w:autoRedefine/>
    <w:uiPriority w:val="39"/>
    <w:unhideWhenUsed/>
    <w:locked/>
    <w:rsid w:val="00A058F2"/>
    <w:pPr>
      <w:spacing w:after="100" w:line="276" w:lineRule="auto"/>
      <w:ind w:left="1100"/>
    </w:pPr>
    <w:rPr>
      <w:rFonts w:asciiTheme="minorHAnsi" w:eastAsiaTheme="minorEastAsia" w:hAnsiTheme="minorHAnsi" w:cs="Times New Roman"/>
    </w:rPr>
  </w:style>
  <w:style w:type="paragraph" w:styleId="Obsah7">
    <w:name w:val="toc 7"/>
    <w:basedOn w:val="Normlny"/>
    <w:next w:val="Normlny"/>
    <w:autoRedefine/>
    <w:uiPriority w:val="39"/>
    <w:unhideWhenUsed/>
    <w:locked/>
    <w:rsid w:val="00A058F2"/>
    <w:pPr>
      <w:spacing w:after="100" w:line="276" w:lineRule="auto"/>
      <w:ind w:left="1320"/>
    </w:pPr>
    <w:rPr>
      <w:rFonts w:asciiTheme="minorHAnsi" w:eastAsiaTheme="minorEastAsia" w:hAnsiTheme="minorHAnsi" w:cs="Times New Roman"/>
    </w:rPr>
  </w:style>
  <w:style w:type="paragraph" w:styleId="Obsah8">
    <w:name w:val="toc 8"/>
    <w:basedOn w:val="Normlny"/>
    <w:next w:val="Normlny"/>
    <w:autoRedefine/>
    <w:uiPriority w:val="39"/>
    <w:unhideWhenUsed/>
    <w:locked/>
    <w:rsid w:val="00A058F2"/>
    <w:pPr>
      <w:spacing w:after="100" w:line="276" w:lineRule="auto"/>
      <w:ind w:left="1540"/>
    </w:pPr>
    <w:rPr>
      <w:rFonts w:asciiTheme="minorHAnsi" w:eastAsiaTheme="minorEastAsia" w:hAnsiTheme="minorHAnsi" w:cs="Times New Roman"/>
    </w:rPr>
  </w:style>
  <w:style w:type="paragraph" w:styleId="Obsah9">
    <w:name w:val="toc 9"/>
    <w:basedOn w:val="Normlny"/>
    <w:next w:val="Normlny"/>
    <w:autoRedefine/>
    <w:uiPriority w:val="39"/>
    <w:unhideWhenUsed/>
    <w:locked/>
    <w:rsid w:val="00A058F2"/>
    <w:pPr>
      <w:spacing w:after="100" w:line="276" w:lineRule="auto"/>
      <w:ind w:left="1760"/>
    </w:pPr>
    <w:rPr>
      <w:rFonts w:asciiTheme="minorHAnsi" w:eastAsiaTheme="minorEastAsia" w:hAnsiTheme="minorHAnsi" w:cs="Times New Roman"/>
    </w:rPr>
  </w:style>
  <w:style w:type="paragraph" w:customStyle="1" w:styleId="Body1">
    <w:name w:val="Body 1"/>
    <w:rsid w:val="0064347A"/>
    <w:rPr>
      <w:rFonts w:ascii="Helvetica" w:eastAsia="Arial Unicode MS" w:hAnsi="Helvetica" w:cs="Times New Roman"/>
      <w:color w:val="000000"/>
      <w:sz w:val="24"/>
      <w:szCs w:val="20"/>
    </w:rPr>
  </w:style>
  <w:style w:type="paragraph" w:customStyle="1" w:styleId="Default">
    <w:name w:val="Default"/>
    <w:rsid w:val="0042374F"/>
    <w:pPr>
      <w:autoSpaceDE w:val="0"/>
      <w:autoSpaceDN w:val="0"/>
      <w:adjustRightInd w:val="0"/>
    </w:pPr>
    <w:rPr>
      <w:rFonts w:ascii="Times New Roman" w:hAnsi="Times New Roman" w:cs="Times New Roman"/>
      <w:color w:val="000000"/>
      <w:sz w:val="24"/>
      <w:szCs w:val="24"/>
      <w:lang w:val="en-US"/>
    </w:rPr>
  </w:style>
  <w:style w:type="paragraph" w:styleId="Obyajntext">
    <w:name w:val="Plain Text"/>
    <w:basedOn w:val="Normlny"/>
    <w:link w:val="ObyajntextChar"/>
    <w:uiPriority w:val="99"/>
    <w:unhideWhenUsed/>
    <w:rsid w:val="00F17CAC"/>
    <w:rPr>
      <w:rFonts w:eastAsiaTheme="minorHAnsi" w:cstheme="minorBidi"/>
      <w:szCs w:val="21"/>
      <w:lang w:val="en-US" w:eastAsia="en-US"/>
    </w:rPr>
  </w:style>
  <w:style w:type="character" w:customStyle="1" w:styleId="ObyajntextChar">
    <w:name w:val="Obyčajný text Char"/>
    <w:basedOn w:val="Predvolenpsmoodseku"/>
    <w:link w:val="Obyajntext"/>
    <w:uiPriority w:val="99"/>
    <w:rsid w:val="00F17CAC"/>
    <w:rPr>
      <w:rFonts w:ascii="Arial Narrow" w:eastAsiaTheme="minorHAnsi" w:hAnsi="Arial Narrow" w:cstheme="minorBidi"/>
      <w:szCs w:val="21"/>
      <w:lang w:val="en-US" w:eastAsia="en-US"/>
    </w:rPr>
  </w:style>
  <w:style w:type="table" w:customStyle="1" w:styleId="Mriekatabuky1">
    <w:name w:val="Mriežka tabuľky1"/>
    <w:basedOn w:val="Normlnatabuka"/>
    <w:next w:val="Mriekatabuky"/>
    <w:uiPriority w:val="59"/>
    <w:rsid w:val="00B55CD5"/>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7C3F8F"/>
    <w:rPr>
      <w:rFonts w:ascii="Arial Narrow" w:hAnsi="Arial Narrow" w:cs="Times New Roman"/>
      <w:szCs w:val="36"/>
      <w:lang w:eastAsia="en-US"/>
    </w:rPr>
  </w:style>
  <w:style w:type="paragraph" w:styleId="Zkladntext2">
    <w:name w:val="Body Text 2"/>
    <w:basedOn w:val="Normlny"/>
    <w:link w:val="Zkladntext2Char"/>
    <w:uiPriority w:val="99"/>
    <w:unhideWhenUsed/>
    <w:rsid w:val="00342B48"/>
    <w:pPr>
      <w:spacing w:after="120" w:line="480" w:lineRule="auto"/>
    </w:pPr>
  </w:style>
  <w:style w:type="character" w:customStyle="1" w:styleId="Zkladntext2Char">
    <w:name w:val="Základný text 2 Char"/>
    <w:basedOn w:val="Predvolenpsmoodseku"/>
    <w:link w:val="Zkladntext2"/>
    <w:uiPriority w:val="99"/>
    <w:rsid w:val="00342B48"/>
    <w:rPr>
      <w:rFonts w:ascii="Arial Narrow" w:hAnsi="Arial Narrow" w:cs="Book Antiqua"/>
    </w:rPr>
  </w:style>
  <w:style w:type="table" w:customStyle="1" w:styleId="Mriekatabuky4">
    <w:name w:val="Mriežka tabuľky4"/>
    <w:basedOn w:val="Normlnatabuka"/>
    <w:next w:val="Mriekatabuky"/>
    <w:uiPriority w:val="59"/>
    <w:rsid w:val="003D733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locked/>
    <w:rsid w:val="00B910C3"/>
    <w:pPr>
      <w:spacing w:after="200"/>
    </w:pPr>
    <w:rPr>
      <w:b/>
      <w:bCs/>
      <w:color w:val="2C9ADC" w:themeColor="accent1"/>
      <w:sz w:val="18"/>
      <w:szCs w:val="18"/>
    </w:rPr>
  </w:style>
  <w:style w:type="paragraph" w:customStyle="1" w:styleId="NRPtabulka">
    <w:name w:val="NRP tabulka"/>
    <w:basedOn w:val="Normlny"/>
    <w:link w:val="NRPtabulkaChar"/>
    <w:qFormat/>
    <w:rsid w:val="0063080C"/>
    <w:pPr>
      <w:spacing w:line="276" w:lineRule="auto"/>
    </w:pPr>
    <w:rPr>
      <w:rFonts w:eastAsiaTheme="minorHAnsi" w:cs="Times New Roman"/>
      <w:b/>
      <w:bCs/>
      <w:color w:val="FFFFFF" w:themeColor="background1"/>
      <w:sz w:val="20"/>
      <w:szCs w:val="14"/>
      <w:lang w:eastAsia="en-US"/>
    </w:rPr>
  </w:style>
  <w:style w:type="character" w:customStyle="1" w:styleId="NRPtabulkaChar">
    <w:name w:val="NRP tabulka Char"/>
    <w:basedOn w:val="Predvolenpsmoodseku"/>
    <w:link w:val="NRPtabulka"/>
    <w:rsid w:val="0063080C"/>
    <w:rPr>
      <w:rFonts w:ascii="Arial Narrow" w:eastAsiaTheme="minorHAnsi" w:hAnsi="Arial Narrow" w:cs="Times New Roman"/>
      <w:b/>
      <w:bCs/>
      <w:color w:val="FFFFFF" w:themeColor="background1"/>
      <w:sz w:val="20"/>
      <w:szCs w:val="14"/>
      <w:lang w:eastAsia="en-US"/>
    </w:rPr>
  </w:style>
  <w:style w:type="paragraph" w:customStyle="1" w:styleId="NRP2uroven">
    <w:name w:val="NRP_2uroven"/>
    <w:basedOn w:val="Nadpis2"/>
    <w:qFormat/>
    <w:rsid w:val="0063080C"/>
    <w:pPr>
      <w:numPr>
        <w:ilvl w:val="1"/>
        <w:numId w:val="1"/>
      </w:numPr>
      <w:spacing w:before="0"/>
    </w:pPr>
    <w:rPr>
      <w:rFonts w:cs="Arial Narrow"/>
      <w:b/>
      <w:szCs w:val="24"/>
    </w:rPr>
  </w:style>
  <w:style w:type="character" w:customStyle="1" w:styleId="apple-converted-space">
    <w:name w:val="apple-converted-space"/>
    <w:basedOn w:val="Predvolenpsmoodseku"/>
    <w:rsid w:val="0063080C"/>
  </w:style>
  <w:style w:type="character" w:customStyle="1" w:styleId="Nadpis1Char1">
    <w:name w:val="Nadpis 1 Char1"/>
    <w:aliases w:val="Char Char1"/>
    <w:basedOn w:val="Predvolenpsmoodseku"/>
    <w:uiPriority w:val="99"/>
    <w:rsid w:val="00AF28CA"/>
    <w:rPr>
      <w:rFonts w:asciiTheme="majorHAnsi" w:eastAsiaTheme="majorEastAsia" w:hAnsiTheme="majorHAnsi" w:cstheme="majorBidi"/>
      <w:color w:val="1C74A9" w:themeColor="accent1" w:themeShade="BF"/>
      <w:sz w:val="32"/>
      <w:szCs w:val="32"/>
      <w:lang w:eastAsia="sk-SK"/>
    </w:rPr>
  </w:style>
  <w:style w:type="paragraph" w:customStyle="1" w:styleId="odsekzatabukou">
    <w:name w:val="odsek za tabuľkou"/>
    <w:basedOn w:val="Normlny"/>
    <w:link w:val="odsekzatabukouChar"/>
    <w:qFormat/>
    <w:rsid w:val="006328EE"/>
    <w:pPr>
      <w:spacing w:before="240" w:after="240"/>
      <w:jc w:val="both"/>
    </w:pPr>
  </w:style>
  <w:style w:type="character" w:customStyle="1" w:styleId="odsekzatabukouChar">
    <w:name w:val="odsek za tabuľkou Char"/>
    <w:basedOn w:val="Predvolenpsmoodseku"/>
    <w:link w:val="odsekzatabukou"/>
    <w:rsid w:val="006328EE"/>
    <w:rPr>
      <w:rFonts w:ascii="Arial Narrow" w:hAnsi="Arial Narrow" w:cs="Book Antiqua"/>
    </w:rPr>
  </w:style>
  <w:style w:type="paragraph" w:customStyle="1" w:styleId="Odsek">
    <w:name w:val="Odsek"/>
    <w:basedOn w:val="Normlny"/>
    <w:link w:val="OdsekChar"/>
    <w:qFormat/>
    <w:rsid w:val="006328EE"/>
    <w:pPr>
      <w:spacing w:after="240"/>
      <w:jc w:val="both"/>
    </w:pPr>
  </w:style>
  <w:style w:type="character" w:customStyle="1" w:styleId="OdsekChar">
    <w:name w:val="Odsek Char"/>
    <w:basedOn w:val="Predvolenpsmoodseku"/>
    <w:link w:val="Odsek"/>
    <w:rsid w:val="006328EE"/>
    <w:rPr>
      <w:rFonts w:ascii="Arial Narrow" w:hAnsi="Arial Narrow" w:cs="Book Antiqua"/>
    </w:rPr>
  </w:style>
  <w:style w:type="paragraph" w:customStyle="1" w:styleId="poznmka">
    <w:name w:val="poznámka"/>
    <w:basedOn w:val="Normlny"/>
    <w:link w:val="poznmkaChar"/>
    <w:qFormat/>
    <w:rsid w:val="006328EE"/>
    <w:pPr>
      <w:spacing w:before="40"/>
      <w:jc w:val="right"/>
    </w:pPr>
    <w:rPr>
      <w:rFonts w:cs="Arial Narrow"/>
      <w:i/>
      <w:iCs/>
      <w:sz w:val="16"/>
      <w:szCs w:val="16"/>
    </w:rPr>
  </w:style>
  <w:style w:type="character" w:customStyle="1" w:styleId="poznmkaChar">
    <w:name w:val="poznámka Char"/>
    <w:basedOn w:val="Predvolenpsmoodseku"/>
    <w:link w:val="poznmka"/>
    <w:rsid w:val="006328EE"/>
    <w:rPr>
      <w:rFonts w:ascii="Arial Narrow" w:hAnsi="Arial Narrow" w:cs="Arial Narrow"/>
      <w:i/>
      <w:iCs/>
      <w:sz w:val="16"/>
      <w:szCs w:val="16"/>
    </w:rPr>
  </w:style>
  <w:style w:type="paragraph" w:customStyle="1" w:styleId="Tabuka">
    <w:name w:val="Tabuľka"/>
    <w:basedOn w:val="Normlny"/>
    <w:qFormat/>
    <w:rsid w:val="0068465B"/>
    <w:pPr>
      <w:pBdr>
        <w:top w:val="nil"/>
        <w:left w:val="nil"/>
        <w:bottom w:val="nil"/>
        <w:right w:val="nil"/>
        <w:between w:val="nil"/>
        <w:bar w:val="nil"/>
      </w:pBdr>
      <w:spacing w:after="200"/>
    </w:pPr>
    <w:rPr>
      <w:rFonts w:eastAsia="Arial Narrow" w:cs="Arial Narrow"/>
      <w:b/>
      <w:bCs/>
      <w:color w:val="2C9ADC" w:themeColor="accent1"/>
      <w:sz w:val="20"/>
      <w:szCs w:val="20"/>
      <w:bdr w:val="nil"/>
    </w:rPr>
  </w:style>
  <w:style w:type="paragraph" w:customStyle="1" w:styleId="Box">
    <w:name w:val="Box"/>
    <w:qFormat/>
    <w:rsid w:val="00DF662D"/>
    <w:pPr>
      <w:spacing w:before="120" w:after="240"/>
    </w:pPr>
    <w:rPr>
      <w:rFonts w:ascii="Arial Narrow" w:eastAsiaTheme="majorEastAsia" w:hAnsi="Arial Narrow" w:cstheme="majorBidi"/>
      <w:b/>
      <w:bCs/>
      <w:sz w:val="20"/>
      <w:szCs w:val="36"/>
      <w:lang w:eastAsia="en-US"/>
    </w:rPr>
  </w:style>
  <w:style w:type="paragraph" w:customStyle="1" w:styleId="Graf">
    <w:name w:val="Graf"/>
    <w:qFormat/>
    <w:rsid w:val="00DF662D"/>
    <w:pPr>
      <w:spacing w:after="200" w:line="276" w:lineRule="auto"/>
    </w:pPr>
    <w:rPr>
      <w:rFonts w:ascii="Arial Narrow" w:eastAsia="Arial Narrow" w:hAnsi="Arial Narrow" w:cs="Arial Narrow"/>
      <w:b/>
      <w:bCs/>
      <w:color w:val="2C9ADC" w:themeColor="accent1"/>
      <w:sz w:val="20"/>
      <w:szCs w:val="36"/>
      <w:lang w:eastAsia="en-US"/>
    </w:rPr>
  </w:style>
  <w:style w:type="paragraph" w:styleId="Zoznamobrzkov">
    <w:name w:val="table of figures"/>
    <w:basedOn w:val="Normlny"/>
    <w:next w:val="Normlny"/>
    <w:uiPriority w:val="99"/>
    <w:unhideWhenUsed/>
    <w:rsid w:val="00D26CC2"/>
  </w:style>
  <w:style w:type="table" w:customStyle="1" w:styleId="UHPGRAF">
    <w:name w:val="UHP_GRAF"/>
    <w:basedOn w:val="Normlnatabuka"/>
    <w:uiPriority w:val="99"/>
    <w:rsid w:val="00255686"/>
    <w:pPr>
      <w:spacing w:before="160"/>
      <w:contextualSpacing/>
      <w:jc w:val="both"/>
    </w:pPr>
    <w:rPr>
      <w:rFonts w:ascii="Arial Narrow" w:eastAsiaTheme="minorHAnsi" w:hAnsi="Arial Narrow" w:cstheme="minorBidi"/>
      <w:sz w:val="20"/>
      <w:szCs w:val="20"/>
    </w:rPr>
    <w:tblPr>
      <w:tblBorders>
        <w:bottom w:val="single" w:sz="4" w:space="0" w:color="auto"/>
      </w:tblBorders>
    </w:tblPr>
    <w:tcPr>
      <w:vAlign w:val="center"/>
    </w:tcPr>
    <w:tblStylePr w:type="firstRow">
      <w:pPr>
        <w:jc w:val="left"/>
      </w:pPr>
      <w:rPr>
        <w:rFonts w:ascii="Arial Narrow" w:hAnsi="Arial Narrow" w:hint="default"/>
        <w:b/>
        <w:i w:val="0"/>
        <w:iCs/>
        <w:sz w:val="20"/>
        <w:szCs w:val="20"/>
      </w:rPr>
      <w:tblPr/>
      <w:tcPr>
        <w:tcBorders>
          <w:top w:val="nil"/>
          <w:left w:val="nil"/>
          <w:bottom w:val="single" w:sz="4" w:space="0" w:color="auto"/>
          <w:right w:val="nil"/>
          <w:insideH w:val="nil"/>
          <w:insideV w:val="nil"/>
          <w:tl2br w:val="nil"/>
          <w:tr2bl w:val="nil"/>
        </w:tcBorders>
        <w:vAlign w:val="center"/>
      </w:tcPr>
    </w:tblStylePr>
    <w:tblStylePr w:type="lastRow">
      <w:pPr>
        <w:jc w:val="right"/>
      </w:pPr>
      <w:rPr>
        <w:b w:val="0"/>
        <w:i/>
        <w:color w:val="auto"/>
        <w:sz w:val="16"/>
        <w:szCs w:val="16"/>
      </w:rPr>
      <w:tblPr/>
      <w:tcPr>
        <w:tcBorders>
          <w:top w:val="single" w:sz="4" w:space="0" w:color="auto"/>
          <w:left w:val="nil"/>
          <w:bottom w:val="nil"/>
          <w:right w:val="nil"/>
          <w:insideH w:val="nil"/>
          <w:insideV w:val="nil"/>
          <w:tl2br w:val="nil"/>
          <w:tr2bl w:val="nil"/>
        </w:tcBorders>
      </w:tcPr>
    </w:tblStylePr>
    <w:tblStylePr w:type="firstCol">
      <w:rPr>
        <w:b/>
      </w:rPr>
      <w:tblPr/>
      <w:tcPr>
        <w:tcBorders>
          <w:top w:val="nil"/>
          <w:left w:val="nil"/>
          <w:bottom w:val="single" w:sz="4" w:space="0" w:color="auto"/>
          <w:right w:val="nil"/>
          <w:insideH w:val="nil"/>
          <w:insideV w:val="nil"/>
          <w:tl2br w:val="nil"/>
          <w:tr2bl w:val="nil"/>
        </w:tcBorders>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2">
    <w:name w:val="Char2"/>
    <w:basedOn w:val="Normlny"/>
    <w:link w:val="Odkaznapoznmkupodiarou"/>
    <w:uiPriority w:val="99"/>
    <w:rsid w:val="00204588"/>
    <w:pPr>
      <w:spacing w:line="240" w:lineRule="exact"/>
    </w:pPr>
    <w:rPr>
      <w:rFonts w:cs="Arial Narrow"/>
      <w:vertAlign w:val="superscrip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607">
      <w:bodyDiv w:val="1"/>
      <w:marLeft w:val="0"/>
      <w:marRight w:val="0"/>
      <w:marTop w:val="0"/>
      <w:marBottom w:val="0"/>
      <w:divBdr>
        <w:top w:val="none" w:sz="0" w:space="0" w:color="auto"/>
        <w:left w:val="none" w:sz="0" w:space="0" w:color="auto"/>
        <w:bottom w:val="none" w:sz="0" w:space="0" w:color="auto"/>
        <w:right w:val="none" w:sz="0" w:space="0" w:color="auto"/>
      </w:divBdr>
    </w:div>
    <w:div w:id="10956928">
      <w:bodyDiv w:val="1"/>
      <w:marLeft w:val="0"/>
      <w:marRight w:val="0"/>
      <w:marTop w:val="0"/>
      <w:marBottom w:val="0"/>
      <w:divBdr>
        <w:top w:val="none" w:sz="0" w:space="0" w:color="auto"/>
        <w:left w:val="none" w:sz="0" w:space="0" w:color="auto"/>
        <w:bottom w:val="none" w:sz="0" w:space="0" w:color="auto"/>
        <w:right w:val="none" w:sz="0" w:space="0" w:color="auto"/>
      </w:divBdr>
    </w:div>
    <w:div w:id="15664670">
      <w:bodyDiv w:val="1"/>
      <w:marLeft w:val="0"/>
      <w:marRight w:val="0"/>
      <w:marTop w:val="0"/>
      <w:marBottom w:val="0"/>
      <w:divBdr>
        <w:top w:val="none" w:sz="0" w:space="0" w:color="auto"/>
        <w:left w:val="none" w:sz="0" w:space="0" w:color="auto"/>
        <w:bottom w:val="none" w:sz="0" w:space="0" w:color="auto"/>
        <w:right w:val="none" w:sz="0" w:space="0" w:color="auto"/>
      </w:divBdr>
    </w:div>
    <w:div w:id="16465984">
      <w:bodyDiv w:val="1"/>
      <w:marLeft w:val="0"/>
      <w:marRight w:val="0"/>
      <w:marTop w:val="0"/>
      <w:marBottom w:val="0"/>
      <w:divBdr>
        <w:top w:val="none" w:sz="0" w:space="0" w:color="auto"/>
        <w:left w:val="none" w:sz="0" w:space="0" w:color="auto"/>
        <w:bottom w:val="none" w:sz="0" w:space="0" w:color="auto"/>
        <w:right w:val="none" w:sz="0" w:space="0" w:color="auto"/>
      </w:divBdr>
    </w:div>
    <w:div w:id="16975182">
      <w:bodyDiv w:val="1"/>
      <w:marLeft w:val="0"/>
      <w:marRight w:val="0"/>
      <w:marTop w:val="0"/>
      <w:marBottom w:val="0"/>
      <w:divBdr>
        <w:top w:val="none" w:sz="0" w:space="0" w:color="auto"/>
        <w:left w:val="none" w:sz="0" w:space="0" w:color="auto"/>
        <w:bottom w:val="none" w:sz="0" w:space="0" w:color="auto"/>
        <w:right w:val="none" w:sz="0" w:space="0" w:color="auto"/>
      </w:divBdr>
    </w:div>
    <w:div w:id="18313160">
      <w:bodyDiv w:val="1"/>
      <w:marLeft w:val="0"/>
      <w:marRight w:val="0"/>
      <w:marTop w:val="0"/>
      <w:marBottom w:val="0"/>
      <w:divBdr>
        <w:top w:val="none" w:sz="0" w:space="0" w:color="auto"/>
        <w:left w:val="none" w:sz="0" w:space="0" w:color="auto"/>
        <w:bottom w:val="none" w:sz="0" w:space="0" w:color="auto"/>
        <w:right w:val="none" w:sz="0" w:space="0" w:color="auto"/>
      </w:divBdr>
    </w:div>
    <w:div w:id="20204706">
      <w:bodyDiv w:val="1"/>
      <w:marLeft w:val="0"/>
      <w:marRight w:val="0"/>
      <w:marTop w:val="0"/>
      <w:marBottom w:val="0"/>
      <w:divBdr>
        <w:top w:val="none" w:sz="0" w:space="0" w:color="auto"/>
        <w:left w:val="none" w:sz="0" w:space="0" w:color="auto"/>
        <w:bottom w:val="none" w:sz="0" w:space="0" w:color="auto"/>
        <w:right w:val="none" w:sz="0" w:space="0" w:color="auto"/>
      </w:divBdr>
    </w:div>
    <w:div w:id="21515500">
      <w:bodyDiv w:val="1"/>
      <w:marLeft w:val="0"/>
      <w:marRight w:val="0"/>
      <w:marTop w:val="0"/>
      <w:marBottom w:val="0"/>
      <w:divBdr>
        <w:top w:val="none" w:sz="0" w:space="0" w:color="auto"/>
        <w:left w:val="none" w:sz="0" w:space="0" w:color="auto"/>
        <w:bottom w:val="none" w:sz="0" w:space="0" w:color="auto"/>
        <w:right w:val="none" w:sz="0" w:space="0" w:color="auto"/>
      </w:divBdr>
    </w:div>
    <w:div w:id="22630204">
      <w:bodyDiv w:val="1"/>
      <w:marLeft w:val="0"/>
      <w:marRight w:val="0"/>
      <w:marTop w:val="0"/>
      <w:marBottom w:val="0"/>
      <w:divBdr>
        <w:top w:val="none" w:sz="0" w:space="0" w:color="auto"/>
        <w:left w:val="none" w:sz="0" w:space="0" w:color="auto"/>
        <w:bottom w:val="none" w:sz="0" w:space="0" w:color="auto"/>
        <w:right w:val="none" w:sz="0" w:space="0" w:color="auto"/>
      </w:divBdr>
    </w:div>
    <w:div w:id="22942288">
      <w:bodyDiv w:val="1"/>
      <w:marLeft w:val="0"/>
      <w:marRight w:val="0"/>
      <w:marTop w:val="0"/>
      <w:marBottom w:val="0"/>
      <w:divBdr>
        <w:top w:val="none" w:sz="0" w:space="0" w:color="auto"/>
        <w:left w:val="none" w:sz="0" w:space="0" w:color="auto"/>
        <w:bottom w:val="none" w:sz="0" w:space="0" w:color="auto"/>
        <w:right w:val="none" w:sz="0" w:space="0" w:color="auto"/>
      </w:divBdr>
    </w:div>
    <w:div w:id="33502845">
      <w:bodyDiv w:val="1"/>
      <w:marLeft w:val="0"/>
      <w:marRight w:val="0"/>
      <w:marTop w:val="0"/>
      <w:marBottom w:val="0"/>
      <w:divBdr>
        <w:top w:val="none" w:sz="0" w:space="0" w:color="auto"/>
        <w:left w:val="none" w:sz="0" w:space="0" w:color="auto"/>
        <w:bottom w:val="none" w:sz="0" w:space="0" w:color="auto"/>
        <w:right w:val="none" w:sz="0" w:space="0" w:color="auto"/>
      </w:divBdr>
    </w:div>
    <w:div w:id="40401397">
      <w:bodyDiv w:val="1"/>
      <w:marLeft w:val="0"/>
      <w:marRight w:val="0"/>
      <w:marTop w:val="0"/>
      <w:marBottom w:val="0"/>
      <w:divBdr>
        <w:top w:val="none" w:sz="0" w:space="0" w:color="auto"/>
        <w:left w:val="none" w:sz="0" w:space="0" w:color="auto"/>
        <w:bottom w:val="none" w:sz="0" w:space="0" w:color="auto"/>
        <w:right w:val="none" w:sz="0" w:space="0" w:color="auto"/>
      </w:divBdr>
    </w:div>
    <w:div w:id="48958927">
      <w:bodyDiv w:val="1"/>
      <w:marLeft w:val="0"/>
      <w:marRight w:val="0"/>
      <w:marTop w:val="0"/>
      <w:marBottom w:val="0"/>
      <w:divBdr>
        <w:top w:val="none" w:sz="0" w:space="0" w:color="auto"/>
        <w:left w:val="none" w:sz="0" w:space="0" w:color="auto"/>
        <w:bottom w:val="none" w:sz="0" w:space="0" w:color="auto"/>
        <w:right w:val="none" w:sz="0" w:space="0" w:color="auto"/>
      </w:divBdr>
    </w:div>
    <w:div w:id="51539918">
      <w:bodyDiv w:val="1"/>
      <w:marLeft w:val="0"/>
      <w:marRight w:val="0"/>
      <w:marTop w:val="0"/>
      <w:marBottom w:val="0"/>
      <w:divBdr>
        <w:top w:val="none" w:sz="0" w:space="0" w:color="auto"/>
        <w:left w:val="none" w:sz="0" w:space="0" w:color="auto"/>
        <w:bottom w:val="none" w:sz="0" w:space="0" w:color="auto"/>
        <w:right w:val="none" w:sz="0" w:space="0" w:color="auto"/>
      </w:divBdr>
    </w:div>
    <w:div w:id="55905360">
      <w:bodyDiv w:val="1"/>
      <w:marLeft w:val="0"/>
      <w:marRight w:val="0"/>
      <w:marTop w:val="0"/>
      <w:marBottom w:val="0"/>
      <w:divBdr>
        <w:top w:val="none" w:sz="0" w:space="0" w:color="auto"/>
        <w:left w:val="none" w:sz="0" w:space="0" w:color="auto"/>
        <w:bottom w:val="none" w:sz="0" w:space="0" w:color="auto"/>
        <w:right w:val="none" w:sz="0" w:space="0" w:color="auto"/>
      </w:divBdr>
    </w:div>
    <w:div w:id="60102444">
      <w:bodyDiv w:val="1"/>
      <w:marLeft w:val="0"/>
      <w:marRight w:val="0"/>
      <w:marTop w:val="0"/>
      <w:marBottom w:val="0"/>
      <w:divBdr>
        <w:top w:val="none" w:sz="0" w:space="0" w:color="auto"/>
        <w:left w:val="none" w:sz="0" w:space="0" w:color="auto"/>
        <w:bottom w:val="none" w:sz="0" w:space="0" w:color="auto"/>
        <w:right w:val="none" w:sz="0" w:space="0" w:color="auto"/>
      </w:divBdr>
    </w:div>
    <w:div w:id="72430727">
      <w:bodyDiv w:val="1"/>
      <w:marLeft w:val="0"/>
      <w:marRight w:val="0"/>
      <w:marTop w:val="0"/>
      <w:marBottom w:val="0"/>
      <w:divBdr>
        <w:top w:val="none" w:sz="0" w:space="0" w:color="auto"/>
        <w:left w:val="none" w:sz="0" w:space="0" w:color="auto"/>
        <w:bottom w:val="none" w:sz="0" w:space="0" w:color="auto"/>
        <w:right w:val="none" w:sz="0" w:space="0" w:color="auto"/>
      </w:divBdr>
    </w:div>
    <w:div w:id="81222929">
      <w:bodyDiv w:val="1"/>
      <w:marLeft w:val="0"/>
      <w:marRight w:val="0"/>
      <w:marTop w:val="0"/>
      <w:marBottom w:val="0"/>
      <w:divBdr>
        <w:top w:val="none" w:sz="0" w:space="0" w:color="auto"/>
        <w:left w:val="none" w:sz="0" w:space="0" w:color="auto"/>
        <w:bottom w:val="none" w:sz="0" w:space="0" w:color="auto"/>
        <w:right w:val="none" w:sz="0" w:space="0" w:color="auto"/>
      </w:divBdr>
    </w:div>
    <w:div w:id="88280920">
      <w:bodyDiv w:val="1"/>
      <w:marLeft w:val="0"/>
      <w:marRight w:val="0"/>
      <w:marTop w:val="0"/>
      <w:marBottom w:val="0"/>
      <w:divBdr>
        <w:top w:val="none" w:sz="0" w:space="0" w:color="auto"/>
        <w:left w:val="none" w:sz="0" w:space="0" w:color="auto"/>
        <w:bottom w:val="none" w:sz="0" w:space="0" w:color="auto"/>
        <w:right w:val="none" w:sz="0" w:space="0" w:color="auto"/>
      </w:divBdr>
    </w:div>
    <w:div w:id="89474278">
      <w:bodyDiv w:val="1"/>
      <w:marLeft w:val="0"/>
      <w:marRight w:val="0"/>
      <w:marTop w:val="0"/>
      <w:marBottom w:val="0"/>
      <w:divBdr>
        <w:top w:val="none" w:sz="0" w:space="0" w:color="auto"/>
        <w:left w:val="none" w:sz="0" w:space="0" w:color="auto"/>
        <w:bottom w:val="none" w:sz="0" w:space="0" w:color="auto"/>
        <w:right w:val="none" w:sz="0" w:space="0" w:color="auto"/>
      </w:divBdr>
    </w:div>
    <w:div w:id="92484051">
      <w:bodyDiv w:val="1"/>
      <w:marLeft w:val="0"/>
      <w:marRight w:val="0"/>
      <w:marTop w:val="0"/>
      <w:marBottom w:val="0"/>
      <w:divBdr>
        <w:top w:val="none" w:sz="0" w:space="0" w:color="auto"/>
        <w:left w:val="none" w:sz="0" w:space="0" w:color="auto"/>
        <w:bottom w:val="none" w:sz="0" w:space="0" w:color="auto"/>
        <w:right w:val="none" w:sz="0" w:space="0" w:color="auto"/>
      </w:divBdr>
    </w:div>
    <w:div w:id="93936911">
      <w:bodyDiv w:val="1"/>
      <w:marLeft w:val="0"/>
      <w:marRight w:val="0"/>
      <w:marTop w:val="0"/>
      <w:marBottom w:val="0"/>
      <w:divBdr>
        <w:top w:val="none" w:sz="0" w:space="0" w:color="auto"/>
        <w:left w:val="none" w:sz="0" w:space="0" w:color="auto"/>
        <w:bottom w:val="none" w:sz="0" w:space="0" w:color="auto"/>
        <w:right w:val="none" w:sz="0" w:space="0" w:color="auto"/>
      </w:divBdr>
    </w:div>
    <w:div w:id="97801972">
      <w:bodyDiv w:val="1"/>
      <w:marLeft w:val="0"/>
      <w:marRight w:val="0"/>
      <w:marTop w:val="0"/>
      <w:marBottom w:val="0"/>
      <w:divBdr>
        <w:top w:val="none" w:sz="0" w:space="0" w:color="auto"/>
        <w:left w:val="none" w:sz="0" w:space="0" w:color="auto"/>
        <w:bottom w:val="none" w:sz="0" w:space="0" w:color="auto"/>
        <w:right w:val="none" w:sz="0" w:space="0" w:color="auto"/>
      </w:divBdr>
    </w:div>
    <w:div w:id="113180736">
      <w:bodyDiv w:val="1"/>
      <w:marLeft w:val="0"/>
      <w:marRight w:val="0"/>
      <w:marTop w:val="0"/>
      <w:marBottom w:val="0"/>
      <w:divBdr>
        <w:top w:val="none" w:sz="0" w:space="0" w:color="auto"/>
        <w:left w:val="none" w:sz="0" w:space="0" w:color="auto"/>
        <w:bottom w:val="none" w:sz="0" w:space="0" w:color="auto"/>
        <w:right w:val="none" w:sz="0" w:space="0" w:color="auto"/>
      </w:divBdr>
    </w:div>
    <w:div w:id="114059592">
      <w:bodyDiv w:val="1"/>
      <w:marLeft w:val="0"/>
      <w:marRight w:val="0"/>
      <w:marTop w:val="0"/>
      <w:marBottom w:val="0"/>
      <w:divBdr>
        <w:top w:val="none" w:sz="0" w:space="0" w:color="auto"/>
        <w:left w:val="none" w:sz="0" w:space="0" w:color="auto"/>
        <w:bottom w:val="none" w:sz="0" w:space="0" w:color="auto"/>
        <w:right w:val="none" w:sz="0" w:space="0" w:color="auto"/>
      </w:divBdr>
    </w:div>
    <w:div w:id="116490131">
      <w:bodyDiv w:val="1"/>
      <w:marLeft w:val="0"/>
      <w:marRight w:val="0"/>
      <w:marTop w:val="0"/>
      <w:marBottom w:val="0"/>
      <w:divBdr>
        <w:top w:val="none" w:sz="0" w:space="0" w:color="auto"/>
        <w:left w:val="none" w:sz="0" w:space="0" w:color="auto"/>
        <w:bottom w:val="none" w:sz="0" w:space="0" w:color="auto"/>
        <w:right w:val="none" w:sz="0" w:space="0" w:color="auto"/>
      </w:divBdr>
    </w:div>
    <w:div w:id="128014206">
      <w:bodyDiv w:val="1"/>
      <w:marLeft w:val="0"/>
      <w:marRight w:val="0"/>
      <w:marTop w:val="0"/>
      <w:marBottom w:val="0"/>
      <w:divBdr>
        <w:top w:val="none" w:sz="0" w:space="0" w:color="auto"/>
        <w:left w:val="none" w:sz="0" w:space="0" w:color="auto"/>
        <w:bottom w:val="none" w:sz="0" w:space="0" w:color="auto"/>
        <w:right w:val="none" w:sz="0" w:space="0" w:color="auto"/>
      </w:divBdr>
    </w:div>
    <w:div w:id="128982333">
      <w:bodyDiv w:val="1"/>
      <w:marLeft w:val="0"/>
      <w:marRight w:val="0"/>
      <w:marTop w:val="0"/>
      <w:marBottom w:val="0"/>
      <w:divBdr>
        <w:top w:val="none" w:sz="0" w:space="0" w:color="auto"/>
        <w:left w:val="none" w:sz="0" w:space="0" w:color="auto"/>
        <w:bottom w:val="none" w:sz="0" w:space="0" w:color="auto"/>
        <w:right w:val="none" w:sz="0" w:space="0" w:color="auto"/>
      </w:divBdr>
    </w:div>
    <w:div w:id="132253830">
      <w:bodyDiv w:val="1"/>
      <w:marLeft w:val="0"/>
      <w:marRight w:val="0"/>
      <w:marTop w:val="0"/>
      <w:marBottom w:val="0"/>
      <w:divBdr>
        <w:top w:val="none" w:sz="0" w:space="0" w:color="auto"/>
        <w:left w:val="none" w:sz="0" w:space="0" w:color="auto"/>
        <w:bottom w:val="none" w:sz="0" w:space="0" w:color="auto"/>
        <w:right w:val="none" w:sz="0" w:space="0" w:color="auto"/>
      </w:divBdr>
    </w:div>
    <w:div w:id="139005014">
      <w:bodyDiv w:val="1"/>
      <w:marLeft w:val="0"/>
      <w:marRight w:val="0"/>
      <w:marTop w:val="0"/>
      <w:marBottom w:val="0"/>
      <w:divBdr>
        <w:top w:val="none" w:sz="0" w:space="0" w:color="auto"/>
        <w:left w:val="none" w:sz="0" w:space="0" w:color="auto"/>
        <w:bottom w:val="none" w:sz="0" w:space="0" w:color="auto"/>
        <w:right w:val="none" w:sz="0" w:space="0" w:color="auto"/>
      </w:divBdr>
    </w:div>
    <w:div w:id="147092668">
      <w:bodyDiv w:val="1"/>
      <w:marLeft w:val="0"/>
      <w:marRight w:val="0"/>
      <w:marTop w:val="0"/>
      <w:marBottom w:val="0"/>
      <w:divBdr>
        <w:top w:val="none" w:sz="0" w:space="0" w:color="auto"/>
        <w:left w:val="none" w:sz="0" w:space="0" w:color="auto"/>
        <w:bottom w:val="none" w:sz="0" w:space="0" w:color="auto"/>
        <w:right w:val="none" w:sz="0" w:space="0" w:color="auto"/>
      </w:divBdr>
    </w:div>
    <w:div w:id="150414977">
      <w:bodyDiv w:val="1"/>
      <w:marLeft w:val="0"/>
      <w:marRight w:val="0"/>
      <w:marTop w:val="0"/>
      <w:marBottom w:val="0"/>
      <w:divBdr>
        <w:top w:val="none" w:sz="0" w:space="0" w:color="auto"/>
        <w:left w:val="none" w:sz="0" w:space="0" w:color="auto"/>
        <w:bottom w:val="none" w:sz="0" w:space="0" w:color="auto"/>
        <w:right w:val="none" w:sz="0" w:space="0" w:color="auto"/>
      </w:divBdr>
    </w:div>
    <w:div w:id="154301417">
      <w:bodyDiv w:val="1"/>
      <w:marLeft w:val="0"/>
      <w:marRight w:val="0"/>
      <w:marTop w:val="0"/>
      <w:marBottom w:val="0"/>
      <w:divBdr>
        <w:top w:val="none" w:sz="0" w:space="0" w:color="auto"/>
        <w:left w:val="none" w:sz="0" w:space="0" w:color="auto"/>
        <w:bottom w:val="none" w:sz="0" w:space="0" w:color="auto"/>
        <w:right w:val="none" w:sz="0" w:space="0" w:color="auto"/>
      </w:divBdr>
    </w:div>
    <w:div w:id="157111221">
      <w:bodyDiv w:val="1"/>
      <w:marLeft w:val="0"/>
      <w:marRight w:val="0"/>
      <w:marTop w:val="0"/>
      <w:marBottom w:val="0"/>
      <w:divBdr>
        <w:top w:val="none" w:sz="0" w:space="0" w:color="auto"/>
        <w:left w:val="none" w:sz="0" w:space="0" w:color="auto"/>
        <w:bottom w:val="none" w:sz="0" w:space="0" w:color="auto"/>
        <w:right w:val="none" w:sz="0" w:space="0" w:color="auto"/>
      </w:divBdr>
    </w:div>
    <w:div w:id="157841636">
      <w:bodyDiv w:val="1"/>
      <w:marLeft w:val="0"/>
      <w:marRight w:val="0"/>
      <w:marTop w:val="0"/>
      <w:marBottom w:val="0"/>
      <w:divBdr>
        <w:top w:val="none" w:sz="0" w:space="0" w:color="auto"/>
        <w:left w:val="none" w:sz="0" w:space="0" w:color="auto"/>
        <w:bottom w:val="none" w:sz="0" w:space="0" w:color="auto"/>
        <w:right w:val="none" w:sz="0" w:space="0" w:color="auto"/>
      </w:divBdr>
    </w:div>
    <w:div w:id="161434754">
      <w:bodyDiv w:val="1"/>
      <w:marLeft w:val="0"/>
      <w:marRight w:val="0"/>
      <w:marTop w:val="0"/>
      <w:marBottom w:val="0"/>
      <w:divBdr>
        <w:top w:val="none" w:sz="0" w:space="0" w:color="auto"/>
        <w:left w:val="none" w:sz="0" w:space="0" w:color="auto"/>
        <w:bottom w:val="none" w:sz="0" w:space="0" w:color="auto"/>
        <w:right w:val="none" w:sz="0" w:space="0" w:color="auto"/>
      </w:divBdr>
    </w:div>
    <w:div w:id="163515948">
      <w:bodyDiv w:val="1"/>
      <w:marLeft w:val="0"/>
      <w:marRight w:val="0"/>
      <w:marTop w:val="0"/>
      <w:marBottom w:val="0"/>
      <w:divBdr>
        <w:top w:val="none" w:sz="0" w:space="0" w:color="auto"/>
        <w:left w:val="none" w:sz="0" w:space="0" w:color="auto"/>
        <w:bottom w:val="none" w:sz="0" w:space="0" w:color="auto"/>
        <w:right w:val="none" w:sz="0" w:space="0" w:color="auto"/>
      </w:divBdr>
    </w:div>
    <w:div w:id="163596486">
      <w:bodyDiv w:val="1"/>
      <w:marLeft w:val="0"/>
      <w:marRight w:val="0"/>
      <w:marTop w:val="0"/>
      <w:marBottom w:val="0"/>
      <w:divBdr>
        <w:top w:val="none" w:sz="0" w:space="0" w:color="auto"/>
        <w:left w:val="none" w:sz="0" w:space="0" w:color="auto"/>
        <w:bottom w:val="none" w:sz="0" w:space="0" w:color="auto"/>
        <w:right w:val="none" w:sz="0" w:space="0" w:color="auto"/>
      </w:divBdr>
    </w:div>
    <w:div w:id="164441627">
      <w:bodyDiv w:val="1"/>
      <w:marLeft w:val="0"/>
      <w:marRight w:val="0"/>
      <w:marTop w:val="0"/>
      <w:marBottom w:val="0"/>
      <w:divBdr>
        <w:top w:val="none" w:sz="0" w:space="0" w:color="auto"/>
        <w:left w:val="none" w:sz="0" w:space="0" w:color="auto"/>
        <w:bottom w:val="none" w:sz="0" w:space="0" w:color="auto"/>
        <w:right w:val="none" w:sz="0" w:space="0" w:color="auto"/>
      </w:divBdr>
    </w:div>
    <w:div w:id="165169640">
      <w:bodyDiv w:val="1"/>
      <w:marLeft w:val="0"/>
      <w:marRight w:val="0"/>
      <w:marTop w:val="0"/>
      <w:marBottom w:val="0"/>
      <w:divBdr>
        <w:top w:val="none" w:sz="0" w:space="0" w:color="auto"/>
        <w:left w:val="none" w:sz="0" w:space="0" w:color="auto"/>
        <w:bottom w:val="none" w:sz="0" w:space="0" w:color="auto"/>
        <w:right w:val="none" w:sz="0" w:space="0" w:color="auto"/>
      </w:divBdr>
    </w:div>
    <w:div w:id="165171706">
      <w:bodyDiv w:val="1"/>
      <w:marLeft w:val="0"/>
      <w:marRight w:val="0"/>
      <w:marTop w:val="0"/>
      <w:marBottom w:val="0"/>
      <w:divBdr>
        <w:top w:val="none" w:sz="0" w:space="0" w:color="auto"/>
        <w:left w:val="none" w:sz="0" w:space="0" w:color="auto"/>
        <w:bottom w:val="none" w:sz="0" w:space="0" w:color="auto"/>
        <w:right w:val="none" w:sz="0" w:space="0" w:color="auto"/>
      </w:divBdr>
    </w:div>
    <w:div w:id="172380167">
      <w:bodyDiv w:val="1"/>
      <w:marLeft w:val="0"/>
      <w:marRight w:val="0"/>
      <w:marTop w:val="0"/>
      <w:marBottom w:val="0"/>
      <w:divBdr>
        <w:top w:val="none" w:sz="0" w:space="0" w:color="auto"/>
        <w:left w:val="none" w:sz="0" w:space="0" w:color="auto"/>
        <w:bottom w:val="none" w:sz="0" w:space="0" w:color="auto"/>
        <w:right w:val="none" w:sz="0" w:space="0" w:color="auto"/>
      </w:divBdr>
    </w:div>
    <w:div w:id="176040823">
      <w:bodyDiv w:val="1"/>
      <w:marLeft w:val="0"/>
      <w:marRight w:val="0"/>
      <w:marTop w:val="0"/>
      <w:marBottom w:val="0"/>
      <w:divBdr>
        <w:top w:val="none" w:sz="0" w:space="0" w:color="auto"/>
        <w:left w:val="none" w:sz="0" w:space="0" w:color="auto"/>
        <w:bottom w:val="none" w:sz="0" w:space="0" w:color="auto"/>
        <w:right w:val="none" w:sz="0" w:space="0" w:color="auto"/>
      </w:divBdr>
    </w:div>
    <w:div w:id="180824052">
      <w:bodyDiv w:val="1"/>
      <w:marLeft w:val="0"/>
      <w:marRight w:val="0"/>
      <w:marTop w:val="0"/>
      <w:marBottom w:val="0"/>
      <w:divBdr>
        <w:top w:val="none" w:sz="0" w:space="0" w:color="auto"/>
        <w:left w:val="none" w:sz="0" w:space="0" w:color="auto"/>
        <w:bottom w:val="none" w:sz="0" w:space="0" w:color="auto"/>
        <w:right w:val="none" w:sz="0" w:space="0" w:color="auto"/>
      </w:divBdr>
    </w:div>
    <w:div w:id="181747696">
      <w:bodyDiv w:val="1"/>
      <w:marLeft w:val="0"/>
      <w:marRight w:val="0"/>
      <w:marTop w:val="0"/>
      <w:marBottom w:val="0"/>
      <w:divBdr>
        <w:top w:val="none" w:sz="0" w:space="0" w:color="auto"/>
        <w:left w:val="none" w:sz="0" w:space="0" w:color="auto"/>
        <w:bottom w:val="none" w:sz="0" w:space="0" w:color="auto"/>
        <w:right w:val="none" w:sz="0" w:space="0" w:color="auto"/>
      </w:divBdr>
    </w:div>
    <w:div w:id="189999180">
      <w:bodyDiv w:val="1"/>
      <w:marLeft w:val="0"/>
      <w:marRight w:val="0"/>
      <w:marTop w:val="0"/>
      <w:marBottom w:val="0"/>
      <w:divBdr>
        <w:top w:val="none" w:sz="0" w:space="0" w:color="auto"/>
        <w:left w:val="none" w:sz="0" w:space="0" w:color="auto"/>
        <w:bottom w:val="none" w:sz="0" w:space="0" w:color="auto"/>
        <w:right w:val="none" w:sz="0" w:space="0" w:color="auto"/>
      </w:divBdr>
    </w:div>
    <w:div w:id="190187811">
      <w:bodyDiv w:val="1"/>
      <w:marLeft w:val="0"/>
      <w:marRight w:val="0"/>
      <w:marTop w:val="0"/>
      <w:marBottom w:val="0"/>
      <w:divBdr>
        <w:top w:val="none" w:sz="0" w:space="0" w:color="auto"/>
        <w:left w:val="none" w:sz="0" w:space="0" w:color="auto"/>
        <w:bottom w:val="none" w:sz="0" w:space="0" w:color="auto"/>
        <w:right w:val="none" w:sz="0" w:space="0" w:color="auto"/>
      </w:divBdr>
    </w:div>
    <w:div w:id="192110579">
      <w:bodyDiv w:val="1"/>
      <w:marLeft w:val="0"/>
      <w:marRight w:val="0"/>
      <w:marTop w:val="0"/>
      <w:marBottom w:val="0"/>
      <w:divBdr>
        <w:top w:val="none" w:sz="0" w:space="0" w:color="auto"/>
        <w:left w:val="none" w:sz="0" w:space="0" w:color="auto"/>
        <w:bottom w:val="none" w:sz="0" w:space="0" w:color="auto"/>
        <w:right w:val="none" w:sz="0" w:space="0" w:color="auto"/>
      </w:divBdr>
    </w:div>
    <w:div w:id="194004495">
      <w:bodyDiv w:val="1"/>
      <w:marLeft w:val="0"/>
      <w:marRight w:val="0"/>
      <w:marTop w:val="0"/>
      <w:marBottom w:val="0"/>
      <w:divBdr>
        <w:top w:val="none" w:sz="0" w:space="0" w:color="auto"/>
        <w:left w:val="none" w:sz="0" w:space="0" w:color="auto"/>
        <w:bottom w:val="none" w:sz="0" w:space="0" w:color="auto"/>
        <w:right w:val="none" w:sz="0" w:space="0" w:color="auto"/>
      </w:divBdr>
    </w:div>
    <w:div w:id="206112529">
      <w:bodyDiv w:val="1"/>
      <w:marLeft w:val="0"/>
      <w:marRight w:val="0"/>
      <w:marTop w:val="0"/>
      <w:marBottom w:val="0"/>
      <w:divBdr>
        <w:top w:val="none" w:sz="0" w:space="0" w:color="auto"/>
        <w:left w:val="none" w:sz="0" w:space="0" w:color="auto"/>
        <w:bottom w:val="none" w:sz="0" w:space="0" w:color="auto"/>
        <w:right w:val="none" w:sz="0" w:space="0" w:color="auto"/>
      </w:divBdr>
    </w:div>
    <w:div w:id="229078720">
      <w:bodyDiv w:val="1"/>
      <w:marLeft w:val="0"/>
      <w:marRight w:val="0"/>
      <w:marTop w:val="0"/>
      <w:marBottom w:val="0"/>
      <w:divBdr>
        <w:top w:val="none" w:sz="0" w:space="0" w:color="auto"/>
        <w:left w:val="none" w:sz="0" w:space="0" w:color="auto"/>
        <w:bottom w:val="none" w:sz="0" w:space="0" w:color="auto"/>
        <w:right w:val="none" w:sz="0" w:space="0" w:color="auto"/>
      </w:divBdr>
    </w:div>
    <w:div w:id="233273456">
      <w:bodyDiv w:val="1"/>
      <w:marLeft w:val="0"/>
      <w:marRight w:val="0"/>
      <w:marTop w:val="0"/>
      <w:marBottom w:val="0"/>
      <w:divBdr>
        <w:top w:val="none" w:sz="0" w:space="0" w:color="auto"/>
        <w:left w:val="none" w:sz="0" w:space="0" w:color="auto"/>
        <w:bottom w:val="none" w:sz="0" w:space="0" w:color="auto"/>
        <w:right w:val="none" w:sz="0" w:space="0" w:color="auto"/>
      </w:divBdr>
    </w:div>
    <w:div w:id="233661787">
      <w:bodyDiv w:val="1"/>
      <w:marLeft w:val="0"/>
      <w:marRight w:val="0"/>
      <w:marTop w:val="0"/>
      <w:marBottom w:val="0"/>
      <w:divBdr>
        <w:top w:val="none" w:sz="0" w:space="0" w:color="auto"/>
        <w:left w:val="none" w:sz="0" w:space="0" w:color="auto"/>
        <w:bottom w:val="none" w:sz="0" w:space="0" w:color="auto"/>
        <w:right w:val="none" w:sz="0" w:space="0" w:color="auto"/>
      </w:divBdr>
    </w:div>
    <w:div w:id="234322020">
      <w:bodyDiv w:val="1"/>
      <w:marLeft w:val="0"/>
      <w:marRight w:val="0"/>
      <w:marTop w:val="0"/>
      <w:marBottom w:val="0"/>
      <w:divBdr>
        <w:top w:val="none" w:sz="0" w:space="0" w:color="auto"/>
        <w:left w:val="none" w:sz="0" w:space="0" w:color="auto"/>
        <w:bottom w:val="none" w:sz="0" w:space="0" w:color="auto"/>
        <w:right w:val="none" w:sz="0" w:space="0" w:color="auto"/>
      </w:divBdr>
    </w:div>
    <w:div w:id="237980878">
      <w:bodyDiv w:val="1"/>
      <w:marLeft w:val="0"/>
      <w:marRight w:val="0"/>
      <w:marTop w:val="0"/>
      <w:marBottom w:val="0"/>
      <w:divBdr>
        <w:top w:val="none" w:sz="0" w:space="0" w:color="auto"/>
        <w:left w:val="none" w:sz="0" w:space="0" w:color="auto"/>
        <w:bottom w:val="none" w:sz="0" w:space="0" w:color="auto"/>
        <w:right w:val="none" w:sz="0" w:space="0" w:color="auto"/>
      </w:divBdr>
      <w:divsChild>
        <w:div w:id="1924608905">
          <w:marLeft w:val="1987"/>
          <w:marRight w:val="0"/>
          <w:marTop w:val="240"/>
          <w:marBottom w:val="0"/>
          <w:divBdr>
            <w:top w:val="none" w:sz="0" w:space="0" w:color="auto"/>
            <w:left w:val="none" w:sz="0" w:space="0" w:color="auto"/>
            <w:bottom w:val="none" w:sz="0" w:space="0" w:color="auto"/>
            <w:right w:val="none" w:sz="0" w:space="0" w:color="auto"/>
          </w:divBdr>
        </w:div>
        <w:div w:id="929503235">
          <w:marLeft w:val="1987"/>
          <w:marRight w:val="0"/>
          <w:marTop w:val="240"/>
          <w:marBottom w:val="0"/>
          <w:divBdr>
            <w:top w:val="none" w:sz="0" w:space="0" w:color="auto"/>
            <w:left w:val="none" w:sz="0" w:space="0" w:color="auto"/>
            <w:bottom w:val="none" w:sz="0" w:space="0" w:color="auto"/>
            <w:right w:val="none" w:sz="0" w:space="0" w:color="auto"/>
          </w:divBdr>
        </w:div>
        <w:div w:id="1722706778">
          <w:marLeft w:val="1987"/>
          <w:marRight w:val="0"/>
          <w:marTop w:val="240"/>
          <w:marBottom w:val="0"/>
          <w:divBdr>
            <w:top w:val="none" w:sz="0" w:space="0" w:color="auto"/>
            <w:left w:val="none" w:sz="0" w:space="0" w:color="auto"/>
            <w:bottom w:val="none" w:sz="0" w:space="0" w:color="auto"/>
            <w:right w:val="none" w:sz="0" w:space="0" w:color="auto"/>
          </w:divBdr>
        </w:div>
      </w:divsChild>
    </w:div>
    <w:div w:id="238101434">
      <w:bodyDiv w:val="1"/>
      <w:marLeft w:val="0"/>
      <w:marRight w:val="0"/>
      <w:marTop w:val="0"/>
      <w:marBottom w:val="0"/>
      <w:divBdr>
        <w:top w:val="none" w:sz="0" w:space="0" w:color="auto"/>
        <w:left w:val="none" w:sz="0" w:space="0" w:color="auto"/>
        <w:bottom w:val="none" w:sz="0" w:space="0" w:color="auto"/>
        <w:right w:val="none" w:sz="0" w:space="0" w:color="auto"/>
      </w:divBdr>
    </w:div>
    <w:div w:id="249504720">
      <w:bodyDiv w:val="1"/>
      <w:marLeft w:val="0"/>
      <w:marRight w:val="0"/>
      <w:marTop w:val="0"/>
      <w:marBottom w:val="0"/>
      <w:divBdr>
        <w:top w:val="none" w:sz="0" w:space="0" w:color="auto"/>
        <w:left w:val="none" w:sz="0" w:space="0" w:color="auto"/>
        <w:bottom w:val="none" w:sz="0" w:space="0" w:color="auto"/>
        <w:right w:val="none" w:sz="0" w:space="0" w:color="auto"/>
      </w:divBdr>
    </w:div>
    <w:div w:id="261302436">
      <w:bodyDiv w:val="1"/>
      <w:marLeft w:val="0"/>
      <w:marRight w:val="0"/>
      <w:marTop w:val="0"/>
      <w:marBottom w:val="0"/>
      <w:divBdr>
        <w:top w:val="none" w:sz="0" w:space="0" w:color="auto"/>
        <w:left w:val="none" w:sz="0" w:space="0" w:color="auto"/>
        <w:bottom w:val="none" w:sz="0" w:space="0" w:color="auto"/>
        <w:right w:val="none" w:sz="0" w:space="0" w:color="auto"/>
      </w:divBdr>
    </w:div>
    <w:div w:id="268856116">
      <w:bodyDiv w:val="1"/>
      <w:marLeft w:val="0"/>
      <w:marRight w:val="0"/>
      <w:marTop w:val="0"/>
      <w:marBottom w:val="0"/>
      <w:divBdr>
        <w:top w:val="none" w:sz="0" w:space="0" w:color="auto"/>
        <w:left w:val="none" w:sz="0" w:space="0" w:color="auto"/>
        <w:bottom w:val="none" w:sz="0" w:space="0" w:color="auto"/>
        <w:right w:val="none" w:sz="0" w:space="0" w:color="auto"/>
      </w:divBdr>
    </w:div>
    <w:div w:id="281807301">
      <w:bodyDiv w:val="1"/>
      <w:marLeft w:val="0"/>
      <w:marRight w:val="0"/>
      <w:marTop w:val="0"/>
      <w:marBottom w:val="0"/>
      <w:divBdr>
        <w:top w:val="none" w:sz="0" w:space="0" w:color="auto"/>
        <w:left w:val="none" w:sz="0" w:space="0" w:color="auto"/>
        <w:bottom w:val="none" w:sz="0" w:space="0" w:color="auto"/>
        <w:right w:val="none" w:sz="0" w:space="0" w:color="auto"/>
      </w:divBdr>
    </w:div>
    <w:div w:id="301541143">
      <w:bodyDiv w:val="1"/>
      <w:marLeft w:val="0"/>
      <w:marRight w:val="0"/>
      <w:marTop w:val="0"/>
      <w:marBottom w:val="0"/>
      <w:divBdr>
        <w:top w:val="none" w:sz="0" w:space="0" w:color="auto"/>
        <w:left w:val="none" w:sz="0" w:space="0" w:color="auto"/>
        <w:bottom w:val="none" w:sz="0" w:space="0" w:color="auto"/>
        <w:right w:val="none" w:sz="0" w:space="0" w:color="auto"/>
      </w:divBdr>
    </w:div>
    <w:div w:id="308362471">
      <w:bodyDiv w:val="1"/>
      <w:marLeft w:val="0"/>
      <w:marRight w:val="0"/>
      <w:marTop w:val="0"/>
      <w:marBottom w:val="0"/>
      <w:divBdr>
        <w:top w:val="none" w:sz="0" w:space="0" w:color="auto"/>
        <w:left w:val="none" w:sz="0" w:space="0" w:color="auto"/>
        <w:bottom w:val="none" w:sz="0" w:space="0" w:color="auto"/>
        <w:right w:val="none" w:sz="0" w:space="0" w:color="auto"/>
      </w:divBdr>
    </w:div>
    <w:div w:id="339308624">
      <w:bodyDiv w:val="1"/>
      <w:marLeft w:val="0"/>
      <w:marRight w:val="0"/>
      <w:marTop w:val="0"/>
      <w:marBottom w:val="0"/>
      <w:divBdr>
        <w:top w:val="none" w:sz="0" w:space="0" w:color="auto"/>
        <w:left w:val="none" w:sz="0" w:space="0" w:color="auto"/>
        <w:bottom w:val="none" w:sz="0" w:space="0" w:color="auto"/>
        <w:right w:val="none" w:sz="0" w:space="0" w:color="auto"/>
      </w:divBdr>
    </w:div>
    <w:div w:id="340352433">
      <w:bodyDiv w:val="1"/>
      <w:marLeft w:val="0"/>
      <w:marRight w:val="0"/>
      <w:marTop w:val="0"/>
      <w:marBottom w:val="0"/>
      <w:divBdr>
        <w:top w:val="none" w:sz="0" w:space="0" w:color="auto"/>
        <w:left w:val="none" w:sz="0" w:space="0" w:color="auto"/>
        <w:bottom w:val="none" w:sz="0" w:space="0" w:color="auto"/>
        <w:right w:val="none" w:sz="0" w:space="0" w:color="auto"/>
      </w:divBdr>
    </w:div>
    <w:div w:id="344020219">
      <w:bodyDiv w:val="1"/>
      <w:marLeft w:val="0"/>
      <w:marRight w:val="0"/>
      <w:marTop w:val="0"/>
      <w:marBottom w:val="0"/>
      <w:divBdr>
        <w:top w:val="none" w:sz="0" w:space="0" w:color="auto"/>
        <w:left w:val="none" w:sz="0" w:space="0" w:color="auto"/>
        <w:bottom w:val="none" w:sz="0" w:space="0" w:color="auto"/>
        <w:right w:val="none" w:sz="0" w:space="0" w:color="auto"/>
      </w:divBdr>
    </w:div>
    <w:div w:id="346517757">
      <w:bodyDiv w:val="1"/>
      <w:marLeft w:val="0"/>
      <w:marRight w:val="0"/>
      <w:marTop w:val="0"/>
      <w:marBottom w:val="0"/>
      <w:divBdr>
        <w:top w:val="none" w:sz="0" w:space="0" w:color="auto"/>
        <w:left w:val="none" w:sz="0" w:space="0" w:color="auto"/>
        <w:bottom w:val="none" w:sz="0" w:space="0" w:color="auto"/>
        <w:right w:val="none" w:sz="0" w:space="0" w:color="auto"/>
      </w:divBdr>
    </w:div>
    <w:div w:id="358311861">
      <w:bodyDiv w:val="1"/>
      <w:marLeft w:val="0"/>
      <w:marRight w:val="0"/>
      <w:marTop w:val="0"/>
      <w:marBottom w:val="0"/>
      <w:divBdr>
        <w:top w:val="none" w:sz="0" w:space="0" w:color="auto"/>
        <w:left w:val="none" w:sz="0" w:space="0" w:color="auto"/>
        <w:bottom w:val="none" w:sz="0" w:space="0" w:color="auto"/>
        <w:right w:val="none" w:sz="0" w:space="0" w:color="auto"/>
      </w:divBdr>
    </w:div>
    <w:div w:id="360862671">
      <w:bodyDiv w:val="1"/>
      <w:marLeft w:val="0"/>
      <w:marRight w:val="0"/>
      <w:marTop w:val="0"/>
      <w:marBottom w:val="0"/>
      <w:divBdr>
        <w:top w:val="none" w:sz="0" w:space="0" w:color="auto"/>
        <w:left w:val="none" w:sz="0" w:space="0" w:color="auto"/>
        <w:bottom w:val="none" w:sz="0" w:space="0" w:color="auto"/>
        <w:right w:val="none" w:sz="0" w:space="0" w:color="auto"/>
      </w:divBdr>
    </w:div>
    <w:div w:id="361319867">
      <w:bodyDiv w:val="1"/>
      <w:marLeft w:val="0"/>
      <w:marRight w:val="0"/>
      <w:marTop w:val="0"/>
      <w:marBottom w:val="0"/>
      <w:divBdr>
        <w:top w:val="none" w:sz="0" w:space="0" w:color="auto"/>
        <w:left w:val="none" w:sz="0" w:space="0" w:color="auto"/>
        <w:bottom w:val="none" w:sz="0" w:space="0" w:color="auto"/>
        <w:right w:val="none" w:sz="0" w:space="0" w:color="auto"/>
      </w:divBdr>
    </w:div>
    <w:div w:id="366681971">
      <w:bodyDiv w:val="1"/>
      <w:marLeft w:val="0"/>
      <w:marRight w:val="0"/>
      <w:marTop w:val="0"/>
      <w:marBottom w:val="0"/>
      <w:divBdr>
        <w:top w:val="none" w:sz="0" w:space="0" w:color="auto"/>
        <w:left w:val="none" w:sz="0" w:space="0" w:color="auto"/>
        <w:bottom w:val="none" w:sz="0" w:space="0" w:color="auto"/>
        <w:right w:val="none" w:sz="0" w:space="0" w:color="auto"/>
      </w:divBdr>
    </w:div>
    <w:div w:id="367489325">
      <w:bodyDiv w:val="1"/>
      <w:marLeft w:val="0"/>
      <w:marRight w:val="0"/>
      <w:marTop w:val="0"/>
      <w:marBottom w:val="0"/>
      <w:divBdr>
        <w:top w:val="none" w:sz="0" w:space="0" w:color="auto"/>
        <w:left w:val="none" w:sz="0" w:space="0" w:color="auto"/>
        <w:bottom w:val="none" w:sz="0" w:space="0" w:color="auto"/>
        <w:right w:val="none" w:sz="0" w:space="0" w:color="auto"/>
      </w:divBdr>
    </w:div>
    <w:div w:id="371199801">
      <w:bodyDiv w:val="1"/>
      <w:marLeft w:val="0"/>
      <w:marRight w:val="0"/>
      <w:marTop w:val="0"/>
      <w:marBottom w:val="0"/>
      <w:divBdr>
        <w:top w:val="none" w:sz="0" w:space="0" w:color="auto"/>
        <w:left w:val="none" w:sz="0" w:space="0" w:color="auto"/>
        <w:bottom w:val="none" w:sz="0" w:space="0" w:color="auto"/>
        <w:right w:val="none" w:sz="0" w:space="0" w:color="auto"/>
      </w:divBdr>
    </w:div>
    <w:div w:id="372122349">
      <w:bodyDiv w:val="1"/>
      <w:marLeft w:val="0"/>
      <w:marRight w:val="0"/>
      <w:marTop w:val="0"/>
      <w:marBottom w:val="0"/>
      <w:divBdr>
        <w:top w:val="none" w:sz="0" w:space="0" w:color="auto"/>
        <w:left w:val="none" w:sz="0" w:space="0" w:color="auto"/>
        <w:bottom w:val="none" w:sz="0" w:space="0" w:color="auto"/>
        <w:right w:val="none" w:sz="0" w:space="0" w:color="auto"/>
      </w:divBdr>
    </w:div>
    <w:div w:id="375005071">
      <w:bodyDiv w:val="1"/>
      <w:marLeft w:val="0"/>
      <w:marRight w:val="0"/>
      <w:marTop w:val="0"/>
      <w:marBottom w:val="0"/>
      <w:divBdr>
        <w:top w:val="none" w:sz="0" w:space="0" w:color="auto"/>
        <w:left w:val="none" w:sz="0" w:space="0" w:color="auto"/>
        <w:bottom w:val="none" w:sz="0" w:space="0" w:color="auto"/>
        <w:right w:val="none" w:sz="0" w:space="0" w:color="auto"/>
      </w:divBdr>
    </w:div>
    <w:div w:id="377752159">
      <w:bodyDiv w:val="1"/>
      <w:marLeft w:val="0"/>
      <w:marRight w:val="0"/>
      <w:marTop w:val="0"/>
      <w:marBottom w:val="0"/>
      <w:divBdr>
        <w:top w:val="none" w:sz="0" w:space="0" w:color="auto"/>
        <w:left w:val="none" w:sz="0" w:space="0" w:color="auto"/>
        <w:bottom w:val="none" w:sz="0" w:space="0" w:color="auto"/>
        <w:right w:val="none" w:sz="0" w:space="0" w:color="auto"/>
      </w:divBdr>
    </w:div>
    <w:div w:id="392047952">
      <w:bodyDiv w:val="1"/>
      <w:marLeft w:val="0"/>
      <w:marRight w:val="0"/>
      <w:marTop w:val="0"/>
      <w:marBottom w:val="0"/>
      <w:divBdr>
        <w:top w:val="none" w:sz="0" w:space="0" w:color="auto"/>
        <w:left w:val="none" w:sz="0" w:space="0" w:color="auto"/>
        <w:bottom w:val="none" w:sz="0" w:space="0" w:color="auto"/>
        <w:right w:val="none" w:sz="0" w:space="0" w:color="auto"/>
      </w:divBdr>
    </w:div>
    <w:div w:id="395711993">
      <w:bodyDiv w:val="1"/>
      <w:marLeft w:val="0"/>
      <w:marRight w:val="0"/>
      <w:marTop w:val="0"/>
      <w:marBottom w:val="0"/>
      <w:divBdr>
        <w:top w:val="none" w:sz="0" w:space="0" w:color="auto"/>
        <w:left w:val="none" w:sz="0" w:space="0" w:color="auto"/>
        <w:bottom w:val="none" w:sz="0" w:space="0" w:color="auto"/>
        <w:right w:val="none" w:sz="0" w:space="0" w:color="auto"/>
      </w:divBdr>
    </w:div>
    <w:div w:id="404842487">
      <w:bodyDiv w:val="1"/>
      <w:marLeft w:val="0"/>
      <w:marRight w:val="0"/>
      <w:marTop w:val="0"/>
      <w:marBottom w:val="0"/>
      <w:divBdr>
        <w:top w:val="none" w:sz="0" w:space="0" w:color="auto"/>
        <w:left w:val="none" w:sz="0" w:space="0" w:color="auto"/>
        <w:bottom w:val="none" w:sz="0" w:space="0" w:color="auto"/>
        <w:right w:val="none" w:sz="0" w:space="0" w:color="auto"/>
      </w:divBdr>
    </w:div>
    <w:div w:id="424611977">
      <w:bodyDiv w:val="1"/>
      <w:marLeft w:val="0"/>
      <w:marRight w:val="0"/>
      <w:marTop w:val="0"/>
      <w:marBottom w:val="0"/>
      <w:divBdr>
        <w:top w:val="none" w:sz="0" w:space="0" w:color="auto"/>
        <w:left w:val="none" w:sz="0" w:space="0" w:color="auto"/>
        <w:bottom w:val="none" w:sz="0" w:space="0" w:color="auto"/>
        <w:right w:val="none" w:sz="0" w:space="0" w:color="auto"/>
      </w:divBdr>
    </w:div>
    <w:div w:id="425738142">
      <w:bodyDiv w:val="1"/>
      <w:marLeft w:val="0"/>
      <w:marRight w:val="0"/>
      <w:marTop w:val="0"/>
      <w:marBottom w:val="0"/>
      <w:divBdr>
        <w:top w:val="none" w:sz="0" w:space="0" w:color="auto"/>
        <w:left w:val="none" w:sz="0" w:space="0" w:color="auto"/>
        <w:bottom w:val="none" w:sz="0" w:space="0" w:color="auto"/>
        <w:right w:val="none" w:sz="0" w:space="0" w:color="auto"/>
      </w:divBdr>
    </w:div>
    <w:div w:id="430510669">
      <w:bodyDiv w:val="1"/>
      <w:marLeft w:val="0"/>
      <w:marRight w:val="0"/>
      <w:marTop w:val="0"/>
      <w:marBottom w:val="0"/>
      <w:divBdr>
        <w:top w:val="none" w:sz="0" w:space="0" w:color="auto"/>
        <w:left w:val="none" w:sz="0" w:space="0" w:color="auto"/>
        <w:bottom w:val="none" w:sz="0" w:space="0" w:color="auto"/>
        <w:right w:val="none" w:sz="0" w:space="0" w:color="auto"/>
      </w:divBdr>
    </w:div>
    <w:div w:id="430905180">
      <w:bodyDiv w:val="1"/>
      <w:marLeft w:val="0"/>
      <w:marRight w:val="0"/>
      <w:marTop w:val="0"/>
      <w:marBottom w:val="0"/>
      <w:divBdr>
        <w:top w:val="none" w:sz="0" w:space="0" w:color="auto"/>
        <w:left w:val="none" w:sz="0" w:space="0" w:color="auto"/>
        <w:bottom w:val="none" w:sz="0" w:space="0" w:color="auto"/>
        <w:right w:val="none" w:sz="0" w:space="0" w:color="auto"/>
      </w:divBdr>
    </w:div>
    <w:div w:id="444740332">
      <w:bodyDiv w:val="1"/>
      <w:marLeft w:val="0"/>
      <w:marRight w:val="0"/>
      <w:marTop w:val="0"/>
      <w:marBottom w:val="0"/>
      <w:divBdr>
        <w:top w:val="none" w:sz="0" w:space="0" w:color="auto"/>
        <w:left w:val="none" w:sz="0" w:space="0" w:color="auto"/>
        <w:bottom w:val="none" w:sz="0" w:space="0" w:color="auto"/>
        <w:right w:val="none" w:sz="0" w:space="0" w:color="auto"/>
      </w:divBdr>
    </w:div>
    <w:div w:id="450517121">
      <w:bodyDiv w:val="1"/>
      <w:marLeft w:val="0"/>
      <w:marRight w:val="0"/>
      <w:marTop w:val="0"/>
      <w:marBottom w:val="0"/>
      <w:divBdr>
        <w:top w:val="none" w:sz="0" w:space="0" w:color="auto"/>
        <w:left w:val="none" w:sz="0" w:space="0" w:color="auto"/>
        <w:bottom w:val="none" w:sz="0" w:space="0" w:color="auto"/>
        <w:right w:val="none" w:sz="0" w:space="0" w:color="auto"/>
      </w:divBdr>
    </w:div>
    <w:div w:id="456072987">
      <w:bodyDiv w:val="1"/>
      <w:marLeft w:val="0"/>
      <w:marRight w:val="0"/>
      <w:marTop w:val="0"/>
      <w:marBottom w:val="0"/>
      <w:divBdr>
        <w:top w:val="none" w:sz="0" w:space="0" w:color="auto"/>
        <w:left w:val="none" w:sz="0" w:space="0" w:color="auto"/>
        <w:bottom w:val="none" w:sz="0" w:space="0" w:color="auto"/>
        <w:right w:val="none" w:sz="0" w:space="0" w:color="auto"/>
      </w:divBdr>
    </w:div>
    <w:div w:id="462624154">
      <w:bodyDiv w:val="1"/>
      <w:marLeft w:val="0"/>
      <w:marRight w:val="0"/>
      <w:marTop w:val="0"/>
      <w:marBottom w:val="0"/>
      <w:divBdr>
        <w:top w:val="none" w:sz="0" w:space="0" w:color="auto"/>
        <w:left w:val="none" w:sz="0" w:space="0" w:color="auto"/>
        <w:bottom w:val="none" w:sz="0" w:space="0" w:color="auto"/>
        <w:right w:val="none" w:sz="0" w:space="0" w:color="auto"/>
      </w:divBdr>
    </w:div>
    <w:div w:id="463623258">
      <w:bodyDiv w:val="1"/>
      <w:marLeft w:val="0"/>
      <w:marRight w:val="0"/>
      <w:marTop w:val="0"/>
      <w:marBottom w:val="0"/>
      <w:divBdr>
        <w:top w:val="none" w:sz="0" w:space="0" w:color="auto"/>
        <w:left w:val="none" w:sz="0" w:space="0" w:color="auto"/>
        <w:bottom w:val="none" w:sz="0" w:space="0" w:color="auto"/>
        <w:right w:val="none" w:sz="0" w:space="0" w:color="auto"/>
      </w:divBdr>
    </w:div>
    <w:div w:id="467675502">
      <w:bodyDiv w:val="1"/>
      <w:marLeft w:val="0"/>
      <w:marRight w:val="0"/>
      <w:marTop w:val="0"/>
      <w:marBottom w:val="0"/>
      <w:divBdr>
        <w:top w:val="none" w:sz="0" w:space="0" w:color="auto"/>
        <w:left w:val="none" w:sz="0" w:space="0" w:color="auto"/>
        <w:bottom w:val="none" w:sz="0" w:space="0" w:color="auto"/>
        <w:right w:val="none" w:sz="0" w:space="0" w:color="auto"/>
      </w:divBdr>
    </w:div>
    <w:div w:id="479620267">
      <w:bodyDiv w:val="1"/>
      <w:marLeft w:val="0"/>
      <w:marRight w:val="0"/>
      <w:marTop w:val="0"/>
      <w:marBottom w:val="0"/>
      <w:divBdr>
        <w:top w:val="none" w:sz="0" w:space="0" w:color="auto"/>
        <w:left w:val="none" w:sz="0" w:space="0" w:color="auto"/>
        <w:bottom w:val="none" w:sz="0" w:space="0" w:color="auto"/>
        <w:right w:val="none" w:sz="0" w:space="0" w:color="auto"/>
      </w:divBdr>
    </w:div>
    <w:div w:id="486169597">
      <w:bodyDiv w:val="1"/>
      <w:marLeft w:val="0"/>
      <w:marRight w:val="0"/>
      <w:marTop w:val="0"/>
      <w:marBottom w:val="0"/>
      <w:divBdr>
        <w:top w:val="none" w:sz="0" w:space="0" w:color="auto"/>
        <w:left w:val="none" w:sz="0" w:space="0" w:color="auto"/>
        <w:bottom w:val="none" w:sz="0" w:space="0" w:color="auto"/>
        <w:right w:val="none" w:sz="0" w:space="0" w:color="auto"/>
      </w:divBdr>
    </w:div>
    <w:div w:id="486214633">
      <w:bodyDiv w:val="1"/>
      <w:marLeft w:val="0"/>
      <w:marRight w:val="0"/>
      <w:marTop w:val="0"/>
      <w:marBottom w:val="0"/>
      <w:divBdr>
        <w:top w:val="none" w:sz="0" w:space="0" w:color="auto"/>
        <w:left w:val="none" w:sz="0" w:space="0" w:color="auto"/>
        <w:bottom w:val="none" w:sz="0" w:space="0" w:color="auto"/>
        <w:right w:val="none" w:sz="0" w:space="0" w:color="auto"/>
      </w:divBdr>
    </w:div>
    <w:div w:id="486942424">
      <w:bodyDiv w:val="1"/>
      <w:marLeft w:val="0"/>
      <w:marRight w:val="0"/>
      <w:marTop w:val="0"/>
      <w:marBottom w:val="0"/>
      <w:divBdr>
        <w:top w:val="none" w:sz="0" w:space="0" w:color="auto"/>
        <w:left w:val="none" w:sz="0" w:space="0" w:color="auto"/>
        <w:bottom w:val="none" w:sz="0" w:space="0" w:color="auto"/>
        <w:right w:val="none" w:sz="0" w:space="0" w:color="auto"/>
      </w:divBdr>
    </w:div>
    <w:div w:id="494762923">
      <w:bodyDiv w:val="1"/>
      <w:marLeft w:val="0"/>
      <w:marRight w:val="0"/>
      <w:marTop w:val="0"/>
      <w:marBottom w:val="0"/>
      <w:divBdr>
        <w:top w:val="none" w:sz="0" w:space="0" w:color="auto"/>
        <w:left w:val="none" w:sz="0" w:space="0" w:color="auto"/>
        <w:bottom w:val="none" w:sz="0" w:space="0" w:color="auto"/>
        <w:right w:val="none" w:sz="0" w:space="0" w:color="auto"/>
      </w:divBdr>
    </w:div>
    <w:div w:id="499466806">
      <w:bodyDiv w:val="1"/>
      <w:marLeft w:val="0"/>
      <w:marRight w:val="0"/>
      <w:marTop w:val="0"/>
      <w:marBottom w:val="0"/>
      <w:divBdr>
        <w:top w:val="none" w:sz="0" w:space="0" w:color="auto"/>
        <w:left w:val="none" w:sz="0" w:space="0" w:color="auto"/>
        <w:bottom w:val="none" w:sz="0" w:space="0" w:color="auto"/>
        <w:right w:val="none" w:sz="0" w:space="0" w:color="auto"/>
      </w:divBdr>
    </w:div>
    <w:div w:id="508837881">
      <w:bodyDiv w:val="1"/>
      <w:marLeft w:val="0"/>
      <w:marRight w:val="0"/>
      <w:marTop w:val="0"/>
      <w:marBottom w:val="0"/>
      <w:divBdr>
        <w:top w:val="none" w:sz="0" w:space="0" w:color="auto"/>
        <w:left w:val="none" w:sz="0" w:space="0" w:color="auto"/>
        <w:bottom w:val="none" w:sz="0" w:space="0" w:color="auto"/>
        <w:right w:val="none" w:sz="0" w:space="0" w:color="auto"/>
      </w:divBdr>
    </w:div>
    <w:div w:id="514922714">
      <w:bodyDiv w:val="1"/>
      <w:marLeft w:val="0"/>
      <w:marRight w:val="0"/>
      <w:marTop w:val="0"/>
      <w:marBottom w:val="0"/>
      <w:divBdr>
        <w:top w:val="none" w:sz="0" w:space="0" w:color="auto"/>
        <w:left w:val="none" w:sz="0" w:space="0" w:color="auto"/>
        <w:bottom w:val="none" w:sz="0" w:space="0" w:color="auto"/>
        <w:right w:val="none" w:sz="0" w:space="0" w:color="auto"/>
      </w:divBdr>
    </w:div>
    <w:div w:id="515311464">
      <w:bodyDiv w:val="1"/>
      <w:marLeft w:val="0"/>
      <w:marRight w:val="0"/>
      <w:marTop w:val="0"/>
      <w:marBottom w:val="0"/>
      <w:divBdr>
        <w:top w:val="none" w:sz="0" w:space="0" w:color="auto"/>
        <w:left w:val="none" w:sz="0" w:space="0" w:color="auto"/>
        <w:bottom w:val="none" w:sz="0" w:space="0" w:color="auto"/>
        <w:right w:val="none" w:sz="0" w:space="0" w:color="auto"/>
      </w:divBdr>
    </w:div>
    <w:div w:id="515659440">
      <w:bodyDiv w:val="1"/>
      <w:marLeft w:val="0"/>
      <w:marRight w:val="0"/>
      <w:marTop w:val="0"/>
      <w:marBottom w:val="0"/>
      <w:divBdr>
        <w:top w:val="none" w:sz="0" w:space="0" w:color="auto"/>
        <w:left w:val="none" w:sz="0" w:space="0" w:color="auto"/>
        <w:bottom w:val="none" w:sz="0" w:space="0" w:color="auto"/>
        <w:right w:val="none" w:sz="0" w:space="0" w:color="auto"/>
      </w:divBdr>
    </w:div>
    <w:div w:id="515727331">
      <w:bodyDiv w:val="1"/>
      <w:marLeft w:val="0"/>
      <w:marRight w:val="0"/>
      <w:marTop w:val="0"/>
      <w:marBottom w:val="0"/>
      <w:divBdr>
        <w:top w:val="none" w:sz="0" w:space="0" w:color="auto"/>
        <w:left w:val="none" w:sz="0" w:space="0" w:color="auto"/>
        <w:bottom w:val="none" w:sz="0" w:space="0" w:color="auto"/>
        <w:right w:val="none" w:sz="0" w:space="0" w:color="auto"/>
      </w:divBdr>
    </w:div>
    <w:div w:id="525024533">
      <w:bodyDiv w:val="1"/>
      <w:marLeft w:val="0"/>
      <w:marRight w:val="0"/>
      <w:marTop w:val="0"/>
      <w:marBottom w:val="0"/>
      <w:divBdr>
        <w:top w:val="none" w:sz="0" w:space="0" w:color="auto"/>
        <w:left w:val="none" w:sz="0" w:space="0" w:color="auto"/>
        <w:bottom w:val="none" w:sz="0" w:space="0" w:color="auto"/>
        <w:right w:val="none" w:sz="0" w:space="0" w:color="auto"/>
      </w:divBdr>
    </w:div>
    <w:div w:id="525758295">
      <w:bodyDiv w:val="1"/>
      <w:marLeft w:val="0"/>
      <w:marRight w:val="0"/>
      <w:marTop w:val="0"/>
      <w:marBottom w:val="0"/>
      <w:divBdr>
        <w:top w:val="none" w:sz="0" w:space="0" w:color="auto"/>
        <w:left w:val="none" w:sz="0" w:space="0" w:color="auto"/>
        <w:bottom w:val="none" w:sz="0" w:space="0" w:color="auto"/>
        <w:right w:val="none" w:sz="0" w:space="0" w:color="auto"/>
      </w:divBdr>
    </w:div>
    <w:div w:id="540360904">
      <w:bodyDiv w:val="1"/>
      <w:marLeft w:val="0"/>
      <w:marRight w:val="0"/>
      <w:marTop w:val="0"/>
      <w:marBottom w:val="0"/>
      <w:divBdr>
        <w:top w:val="none" w:sz="0" w:space="0" w:color="auto"/>
        <w:left w:val="none" w:sz="0" w:space="0" w:color="auto"/>
        <w:bottom w:val="none" w:sz="0" w:space="0" w:color="auto"/>
        <w:right w:val="none" w:sz="0" w:space="0" w:color="auto"/>
      </w:divBdr>
    </w:div>
    <w:div w:id="548684091">
      <w:bodyDiv w:val="1"/>
      <w:marLeft w:val="0"/>
      <w:marRight w:val="0"/>
      <w:marTop w:val="0"/>
      <w:marBottom w:val="0"/>
      <w:divBdr>
        <w:top w:val="none" w:sz="0" w:space="0" w:color="auto"/>
        <w:left w:val="none" w:sz="0" w:space="0" w:color="auto"/>
        <w:bottom w:val="none" w:sz="0" w:space="0" w:color="auto"/>
        <w:right w:val="none" w:sz="0" w:space="0" w:color="auto"/>
      </w:divBdr>
    </w:div>
    <w:div w:id="572742174">
      <w:bodyDiv w:val="1"/>
      <w:marLeft w:val="0"/>
      <w:marRight w:val="0"/>
      <w:marTop w:val="0"/>
      <w:marBottom w:val="0"/>
      <w:divBdr>
        <w:top w:val="none" w:sz="0" w:space="0" w:color="auto"/>
        <w:left w:val="none" w:sz="0" w:space="0" w:color="auto"/>
        <w:bottom w:val="none" w:sz="0" w:space="0" w:color="auto"/>
        <w:right w:val="none" w:sz="0" w:space="0" w:color="auto"/>
      </w:divBdr>
    </w:div>
    <w:div w:id="574751110">
      <w:bodyDiv w:val="1"/>
      <w:marLeft w:val="0"/>
      <w:marRight w:val="0"/>
      <w:marTop w:val="0"/>
      <w:marBottom w:val="0"/>
      <w:divBdr>
        <w:top w:val="none" w:sz="0" w:space="0" w:color="auto"/>
        <w:left w:val="none" w:sz="0" w:space="0" w:color="auto"/>
        <w:bottom w:val="none" w:sz="0" w:space="0" w:color="auto"/>
        <w:right w:val="none" w:sz="0" w:space="0" w:color="auto"/>
      </w:divBdr>
    </w:div>
    <w:div w:id="576862499">
      <w:bodyDiv w:val="1"/>
      <w:marLeft w:val="0"/>
      <w:marRight w:val="0"/>
      <w:marTop w:val="0"/>
      <w:marBottom w:val="0"/>
      <w:divBdr>
        <w:top w:val="none" w:sz="0" w:space="0" w:color="auto"/>
        <w:left w:val="none" w:sz="0" w:space="0" w:color="auto"/>
        <w:bottom w:val="none" w:sz="0" w:space="0" w:color="auto"/>
        <w:right w:val="none" w:sz="0" w:space="0" w:color="auto"/>
      </w:divBdr>
    </w:div>
    <w:div w:id="594364057">
      <w:bodyDiv w:val="1"/>
      <w:marLeft w:val="0"/>
      <w:marRight w:val="0"/>
      <w:marTop w:val="0"/>
      <w:marBottom w:val="0"/>
      <w:divBdr>
        <w:top w:val="none" w:sz="0" w:space="0" w:color="auto"/>
        <w:left w:val="none" w:sz="0" w:space="0" w:color="auto"/>
        <w:bottom w:val="none" w:sz="0" w:space="0" w:color="auto"/>
        <w:right w:val="none" w:sz="0" w:space="0" w:color="auto"/>
      </w:divBdr>
    </w:div>
    <w:div w:id="606740336">
      <w:bodyDiv w:val="1"/>
      <w:marLeft w:val="0"/>
      <w:marRight w:val="0"/>
      <w:marTop w:val="0"/>
      <w:marBottom w:val="0"/>
      <w:divBdr>
        <w:top w:val="none" w:sz="0" w:space="0" w:color="auto"/>
        <w:left w:val="none" w:sz="0" w:space="0" w:color="auto"/>
        <w:bottom w:val="none" w:sz="0" w:space="0" w:color="auto"/>
        <w:right w:val="none" w:sz="0" w:space="0" w:color="auto"/>
      </w:divBdr>
    </w:div>
    <w:div w:id="611473736">
      <w:bodyDiv w:val="1"/>
      <w:marLeft w:val="0"/>
      <w:marRight w:val="0"/>
      <w:marTop w:val="0"/>
      <w:marBottom w:val="0"/>
      <w:divBdr>
        <w:top w:val="none" w:sz="0" w:space="0" w:color="auto"/>
        <w:left w:val="none" w:sz="0" w:space="0" w:color="auto"/>
        <w:bottom w:val="none" w:sz="0" w:space="0" w:color="auto"/>
        <w:right w:val="none" w:sz="0" w:space="0" w:color="auto"/>
      </w:divBdr>
    </w:div>
    <w:div w:id="612177927">
      <w:bodyDiv w:val="1"/>
      <w:marLeft w:val="0"/>
      <w:marRight w:val="0"/>
      <w:marTop w:val="0"/>
      <w:marBottom w:val="0"/>
      <w:divBdr>
        <w:top w:val="none" w:sz="0" w:space="0" w:color="auto"/>
        <w:left w:val="none" w:sz="0" w:space="0" w:color="auto"/>
        <w:bottom w:val="none" w:sz="0" w:space="0" w:color="auto"/>
        <w:right w:val="none" w:sz="0" w:space="0" w:color="auto"/>
      </w:divBdr>
    </w:div>
    <w:div w:id="624772737">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67292637">
      <w:bodyDiv w:val="1"/>
      <w:marLeft w:val="0"/>
      <w:marRight w:val="0"/>
      <w:marTop w:val="0"/>
      <w:marBottom w:val="0"/>
      <w:divBdr>
        <w:top w:val="none" w:sz="0" w:space="0" w:color="auto"/>
        <w:left w:val="none" w:sz="0" w:space="0" w:color="auto"/>
        <w:bottom w:val="none" w:sz="0" w:space="0" w:color="auto"/>
        <w:right w:val="none" w:sz="0" w:space="0" w:color="auto"/>
      </w:divBdr>
    </w:div>
    <w:div w:id="680200332">
      <w:bodyDiv w:val="1"/>
      <w:marLeft w:val="0"/>
      <w:marRight w:val="0"/>
      <w:marTop w:val="0"/>
      <w:marBottom w:val="0"/>
      <w:divBdr>
        <w:top w:val="none" w:sz="0" w:space="0" w:color="auto"/>
        <w:left w:val="none" w:sz="0" w:space="0" w:color="auto"/>
        <w:bottom w:val="none" w:sz="0" w:space="0" w:color="auto"/>
        <w:right w:val="none" w:sz="0" w:space="0" w:color="auto"/>
      </w:divBdr>
    </w:div>
    <w:div w:id="684091514">
      <w:bodyDiv w:val="1"/>
      <w:marLeft w:val="0"/>
      <w:marRight w:val="0"/>
      <w:marTop w:val="0"/>
      <w:marBottom w:val="0"/>
      <w:divBdr>
        <w:top w:val="none" w:sz="0" w:space="0" w:color="auto"/>
        <w:left w:val="none" w:sz="0" w:space="0" w:color="auto"/>
        <w:bottom w:val="none" w:sz="0" w:space="0" w:color="auto"/>
        <w:right w:val="none" w:sz="0" w:space="0" w:color="auto"/>
      </w:divBdr>
    </w:div>
    <w:div w:id="692996187">
      <w:bodyDiv w:val="1"/>
      <w:marLeft w:val="0"/>
      <w:marRight w:val="0"/>
      <w:marTop w:val="0"/>
      <w:marBottom w:val="0"/>
      <w:divBdr>
        <w:top w:val="none" w:sz="0" w:space="0" w:color="auto"/>
        <w:left w:val="none" w:sz="0" w:space="0" w:color="auto"/>
        <w:bottom w:val="none" w:sz="0" w:space="0" w:color="auto"/>
        <w:right w:val="none" w:sz="0" w:space="0" w:color="auto"/>
      </w:divBdr>
    </w:div>
    <w:div w:id="698238991">
      <w:bodyDiv w:val="1"/>
      <w:marLeft w:val="0"/>
      <w:marRight w:val="0"/>
      <w:marTop w:val="0"/>
      <w:marBottom w:val="0"/>
      <w:divBdr>
        <w:top w:val="none" w:sz="0" w:space="0" w:color="auto"/>
        <w:left w:val="none" w:sz="0" w:space="0" w:color="auto"/>
        <w:bottom w:val="none" w:sz="0" w:space="0" w:color="auto"/>
        <w:right w:val="none" w:sz="0" w:space="0" w:color="auto"/>
      </w:divBdr>
    </w:div>
    <w:div w:id="713651510">
      <w:bodyDiv w:val="1"/>
      <w:marLeft w:val="0"/>
      <w:marRight w:val="0"/>
      <w:marTop w:val="0"/>
      <w:marBottom w:val="0"/>
      <w:divBdr>
        <w:top w:val="none" w:sz="0" w:space="0" w:color="auto"/>
        <w:left w:val="none" w:sz="0" w:space="0" w:color="auto"/>
        <w:bottom w:val="none" w:sz="0" w:space="0" w:color="auto"/>
        <w:right w:val="none" w:sz="0" w:space="0" w:color="auto"/>
      </w:divBdr>
    </w:div>
    <w:div w:id="716511296">
      <w:bodyDiv w:val="1"/>
      <w:marLeft w:val="0"/>
      <w:marRight w:val="0"/>
      <w:marTop w:val="0"/>
      <w:marBottom w:val="0"/>
      <w:divBdr>
        <w:top w:val="none" w:sz="0" w:space="0" w:color="auto"/>
        <w:left w:val="none" w:sz="0" w:space="0" w:color="auto"/>
        <w:bottom w:val="none" w:sz="0" w:space="0" w:color="auto"/>
        <w:right w:val="none" w:sz="0" w:space="0" w:color="auto"/>
      </w:divBdr>
    </w:div>
    <w:div w:id="716710279">
      <w:bodyDiv w:val="1"/>
      <w:marLeft w:val="0"/>
      <w:marRight w:val="0"/>
      <w:marTop w:val="0"/>
      <w:marBottom w:val="0"/>
      <w:divBdr>
        <w:top w:val="none" w:sz="0" w:space="0" w:color="auto"/>
        <w:left w:val="none" w:sz="0" w:space="0" w:color="auto"/>
        <w:bottom w:val="none" w:sz="0" w:space="0" w:color="auto"/>
        <w:right w:val="none" w:sz="0" w:space="0" w:color="auto"/>
      </w:divBdr>
    </w:div>
    <w:div w:id="716710426">
      <w:bodyDiv w:val="1"/>
      <w:marLeft w:val="0"/>
      <w:marRight w:val="0"/>
      <w:marTop w:val="0"/>
      <w:marBottom w:val="0"/>
      <w:divBdr>
        <w:top w:val="none" w:sz="0" w:space="0" w:color="auto"/>
        <w:left w:val="none" w:sz="0" w:space="0" w:color="auto"/>
        <w:bottom w:val="none" w:sz="0" w:space="0" w:color="auto"/>
        <w:right w:val="none" w:sz="0" w:space="0" w:color="auto"/>
      </w:divBdr>
    </w:div>
    <w:div w:id="724182989">
      <w:bodyDiv w:val="1"/>
      <w:marLeft w:val="0"/>
      <w:marRight w:val="0"/>
      <w:marTop w:val="0"/>
      <w:marBottom w:val="0"/>
      <w:divBdr>
        <w:top w:val="none" w:sz="0" w:space="0" w:color="auto"/>
        <w:left w:val="none" w:sz="0" w:space="0" w:color="auto"/>
        <w:bottom w:val="none" w:sz="0" w:space="0" w:color="auto"/>
        <w:right w:val="none" w:sz="0" w:space="0" w:color="auto"/>
      </w:divBdr>
    </w:div>
    <w:div w:id="732627094">
      <w:bodyDiv w:val="1"/>
      <w:marLeft w:val="0"/>
      <w:marRight w:val="0"/>
      <w:marTop w:val="0"/>
      <w:marBottom w:val="0"/>
      <w:divBdr>
        <w:top w:val="none" w:sz="0" w:space="0" w:color="auto"/>
        <w:left w:val="none" w:sz="0" w:space="0" w:color="auto"/>
        <w:bottom w:val="none" w:sz="0" w:space="0" w:color="auto"/>
        <w:right w:val="none" w:sz="0" w:space="0" w:color="auto"/>
      </w:divBdr>
    </w:div>
    <w:div w:id="735133223">
      <w:bodyDiv w:val="1"/>
      <w:marLeft w:val="0"/>
      <w:marRight w:val="0"/>
      <w:marTop w:val="0"/>
      <w:marBottom w:val="0"/>
      <w:divBdr>
        <w:top w:val="none" w:sz="0" w:space="0" w:color="auto"/>
        <w:left w:val="none" w:sz="0" w:space="0" w:color="auto"/>
        <w:bottom w:val="none" w:sz="0" w:space="0" w:color="auto"/>
        <w:right w:val="none" w:sz="0" w:space="0" w:color="auto"/>
      </w:divBdr>
      <w:divsChild>
        <w:div w:id="1641615415">
          <w:marLeft w:val="1166"/>
          <w:marRight w:val="0"/>
          <w:marTop w:val="240"/>
          <w:marBottom w:val="0"/>
          <w:divBdr>
            <w:top w:val="none" w:sz="0" w:space="0" w:color="auto"/>
            <w:left w:val="none" w:sz="0" w:space="0" w:color="auto"/>
            <w:bottom w:val="none" w:sz="0" w:space="0" w:color="auto"/>
            <w:right w:val="none" w:sz="0" w:space="0" w:color="auto"/>
          </w:divBdr>
        </w:div>
      </w:divsChild>
    </w:div>
    <w:div w:id="739210726">
      <w:bodyDiv w:val="1"/>
      <w:marLeft w:val="0"/>
      <w:marRight w:val="0"/>
      <w:marTop w:val="0"/>
      <w:marBottom w:val="0"/>
      <w:divBdr>
        <w:top w:val="none" w:sz="0" w:space="0" w:color="auto"/>
        <w:left w:val="none" w:sz="0" w:space="0" w:color="auto"/>
        <w:bottom w:val="none" w:sz="0" w:space="0" w:color="auto"/>
        <w:right w:val="none" w:sz="0" w:space="0" w:color="auto"/>
      </w:divBdr>
    </w:div>
    <w:div w:id="754208062">
      <w:bodyDiv w:val="1"/>
      <w:marLeft w:val="0"/>
      <w:marRight w:val="0"/>
      <w:marTop w:val="0"/>
      <w:marBottom w:val="0"/>
      <w:divBdr>
        <w:top w:val="none" w:sz="0" w:space="0" w:color="auto"/>
        <w:left w:val="none" w:sz="0" w:space="0" w:color="auto"/>
        <w:bottom w:val="none" w:sz="0" w:space="0" w:color="auto"/>
        <w:right w:val="none" w:sz="0" w:space="0" w:color="auto"/>
      </w:divBdr>
    </w:div>
    <w:div w:id="754595454">
      <w:bodyDiv w:val="1"/>
      <w:marLeft w:val="0"/>
      <w:marRight w:val="0"/>
      <w:marTop w:val="0"/>
      <w:marBottom w:val="0"/>
      <w:divBdr>
        <w:top w:val="none" w:sz="0" w:space="0" w:color="auto"/>
        <w:left w:val="none" w:sz="0" w:space="0" w:color="auto"/>
        <w:bottom w:val="none" w:sz="0" w:space="0" w:color="auto"/>
        <w:right w:val="none" w:sz="0" w:space="0" w:color="auto"/>
      </w:divBdr>
    </w:div>
    <w:div w:id="754672407">
      <w:bodyDiv w:val="1"/>
      <w:marLeft w:val="0"/>
      <w:marRight w:val="0"/>
      <w:marTop w:val="0"/>
      <w:marBottom w:val="0"/>
      <w:divBdr>
        <w:top w:val="none" w:sz="0" w:space="0" w:color="auto"/>
        <w:left w:val="none" w:sz="0" w:space="0" w:color="auto"/>
        <w:bottom w:val="none" w:sz="0" w:space="0" w:color="auto"/>
        <w:right w:val="none" w:sz="0" w:space="0" w:color="auto"/>
      </w:divBdr>
    </w:div>
    <w:div w:id="755171595">
      <w:bodyDiv w:val="1"/>
      <w:marLeft w:val="0"/>
      <w:marRight w:val="0"/>
      <w:marTop w:val="0"/>
      <w:marBottom w:val="0"/>
      <w:divBdr>
        <w:top w:val="none" w:sz="0" w:space="0" w:color="auto"/>
        <w:left w:val="none" w:sz="0" w:space="0" w:color="auto"/>
        <w:bottom w:val="none" w:sz="0" w:space="0" w:color="auto"/>
        <w:right w:val="none" w:sz="0" w:space="0" w:color="auto"/>
      </w:divBdr>
    </w:div>
    <w:div w:id="757023817">
      <w:bodyDiv w:val="1"/>
      <w:marLeft w:val="0"/>
      <w:marRight w:val="0"/>
      <w:marTop w:val="0"/>
      <w:marBottom w:val="0"/>
      <w:divBdr>
        <w:top w:val="none" w:sz="0" w:space="0" w:color="auto"/>
        <w:left w:val="none" w:sz="0" w:space="0" w:color="auto"/>
        <w:bottom w:val="none" w:sz="0" w:space="0" w:color="auto"/>
        <w:right w:val="none" w:sz="0" w:space="0" w:color="auto"/>
      </w:divBdr>
    </w:div>
    <w:div w:id="768888865">
      <w:bodyDiv w:val="1"/>
      <w:marLeft w:val="0"/>
      <w:marRight w:val="0"/>
      <w:marTop w:val="0"/>
      <w:marBottom w:val="0"/>
      <w:divBdr>
        <w:top w:val="none" w:sz="0" w:space="0" w:color="auto"/>
        <w:left w:val="none" w:sz="0" w:space="0" w:color="auto"/>
        <w:bottom w:val="none" w:sz="0" w:space="0" w:color="auto"/>
        <w:right w:val="none" w:sz="0" w:space="0" w:color="auto"/>
      </w:divBdr>
    </w:div>
    <w:div w:id="771976596">
      <w:bodyDiv w:val="1"/>
      <w:marLeft w:val="0"/>
      <w:marRight w:val="0"/>
      <w:marTop w:val="0"/>
      <w:marBottom w:val="0"/>
      <w:divBdr>
        <w:top w:val="none" w:sz="0" w:space="0" w:color="auto"/>
        <w:left w:val="none" w:sz="0" w:space="0" w:color="auto"/>
        <w:bottom w:val="none" w:sz="0" w:space="0" w:color="auto"/>
        <w:right w:val="none" w:sz="0" w:space="0" w:color="auto"/>
      </w:divBdr>
    </w:div>
    <w:div w:id="786314083">
      <w:bodyDiv w:val="1"/>
      <w:marLeft w:val="0"/>
      <w:marRight w:val="0"/>
      <w:marTop w:val="0"/>
      <w:marBottom w:val="0"/>
      <w:divBdr>
        <w:top w:val="none" w:sz="0" w:space="0" w:color="auto"/>
        <w:left w:val="none" w:sz="0" w:space="0" w:color="auto"/>
        <w:bottom w:val="none" w:sz="0" w:space="0" w:color="auto"/>
        <w:right w:val="none" w:sz="0" w:space="0" w:color="auto"/>
      </w:divBdr>
    </w:div>
    <w:div w:id="794374060">
      <w:bodyDiv w:val="1"/>
      <w:marLeft w:val="0"/>
      <w:marRight w:val="0"/>
      <w:marTop w:val="0"/>
      <w:marBottom w:val="0"/>
      <w:divBdr>
        <w:top w:val="none" w:sz="0" w:space="0" w:color="auto"/>
        <w:left w:val="none" w:sz="0" w:space="0" w:color="auto"/>
        <w:bottom w:val="none" w:sz="0" w:space="0" w:color="auto"/>
        <w:right w:val="none" w:sz="0" w:space="0" w:color="auto"/>
      </w:divBdr>
    </w:div>
    <w:div w:id="795565274">
      <w:bodyDiv w:val="1"/>
      <w:marLeft w:val="0"/>
      <w:marRight w:val="0"/>
      <w:marTop w:val="0"/>
      <w:marBottom w:val="0"/>
      <w:divBdr>
        <w:top w:val="none" w:sz="0" w:space="0" w:color="auto"/>
        <w:left w:val="none" w:sz="0" w:space="0" w:color="auto"/>
        <w:bottom w:val="none" w:sz="0" w:space="0" w:color="auto"/>
        <w:right w:val="none" w:sz="0" w:space="0" w:color="auto"/>
      </w:divBdr>
    </w:div>
    <w:div w:id="797335748">
      <w:bodyDiv w:val="1"/>
      <w:marLeft w:val="0"/>
      <w:marRight w:val="0"/>
      <w:marTop w:val="0"/>
      <w:marBottom w:val="0"/>
      <w:divBdr>
        <w:top w:val="none" w:sz="0" w:space="0" w:color="auto"/>
        <w:left w:val="none" w:sz="0" w:space="0" w:color="auto"/>
        <w:bottom w:val="none" w:sz="0" w:space="0" w:color="auto"/>
        <w:right w:val="none" w:sz="0" w:space="0" w:color="auto"/>
      </w:divBdr>
    </w:div>
    <w:div w:id="799105209">
      <w:bodyDiv w:val="1"/>
      <w:marLeft w:val="0"/>
      <w:marRight w:val="0"/>
      <w:marTop w:val="0"/>
      <w:marBottom w:val="0"/>
      <w:divBdr>
        <w:top w:val="none" w:sz="0" w:space="0" w:color="auto"/>
        <w:left w:val="none" w:sz="0" w:space="0" w:color="auto"/>
        <w:bottom w:val="none" w:sz="0" w:space="0" w:color="auto"/>
        <w:right w:val="none" w:sz="0" w:space="0" w:color="auto"/>
      </w:divBdr>
    </w:div>
    <w:div w:id="809250635">
      <w:bodyDiv w:val="1"/>
      <w:marLeft w:val="0"/>
      <w:marRight w:val="0"/>
      <w:marTop w:val="0"/>
      <w:marBottom w:val="0"/>
      <w:divBdr>
        <w:top w:val="none" w:sz="0" w:space="0" w:color="auto"/>
        <w:left w:val="none" w:sz="0" w:space="0" w:color="auto"/>
        <w:bottom w:val="none" w:sz="0" w:space="0" w:color="auto"/>
        <w:right w:val="none" w:sz="0" w:space="0" w:color="auto"/>
      </w:divBdr>
    </w:div>
    <w:div w:id="813060515">
      <w:bodyDiv w:val="1"/>
      <w:marLeft w:val="0"/>
      <w:marRight w:val="0"/>
      <w:marTop w:val="0"/>
      <w:marBottom w:val="0"/>
      <w:divBdr>
        <w:top w:val="none" w:sz="0" w:space="0" w:color="auto"/>
        <w:left w:val="none" w:sz="0" w:space="0" w:color="auto"/>
        <w:bottom w:val="none" w:sz="0" w:space="0" w:color="auto"/>
        <w:right w:val="none" w:sz="0" w:space="0" w:color="auto"/>
      </w:divBdr>
    </w:div>
    <w:div w:id="827400202">
      <w:bodyDiv w:val="1"/>
      <w:marLeft w:val="0"/>
      <w:marRight w:val="0"/>
      <w:marTop w:val="0"/>
      <w:marBottom w:val="0"/>
      <w:divBdr>
        <w:top w:val="none" w:sz="0" w:space="0" w:color="auto"/>
        <w:left w:val="none" w:sz="0" w:space="0" w:color="auto"/>
        <w:bottom w:val="none" w:sz="0" w:space="0" w:color="auto"/>
        <w:right w:val="none" w:sz="0" w:space="0" w:color="auto"/>
      </w:divBdr>
    </w:div>
    <w:div w:id="832063059">
      <w:bodyDiv w:val="1"/>
      <w:marLeft w:val="0"/>
      <w:marRight w:val="0"/>
      <w:marTop w:val="0"/>
      <w:marBottom w:val="0"/>
      <w:divBdr>
        <w:top w:val="none" w:sz="0" w:space="0" w:color="auto"/>
        <w:left w:val="none" w:sz="0" w:space="0" w:color="auto"/>
        <w:bottom w:val="none" w:sz="0" w:space="0" w:color="auto"/>
        <w:right w:val="none" w:sz="0" w:space="0" w:color="auto"/>
      </w:divBdr>
    </w:div>
    <w:div w:id="832911013">
      <w:bodyDiv w:val="1"/>
      <w:marLeft w:val="0"/>
      <w:marRight w:val="0"/>
      <w:marTop w:val="0"/>
      <w:marBottom w:val="0"/>
      <w:divBdr>
        <w:top w:val="none" w:sz="0" w:space="0" w:color="auto"/>
        <w:left w:val="none" w:sz="0" w:space="0" w:color="auto"/>
        <w:bottom w:val="none" w:sz="0" w:space="0" w:color="auto"/>
        <w:right w:val="none" w:sz="0" w:space="0" w:color="auto"/>
      </w:divBdr>
    </w:div>
    <w:div w:id="839925601">
      <w:bodyDiv w:val="1"/>
      <w:marLeft w:val="0"/>
      <w:marRight w:val="0"/>
      <w:marTop w:val="0"/>
      <w:marBottom w:val="0"/>
      <w:divBdr>
        <w:top w:val="none" w:sz="0" w:space="0" w:color="auto"/>
        <w:left w:val="none" w:sz="0" w:space="0" w:color="auto"/>
        <w:bottom w:val="none" w:sz="0" w:space="0" w:color="auto"/>
        <w:right w:val="none" w:sz="0" w:space="0" w:color="auto"/>
      </w:divBdr>
    </w:div>
    <w:div w:id="843326188">
      <w:bodyDiv w:val="1"/>
      <w:marLeft w:val="0"/>
      <w:marRight w:val="0"/>
      <w:marTop w:val="0"/>
      <w:marBottom w:val="0"/>
      <w:divBdr>
        <w:top w:val="none" w:sz="0" w:space="0" w:color="auto"/>
        <w:left w:val="none" w:sz="0" w:space="0" w:color="auto"/>
        <w:bottom w:val="none" w:sz="0" w:space="0" w:color="auto"/>
        <w:right w:val="none" w:sz="0" w:space="0" w:color="auto"/>
      </w:divBdr>
    </w:div>
    <w:div w:id="846335080">
      <w:bodyDiv w:val="1"/>
      <w:marLeft w:val="0"/>
      <w:marRight w:val="0"/>
      <w:marTop w:val="0"/>
      <w:marBottom w:val="0"/>
      <w:divBdr>
        <w:top w:val="none" w:sz="0" w:space="0" w:color="auto"/>
        <w:left w:val="none" w:sz="0" w:space="0" w:color="auto"/>
        <w:bottom w:val="none" w:sz="0" w:space="0" w:color="auto"/>
        <w:right w:val="none" w:sz="0" w:space="0" w:color="auto"/>
      </w:divBdr>
    </w:div>
    <w:div w:id="847450365">
      <w:bodyDiv w:val="1"/>
      <w:marLeft w:val="0"/>
      <w:marRight w:val="0"/>
      <w:marTop w:val="0"/>
      <w:marBottom w:val="0"/>
      <w:divBdr>
        <w:top w:val="none" w:sz="0" w:space="0" w:color="auto"/>
        <w:left w:val="none" w:sz="0" w:space="0" w:color="auto"/>
        <w:bottom w:val="none" w:sz="0" w:space="0" w:color="auto"/>
        <w:right w:val="none" w:sz="0" w:space="0" w:color="auto"/>
      </w:divBdr>
    </w:div>
    <w:div w:id="850678803">
      <w:bodyDiv w:val="1"/>
      <w:marLeft w:val="0"/>
      <w:marRight w:val="0"/>
      <w:marTop w:val="0"/>
      <w:marBottom w:val="0"/>
      <w:divBdr>
        <w:top w:val="none" w:sz="0" w:space="0" w:color="auto"/>
        <w:left w:val="none" w:sz="0" w:space="0" w:color="auto"/>
        <w:bottom w:val="none" w:sz="0" w:space="0" w:color="auto"/>
        <w:right w:val="none" w:sz="0" w:space="0" w:color="auto"/>
      </w:divBdr>
    </w:div>
    <w:div w:id="851576964">
      <w:bodyDiv w:val="1"/>
      <w:marLeft w:val="0"/>
      <w:marRight w:val="0"/>
      <w:marTop w:val="0"/>
      <w:marBottom w:val="0"/>
      <w:divBdr>
        <w:top w:val="none" w:sz="0" w:space="0" w:color="auto"/>
        <w:left w:val="none" w:sz="0" w:space="0" w:color="auto"/>
        <w:bottom w:val="none" w:sz="0" w:space="0" w:color="auto"/>
        <w:right w:val="none" w:sz="0" w:space="0" w:color="auto"/>
      </w:divBdr>
      <w:divsChild>
        <w:div w:id="213590493">
          <w:marLeft w:val="0"/>
          <w:marRight w:val="0"/>
          <w:marTop w:val="0"/>
          <w:marBottom w:val="0"/>
          <w:divBdr>
            <w:top w:val="none" w:sz="0" w:space="0" w:color="auto"/>
            <w:left w:val="none" w:sz="0" w:space="0" w:color="auto"/>
            <w:bottom w:val="none" w:sz="0" w:space="0" w:color="auto"/>
            <w:right w:val="none" w:sz="0" w:space="0" w:color="auto"/>
          </w:divBdr>
        </w:div>
        <w:div w:id="919412737">
          <w:marLeft w:val="0"/>
          <w:marRight w:val="0"/>
          <w:marTop w:val="0"/>
          <w:marBottom w:val="0"/>
          <w:divBdr>
            <w:top w:val="none" w:sz="0" w:space="0" w:color="auto"/>
            <w:left w:val="none" w:sz="0" w:space="0" w:color="auto"/>
            <w:bottom w:val="none" w:sz="0" w:space="0" w:color="auto"/>
            <w:right w:val="none" w:sz="0" w:space="0" w:color="auto"/>
          </w:divBdr>
        </w:div>
        <w:div w:id="1188371858">
          <w:marLeft w:val="0"/>
          <w:marRight w:val="0"/>
          <w:marTop w:val="0"/>
          <w:marBottom w:val="0"/>
          <w:divBdr>
            <w:top w:val="none" w:sz="0" w:space="0" w:color="auto"/>
            <w:left w:val="none" w:sz="0" w:space="0" w:color="auto"/>
            <w:bottom w:val="none" w:sz="0" w:space="0" w:color="auto"/>
            <w:right w:val="none" w:sz="0" w:space="0" w:color="auto"/>
          </w:divBdr>
        </w:div>
        <w:div w:id="1375274997">
          <w:marLeft w:val="0"/>
          <w:marRight w:val="0"/>
          <w:marTop w:val="0"/>
          <w:marBottom w:val="0"/>
          <w:divBdr>
            <w:top w:val="none" w:sz="0" w:space="0" w:color="auto"/>
            <w:left w:val="none" w:sz="0" w:space="0" w:color="auto"/>
            <w:bottom w:val="none" w:sz="0" w:space="0" w:color="auto"/>
            <w:right w:val="none" w:sz="0" w:space="0" w:color="auto"/>
          </w:divBdr>
        </w:div>
        <w:div w:id="1653487819">
          <w:marLeft w:val="0"/>
          <w:marRight w:val="0"/>
          <w:marTop w:val="0"/>
          <w:marBottom w:val="0"/>
          <w:divBdr>
            <w:top w:val="none" w:sz="0" w:space="0" w:color="auto"/>
            <w:left w:val="none" w:sz="0" w:space="0" w:color="auto"/>
            <w:bottom w:val="none" w:sz="0" w:space="0" w:color="auto"/>
            <w:right w:val="none" w:sz="0" w:space="0" w:color="auto"/>
          </w:divBdr>
        </w:div>
      </w:divsChild>
    </w:div>
    <w:div w:id="865406803">
      <w:bodyDiv w:val="1"/>
      <w:marLeft w:val="0"/>
      <w:marRight w:val="0"/>
      <w:marTop w:val="0"/>
      <w:marBottom w:val="0"/>
      <w:divBdr>
        <w:top w:val="none" w:sz="0" w:space="0" w:color="auto"/>
        <w:left w:val="none" w:sz="0" w:space="0" w:color="auto"/>
        <w:bottom w:val="none" w:sz="0" w:space="0" w:color="auto"/>
        <w:right w:val="none" w:sz="0" w:space="0" w:color="auto"/>
      </w:divBdr>
    </w:div>
    <w:div w:id="878474564">
      <w:bodyDiv w:val="1"/>
      <w:marLeft w:val="0"/>
      <w:marRight w:val="0"/>
      <w:marTop w:val="0"/>
      <w:marBottom w:val="0"/>
      <w:divBdr>
        <w:top w:val="none" w:sz="0" w:space="0" w:color="auto"/>
        <w:left w:val="none" w:sz="0" w:space="0" w:color="auto"/>
        <w:bottom w:val="none" w:sz="0" w:space="0" w:color="auto"/>
        <w:right w:val="none" w:sz="0" w:space="0" w:color="auto"/>
      </w:divBdr>
    </w:div>
    <w:div w:id="891238171">
      <w:bodyDiv w:val="1"/>
      <w:marLeft w:val="0"/>
      <w:marRight w:val="0"/>
      <w:marTop w:val="0"/>
      <w:marBottom w:val="0"/>
      <w:divBdr>
        <w:top w:val="none" w:sz="0" w:space="0" w:color="auto"/>
        <w:left w:val="none" w:sz="0" w:space="0" w:color="auto"/>
        <w:bottom w:val="none" w:sz="0" w:space="0" w:color="auto"/>
        <w:right w:val="none" w:sz="0" w:space="0" w:color="auto"/>
      </w:divBdr>
      <w:divsChild>
        <w:div w:id="1049501723">
          <w:marLeft w:val="0"/>
          <w:marRight w:val="0"/>
          <w:marTop w:val="0"/>
          <w:marBottom w:val="0"/>
          <w:divBdr>
            <w:top w:val="none" w:sz="0" w:space="0" w:color="auto"/>
            <w:left w:val="none" w:sz="0" w:space="0" w:color="auto"/>
            <w:bottom w:val="none" w:sz="0" w:space="0" w:color="auto"/>
            <w:right w:val="none" w:sz="0" w:space="0" w:color="auto"/>
          </w:divBdr>
          <w:divsChild>
            <w:div w:id="2058698157">
              <w:marLeft w:val="0"/>
              <w:marRight w:val="0"/>
              <w:marTop w:val="0"/>
              <w:marBottom w:val="0"/>
              <w:divBdr>
                <w:top w:val="none" w:sz="0" w:space="0" w:color="auto"/>
                <w:left w:val="none" w:sz="0" w:space="0" w:color="auto"/>
                <w:bottom w:val="none" w:sz="0" w:space="0" w:color="auto"/>
                <w:right w:val="none" w:sz="0" w:space="0" w:color="auto"/>
              </w:divBdr>
              <w:divsChild>
                <w:div w:id="107287406">
                  <w:marLeft w:val="0"/>
                  <w:marRight w:val="0"/>
                  <w:marTop w:val="0"/>
                  <w:marBottom w:val="0"/>
                  <w:divBdr>
                    <w:top w:val="none" w:sz="0" w:space="0" w:color="auto"/>
                    <w:left w:val="none" w:sz="0" w:space="0" w:color="auto"/>
                    <w:bottom w:val="none" w:sz="0" w:space="0" w:color="auto"/>
                    <w:right w:val="none" w:sz="0" w:space="0" w:color="auto"/>
                  </w:divBdr>
                  <w:divsChild>
                    <w:div w:id="6166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32674">
      <w:bodyDiv w:val="1"/>
      <w:marLeft w:val="0"/>
      <w:marRight w:val="0"/>
      <w:marTop w:val="0"/>
      <w:marBottom w:val="0"/>
      <w:divBdr>
        <w:top w:val="none" w:sz="0" w:space="0" w:color="auto"/>
        <w:left w:val="none" w:sz="0" w:space="0" w:color="auto"/>
        <w:bottom w:val="none" w:sz="0" w:space="0" w:color="auto"/>
        <w:right w:val="none" w:sz="0" w:space="0" w:color="auto"/>
      </w:divBdr>
    </w:div>
    <w:div w:id="894126454">
      <w:bodyDiv w:val="1"/>
      <w:marLeft w:val="0"/>
      <w:marRight w:val="0"/>
      <w:marTop w:val="0"/>
      <w:marBottom w:val="0"/>
      <w:divBdr>
        <w:top w:val="none" w:sz="0" w:space="0" w:color="auto"/>
        <w:left w:val="none" w:sz="0" w:space="0" w:color="auto"/>
        <w:bottom w:val="none" w:sz="0" w:space="0" w:color="auto"/>
        <w:right w:val="none" w:sz="0" w:space="0" w:color="auto"/>
      </w:divBdr>
    </w:div>
    <w:div w:id="900406116">
      <w:bodyDiv w:val="1"/>
      <w:marLeft w:val="0"/>
      <w:marRight w:val="0"/>
      <w:marTop w:val="0"/>
      <w:marBottom w:val="0"/>
      <w:divBdr>
        <w:top w:val="none" w:sz="0" w:space="0" w:color="auto"/>
        <w:left w:val="none" w:sz="0" w:space="0" w:color="auto"/>
        <w:bottom w:val="none" w:sz="0" w:space="0" w:color="auto"/>
        <w:right w:val="none" w:sz="0" w:space="0" w:color="auto"/>
      </w:divBdr>
    </w:div>
    <w:div w:id="905258829">
      <w:bodyDiv w:val="1"/>
      <w:marLeft w:val="0"/>
      <w:marRight w:val="0"/>
      <w:marTop w:val="0"/>
      <w:marBottom w:val="0"/>
      <w:divBdr>
        <w:top w:val="none" w:sz="0" w:space="0" w:color="auto"/>
        <w:left w:val="none" w:sz="0" w:space="0" w:color="auto"/>
        <w:bottom w:val="none" w:sz="0" w:space="0" w:color="auto"/>
        <w:right w:val="none" w:sz="0" w:space="0" w:color="auto"/>
      </w:divBdr>
    </w:div>
    <w:div w:id="919101239">
      <w:bodyDiv w:val="1"/>
      <w:marLeft w:val="0"/>
      <w:marRight w:val="0"/>
      <w:marTop w:val="0"/>
      <w:marBottom w:val="0"/>
      <w:divBdr>
        <w:top w:val="none" w:sz="0" w:space="0" w:color="auto"/>
        <w:left w:val="none" w:sz="0" w:space="0" w:color="auto"/>
        <w:bottom w:val="none" w:sz="0" w:space="0" w:color="auto"/>
        <w:right w:val="none" w:sz="0" w:space="0" w:color="auto"/>
      </w:divBdr>
    </w:div>
    <w:div w:id="919563054">
      <w:bodyDiv w:val="1"/>
      <w:marLeft w:val="0"/>
      <w:marRight w:val="0"/>
      <w:marTop w:val="0"/>
      <w:marBottom w:val="0"/>
      <w:divBdr>
        <w:top w:val="none" w:sz="0" w:space="0" w:color="auto"/>
        <w:left w:val="none" w:sz="0" w:space="0" w:color="auto"/>
        <w:bottom w:val="none" w:sz="0" w:space="0" w:color="auto"/>
        <w:right w:val="none" w:sz="0" w:space="0" w:color="auto"/>
      </w:divBdr>
    </w:div>
    <w:div w:id="920990003">
      <w:bodyDiv w:val="1"/>
      <w:marLeft w:val="0"/>
      <w:marRight w:val="0"/>
      <w:marTop w:val="0"/>
      <w:marBottom w:val="0"/>
      <w:divBdr>
        <w:top w:val="none" w:sz="0" w:space="0" w:color="auto"/>
        <w:left w:val="none" w:sz="0" w:space="0" w:color="auto"/>
        <w:bottom w:val="none" w:sz="0" w:space="0" w:color="auto"/>
        <w:right w:val="none" w:sz="0" w:space="0" w:color="auto"/>
      </w:divBdr>
    </w:div>
    <w:div w:id="924538670">
      <w:bodyDiv w:val="1"/>
      <w:marLeft w:val="0"/>
      <w:marRight w:val="0"/>
      <w:marTop w:val="0"/>
      <w:marBottom w:val="0"/>
      <w:divBdr>
        <w:top w:val="none" w:sz="0" w:space="0" w:color="auto"/>
        <w:left w:val="none" w:sz="0" w:space="0" w:color="auto"/>
        <w:bottom w:val="none" w:sz="0" w:space="0" w:color="auto"/>
        <w:right w:val="none" w:sz="0" w:space="0" w:color="auto"/>
      </w:divBdr>
    </w:div>
    <w:div w:id="926157979">
      <w:bodyDiv w:val="1"/>
      <w:marLeft w:val="0"/>
      <w:marRight w:val="0"/>
      <w:marTop w:val="0"/>
      <w:marBottom w:val="0"/>
      <w:divBdr>
        <w:top w:val="none" w:sz="0" w:space="0" w:color="auto"/>
        <w:left w:val="none" w:sz="0" w:space="0" w:color="auto"/>
        <w:bottom w:val="none" w:sz="0" w:space="0" w:color="auto"/>
        <w:right w:val="none" w:sz="0" w:space="0" w:color="auto"/>
      </w:divBdr>
    </w:div>
    <w:div w:id="928395083">
      <w:bodyDiv w:val="1"/>
      <w:marLeft w:val="0"/>
      <w:marRight w:val="0"/>
      <w:marTop w:val="0"/>
      <w:marBottom w:val="0"/>
      <w:divBdr>
        <w:top w:val="none" w:sz="0" w:space="0" w:color="auto"/>
        <w:left w:val="none" w:sz="0" w:space="0" w:color="auto"/>
        <w:bottom w:val="none" w:sz="0" w:space="0" w:color="auto"/>
        <w:right w:val="none" w:sz="0" w:space="0" w:color="auto"/>
      </w:divBdr>
    </w:div>
    <w:div w:id="937251033">
      <w:bodyDiv w:val="1"/>
      <w:marLeft w:val="0"/>
      <w:marRight w:val="0"/>
      <w:marTop w:val="0"/>
      <w:marBottom w:val="0"/>
      <w:divBdr>
        <w:top w:val="none" w:sz="0" w:space="0" w:color="auto"/>
        <w:left w:val="none" w:sz="0" w:space="0" w:color="auto"/>
        <w:bottom w:val="none" w:sz="0" w:space="0" w:color="auto"/>
        <w:right w:val="none" w:sz="0" w:space="0" w:color="auto"/>
      </w:divBdr>
    </w:div>
    <w:div w:id="945311909">
      <w:bodyDiv w:val="1"/>
      <w:marLeft w:val="0"/>
      <w:marRight w:val="0"/>
      <w:marTop w:val="0"/>
      <w:marBottom w:val="0"/>
      <w:divBdr>
        <w:top w:val="none" w:sz="0" w:space="0" w:color="auto"/>
        <w:left w:val="none" w:sz="0" w:space="0" w:color="auto"/>
        <w:bottom w:val="none" w:sz="0" w:space="0" w:color="auto"/>
        <w:right w:val="none" w:sz="0" w:space="0" w:color="auto"/>
      </w:divBdr>
    </w:div>
    <w:div w:id="956331526">
      <w:bodyDiv w:val="1"/>
      <w:marLeft w:val="0"/>
      <w:marRight w:val="0"/>
      <w:marTop w:val="0"/>
      <w:marBottom w:val="0"/>
      <w:divBdr>
        <w:top w:val="none" w:sz="0" w:space="0" w:color="auto"/>
        <w:left w:val="none" w:sz="0" w:space="0" w:color="auto"/>
        <w:bottom w:val="none" w:sz="0" w:space="0" w:color="auto"/>
        <w:right w:val="none" w:sz="0" w:space="0" w:color="auto"/>
      </w:divBdr>
    </w:div>
    <w:div w:id="960958757">
      <w:bodyDiv w:val="1"/>
      <w:marLeft w:val="0"/>
      <w:marRight w:val="0"/>
      <w:marTop w:val="0"/>
      <w:marBottom w:val="0"/>
      <w:divBdr>
        <w:top w:val="none" w:sz="0" w:space="0" w:color="auto"/>
        <w:left w:val="none" w:sz="0" w:space="0" w:color="auto"/>
        <w:bottom w:val="none" w:sz="0" w:space="0" w:color="auto"/>
        <w:right w:val="none" w:sz="0" w:space="0" w:color="auto"/>
      </w:divBdr>
    </w:div>
    <w:div w:id="963072852">
      <w:bodyDiv w:val="1"/>
      <w:marLeft w:val="0"/>
      <w:marRight w:val="0"/>
      <w:marTop w:val="0"/>
      <w:marBottom w:val="0"/>
      <w:divBdr>
        <w:top w:val="none" w:sz="0" w:space="0" w:color="auto"/>
        <w:left w:val="none" w:sz="0" w:space="0" w:color="auto"/>
        <w:bottom w:val="none" w:sz="0" w:space="0" w:color="auto"/>
        <w:right w:val="none" w:sz="0" w:space="0" w:color="auto"/>
      </w:divBdr>
    </w:div>
    <w:div w:id="969749967">
      <w:bodyDiv w:val="1"/>
      <w:marLeft w:val="0"/>
      <w:marRight w:val="0"/>
      <w:marTop w:val="0"/>
      <w:marBottom w:val="0"/>
      <w:divBdr>
        <w:top w:val="none" w:sz="0" w:space="0" w:color="auto"/>
        <w:left w:val="none" w:sz="0" w:space="0" w:color="auto"/>
        <w:bottom w:val="none" w:sz="0" w:space="0" w:color="auto"/>
        <w:right w:val="none" w:sz="0" w:space="0" w:color="auto"/>
      </w:divBdr>
    </w:div>
    <w:div w:id="971178635">
      <w:bodyDiv w:val="1"/>
      <w:marLeft w:val="0"/>
      <w:marRight w:val="0"/>
      <w:marTop w:val="0"/>
      <w:marBottom w:val="0"/>
      <w:divBdr>
        <w:top w:val="none" w:sz="0" w:space="0" w:color="auto"/>
        <w:left w:val="none" w:sz="0" w:space="0" w:color="auto"/>
        <w:bottom w:val="none" w:sz="0" w:space="0" w:color="auto"/>
        <w:right w:val="none" w:sz="0" w:space="0" w:color="auto"/>
      </w:divBdr>
    </w:div>
    <w:div w:id="982199153">
      <w:bodyDiv w:val="1"/>
      <w:marLeft w:val="0"/>
      <w:marRight w:val="0"/>
      <w:marTop w:val="0"/>
      <w:marBottom w:val="0"/>
      <w:divBdr>
        <w:top w:val="none" w:sz="0" w:space="0" w:color="auto"/>
        <w:left w:val="none" w:sz="0" w:space="0" w:color="auto"/>
        <w:bottom w:val="none" w:sz="0" w:space="0" w:color="auto"/>
        <w:right w:val="none" w:sz="0" w:space="0" w:color="auto"/>
      </w:divBdr>
    </w:div>
    <w:div w:id="982274014">
      <w:bodyDiv w:val="1"/>
      <w:marLeft w:val="0"/>
      <w:marRight w:val="0"/>
      <w:marTop w:val="0"/>
      <w:marBottom w:val="0"/>
      <w:divBdr>
        <w:top w:val="none" w:sz="0" w:space="0" w:color="auto"/>
        <w:left w:val="none" w:sz="0" w:space="0" w:color="auto"/>
        <w:bottom w:val="none" w:sz="0" w:space="0" w:color="auto"/>
        <w:right w:val="none" w:sz="0" w:space="0" w:color="auto"/>
      </w:divBdr>
    </w:div>
    <w:div w:id="989746356">
      <w:bodyDiv w:val="1"/>
      <w:marLeft w:val="0"/>
      <w:marRight w:val="0"/>
      <w:marTop w:val="0"/>
      <w:marBottom w:val="0"/>
      <w:divBdr>
        <w:top w:val="none" w:sz="0" w:space="0" w:color="auto"/>
        <w:left w:val="none" w:sz="0" w:space="0" w:color="auto"/>
        <w:bottom w:val="none" w:sz="0" w:space="0" w:color="auto"/>
        <w:right w:val="none" w:sz="0" w:space="0" w:color="auto"/>
      </w:divBdr>
    </w:div>
    <w:div w:id="991786298">
      <w:bodyDiv w:val="1"/>
      <w:marLeft w:val="0"/>
      <w:marRight w:val="0"/>
      <w:marTop w:val="0"/>
      <w:marBottom w:val="0"/>
      <w:divBdr>
        <w:top w:val="none" w:sz="0" w:space="0" w:color="auto"/>
        <w:left w:val="none" w:sz="0" w:space="0" w:color="auto"/>
        <w:bottom w:val="none" w:sz="0" w:space="0" w:color="auto"/>
        <w:right w:val="none" w:sz="0" w:space="0" w:color="auto"/>
      </w:divBdr>
    </w:div>
    <w:div w:id="1003313765">
      <w:bodyDiv w:val="1"/>
      <w:marLeft w:val="0"/>
      <w:marRight w:val="0"/>
      <w:marTop w:val="0"/>
      <w:marBottom w:val="0"/>
      <w:divBdr>
        <w:top w:val="none" w:sz="0" w:space="0" w:color="auto"/>
        <w:left w:val="none" w:sz="0" w:space="0" w:color="auto"/>
        <w:bottom w:val="none" w:sz="0" w:space="0" w:color="auto"/>
        <w:right w:val="none" w:sz="0" w:space="0" w:color="auto"/>
      </w:divBdr>
    </w:div>
    <w:div w:id="1004816292">
      <w:bodyDiv w:val="1"/>
      <w:marLeft w:val="0"/>
      <w:marRight w:val="0"/>
      <w:marTop w:val="0"/>
      <w:marBottom w:val="0"/>
      <w:divBdr>
        <w:top w:val="none" w:sz="0" w:space="0" w:color="auto"/>
        <w:left w:val="none" w:sz="0" w:space="0" w:color="auto"/>
        <w:bottom w:val="none" w:sz="0" w:space="0" w:color="auto"/>
        <w:right w:val="none" w:sz="0" w:space="0" w:color="auto"/>
      </w:divBdr>
    </w:div>
    <w:div w:id="1005325200">
      <w:bodyDiv w:val="1"/>
      <w:marLeft w:val="0"/>
      <w:marRight w:val="0"/>
      <w:marTop w:val="0"/>
      <w:marBottom w:val="0"/>
      <w:divBdr>
        <w:top w:val="none" w:sz="0" w:space="0" w:color="auto"/>
        <w:left w:val="none" w:sz="0" w:space="0" w:color="auto"/>
        <w:bottom w:val="none" w:sz="0" w:space="0" w:color="auto"/>
        <w:right w:val="none" w:sz="0" w:space="0" w:color="auto"/>
      </w:divBdr>
    </w:div>
    <w:div w:id="1014188372">
      <w:bodyDiv w:val="1"/>
      <w:marLeft w:val="0"/>
      <w:marRight w:val="0"/>
      <w:marTop w:val="0"/>
      <w:marBottom w:val="0"/>
      <w:divBdr>
        <w:top w:val="none" w:sz="0" w:space="0" w:color="auto"/>
        <w:left w:val="none" w:sz="0" w:space="0" w:color="auto"/>
        <w:bottom w:val="none" w:sz="0" w:space="0" w:color="auto"/>
        <w:right w:val="none" w:sz="0" w:space="0" w:color="auto"/>
      </w:divBdr>
    </w:div>
    <w:div w:id="1020203531">
      <w:bodyDiv w:val="1"/>
      <w:marLeft w:val="0"/>
      <w:marRight w:val="0"/>
      <w:marTop w:val="0"/>
      <w:marBottom w:val="0"/>
      <w:divBdr>
        <w:top w:val="none" w:sz="0" w:space="0" w:color="auto"/>
        <w:left w:val="none" w:sz="0" w:space="0" w:color="auto"/>
        <w:bottom w:val="none" w:sz="0" w:space="0" w:color="auto"/>
        <w:right w:val="none" w:sz="0" w:space="0" w:color="auto"/>
      </w:divBdr>
    </w:div>
    <w:div w:id="1021784790">
      <w:bodyDiv w:val="1"/>
      <w:marLeft w:val="0"/>
      <w:marRight w:val="0"/>
      <w:marTop w:val="0"/>
      <w:marBottom w:val="0"/>
      <w:divBdr>
        <w:top w:val="none" w:sz="0" w:space="0" w:color="auto"/>
        <w:left w:val="none" w:sz="0" w:space="0" w:color="auto"/>
        <w:bottom w:val="none" w:sz="0" w:space="0" w:color="auto"/>
        <w:right w:val="none" w:sz="0" w:space="0" w:color="auto"/>
      </w:divBdr>
    </w:div>
    <w:div w:id="1023483219">
      <w:bodyDiv w:val="1"/>
      <w:marLeft w:val="0"/>
      <w:marRight w:val="0"/>
      <w:marTop w:val="0"/>
      <w:marBottom w:val="0"/>
      <w:divBdr>
        <w:top w:val="none" w:sz="0" w:space="0" w:color="auto"/>
        <w:left w:val="none" w:sz="0" w:space="0" w:color="auto"/>
        <w:bottom w:val="none" w:sz="0" w:space="0" w:color="auto"/>
        <w:right w:val="none" w:sz="0" w:space="0" w:color="auto"/>
      </w:divBdr>
    </w:div>
    <w:div w:id="1023677351">
      <w:bodyDiv w:val="1"/>
      <w:marLeft w:val="0"/>
      <w:marRight w:val="0"/>
      <w:marTop w:val="0"/>
      <w:marBottom w:val="0"/>
      <w:divBdr>
        <w:top w:val="none" w:sz="0" w:space="0" w:color="auto"/>
        <w:left w:val="none" w:sz="0" w:space="0" w:color="auto"/>
        <w:bottom w:val="none" w:sz="0" w:space="0" w:color="auto"/>
        <w:right w:val="none" w:sz="0" w:space="0" w:color="auto"/>
      </w:divBdr>
    </w:div>
    <w:div w:id="1027559810">
      <w:bodyDiv w:val="1"/>
      <w:marLeft w:val="0"/>
      <w:marRight w:val="0"/>
      <w:marTop w:val="0"/>
      <w:marBottom w:val="0"/>
      <w:divBdr>
        <w:top w:val="none" w:sz="0" w:space="0" w:color="auto"/>
        <w:left w:val="none" w:sz="0" w:space="0" w:color="auto"/>
        <w:bottom w:val="none" w:sz="0" w:space="0" w:color="auto"/>
        <w:right w:val="none" w:sz="0" w:space="0" w:color="auto"/>
      </w:divBdr>
    </w:div>
    <w:div w:id="1034841183">
      <w:bodyDiv w:val="1"/>
      <w:marLeft w:val="0"/>
      <w:marRight w:val="0"/>
      <w:marTop w:val="0"/>
      <w:marBottom w:val="0"/>
      <w:divBdr>
        <w:top w:val="none" w:sz="0" w:space="0" w:color="auto"/>
        <w:left w:val="none" w:sz="0" w:space="0" w:color="auto"/>
        <w:bottom w:val="none" w:sz="0" w:space="0" w:color="auto"/>
        <w:right w:val="none" w:sz="0" w:space="0" w:color="auto"/>
      </w:divBdr>
    </w:div>
    <w:div w:id="1053456848">
      <w:bodyDiv w:val="1"/>
      <w:marLeft w:val="0"/>
      <w:marRight w:val="0"/>
      <w:marTop w:val="0"/>
      <w:marBottom w:val="0"/>
      <w:divBdr>
        <w:top w:val="none" w:sz="0" w:space="0" w:color="auto"/>
        <w:left w:val="none" w:sz="0" w:space="0" w:color="auto"/>
        <w:bottom w:val="none" w:sz="0" w:space="0" w:color="auto"/>
        <w:right w:val="none" w:sz="0" w:space="0" w:color="auto"/>
      </w:divBdr>
    </w:div>
    <w:div w:id="1059209116">
      <w:bodyDiv w:val="1"/>
      <w:marLeft w:val="0"/>
      <w:marRight w:val="0"/>
      <w:marTop w:val="0"/>
      <w:marBottom w:val="0"/>
      <w:divBdr>
        <w:top w:val="none" w:sz="0" w:space="0" w:color="auto"/>
        <w:left w:val="none" w:sz="0" w:space="0" w:color="auto"/>
        <w:bottom w:val="none" w:sz="0" w:space="0" w:color="auto"/>
        <w:right w:val="none" w:sz="0" w:space="0" w:color="auto"/>
      </w:divBdr>
    </w:div>
    <w:div w:id="1064523613">
      <w:bodyDiv w:val="1"/>
      <w:marLeft w:val="0"/>
      <w:marRight w:val="0"/>
      <w:marTop w:val="0"/>
      <w:marBottom w:val="0"/>
      <w:divBdr>
        <w:top w:val="none" w:sz="0" w:space="0" w:color="auto"/>
        <w:left w:val="none" w:sz="0" w:space="0" w:color="auto"/>
        <w:bottom w:val="none" w:sz="0" w:space="0" w:color="auto"/>
        <w:right w:val="none" w:sz="0" w:space="0" w:color="auto"/>
      </w:divBdr>
    </w:div>
    <w:div w:id="1073359064">
      <w:bodyDiv w:val="1"/>
      <w:marLeft w:val="0"/>
      <w:marRight w:val="0"/>
      <w:marTop w:val="0"/>
      <w:marBottom w:val="0"/>
      <w:divBdr>
        <w:top w:val="none" w:sz="0" w:space="0" w:color="auto"/>
        <w:left w:val="none" w:sz="0" w:space="0" w:color="auto"/>
        <w:bottom w:val="none" w:sz="0" w:space="0" w:color="auto"/>
        <w:right w:val="none" w:sz="0" w:space="0" w:color="auto"/>
      </w:divBdr>
    </w:div>
    <w:div w:id="1076166743">
      <w:bodyDiv w:val="1"/>
      <w:marLeft w:val="0"/>
      <w:marRight w:val="0"/>
      <w:marTop w:val="0"/>
      <w:marBottom w:val="0"/>
      <w:divBdr>
        <w:top w:val="none" w:sz="0" w:space="0" w:color="auto"/>
        <w:left w:val="none" w:sz="0" w:space="0" w:color="auto"/>
        <w:bottom w:val="none" w:sz="0" w:space="0" w:color="auto"/>
        <w:right w:val="none" w:sz="0" w:space="0" w:color="auto"/>
      </w:divBdr>
    </w:div>
    <w:div w:id="1080172134">
      <w:bodyDiv w:val="1"/>
      <w:marLeft w:val="0"/>
      <w:marRight w:val="0"/>
      <w:marTop w:val="0"/>
      <w:marBottom w:val="0"/>
      <w:divBdr>
        <w:top w:val="none" w:sz="0" w:space="0" w:color="auto"/>
        <w:left w:val="none" w:sz="0" w:space="0" w:color="auto"/>
        <w:bottom w:val="none" w:sz="0" w:space="0" w:color="auto"/>
        <w:right w:val="none" w:sz="0" w:space="0" w:color="auto"/>
      </w:divBdr>
    </w:div>
    <w:div w:id="1081100545">
      <w:bodyDiv w:val="1"/>
      <w:marLeft w:val="0"/>
      <w:marRight w:val="0"/>
      <w:marTop w:val="0"/>
      <w:marBottom w:val="0"/>
      <w:divBdr>
        <w:top w:val="none" w:sz="0" w:space="0" w:color="auto"/>
        <w:left w:val="none" w:sz="0" w:space="0" w:color="auto"/>
        <w:bottom w:val="none" w:sz="0" w:space="0" w:color="auto"/>
        <w:right w:val="none" w:sz="0" w:space="0" w:color="auto"/>
      </w:divBdr>
    </w:div>
    <w:div w:id="1086263848">
      <w:bodyDiv w:val="1"/>
      <w:marLeft w:val="0"/>
      <w:marRight w:val="0"/>
      <w:marTop w:val="0"/>
      <w:marBottom w:val="0"/>
      <w:divBdr>
        <w:top w:val="none" w:sz="0" w:space="0" w:color="auto"/>
        <w:left w:val="none" w:sz="0" w:space="0" w:color="auto"/>
        <w:bottom w:val="none" w:sz="0" w:space="0" w:color="auto"/>
        <w:right w:val="none" w:sz="0" w:space="0" w:color="auto"/>
      </w:divBdr>
    </w:div>
    <w:div w:id="1087969332">
      <w:marLeft w:val="0"/>
      <w:marRight w:val="0"/>
      <w:marTop w:val="0"/>
      <w:marBottom w:val="0"/>
      <w:divBdr>
        <w:top w:val="none" w:sz="0" w:space="0" w:color="auto"/>
        <w:left w:val="none" w:sz="0" w:space="0" w:color="auto"/>
        <w:bottom w:val="none" w:sz="0" w:space="0" w:color="auto"/>
        <w:right w:val="none" w:sz="0" w:space="0" w:color="auto"/>
      </w:divBdr>
    </w:div>
    <w:div w:id="1087969333">
      <w:marLeft w:val="0"/>
      <w:marRight w:val="0"/>
      <w:marTop w:val="0"/>
      <w:marBottom w:val="0"/>
      <w:divBdr>
        <w:top w:val="none" w:sz="0" w:space="0" w:color="auto"/>
        <w:left w:val="none" w:sz="0" w:space="0" w:color="auto"/>
        <w:bottom w:val="none" w:sz="0" w:space="0" w:color="auto"/>
        <w:right w:val="none" w:sz="0" w:space="0" w:color="auto"/>
      </w:divBdr>
    </w:div>
    <w:div w:id="1087969334">
      <w:marLeft w:val="0"/>
      <w:marRight w:val="0"/>
      <w:marTop w:val="0"/>
      <w:marBottom w:val="0"/>
      <w:divBdr>
        <w:top w:val="none" w:sz="0" w:space="0" w:color="auto"/>
        <w:left w:val="none" w:sz="0" w:space="0" w:color="auto"/>
        <w:bottom w:val="none" w:sz="0" w:space="0" w:color="auto"/>
        <w:right w:val="none" w:sz="0" w:space="0" w:color="auto"/>
      </w:divBdr>
    </w:div>
    <w:div w:id="1087969335">
      <w:marLeft w:val="0"/>
      <w:marRight w:val="0"/>
      <w:marTop w:val="0"/>
      <w:marBottom w:val="0"/>
      <w:divBdr>
        <w:top w:val="none" w:sz="0" w:space="0" w:color="auto"/>
        <w:left w:val="none" w:sz="0" w:space="0" w:color="auto"/>
        <w:bottom w:val="none" w:sz="0" w:space="0" w:color="auto"/>
        <w:right w:val="none" w:sz="0" w:space="0" w:color="auto"/>
      </w:divBdr>
    </w:div>
    <w:div w:id="1087969336">
      <w:marLeft w:val="0"/>
      <w:marRight w:val="0"/>
      <w:marTop w:val="0"/>
      <w:marBottom w:val="0"/>
      <w:divBdr>
        <w:top w:val="none" w:sz="0" w:space="0" w:color="auto"/>
        <w:left w:val="none" w:sz="0" w:space="0" w:color="auto"/>
        <w:bottom w:val="none" w:sz="0" w:space="0" w:color="auto"/>
        <w:right w:val="none" w:sz="0" w:space="0" w:color="auto"/>
      </w:divBdr>
    </w:div>
    <w:div w:id="1087969337">
      <w:marLeft w:val="0"/>
      <w:marRight w:val="0"/>
      <w:marTop w:val="0"/>
      <w:marBottom w:val="0"/>
      <w:divBdr>
        <w:top w:val="none" w:sz="0" w:space="0" w:color="auto"/>
        <w:left w:val="none" w:sz="0" w:space="0" w:color="auto"/>
        <w:bottom w:val="none" w:sz="0" w:space="0" w:color="auto"/>
        <w:right w:val="none" w:sz="0" w:space="0" w:color="auto"/>
      </w:divBdr>
    </w:div>
    <w:div w:id="1087969340">
      <w:marLeft w:val="0"/>
      <w:marRight w:val="0"/>
      <w:marTop w:val="0"/>
      <w:marBottom w:val="0"/>
      <w:divBdr>
        <w:top w:val="none" w:sz="0" w:space="0" w:color="auto"/>
        <w:left w:val="none" w:sz="0" w:space="0" w:color="auto"/>
        <w:bottom w:val="none" w:sz="0" w:space="0" w:color="auto"/>
        <w:right w:val="none" w:sz="0" w:space="0" w:color="auto"/>
      </w:divBdr>
    </w:div>
    <w:div w:id="1087969341">
      <w:marLeft w:val="0"/>
      <w:marRight w:val="0"/>
      <w:marTop w:val="0"/>
      <w:marBottom w:val="0"/>
      <w:divBdr>
        <w:top w:val="none" w:sz="0" w:space="0" w:color="auto"/>
        <w:left w:val="none" w:sz="0" w:space="0" w:color="auto"/>
        <w:bottom w:val="none" w:sz="0" w:space="0" w:color="auto"/>
        <w:right w:val="none" w:sz="0" w:space="0" w:color="auto"/>
      </w:divBdr>
    </w:div>
    <w:div w:id="1087969342">
      <w:marLeft w:val="0"/>
      <w:marRight w:val="0"/>
      <w:marTop w:val="0"/>
      <w:marBottom w:val="0"/>
      <w:divBdr>
        <w:top w:val="none" w:sz="0" w:space="0" w:color="auto"/>
        <w:left w:val="none" w:sz="0" w:space="0" w:color="auto"/>
        <w:bottom w:val="none" w:sz="0" w:space="0" w:color="auto"/>
        <w:right w:val="none" w:sz="0" w:space="0" w:color="auto"/>
      </w:divBdr>
    </w:div>
    <w:div w:id="1087969343">
      <w:marLeft w:val="0"/>
      <w:marRight w:val="0"/>
      <w:marTop w:val="0"/>
      <w:marBottom w:val="0"/>
      <w:divBdr>
        <w:top w:val="none" w:sz="0" w:space="0" w:color="auto"/>
        <w:left w:val="none" w:sz="0" w:space="0" w:color="auto"/>
        <w:bottom w:val="none" w:sz="0" w:space="0" w:color="auto"/>
        <w:right w:val="none" w:sz="0" w:space="0" w:color="auto"/>
      </w:divBdr>
    </w:div>
    <w:div w:id="1087969344">
      <w:marLeft w:val="0"/>
      <w:marRight w:val="0"/>
      <w:marTop w:val="0"/>
      <w:marBottom w:val="0"/>
      <w:divBdr>
        <w:top w:val="none" w:sz="0" w:space="0" w:color="auto"/>
        <w:left w:val="none" w:sz="0" w:space="0" w:color="auto"/>
        <w:bottom w:val="none" w:sz="0" w:space="0" w:color="auto"/>
        <w:right w:val="none" w:sz="0" w:space="0" w:color="auto"/>
      </w:divBdr>
    </w:div>
    <w:div w:id="1087969345">
      <w:marLeft w:val="0"/>
      <w:marRight w:val="0"/>
      <w:marTop w:val="0"/>
      <w:marBottom w:val="0"/>
      <w:divBdr>
        <w:top w:val="none" w:sz="0" w:space="0" w:color="auto"/>
        <w:left w:val="none" w:sz="0" w:space="0" w:color="auto"/>
        <w:bottom w:val="none" w:sz="0" w:space="0" w:color="auto"/>
        <w:right w:val="none" w:sz="0" w:space="0" w:color="auto"/>
      </w:divBdr>
    </w:div>
    <w:div w:id="1087969346">
      <w:marLeft w:val="0"/>
      <w:marRight w:val="0"/>
      <w:marTop w:val="0"/>
      <w:marBottom w:val="0"/>
      <w:divBdr>
        <w:top w:val="none" w:sz="0" w:space="0" w:color="auto"/>
        <w:left w:val="none" w:sz="0" w:space="0" w:color="auto"/>
        <w:bottom w:val="none" w:sz="0" w:space="0" w:color="auto"/>
        <w:right w:val="none" w:sz="0" w:space="0" w:color="auto"/>
      </w:divBdr>
      <w:divsChild>
        <w:div w:id="1087969357">
          <w:marLeft w:val="0"/>
          <w:marRight w:val="0"/>
          <w:marTop w:val="0"/>
          <w:marBottom w:val="0"/>
          <w:divBdr>
            <w:top w:val="none" w:sz="0" w:space="0" w:color="auto"/>
            <w:left w:val="none" w:sz="0" w:space="0" w:color="auto"/>
            <w:bottom w:val="none" w:sz="0" w:space="0" w:color="auto"/>
            <w:right w:val="none" w:sz="0" w:space="0" w:color="auto"/>
          </w:divBdr>
          <w:divsChild>
            <w:div w:id="10879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9347">
      <w:marLeft w:val="0"/>
      <w:marRight w:val="0"/>
      <w:marTop w:val="0"/>
      <w:marBottom w:val="0"/>
      <w:divBdr>
        <w:top w:val="none" w:sz="0" w:space="0" w:color="auto"/>
        <w:left w:val="none" w:sz="0" w:space="0" w:color="auto"/>
        <w:bottom w:val="none" w:sz="0" w:space="0" w:color="auto"/>
        <w:right w:val="none" w:sz="0" w:space="0" w:color="auto"/>
      </w:divBdr>
    </w:div>
    <w:div w:id="1087969348">
      <w:marLeft w:val="0"/>
      <w:marRight w:val="0"/>
      <w:marTop w:val="0"/>
      <w:marBottom w:val="0"/>
      <w:divBdr>
        <w:top w:val="none" w:sz="0" w:space="0" w:color="auto"/>
        <w:left w:val="none" w:sz="0" w:space="0" w:color="auto"/>
        <w:bottom w:val="none" w:sz="0" w:space="0" w:color="auto"/>
        <w:right w:val="none" w:sz="0" w:space="0" w:color="auto"/>
      </w:divBdr>
      <w:divsChild>
        <w:div w:id="1087969339">
          <w:marLeft w:val="0"/>
          <w:marRight w:val="0"/>
          <w:marTop w:val="0"/>
          <w:marBottom w:val="0"/>
          <w:divBdr>
            <w:top w:val="none" w:sz="0" w:space="0" w:color="auto"/>
            <w:left w:val="none" w:sz="0" w:space="0" w:color="auto"/>
            <w:bottom w:val="none" w:sz="0" w:space="0" w:color="auto"/>
            <w:right w:val="none" w:sz="0" w:space="0" w:color="auto"/>
          </w:divBdr>
          <w:divsChild>
            <w:div w:id="10879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9349">
      <w:marLeft w:val="0"/>
      <w:marRight w:val="0"/>
      <w:marTop w:val="0"/>
      <w:marBottom w:val="0"/>
      <w:divBdr>
        <w:top w:val="none" w:sz="0" w:space="0" w:color="auto"/>
        <w:left w:val="none" w:sz="0" w:space="0" w:color="auto"/>
        <w:bottom w:val="none" w:sz="0" w:space="0" w:color="auto"/>
        <w:right w:val="none" w:sz="0" w:space="0" w:color="auto"/>
      </w:divBdr>
    </w:div>
    <w:div w:id="1087969350">
      <w:marLeft w:val="0"/>
      <w:marRight w:val="0"/>
      <w:marTop w:val="0"/>
      <w:marBottom w:val="0"/>
      <w:divBdr>
        <w:top w:val="none" w:sz="0" w:space="0" w:color="auto"/>
        <w:left w:val="none" w:sz="0" w:space="0" w:color="auto"/>
        <w:bottom w:val="none" w:sz="0" w:space="0" w:color="auto"/>
        <w:right w:val="none" w:sz="0" w:space="0" w:color="auto"/>
      </w:divBdr>
    </w:div>
    <w:div w:id="1087969351">
      <w:marLeft w:val="0"/>
      <w:marRight w:val="0"/>
      <w:marTop w:val="0"/>
      <w:marBottom w:val="0"/>
      <w:divBdr>
        <w:top w:val="none" w:sz="0" w:space="0" w:color="auto"/>
        <w:left w:val="none" w:sz="0" w:space="0" w:color="auto"/>
        <w:bottom w:val="none" w:sz="0" w:space="0" w:color="auto"/>
        <w:right w:val="none" w:sz="0" w:space="0" w:color="auto"/>
      </w:divBdr>
    </w:div>
    <w:div w:id="1087969352">
      <w:marLeft w:val="0"/>
      <w:marRight w:val="0"/>
      <w:marTop w:val="0"/>
      <w:marBottom w:val="0"/>
      <w:divBdr>
        <w:top w:val="none" w:sz="0" w:space="0" w:color="auto"/>
        <w:left w:val="none" w:sz="0" w:space="0" w:color="auto"/>
        <w:bottom w:val="none" w:sz="0" w:space="0" w:color="auto"/>
        <w:right w:val="none" w:sz="0" w:space="0" w:color="auto"/>
      </w:divBdr>
    </w:div>
    <w:div w:id="1087969353">
      <w:marLeft w:val="0"/>
      <w:marRight w:val="0"/>
      <w:marTop w:val="0"/>
      <w:marBottom w:val="0"/>
      <w:divBdr>
        <w:top w:val="none" w:sz="0" w:space="0" w:color="auto"/>
        <w:left w:val="none" w:sz="0" w:space="0" w:color="auto"/>
        <w:bottom w:val="none" w:sz="0" w:space="0" w:color="auto"/>
        <w:right w:val="none" w:sz="0" w:space="0" w:color="auto"/>
      </w:divBdr>
    </w:div>
    <w:div w:id="1087969354">
      <w:marLeft w:val="0"/>
      <w:marRight w:val="0"/>
      <w:marTop w:val="0"/>
      <w:marBottom w:val="0"/>
      <w:divBdr>
        <w:top w:val="none" w:sz="0" w:space="0" w:color="auto"/>
        <w:left w:val="none" w:sz="0" w:space="0" w:color="auto"/>
        <w:bottom w:val="none" w:sz="0" w:space="0" w:color="auto"/>
        <w:right w:val="none" w:sz="0" w:space="0" w:color="auto"/>
      </w:divBdr>
    </w:div>
    <w:div w:id="1087969356">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
    <w:div w:id="1097597020">
      <w:bodyDiv w:val="1"/>
      <w:marLeft w:val="0"/>
      <w:marRight w:val="0"/>
      <w:marTop w:val="0"/>
      <w:marBottom w:val="0"/>
      <w:divBdr>
        <w:top w:val="none" w:sz="0" w:space="0" w:color="auto"/>
        <w:left w:val="none" w:sz="0" w:space="0" w:color="auto"/>
        <w:bottom w:val="none" w:sz="0" w:space="0" w:color="auto"/>
        <w:right w:val="none" w:sz="0" w:space="0" w:color="auto"/>
      </w:divBdr>
    </w:div>
    <w:div w:id="1112674577">
      <w:bodyDiv w:val="1"/>
      <w:marLeft w:val="0"/>
      <w:marRight w:val="0"/>
      <w:marTop w:val="0"/>
      <w:marBottom w:val="0"/>
      <w:divBdr>
        <w:top w:val="none" w:sz="0" w:space="0" w:color="auto"/>
        <w:left w:val="none" w:sz="0" w:space="0" w:color="auto"/>
        <w:bottom w:val="none" w:sz="0" w:space="0" w:color="auto"/>
        <w:right w:val="none" w:sz="0" w:space="0" w:color="auto"/>
      </w:divBdr>
    </w:div>
    <w:div w:id="1115294463">
      <w:bodyDiv w:val="1"/>
      <w:marLeft w:val="0"/>
      <w:marRight w:val="0"/>
      <w:marTop w:val="0"/>
      <w:marBottom w:val="0"/>
      <w:divBdr>
        <w:top w:val="none" w:sz="0" w:space="0" w:color="auto"/>
        <w:left w:val="none" w:sz="0" w:space="0" w:color="auto"/>
        <w:bottom w:val="none" w:sz="0" w:space="0" w:color="auto"/>
        <w:right w:val="none" w:sz="0" w:space="0" w:color="auto"/>
      </w:divBdr>
    </w:div>
    <w:div w:id="1118917891">
      <w:bodyDiv w:val="1"/>
      <w:marLeft w:val="0"/>
      <w:marRight w:val="0"/>
      <w:marTop w:val="0"/>
      <w:marBottom w:val="0"/>
      <w:divBdr>
        <w:top w:val="none" w:sz="0" w:space="0" w:color="auto"/>
        <w:left w:val="none" w:sz="0" w:space="0" w:color="auto"/>
        <w:bottom w:val="none" w:sz="0" w:space="0" w:color="auto"/>
        <w:right w:val="none" w:sz="0" w:space="0" w:color="auto"/>
      </w:divBdr>
    </w:div>
    <w:div w:id="1127048918">
      <w:bodyDiv w:val="1"/>
      <w:marLeft w:val="0"/>
      <w:marRight w:val="0"/>
      <w:marTop w:val="0"/>
      <w:marBottom w:val="0"/>
      <w:divBdr>
        <w:top w:val="none" w:sz="0" w:space="0" w:color="auto"/>
        <w:left w:val="none" w:sz="0" w:space="0" w:color="auto"/>
        <w:bottom w:val="none" w:sz="0" w:space="0" w:color="auto"/>
        <w:right w:val="none" w:sz="0" w:space="0" w:color="auto"/>
      </w:divBdr>
    </w:div>
    <w:div w:id="1128667403">
      <w:bodyDiv w:val="1"/>
      <w:marLeft w:val="0"/>
      <w:marRight w:val="0"/>
      <w:marTop w:val="0"/>
      <w:marBottom w:val="0"/>
      <w:divBdr>
        <w:top w:val="none" w:sz="0" w:space="0" w:color="auto"/>
        <w:left w:val="none" w:sz="0" w:space="0" w:color="auto"/>
        <w:bottom w:val="none" w:sz="0" w:space="0" w:color="auto"/>
        <w:right w:val="none" w:sz="0" w:space="0" w:color="auto"/>
      </w:divBdr>
    </w:div>
    <w:div w:id="1133674012">
      <w:bodyDiv w:val="1"/>
      <w:marLeft w:val="0"/>
      <w:marRight w:val="0"/>
      <w:marTop w:val="0"/>
      <w:marBottom w:val="0"/>
      <w:divBdr>
        <w:top w:val="none" w:sz="0" w:space="0" w:color="auto"/>
        <w:left w:val="none" w:sz="0" w:space="0" w:color="auto"/>
        <w:bottom w:val="none" w:sz="0" w:space="0" w:color="auto"/>
        <w:right w:val="none" w:sz="0" w:space="0" w:color="auto"/>
      </w:divBdr>
    </w:div>
    <w:div w:id="1137838359">
      <w:bodyDiv w:val="1"/>
      <w:marLeft w:val="0"/>
      <w:marRight w:val="0"/>
      <w:marTop w:val="0"/>
      <w:marBottom w:val="0"/>
      <w:divBdr>
        <w:top w:val="none" w:sz="0" w:space="0" w:color="auto"/>
        <w:left w:val="none" w:sz="0" w:space="0" w:color="auto"/>
        <w:bottom w:val="none" w:sz="0" w:space="0" w:color="auto"/>
        <w:right w:val="none" w:sz="0" w:space="0" w:color="auto"/>
      </w:divBdr>
    </w:div>
    <w:div w:id="1139688530">
      <w:bodyDiv w:val="1"/>
      <w:marLeft w:val="0"/>
      <w:marRight w:val="0"/>
      <w:marTop w:val="0"/>
      <w:marBottom w:val="0"/>
      <w:divBdr>
        <w:top w:val="none" w:sz="0" w:space="0" w:color="auto"/>
        <w:left w:val="none" w:sz="0" w:space="0" w:color="auto"/>
        <w:bottom w:val="none" w:sz="0" w:space="0" w:color="auto"/>
        <w:right w:val="none" w:sz="0" w:space="0" w:color="auto"/>
      </w:divBdr>
    </w:div>
    <w:div w:id="1145194565">
      <w:bodyDiv w:val="1"/>
      <w:marLeft w:val="0"/>
      <w:marRight w:val="0"/>
      <w:marTop w:val="0"/>
      <w:marBottom w:val="0"/>
      <w:divBdr>
        <w:top w:val="none" w:sz="0" w:space="0" w:color="auto"/>
        <w:left w:val="none" w:sz="0" w:space="0" w:color="auto"/>
        <w:bottom w:val="none" w:sz="0" w:space="0" w:color="auto"/>
        <w:right w:val="none" w:sz="0" w:space="0" w:color="auto"/>
      </w:divBdr>
    </w:div>
    <w:div w:id="1148977533">
      <w:bodyDiv w:val="1"/>
      <w:marLeft w:val="0"/>
      <w:marRight w:val="0"/>
      <w:marTop w:val="0"/>
      <w:marBottom w:val="0"/>
      <w:divBdr>
        <w:top w:val="none" w:sz="0" w:space="0" w:color="auto"/>
        <w:left w:val="none" w:sz="0" w:space="0" w:color="auto"/>
        <w:bottom w:val="none" w:sz="0" w:space="0" w:color="auto"/>
        <w:right w:val="none" w:sz="0" w:space="0" w:color="auto"/>
      </w:divBdr>
    </w:div>
    <w:div w:id="1159923528">
      <w:bodyDiv w:val="1"/>
      <w:marLeft w:val="0"/>
      <w:marRight w:val="0"/>
      <w:marTop w:val="0"/>
      <w:marBottom w:val="0"/>
      <w:divBdr>
        <w:top w:val="none" w:sz="0" w:space="0" w:color="auto"/>
        <w:left w:val="none" w:sz="0" w:space="0" w:color="auto"/>
        <w:bottom w:val="none" w:sz="0" w:space="0" w:color="auto"/>
        <w:right w:val="none" w:sz="0" w:space="0" w:color="auto"/>
      </w:divBdr>
    </w:div>
    <w:div w:id="1166287418">
      <w:bodyDiv w:val="1"/>
      <w:marLeft w:val="0"/>
      <w:marRight w:val="0"/>
      <w:marTop w:val="0"/>
      <w:marBottom w:val="0"/>
      <w:divBdr>
        <w:top w:val="none" w:sz="0" w:space="0" w:color="auto"/>
        <w:left w:val="none" w:sz="0" w:space="0" w:color="auto"/>
        <w:bottom w:val="none" w:sz="0" w:space="0" w:color="auto"/>
        <w:right w:val="none" w:sz="0" w:space="0" w:color="auto"/>
      </w:divBdr>
    </w:div>
    <w:div w:id="1174879076">
      <w:bodyDiv w:val="1"/>
      <w:marLeft w:val="0"/>
      <w:marRight w:val="0"/>
      <w:marTop w:val="0"/>
      <w:marBottom w:val="0"/>
      <w:divBdr>
        <w:top w:val="none" w:sz="0" w:space="0" w:color="auto"/>
        <w:left w:val="none" w:sz="0" w:space="0" w:color="auto"/>
        <w:bottom w:val="none" w:sz="0" w:space="0" w:color="auto"/>
        <w:right w:val="none" w:sz="0" w:space="0" w:color="auto"/>
      </w:divBdr>
    </w:div>
    <w:div w:id="1177965113">
      <w:bodyDiv w:val="1"/>
      <w:marLeft w:val="0"/>
      <w:marRight w:val="0"/>
      <w:marTop w:val="0"/>
      <w:marBottom w:val="0"/>
      <w:divBdr>
        <w:top w:val="none" w:sz="0" w:space="0" w:color="auto"/>
        <w:left w:val="none" w:sz="0" w:space="0" w:color="auto"/>
        <w:bottom w:val="none" w:sz="0" w:space="0" w:color="auto"/>
        <w:right w:val="none" w:sz="0" w:space="0" w:color="auto"/>
      </w:divBdr>
    </w:div>
    <w:div w:id="1178616633">
      <w:bodyDiv w:val="1"/>
      <w:marLeft w:val="0"/>
      <w:marRight w:val="0"/>
      <w:marTop w:val="0"/>
      <w:marBottom w:val="0"/>
      <w:divBdr>
        <w:top w:val="none" w:sz="0" w:space="0" w:color="auto"/>
        <w:left w:val="none" w:sz="0" w:space="0" w:color="auto"/>
        <w:bottom w:val="none" w:sz="0" w:space="0" w:color="auto"/>
        <w:right w:val="none" w:sz="0" w:space="0" w:color="auto"/>
      </w:divBdr>
    </w:div>
    <w:div w:id="1223492080">
      <w:bodyDiv w:val="1"/>
      <w:marLeft w:val="0"/>
      <w:marRight w:val="0"/>
      <w:marTop w:val="0"/>
      <w:marBottom w:val="0"/>
      <w:divBdr>
        <w:top w:val="none" w:sz="0" w:space="0" w:color="auto"/>
        <w:left w:val="none" w:sz="0" w:space="0" w:color="auto"/>
        <w:bottom w:val="none" w:sz="0" w:space="0" w:color="auto"/>
        <w:right w:val="none" w:sz="0" w:space="0" w:color="auto"/>
      </w:divBdr>
    </w:div>
    <w:div w:id="1232427520">
      <w:bodyDiv w:val="1"/>
      <w:marLeft w:val="0"/>
      <w:marRight w:val="0"/>
      <w:marTop w:val="0"/>
      <w:marBottom w:val="0"/>
      <w:divBdr>
        <w:top w:val="none" w:sz="0" w:space="0" w:color="auto"/>
        <w:left w:val="none" w:sz="0" w:space="0" w:color="auto"/>
        <w:bottom w:val="none" w:sz="0" w:space="0" w:color="auto"/>
        <w:right w:val="none" w:sz="0" w:space="0" w:color="auto"/>
      </w:divBdr>
    </w:div>
    <w:div w:id="1234005343">
      <w:bodyDiv w:val="1"/>
      <w:marLeft w:val="0"/>
      <w:marRight w:val="0"/>
      <w:marTop w:val="0"/>
      <w:marBottom w:val="0"/>
      <w:divBdr>
        <w:top w:val="none" w:sz="0" w:space="0" w:color="auto"/>
        <w:left w:val="none" w:sz="0" w:space="0" w:color="auto"/>
        <w:bottom w:val="none" w:sz="0" w:space="0" w:color="auto"/>
        <w:right w:val="none" w:sz="0" w:space="0" w:color="auto"/>
      </w:divBdr>
    </w:div>
    <w:div w:id="1236277666">
      <w:bodyDiv w:val="1"/>
      <w:marLeft w:val="0"/>
      <w:marRight w:val="0"/>
      <w:marTop w:val="0"/>
      <w:marBottom w:val="0"/>
      <w:divBdr>
        <w:top w:val="none" w:sz="0" w:space="0" w:color="auto"/>
        <w:left w:val="none" w:sz="0" w:space="0" w:color="auto"/>
        <w:bottom w:val="none" w:sz="0" w:space="0" w:color="auto"/>
        <w:right w:val="none" w:sz="0" w:space="0" w:color="auto"/>
      </w:divBdr>
    </w:div>
    <w:div w:id="1242255198">
      <w:bodyDiv w:val="1"/>
      <w:marLeft w:val="0"/>
      <w:marRight w:val="0"/>
      <w:marTop w:val="0"/>
      <w:marBottom w:val="0"/>
      <w:divBdr>
        <w:top w:val="none" w:sz="0" w:space="0" w:color="auto"/>
        <w:left w:val="none" w:sz="0" w:space="0" w:color="auto"/>
        <w:bottom w:val="none" w:sz="0" w:space="0" w:color="auto"/>
        <w:right w:val="none" w:sz="0" w:space="0" w:color="auto"/>
      </w:divBdr>
    </w:div>
    <w:div w:id="1242982111">
      <w:bodyDiv w:val="1"/>
      <w:marLeft w:val="0"/>
      <w:marRight w:val="0"/>
      <w:marTop w:val="0"/>
      <w:marBottom w:val="0"/>
      <w:divBdr>
        <w:top w:val="none" w:sz="0" w:space="0" w:color="auto"/>
        <w:left w:val="none" w:sz="0" w:space="0" w:color="auto"/>
        <w:bottom w:val="none" w:sz="0" w:space="0" w:color="auto"/>
        <w:right w:val="none" w:sz="0" w:space="0" w:color="auto"/>
      </w:divBdr>
    </w:div>
    <w:div w:id="1245603678">
      <w:bodyDiv w:val="1"/>
      <w:marLeft w:val="0"/>
      <w:marRight w:val="0"/>
      <w:marTop w:val="0"/>
      <w:marBottom w:val="0"/>
      <w:divBdr>
        <w:top w:val="none" w:sz="0" w:space="0" w:color="auto"/>
        <w:left w:val="none" w:sz="0" w:space="0" w:color="auto"/>
        <w:bottom w:val="none" w:sz="0" w:space="0" w:color="auto"/>
        <w:right w:val="none" w:sz="0" w:space="0" w:color="auto"/>
      </w:divBdr>
    </w:div>
    <w:div w:id="1252154582">
      <w:bodyDiv w:val="1"/>
      <w:marLeft w:val="0"/>
      <w:marRight w:val="0"/>
      <w:marTop w:val="0"/>
      <w:marBottom w:val="0"/>
      <w:divBdr>
        <w:top w:val="none" w:sz="0" w:space="0" w:color="auto"/>
        <w:left w:val="none" w:sz="0" w:space="0" w:color="auto"/>
        <w:bottom w:val="none" w:sz="0" w:space="0" w:color="auto"/>
        <w:right w:val="none" w:sz="0" w:space="0" w:color="auto"/>
      </w:divBdr>
    </w:div>
    <w:div w:id="1263875591">
      <w:bodyDiv w:val="1"/>
      <w:marLeft w:val="0"/>
      <w:marRight w:val="0"/>
      <w:marTop w:val="0"/>
      <w:marBottom w:val="0"/>
      <w:divBdr>
        <w:top w:val="none" w:sz="0" w:space="0" w:color="auto"/>
        <w:left w:val="none" w:sz="0" w:space="0" w:color="auto"/>
        <w:bottom w:val="none" w:sz="0" w:space="0" w:color="auto"/>
        <w:right w:val="none" w:sz="0" w:space="0" w:color="auto"/>
      </w:divBdr>
    </w:div>
    <w:div w:id="1267888591">
      <w:bodyDiv w:val="1"/>
      <w:marLeft w:val="0"/>
      <w:marRight w:val="0"/>
      <w:marTop w:val="0"/>
      <w:marBottom w:val="0"/>
      <w:divBdr>
        <w:top w:val="none" w:sz="0" w:space="0" w:color="auto"/>
        <w:left w:val="none" w:sz="0" w:space="0" w:color="auto"/>
        <w:bottom w:val="none" w:sz="0" w:space="0" w:color="auto"/>
        <w:right w:val="none" w:sz="0" w:space="0" w:color="auto"/>
      </w:divBdr>
    </w:div>
    <w:div w:id="1270817272">
      <w:bodyDiv w:val="1"/>
      <w:marLeft w:val="0"/>
      <w:marRight w:val="0"/>
      <w:marTop w:val="0"/>
      <w:marBottom w:val="0"/>
      <w:divBdr>
        <w:top w:val="none" w:sz="0" w:space="0" w:color="auto"/>
        <w:left w:val="none" w:sz="0" w:space="0" w:color="auto"/>
        <w:bottom w:val="none" w:sz="0" w:space="0" w:color="auto"/>
        <w:right w:val="none" w:sz="0" w:space="0" w:color="auto"/>
      </w:divBdr>
    </w:div>
    <w:div w:id="1284387431">
      <w:bodyDiv w:val="1"/>
      <w:marLeft w:val="0"/>
      <w:marRight w:val="0"/>
      <w:marTop w:val="0"/>
      <w:marBottom w:val="0"/>
      <w:divBdr>
        <w:top w:val="none" w:sz="0" w:space="0" w:color="auto"/>
        <w:left w:val="none" w:sz="0" w:space="0" w:color="auto"/>
        <w:bottom w:val="none" w:sz="0" w:space="0" w:color="auto"/>
        <w:right w:val="none" w:sz="0" w:space="0" w:color="auto"/>
      </w:divBdr>
    </w:div>
    <w:div w:id="1297225510">
      <w:bodyDiv w:val="1"/>
      <w:marLeft w:val="0"/>
      <w:marRight w:val="0"/>
      <w:marTop w:val="0"/>
      <w:marBottom w:val="0"/>
      <w:divBdr>
        <w:top w:val="none" w:sz="0" w:space="0" w:color="auto"/>
        <w:left w:val="none" w:sz="0" w:space="0" w:color="auto"/>
        <w:bottom w:val="none" w:sz="0" w:space="0" w:color="auto"/>
        <w:right w:val="none" w:sz="0" w:space="0" w:color="auto"/>
      </w:divBdr>
    </w:div>
    <w:div w:id="1301571657">
      <w:bodyDiv w:val="1"/>
      <w:marLeft w:val="0"/>
      <w:marRight w:val="0"/>
      <w:marTop w:val="0"/>
      <w:marBottom w:val="0"/>
      <w:divBdr>
        <w:top w:val="none" w:sz="0" w:space="0" w:color="auto"/>
        <w:left w:val="none" w:sz="0" w:space="0" w:color="auto"/>
        <w:bottom w:val="none" w:sz="0" w:space="0" w:color="auto"/>
        <w:right w:val="none" w:sz="0" w:space="0" w:color="auto"/>
      </w:divBdr>
    </w:div>
    <w:div w:id="1304651872">
      <w:bodyDiv w:val="1"/>
      <w:marLeft w:val="0"/>
      <w:marRight w:val="0"/>
      <w:marTop w:val="0"/>
      <w:marBottom w:val="0"/>
      <w:divBdr>
        <w:top w:val="none" w:sz="0" w:space="0" w:color="auto"/>
        <w:left w:val="none" w:sz="0" w:space="0" w:color="auto"/>
        <w:bottom w:val="none" w:sz="0" w:space="0" w:color="auto"/>
        <w:right w:val="none" w:sz="0" w:space="0" w:color="auto"/>
      </w:divBdr>
    </w:div>
    <w:div w:id="1305354110">
      <w:bodyDiv w:val="1"/>
      <w:marLeft w:val="0"/>
      <w:marRight w:val="0"/>
      <w:marTop w:val="0"/>
      <w:marBottom w:val="0"/>
      <w:divBdr>
        <w:top w:val="none" w:sz="0" w:space="0" w:color="auto"/>
        <w:left w:val="none" w:sz="0" w:space="0" w:color="auto"/>
        <w:bottom w:val="none" w:sz="0" w:space="0" w:color="auto"/>
        <w:right w:val="none" w:sz="0" w:space="0" w:color="auto"/>
      </w:divBdr>
    </w:div>
    <w:div w:id="1307007642">
      <w:bodyDiv w:val="1"/>
      <w:marLeft w:val="0"/>
      <w:marRight w:val="0"/>
      <w:marTop w:val="0"/>
      <w:marBottom w:val="0"/>
      <w:divBdr>
        <w:top w:val="none" w:sz="0" w:space="0" w:color="auto"/>
        <w:left w:val="none" w:sz="0" w:space="0" w:color="auto"/>
        <w:bottom w:val="none" w:sz="0" w:space="0" w:color="auto"/>
        <w:right w:val="none" w:sz="0" w:space="0" w:color="auto"/>
      </w:divBdr>
    </w:div>
    <w:div w:id="1331980789">
      <w:bodyDiv w:val="1"/>
      <w:marLeft w:val="0"/>
      <w:marRight w:val="0"/>
      <w:marTop w:val="0"/>
      <w:marBottom w:val="0"/>
      <w:divBdr>
        <w:top w:val="none" w:sz="0" w:space="0" w:color="auto"/>
        <w:left w:val="none" w:sz="0" w:space="0" w:color="auto"/>
        <w:bottom w:val="none" w:sz="0" w:space="0" w:color="auto"/>
        <w:right w:val="none" w:sz="0" w:space="0" w:color="auto"/>
      </w:divBdr>
    </w:div>
    <w:div w:id="1338119426">
      <w:bodyDiv w:val="1"/>
      <w:marLeft w:val="0"/>
      <w:marRight w:val="0"/>
      <w:marTop w:val="0"/>
      <w:marBottom w:val="0"/>
      <w:divBdr>
        <w:top w:val="none" w:sz="0" w:space="0" w:color="auto"/>
        <w:left w:val="none" w:sz="0" w:space="0" w:color="auto"/>
        <w:bottom w:val="none" w:sz="0" w:space="0" w:color="auto"/>
        <w:right w:val="none" w:sz="0" w:space="0" w:color="auto"/>
      </w:divBdr>
    </w:div>
    <w:div w:id="1363091674">
      <w:bodyDiv w:val="1"/>
      <w:marLeft w:val="0"/>
      <w:marRight w:val="0"/>
      <w:marTop w:val="0"/>
      <w:marBottom w:val="0"/>
      <w:divBdr>
        <w:top w:val="none" w:sz="0" w:space="0" w:color="auto"/>
        <w:left w:val="none" w:sz="0" w:space="0" w:color="auto"/>
        <w:bottom w:val="none" w:sz="0" w:space="0" w:color="auto"/>
        <w:right w:val="none" w:sz="0" w:space="0" w:color="auto"/>
      </w:divBdr>
    </w:div>
    <w:div w:id="1396244813">
      <w:bodyDiv w:val="1"/>
      <w:marLeft w:val="0"/>
      <w:marRight w:val="0"/>
      <w:marTop w:val="0"/>
      <w:marBottom w:val="0"/>
      <w:divBdr>
        <w:top w:val="none" w:sz="0" w:space="0" w:color="auto"/>
        <w:left w:val="none" w:sz="0" w:space="0" w:color="auto"/>
        <w:bottom w:val="none" w:sz="0" w:space="0" w:color="auto"/>
        <w:right w:val="none" w:sz="0" w:space="0" w:color="auto"/>
      </w:divBdr>
    </w:div>
    <w:div w:id="1398627534">
      <w:bodyDiv w:val="1"/>
      <w:marLeft w:val="0"/>
      <w:marRight w:val="0"/>
      <w:marTop w:val="0"/>
      <w:marBottom w:val="0"/>
      <w:divBdr>
        <w:top w:val="none" w:sz="0" w:space="0" w:color="auto"/>
        <w:left w:val="none" w:sz="0" w:space="0" w:color="auto"/>
        <w:bottom w:val="none" w:sz="0" w:space="0" w:color="auto"/>
        <w:right w:val="none" w:sz="0" w:space="0" w:color="auto"/>
      </w:divBdr>
    </w:div>
    <w:div w:id="1399279003">
      <w:bodyDiv w:val="1"/>
      <w:marLeft w:val="0"/>
      <w:marRight w:val="0"/>
      <w:marTop w:val="0"/>
      <w:marBottom w:val="0"/>
      <w:divBdr>
        <w:top w:val="none" w:sz="0" w:space="0" w:color="auto"/>
        <w:left w:val="none" w:sz="0" w:space="0" w:color="auto"/>
        <w:bottom w:val="none" w:sz="0" w:space="0" w:color="auto"/>
        <w:right w:val="none" w:sz="0" w:space="0" w:color="auto"/>
      </w:divBdr>
    </w:div>
    <w:div w:id="1400906658">
      <w:bodyDiv w:val="1"/>
      <w:marLeft w:val="0"/>
      <w:marRight w:val="0"/>
      <w:marTop w:val="0"/>
      <w:marBottom w:val="0"/>
      <w:divBdr>
        <w:top w:val="none" w:sz="0" w:space="0" w:color="auto"/>
        <w:left w:val="none" w:sz="0" w:space="0" w:color="auto"/>
        <w:bottom w:val="none" w:sz="0" w:space="0" w:color="auto"/>
        <w:right w:val="none" w:sz="0" w:space="0" w:color="auto"/>
      </w:divBdr>
    </w:div>
    <w:div w:id="1402800168">
      <w:bodyDiv w:val="1"/>
      <w:marLeft w:val="0"/>
      <w:marRight w:val="0"/>
      <w:marTop w:val="0"/>
      <w:marBottom w:val="0"/>
      <w:divBdr>
        <w:top w:val="none" w:sz="0" w:space="0" w:color="auto"/>
        <w:left w:val="none" w:sz="0" w:space="0" w:color="auto"/>
        <w:bottom w:val="none" w:sz="0" w:space="0" w:color="auto"/>
        <w:right w:val="none" w:sz="0" w:space="0" w:color="auto"/>
      </w:divBdr>
    </w:div>
    <w:div w:id="1411808553">
      <w:bodyDiv w:val="1"/>
      <w:marLeft w:val="0"/>
      <w:marRight w:val="0"/>
      <w:marTop w:val="0"/>
      <w:marBottom w:val="0"/>
      <w:divBdr>
        <w:top w:val="none" w:sz="0" w:space="0" w:color="auto"/>
        <w:left w:val="none" w:sz="0" w:space="0" w:color="auto"/>
        <w:bottom w:val="none" w:sz="0" w:space="0" w:color="auto"/>
        <w:right w:val="none" w:sz="0" w:space="0" w:color="auto"/>
      </w:divBdr>
    </w:div>
    <w:div w:id="1432047653">
      <w:bodyDiv w:val="1"/>
      <w:marLeft w:val="0"/>
      <w:marRight w:val="0"/>
      <w:marTop w:val="0"/>
      <w:marBottom w:val="0"/>
      <w:divBdr>
        <w:top w:val="none" w:sz="0" w:space="0" w:color="auto"/>
        <w:left w:val="none" w:sz="0" w:space="0" w:color="auto"/>
        <w:bottom w:val="none" w:sz="0" w:space="0" w:color="auto"/>
        <w:right w:val="none" w:sz="0" w:space="0" w:color="auto"/>
      </w:divBdr>
    </w:div>
    <w:div w:id="1432966673">
      <w:bodyDiv w:val="1"/>
      <w:marLeft w:val="0"/>
      <w:marRight w:val="0"/>
      <w:marTop w:val="0"/>
      <w:marBottom w:val="0"/>
      <w:divBdr>
        <w:top w:val="none" w:sz="0" w:space="0" w:color="auto"/>
        <w:left w:val="none" w:sz="0" w:space="0" w:color="auto"/>
        <w:bottom w:val="none" w:sz="0" w:space="0" w:color="auto"/>
        <w:right w:val="none" w:sz="0" w:space="0" w:color="auto"/>
      </w:divBdr>
    </w:div>
    <w:div w:id="1435783337">
      <w:bodyDiv w:val="1"/>
      <w:marLeft w:val="0"/>
      <w:marRight w:val="0"/>
      <w:marTop w:val="0"/>
      <w:marBottom w:val="0"/>
      <w:divBdr>
        <w:top w:val="none" w:sz="0" w:space="0" w:color="auto"/>
        <w:left w:val="none" w:sz="0" w:space="0" w:color="auto"/>
        <w:bottom w:val="none" w:sz="0" w:space="0" w:color="auto"/>
        <w:right w:val="none" w:sz="0" w:space="0" w:color="auto"/>
      </w:divBdr>
    </w:div>
    <w:div w:id="1460878592">
      <w:bodyDiv w:val="1"/>
      <w:marLeft w:val="0"/>
      <w:marRight w:val="0"/>
      <w:marTop w:val="0"/>
      <w:marBottom w:val="0"/>
      <w:divBdr>
        <w:top w:val="none" w:sz="0" w:space="0" w:color="auto"/>
        <w:left w:val="none" w:sz="0" w:space="0" w:color="auto"/>
        <w:bottom w:val="none" w:sz="0" w:space="0" w:color="auto"/>
        <w:right w:val="none" w:sz="0" w:space="0" w:color="auto"/>
      </w:divBdr>
    </w:div>
    <w:div w:id="1460955812">
      <w:bodyDiv w:val="1"/>
      <w:marLeft w:val="0"/>
      <w:marRight w:val="0"/>
      <w:marTop w:val="0"/>
      <w:marBottom w:val="0"/>
      <w:divBdr>
        <w:top w:val="none" w:sz="0" w:space="0" w:color="auto"/>
        <w:left w:val="none" w:sz="0" w:space="0" w:color="auto"/>
        <w:bottom w:val="none" w:sz="0" w:space="0" w:color="auto"/>
        <w:right w:val="none" w:sz="0" w:space="0" w:color="auto"/>
      </w:divBdr>
    </w:div>
    <w:div w:id="1462923478">
      <w:bodyDiv w:val="1"/>
      <w:marLeft w:val="0"/>
      <w:marRight w:val="0"/>
      <w:marTop w:val="0"/>
      <w:marBottom w:val="0"/>
      <w:divBdr>
        <w:top w:val="none" w:sz="0" w:space="0" w:color="auto"/>
        <w:left w:val="none" w:sz="0" w:space="0" w:color="auto"/>
        <w:bottom w:val="none" w:sz="0" w:space="0" w:color="auto"/>
        <w:right w:val="none" w:sz="0" w:space="0" w:color="auto"/>
      </w:divBdr>
    </w:div>
    <w:div w:id="1463424174">
      <w:bodyDiv w:val="1"/>
      <w:marLeft w:val="0"/>
      <w:marRight w:val="0"/>
      <w:marTop w:val="0"/>
      <w:marBottom w:val="0"/>
      <w:divBdr>
        <w:top w:val="none" w:sz="0" w:space="0" w:color="auto"/>
        <w:left w:val="none" w:sz="0" w:space="0" w:color="auto"/>
        <w:bottom w:val="none" w:sz="0" w:space="0" w:color="auto"/>
        <w:right w:val="none" w:sz="0" w:space="0" w:color="auto"/>
      </w:divBdr>
    </w:div>
    <w:div w:id="1465544825">
      <w:bodyDiv w:val="1"/>
      <w:marLeft w:val="0"/>
      <w:marRight w:val="0"/>
      <w:marTop w:val="0"/>
      <w:marBottom w:val="0"/>
      <w:divBdr>
        <w:top w:val="none" w:sz="0" w:space="0" w:color="auto"/>
        <w:left w:val="none" w:sz="0" w:space="0" w:color="auto"/>
        <w:bottom w:val="none" w:sz="0" w:space="0" w:color="auto"/>
        <w:right w:val="none" w:sz="0" w:space="0" w:color="auto"/>
      </w:divBdr>
    </w:div>
    <w:div w:id="1479765524">
      <w:bodyDiv w:val="1"/>
      <w:marLeft w:val="0"/>
      <w:marRight w:val="0"/>
      <w:marTop w:val="0"/>
      <w:marBottom w:val="0"/>
      <w:divBdr>
        <w:top w:val="none" w:sz="0" w:space="0" w:color="auto"/>
        <w:left w:val="none" w:sz="0" w:space="0" w:color="auto"/>
        <w:bottom w:val="none" w:sz="0" w:space="0" w:color="auto"/>
        <w:right w:val="none" w:sz="0" w:space="0" w:color="auto"/>
      </w:divBdr>
    </w:div>
    <w:div w:id="1481654157">
      <w:bodyDiv w:val="1"/>
      <w:marLeft w:val="0"/>
      <w:marRight w:val="0"/>
      <w:marTop w:val="0"/>
      <w:marBottom w:val="0"/>
      <w:divBdr>
        <w:top w:val="none" w:sz="0" w:space="0" w:color="auto"/>
        <w:left w:val="none" w:sz="0" w:space="0" w:color="auto"/>
        <w:bottom w:val="none" w:sz="0" w:space="0" w:color="auto"/>
        <w:right w:val="none" w:sz="0" w:space="0" w:color="auto"/>
      </w:divBdr>
    </w:div>
    <w:div w:id="1493835469">
      <w:bodyDiv w:val="1"/>
      <w:marLeft w:val="0"/>
      <w:marRight w:val="0"/>
      <w:marTop w:val="0"/>
      <w:marBottom w:val="0"/>
      <w:divBdr>
        <w:top w:val="none" w:sz="0" w:space="0" w:color="auto"/>
        <w:left w:val="none" w:sz="0" w:space="0" w:color="auto"/>
        <w:bottom w:val="none" w:sz="0" w:space="0" w:color="auto"/>
        <w:right w:val="none" w:sz="0" w:space="0" w:color="auto"/>
      </w:divBdr>
    </w:div>
    <w:div w:id="1503660994">
      <w:bodyDiv w:val="1"/>
      <w:marLeft w:val="0"/>
      <w:marRight w:val="0"/>
      <w:marTop w:val="0"/>
      <w:marBottom w:val="0"/>
      <w:divBdr>
        <w:top w:val="none" w:sz="0" w:space="0" w:color="auto"/>
        <w:left w:val="none" w:sz="0" w:space="0" w:color="auto"/>
        <w:bottom w:val="none" w:sz="0" w:space="0" w:color="auto"/>
        <w:right w:val="none" w:sz="0" w:space="0" w:color="auto"/>
      </w:divBdr>
    </w:div>
    <w:div w:id="1504857538">
      <w:bodyDiv w:val="1"/>
      <w:marLeft w:val="0"/>
      <w:marRight w:val="0"/>
      <w:marTop w:val="0"/>
      <w:marBottom w:val="0"/>
      <w:divBdr>
        <w:top w:val="none" w:sz="0" w:space="0" w:color="auto"/>
        <w:left w:val="none" w:sz="0" w:space="0" w:color="auto"/>
        <w:bottom w:val="none" w:sz="0" w:space="0" w:color="auto"/>
        <w:right w:val="none" w:sz="0" w:space="0" w:color="auto"/>
      </w:divBdr>
    </w:div>
    <w:div w:id="1506826494">
      <w:bodyDiv w:val="1"/>
      <w:marLeft w:val="0"/>
      <w:marRight w:val="0"/>
      <w:marTop w:val="0"/>
      <w:marBottom w:val="0"/>
      <w:divBdr>
        <w:top w:val="none" w:sz="0" w:space="0" w:color="auto"/>
        <w:left w:val="none" w:sz="0" w:space="0" w:color="auto"/>
        <w:bottom w:val="none" w:sz="0" w:space="0" w:color="auto"/>
        <w:right w:val="none" w:sz="0" w:space="0" w:color="auto"/>
      </w:divBdr>
    </w:div>
    <w:div w:id="1507476961">
      <w:bodyDiv w:val="1"/>
      <w:marLeft w:val="0"/>
      <w:marRight w:val="0"/>
      <w:marTop w:val="0"/>
      <w:marBottom w:val="0"/>
      <w:divBdr>
        <w:top w:val="none" w:sz="0" w:space="0" w:color="auto"/>
        <w:left w:val="none" w:sz="0" w:space="0" w:color="auto"/>
        <w:bottom w:val="none" w:sz="0" w:space="0" w:color="auto"/>
        <w:right w:val="none" w:sz="0" w:space="0" w:color="auto"/>
      </w:divBdr>
    </w:div>
    <w:div w:id="1508910048">
      <w:bodyDiv w:val="1"/>
      <w:marLeft w:val="0"/>
      <w:marRight w:val="0"/>
      <w:marTop w:val="0"/>
      <w:marBottom w:val="0"/>
      <w:divBdr>
        <w:top w:val="none" w:sz="0" w:space="0" w:color="auto"/>
        <w:left w:val="none" w:sz="0" w:space="0" w:color="auto"/>
        <w:bottom w:val="none" w:sz="0" w:space="0" w:color="auto"/>
        <w:right w:val="none" w:sz="0" w:space="0" w:color="auto"/>
      </w:divBdr>
    </w:div>
    <w:div w:id="1521620365">
      <w:bodyDiv w:val="1"/>
      <w:marLeft w:val="0"/>
      <w:marRight w:val="0"/>
      <w:marTop w:val="0"/>
      <w:marBottom w:val="0"/>
      <w:divBdr>
        <w:top w:val="none" w:sz="0" w:space="0" w:color="auto"/>
        <w:left w:val="none" w:sz="0" w:space="0" w:color="auto"/>
        <w:bottom w:val="none" w:sz="0" w:space="0" w:color="auto"/>
        <w:right w:val="none" w:sz="0" w:space="0" w:color="auto"/>
      </w:divBdr>
    </w:div>
    <w:div w:id="1524440257">
      <w:bodyDiv w:val="1"/>
      <w:marLeft w:val="0"/>
      <w:marRight w:val="0"/>
      <w:marTop w:val="0"/>
      <w:marBottom w:val="0"/>
      <w:divBdr>
        <w:top w:val="none" w:sz="0" w:space="0" w:color="auto"/>
        <w:left w:val="none" w:sz="0" w:space="0" w:color="auto"/>
        <w:bottom w:val="none" w:sz="0" w:space="0" w:color="auto"/>
        <w:right w:val="none" w:sz="0" w:space="0" w:color="auto"/>
      </w:divBdr>
    </w:div>
    <w:div w:id="1542128487">
      <w:bodyDiv w:val="1"/>
      <w:marLeft w:val="0"/>
      <w:marRight w:val="0"/>
      <w:marTop w:val="0"/>
      <w:marBottom w:val="0"/>
      <w:divBdr>
        <w:top w:val="none" w:sz="0" w:space="0" w:color="auto"/>
        <w:left w:val="none" w:sz="0" w:space="0" w:color="auto"/>
        <w:bottom w:val="none" w:sz="0" w:space="0" w:color="auto"/>
        <w:right w:val="none" w:sz="0" w:space="0" w:color="auto"/>
      </w:divBdr>
    </w:div>
    <w:div w:id="1546599424">
      <w:bodyDiv w:val="1"/>
      <w:marLeft w:val="0"/>
      <w:marRight w:val="0"/>
      <w:marTop w:val="0"/>
      <w:marBottom w:val="0"/>
      <w:divBdr>
        <w:top w:val="none" w:sz="0" w:space="0" w:color="auto"/>
        <w:left w:val="none" w:sz="0" w:space="0" w:color="auto"/>
        <w:bottom w:val="none" w:sz="0" w:space="0" w:color="auto"/>
        <w:right w:val="none" w:sz="0" w:space="0" w:color="auto"/>
      </w:divBdr>
    </w:div>
    <w:div w:id="1558276348">
      <w:bodyDiv w:val="1"/>
      <w:marLeft w:val="0"/>
      <w:marRight w:val="0"/>
      <w:marTop w:val="0"/>
      <w:marBottom w:val="0"/>
      <w:divBdr>
        <w:top w:val="none" w:sz="0" w:space="0" w:color="auto"/>
        <w:left w:val="none" w:sz="0" w:space="0" w:color="auto"/>
        <w:bottom w:val="none" w:sz="0" w:space="0" w:color="auto"/>
        <w:right w:val="none" w:sz="0" w:space="0" w:color="auto"/>
      </w:divBdr>
    </w:div>
    <w:div w:id="1565725637">
      <w:bodyDiv w:val="1"/>
      <w:marLeft w:val="0"/>
      <w:marRight w:val="0"/>
      <w:marTop w:val="0"/>
      <w:marBottom w:val="0"/>
      <w:divBdr>
        <w:top w:val="none" w:sz="0" w:space="0" w:color="auto"/>
        <w:left w:val="none" w:sz="0" w:space="0" w:color="auto"/>
        <w:bottom w:val="none" w:sz="0" w:space="0" w:color="auto"/>
        <w:right w:val="none" w:sz="0" w:space="0" w:color="auto"/>
      </w:divBdr>
    </w:div>
    <w:div w:id="1566257249">
      <w:bodyDiv w:val="1"/>
      <w:marLeft w:val="0"/>
      <w:marRight w:val="0"/>
      <w:marTop w:val="0"/>
      <w:marBottom w:val="0"/>
      <w:divBdr>
        <w:top w:val="none" w:sz="0" w:space="0" w:color="auto"/>
        <w:left w:val="none" w:sz="0" w:space="0" w:color="auto"/>
        <w:bottom w:val="none" w:sz="0" w:space="0" w:color="auto"/>
        <w:right w:val="none" w:sz="0" w:space="0" w:color="auto"/>
      </w:divBdr>
    </w:div>
    <w:div w:id="1576087075">
      <w:bodyDiv w:val="1"/>
      <w:marLeft w:val="0"/>
      <w:marRight w:val="0"/>
      <w:marTop w:val="0"/>
      <w:marBottom w:val="0"/>
      <w:divBdr>
        <w:top w:val="none" w:sz="0" w:space="0" w:color="auto"/>
        <w:left w:val="none" w:sz="0" w:space="0" w:color="auto"/>
        <w:bottom w:val="none" w:sz="0" w:space="0" w:color="auto"/>
        <w:right w:val="none" w:sz="0" w:space="0" w:color="auto"/>
      </w:divBdr>
    </w:div>
    <w:div w:id="1579513207">
      <w:bodyDiv w:val="1"/>
      <w:marLeft w:val="0"/>
      <w:marRight w:val="0"/>
      <w:marTop w:val="0"/>
      <w:marBottom w:val="0"/>
      <w:divBdr>
        <w:top w:val="none" w:sz="0" w:space="0" w:color="auto"/>
        <w:left w:val="none" w:sz="0" w:space="0" w:color="auto"/>
        <w:bottom w:val="none" w:sz="0" w:space="0" w:color="auto"/>
        <w:right w:val="none" w:sz="0" w:space="0" w:color="auto"/>
      </w:divBdr>
    </w:div>
    <w:div w:id="1582569592">
      <w:bodyDiv w:val="1"/>
      <w:marLeft w:val="0"/>
      <w:marRight w:val="0"/>
      <w:marTop w:val="0"/>
      <w:marBottom w:val="0"/>
      <w:divBdr>
        <w:top w:val="none" w:sz="0" w:space="0" w:color="auto"/>
        <w:left w:val="none" w:sz="0" w:space="0" w:color="auto"/>
        <w:bottom w:val="none" w:sz="0" w:space="0" w:color="auto"/>
        <w:right w:val="none" w:sz="0" w:space="0" w:color="auto"/>
      </w:divBdr>
    </w:div>
    <w:div w:id="1583446967">
      <w:bodyDiv w:val="1"/>
      <w:marLeft w:val="0"/>
      <w:marRight w:val="0"/>
      <w:marTop w:val="0"/>
      <w:marBottom w:val="0"/>
      <w:divBdr>
        <w:top w:val="none" w:sz="0" w:space="0" w:color="auto"/>
        <w:left w:val="none" w:sz="0" w:space="0" w:color="auto"/>
        <w:bottom w:val="none" w:sz="0" w:space="0" w:color="auto"/>
        <w:right w:val="none" w:sz="0" w:space="0" w:color="auto"/>
      </w:divBdr>
    </w:div>
    <w:div w:id="1588731647">
      <w:bodyDiv w:val="1"/>
      <w:marLeft w:val="0"/>
      <w:marRight w:val="0"/>
      <w:marTop w:val="0"/>
      <w:marBottom w:val="0"/>
      <w:divBdr>
        <w:top w:val="none" w:sz="0" w:space="0" w:color="auto"/>
        <w:left w:val="none" w:sz="0" w:space="0" w:color="auto"/>
        <w:bottom w:val="none" w:sz="0" w:space="0" w:color="auto"/>
        <w:right w:val="none" w:sz="0" w:space="0" w:color="auto"/>
      </w:divBdr>
    </w:div>
    <w:div w:id="1598102421">
      <w:bodyDiv w:val="1"/>
      <w:marLeft w:val="0"/>
      <w:marRight w:val="0"/>
      <w:marTop w:val="0"/>
      <w:marBottom w:val="0"/>
      <w:divBdr>
        <w:top w:val="none" w:sz="0" w:space="0" w:color="auto"/>
        <w:left w:val="none" w:sz="0" w:space="0" w:color="auto"/>
        <w:bottom w:val="none" w:sz="0" w:space="0" w:color="auto"/>
        <w:right w:val="none" w:sz="0" w:space="0" w:color="auto"/>
      </w:divBdr>
    </w:div>
    <w:div w:id="1610887568">
      <w:bodyDiv w:val="1"/>
      <w:marLeft w:val="0"/>
      <w:marRight w:val="0"/>
      <w:marTop w:val="0"/>
      <w:marBottom w:val="0"/>
      <w:divBdr>
        <w:top w:val="none" w:sz="0" w:space="0" w:color="auto"/>
        <w:left w:val="none" w:sz="0" w:space="0" w:color="auto"/>
        <w:bottom w:val="none" w:sz="0" w:space="0" w:color="auto"/>
        <w:right w:val="none" w:sz="0" w:space="0" w:color="auto"/>
      </w:divBdr>
    </w:div>
    <w:div w:id="1616591995">
      <w:bodyDiv w:val="1"/>
      <w:marLeft w:val="0"/>
      <w:marRight w:val="0"/>
      <w:marTop w:val="0"/>
      <w:marBottom w:val="0"/>
      <w:divBdr>
        <w:top w:val="none" w:sz="0" w:space="0" w:color="auto"/>
        <w:left w:val="none" w:sz="0" w:space="0" w:color="auto"/>
        <w:bottom w:val="none" w:sz="0" w:space="0" w:color="auto"/>
        <w:right w:val="none" w:sz="0" w:space="0" w:color="auto"/>
      </w:divBdr>
    </w:div>
    <w:div w:id="1624576926">
      <w:bodyDiv w:val="1"/>
      <w:marLeft w:val="0"/>
      <w:marRight w:val="0"/>
      <w:marTop w:val="0"/>
      <w:marBottom w:val="0"/>
      <w:divBdr>
        <w:top w:val="none" w:sz="0" w:space="0" w:color="auto"/>
        <w:left w:val="none" w:sz="0" w:space="0" w:color="auto"/>
        <w:bottom w:val="none" w:sz="0" w:space="0" w:color="auto"/>
        <w:right w:val="none" w:sz="0" w:space="0" w:color="auto"/>
      </w:divBdr>
    </w:div>
    <w:div w:id="1651707827">
      <w:bodyDiv w:val="1"/>
      <w:marLeft w:val="0"/>
      <w:marRight w:val="0"/>
      <w:marTop w:val="0"/>
      <w:marBottom w:val="0"/>
      <w:divBdr>
        <w:top w:val="none" w:sz="0" w:space="0" w:color="auto"/>
        <w:left w:val="none" w:sz="0" w:space="0" w:color="auto"/>
        <w:bottom w:val="none" w:sz="0" w:space="0" w:color="auto"/>
        <w:right w:val="none" w:sz="0" w:space="0" w:color="auto"/>
      </w:divBdr>
    </w:div>
    <w:div w:id="1658608649">
      <w:bodyDiv w:val="1"/>
      <w:marLeft w:val="0"/>
      <w:marRight w:val="0"/>
      <w:marTop w:val="0"/>
      <w:marBottom w:val="0"/>
      <w:divBdr>
        <w:top w:val="none" w:sz="0" w:space="0" w:color="auto"/>
        <w:left w:val="none" w:sz="0" w:space="0" w:color="auto"/>
        <w:bottom w:val="none" w:sz="0" w:space="0" w:color="auto"/>
        <w:right w:val="none" w:sz="0" w:space="0" w:color="auto"/>
      </w:divBdr>
    </w:div>
    <w:div w:id="1662655481">
      <w:bodyDiv w:val="1"/>
      <w:marLeft w:val="0"/>
      <w:marRight w:val="0"/>
      <w:marTop w:val="0"/>
      <w:marBottom w:val="0"/>
      <w:divBdr>
        <w:top w:val="none" w:sz="0" w:space="0" w:color="auto"/>
        <w:left w:val="none" w:sz="0" w:space="0" w:color="auto"/>
        <w:bottom w:val="none" w:sz="0" w:space="0" w:color="auto"/>
        <w:right w:val="none" w:sz="0" w:space="0" w:color="auto"/>
      </w:divBdr>
    </w:div>
    <w:div w:id="1670330808">
      <w:bodyDiv w:val="1"/>
      <w:marLeft w:val="0"/>
      <w:marRight w:val="0"/>
      <w:marTop w:val="0"/>
      <w:marBottom w:val="0"/>
      <w:divBdr>
        <w:top w:val="none" w:sz="0" w:space="0" w:color="auto"/>
        <w:left w:val="none" w:sz="0" w:space="0" w:color="auto"/>
        <w:bottom w:val="none" w:sz="0" w:space="0" w:color="auto"/>
        <w:right w:val="none" w:sz="0" w:space="0" w:color="auto"/>
      </w:divBdr>
    </w:div>
    <w:div w:id="1673216680">
      <w:bodyDiv w:val="1"/>
      <w:marLeft w:val="0"/>
      <w:marRight w:val="0"/>
      <w:marTop w:val="0"/>
      <w:marBottom w:val="0"/>
      <w:divBdr>
        <w:top w:val="none" w:sz="0" w:space="0" w:color="auto"/>
        <w:left w:val="none" w:sz="0" w:space="0" w:color="auto"/>
        <w:bottom w:val="none" w:sz="0" w:space="0" w:color="auto"/>
        <w:right w:val="none" w:sz="0" w:space="0" w:color="auto"/>
      </w:divBdr>
    </w:div>
    <w:div w:id="1673407493">
      <w:bodyDiv w:val="1"/>
      <w:marLeft w:val="0"/>
      <w:marRight w:val="0"/>
      <w:marTop w:val="0"/>
      <w:marBottom w:val="0"/>
      <w:divBdr>
        <w:top w:val="none" w:sz="0" w:space="0" w:color="auto"/>
        <w:left w:val="none" w:sz="0" w:space="0" w:color="auto"/>
        <w:bottom w:val="none" w:sz="0" w:space="0" w:color="auto"/>
        <w:right w:val="none" w:sz="0" w:space="0" w:color="auto"/>
      </w:divBdr>
    </w:div>
    <w:div w:id="1674256514">
      <w:bodyDiv w:val="1"/>
      <w:marLeft w:val="0"/>
      <w:marRight w:val="0"/>
      <w:marTop w:val="0"/>
      <w:marBottom w:val="0"/>
      <w:divBdr>
        <w:top w:val="none" w:sz="0" w:space="0" w:color="auto"/>
        <w:left w:val="none" w:sz="0" w:space="0" w:color="auto"/>
        <w:bottom w:val="none" w:sz="0" w:space="0" w:color="auto"/>
        <w:right w:val="none" w:sz="0" w:space="0" w:color="auto"/>
      </w:divBdr>
    </w:div>
    <w:div w:id="1674990366">
      <w:bodyDiv w:val="1"/>
      <w:marLeft w:val="0"/>
      <w:marRight w:val="0"/>
      <w:marTop w:val="0"/>
      <w:marBottom w:val="0"/>
      <w:divBdr>
        <w:top w:val="none" w:sz="0" w:space="0" w:color="auto"/>
        <w:left w:val="none" w:sz="0" w:space="0" w:color="auto"/>
        <w:bottom w:val="none" w:sz="0" w:space="0" w:color="auto"/>
        <w:right w:val="none" w:sz="0" w:space="0" w:color="auto"/>
      </w:divBdr>
    </w:div>
    <w:div w:id="1684891377">
      <w:bodyDiv w:val="1"/>
      <w:marLeft w:val="0"/>
      <w:marRight w:val="0"/>
      <w:marTop w:val="0"/>
      <w:marBottom w:val="0"/>
      <w:divBdr>
        <w:top w:val="none" w:sz="0" w:space="0" w:color="auto"/>
        <w:left w:val="none" w:sz="0" w:space="0" w:color="auto"/>
        <w:bottom w:val="none" w:sz="0" w:space="0" w:color="auto"/>
        <w:right w:val="none" w:sz="0" w:space="0" w:color="auto"/>
      </w:divBdr>
    </w:div>
    <w:div w:id="1686904304">
      <w:bodyDiv w:val="1"/>
      <w:marLeft w:val="0"/>
      <w:marRight w:val="0"/>
      <w:marTop w:val="0"/>
      <w:marBottom w:val="0"/>
      <w:divBdr>
        <w:top w:val="none" w:sz="0" w:space="0" w:color="auto"/>
        <w:left w:val="none" w:sz="0" w:space="0" w:color="auto"/>
        <w:bottom w:val="none" w:sz="0" w:space="0" w:color="auto"/>
        <w:right w:val="none" w:sz="0" w:space="0" w:color="auto"/>
      </w:divBdr>
    </w:div>
    <w:div w:id="1691056561">
      <w:bodyDiv w:val="1"/>
      <w:marLeft w:val="0"/>
      <w:marRight w:val="0"/>
      <w:marTop w:val="0"/>
      <w:marBottom w:val="0"/>
      <w:divBdr>
        <w:top w:val="none" w:sz="0" w:space="0" w:color="auto"/>
        <w:left w:val="none" w:sz="0" w:space="0" w:color="auto"/>
        <w:bottom w:val="none" w:sz="0" w:space="0" w:color="auto"/>
        <w:right w:val="none" w:sz="0" w:space="0" w:color="auto"/>
      </w:divBdr>
    </w:div>
    <w:div w:id="1695957777">
      <w:bodyDiv w:val="1"/>
      <w:marLeft w:val="0"/>
      <w:marRight w:val="0"/>
      <w:marTop w:val="0"/>
      <w:marBottom w:val="0"/>
      <w:divBdr>
        <w:top w:val="none" w:sz="0" w:space="0" w:color="auto"/>
        <w:left w:val="none" w:sz="0" w:space="0" w:color="auto"/>
        <w:bottom w:val="none" w:sz="0" w:space="0" w:color="auto"/>
        <w:right w:val="none" w:sz="0" w:space="0" w:color="auto"/>
      </w:divBdr>
    </w:div>
    <w:div w:id="1699889258">
      <w:bodyDiv w:val="1"/>
      <w:marLeft w:val="0"/>
      <w:marRight w:val="0"/>
      <w:marTop w:val="0"/>
      <w:marBottom w:val="0"/>
      <w:divBdr>
        <w:top w:val="none" w:sz="0" w:space="0" w:color="auto"/>
        <w:left w:val="none" w:sz="0" w:space="0" w:color="auto"/>
        <w:bottom w:val="none" w:sz="0" w:space="0" w:color="auto"/>
        <w:right w:val="none" w:sz="0" w:space="0" w:color="auto"/>
      </w:divBdr>
    </w:div>
    <w:div w:id="1711342803">
      <w:bodyDiv w:val="1"/>
      <w:marLeft w:val="0"/>
      <w:marRight w:val="0"/>
      <w:marTop w:val="0"/>
      <w:marBottom w:val="0"/>
      <w:divBdr>
        <w:top w:val="none" w:sz="0" w:space="0" w:color="auto"/>
        <w:left w:val="none" w:sz="0" w:space="0" w:color="auto"/>
        <w:bottom w:val="none" w:sz="0" w:space="0" w:color="auto"/>
        <w:right w:val="none" w:sz="0" w:space="0" w:color="auto"/>
      </w:divBdr>
    </w:div>
    <w:div w:id="1732536630">
      <w:bodyDiv w:val="1"/>
      <w:marLeft w:val="0"/>
      <w:marRight w:val="0"/>
      <w:marTop w:val="0"/>
      <w:marBottom w:val="0"/>
      <w:divBdr>
        <w:top w:val="none" w:sz="0" w:space="0" w:color="auto"/>
        <w:left w:val="none" w:sz="0" w:space="0" w:color="auto"/>
        <w:bottom w:val="none" w:sz="0" w:space="0" w:color="auto"/>
        <w:right w:val="none" w:sz="0" w:space="0" w:color="auto"/>
      </w:divBdr>
    </w:div>
    <w:div w:id="1739667094">
      <w:bodyDiv w:val="1"/>
      <w:marLeft w:val="0"/>
      <w:marRight w:val="0"/>
      <w:marTop w:val="0"/>
      <w:marBottom w:val="0"/>
      <w:divBdr>
        <w:top w:val="none" w:sz="0" w:space="0" w:color="auto"/>
        <w:left w:val="none" w:sz="0" w:space="0" w:color="auto"/>
        <w:bottom w:val="none" w:sz="0" w:space="0" w:color="auto"/>
        <w:right w:val="none" w:sz="0" w:space="0" w:color="auto"/>
      </w:divBdr>
    </w:div>
    <w:div w:id="1749309211">
      <w:bodyDiv w:val="1"/>
      <w:marLeft w:val="0"/>
      <w:marRight w:val="0"/>
      <w:marTop w:val="0"/>
      <w:marBottom w:val="0"/>
      <w:divBdr>
        <w:top w:val="none" w:sz="0" w:space="0" w:color="auto"/>
        <w:left w:val="none" w:sz="0" w:space="0" w:color="auto"/>
        <w:bottom w:val="none" w:sz="0" w:space="0" w:color="auto"/>
        <w:right w:val="none" w:sz="0" w:space="0" w:color="auto"/>
      </w:divBdr>
    </w:div>
    <w:div w:id="1758096433">
      <w:bodyDiv w:val="1"/>
      <w:marLeft w:val="0"/>
      <w:marRight w:val="0"/>
      <w:marTop w:val="0"/>
      <w:marBottom w:val="0"/>
      <w:divBdr>
        <w:top w:val="none" w:sz="0" w:space="0" w:color="auto"/>
        <w:left w:val="none" w:sz="0" w:space="0" w:color="auto"/>
        <w:bottom w:val="none" w:sz="0" w:space="0" w:color="auto"/>
        <w:right w:val="none" w:sz="0" w:space="0" w:color="auto"/>
      </w:divBdr>
    </w:div>
    <w:div w:id="1758555387">
      <w:bodyDiv w:val="1"/>
      <w:marLeft w:val="0"/>
      <w:marRight w:val="0"/>
      <w:marTop w:val="0"/>
      <w:marBottom w:val="0"/>
      <w:divBdr>
        <w:top w:val="none" w:sz="0" w:space="0" w:color="auto"/>
        <w:left w:val="none" w:sz="0" w:space="0" w:color="auto"/>
        <w:bottom w:val="none" w:sz="0" w:space="0" w:color="auto"/>
        <w:right w:val="none" w:sz="0" w:space="0" w:color="auto"/>
      </w:divBdr>
    </w:div>
    <w:div w:id="1758557036">
      <w:bodyDiv w:val="1"/>
      <w:marLeft w:val="0"/>
      <w:marRight w:val="0"/>
      <w:marTop w:val="0"/>
      <w:marBottom w:val="0"/>
      <w:divBdr>
        <w:top w:val="none" w:sz="0" w:space="0" w:color="auto"/>
        <w:left w:val="none" w:sz="0" w:space="0" w:color="auto"/>
        <w:bottom w:val="none" w:sz="0" w:space="0" w:color="auto"/>
        <w:right w:val="none" w:sz="0" w:space="0" w:color="auto"/>
      </w:divBdr>
    </w:div>
    <w:div w:id="1763211880">
      <w:bodyDiv w:val="1"/>
      <w:marLeft w:val="0"/>
      <w:marRight w:val="0"/>
      <w:marTop w:val="0"/>
      <w:marBottom w:val="0"/>
      <w:divBdr>
        <w:top w:val="none" w:sz="0" w:space="0" w:color="auto"/>
        <w:left w:val="none" w:sz="0" w:space="0" w:color="auto"/>
        <w:bottom w:val="none" w:sz="0" w:space="0" w:color="auto"/>
        <w:right w:val="none" w:sz="0" w:space="0" w:color="auto"/>
      </w:divBdr>
    </w:div>
    <w:div w:id="1777751399">
      <w:bodyDiv w:val="1"/>
      <w:marLeft w:val="0"/>
      <w:marRight w:val="0"/>
      <w:marTop w:val="0"/>
      <w:marBottom w:val="0"/>
      <w:divBdr>
        <w:top w:val="none" w:sz="0" w:space="0" w:color="auto"/>
        <w:left w:val="none" w:sz="0" w:space="0" w:color="auto"/>
        <w:bottom w:val="none" w:sz="0" w:space="0" w:color="auto"/>
        <w:right w:val="none" w:sz="0" w:space="0" w:color="auto"/>
      </w:divBdr>
    </w:div>
    <w:div w:id="1778522128">
      <w:bodyDiv w:val="1"/>
      <w:marLeft w:val="0"/>
      <w:marRight w:val="0"/>
      <w:marTop w:val="0"/>
      <w:marBottom w:val="0"/>
      <w:divBdr>
        <w:top w:val="none" w:sz="0" w:space="0" w:color="auto"/>
        <w:left w:val="none" w:sz="0" w:space="0" w:color="auto"/>
        <w:bottom w:val="none" w:sz="0" w:space="0" w:color="auto"/>
        <w:right w:val="none" w:sz="0" w:space="0" w:color="auto"/>
      </w:divBdr>
    </w:div>
    <w:div w:id="1779058396">
      <w:bodyDiv w:val="1"/>
      <w:marLeft w:val="0"/>
      <w:marRight w:val="0"/>
      <w:marTop w:val="0"/>
      <w:marBottom w:val="0"/>
      <w:divBdr>
        <w:top w:val="none" w:sz="0" w:space="0" w:color="auto"/>
        <w:left w:val="none" w:sz="0" w:space="0" w:color="auto"/>
        <w:bottom w:val="none" w:sz="0" w:space="0" w:color="auto"/>
        <w:right w:val="none" w:sz="0" w:space="0" w:color="auto"/>
      </w:divBdr>
    </w:div>
    <w:div w:id="1781800505">
      <w:bodyDiv w:val="1"/>
      <w:marLeft w:val="0"/>
      <w:marRight w:val="0"/>
      <w:marTop w:val="0"/>
      <w:marBottom w:val="0"/>
      <w:divBdr>
        <w:top w:val="none" w:sz="0" w:space="0" w:color="auto"/>
        <w:left w:val="none" w:sz="0" w:space="0" w:color="auto"/>
        <w:bottom w:val="none" w:sz="0" w:space="0" w:color="auto"/>
        <w:right w:val="none" w:sz="0" w:space="0" w:color="auto"/>
      </w:divBdr>
      <w:divsChild>
        <w:div w:id="1525827732">
          <w:marLeft w:val="1267"/>
          <w:marRight w:val="0"/>
          <w:marTop w:val="240"/>
          <w:marBottom w:val="0"/>
          <w:divBdr>
            <w:top w:val="none" w:sz="0" w:space="0" w:color="auto"/>
            <w:left w:val="none" w:sz="0" w:space="0" w:color="auto"/>
            <w:bottom w:val="none" w:sz="0" w:space="0" w:color="auto"/>
            <w:right w:val="none" w:sz="0" w:space="0" w:color="auto"/>
          </w:divBdr>
        </w:div>
      </w:divsChild>
    </w:div>
    <w:div w:id="1783455819">
      <w:bodyDiv w:val="1"/>
      <w:marLeft w:val="0"/>
      <w:marRight w:val="0"/>
      <w:marTop w:val="0"/>
      <w:marBottom w:val="0"/>
      <w:divBdr>
        <w:top w:val="none" w:sz="0" w:space="0" w:color="auto"/>
        <w:left w:val="none" w:sz="0" w:space="0" w:color="auto"/>
        <w:bottom w:val="none" w:sz="0" w:space="0" w:color="auto"/>
        <w:right w:val="none" w:sz="0" w:space="0" w:color="auto"/>
      </w:divBdr>
    </w:div>
    <w:div w:id="1783527043">
      <w:bodyDiv w:val="1"/>
      <w:marLeft w:val="0"/>
      <w:marRight w:val="0"/>
      <w:marTop w:val="0"/>
      <w:marBottom w:val="0"/>
      <w:divBdr>
        <w:top w:val="none" w:sz="0" w:space="0" w:color="auto"/>
        <w:left w:val="none" w:sz="0" w:space="0" w:color="auto"/>
        <w:bottom w:val="none" w:sz="0" w:space="0" w:color="auto"/>
        <w:right w:val="none" w:sz="0" w:space="0" w:color="auto"/>
      </w:divBdr>
    </w:div>
    <w:div w:id="1800340987">
      <w:bodyDiv w:val="1"/>
      <w:marLeft w:val="0"/>
      <w:marRight w:val="0"/>
      <w:marTop w:val="0"/>
      <w:marBottom w:val="0"/>
      <w:divBdr>
        <w:top w:val="none" w:sz="0" w:space="0" w:color="auto"/>
        <w:left w:val="none" w:sz="0" w:space="0" w:color="auto"/>
        <w:bottom w:val="none" w:sz="0" w:space="0" w:color="auto"/>
        <w:right w:val="none" w:sz="0" w:space="0" w:color="auto"/>
      </w:divBdr>
    </w:div>
    <w:div w:id="1810781798">
      <w:bodyDiv w:val="1"/>
      <w:marLeft w:val="0"/>
      <w:marRight w:val="0"/>
      <w:marTop w:val="0"/>
      <w:marBottom w:val="0"/>
      <w:divBdr>
        <w:top w:val="none" w:sz="0" w:space="0" w:color="auto"/>
        <w:left w:val="none" w:sz="0" w:space="0" w:color="auto"/>
        <w:bottom w:val="none" w:sz="0" w:space="0" w:color="auto"/>
        <w:right w:val="none" w:sz="0" w:space="0" w:color="auto"/>
      </w:divBdr>
    </w:div>
    <w:div w:id="1813477388">
      <w:bodyDiv w:val="1"/>
      <w:marLeft w:val="0"/>
      <w:marRight w:val="0"/>
      <w:marTop w:val="0"/>
      <w:marBottom w:val="0"/>
      <w:divBdr>
        <w:top w:val="none" w:sz="0" w:space="0" w:color="auto"/>
        <w:left w:val="none" w:sz="0" w:space="0" w:color="auto"/>
        <w:bottom w:val="none" w:sz="0" w:space="0" w:color="auto"/>
        <w:right w:val="none" w:sz="0" w:space="0" w:color="auto"/>
      </w:divBdr>
    </w:div>
    <w:div w:id="1820607756">
      <w:bodyDiv w:val="1"/>
      <w:marLeft w:val="0"/>
      <w:marRight w:val="0"/>
      <w:marTop w:val="0"/>
      <w:marBottom w:val="0"/>
      <w:divBdr>
        <w:top w:val="none" w:sz="0" w:space="0" w:color="auto"/>
        <w:left w:val="none" w:sz="0" w:space="0" w:color="auto"/>
        <w:bottom w:val="none" w:sz="0" w:space="0" w:color="auto"/>
        <w:right w:val="none" w:sz="0" w:space="0" w:color="auto"/>
      </w:divBdr>
    </w:div>
    <w:div w:id="1828941153">
      <w:bodyDiv w:val="1"/>
      <w:marLeft w:val="0"/>
      <w:marRight w:val="0"/>
      <w:marTop w:val="0"/>
      <w:marBottom w:val="0"/>
      <w:divBdr>
        <w:top w:val="none" w:sz="0" w:space="0" w:color="auto"/>
        <w:left w:val="none" w:sz="0" w:space="0" w:color="auto"/>
        <w:bottom w:val="none" w:sz="0" w:space="0" w:color="auto"/>
        <w:right w:val="none" w:sz="0" w:space="0" w:color="auto"/>
      </w:divBdr>
    </w:div>
    <w:div w:id="1833645609">
      <w:bodyDiv w:val="1"/>
      <w:marLeft w:val="0"/>
      <w:marRight w:val="0"/>
      <w:marTop w:val="0"/>
      <w:marBottom w:val="0"/>
      <w:divBdr>
        <w:top w:val="none" w:sz="0" w:space="0" w:color="auto"/>
        <w:left w:val="none" w:sz="0" w:space="0" w:color="auto"/>
        <w:bottom w:val="none" w:sz="0" w:space="0" w:color="auto"/>
        <w:right w:val="none" w:sz="0" w:space="0" w:color="auto"/>
      </w:divBdr>
    </w:div>
    <w:div w:id="1835561385">
      <w:bodyDiv w:val="1"/>
      <w:marLeft w:val="0"/>
      <w:marRight w:val="0"/>
      <w:marTop w:val="0"/>
      <w:marBottom w:val="0"/>
      <w:divBdr>
        <w:top w:val="none" w:sz="0" w:space="0" w:color="auto"/>
        <w:left w:val="none" w:sz="0" w:space="0" w:color="auto"/>
        <w:bottom w:val="none" w:sz="0" w:space="0" w:color="auto"/>
        <w:right w:val="none" w:sz="0" w:space="0" w:color="auto"/>
      </w:divBdr>
    </w:div>
    <w:div w:id="1835992329">
      <w:bodyDiv w:val="1"/>
      <w:marLeft w:val="0"/>
      <w:marRight w:val="0"/>
      <w:marTop w:val="0"/>
      <w:marBottom w:val="0"/>
      <w:divBdr>
        <w:top w:val="none" w:sz="0" w:space="0" w:color="auto"/>
        <w:left w:val="none" w:sz="0" w:space="0" w:color="auto"/>
        <w:bottom w:val="none" w:sz="0" w:space="0" w:color="auto"/>
        <w:right w:val="none" w:sz="0" w:space="0" w:color="auto"/>
      </w:divBdr>
    </w:div>
    <w:div w:id="1850876318">
      <w:bodyDiv w:val="1"/>
      <w:marLeft w:val="0"/>
      <w:marRight w:val="0"/>
      <w:marTop w:val="0"/>
      <w:marBottom w:val="0"/>
      <w:divBdr>
        <w:top w:val="none" w:sz="0" w:space="0" w:color="auto"/>
        <w:left w:val="none" w:sz="0" w:space="0" w:color="auto"/>
        <w:bottom w:val="none" w:sz="0" w:space="0" w:color="auto"/>
        <w:right w:val="none" w:sz="0" w:space="0" w:color="auto"/>
      </w:divBdr>
    </w:div>
    <w:div w:id="1857498571">
      <w:bodyDiv w:val="1"/>
      <w:marLeft w:val="0"/>
      <w:marRight w:val="0"/>
      <w:marTop w:val="0"/>
      <w:marBottom w:val="0"/>
      <w:divBdr>
        <w:top w:val="none" w:sz="0" w:space="0" w:color="auto"/>
        <w:left w:val="none" w:sz="0" w:space="0" w:color="auto"/>
        <w:bottom w:val="none" w:sz="0" w:space="0" w:color="auto"/>
        <w:right w:val="none" w:sz="0" w:space="0" w:color="auto"/>
      </w:divBdr>
    </w:div>
    <w:div w:id="1859612495">
      <w:bodyDiv w:val="1"/>
      <w:marLeft w:val="0"/>
      <w:marRight w:val="0"/>
      <w:marTop w:val="0"/>
      <w:marBottom w:val="0"/>
      <w:divBdr>
        <w:top w:val="none" w:sz="0" w:space="0" w:color="auto"/>
        <w:left w:val="none" w:sz="0" w:space="0" w:color="auto"/>
        <w:bottom w:val="none" w:sz="0" w:space="0" w:color="auto"/>
        <w:right w:val="none" w:sz="0" w:space="0" w:color="auto"/>
      </w:divBdr>
    </w:div>
    <w:div w:id="1864124812">
      <w:bodyDiv w:val="1"/>
      <w:marLeft w:val="0"/>
      <w:marRight w:val="0"/>
      <w:marTop w:val="0"/>
      <w:marBottom w:val="0"/>
      <w:divBdr>
        <w:top w:val="none" w:sz="0" w:space="0" w:color="auto"/>
        <w:left w:val="none" w:sz="0" w:space="0" w:color="auto"/>
        <w:bottom w:val="none" w:sz="0" w:space="0" w:color="auto"/>
        <w:right w:val="none" w:sz="0" w:space="0" w:color="auto"/>
      </w:divBdr>
    </w:div>
    <w:div w:id="1867325743">
      <w:bodyDiv w:val="1"/>
      <w:marLeft w:val="0"/>
      <w:marRight w:val="0"/>
      <w:marTop w:val="0"/>
      <w:marBottom w:val="0"/>
      <w:divBdr>
        <w:top w:val="none" w:sz="0" w:space="0" w:color="auto"/>
        <w:left w:val="none" w:sz="0" w:space="0" w:color="auto"/>
        <w:bottom w:val="none" w:sz="0" w:space="0" w:color="auto"/>
        <w:right w:val="none" w:sz="0" w:space="0" w:color="auto"/>
      </w:divBdr>
    </w:div>
    <w:div w:id="1868372488">
      <w:bodyDiv w:val="1"/>
      <w:marLeft w:val="0"/>
      <w:marRight w:val="0"/>
      <w:marTop w:val="0"/>
      <w:marBottom w:val="0"/>
      <w:divBdr>
        <w:top w:val="none" w:sz="0" w:space="0" w:color="auto"/>
        <w:left w:val="none" w:sz="0" w:space="0" w:color="auto"/>
        <w:bottom w:val="none" w:sz="0" w:space="0" w:color="auto"/>
        <w:right w:val="none" w:sz="0" w:space="0" w:color="auto"/>
      </w:divBdr>
    </w:div>
    <w:div w:id="1869484558">
      <w:bodyDiv w:val="1"/>
      <w:marLeft w:val="0"/>
      <w:marRight w:val="0"/>
      <w:marTop w:val="0"/>
      <w:marBottom w:val="0"/>
      <w:divBdr>
        <w:top w:val="none" w:sz="0" w:space="0" w:color="auto"/>
        <w:left w:val="none" w:sz="0" w:space="0" w:color="auto"/>
        <w:bottom w:val="none" w:sz="0" w:space="0" w:color="auto"/>
        <w:right w:val="none" w:sz="0" w:space="0" w:color="auto"/>
      </w:divBdr>
    </w:div>
    <w:div w:id="1878198990">
      <w:bodyDiv w:val="1"/>
      <w:marLeft w:val="0"/>
      <w:marRight w:val="0"/>
      <w:marTop w:val="0"/>
      <w:marBottom w:val="0"/>
      <w:divBdr>
        <w:top w:val="none" w:sz="0" w:space="0" w:color="auto"/>
        <w:left w:val="none" w:sz="0" w:space="0" w:color="auto"/>
        <w:bottom w:val="none" w:sz="0" w:space="0" w:color="auto"/>
        <w:right w:val="none" w:sz="0" w:space="0" w:color="auto"/>
      </w:divBdr>
    </w:div>
    <w:div w:id="1889219268">
      <w:bodyDiv w:val="1"/>
      <w:marLeft w:val="0"/>
      <w:marRight w:val="0"/>
      <w:marTop w:val="0"/>
      <w:marBottom w:val="0"/>
      <w:divBdr>
        <w:top w:val="none" w:sz="0" w:space="0" w:color="auto"/>
        <w:left w:val="none" w:sz="0" w:space="0" w:color="auto"/>
        <w:bottom w:val="none" w:sz="0" w:space="0" w:color="auto"/>
        <w:right w:val="none" w:sz="0" w:space="0" w:color="auto"/>
      </w:divBdr>
    </w:div>
    <w:div w:id="1892689054">
      <w:bodyDiv w:val="1"/>
      <w:marLeft w:val="0"/>
      <w:marRight w:val="0"/>
      <w:marTop w:val="0"/>
      <w:marBottom w:val="0"/>
      <w:divBdr>
        <w:top w:val="none" w:sz="0" w:space="0" w:color="auto"/>
        <w:left w:val="none" w:sz="0" w:space="0" w:color="auto"/>
        <w:bottom w:val="none" w:sz="0" w:space="0" w:color="auto"/>
        <w:right w:val="none" w:sz="0" w:space="0" w:color="auto"/>
      </w:divBdr>
    </w:div>
    <w:div w:id="1904178788">
      <w:bodyDiv w:val="1"/>
      <w:marLeft w:val="0"/>
      <w:marRight w:val="0"/>
      <w:marTop w:val="0"/>
      <w:marBottom w:val="0"/>
      <w:divBdr>
        <w:top w:val="none" w:sz="0" w:space="0" w:color="auto"/>
        <w:left w:val="none" w:sz="0" w:space="0" w:color="auto"/>
        <w:bottom w:val="none" w:sz="0" w:space="0" w:color="auto"/>
        <w:right w:val="none" w:sz="0" w:space="0" w:color="auto"/>
      </w:divBdr>
    </w:div>
    <w:div w:id="1907253187">
      <w:bodyDiv w:val="1"/>
      <w:marLeft w:val="0"/>
      <w:marRight w:val="0"/>
      <w:marTop w:val="0"/>
      <w:marBottom w:val="0"/>
      <w:divBdr>
        <w:top w:val="none" w:sz="0" w:space="0" w:color="auto"/>
        <w:left w:val="none" w:sz="0" w:space="0" w:color="auto"/>
        <w:bottom w:val="none" w:sz="0" w:space="0" w:color="auto"/>
        <w:right w:val="none" w:sz="0" w:space="0" w:color="auto"/>
      </w:divBdr>
    </w:div>
    <w:div w:id="1907447707">
      <w:bodyDiv w:val="1"/>
      <w:marLeft w:val="0"/>
      <w:marRight w:val="0"/>
      <w:marTop w:val="0"/>
      <w:marBottom w:val="0"/>
      <w:divBdr>
        <w:top w:val="none" w:sz="0" w:space="0" w:color="auto"/>
        <w:left w:val="none" w:sz="0" w:space="0" w:color="auto"/>
        <w:bottom w:val="none" w:sz="0" w:space="0" w:color="auto"/>
        <w:right w:val="none" w:sz="0" w:space="0" w:color="auto"/>
      </w:divBdr>
    </w:div>
    <w:div w:id="1909267516">
      <w:bodyDiv w:val="1"/>
      <w:marLeft w:val="0"/>
      <w:marRight w:val="0"/>
      <w:marTop w:val="0"/>
      <w:marBottom w:val="0"/>
      <w:divBdr>
        <w:top w:val="none" w:sz="0" w:space="0" w:color="auto"/>
        <w:left w:val="none" w:sz="0" w:space="0" w:color="auto"/>
        <w:bottom w:val="none" w:sz="0" w:space="0" w:color="auto"/>
        <w:right w:val="none" w:sz="0" w:space="0" w:color="auto"/>
      </w:divBdr>
    </w:div>
    <w:div w:id="1915776540">
      <w:bodyDiv w:val="1"/>
      <w:marLeft w:val="0"/>
      <w:marRight w:val="0"/>
      <w:marTop w:val="0"/>
      <w:marBottom w:val="0"/>
      <w:divBdr>
        <w:top w:val="none" w:sz="0" w:space="0" w:color="auto"/>
        <w:left w:val="none" w:sz="0" w:space="0" w:color="auto"/>
        <w:bottom w:val="none" w:sz="0" w:space="0" w:color="auto"/>
        <w:right w:val="none" w:sz="0" w:space="0" w:color="auto"/>
      </w:divBdr>
    </w:div>
    <w:div w:id="1926183432">
      <w:bodyDiv w:val="1"/>
      <w:marLeft w:val="0"/>
      <w:marRight w:val="0"/>
      <w:marTop w:val="0"/>
      <w:marBottom w:val="0"/>
      <w:divBdr>
        <w:top w:val="none" w:sz="0" w:space="0" w:color="auto"/>
        <w:left w:val="none" w:sz="0" w:space="0" w:color="auto"/>
        <w:bottom w:val="none" w:sz="0" w:space="0" w:color="auto"/>
        <w:right w:val="none" w:sz="0" w:space="0" w:color="auto"/>
      </w:divBdr>
    </w:div>
    <w:div w:id="1930583398">
      <w:bodyDiv w:val="1"/>
      <w:marLeft w:val="0"/>
      <w:marRight w:val="0"/>
      <w:marTop w:val="0"/>
      <w:marBottom w:val="0"/>
      <w:divBdr>
        <w:top w:val="none" w:sz="0" w:space="0" w:color="auto"/>
        <w:left w:val="none" w:sz="0" w:space="0" w:color="auto"/>
        <w:bottom w:val="none" w:sz="0" w:space="0" w:color="auto"/>
        <w:right w:val="none" w:sz="0" w:space="0" w:color="auto"/>
      </w:divBdr>
    </w:div>
    <w:div w:id="1943224171">
      <w:bodyDiv w:val="1"/>
      <w:marLeft w:val="0"/>
      <w:marRight w:val="0"/>
      <w:marTop w:val="0"/>
      <w:marBottom w:val="0"/>
      <w:divBdr>
        <w:top w:val="none" w:sz="0" w:space="0" w:color="auto"/>
        <w:left w:val="none" w:sz="0" w:space="0" w:color="auto"/>
        <w:bottom w:val="none" w:sz="0" w:space="0" w:color="auto"/>
        <w:right w:val="none" w:sz="0" w:space="0" w:color="auto"/>
      </w:divBdr>
    </w:div>
    <w:div w:id="1958023368">
      <w:bodyDiv w:val="1"/>
      <w:marLeft w:val="0"/>
      <w:marRight w:val="0"/>
      <w:marTop w:val="0"/>
      <w:marBottom w:val="0"/>
      <w:divBdr>
        <w:top w:val="none" w:sz="0" w:space="0" w:color="auto"/>
        <w:left w:val="none" w:sz="0" w:space="0" w:color="auto"/>
        <w:bottom w:val="none" w:sz="0" w:space="0" w:color="auto"/>
        <w:right w:val="none" w:sz="0" w:space="0" w:color="auto"/>
      </w:divBdr>
    </w:div>
    <w:div w:id="1960524053">
      <w:bodyDiv w:val="1"/>
      <w:marLeft w:val="0"/>
      <w:marRight w:val="0"/>
      <w:marTop w:val="0"/>
      <w:marBottom w:val="0"/>
      <w:divBdr>
        <w:top w:val="none" w:sz="0" w:space="0" w:color="auto"/>
        <w:left w:val="none" w:sz="0" w:space="0" w:color="auto"/>
        <w:bottom w:val="none" w:sz="0" w:space="0" w:color="auto"/>
        <w:right w:val="none" w:sz="0" w:space="0" w:color="auto"/>
      </w:divBdr>
    </w:div>
    <w:div w:id="1972468658">
      <w:bodyDiv w:val="1"/>
      <w:marLeft w:val="0"/>
      <w:marRight w:val="0"/>
      <w:marTop w:val="0"/>
      <w:marBottom w:val="0"/>
      <w:divBdr>
        <w:top w:val="none" w:sz="0" w:space="0" w:color="auto"/>
        <w:left w:val="none" w:sz="0" w:space="0" w:color="auto"/>
        <w:bottom w:val="none" w:sz="0" w:space="0" w:color="auto"/>
        <w:right w:val="none" w:sz="0" w:space="0" w:color="auto"/>
      </w:divBdr>
    </w:div>
    <w:div w:id="1989287354">
      <w:bodyDiv w:val="1"/>
      <w:marLeft w:val="0"/>
      <w:marRight w:val="0"/>
      <w:marTop w:val="0"/>
      <w:marBottom w:val="0"/>
      <w:divBdr>
        <w:top w:val="none" w:sz="0" w:space="0" w:color="auto"/>
        <w:left w:val="none" w:sz="0" w:space="0" w:color="auto"/>
        <w:bottom w:val="none" w:sz="0" w:space="0" w:color="auto"/>
        <w:right w:val="none" w:sz="0" w:space="0" w:color="auto"/>
      </w:divBdr>
    </w:div>
    <w:div w:id="1995454007">
      <w:bodyDiv w:val="1"/>
      <w:marLeft w:val="0"/>
      <w:marRight w:val="0"/>
      <w:marTop w:val="0"/>
      <w:marBottom w:val="0"/>
      <w:divBdr>
        <w:top w:val="none" w:sz="0" w:space="0" w:color="auto"/>
        <w:left w:val="none" w:sz="0" w:space="0" w:color="auto"/>
        <w:bottom w:val="none" w:sz="0" w:space="0" w:color="auto"/>
        <w:right w:val="none" w:sz="0" w:space="0" w:color="auto"/>
      </w:divBdr>
    </w:div>
    <w:div w:id="2010520468">
      <w:bodyDiv w:val="1"/>
      <w:marLeft w:val="0"/>
      <w:marRight w:val="0"/>
      <w:marTop w:val="0"/>
      <w:marBottom w:val="0"/>
      <w:divBdr>
        <w:top w:val="none" w:sz="0" w:space="0" w:color="auto"/>
        <w:left w:val="none" w:sz="0" w:space="0" w:color="auto"/>
        <w:bottom w:val="none" w:sz="0" w:space="0" w:color="auto"/>
        <w:right w:val="none" w:sz="0" w:space="0" w:color="auto"/>
      </w:divBdr>
    </w:div>
    <w:div w:id="2014069809">
      <w:bodyDiv w:val="1"/>
      <w:marLeft w:val="0"/>
      <w:marRight w:val="0"/>
      <w:marTop w:val="0"/>
      <w:marBottom w:val="0"/>
      <w:divBdr>
        <w:top w:val="none" w:sz="0" w:space="0" w:color="auto"/>
        <w:left w:val="none" w:sz="0" w:space="0" w:color="auto"/>
        <w:bottom w:val="none" w:sz="0" w:space="0" w:color="auto"/>
        <w:right w:val="none" w:sz="0" w:space="0" w:color="auto"/>
      </w:divBdr>
    </w:div>
    <w:div w:id="2017531463">
      <w:bodyDiv w:val="1"/>
      <w:marLeft w:val="0"/>
      <w:marRight w:val="0"/>
      <w:marTop w:val="0"/>
      <w:marBottom w:val="0"/>
      <w:divBdr>
        <w:top w:val="none" w:sz="0" w:space="0" w:color="auto"/>
        <w:left w:val="none" w:sz="0" w:space="0" w:color="auto"/>
        <w:bottom w:val="none" w:sz="0" w:space="0" w:color="auto"/>
        <w:right w:val="none" w:sz="0" w:space="0" w:color="auto"/>
      </w:divBdr>
    </w:div>
    <w:div w:id="2024284937">
      <w:bodyDiv w:val="1"/>
      <w:marLeft w:val="0"/>
      <w:marRight w:val="0"/>
      <w:marTop w:val="0"/>
      <w:marBottom w:val="0"/>
      <w:divBdr>
        <w:top w:val="none" w:sz="0" w:space="0" w:color="auto"/>
        <w:left w:val="none" w:sz="0" w:space="0" w:color="auto"/>
        <w:bottom w:val="none" w:sz="0" w:space="0" w:color="auto"/>
        <w:right w:val="none" w:sz="0" w:space="0" w:color="auto"/>
      </w:divBdr>
    </w:div>
    <w:div w:id="2025131099">
      <w:bodyDiv w:val="1"/>
      <w:marLeft w:val="0"/>
      <w:marRight w:val="0"/>
      <w:marTop w:val="0"/>
      <w:marBottom w:val="0"/>
      <w:divBdr>
        <w:top w:val="none" w:sz="0" w:space="0" w:color="auto"/>
        <w:left w:val="none" w:sz="0" w:space="0" w:color="auto"/>
        <w:bottom w:val="none" w:sz="0" w:space="0" w:color="auto"/>
        <w:right w:val="none" w:sz="0" w:space="0" w:color="auto"/>
      </w:divBdr>
    </w:div>
    <w:div w:id="2025399396">
      <w:bodyDiv w:val="1"/>
      <w:marLeft w:val="0"/>
      <w:marRight w:val="0"/>
      <w:marTop w:val="0"/>
      <w:marBottom w:val="0"/>
      <w:divBdr>
        <w:top w:val="none" w:sz="0" w:space="0" w:color="auto"/>
        <w:left w:val="none" w:sz="0" w:space="0" w:color="auto"/>
        <w:bottom w:val="none" w:sz="0" w:space="0" w:color="auto"/>
        <w:right w:val="none" w:sz="0" w:space="0" w:color="auto"/>
      </w:divBdr>
    </w:div>
    <w:div w:id="2030326622">
      <w:bodyDiv w:val="1"/>
      <w:marLeft w:val="0"/>
      <w:marRight w:val="0"/>
      <w:marTop w:val="0"/>
      <w:marBottom w:val="0"/>
      <w:divBdr>
        <w:top w:val="none" w:sz="0" w:space="0" w:color="auto"/>
        <w:left w:val="none" w:sz="0" w:space="0" w:color="auto"/>
        <w:bottom w:val="none" w:sz="0" w:space="0" w:color="auto"/>
        <w:right w:val="none" w:sz="0" w:space="0" w:color="auto"/>
      </w:divBdr>
    </w:div>
    <w:div w:id="2037925177">
      <w:bodyDiv w:val="1"/>
      <w:marLeft w:val="0"/>
      <w:marRight w:val="0"/>
      <w:marTop w:val="0"/>
      <w:marBottom w:val="0"/>
      <w:divBdr>
        <w:top w:val="none" w:sz="0" w:space="0" w:color="auto"/>
        <w:left w:val="none" w:sz="0" w:space="0" w:color="auto"/>
        <w:bottom w:val="none" w:sz="0" w:space="0" w:color="auto"/>
        <w:right w:val="none" w:sz="0" w:space="0" w:color="auto"/>
      </w:divBdr>
    </w:div>
    <w:div w:id="2049600919">
      <w:bodyDiv w:val="1"/>
      <w:marLeft w:val="0"/>
      <w:marRight w:val="0"/>
      <w:marTop w:val="0"/>
      <w:marBottom w:val="0"/>
      <w:divBdr>
        <w:top w:val="none" w:sz="0" w:space="0" w:color="auto"/>
        <w:left w:val="none" w:sz="0" w:space="0" w:color="auto"/>
        <w:bottom w:val="none" w:sz="0" w:space="0" w:color="auto"/>
        <w:right w:val="none" w:sz="0" w:space="0" w:color="auto"/>
      </w:divBdr>
    </w:div>
    <w:div w:id="2056926853">
      <w:bodyDiv w:val="1"/>
      <w:marLeft w:val="0"/>
      <w:marRight w:val="0"/>
      <w:marTop w:val="0"/>
      <w:marBottom w:val="0"/>
      <w:divBdr>
        <w:top w:val="none" w:sz="0" w:space="0" w:color="auto"/>
        <w:left w:val="none" w:sz="0" w:space="0" w:color="auto"/>
        <w:bottom w:val="none" w:sz="0" w:space="0" w:color="auto"/>
        <w:right w:val="none" w:sz="0" w:space="0" w:color="auto"/>
      </w:divBdr>
    </w:div>
    <w:div w:id="2068069701">
      <w:bodyDiv w:val="1"/>
      <w:marLeft w:val="0"/>
      <w:marRight w:val="0"/>
      <w:marTop w:val="0"/>
      <w:marBottom w:val="0"/>
      <w:divBdr>
        <w:top w:val="none" w:sz="0" w:space="0" w:color="auto"/>
        <w:left w:val="none" w:sz="0" w:space="0" w:color="auto"/>
        <w:bottom w:val="none" w:sz="0" w:space="0" w:color="auto"/>
        <w:right w:val="none" w:sz="0" w:space="0" w:color="auto"/>
      </w:divBdr>
    </w:div>
    <w:div w:id="2081368588">
      <w:bodyDiv w:val="1"/>
      <w:marLeft w:val="0"/>
      <w:marRight w:val="0"/>
      <w:marTop w:val="0"/>
      <w:marBottom w:val="0"/>
      <w:divBdr>
        <w:top w:val="none" w:sz="0" w:space="0" w:color="auto"/>
        <w:left w:val="none" w:sz="0" w:space="0" w:color="auto"/>
        <w:bottom w:val="none" w:sz="0" w:space="0" w:color="auto"/>
        <w:right w:val="none" w:sz="0" w:space="0" w:color="auto"/>
      </w:divBdr>
    </w:div>
    <w:div w:id="2084259770">
      <w:bodyDiv w:val="1"/>
      <w:marLeft w:val="0"/>
      <w:marRight w:val="0"/>
      <w:marTop w:val="0"/>
      <w:marBottom w:val="0"/>
      <w:divBdr>
        <w:top w:val="none" w:sz="0" w:space="0" w:color="auto"/>
        <w:left w:val="none" w:sz="0" w:space="0" w:color="auto"/>
        <w:bottom w:val="none" w:sz="0" w:space="0" w:color="auto"/>
        <w:right w:val="none" w:sz="0" w:space="0" w:color="auto"/>
      </w:divBdr>
    </w:div>
    <w:div w:id="2084444121">
      <w:bodyDiv w:val="1"/>
      <w:marLeft w:val="0"/>
      <w:marRight w:val="0"/>
      <w:marTop w:val="0"/>
      <w:marBottom w:val="0"/>
      <w:divBdr>
        <w:top w:val="none" w:sz="0" w:space="0" w:color="auto"/>
        <w:left w:val="none" w:sz="0" w:space="0" w:color="auto"/>
        <w:bottom w:val="none" w:sz="0" w:space="0" w:color="auto"/>
        <w:right w:val="none" w:sz="0" w:space="0" w:color="auto"/>
      </w:divBdr>
    </w:div>
    <w:div w:id="2086292764">
      <w:bodyDiv w:val="1"/>
      <w:marLeft w:val="0"/>
      <w:marRight w:val="0"/>
      <w:marTop w:val="0"/>
      <w:marBottom w:val="0"/>
      <w:divBdr>
        <w:top w:val="none" w:sz="0" w:space="0" w:color="auto"/>
        <w:left w:val="none" w:sz="0" w:space="0" w:color="auto"/>
        <w:bottom w:val="none" w:sz="0" w:space="0" w:color="auto"/>
        <w:right w:val="none" w:sz="0" w:space="0" w:color="auto"/>
      </w:divBdr>
    </w:div>
    <w:div w:id="2121147870">
      <w:bodyDiv w:val="1"/>
      <w:marLeft w:val="0"/>
      <w:marRight w:val="0"/>
      <w:marTop w:val="0"/>
      <w:marBottom w:val="0"/>
      <w:divBdr>
        <w:top w:val="none" w:sz="0" w:space="0" w:color="auto"/>
        <w:left w:val="none" w:sz="0" w:space="0" w:color="auto"/>
        <w:bottom w:val="none" w:sz="0" w:space="0" w:color="auto"/>
        <w:right w:val="none" w:sz="0" w:space="0" w:color="auto"/>
      </w:divBdr>
    </w:div>
    <w:div w:id="2127193254">
      <w:bodyDiv w:val="1"/>
      <w:marLeft w:val="0"/>
      <w:marRight w:val="0"/>
      <w:marTop w:val="0"/>
      <w:marBottom w:val="0"/>
      <w:divBdr>
        <w:top w:val="none" w:sz="0" w:space="0" w:color="auto"/>
        <w:left w:val="none" w:sz="0" w:space="0" w:color="auto"/>
        <w:bottom w:val="none" w:sz="0" w:space="0" w:color="auto"/>
        <w:right w:val="none" w:sz="0" w:space="0" w:color="auto"/>
      </w:divBdr>
    </w:div>
    <w:div w:id="2132894051">
      <w:bodyDiv w:val="1"/>
      <w:marLeft w:val="0"/>
      <w:marRight w:val="0"/>
      <w:marTop w:val="0"/>
      <w:marBottom w:val="0"/>
      <w:divBdr>
        <w:top w:val="none" w:sz="0" w:space="0" w:color="auto"/>
        <w:left w:val="none" w:sz="0" w:space="0" w:color="auto"/>
        <w:bottom w:val="none" w:sz="0" w:space="0" w:color="auto"/>
        <w:right w:val="none" w:sz="0" w:space="0" w:color="auto"/>
      </w:divBdr>
    </w:div>
    <w:div w:id="2135172372">
      <w:bodyDiv w:val="1"/>
      <w:marLeft w:val="0"/>
      <w:marRight w:val="0"/>
      <w:marTop w:val="0"/>
      <w:marBottom w:val="0"/>
      <w:divBdr>
        <w:top w:val="none" w:sz="0" w:space="0" w:color="auto"/>
        <w:left w:val="none" w:sz="0" w:space="0" w:color="auto"/>
        <w:bottom w:val="none" w:sz="0" w:space="0" w:color="auto"/>
        <w:right w:val="none" w:sz="0" w:space="0" w:color="auto"/>
      </w:divBdr>
    </w:div>
    <w:div w:id="2140023911">
      <w:bodyDiv w:val="1"/>
      <w:marLeft w:val="0"/>
      <w:marRight w:val="0"/>
      <w:marTop w:val="0"/>
      <w:marBottom w:val="0"/>
      <w:divBdr>
        <w:top w:val="none" w:sz="0" w:space="0" w:color="auto"/>
        <w:left w:val="none" w:sz="0" w:space="0" w:color="auto"/>
        <w:bottom w:val="none" w:sz="0" w:space="0" w:color="auto"/>
        <w:right w:val="none" w:sz="0" w:space="0" w:color="auto"/>
      </w:divBdr>
    </w:div>
    <w:div w:id="214291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numbering" Target="numbering.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image" Target="media/image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www.europarl.europa.eu/thinktank/en/document.html?reference=EPRS_BRI(2020)649351" TargetMode="Externa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9.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hyperlink" Target="https://ec.europa.eu/info/sites/info/files/economy-finance/ip065_en.pdf" TargetMode="Externa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hyperlink" Target="http://www.finance.gov.sk/Default.aspx?CatID=7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image" Target="media/image4.png"/><Relationship Id="rId48" Type="http://schemas.openxmlformats.org/officeDocument/2006/relationships/header" Target="head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info/files/economy-finance/update_of_the_country_fiche_on_public_pensions_for_the_ageing_report_2018_-_slovakia.pdf" TargetMode="External"/><Relationship Id="rId13" Type="http://schemas.openxmlformats.org/officeDocument/2006/relationships/hyperlink" Target="https://www.finance.gov.sk/sk/financie/verejne-financie/regulacny-komplex-pravnych-noriem-metodickych-postupov-z-oblasti-rozpoctoveho-procesu/zakon-rozpoctovych-pravidlach-verejnej-spravy/" TargetMode="External"/><Relationship Id="rId3" Type="http://schemas.openxmlformats.org/officeDocument/2006/relationships/hyperlink" Target="https://www.mfsr.sk/sk/financie/institut-financnej-politiky/strategicke-materialy/navrh-rozpoctoveho-planu/navrh-rozpoctoveho-planu.html" TargetMode="External"/><Relationship Id="rId7" Type="http://schemas.openxmlformats.org/officeDocument/2006/relationships/hyperlink" Target="https://www.mfsr.sk/sk/financie/institut-financnej-politiky/publikacie-ifp/ekonomicke-analyzy/51-default-strategy-pension-savings-case-slovakia.html" TargetMode="External"/><Relationship Id="rId12" Type="http://schemas.openxmlformats.org/officeDocument/2006/relationships/hyperlink" Target="https://www.rozpoctovarada.sk/images/Legislativa_SR/Zakon_493_2011_20121028.pdf" TargetMode="External"/><Relationship Id="rId2" Type="http://schemas.openxmlformats.org/officeDocument/2006/relationships/hyperlink" Target="https://www.mfsr.sk/files/archiv/44/revizia_zdravotnictvo_2.pdf" TargetMode="External"/><Relationship Id="rId16" Type="http://schemas.openxmlformats.org/officeDocument/2006/relationships/hyperlink" Target="http://ec.europa.eu/economy_finance/publications/eeip/pdf/ip021_en.pdf" TargetMode="External"/><Relationship Id="rId1" Type="http://schemas.openxmlformats.org/officeDocument/2006/relationships/hyperlink" Target="https://www.mfsr.sk/sk/financie/institut-financnej-politiky/ekonomicke-prognozy/makroekonomicke-prognozy/51-zasadnutie-vyboru-makroekonomicke-prognozy-april-2020.html" TargetMode="External"/><Relationship Id="rId6" Type="http://schemas.openxmlformats.org/officeDocument/2006/relationships/hyperlink" Target="https://www.imf.org/external/np/pp/eng/2013/050913.pdf" TargetMode="External"/><Relationship Id="rId11" Type="http://schemas.openxmlformats.org/officeDocument/2006/relationships/hyperlink" Target="https://ec.europa.eu/info/publications/economy-finance/vade-mecum-stability-and-growth-pact-2018-edition_en" TargetMode="External"/><Relationship Id="rId5" Type="http://schemas.openxmlformats.org/officeDocument/2006/relationships/hyperlink" Target="https://www.europarl.europa.eu/thinktank/en/document.html?reference=EPRS_BRI(2020)649351" TargetMode="External"/><Relationship Id="rId15" Type="http://schemas.openxmlformats.org/officeDocument/2006/relationships/hyperlink" Target="https://ec.europa.eu/info/strategy/priorities-2019-2024/european-green-deal_sk" TargetMode="External"/><Relationship Id="rId10" Type="http://schemas.openxmlformats.org/officeDocument/2006/relationships/hyperlink" Target="https://ec.europa.eu/info/sites/info/files/economy-finance/update_of_the_country_fiche_on_public_pensions_for_the_ageing_report_2018_-_slovakia.pdf" TargetMode="External"/><Relationship Id="rId4" Type="http://schemas.openxmlformats.org/officeDocument/2006/relationships/hyperlink" Target="https://www.finance.gov.sk/sk/financie/institut-financnej-politiky/publikacie-ifp/manualy/metodika-zostavovania-scenara-nezmenenych-politik.html" TargetMode="External"/><Relationship Id="rId9" Type="http://schemas.openxmlformats.org/officeDocument/2006/relationships/hyperlink" Target="https://ec.europa.eu/info/publications/economy-finance/2018-ageing-report-underlying-assumptions-and-projection-methodologies_en" TargetMode="External"/><Relationship Id="rId14" Type="http://schemas.openxmlformats.org/officeDocument/2006/relationships/hyperlink" Target="https://www.rozpoctovarada.sk/download2/hodnotenie_pravidiel_2018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20\Vstupy\Skutocnost_2019\S_2019_pribeh_JK_2.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_rok_programu_Microsoft_Excel1.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20\Dlh\GFN.xlsx" TargetMode="External"/><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2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6.xml"/><Relationship Id="rId4"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oleObject" Target="file:///\\mf.mfsr.sk\DfsRoot\ADRESARE\IFP_NEW\3_MAKRO\3_3_Databaza\Conjunctural%20devts%20euro%20area.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0148491712508"/>
          <c:y val="0.1560023116376508"/>
          <c:w val="0.81987020458059179"/>
          <c:h val="0.6904163355727323"/>
        </c:manualLayout>
      </c:layout>
      <c:barChart>
        <c:barDir val="col"/>
        <c:grouping val="clustered"/>
        <c:varyColors val="0"/>
        <c:ser>
          <c:idx val="0"/>
          <c:order val="0"/>
          <c:tx>
            <c:v>Nominálne saldo</c:v>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9+10 '!$B$20:$G$20</c:f>
              <c:numCache>
                <c:formatCode>General</c:formatCode>
                <c:ptCount val="6"/>
                <c:pt idx="0">
                  <c:v>2018</c:v>
                </c:pt>
                <c:pt idx="1">
                  <c:v>2019</c:v>
                </c:pt>
                <c:pt idx="2">
                  <c:v>2020</c:v>
                </c:pt>
                <c:pt idx="3">
                  <c:v>2021</c:v>
                </c:pt>
                <c:pt idx="4">
                  <c:v>2022</c:v>
                </c:pt>
                <c:pt idx="5">
                  <c:v>2023</c:v>
                </c:pt>
              </c:numCache>
            </c:numRef>
          </c:cat>
          <c:val>
            <c:numRef>
              <c:f>'Graf 9+10 '!$B$21:$G$21</c:f>
              <c:numCache>
                <c:formatCode>0.00</c:formatCode>
                <c:ptCount val="6"/>
                <c:pt idx="0">
                  <c:v>-1.0483926938767456</c:v>
                </c:pt>
                <c:pt idx="1">
                  <c:v>-1.2951457132102888</c:v>
                </c:pt>
                <c:pt idx="2">
                  <c:v>-8.3985292482612834</c:v>
                </c:pt>
                <c:pt idx="3">
                  <c:v>-4.8831427558206677</c:v>
                </c:pt>
                <c:pt idx="4">
                  <c:v>-3.7217317609731486</c:v>
                </c:pt>
                <c:pt idx="5">
                  <c:v>-2.8930172865733033</c:v>
                </c:pt>
              </c:numCache>
            </c:numRef>
          </c:val>
          <c:extLst xmlns:c16r2="http://schemas.microsoft.com/office/drawing/2015/06/chart">
            <c:ext xmlns:c16="http://schemas.microsoft.com/office/drawing/2014/chart" uri="{C3380CC4-5D6E-409C-BE32-E72D297353CC}">
              <c16:uniqueId val="{00000000-5107-4D9C-9C76-E07E71DEB4A7}"/>
            </c:ext>
          </c:extLst>
        </c:ser>
        <c:ser>
          <c:idx val="3"/>
          <c:order val="1"/>
          <c:tx>
            <c:v>Štrukturálne saldo</c:v>
          </c:tx>
          <c:spPr>
            <a:solidFill>
              <a:schemeClr val="accent1"/>
            </a:solidFill>
            <a:ln>
              <a:noFill/>
            </a:ln>
            <a:effectLst/>
          </c:spPr>
          <c:invertIfNegative val="0"/>
          <c:dLbls>
            <c:dLbl>
              <c:idx val="5"/>
              <c:layout>
                <c:manualLayout>
                  <c:x val="0"/>
                  <c:y val="3.05810397553516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07-4D9C-9C76-E07E71DEB4A7}"/>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9+10 '!$B$20:$G$20</c:f>
              <c:numCache>
                <c:formatCode>General</c:formatCode>
                <c:ptCount val="6"/>
                <c:pt idx="0">
                  <c:v>2018</c:v>
                </c:pt>
                <c:pt idx="1">
                  <c:v>2019</c:v>
                </c:pt>
                <c:pt idx="2">
                  <c:v>2020</c:v>
                </c:pt>
                <c:pt idx="3">
                  <c:v>2021</c:v>
                </c:pt>
                <c:pt idx="4">
                  <c:v>2022</c:v>
                </c:pt>
                <c:pt idx="5">
                  <c:v>2023</c:v>
                </c:pt>
              </c:numCache>
            </c:numRef>
          </c:cat>
          <c:val>
            <c:numRef>
              <c:f>'Graf 9+10 '!$B$22:$G$22</c:f>
              <c:numCache>
                <c:formatCode>0.0</c:formatCode>
                <c:ptCount val="6"/>
                <c:pt idx="0">
                  <c:v>-1.7604013347443299</c:v>
                </c:pt>
                <c:pt idx="1">
                  <c:v>-1.9578318109866053</c:v>
                </c:pt>
                <c:pt idx="2">
                  <c:v>-3.9614232309808237</c:v>
                </c:pt>
                <c:pt idx="3">
                  <c:v>-3.7184197019197027</c:v>
                </c:pt>
                <c:pt idx="4">
                  <c:v>-3.2084436509867942</c:v>
                </c:pt>
                <c:pt idx="5">
                  <c:v>-2.7103464088339866</c:v>
                </c:pt>
              </c:numCache>
            </c:numRef>
          </c:val>
          <c:extLst xmlns:c16r2="http://schemas.microsoft.com/office/drawing/2015/06/chart">
            <c:ext xmlns:c16="http://schemas.microsoft.com/office/drawing/2014/chart" uri="{C3380CC4-5D6E-409C-BE32-E72D297353CC}">
              <c16:uniqueId val="{00000002-5107-4D9C-9C76-E07E71DEB4A7}"/>
            </c:ext>
          </c:extLst>
        </c:ser>
        <c:dLbls>
          <c:showLegendKey val="0"/>
          <c:showVal val="0"/>
          <c:showCatName val="0"/>
          <c:showSerName val="0"/>
          <c:showPercent val="0"/>
          <c:showBubbleSize val="0"/>
        </c:dLbls>
        <c:gapWidth val="219"/>
        <c:axId val="113612736"/>
        <c:axId val="113731984"/>
        <c:extLst xmlns:c16r2="http://schemas.microsoft.com/office/drawing/2015/06/chart"/>
      </c:barChart>
      <c:lineChart>
        <c:grouping val="standard"/>
        <c:varyColors val="0"/>
        <c:ser>
          <c:idx val="6"/>
          <c:order val="2"/>
          <c:tx>
            <c:v>Konsolidačné úsilie</c:v>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6"/>
              <c:pt idx="0">
                <c:v>2014</c:v>
              </c:pt>
              <c:pt idx="1">
                <c:v>2015</c:v>
              </c:pt>
              <c:pt idx="2">
                <c:v>2016</c:v>
              </c:pt>
              <c:pt idx="3">
                <c:v>2017</c:v>
              </c:pt>
              <c:pt idx="4">
                <c:v>2018</c:v>
              </c:pt>
              <c:pt idx="5">
                <c:v>2019</c:v>
              </c:pt>
            </c:numLit>
          </c:cat>
          <c:val>
            <c:numRef>
              <c:f>'Graf 9+10 '!$B$23:$G$23</c:f>
              <c:numCache>
                <c:formatCode>0.00</c:formatCode>
                <c:ptCount val="6"/>
                <c:pt idx="0">
                  <c:v>-0.65615214366174834</c:v>
                </c:pt>
                <c:pt idx="1">
                  <c:v>-0.19743047624227539</c:v>
                </c:pt>
                <c:pt idx="2">
                  <c:v>-2.0035914199942182</c:v>
                </c:pt>
                <c:pt idx="3">
                  <c:v>0.24300352906112099</c:v>
                </c:pt>
                <c:pt idx="4">
                  <c:v>0.50997605093290854</c:v>
                </c:pt>
                <c:pt idx="5">
                  <c:v>0.4980972421528076</c:v>
                </c:pt>
              </c:numCache>
            </c:numRef>
          </c:val>
          <c:smooth val="0"/>
          <c:extLst xmlns:c16r2="http://schemas.microsoft.com/office/drawing/2015/06/chart">
            <c:ext xmlns:c16="http://schemas.microsoft.com/office/drawing/2014/chart" uri="{C3380CC4-5D6E-409C-BE32-E72D297353CC}">
              <c16:uniqueId val="{00000003-5107-4D9C-9C76-E07E71DEB4A7}"/>
            </c:ext>
          </c:extLst>
        </c:ser>
        <c:dLbls>
          <c:showLegendKey val="0"/>
          <c:showVal val="0"/>
          <c:showCatName val="0"/>
          <c:showSerName val="0"/>
          <c:showPercent val="0"/>
          <c:showBubbleSize val="0"/>
        </c:dLbls>
        <c:marker val="1"/>
        <c:smooth val="0"/>
        <c:axId val="113612736"/>
        <c:axId val="113731984"/>
        <c:extLst xmlns:c16r2="http://schemas.microsoft.com/office/drawing/2015/06/chart"/>
      </c:lineChart>
      <c:catAx>
        <c:axId val="113612736"/>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13731984"/>
        <c:crosses val="autoZero"/>
        <c:auto val="1"/>
        <c:lblAlgn val="ctr"/>
        <c:lblOffset val="100"/>
        <c:noMultiLvlLbl val="0"/>
      </c:catAx>
      <c:valAx>
        <c:axId val="113731984"/>
        <c:scaling>
          <c:orientation val="minMax"/>
        </c:scaling>
        <c:delete val="0"/>
        <c:axPos val="l"/>
        <c:majorGridlines>
          <c:spPr>
            <a:ln w="9525" cap="flat" cmpd="sng" algn="ctr">
              <a:solidFill>
                <a:schemeClr val="accent2"/>
              </a:solidFill>
              <a:prstDash val="dash"/>
              <a:round/>
            </a:ln>
            <a:effectLst/>
          </c:spPr>
        </c:majorGridlines>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13612736"/>
        <c:crosses val="autoZero"/>
        <c:crossBetween val="between"/>
      </c:valAx>
      <c:spPr>
        <a:noFill/>
        <a:ln>
          <a:noFill/>
        </a:ln>
        <a:effectLst/>
      </c:spPr>
    </c:plotArea>
    <c:legend>
      <c:legendPos val="t"/>
      <c:layout>
        <c:manualLayout>
          <c:xMode val="edge"/>
          <c:yMode val="edge"/>
          <c:x val="6.0161757558083021E-2"/>
          <c:y val="2.5437645982325581E-3"/>
          <c:w val="0.89999995244083164"/>
          <c:h val="0.132981771773941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33580361278368E-2"/>
          <c:y val="5.0335570469798654E-2"/>
          <c:w val="0.88587326584176973"/>
          <c:h val="0.73970895206891085"/>
        </c:manualLayout>
      </c:layout>
      <c:lineChart>
        <c:grouping val="standard"/>
        <c:varyColors val="0"/>
        <c:ser>
          <c:idx val="1"/>
          <c:order val="0"/>
          <c:tx>
            <c:strRef>
              <c:f>'Graf 8 + Tab 3'!$J$6</c:f>
              <c:strCache>
                <c:ptCount val="1"/>
                <c:pt idx="0">
                  <c:v>Produkčná medzera</c:v>
                </c:pt>
              </c:strCache>
            </c:strRef>
          </c:tx>
          <c:spPr>
            <a:ln w="19050">
              <a:solidFill>
                <a:schemeClr val="tx1"/>
              </a:solidFill>
            </a:ln>
          </c:spPr>
          <c:marker>
            <c:symbol val="none"/>
          </c:marker>
          <c:cat>
            <c:strRef>
              <c:f>'Graf 8 + Tab 3'!$K$5:$AC$5</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2020F</c:v>
                </c:pt>
                <c:pt idx="16">
                  <c:v>2021F</c:v>
                </c:pt>
                <c:pt idx="17">
                  <c:v>2022F</c:v>
                </c:pt>
                <c:pt idx="18">
                  <c:v>2023F</c:v>
                </c:pt>
              </c:strCache>
            </c:strRef>
          </c:cat>
          <c:val>
            <c:numRef>
              <c:f>'Graf 8 + Tab 3'!$K$6:$AC$6</c:f>
              <c:numCache>
                <c:formatCode>0.00</c:formatCode>
                <c:ptCount val="19"/>
                <c:pt idx="0">
                  <c:v>-1.5042637555448213</c:v>
                </c:pt>
                <c:pt idx="1">
                  <c:v>-0.3466404423583036</c:v>
                </c:pt>
                <c:pt idx="2">
                  <c:v>2.7490740308227624</c:v>
                </c:pt>
                <c:pt idx="3">
                  <c:v>2.9475362243756242</c:v>
                </c:pt>
                <c:pt idx="4">
                  <c:v>-4.8875558148697928</c:v>
                </c:pt>
                <c:pt idx="5">
                  <c:v>-0.97763728303720265</c:v>
                </c:pt>
                <c:pt idx="6">
                  <c:v>-0.66212426262761692</c:v>
                </c:pt>
                <c:pt idx="7">
                  <c:v>-1.280736568017371</c:v>
                </c:pt>
                <c:pt idx="8">
                  <c:v>-2.3855582317488078</c:v>
                </c:pt>
                <c:pt idx="9">
                  <c:v>-1.5618121603417134</c:v>
                </c:pt>
                <c:pt idx="10">
                  <c:v>0.12145453544420981</c:v>
                </c:pt>
                <c:pt idx="11">
                  <c:v>-0.28849756198555676</c:v>
                </c:pt>
                <c:pt idx="12">
                  <c:v>0.47579628511917882</c:v>
                </c:pt>
                <c:pt idx="13">
                  <c:v>1.8099246289069448</c:v>
                </c:pt>
                <c:pt idx="14">
                  <c:v>1.6845468169292221</c:v>
                </c:pt>
                <c:pt idx="15">
                  <c:v>-7.1240493644227136</c:v>
                </c:pt>
                <c:pt idx="16">
                  <c:v>-2.9607238172592809</c:v>
                </c:pt>
                <c:pt idx="17">
                  <c:v>-1.3047774123322364</c:v>
                </c:pt>
                <c:pt idx="18">
                  <c:v>-0.46434902840726267</c:v>
                </c:pt>
              </c:numCache>
            </c:numRef>
          </c:val>
          <c:smooth val="0"/>
          <c:extLst xmlns:c16r2="http://schemas.microsoft.com/office/drawing/2015/06/chart">
            <c:ext xmlns:c16="http://schemas.microsoft.com/office/drawing/2014/chart" uri="{C3380CC4-5D6E-409C-BE32-E72D297353CC}">
              <c16:uniqueId val="{00000000-5322-4ADF-B424-3CA2E1BDBFC5}"/>
            </c:ext>
          </c:extLst>
        </c:ser>
        <c:dLbls>
          <c:showLegendKey val="0"/>
          <c:showVal val="0"/>
          <c:showCatName val="0"/>
          <c:showSerName val="0"/>
          <c:showPercent val="0"/>
          <c:showBubbleSize val="0"/>
        </c:dLbls>
        <c:smooth val="0"/>
        <c:axId val="112295496"/>
        <c:axId val="112172952"/>
      </c:lineChart>
      <c:catAx>
        <c:axId val="112295496"/>
        <c:scaling>
          <c:orientation val="minMax"/>
        </c:scaling>
        <c:delete val="0"/>
        <c:axPos val="b"/>
        <c:numFmt formatCode="General" sourceLinked="1"/>
        <c:majorTickMark val="none"/>
        <c:minorTickMark val="none"/>
        <c:tickLblPos val="low"/>
        <c:spPr>
          <a:ln w="6350">
            <a:solidFill>
              <a:schemeClr val="tx1"/>
            </a:solidFill>
          </a:ln>
        </c:spPr>
        <c:crossAx val="112172952"/>
        <c:crosses val="autoZero"/>
        <c:auto val="1"/>
        <c:lblAlgn val="ctr"/>
        <c:lblOffset val="100"/>
        <c:noMultiLvlLbl val="0"/>
      </c:catAx>
      <c:valAx>
        <c:axId val="112172952"/>
        <c:scaling>
          <c:orientation val="minMax"/>
        </c:scaling>
        <c:delete val="0"/>
        <c:axPos val="l"/>
        <c:majorGridlines>
          <c:spPr>
            <a:ln w="6350">
              <a:solidFill>
                <a:schemeClr val="bg1">
                  <a:lumMod val="95000"/>
                </a:schemeClr>
              </a:solidFill>
              <a:prstDash val="sysDot"/>
            </a:ln>
          </c:spPr>
        </c:majorGridlines>
        <c:numFmt formatCode="0" sourceLinked="0"/>
        <c:majorTickMark val="out"/>
        <c:minorTickMark val="none"/>
        <c:tickLblPos val="nextTo"/>
        <c:spPr>
          <a:ln w="6350">
            <a:solidFill>
              <a:schemeClr val="tx1"/>
            </a:solidFill>
          </a:ln>
        </c:spPr>
        <c:crossAx val="112295496"/>
        <c:crosses val="autoZero"/>
        <c:crossBetween val="between"/>
      </c:valAx>
      <c:spPr>
        <a:noFill/>
      </c:spPr>
    </c:plotArea>
    <c:plotVisOnly val="1"/>
    <c:dispBlanksAs val="gap"/>
    <c:showDLblsOverMax val="0"/>
  </c:chart>
  <c:spPr>
    <a:noFill/>
    <a:ln>
      <a:noFill/>
    </a:ln>
  </c:spPr>
  <c:txPr>
    <a:bodyPr/>
    <a:lstStyle/>
    <a:p>
      <a:pPr>
        <a:defRPr sz="800">
          <a:latin typeface="Arial Narrow" panose="020B0606020202030204" pitchFamily="34"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Comparison!$AP$184</c:f>
              <c:strCache>
                <c:ptCount val="1"/>
                <c:pt idx="0">
                  <c:v>feb 2020</c:v>
                </c:pt>
              </c:strCache>
            </c:strRef>
          </c:tx>
          <c:spPr>
            <a:ln w="19050" cap="rnd">
              <a:solidFill>
                <a:srgbClr val="000000"/>
              </a:solidFill>
              <a:prstDash val="dash"/>
              <a:round/>
            </a:ln>
            <a:effectLst/>
          </c:spPr>
          <c:marker>
            <c:symbol val="none"/>
          </c:marker>
          <c:cat>
            <c:numRef>
              <c:f>Comparison!$AQ$183:$AU$183</c:f>
              <c:numCache>
                <c:formatCode>General</c:formatCode>
                <c:ptCount val="5"/>
                <c:pt idx="0">
                  <c:v>2019</c:v>
                </c:pt>
                <c:pt idx="1">
                  <c:v>2020</c:v>
                </c:pt>
                <c:pt idx="2">
                  <c:v>2021</c:v>
                </c:pt>
                <c:pt idx="3">
                  <c:v>2022</c:v>
                </c:pt>
                <c:pt idx="4">
                  <c:v>2023</c:v>
                </c:pt>
              </c:numCache>
            </c:numRef>
          </c:cat>
          <c:val>
            <c:numRef>
              <c:f>Comparison!$AQ$184:$AU$184</c:f>
              <c:numCache>
                <c:formatCode>0</c:formatCode>
                <c:ptCount val="5"/>
                <c:pt idx="0">
                  <c:v>99.98942530501408</c:v>
                </c:pt>
                <c:pt idx="1">
                  <c:v>102.1913770676105</c:v>
                </c:pt>
                <c:pt idx="2">
                  <c:v>104.92681236157073</c:v>
                </c:pt>
                <c:pt idx="3">
                  <c:v>107.74480303017214</c:v>
                </c:pt>
                <c:pt idx="4">
                  <c:v>111.59047912765982</c:v>
                </c:pt>
              </c:numCache>
            </c:numRef>
          </c:val>
          <c:smooth val="0"/>
          <c:extLst xmlns:c16r2="http://schemas.microsoft.com/office/drawing/2015/06/chart">
            <c:ext xmlns:c16="http://schemas.microsoft.com/office/drawing/2014/chart" uri="{C3380CC4-5D6E-409C-BE32-E72D297353CC}">
              <c16:uniqueId val="{00000000-51F3-4D97-97D1-AA928AD0CF92}"/>
            </c:ext>
          </c:extLst>
        </c:ser>
        <c:ser>
          <c:idx val="1"/>
          <c:order val="1"/>
          <c:tx>
            <c:strRef>
              <c:f>Comparison!$AP$185</c:f>
              <c:strCache>
                <c:ptCount val="1"/>
                <c:pt idx="0">
                  <c:v>prognóza</c:v>
                </c:pt>
              </c:strCache>
            </c:strRef>
          </c:tx>
          <c:spPr>
            <a:ln w="19050" cap="rnd">
              <a:solidFill>
                <a:schemeClr val="tx1"/>
              </a:solidFill>
              <a:round/>
            </a:ln>
            <a:effectLst/>
          </c:spPr>
          <c:marker>
            <c:symbol val="none"/>
          </c:marker>
          <c:cat>
            <c:numRef>
              <c:f>Comparison!$AQ$183:$AU$183</c:f>
              <c:numCache>
                <c:formatCode>General</c:formatCode>
                <c:ptCount val="5"/>
                <c:pt idx="0">
                  <c:v>2019</c:v>
                </c:pt>
                <c:pt idx="1">
                  <c:v>2020</c:v>
                </c:pt>
                <c:pt idx="2">
                  <c:v>2021</c:v>
                </c:pt>
                <c:pt idx="3">
                  <c:v>2022</c:v>
                </c:pt>
                <c:pt idx="4">
                  <c:v>2023</c:v>
                </c:pt>
              </c:numCache>
            </c:numRef>
          </c:cat>
          <c:val>
            <c:numRef>
              <c:f>Comparison!$AQ$185:$AU$185</c:f>
              <c:numCache>
                <c:formatCode>0</c:formatCode>
                <c:ptCount val="5"/>
                <c:pt idx="0">
                  <c:v>100</c:v>
                </c:pt>
                <c:pt idx="1">
                  <c:v>92.779995496077376</c:v>
                </c:pt>
                <c:pt idx="2">
                  <c:v>99.087463109335303</c:v>
                </c:pt>
                <c:pt idx="3">
                  <c:v>103.13065890500248</c:v>
                </c:pt>
                <c:pt idx="4">
                  <c:v>106.38002381187323</c:v>
                </c:pt>
              </c:numCache>
            </c:numRef>
          </c:val>
          <c:smooth val="0"/>
          <c:extLst xmlns:c16r2="http://schemas.microsoft.com/office/drawing/2015/06/chart">
            <c:ext xmlns:c16="http://schemas.microsoft.com/office/drawing/2014/chart" uri="{C3380CC4-5D6E-409C-BE32-E72D297353CC}">
              <c16:uniqueId val="{00000001-51F3-4D97-97D1-AA928AD0CF92}"/>
            </c:ext>
          </c:extLst>
        </c:ser>
        <c:ser>
          <c:idx val="2"/>
          <c:order val="2"/>
          <c:tx>
            <c:strRef>
              <c:f>Comparison!$AP$186</c:f>
              <c:strCache>
                <c:ptCount val="1"/>
                <c:pt idx="0">
                  <c:v>scen. 1</c:v>
                </c:pt>
              </c:strCache>
            </c:strRef>
          </c:tx>
          <c:spPr>
            <a:ln w="19050" cap="rnd">
              <a:solidFill>
                <a:srgbClr val="2C9ADC"/>
              </a:solidFill>
              <a:round/>
            </a:ln>
            <a:effectLst/>
          </c:spPr>
          <c:marker>
            <c:symbol val="none"/>
          </c:marker>
          <c:cat>
            <c:numRef>
              <c:f>Comparison!$AQ$183:$AU$183</c:f>
              <c:numCache>
                <c:formatCode>General</c:formatCode>
                <c:ptCount val="5"/>
                <c:pt idx="0">
                  <c:v>2019</c:v>
                </c:pt>
                <c:pt idx="1">
                  <c:v>2020</c:v>
                </c:pt>
                <c:pt idx="2">
                  <c:v>2021</c:v>
                </c:pt>
                <c:pt idx="3">
                  <c:v>2022</c:v>
                </c:pt>
                <c:pt idx="4">
                  <c:v>2023</c:v>
                </c:pt>
              </c:numCache>
            </c:numRef>
          </c:cat>
          <c:val>
            <c:numRef>
              <c:f>Comparison!$AQ$186:$AU$186</c:f>
              <c:numCache>
                <c:formatCode>0</c:formatCode>
                <c:ptCount val="5"/>
                <c:pt idx="0">
                  <c:v>100</c:v>
                </c:pt>
                <c:pt idx="1">
                  <c:v>87.526462438194073</c:v>
                </c:pt>
                <c:pt idx="2">
                  <c:v>97.308578549561773</c:v>
                </c:pt>
                <c:pt idx="3">
                  <c:v>101.78675084002305</c:v>
                </c:pt>
                <c:pt idx="4">
                  <c:v>104.82823622370965</c:v>
                </c:pt>
              </c:numCache>
            </c:numRef>
          </c:val>
          <c:smooth val="0"/>
          <c:extLst xmlns:c16r2="http://schemas.microsoft.com/office/drawing/2015/06/chart">
            <c:ext xmlns:c16="http://schemas.microsoft.com/office/drawing/2014/chart" uri="{C3380CC4-5D6E-409C-BE32-E72D297353CC}">
              <c16:uniqueId val="{00000002-51F3-4D97-97D1-AA928AD0CF92}"/>
            </c:ext>
          </c:extLst>
        </c:ser>
        <c:ser>
          <c:idx val="3"/>
          <c:order val="3"/>
          <c:tx>
            <c:strRef>
              <c:f>Comparison!$AP$187</c:f>
              <c:strCache>
                <c:ptCount val="1"/>
                <c:pt idx="0">
                  <c:v>scen. 2</c:v>
                </c:pt>
              </c:strCache>
            </c:strRef>
          </c:tx>
          <c:spPr>
            <a:ln w="19050" cap="rnd">
              <a:solidFill>
                <a:schemeClr val="bg1">
                  <a:lumMod val="50000"/>
                </a:schemeClr>
              </a:solidFill>
              <a:round/>
            </a:ln>
            <a:effectLst/>
          </c:spPr>
          <c:marker>
            <c:symbol val="none"/>
          </c:marker>
          <c:cat>
            <c:numRef>
              <c:f>Comparison!$AQ$183:$AU$183</c:f>
              <c:numCache>
                <c:formatCode>General</c:formatCode>
                <c:ptCount val="5"/>
                <c:pt idx="0">
                  <c:v>2019</c:v>
                </c:pt>
                <c:pt idx="1">
                  <c:v>2020</c:v>
                </c:pt>
                <c:pt idx="2">
                  <c:v>2021</c:v>
                </c:pt>
                <c:pt idx="3">
                  <c:v>2022</c:v>
                </c:pt>
                <c:pt idx="4">
                  <c:v>2023</c:v>
                </c:pt>
              </c:numCache>
            </c:numRef>
          </c:cat>
          <c:val>
            <c:numRef>
              <c:f>Comparison!$AQ$187:$AU$187</c:f>
              <c:numCache>
                <c:formatCode>0</c:formatCode>
                <c:ptCount val="5"/>
                <c:pt idx="0">
                  <c:v>100</c:v>
                </c:pt>
                <c:pt idx="1">
                  <c:v>88.611375139948265</c:v>
                </c:pt>
                <c:pt idx="2">
                  <c:v>88.629246729464455</c:v>
                </c:pt>
                <c:pt idx="3">
                  <c:v>93.08683168489577</c:v>
                </c:pt>
                <c:pt idx="4">
                  <c:v>97.383893557235467</c:v>
                </c:pt>
              </c:numCache>
            </c:numRef>
          </c:val>
          <c:smooth val="0"/>
          <c:extLst xmlns:c16r2="http://schemas.microsoft.com/office/drawing/2015/06/chart">
            <c:ext xmlns:c16="http://schemas.microsoft.com/office/drawing/2014/chart" uri="{C3380CC4-5D6E-409C-BE32-E72D297353CC}">
              <c16:uniqueId val="{00000003-51F3-4D97-97D1-AA928AD0CF92}"/>
            </c:ext>
          </c:extLst>
        </c:ser>
        <c:dLbls>
          <c:showLegendKey val="0"/>
          <c:showVal val="0"/>
          <c:showCatName val="0"/>
          <c:showSerName val="0"/>
          <c:showPercent val="0"/>
          <c:showBubbleSize val="0"/>
        </c:dLbls>
        <c:smooth val="0"/>
        <c:axId val="112173736"/>
        <c:axId val="112174128"/>
      </c:lineChart>
      <c:catAx>
        <c:axId val="112173736"/>
        <c:scaling>
          <c:orientation val="minMax"/>
        </c:scaling>
        <c:delete val="0"/>
        <c:axPos val="b"/>
        <c:numFmt formatCode="General" sourceLinked="1"/>
        <c:majorTickMark val="none"/>
        <c:minorTickMark val="none"/>
        <c:tickLblPos val="low"/>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12174128"/>
        <c:crossesAt val="100"/>
        <c:auto val="1"/>
        <c:lblAlgn val="ctr"/>
        <c:lblOffset val="100"/>
        <c:noMultiLvlLbl val="0"/>
      </c:catAx>
      <c:valAx>
        <c:axId val="112174128"/>
        <c:scaling>
          <c:orientation val="minMax"/>
          <c:min val="80"/>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12173736"/>
        <c:crossesAt val="1"/>
        <c:crossBetween val="between"/>
      </c:valAx>
      <c:spPr>
        <a:noFill/>
        <a:ln>
          <a:noFill/>
        </a:ln>
        <a:effectLst/>
      </c:spPr>
    </c:plotArea>
    <c:legend>
      <c:legendPos val="tr"/>
      <c:layout>
        <c:manualLayout>
          <c:xMode val="edge"/>
          <c:yMode val="edge"/>
          <c:x val="0.10062364898854363"/>
          <c:y val="3.7605874955175186E-2"/>
          <c:w val="0.43131807910514253"/>
          <c:h val="0.27172627315107101"/>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Comparison!$AP$212</c:f>
              <c:strCache>
                <c:ptCount val="1"/>
                <c:pt idx="0">
                  <c:v>feb 2020</c:v>
                </c:pt>
              </c:strCache>
            </c:strRef>
          </c:tx>
          <c:spPr>
            <a:ln w="19050" cap="rnd">
              <a:solidFill>
                <a:srgbClr val="000000"/>
              </a:solidFill>
              <a:prstDash val="dash"/>
              <a:round/>
            </a:ln>
            <a:effectLst/>
          </c:spPr>
          <c:marker>
            <c:symbol val="none"/>
          </c:marker>
          <c:cat>
            <c:numRef>
              <c:f>Comparison!$AQ$211:$AU$211</c:f>
              <c:numCache>
                <c:formatCode>General</c:formatCode>
                <c:ptCount val="5"/>
                <c:pt idx="0">
                  <c:v>2019</c:v>
                </c:pt>
                <c:pt idx="1">
                  <c:v>2020</c:v>
                </c:pt>
                <c:pt idx="2">
                  <c:v>2021</c:v>
                </c:pt>
                <c:pt idx="3">
                  <c:v>2022</c:v>
                </c:pt>
                <c:pt idx="4">
                  <c:v>2023</c:v>
                </c:pt>
              </c:numCache>
            </c:numRef>
          </c:cat>
          <c:val>
            <c:numRef>
              <c:f>Comparison!$AQ$212:$AU$212</c:f>
              <c:numCache>
                <c:formatCode>0</c:formatCode>
                <c:ptCount val="5"/>
                <c:pt idx="0">
                  <c:v>100.08340347379972</c:v>
                </c:pt>
                <c:pt idx="1">
                  <c:v>100.24678804290784</c:v>
                </c:pt>
                <c:pt idx="2">
                  <c:v>100.536024810958</c:v>
                </c:pt>
                <c:pt idx="3">
                  <c:v>100.75349066031922</c:v>
                </c:pt>
                <c:pt idx="4">
                  <c:v>101.17213227684485</c:v>
                </c:pt>
              </c:numCache>
            </c:numRef>
          </c:val>
          <c:smooth val="0"/>
          <c:extLst xmlns:c16r2="http://schemas.microsoft.com/office/drawing/2015/06/chart">
            <c:ext xmlns:c16="http://schemas.microsoft.com/office/drawing/2014/chart" uri="{C3380CC4-5D6E-409C-BE32-E72D297353CC}">
              <c16:uniqueId val="{00000000-2F5B-4DD9-B3D5-A6A61DC48A6D}"/>
            </c:ext>
          </c:extLst>
        </c:ser>
        <c:ser>
          <c:idx val="1"/>
          <c:order val="1"/>
          <c:tx>
            <c:strRef>
              <c:f>Comparison!$AP$213</c:f>
              <c:strCache>
                <c:ptCount val="1"/>
                <c:pt idx="0">
                  <c:v>prognóza</c:v>
                </c:pt>
              </c:strCache>
            </c:strRef>
          </c:tx>
          <c:spPr>
            <a:ln w="19050" cap="rnd">
              <a:solidFill>
                <a:schemeClr val="tx1"/>
              </a:solidFill>
              <a:round/>
            </a:ln>
            <a:effectLst/>
          </c:spPr>
          <c:marker>
            <c:symbol val="none"/>
          </c:marker>
          <c:cat>
            <c:numRef>
              <c:f>Comparison!$AQ$211:$AU$211</c:f>
              <c:numCache>
                <c:formatCode>General</c:formatCode>
                <c:ptCount val="5"/>
                <c:pt idx="0">
                  <c:v>2019</c:v>
                </c:pt>
                <c:pt idx="1">
                  <c:v>2020</c:v>
                </c:pt>
                <c:pt idx="2">
                  <c:v>2021</c:v>
                </c:pt>
                <c:pt idx="3">
                  <c:v>2022</c:v>
                </c:pt>
                <c:pt idx="4">
                  <c:v>2023</c:v>
                </c:pt>
              </c:numCache>
            </c:numRef>
          </c:cat>
          <c:val>
            <c:numRef>
              <c:f>Comparison!$AQ$213:$AU$213</c:f>
              <c:numCache>
                <c:formatCode>0</c:formatCode>
                <c:ptCount val="5"/>
                <c:pt idx="0">
                  <c:v>100</c:v>
                </c:pt>
                <c:pt idx="1">
                  <c:v>96.233049682993709</c:v>
                </c:pt>
                <c:pt idx="2">
                  <c:v>97.797503978441938</c:v>
                </c:pt>
                <c:pt idx="3">
                  <c:v>98.783816029736485</c:v>
                </c:pt>
                <c:pt idx="4">
                  <c:v>99.034492155566326</c:v>
                </c:pt>
              </c:numCache>
            </c:numRef>
          </c:val>
          <c:smooth val="0"/>
          <c:extLst xmlns:c16r2="http://schemas.microsoft.com/office/drawing/2015/06/chart">
            <c:ext xmlns:c16="http://schemas.microsoft.com/office/drawing/2014/chart" uri="{C3380CC4-5D6E-409C-BE32-E72D297353CC}">
              <c16:uniqueId val="{00000001-2F5B-4DD9-B3D5-A6A61DC48A6D}"/>
            </c:ext>
          </c:extLst>
        </c:ser>
        <c:ser>
          <c:idx val="2"/>
          <c:order val="2"/>
          <c:tx>
            <c:strRef>
              <c:f>Comparison!$AP$214</c:f>
              <c:strCache>
                <c:ptCount val="1"/>
                <c:pt idx="0">
                  <c:v>scen. 1</c:v>
                </c:pt>
              </c:strCache>
            </c:strRef>
          </c:tx>
          <c:spPr>
            <a:ln w="19050" cap="rnd">
              <a:solidFill>
                <a:srgbClr val="2C9ADC"/>
              </a:solidFill>
              <a:round/>
            </a:ln>
            <a:effectLst/>
          </c:spPr>
          <c:marker>
            <c:symbol val="none"/>
          </c:marker>
          <c:cat>
            <c:numRef>
              <c:f>Comparison!$AQ$211:$AU$211</c:f>
              <c:numCache>
                <c:formatCode>General</c:formatCode>
                <c:ptCount val="5"/>
                <c:pt idx="0">
                  <c:v>2019</c:v>
                </c:pt>
                <c:pt idx="1">
                  <c:v>2020</c:v>
                </c:pt>
                <c:pt idx="2">
                  <c:v>2021</c:v>
                </c:pt>
                <c:pt idx="3">
                  <c:v>2022</c:v>
                </c:pt>
                <c:pt idx="4">
                  <c:v>2023</c:v>
                </c:pt>
              </c:numCache>
            </c:numRef>
          </c:cat>
          <c:val>
            <c:numRef>
              <c:f>Comparison!$AQ$214:$AU$214</c:f>
              <c:numCache>
                <c:formatCode>0</c:formatCode>
                <c:ptCount val="5"/>
                <c:pt idx="0">
                  <c:v>100</c:v>
                </c:pt>
                <c:pt idx="1">
                  <c:v>94.98512356955429</c:v>
                </c:pt>
                <c:pt idx="2">
                  <c:v>97.009962552050141</c:v>
                </c:pt>
                <c:pt idx="3">
                  <c:v>98.163164979946828</c:v>
                </c:pt>
                <c:pt idx="4">
                  <c:v>98.60413798856959</c:v>
                </c:pt>
              </c:numCache>
            </c:numRef>
          </c:val>
          <c:smooth val="0"/>
          <c:extLst xmlns:c16r2="http://schemas.microsoft.com/office/drawing/2015/06/chart">
            <c:ext xmlns:c16="http://schemas.microsoft.com/office/drawing/2014/chart" uri="{C3380CC4-5D6E-409C-BE32-E72D297353CC}">
              <c16:uniqueId val="{00000002-2F5B-4DD9-B3D5-A6A61DC48A6D}"/>
            </c:ext>
          </c:extLst>
        </c:ser>
        <c:ser>
          <c:idx val="3"/>
          <c:order val="3"/>
          <c:tx>
            <c:strRef>
              <c:f>Comparison!$AP$215</c:f>
              <c:strCache>
                <c:ptCount val="1"/>
                <c:pt idx="0">
                  <c:v>scen. 2</c:v>
                </c:pt>
              </c:strCache>
            </c:strRef>
          </c:tx>
          <c:spPr>
            <a:ln w="19050" cap="rnd">
              <a:solidFill>
                <a:schemeClr val="bg1">
                  <a:lumMod val="50000"/>
                </a:schemeClr>
              </a:solidFill>
              <a:round/>
            </a:ln>
            <a:effectLst/>
          </c:spPr>
          <c:marker>
            <c:symbol val="none"/>
          </c:marker>
          <c:cat>
            <c:numRef>
              <c:f>Comparison!$AQ$211:$AU$211</c:f>
              <c:numCache>
                <c:formatCode>General</c:formatCode>
                <c:ptCount val="5"/>
                <c:pt idx="0">
                  <c:v>2019</c:v>
                </c:pt>
                <c:pt idx="1">
                  <c:v>2020</c:v>
                </c:pt>
                <c:pt idx="2">
                  <c:v>2021</c:v>
                </c:pt>
                <c:pt idx="3">
                  <c:v>2022</c:v>
                </c:pt>
                <c:pt idx="4">
                  <c:v>2023</c:v>
                </c:pt>
              </c:numCache>
            </c:numRef>
          </c:cat>
          <c:val>
            <c:numRef>
              <c:f>Comparison!$AQ$215:$AU$215</c:f>
              <c:numCache>
                <c:formatCode>0</c:formatCode>
                <c:ptCount val="5"/>
                <c:pt idx="0">
                  <c:v>100</c:v>
                </c:pt>
                <c:pt idx="1">
                  <c:v>95.681142740398201</c:v>
                </c:pt>
                <c:pt idx="2">
                  <c:v>95.66675569087964</c:v>
                </c:pt>
                <c:pt idx="3">
                  <c:v>96.825910781622568</c:v>
                </c:pt>
                <c:pt idx="4">
                  <c:v>97.749406932946926</c:v>
                </c:pt>
              </c:numCache>
            </c:numRef>
          </c:val>
          <c:smooth val="0"/>
          <c:extLst xmlns:c16r2="http://schemas.microsoft.com/office/drawing/2015/06/chart">
            <c:ext xmlns:c16="http://schemas.microsoft.com/office/drawing/2014/chart" uri="{C3380CC4-5D6E-409C-BE32-E72D297353CC}">
              <c16:uniqueId val="{00000003-2F5B-4DD9-B3D5-A6A61DC48A6D}"/>
            </c:ext>
          </c:extLst>
        </c:ser>
        <c:dLbls>
          <c:showLegendKey val="0"/>
          <c:showVal val="0"/>
          <c:showCatName val="0"/>
          <c:showSerName val="0"/>
          <c:showPercent val="0"/>
          <c:showBubbleSize val="0"/>
        </c:dLbls>
        <c:smooth val="0"/>
        <c:axId val="112174912"/>
        <c:axId val="112175304"/>
      </c:lineChart>
      <c:catAx>
        <c:axId val="112174912"/>
        <c:scaling>
          <c:orientation val="minMax"/>
        </c:scaling>
        <c:delete val="0"/>
        <c:axPos val="b"/>
        <c:numFmt formatCode="General" sourceLinked="1"/>
        <c:majorTickMark val="none"/>
        <c:minorTickMark val="none"/>
        <c:tickLblPos val="low"/>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12175304"/>
        <c:crossesAt val="100"/>
        <c:auto val="1"/>
        <c:lblAlgn val="ctr"/>
        <c:lblOffset val="100"/>
        <c:noMultiLvlLbl val="0"/>
      </c:catAx>
      <c:valAx>
        <c:axId val="112175304"/>
        <c:scaling>
          <c:orientation val="minMax"/>
          <c:min val="94"/>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12174912"/>
        <c:crossesAt val="1"/>
        <c:crossBetween val="between"/>
      </c:valAx>
      <c:spPr>
        <a:noFill/>
        <a:ln>
          <a:noFill/>
        </a:ln>
        <a:effectLst/>
      </c:spPr>
    </c:plotArea>
    <c:legend>
      <c:legendPos val="tr"/>
      <c:layout>
        <c:manualLayout>
          <c:xMode val="edge"/>
          <c:yMode val="edge"/>
          <c:x val="0.5597522772281317"/>
          <c:y val="0.60201893302663012"/>
          <c:w val="0.43131807910514253"/>
          <c:h val="0.27926037335220744"/>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744266105709603"/>
          <c:y val="8.1858903439539193E-2"/>
          <c:w val="0.67153464250703598"/>
          <c:h val="0.88057796029608404"/>
        </c:manualLayout>
      </c:layout>
      <c:barChart>
        <c:barDir val="bar"/>
        <c:grouping val="stacked"/>
        <c:varyColors val="0"/>
        <c:ser>
          <c:idx val="0"/>
          <c:order val="0"/>
          <c:spPr>
            <a:solidFill>
              <a:srgbClr val="F9C9BA"/>
            </a:solidFill>
          </c:spPr>
          <c:invertIfNegative val="0"/>
          <c:cat>
            <c:strRef>
              <c:f>water_fall!$I$54:$I$68</c:f>
              <c:strCache>
                <c:ptCount val="15"/>
                <c:pt idx="0">
                  <c:v>Saldo VS - rozpočet</c:v>
                </c:pt>
                <c:pt idx="1">
                  <c:v>Hospodárenie samospráv</c:v>
                </c:pt>
                <c:pt idx="2">
                  <c:v>Podhodnotenie výdavkov na vojenskú techniku</c:v>
                </c:pt>
                <c:pt idx="3">
                  <c:v>Dofinancovanie verejného zdravotného poistenia</c:v>
                </c:pt>
                <c:pt idx="4">
                  <c:v>Nižšie príjmy Národného jadrového fondu</c:v>
                </c:pt>
                <c:pt idx="5">
                  <c:v>Vyššie výdavky sodiálneho zabezpečenia</c:v>
                </c:pt>
                <c:pt idx="6">
                  <c:v>Nižšia dividenda z SPP</c:v>
                </c:pt>
                <c:pt idx="7">
                  <c:v>Zrušenie zavedenia odvodu z reťazcov</c:v>
                </c:pt>
                <c:pt idx="8">
                  <c:v>Posunutie účinnosti opatrení: E-kasa a nanomarkery</c:v>
                </c:pt>
                <c:pt idx="9">
                  <c:v>Vyššie výdavky na spolufinancovanie EÚ fondov</c:v>
                </c:pt>
                <c:pt idx="10">
                  <c:v>Vyššie prevádzkové výdavky Sociálnej poisťovne</c:v>
                </c:pt>
                <c:pt idx="11">
                  <c:v>Vyššie odvodové príjmy (lepší trh práce)</c:v>
                </c:pt>
                <c:pt idx="12">
                  <c:v>Nižší odvod do rozpočtu EÚ</c:v>
                </c:pt>
                <c:pt idx="13">
                  <c:v>Ostatné vplyvy</c:v>
                </c:pt>
                <c:pt idx="14">
                  <c:v>Saldo VS - očakávaná skutočnosť</c:v>
                </c:pt>
              </c:strCache>
            </c:strRef>
          </c:cat>
          <c:val>
            <c:numRef>
              <c:f>water_fall!$L$54:$L$68</c:f>
              <c:numCache>
                <c:formatCode>General</c:formatCode>
                <c:ptCount val="15"/>
                <c:pt idx="1">
                  <c:v>0</c:v>
                </c:pt>
                <c:pt idx="2">
                  <c:v>0</c:v>
                </c:pt>
                <c:pt idx="3">
                  <c:v>0</c:v>
                </c:pt>
                <c:pt idx="4">
                  <c:v>0</c:v>
                </c:pt>
                <c:pt idx="5">
                  <c:v>0</c:v>
                </c:pt>
                <c:pt idx="6">
                  <c:v>0</c:v>
                </c:pt>
                <c:pt idx="7" formatCode="0">
                  <c:v>0</c:v>
                </c:pt>
                <c:pt idx="8" formatCode="0">
                  <c:v>0</c:v>
                </c:pt>
                <c:pt idx="9" formatCode="0">
                  <c:v>0</c:v>
                </c:pt>
                <c:pt idx="10" formatCode="0">
                  <c:v>0</c:v>
                </c:pt>
                <c:pt idx="11" formatCode="0">
                  <c:v>0</c:v>
                </c:pt>
                <c:pt idx="12" formatCode="0">
                  <c:v>0</c:v>
                </c:pt>
                <c:pt idx="13" formatCode="0">
                  <c:v>0</c:v>
                </c:pt>
              </c:numCache>
            </c:numRef>
          </c:val>
          <c:extLst xmlns:c16r2="http://schemas.microsoft.com/office/drawing/2015/06/chart">
            <c:ext xmlns:c16="http://schemas.microsoft.com/office/drawing/2014/chart" uri="{C3380CC4-5D6E-409C-BE32-E72D297353CC}">
              <c16:uniqueId val="{00000005-B64B-4AB2-AB41-3F788D625259}"/>
            </c:ext>
          </c:extLst>
        </c:ser>
        <c:ser>
          <c:idx val="1"/>
          <c:order val="1"/>
          <c:spPr>
            <a:noFill/>
          </c:spPr>
          <c:invertIfNegative val="0"/>
          <c:cat>
            <c:strRef>
              <c:f>water_fall!$I$54:$I$68</c:f>
              <c:strCache>
                <c:ptCount val="15"/>
                <c:pt idx="0">
                  <c:v>Saldo VS - rozpočet</c:v>
                </c:pt>
                <c:pt idx="1">
                  <c:v>Hospodárenie samospráv</c:v>
                </c:pt>
                <c:pt idx="2">
                  <c:v>Podhodnotenie výdavkov na vojenskú techniku</c:v>
                </c:pt>
                <c:pt idx="3">
                  <c:v>Dofinancovanie verejného zdravotného poistenia</c:v>
                </c:pt>
                <c:pt idx="4">
                  <c:v>Nižšie príjmy Národného jadrového fondu</c:v>
                </c:pt>
                <c:pt idx="5">
                  <c:v>Vyššie výdavky sodiálneho zabezpečenia</c:v>
                </c:pt>
                <c:pt idx="6">
                  <c:v>Nižšia dividenda z SPP</c:v>
                </c:pt>
                <c:pt idx="7">
                  <c:v>Zrušenie zavedenia odvodu z reťazcov</c:v>
                </c:pt>
                <c:pt idx="8">
                  <c:v>Posunutie účinnosti opatrení: E-kasa a nanomarkery</c:v>
                </c:pt>
                <c:pt idx="9">
                  <c:v>Vyššie výdavky na spolufinancovanie EÚ fondov</c:v>
                </c:pt>
                <c:pt idx="10">
                  <c:v>Vyššie prevádzkové výdavky Sociálnej poisťovne</c:v>
                </c:pt>
                <c:pt idx="11">
                  <c:v>Vyššie odvodové príjmy (lepší trh práce)</c:v>
                </c:pt>
                <c:pt idx="12">
                  <c:v>Nižší odvod do rozpočtu EÚ</c:v>
                </c:pt>
                <c:pt idx="13">
                  <c:v>Ostatné vplyvy</c:v>
                </c:pt>
                <c:pt idx="14">
                  <c:v>Saldo VS - očakávaná skutočnosť</c:v>
                </c:pt>
              </c:strCache>
            </c:strRef>
          </c:cat>
          <c:val>
            <c:numRef>
              <c:f>water_fall!$M$54:$M$68</c:f>
              <c:numCache>
                <c:formatCode>0</c:formatCode>
                <c:ptCount val="15"/>
                <c:pt idx="1">
                  <c:v>0</c:v>
                </c:pt>
                <c:pt idx="2">
                  <c:v>-256.39999999999998</c:v>
                </c:pt>
                <c:pt idx="3">
                  <c:v>-452.12952799999994</c:v>
                </c:pt>
                <c:pt idx="4">
                  <c:v>-625.12952799999994</c:v>
                </c:pt>
                <c:pt idx="5">
                  <c:v>-771.92952799999989</c:v>
                </c:pt>
                <c:pt idx="6">
                  <c:v>-911.92952799999989</c:v>
                </c:pt>
                <c:pt idx="7">
                  <c:v>-1044.9295279999999</c:v>
                </c:pt>
                <c:pt idx="8">
                  <c:v>-1156.9295279999999</c:v>
                </c:pt>
                <c:pt idx="9">
                  <c:v>-1246.9295279999999</c:v>
                </c:pt>
                <c:pt idx="10">
                  <c:v>-1317.1295279999999</c:v>
                </c:pt>
                <c:pt idx="11">
                  <c:v>-1308.772367630311</c:v>
                </c:pt>
                <c:pt idx="12">
                  <c:v>-1219.3309006303109</c:v>
                </c:pt>
                <c:pt idx="13">
                  <c:v>-1219.3309006303109</c:v>
                </c:pt>
              </c:numCache>
            </c:numRef>
          </c:val>
          <c:extLst xmlns:c16r2="http://schemas.microsoft.com/office/drawing/2015/06/chart">
            <c:ext xmlns:c16="http://schemas.microsoft.com/office/drawing/2014/chart" uri="{C3380CC4-5D6E-409C-BE32-E72D297353CC}">
              <c16:uniqueId val="{00000006-B64B-4AB2-AB41-3F788D625259}"/>
            </c:ext>
          </c:extLst>
        </c:ser>
        <c:ser>
          <c:idx val="2"/>
          <c:order val="2"/>
          <c:spPr>
            <a:solidFill>
              <a:srgbClr val="F9C9BA"/>
            </a:solidFill>
          </c:spPr>
          <c:invertIfNegative val="0"/>
          <c:dPt>
            <c:idx val="1"/>
            <c:invertIfNegative val="0"/>
            <c:bubble3D val="0"/>
            <c:extLst xmlns:c16r2="http://schemas.microsoft.com/office/drawing/2015/06/chart">
              <c:ext xmlns:c16="http://schemas.microsoft.com/office/drawing/2014/chart" uri="{C3380CC4-5D6E-409C-BE32-E72D297353CC}">
                <c16:uniqueId val="{0000000A-B64B-4AB2-AB41-3F788D625259}"/>
              </c:ext>
            </c:extLst>
          </c:dPt>
          <c:dPt>
            <c:idx val="2"/>
            <c:invertIfNegative val="0"/>
            <c:bubble3D val="0"/>
            <c:extLst xmlns:c16r2="http://schemas.microsoft.com/office/drawing/2015/06/chart">
              <c:ext xmlns:c16="http://schemas.microsoft.com/office/drawing/2014/chart" uri="{C3380CC4-5D6E-409C-BE32-E72D297353CC}">
                <c16:uniqueId val="{0000000C-B64B-4AB2-AB41-3F788D625259}"/>
              </c:ext>
            </c:extLst>
          </c:dPt>
          <c:dPt>
            <c:idx val="3"/>
            <c:invertIfNegative val="0"/>
            <c:bubble3D val="0"/>
            <c:extLst xmlns:c16r2="http://schemas.microsoft.com/office/drawing/2015/06/chart">
              <c:ext xmlns:c16="http://schemas.microsoft.com/office/drawing/2014/chart" uri="{C3380CC4-5D6E-409C-BE32-E72D297353CC}">
                <c16:uniqueId val="{0000000E-B64B-4AB2-AB41-3F788D625259}"/>
              </c:ext>
            </c:extLst>
          </c:dPt>
          <c:dPt>
            <c:idx val="11"/>
            <c:invertIfNegative val="0"/>
            <c:bubble3D val="0"/>
            <c:spPr>
              <a:solidFill>
                <a:srgbClr val="70AD47">
                  <a:lumMod val="40000"/>
                  <a:lumOff val="60000"/>
                </a:srgbClr>
              </a:solidFill>
            </c:spPr>
            <c:extLst xmlns:c16r2="http://schemas.microsoft.com/office/drawing/2015/06/chart">
              <c:ext xmlns:c16="http://schemas.microsoft.com/office/drawing/2014/chart" uri="{C3380CC4-5D6E-409C-BE32-E72D297353CC}">
                <c16:uniqueId val="{00000004-F591-468A-9670-83185943AEEC}"/>
              </c:ext>
            </c:extLst>
          </c:dPt>
          <c:dPt>
            <c:idx val="12"/>
            <c:invertIfNegative val="0"/>
            <c:bubble3D val="0"/>
            <c:spPr>
              <a:solidFill>
                <a:srgbClr val="70AD47">
                  <a:lumMod val="40000"/>
                  <a:lumOff val="60000"/>
                </a:srgbClr>
              </a:solidFill>
            </c:spPr>
            <c:extLst xmlns:c16r2="http://schemas.microsoft.com/office/drawing/2015/06/chart">
              <c:ext xmlns:c16="http://schemas.microsoft.com/office/drawing/2014/chart" uri="{C3380CC4-5D6E-409C-BE32-E72D297353CC}">
                <c16:uniqueId val="{00000006-F591-468A-9670-83185943AEEC}"/>
              </c:ext>
            </c:extLst>
          </c:dPt>
          <c:dPt>
            <c:idx val="13"/>
            <c:invertIfNegative val="0"/>
            <c:bubble3D val="0"/>
            <c:spPr>
              <a:solidFill>
                <a:srgbClr val="70AD47">
                  <a:lumMod val="40000"/>
                  <a:lumOff val="60000"/>
                </a:srgbClr>
              </a:solidFill>
            </c:spPr>
            <c:extLst xmlns:c16r2="http://schemas.microsoft.com/office/drawing/2015/06/chart">
              <c:ext xmlns:c16="http://schemas.microsoft.com/office/drawing/2014/chart" uri="{C3380CC4-5D6E-409C-BE32-E72D297353CC}">
                <c16:uniqueId val="{00000008-F591-468A-9670-83185943AEEC}"/>
              </c:ext>
            </c:extLst>
          </c:dPt>
          <c:dPt>
            <c:idx val="14"/>
            <c:invertIfNegative val="0"/>
            <c:bubble3D val="0"/>
            <c:spPr>
              <a:solidFill>
                <a:srgbClr val="5B9BD5">
                  <a:lumMod val="40000"/>
                  <a:lumOff val="60000"/>
                </a:srgbClr>
              </a:solidFill>
            </c:spPr>
            <c:extLst xmlns:c16r2="http://schemas.microsoft.com/office/drawing/2015/06/chart">
              <c:ext xmlns:c16="http://schemas.microsoft.com/office/drawing/2014/chart" uri="{C3380CC4-5D6E-409C-BE32-E72D297353CC}">
                <c16:uniqueId val="{0000000A-F591-468A-9670-83185943AEEC}"/>
              </c:ext>
            </c:extLst>
          </c:dPt>
          <c:dLbls>
            <c:dLbl>
              <c:idx val="0"/>
              <c:layout/>
              <c:tx>
                <c:rich>
                  <a:bodyPr/>
                  <a:lstStyle/>
                  <a:p>
                    <a:r>
                      <a:rPr lang="en-US"/>
                      <a:t>0</a:t>
                    </a:r>
                    <a:r>
                      <a:rPr lang="en-US" baseline="0"/>
                      <a:t> ( 0 % HDP)</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591-468A-9670-83185943AEEC}"/>
                </c:ext>
                <c:ext xmlns:c15="http://schemas.microsoft.com/office/drawing/2012/chart" uri="{CE6537A1-D6FC-4f65-9D91-7224C49458BB}">
                  <c15:layout/>
                </c:ext>
              </c:extLst>
            </c:dLbl>
            <c:dLbl>
              <c:idx val="4"/>
              <c:layout/>
              <c:tx>
                <c:rich>
                  <a:bodyPr/>
                  <a:lstStyle/>
                  <a:p>
                    <a:fld id="{13C1247B-224F-4577-A53D-F61728D6411B}" type="VALUE">
                      <a:rPr lang="en-US"/>
                      <a:pPr/>
                      <a:t>[HODNOTA]</a:t>
                    </a:fld>
                    <a:endParaRPr lang="sk-SK"/>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591-468A-9670-83185943AEEC}"/>
                </c:ext>
                <c:ext xmlns:c15="http://schemas.microsoft.com/office/drawing/2012/chart" uri="{CE6537A1-D6FC-4f65-9D91-7224C49458BB}">
                  <c15:layout/>
                  <c15:dlblFieldTable/>
                  <c15:showDataLabelsRange val="0"/>
                </c:ext>
              </c:extLst>
            </c:dLbl>
            <c:dLbl>
              <c:idx val="5"/>
              <c:layout/>
              <c:tx>
                <c:rich>
                  <a:bodyPr/>
                  <a:lstStyle/>
                  <a:p>
                    <a:r>
                      <a:rPr lang="en-US"/>
                      <a:t>-140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591-468A-9670-83185943AEEC}"/>
                </c:ext>
                <c:ext xmlns:c15="http://schemas.microsoft.com/office/drawing/2012/chart" uri="{CE6537A1-D6FC-4f65-9D91-7224C49458BB}">
                  <c15:layout/>
                </c:ext>
              </c:extLst>
            </c:dLbl>
            <c:dLbl>
              <c:idx val="6"/>
              <c:layout/>
              <c:tx>
                <c:rich>
                  <a:bodyPr/>
                  <a:lstStyle/>
                  <a:p>
                    <a:fld id="{43008561-1EB8-4056-8F7D-39B0F3835904}" type="VALUE">
                      <a:rPr lang="en-US"/>
                      <a:pPr/>
                      <a:t>[HODNOTA]</a:t>
                    </a:fld>
                    <a:endParaRPr lang="sk-SK"/>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591-468A-9670-83185943AEEC}"/>
                </c:ext>
                <c:ext xmlns:c15="http://schemas.microsoft.com/office/drawing/2012/chart" uri="{CE6537A1-D6FC-4f65-9D91-7224C49458BB}">
                  <c15:layout/>
                  <c15:dlblFieldTable/>
                  <c15:showDataLabelsRange val="0"/>
                </c:ext>
              </c:extLst>
            </c:dLbl>
            <c:dLbl>
              <c:idx val="7"/>
              <c:layout/>
              <c:tx>
                <c:rich>
                  <a:bodyPr/>
                  <a:lstStyle/>
                  <a:p>
                    <a:r>
                      <a:rPr lang="en-US"/>
                      <a:t>-112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591-468A-9670-83185943AEEC}"/>
                </c:ext>
                <c:ext xmlns:c15="http://schemas.microsoft.com/office/drawing/2012/chart" uri="{CE6537A1-D6FC-4f65-9D91-7224C49458BB}">
                  <c15:layout/>
                </c:ext>
              </c:extLst>
            </c:dLbl>
            <c:dLbl>
              <c:idx val="11"/>
              <c:layout>
                <c:manualLayout>
                  <c:x val="1.4386419220256078E-3"/>
                  <c:y val="3.7264766163590955E-3"/>
                </c:manualLayout>
              </c:layout>
              <c:tx>
                <c:rich>
                  <a:bodyPr/>
                  <a:lstStyle/>
                  <a:p>
                    <a:r>
                      <a:rPr lang="en-US"/>
                      <a:t>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91-468A-9670-83185943AEEC}"/>
                </c:ext>
                <c:ext xmlns:c15="http://schemas.microsoft.com/office/drawing/2012/chart" uri="{CE6537A1-D6FC-4f65-9D91-7224C49458BB}">
                  <c15:layout/>
                </c:ext>
              </c:extLst>
            </c:dLbl>
            <c:dLbl>
              <c:idx val="12"/>
              <c:layout/>
              <c:tx>
                <c:rich>
                  <a:bodyPr/>
                  <a:lstStyle/>
                  <a:p>
                    <a:r>
                      <a:rPr lang="en-US"/>
                      <a:t>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91-468A-9670-83185943AEEC}"/>
                </c:ext>
                <c:ext xmlns:c15="http://schemas.microsoft.com/office/drawing/2012/chart" uri="{CE6537A1-D6FC-4f65-9D91-7224C49458BB}">
                  <c15:layout/>
                </c:ext>
              </c:extLst>
            </c:dLbl>
            <c:dLbl>
              <c:idx val="13"/>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91-468A-9670-83185943AEEC}"/>
                </c:ext>
                <c:ext xmlns:c15="http://schemas.microsoft.com/office/drawing/2012/chart" uri="{CE6537A1-D6FC-4f65-9D91-7224C49458BB}">
                  <c15:layout/>
                </c:ext>
              </c:extLst>
            </c:dLbl>
            <c:dLbl>
              <c:idx val="14"/>
              <c:layout/>
              <c:tx>
                <c:rich>
                  <a:bodyPr/>
                  <a:lstStyle/>
                  <a:p>
                    <a:fld id="{77E55B5F-3A19-4F0D-833B-BDB2DA6C938E}" type="VALUE">
                      <a:rPr lang="en-US"/>
                      <a:pPr/>
                      <a:t>[HODNOTA]</a:t>
                    </a:fld>
                    <a:r>
                      <a:rPr lang="en-US"/>
                      <a:t> (1,30 % HDP)</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591-468A-9670-83185943AEEC}"/>
                </c:ext>
                <c:ext xmlns:c15="http://schemas.microsoft.com/office/drawing/2012/chart" uri="{CE6537A1-D6FC-4f65-9D91-7224C49458BB}">
                  <c15:layout/>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water_fall!$I$54:$I$68</c:f>
              <c:strCache>
                <c:ptCount val="15"/>
                <c:pt idx="0">
                  <c:v>Saldo VS - rozpočet</c:v>
                </c:pt>
                <c:pt idx="1">
                  <c:v>Hospodárenie samospráv</c:v>
                </c:pt>
                <c:pt idx="2">
                  <c:v>Podhodnotenie výdavkov na vojenskú techniku</c:v>
                </c:pt>
                <c:pt idx="3">
                  <c:v>Dofinancovanie verejného zdravotného poistenia</c:v>
                </c:pt>
                <c:pt idx="4">
                  <c:v>Nižšie príjmy Národného jadrového fondu</c:v>
                </c:pt>
                <c:pt idx="5">
                  <c:v>Vyššie výdavky sodiálneho zabezpečenia</c:v>
                </c:pt>
                <c:pt idx="6">
                  <c:v>Nižšia dividenda z SPP</c:v>
                </c:pt>
                <c:pt idx="7">
                  <c:v>Zrušenie zavedenia odvodu z reťazcov</c:v>
                </c:pt>
                <c:pt idx="8">
                  <c:v>Posunutie účinnosti opatrení: E-kasa a nanomarkery</c:v>
                </c:pt>
                <c:pt idx="9">
                  <c:v>Vyššie výdavky na spolufinancovanie EÚ fondov</c:v>
                </c:pt>
                <c:pt idx="10">
                  <c:v>Vyššie prevádzkové výdavky Sociálnej poisťovne</c:v>
                </c:pt>
                <c:pt idx="11">
                  <c:v>Vyššie odvodové príjmy (lepší trh práce)</c:v>
                </c:pt>
                <c:pt idx="12">
                  <c:v>Nižší odvod do rozpočtu EÚ</c:v>
                </c:pt>
                <c:pt idx="13">
                  <c:v>Ostatné vplyvy</c:v>
                </c:pt>
                <c:pt idx="14">
                  <c:v>Saldo VS - očakávaná skutočnosť</c:v>
                </c:pt>
              </c:strCache>
            </c:strRef>
          </c:cat>
          <c:val>
            <c:numRef>
              <c:f>water_fall!$N$54:$N$68</c:f>
              <c:numCache>
                <c:formatCode>0</c:formatCode>
                <c:ptCount val="15"/>
                <c:pt idx="0" formatCode="#\ ##0.0">
                  <c:v>0</c:v>
                </c:pt>
                <c:pt idx="1">
                  <c:v>-256.39999999999998</c:v>
                </c:pt>
                <c:pt idx="2">
                  <c:v>-195.72952799999999</c:v>
                </c:pt>
                <c:pt idx="3">
                  <c:v>-173</c:v>
                </c:pt>
                <c:pt idx="4">
                  <c:v>-146.80000000000001</c:v>
                </c:pt>
                <c:pt idx="5">
                  <c:v>-140</c:v>
                </c:pt>
                <c:pt idx="6">
                  <c:v>-133</c:v>
                </c:pt>
                <c:pt idx="7">
                  <c:v>-112</c:v>
                </c:pt>
                <c:pt idx="8">
                  <c:v>-90</c:v>
                </c:pt>
                <c:pt idx="9">
                  <c:v>-70.2</c:v>
                </c:pt>
                <c:pt idx="10">
                  <c:v>-61.9</c:v>
                </c:pt>
                <c:pt idx="11">
                  <c:v>-70.257160369688933</c:v>
                </c:pt>
                <c:pt idx="12">
                  <c:v>-89.441467000000003</c:v>
                </c:pt>
                <c:pt idx="13">
                  <c:v>-0.39909936968911097</c:v>
                </c:pt>
                <c:pt idx="14" formatCode="#,##0">
                  <c:v>-1219.73</c:v>
                </c:pt>
              </c:numCache>
            </c:numRef>
          </c:val>
          <c:extLst xmlns:c16r2="http://schemas.microsoft.com/office/drawing/2015/06/chart">
            <c:ext xmlns:c16="http://schemas.microsoft.com/office/drawing/2014/chart" uri="{C3380CC4-5D6E-409C-BE32-E72D297353CC}">
              <c16:uniqueId val="{00000025-B64B-4AB2-AB41-3F788D625259}"/>
            </c:ext>
          </c:extLst>
        </c:ser>
        <c:dLbls>
          <c:showLegendKey val="0"/>
          <c:showVal val="0"/>
          <c:showCatName val="0"/>
          <c:showSerName val="0"/>
          <c:showPercent val="0"/>
          <c:showBubbleSize val="0"/>
        </c:dLbls>
        <c:gapWidth val="60"/>
        <c:overlap val="100"/>
        <c:axId val="237166392"/>
        <c:axId val="237166784"/>
      </c:barChart>
      <c:catAx>
        <c:axId val="237166392"/>
        <c:scaling>
          <c:orientation val="maxMin"/>
        </c:scaling>
        <c:delete val="0"/>
        <c:axPos val="l"/>
        <c:numFmt formatCode="General" sourceLinked="1"/>
        <c:majorTickMark val="none"/>
        <c:minorTickMark val="none"/>
        <c:tickLblPos val="low"/>
        <c:spPr>
          <a:ln>
            <a:solidFill>
              <a:schemeClr val="tx1"/>
            </a:solidFill>
            <a:prstDash val="solid"/>
          </a:ln>
        </c:spPr>
        <c:txPr>
          <a:bodyPr rot="0" vert="horz"/>
          <a:lstStyle/>
          <a:p>
            <a:pPr>
              <a:defRPr sz="900"/>
            </a:pPr>
            <a:endParaRPr lang="sk-SK"/>
          </a:p>
        </c:txPr>
        <c:crossAx val="237166784"/>
        <c:crosses val="autoZero"/>
        <c:auto val="1"/>
        <c:lblAlgn val="ctr"/>
        <c:lblOffset val="100"/>
        <c:noMultiLvlLbl val="0"/>
      </c:catAx>
      <c:valAx>
        <c:axId val="237166784"/>
        <c:scaling>
          <c:orientation val="minMax"/>
          <c:max val="0"/>
          <c:min val="-1500"/>
        </c:scaling>
        <c:delete val="0"/>
        <c:axPos val="t"/>
        <c:numFmt formatCode="General" sourceLinked="1"/>
        <c:majorTickMark val="out"/>
        <c:minorTickMark val="none"/>
        <c:tickLblPos val="low"/>
        <c:spPr>
          <a:ln>
            <a:solidFill>
              <a:schemeClr val="tx1"/>
            </a:solidFill>
          </a:ln>
        </c:spPr>
        <c:txPr>
          <a:bodyPr/>
          <a:lstStyle/>
          <a:p>
            <a:pPr>
              <a:defRPr sz="800"/>
            </a:pPr>
            <a:endParaRPr lang="sk-SK"/>
          </a:p>
        </c:txPr>
        <c:crossAx val="237166392"/>
        <c:crosses val="autoZero"/>
        <c:crossBetween val="between"/>
        <c:majorUnit val="100"/>
      </c:valAx>
    </c:plotArea>
    <c:plotVisOnly val="1"/>
    <c:dispBlanksAs val="gap"/>
    <c:showDLblsOverMax val="0"/>
  </c:chart>
  <c:spPr>
    <a:noFill/>
    <a:ln>
      <a:solidFill>
        <a:schemeClr val="bg1"/>
      </a:solidFill>
    </a:ln>
  </c:spPr>
  <c:txPr>
    <a:bodyPr/>
    <a:lstStyle/>
    <a:p>
      <a:pPr>
        <a:defRPr>
          <a:latin typeface="Arial Narrow" panose="020B0606020202030204" pitchFamily="34" charset="0"/>
        </a:defRPr>
      </a:pPr>
      <a:endParaRPr lang="sk-SK"/>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07851447218386"/>
          <c:y val="7.1136986201140173E-2"/>
          <c:w val="0.67153464250703598"/>
          <c:h val="0.88057796029608404"/>
        </c:manualLayout>
      </c:layout>
      <c:barChart>
        <c:barDir val="bar"/>
        <c:grouping val="stacked"/>
        <c:varyColors val="0"/>
        <c:ser>
          <c:idx val="0"/>
          <c:order val="0"/>
          <c:spPr>
            <a:solidFill>
              <a:srgbClr val="C5E0B4"/>
            </a:solidFill>
            <a:ln>
              <a:noFill/>
            </a:ln>
          </c:spPr>
          <c:invertIfNegative val="0"/>
          <c:dPt>
            <c:idx val="3"/>
            <c:invertIfNegative val="0"/>
            <c:bubble3D val="0"/>
            <c:spPr>
              <a:solidFill>
                <a:schemeClr val="accent3"/>
              </a:solidFill>
              <a:ln>
                <a:noFill/>
              </a:ln>
            </c:spPr>
            <c:extLst xmlns:c16r2="http://schemas.microsoft.com/office/drawing/2015/06/chart">
              <c:ext xmlns:c16="http://schemas.microsoft.com/office/drawing/2014/chart" uri="{C3380CC4-5D6E-409C-BE32-E72D297353CC}">
                <c16:uniqueId val="{00000000-D05B-4886-B819-22133CC773CA}"/>
              </c:ext>
            </c:extLst>
          </c:dPt>
          <c:dPt>
            <c:idx val="4"/>
            <c:invertIfNegative val="0"/>
            <c:bubble3D val="0"/>
            <c:spPr>
              <a:solidFill>
                <a:schemeClr val="accent6">
                  <a:lumMod val="20000"/>
                  <a:lumOff val="80000"/>
                </a:schemeClr>
              </a:solidFill>
              <a:ln>
                <a:noFill/>
              </a:ln>
            </c:spPr>
            <c:extLst xmlns:c16r2="http://schemas.microsoft.com/office/drawing/2015/06/chart">
              <c:ext xmlns:c16="http://schemas.microsoft.com/office/drawing/2014/chart" uri="{C3380CC4-5D6E-409C-BE32-E72D297353CC}">
                <c16:uniqueId val="{00000003-FB84-426C-8129-0A5E6EFDA1F4}"/>
              </c:ext>
            </c:extLst>
          </c:dPt>
          <c:dPt>
            <c:idx val="7"/>
            <c:invertIfNegative val="0"/>
            <c:bubble3D val="0"/>
            <c:spPr>
              <a:solidFill>
                <a:schemeClr val="accent6"/>
              </a:solidFill>
              <a:ln>
                <a:noFill/>
              </a:ln>
            </c:spPr>
            <c:extLst xmlns:c16r2="http://schemas.microsoft.com/office/drawing/2015/06/chart">
              <c:ext xmlns:c16="http://schemas.microsoft.com/office/drawing/2014/chart" uri="{C3380CC4-5D6E-409C-BE32-E72D297353CC}">
                <c16:uniqueId val="{00000003-925B-403E-87F0-358875F138ED}"/>
              </c:ext>
            </c:extLst>
          </c:dPt>
          <c:dPt>
            <c:idx val="8"/>
            <c:invertIfNegative val="0"/>
            <c:bubble3D val="0"/>
            <c:spPr>
              <a:solidFill>
                <a:schemeClr val="accent2">
                  <a:lumMod val="20000"/>
                  <a:lumOff val="80000"/>
                </a:schemeClr>
              </a:solidFill>
              <a:ln>
                <a:noFill/>
              </a:ln>
            </c:spPr>
            <c:extLst xmlns:c16r2="http://schemas.microsoft.com/office/drawing/2015/06/chart">
              <c:ext xmlns:c16="http://schemas.microsoft.com/office/drawing/2014/chart" uri="{C3380CC4-5D6E-409C-BE32-E72D297353CC}">
                <c16:uniqueId val="{00000002-D05B-4886-B819-22133CC773CA}"/>
              </c:ext>
            </c:extLst>
          </c:dPt>
          <c:dPt>
            <c:idx val="9"/>
            <c:invertIfNegative val="0"/>
            <c:bubble3D val="0"/>
            <c:extLst xmlns:c16r2="http://schemas.microsoft.com/office/drawing/2015/06/chart">
              <c:ext xmlns:c16="http://schemas.microsoft.com/office/drawing/2014/chart" uri="{C3380CC4-5D6E-409C-BE32-E72D297353CC}">
                <c16:uniqueId val="{00000003-D05B-4886-B819-22133CC773CA}"/>
              </c:ext>
            </c:extLst>
          </c:dPt>
          <c:dPt>
            <c:idx val="11"/>
            <c:invertIfNegative val="0"/>
            <c:bubble3D val="0"/>
            <c:spPr>
              <a:solidFill>
                <a:srgbClr val="F8CBAD"/>
              </a:solidFill>
              <a:ln>
                <a:noFill/>
              </a:ln>
            </c:spPr>
            <c:extLst xmlns:c16r2="http://schemas.microsoft.com/office/drawing/2015/06/chart">
              <c:ext xmlns:c16="http://schemas.microsoft.com/office/drawing/2014/chart" uri="{C3380CC4-5D6E-409C-BE32-E72D297353CC}">
                <c16:uniqueId val="{0000000A-FB84-426C-8129-0A5E6EFDA1F4}"/>
              </c:ext>
            </c:extLst>
          </c:dPt>
          <c:cat>
            <c:strRef>
              <c:f>'Graf 14'!$A$26:$A$43</c:f>
              <c:strCache>
                <c:ptCount val="18"/>
                <c:pt idx="0">
                  <c:v>Saldo VS - rozpočet</c:v>
                </c:pt>
                <c:pt idx="1">
                  <c:v>Výpadok príjmov z poklesu ekonomiky spojený s COVID 19</c:v>
                </c:pt>
                <c:pt idx="2">
                  <c:v>Opatrenia proti COVID 19 na výdavkovej strane</c:v>
                </c:pt>
                <c:pt idx="3">
                  <c:v>Opatrenia proti COVID 19 na príjmovej strane</c:v>
                </c:pt>
                <c:pt idx="4">
                  <c:v>Vyššie dávky v nezamestnanosti spôsobené COVID 19</c:v>
                </c:pt>
                <c:pt idx="5">
                  <c:v>Ostatné (nižšie tržby z mýta)</c:v>
                </c:pt>
                <c:pt idx="6">
                  <c:v>Zavedenie 13. dôchodkov - čistý vplyv</c:v>
                </c:pt>
                <c:pt idx="7">
                  <c:v>Hospodárenie ostatných subjektov verejnej správy</c:v>
                </c:pt>
                <c:pt idx="8">
                  <c:v>Podhodnotenie výdavkov na obranu</c:v>
                </c:pt>
                <c:pt idx="9">
                  <c:v>Hospodárenie samospráv</c:v>
                </c:pt>
                <c:pt idx="10">
                  <c:v>Očistené korekcie</c:v>
                </c:pt>
                <c:pt idx="11">
                  <c:v>Prehodnotenie príjmov z e-kasy a nanomarkerov</c:v>
                </c:pt>
                <c:pt idx="12">
                  <c:v>Vyššie nemocenské a dávky v nezamestnanosti (zreálnenie rizík)</c:v>
                </c:pt>
                <c:pt idx="13">
                  <c:v>Vyššie výdavky na spolufinancovanie </c:v>
                </c:pt>
                <c:pt idx="14">
                  <c:v>Výpadok príjmov Environmentálneho fondu</c:v>
                </c:pt>
                <c:pt idx="15">
                  <c:v>Vyššie prevádzkové náklady Sociálnej poisťovne</c:v>
                </c:pt>
                <c:pt idx="16">
                  <c:v>Ostatné</c:v>
                </c:pt>
                <c:pt idx="17">
                  <c:v>Saldo VS - očakávaná skutočnosť</c:v>
                </c:pt>
              </c:strCache>
            </c:strRef>
          </c:cat>
          <c:val>
            <c:numRef>
              <c:f>'Graf 14'!$D$26:$D$43</c:f>
              <c:numCache>
                <c:formatCode>#,##0</c:formatCode>
                <c:ptCount val="18"/>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6-D05B-4886-B819-22133CC773CA}"/>
            </c:ext>
          </c:extLst>
        </c:ser>
        <c:ser>
          <c:idx val="1"/>
          <c:order val="1"/>
          <c:spPr>
            <a:noFill/>
          </c:spPr>
          <c:invertIfNegative val="0"/>
          <c:cat>
            <c:strRef>
              <c:f>'Graf 14'!$A$26:$A$43</c:f>
              <c:strCache>
                <c:ptCount val="18"/>
                <c:pt idx="0">
                  <c:v>Saldo VS - rozpočet</c:v>
                </c:pt>
                <c:pt idx="1">
                  <c:v>Výpadok príjmov z poklesu ekonomiky spojený s COVID 19</c:v>
                </c:pt>
                <c:pt idx="2">
                  <c:v>Opatrenia proti COVID 19 na výdavkovej strane</c:v>
                </c:pt>
                <c:pt idx="3">
                  <c:v>Opatrenia proti COVID 19 na príjmovej strane</c:v>
                </c:pt>
                <c:pt idx="4">
                  <c:v>Vyššie dávky v nezamestnanosti spôsobené COVID 19</c:v>
                </c:pt>
                <c:pt idx="5">
                  <c:v>Ostatné (nižšie tržby z mýta)</c:v>
                </c:pt>
                <c:pt idx="6">
                  <c:v>Zavedenie 13. dôchodkov - čistý vplyv</c:v>
                </c:pt>
                <c:pt idx="7">
                  <c:v>Hospodárenie ostatných subjektov verejnej správy</c:v>
                </c:pt>
                <c:pt idx="8">
                  <c:v>Podhodnotenie výdavkov na obranu</c:v>
                </c:pt>
                <c:pt idx="9">
                  <c:v>Hospodárenie samospráv</c:v>
                </c:pt>
                <c:pt idx="10">
                  <c:v>Očistené korekcie</c:v>
                </c:pt>
                <c:pt idx="11">
                  <c:v>Prehodnotenie príjmov z e-kasy a nanomarkerov</c:v>
                </c:pt>
                <c:pt idx="12">
                  <c:v>Vyššie nemocenské a dávky v nezamestnanosti (zreálnenie rizík)</c:v>
                </c:pt>
                <c:pt idx="13">
                  <c:v>Vyššie výdavky na spolufinancovanie </c:v>
                </c:pt>
                <c:pt idx="14">
                  <c:v>Výpadok príjmov Environmentálneho fondu</c:v>
                </c:pt>
                <c:pt idx="15">
                  <c:v>Vyššie prevádzkové náklady Sociálnej poisťovne</c:v>
                </c:pt>
                <c:pt idx="16">
                  <c:v>Ostatné</c:v>
                </c:pt>
                <c:pt idx="17">
                  <c:v>Saldo VS - očakávaná skutočnosť</c:v>
                </c:pt>
              </c:strCache>
            </c:strRef>
          </c:cat>
          <c:val>
            <c:numRef>
              <c:f>'Graf 14'!$E$26:$E$43</c:f>
              <c:numCache>
                <c:formatCode>#,##0</c:formatCode>
                <c:ptCount val="18"/>
                <c:pt idx="1">
                  <c:v>-480.4</c:v>
                </c:pt>
                <c:pt idx="2">
                  <c:v>-2873.2162857142853</c:v>
                </c:pt>
                <c:pt idx="3">
                  <c:v>-4480.4372354767866</c:v>
                </c:pt>
                <c:pt idx="4">
                  <c:v>-5187.2650890810019</c:v>
                </c:pt>
                <c:pt idx="5">
                  <c:v>-5360.2650890810019</c:v>
                </c:pt>
                <c:pt idx="6">
                  <c:v>-5438.9650890810017</c:v>
                </c:pt>
                <c:pt idx="7">
                  <c:v>-5881.3650890810013</c:v>
                </c:pt>
                <c:pt idx="8">
                  <c:v>-6173.5650890810011</c:v>
                </c:pt>
                <c:pt idx="9">
                  <c:v>-6462.5650890810011</c:v>
                </c:pt>
                <c:pt idx="10">
                  <c:v>-6651.5650890810011</c:v>
                </c:pt>
                <c:pt idx="11">
                  <c:v>-6831.5650890810011</c:v>
                </c:pt>
                <c:pt idx="12">
                  <c:v>-7011.5650890810011</c:v>
                </c:pt>
                <c:pt idx="13">
                  <c:v>-7171.5650890810011</c:v>
                </c:pt>
                <c:pt idx="14">
                  <c:v>-7317.5650890810011</c:v>
                </c:pt>
                <c:pt idx="15">
                  <c:v>-7445.5650890810011</c:v>
                </c:pt>
                <c:pt idx="16">
                  <c:v>-7474.2517570000018</c:v>
                </c:pt>
              </c:numCache>
            </c:numRef>
          </c:val>
          <c:extLst xmlns:c16r2="http://schemas.microsoft.com/office/drawing/2015/06/chart">
            <c:ext xmlns:c16="http://schemas.microsoft.com/office/drawing/2014/chart" uri="{C3380CC4-5D6E-409C-BE32-E72D297353CC}">
              <c16:uniqueId val="{00000007-D05B-4886-B819-22133CC773CA}"/>
            </c:ext>
          </c:extLst>
        </c:ser>
        <c:ser>
          <c:idx val="2"/>
          <c:order val="2"/>
          <c:spPr>
            <a:solidFill>
              <a:srgbClr val="F8CBAD"/>
            </a:solidFill>
          </c:spPr>
          <c:invertIfNegative val="0"/>
          <c:dPt>
            <c:idx val="0"/>
            <c:invertIfNegative val="0"/>
            <c:bubble3D val="0"/>
            <c:spPr>
              <a:solidFill>
                <a:schemeClr val="accent2"/>
              </a:solidFill>
              <a:ln>
                <a:noFill/>
              </a:ln>
            </c:spPr>
            <c:extLst xmlns:c16r2="http://schemas.microsoft.com/office/drawing/2015/06/chart">
              <c:ext xmlns:c16="http://schemas.microsoft.com/office/drawing/2014/chart" uri="{C3380CC4-5D6E-409C-BE32-E72D297353CC}">
                <c16:uniqueId val="{00000009-D05B-4886-B819-22133CC773CA}"/>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A-D05B-4886-B819-22133CC773CA}"/>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B-D05B-4886-B819-22133CC773CA}"/>
              </c:ext>
            </c:extLst>
          </c:dPt>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D-D05B-4886-B819-22133CC773CA}"/>
              </c:ext>
            </c:extLst>
          </c:dPt>
          <c:dPt>
            <c:idx val="4"/>
            <c:invertIfNegative val="0"/>
            <c:bubble3D val="0"/>
            <c:spPr>
              <a:solidFill>
                <a:srgbClr val="FF0000"/>
              </a:solidFill>
              <a:ln>
                <a:noFill/>
              </a:ln>
            </c:spPr>
            <c:extLst xmlns:c16r2="http://schemas.microsoft.com/office/drawing/2015/06/chart">
              <c:ext xmlns:c16="http://schemas.microsoft.com/office/drawing/2014/chart" uri="{C3380CC4-5D6E-409C-BE32-E72D297353CC}">
                <c16:uniqueId val="{0000000E-D05B-4886-B819-22133CC773CA}"/>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F-D05B-4886-B819-22133CC773CA}"/>
              </c:ext>
            </c:extLst>
          </c:dPt>
          <c:dPt>
            <c:idx val="6"/>
            <c:invertIfNegative val="0"/>
            <c:bubble3D val="0"/>
            <c:extLst xmlns:c16r2="http://schemas.microsoft.com/office/drawing/2015/06/chart">
              <c:ext xmlns:c16="http://schemas.microsoft.com/office/drawing/2014/chart" uri="{C3380CC4-5D6E-409C-BE32-E72D297353CC}">
                <c16:uniqueId val="{00000011-D05B-4886-B819-22133CC773CA}"/>
              </c:ext>
            </c:extLst>
          </c:dPt>
          <c:dPt>
            <c:idx val="7"/>
            <c:invertIfNegative val="0"/>
            <c:bubble3D val="0"/>
            <c:extLst xmlns:c16r2="http://schemas.microsoft.com/office/drawing/2015/06/chart">
              <c:ext xmlns:c16="http://schemas.microsoft.com/office/drawing/2014/chart" uri="{C3380CC4-5D6E-409C-BE32-E72D297353CC}">
                <c16:uniqueId val="{00000013-D05B-4886-B819-22133CC773CA}"/>
              </c:ext>
            </c:extLst>
          </c:dPt>
          <c:dPt>
            <c:idx val="8"/>
            <c:invertIfNegative val="0"/>
            <c:bubble3D val="0"/>
            <c:extLst xmlns:c16r2="http://schemas.microsoft.com/office/drawing/2015/06/chart">
              <c:ext xmlns:c16="http://schemas.microsoft.com/office/drawing/2014/chart" uri="{C3380CC4-5D6E-409C-BE32-E72D297353CC}">
                <c16:uniqueId val="{00000015-D05B-4886-B819-22133CC773CA}"/>
              </c:ext>
            </c:extLst>
          </c:dPt>
          <c:dPt>
            <c:idx val="9"/>
            <c:invertIfNegative val="0"/>
            <c:bubble3D val="0"/>
            <c:extLst xmlns:c16r2="http://schemas.microsoft.com/office/drawing/2015/06/chart">
              <c:ext xmlns:c16="http://schemas.microsoft.com/office/drawing/2014/chart" uri="{C3380CC4-5D6E-409C-BE32-E72D297353CC}">
                <c16:uniqueId val="{00000017-D05B-4886-B819-22133CC773CA}"/>
              </c:ext>
            </c:extLst>
          </c:dPt>
          <c:dPt>
            <c:idx val="10"/>
            <c:invertIfNegative val="0"/>
            <c:bubble3D val="0"/>
            <c:extLst xmlns:c16r2="http://schemas.microsoft.com/office/drawing/2015/06/chart">
              <c:ext xmlns:c16="http://schemas.microsoft.com/office/drawing/2014/chart" uri="{C3380CC4-5D6E-409C-BE32-E72D297353CC}">
                <c16:uniqueId val="{00000019-D05B-4886-B819-22133CC773CA}"/>
              </c:ext>
            </c:extLst>
          </c:dPt>
          <c:dPt>
            <c:idx val="11"/>
            <c:invertIfNegative val="0"/>
            <c:bubble3D val="0"/>
            <c:extLst xmlns:c16r2="http://schemas.microsoft.com/office/drawing/2015/06/chart">
              <c:ext xmlns:c16="http://schemas.microsoft.com/office/drawing/2014/chart" uri="{C3380CC4-5D6E-409C-BE32-E72D297353CC}">
                <c16:uniqueId val="{0000001B-D05B-4886-B819-22133CC773CA}"/>
              </c:ext>
            </c:extLst>
          </c:dPt>
          <c:dPt>
            <c:idx val="12"/>
            <c:invertIfNegative val="0"/>
            <c:bubble3D val="0"/>
            <c:extLst xmlns:c16r2="http://schemas.microsoft.com/office/drawing/2015/06/chart">
              <c:ext xmlns:c16="http://schemas.microsoft.com/office/drawing/2014/chart" uri="{C3380CC4-5D6E-409C-BE32-E72D297353CC}">
                <c16:uniqueId val="{0000001D-D05B-4886-B819-22133CC773CA}"/>
              </c:ext>
            </c:extLst>
          </c:dPt>
          <c:dPt>
            <c:idx val="14"/>
            <c:invertIfNegative val="0"/>
            <c:bubble3D val="0"/>
            <c:spPr>
              <a:solidFill>
                <a:srgbClr val="F8CBAD"/>
              </a:solidFill>
              <a:ln>
                <a:noFill/>
              </a:ln>
            </c:spPr>
            <c:extLst xmlns:c16r2="http://schemas.microsoft.com/office/drawing/2015/06/chart">
              <c:ext xmlns:c16="http://schemas.microsoft.com/office/drawing/2014/chart" uri="{C3380CC4-5D6E-409C-BE32-E72D297353CC}">
                <c16:uniqueId val="{00000020-FB84-426C-8129-0A5E6EFDA1F4}"/>
              </c:ext>
            </c:extLst>
          </c:dPt>
          <c:dPt>
            <c:idx val="15"/>
            <c:invertIfNegative val="0"/>
            <c:bubble3D val="0"/>
            <c:extLst xmlns:c16r2="http://schemas.microsoft.com/office/drawing/2015/06/chart">
              <c:ext xmlns:c16="http://schemas.microsoft.com/office/drawing/2014/chart" uri="{C3380CC4-5D6E-409C-BE32-E72D297353CC}">
                <c16:uniqueId val="{00000020-9B59-4064-BA77-25D50D44EA63}"/>
              </c:ext>
            </c:extLst>
          </c:dPt>
          <c:dPt>
            <c:idx val="16"/>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23-D05B-4886-B819-22133CC773CA}"/>
              </c:ext>
            </c:extLst>
          </c:dPt>
          <c:dPt>
            <c:idx val="17"/>
            <c:invertIfNegative val="0"/>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24-9B59-4064-BA77-25D50D44EA63}"/>
              </c:ext>
            </c:extLst>
          </c:dPt>
          <c:dLbls>
            <c:dLbl>
              <c:idx val="0"/>
              <c:layout/>
              <c:tx>
                <c:rich>
                  <a:bodyPr/>
                  <a:lstStyle/>
                  <a:p>
                    <a:r>
                      <a:rPr lang="en-US"/>
                      <a:t> -480 (0,49 % HDP)</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5B-4886-B819-22133CC773CA}"/>
                </c:ext>
                <c:ext xmlns:c15="http://schemas.microsoft.com/office/drawing/2012/chart" uri="{CE6537A1-D6FC-4f65-9D91-7224C49458BB}">
                  <c15:layout/>
                </c:ext>
              </c:extLst>
            </c:dLbl>
            <c:dLbl>
              <c:idx val="5"/>
              <c:layout>
                <c:manualLayout>
                  <c:x val="-3.6008556426897122E-3"/>
                  <c:y val="-3.60834920864924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05B-4886-B819-22133CC773CA}"/>
                </c:ext>
                <c:ext xmlns:c15="http://schemas.microsoft.com/office/drawing/2012/chart" uri="{CE6537A1-D6FC-4f65-9D91-7224C49458BB}">
                  <c15:layout/>
                </c:ext>
              </c:extLst>
            </c:dLbl>
            <c:dLbl>
              <c:idx val="16"/>
              <c:layout>
                <c:manualLayout>
                  <c:x val="5.4012834640344695E-3"/>
                  <c:y val="3.6083492086491091E-3"/>
                </c:manualLayout>
              </c:layout>
              <c:tx>
                <c:rich>
                  <a:bodyPr/>
                  <a:lstStyle/>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D05B-4886-B819-22133CC773CA}"/>
                </c:ext>
                <c:ext xmlns:c15="http://schemas.microsoft.com/office/drawing/2012/chart" uri="{CE6537A1-D6FC-4f65-9D91-7224C49458BB}">
                  <c15:layout/>
                </c:ext>
              </c:extLst>
            </c:dLbl>
            <c:dLbl>
              <c:idx val="17"/>
              <c:layout/>
              <c:tx>
                <c:rich>
                  <a:bodyPr/>
                  <a:lstStyle/>
                  <a:p>
                    <a:fld id="{6A9B1DF3-70CE-4E14-A36A-EA74139A7167}" type="VALUE">
                      <a:rPr lang="en-US"/>
                      <a:pPr/>
                      <a:t>[HODNOTA]</a:t>
                    </a:fld>
                    <a:r>
                      <a:rPr lang="en-US"/>
                      <a:t> (8,40 % HDP)</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9B59-4064-BA77-25D50D44EA63}"/>
                </c:ext>
                <c:ext xmlns:c15="http://schemas.microsoft.com/office/drawing/2012/chart" uri="{CE6537A1-D6FC-4f65-9D91-7224C49458BB}">
                  <c15:layout/>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'Graf 14'!$A$26:$A$43</c:f>
              <c:strCache>
                <c:ptCount val="18"/>
                <c:pt idx="0">
                  <c:v>Saldo VS - rozpočet</c:v>
                </c:pt>
                <c:pt idx="1">
                  <c:v>Výpadok príjmov z poklesu ekonomiky spojený s COVID 19</c:v>
                </c:pt>
                <c:pt idx="2">
                  <c:v>Opatrenia proti COVID 19 na výdavkovej strane</c:v>
                </c:pt>
                <c:pt idx="3">
                  <c:v>Opatrenia proti COVID 19 na príjmovej strane</c:v>
                </c:pt>
                <c:pt idx="4">
                  <c:v>Vyššie dávky v nezamestnanosti spôsobené COVID 19</c:v>
                </c:pt>
                <c:pt idx="5">
                  <c:v>Ostatné (nižšie tržby z mýta)</c:v>
                </c:pt>
                <c:pt idx="6">
                  <c:v>Zavedenie 13. dôchodkov - čistý vplyv</c:v>
                </c:pt>
                <c:pt idx="7">
                  <c:v>Hospodárenie ostatných subjektov verejnej správy</c:v>
                </c:pt>
                <c:pt idx="8">
                  <c:v>Podhodnotenie výdavkov na obranu</c:v>
                </c:pt>
                <c:pt idx="9">
                  <c:v>Hospodárenie samospráv</c:v>
                </c:pt>
                <c:pt idx="10">
                  <c:v>Očistené korekcie</c:v>
                </c:pt>
                <c:pt idx="11">
                  <c:v>Prehodnotenie príjmov z e-kasy a nanomarkerov</c:v>
                </c:pt>
                <c:pt idx="12">
                  <c:v>Vyššie nemocenské a dávky v nezamestnanosti (zreálnenie rizík)</c:v>
                </c:pt>
                <c:pt idx="13">
                  <c:v>Vyššie výdavky na spolufinancovanie </c:v>
                </c:pt>
                <c:pt idx="14">
                  <c:v>Výpadok príjmov Environmentálneho fondu</c:v>
                </c:pt>
                <c:pt idx="15">
                  <c:v>Vyššie prevádzkové náklady Sociálnej poisťovne</c:v>
                </c:pt>
                <c:pt idx="16">
                  <c:v>Ostatné</c:v>
                </c:pt>
                <c:pt idx="17">
                  <c:v>Saldo VS - očakávaná skutočnosť</c:v>
                </c:pt>
              </c:strCache>
            </c:strRef>
          </c:cat>
          <c:val>
            <c:numRef>
              <c:f>'Graf 14'!$F$26:$F$43</c:f>
              <c:numCache>
                <c:formatCode>#,##0</c:formatCode>
                <c:ptCount val="18"/>
                <c:pt idx="0">
                  <c:v>-480.4</c:v>
                </c:pt>
                <c:pt idx="1">
                  <c:v>-2392.8162857142852</c:v>
                </c:pt>
                <c:pt idx="2">
                  <c:v>-1607.220949762501</c:v>
                </c:pt>
                <c:pt idx="3">
                  <c:v>-706.82785360421485</c:v>
                </c:pt>
                <c:pt idx="4">
                  <c:v>-173</c:v>
                </c:pt>
                <c:pt idx="5">
                  <c:v>-78.7</c:v>
                </c:pt>
                <c:pt idx="6">
                  <c:v>-442.4</c:v>
                </c:pt>
                <c:pt idx="7">
                  <c:v>-292.2</c:v>
                </c:pt>
                <c:pt idx="8">
                  <c:v>-289</c:v>
                </c:pt>
                <c:pt idx="9">
                  <c:v>-189</c:v>
                </c:pt>
                <c:pt idx="10">
                  <c:v>-180</c:v>
                </c:pt>
                <c:pt idx="11">
                  <c:v>-180</c:v>
                </c:pt>
                <c:pt idx="12">
                  <c:v>-160</c:v>
                </c:pt>
                <c:pt idx="13">
                  <c:v>-146</c:v>
                </c:pt>
                <c:pt idx="14">
                  <c:v>-128</c:v>
                </c:pt>
                <c:pt idx="15">
                  <c:v>-74</c:v>
                </c:pt>
                <c:pt idx="16">
                  <c:v>-45.313332080999317</c:v>
                </c:pt>
                <c:pt idx="17">
                  <c:v>-7474.251757</c:v>
                </c:pt>
              </c:numCache>
            </c:numRef>
          </c:val>
          <c:extLst xmlns:c16r2="http://schemas.microsoft.com/office/drawing/2015/06/chart">
            <c:ext xmlns:c16="http://schemas.microsoft.com/office/drawing/2014/chart" uri="{C3380CC4-5D6E-409C-BE32-E72D297353CC}">
              <c16:uniqueId val="{00000024-D05B-4886-B819-22133CC773CA}"/>
            </c:ext>
          </c:extLst>
        </c:ser>
        <c:dLbls>
          <c:showLegendKey val="0"/>
          <c:showVal val="0"/>
          <c:showCatName val="0"/>
          <c:showSerName val="0"/>
          <c:showPercent val="0"/>
          <c:showBubbleSize val="0"/>
        </c:dLbls>
        <c:gapWidth val="60"/>
        <c:overlap val="100"/>
        <c:axId val="237167568"/>
        <c:axId val="237167960"/>
      </c:barChart>
      <c:catAx>
        <c:axId val="237167568"/>
        <c:scaling>
          <c:orientation val="maxMin"/>
        </c:scaling>
        <c:delete val="0"/>
        <c:axPos val="l"/>
        <c:numFmt formatCode="General" sourceLinked="1"/>
        <c:majorTickMark val="none"/>
        <c:minorTickMark val="none"/>
        <c:tickLblPos val="low"/>
        <c:spPr>
          <a:ln>
            <a:solidFill>
              <a:schemeClr val="tx1"/>
            </a:solidFill>
            <a:prstDash val="solid"/>
          </a:ln>
        </c:spPr>
        <c:txPr>
          <a:bodyPr rot="0" vert="horz"/>
          <a:lstStyle/>
          <a:p>
            <a:pPr>
              <a:defRPr sz="800"/>
            </a:pPr>
            <a:endParaRPr lang="sk-SK"/>
          </a:p>
        </c:txPr>
        <c:crossAx val="237167960"/>
        <c:crosses val="autoZero"/>
        <c:auto val="1"/>
        <c:lblAlgn val="ctr"/>
        <c:lblOffset val="100"/>
        <c:noMultiLvlLbl val="0"/>
      </c:catAx>
      <c:valAx>
        <c:axId val="237167960"/>
        <c:scaling>
          <c:orientation val="minMax"/>
          <c:max val="0"/>
          <c:min val="-8000"/>
        </c:scaling>
        <c:delete val="0"/>
        <c:axPos val="t"/>
        <c:numFmt formatCode="#,##0" sourceLinked="1"/>
        <c:majorTickMark val="out"/>
        <c:minorTickMark val="none"/>
        <c:tickLblPos val="low"/>
        <c:spPr>
          <a:ln>
            <a:solidFill>
              <a:schemeClr val="tx1"/>
            </a:solidFill>
          </a:ln>
        </c:spPr>
        <c:txPr>
          <a:bodyPr/>
          <a:lstStyle/>
          <a:p>
            <a:pPr>
              <a:defRPr sz="800"/>
            </a:pPr>
            <a:endParaRPr lang="sk-SK"/>
          </a:p>
        </c:txPr>
        <c:crossAx val="237167568"/>
        <c:crosses val="autoZero"/>
        <c:crossBetween val="between"/>
      </c:valAx>
    </c:plotArea>
    <c:plotVisOnly val="1"/>
    <c:dispBlanksAs val="gap"/>
    <c:showDLblsOverMax val="0"/>
  </c:chart>
  <c:spPr>
    <a:noFill/>
    <a:ln>
      <a:solidFill>
        <a:schemeClr val="bg1"/>
      </a:solidFill>
    </a:ln>
  </c:spPr>
  <c:txPr>
    <a:bodyPr/>
    <a:lstStyle/>
    <a:p>
      <a:pPr>
        <a:defRPr>
          <a:latin typeface="Arial Narrow" panose="020B0606020202030204" pitchFamily="34" charset="0"/>
        </a:defRPr>
      </a:pPr>
      <a:endParaRPr lang="sk-SK"/>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737532808398E-2"/>
          <c:y val="4.8824001166520851E-2"/>
          <c:w val="0.89093095636884034"/>
          <c:h val="0.85748137319626516"/>
        </c:manualLayout>
      </c:layout>
      <c:barChart>
        <c:barDir val="col"/>
        <c:grouping val="stacked"/>
        <c:varyColors val="0"/>
        <c:ser>
          <c:idx val="8"/>
          <c:order val="1"/>
          <c:tx>
            <c:strRef>
              <c:f>'Graf fuga'!$B$6</c:f>
              <c:strCache>
                <c:ptCount val="1"/>
                <c:pt idx="0">
                  <c:v>Rozpočet centrálnej vlády</c:v>
                </c:pt>
              </c:strCache>
            </c:strRef>
          </c:tx>
          <c:spPr>
            <a:solidFill>
              <a:srgbClr val="2C9ADC"/>
            </a:solidFill>
            <a:ln>
              <a:noFill/>
            </a:ln>
          </c:spPr>
          <c:invertIfNegative val="0"/>
          <c:cat>
            <c:numRef>
              <c:f>'Graf fuga'!$D$4:$J$4</c:f>
              <c:numCache>
                <c:formatCode>General</c:formatCode>
                <c:ptCount val="7"/>
                <c:pt idx="0">
                  <c:v>2017</c:v>
                </c:pt>
                <c:pt idx="1">
                  <c:v>2018</c:v>
                </c:pt>
                <c:pt idx="2">
                  <c:v>2019</c:v>
                </c:pt>
                <c:pt idx="3">
                  <c:v>2020</c:v>
                </c:pt>
                <c:pt idx="4">
                  <c:v>2021</c:v>
                </c:pt>
                <c:pt idx="5">
                  <c:v>2022</c:v>
                </c:pt>
                <c:pt idx="6">
                  <c:v>2023</c:v>
                </c:pt>
              </c:numCache>
            </c:numRef>
          </c:cat>
          <c:val>
            <c:numRef>
              <c:f>'Graf fuga'!$D$6:$J$6</c:f>
              <c:numCache>
                <c:formatCode>0.00</c:formatCode>
                <c:ptCount val="7"/>
                <c:pt idx="0">
                  <c:v>-1.2336558778910822</c:v>
                </c:pt>
                <c:pt idx="1">
                  <c:v>-1.2426326998436847</c:v>
                </c:pt>
                <c:pt idx="2">
                  <c:v>-1.626891087093747</c:v>
                </c:pt>
                <c:pt idx="3">
                  <c:v>-8.1290833295653222</c:v>
                </c:pt>
                <c:pt idx="4">
                  <c:v>-4.6814470675094171</c:v>
                </c:pt>
                <c:pt idx="5">
                  <c:v>-3.6238423703902596</c:v>
                </c:pt>
                <c:pt idx="6">
                  <c:v>-2.9546607051698146</c:v>
                </c:pt>
              </c:numCache>
            </c:numRef>
          </c:val>
          <c:extLst xmlns:c16r2="http://schemas.microsoft.com/office/drawing/2015/06/chart">
            <c:ext xmlns:c16="http://schemas.microsoft.com/office/drawing/2014/chart" uri="{C3380CC4-5D6E-409C-BE32-E72D297353CC}">
              <c16:uniqueId val="{00000000-6C0F-4B07-8D8D-A460203575B5}"/>
            </c:ext>
          </c:extLst>
        </c:ser>
        <c:ser>
          <c:idx val="0"/>
          <c:order val="2"/>
          <c:tx>
            <c:strRef>
              <c:f>'Graf fuga'!$B$7</c:f>
              <c:strCache>
                <c:ptCount val="1"/>
                <c:pt idx="0">
                  <c:v>Samospráva</c:v>
                </c:pt>
              </c:strCache>
            </c:strRef>
          </c:tx>
          <c:spPr>
            <a:solidFill>
              <a:srgbClr val="1F497D">
                <a:lumMod val="20000"/>
                <a:lumOff val="80000"/>
              </a:srgbClr>
            </a:solidFill>
          </c:spPr>
          <c:invertIfNegative val="0"/>
          <c:cat>
            <c:numRef>
              <c:f>'Graf fuga'!$D$4:$J$4</c:f>
              <c:numCache>
                <c:formatCode>General</c:formatCode>
                <c:ptCount val="7"/>
                <c:pt idx="0">
                  <c:v>2017</c:v>
                </c:pt>
                <c:pt idx="1">
                  <c:v>2018</c:v>
                </c:pt>
                <c:pt idx="2">
                  <c:v>2019</c:v>
                </c:pt>
                <c:pt idx="3">
                  <c:v>2020</c:v>
                </c:pt>
                <c:pt idx="4">
                  <c:v>2021</c:v>
                </c:pt>
                <c:pt idx="5">
                  <c:v>2022</c:v>
                </c:pt>
                <c:pt idx="6">
                  <c:v>2023</c:v>
                </c:pt>
              </c:numCache>
            </c:numRef>
          </c:cat>
          <c:val>
            <c:numRef>
              <c:f>'Graf fuga'!$D$7:$J$7</c:f>
              <c:numCache>
                <c:formatCode>0.00</c:formatCode>
                <c:ptCount val="7"/>
                <c:pt idx="0">
                  <c:v>-6.145508823934308E-3</c:v>
                </c:pt>
                <c:pt idx="1">
                  <c:v>0.15072732000719422</c:v>
                </c:pt>
                <c:pt idx="2">
                  <c:v>0.12262223381646023</c:v>
                </c:pt>
                <c:pt idx="3">
                  <c:v>-0.2265007453920666</c:v>
                </c:pt>
                <c:pt idx="4">
                  <c:v>-0.25701585194742327</c:v>
                </c:pt>
                <c:pt idx="5">
                  <c:v>-0.1236315186509008</c:v>
                </c:pt>
                <c:pt idx="6">
                  <c:v>-2.1388139263580269E-2</c:v>
                </c:pt>
              </c:numCache>
            </c:numRef>
          </c:val>
          <c:extLst xmlns:c16r2="http://schemas.microsoft.com/office/drawing/2015/06/chart">
            <c:ext xmlns:c16="http://schemas.microsoft.com/office/drawing/2014/chart" uri="{C3380CC4-5D6E-409C-BE32-E72D297353CC}">
              <c16:uniqueId val="{00000001-6C0F-4B07-8D8D-A460203575B5}"/>
            </c:ext>
          </c:extLst>
        </c:ser>
        <c:ser>
          <c:idx val="1"/>
          <c:order val="3"/>
          <c:tx>
            <c:strRef>
              <c:f>'Graf fuga'!$B$8</c:f>
              <c:strCache>
                <c:ptCount val="1"/>
                <c:pt idx="0">
                  <c:v>Fondy sociálneho zabezpečenia</c:v>
                </c:pt>
              </c:strCache>
            </c:strRef>
          </c:tx>
          <c:spPr>
            <a:solidFill>
              <a:srgbClr val="2C9ADC">
                <a:lumMod val="50000"/>
              </a:srgbClr>
            </a:solidFill>
          </c:spPr>
          <c:invertIfNegative val="0"/>
          <c:cat>
            <c:numRef>
              <c:f>'Graf fuga'!$D$4:$J$4</c:f>
              <c:numCache>
                <c:formatCode>General</c:formatCode>
                <c:ptCount val="7"/>
                <c:pt idx="0">
                  <c:v>2017</c:v>
                </c:pt>
                <c:pt idx="1">
                  <c:v>2018</c:v>
                </c:pt>
                <c:pt idx="2">
                  <c:v>2019</c:v>
                </c:pt>
                <c:pt idx="3">
                  <c:v>2020</c:v>
                </c:pt>
                <c:pt idx="4">
                  <c:v>2021</c:v>
                </c:pt>
                <c:pt idx="5">
                  <c:v>2022</c:v>
                </c:pt>
                <c:pt idx="6">
                  <c:v>2023</c:v>
                </c:pt>
              </c:numCache>
            </c:numRef>
          </c:cat>
          <c:val>
            <c:numRef>
              <c:f>'Graf fuga'!$D$8:$J$8</c:f>
              <c:numCache>
                <c:formatCode>0.00</c:formatCode>
                <c:ptCount val="7"/>
                <c:pt idx="0">
                  <c:v>0.2873764871341572</c:v>
                </c:pt>
                <c:pt idx="1">
                  <c:v>4.3512685959750254E-2</c:v>
                </c:pt>
                <c:pt idx="2">
                  <c:v>0.20912314006699381</c:v>
                </c:pt>
                <c:pt idx="3">
                  <c:v>-4.4415925042611493E-2</c:v>
                </c:pt>
                <c:pt idx="4">
                  <c:v>6.2316614107127188E-2</c:v>
                </c:pt>
                <c:pt idx="5">
                  <c:v>2.2762527606058295E-2</c:v>
                </c:pt>
                <c:pt idx="6">
                  <c:v>8.1954715245330018E-2</c:v>
                </c:pt>
              </c:numCache>
            </c:numRef>
          </c:val>
          <c:extLst xmlns:c16r2="http://schemas.microsoft.com/office/drawing/2015/06/chart">
            <c:ext xmlns:c16="http://schemas.microsoft.com/office/drawing/2014/chart" uri="{C3380CC4-5D6E-409C-BE32-E72D297353CC}">
              <c16:uniqueId val="{00000002-6C0F-4B07-8D8D-A460203575B5}"/>
            </c:ext>
          </c:extLst>
        </c:ser>
        <c:ser>
          <c:idx val="2"/>
          <c:order val="4"/>
          <c:tx>
            <c:strRef>
              <c:f>'Graf fuga'!$B$9</c:f>
              <c:strCache>
                <c:ptCount val="1"/>
                <c:pt idx="0">
                  <c:v>Potrebné opatr. na dosiahnutie cieľa</c:v>
                </c:pt>
              </c:strCache>
            </c:strRef>
          </c:tx>
          <c:spPr>
            <a:pattFill prst="wdDnDiag">
              <a:fgClr>
                <a:srgbClr val="FF0000"/>
              </a:fgClr>
              <a:bgClr>
                <a:sysClr val="window" lastClr="FFFFFF"/>
              </a:bgClr>
            </a:pattFill>
          </c:spPr>
          <c:invertIfNegative val="0"/>
          <c:cat>
            <c:numRef>
              <c:f>'Graf fuga'!$D$4:$J$4</c:f>
              <c:numCache>
                <c:formatCode>General</c:formatCode>
                <c:ptCount val="7"/>
                <c:pt idx="0">
                  <c:v>2017</c:v>
                </c:pt>
                <c:pt idx="1">
                  <c:v>2018</c:v>
                </c:pt>
                <c:pt idx="2">
                  <c:v>2019</c:v>
                </c:pt>
                <c:pt idx="3">
                  <c:v>2020</c:v>
                </c:pt>
                <c:pt idx="4">
                  <c:v>2021</c:v>
                </c:pt>
                <c:pt idx="5">
                  <c:v>2022</c:v>
                </c:pt>
                <c:pt idx="6">
                  <c:v>2023</c:v>
                </c:pt>
              </c:numCache>
            </c:numRef>
          </c:cat>
          <c:val>
            <c:numRef>
              <c:f>'Graf fuga'!$D$9:$J$9</c:f>
              <c:numCache>
                <c:formatCode>0.00</c:formatCode>
                <c:ptCount val="7"/>
                <c:pt idx="0">
                  <c:v>0</c:v>
                </c:pt>
                <c:pt idx="1">
                  <c:v>0</c:v>
                </c:pt>
                <c:pt idx="2">
                  <c:v>0</c:v>
                </c:pt>
                <c:pt idx="3">
                  <c:v>0</c:v>
                </c:pt>
                <c:pt idx="4">
                  <c:v>-1.1738536946502869</c:v>
                </c:pt>
                <c:pt idx="5">
                  <c:v>-2.3618096867837277</c:v>
                </c:pt>
                <c:pt idx="6">
                  <c:v>-3.2394440005307823</c:v>
                </c:pt>
              </c:numCache>
            </c:numRef>
          </c:val>
          <c:extLst xmlns:c16r2="http://schemas.microsoft.com/office/drawing/2015/06/chart">
            <c:ext xmlns:c16="http://schemas.microsoft.com/office/drawing/2014/chart" uri="{C3380CC4-5D6E-409C-BE32-E72D297353CC}">
              <c16:uniqueId val="{00000003-6C0F-4B07-8D8D-A460203575B5}"/>
            </c:ext>
          </c:extLst>
        </c:ser>
        <c:dLbls>
          <c:showLegendKey val="0"/>
          <c:showVal val="0"/>
          <c:showCatName val="0"/>
          <c:showSerName val="0"/>
          <c:showPercent val="0"/>
          <c:showBubbleSize val="0"/>
        </c:dLbls>
        <c:gapWidth val="150"/>
        <c:overlap val="100"/>
        <c:axId val="237168744"/>
        <c:axId val="237169136"/>
      </c:barChart>
      <c:lineChart>
        <c:grouping val="standard"/>
        <c:varyColors val="0"/>
        <c:ser>
          <c:idx val="5"/>
          <c:order val="0"/>
          <c:tx>
            <c:strRef>
              <c:f>'Graf fuga'!$B$5</c:f>
              <c:strCache>
                <c:ptCount val="1"/>
                <c:pt idx="0">
                  <c:v>Saldo verejnej správy (rozpočtové ciele)</c:v>
                </c:pt>
              </c:strCache>
            </c:strRef>
          </c:tx>
          <c:spPr>
            <a:ln>
              <a:solidFill>
                <a:sysClr val="windowText" lastClr="000000"/>
              </a:solidFill>
              <a:prstDash val="sysDash"/>
            </a:ln>
          </c:spPr>
          <c:marker>
            <c:symbol val="square"/>
            <c:size val="8"/>
            <c:spPr>
              <a:solidFill>
                <a:sysClr val="windowText" lastClr="000000"/>
              </a:solidFill>
            </c:spPr>
          </c:marker>
          <c:dLbls>
            <c:dLbl>
              <c:idx val="6"/>
              <c:layout>
                <c:manualLayout>
                  <c:x val="-1.3291980505095259E-2"/>
                  <c:y val="-7.83604581072935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72-4B55-9400-2BA1ACC0464F}"/>
                </c:ext>
                <c:ext xmlns:c15="http://schemas.microsoft.com/office/drawing/2012/chart" uri="{CE6537A1-D6FC-4f65-9D91-7224C49458BB}">
                  <c15:layout/>
                </c:ext>
              </c:extLst>
            </c:dLbl>
            <c:spPr>
              <a:solidFill>
                <a:sysClr val="window" lastClr="FFFFFF"/>
              </a:solidFill>
              <a:ln>
                <a:solidFill>
                  <a:sysClr val="windowText" lastClr="000000"/>
                </a:solidFill>
              </a:ln>
              <a:effectLst/>
            </c:spPr>
            <c:txPr>
              <a:bodyPr wrap="square" lIns="38100" tIns="19050" rIns="38100" bIns="19050" anchor="ctr">
                <a:spAutoFit/>
              </a:bodyPr>
              <a:lstStyle/>
              <a:p>
                <a:pPr>
                  <a:defRPr b="1"/>
                </a:pPr>
                <a:endParaRPr lang="sk-SK"/>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'Graf fuga'!$D$4:$J$4</c:f>
              <c:numCache>
                <c:formatCode>General</c:formatCode>
                <c:ptCount val="7"/>
                <c:pt idx="0">
                  <c:v>2017</c:v>
                </c:pt>
                <c:pt idx="1">
                  <c:v>2018</c:v>
                </c:pt>
                <c:pt idx="2">
                  <c:v>2019</c:v>
                </c:pt>
                <c:pt idx="3">
                  <c:v>2020</c:v>
                </c:pt>
                <c:pt idx="4">
                  <c:v>2021</c:v>
                </c:pt>
                <c:pt idx="5">
                  <c:v>2022</c:v>
                </c:pt>
                <c:pt idx="6">
                  <c:v>2023</c:v>
                </c:pt>
              </c:numCache>
            </c:numRef>
          </c:cat>
          <c:val>
            <c:numRef>
              <c:f>'Graf fuga'!$D$5:$J$5</c:f>
              <c:numCache>
                <c:formatCode>0.00</c:formatCode>
                <c:ptCount val="7"/>
                <c:pt idx="0">
                  <c:v>-0.95242489958085941</c:v>
                </c:pt>
                <c:pt idx="1">
                  <c:v>-1.0476927459571013</c:v>
                </c:pt>
                <c:pt idx="2">
                  <c:v>-1.2951457132102888</c:v>
                </c:pt>
                <c:pt idx="3">
                  <c:v>-8.4</c:v>
                </c:pt>
                <c:pt idx="4">
                  <c:v>-4.8761463053497129</c:v>
                </c:pt>
                <c:pt idx="5">
                  <c:v>-3.7247113614351024</c:v>
                </c:pt>
                <c:pt idx="6">
                  <c:v>-2.8940941291880646</c:v>
                </c:pt>
              </c:numCache>
            </c:numRef>
          </c:val>
          <c:smooth val="0"/>
          <c:extLst xmlns:c16r2="http://schemas.microsoft.com/office/drawing/2015/06/chart">
            <c:ext xmlns:c16="http://schemas.microsoft.com/office/drawing/2014/chart" uri="{C3380CC4-5D6E-409C-BE32-E72D297353CC}">
              <c16:uniqueId val="{00000004-6C0F-4B07-8D8D-A460203575B5}"/>
            </c:ext>
          </c:extLst>
        </c:ser>
        <c:ser>
          <c:idx val="3"/>
          <c:order val="5"/>
          <c:tx>
            <c:strRef>
              <c:f>'Graf fuga'!$B$10</c:f>
              <c:strCache>
                <c:ptCount val="1"/>
                <c:pt idx="0">
                  <c:v>Saldo VS bez dodatočných opatrení</c:v>
                </c:pt>
              </c:strCache>
            </c:strRef>
          </c:tx>
          <c:spPr>
            <a:ln>
              <a:prstDash val="sysDot"/>
            </a:ln>
          </c:spPr>
          <c:marker>
            <c:symbol val="circle"/>
            <c:size val="8"/>
            <c:spPr>
              <a:solidFill>
                <a:srgbClr val="FF0000"/>
              </a:solidFill>
            </c:spPr>
          </c:marker>
          <c:dPt>
            <c:idx val="0"/>
            <c:marker>
              <c:spPr>
                <a:noFill/>
              </c:spPr>
            </c:marker>
            <c:bubble3D val="0"/>
            <c:extLst xmlns:c16r2="http://schemas.microsoft.com/office/drawing/2015/06/chart">
              <c:ext xmlns:c16="http://schemas.microsoft.com/office/drawing/2014/chart" uri="{C3380CC4-5D6E-409C-BE32-E72D297353CC}">
                <c16:uniqueId val="{00000005-6C0F-4B07-8D8D-A460203575B5}"/>
              </c:ext>
            </c:extLst>
          </c:dPt>
          <c:dPt>
            <c:idx val="1"/>
            <c:marker>
              <c:spPr>
                <a:noFill/>
              </c:spPr>
            </c:marker>
            <c:bubble3D val="0"/>
            <c:extLst xmlns:c16r2="http://schemas.microsoft.com/office/drawing/2015/06/chart">
              <c:ext xmlns:c16="http://schemas.microsoft.com/office/drawing/2014/chart" uri="{C3380CC4-5D6E-409C-BE32-E72D297353CC}">
                <c16:uniqueId val="{00000006-6C0F-4B07-8D8D-A460203575B5}"/>
              </c:ext>
            </c:extLst>
          </c:dPt>
          <c:dPt>
            <c:idx val="2"/>
            <c:marker>
              <c:spPr>
                <a:noFill/>
                <a:ln>
                  <a:noFill/>
                </a:ln>
              </c:spPr>
            </c:marker>
            <c:bubble3D val="0"/>
            <c:spPr>
              <a:ln>
                <a:noFill/>
                <a:prstDash val="sysDot"/>
              </a:ln>
            </c:spPr>
            <c:extLst xmlns:c16r2="http://schemas.microsoft.com/office/drawing/2015/06/chart">
              <c:ext xmlns:c16="http://schemas.microsoft.com/office/drawing/2014/chart" uri="{C3380CC4-5D6E-409C-BE32-E72D297353CC}">
                <c16:uniqueId val="{00000008-6C0F-4B07-8D8D-A460203575B5}"/>
              </c:ext>
            </c:extLst>
          </c:dPt>
          <c:dLbls>
            <c:dLbl>
              <c:idx val="4"/>
              <c:layout>
                <c:manualLayout>
                  <c:x val="-2.2222222222222223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C0F-4B07-8D8D-A460203575B5}"/>
                </c:ext>
                <c:ext xmlns:c15="http://schemas.microsoft.com/office/drawing/2012/chart" uri="{CE6537A1-D6FC-4f65-9D91-7224C49458BB}">
                  <c15:layout/>
                </c:ext>
              </c:extLst>
            </c:dLbl>
            <c:dLbl>
              <c:idx val="5"/>
              <c:layout>
                <c:manualLayout>
                  <c:x val="-4.444444444444454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C0F-4B07-8D8D-A460203575B5}"/>
                </c:ext>
                <c:ext xmlns:c15="http://schemas.microsoft.com/office/drawing/2012/chart" uri="{CE6537A1-D6FC-4f65-9D91-7224C49458BB}">
                  <c15:layout/>
                </c:ext>
              </c:extLst>
            </c:dLbl>
            <c:dLbl>
              <c:idx val="6"/>
              <c:layout>
                <c:manualLayout>
                  <c:x val="-3.6111111111111212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C0F-4B07-8D8D-A460203575B5}"/>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'Graf fuga'!$D$4:$J$4</c:f>
              <c:numCache>
                <c:formatCode>General</c:formatCode>
                <c:ptCount val="7"/>
                <c:pt idx="0">
                  <c:v>2017</c:v>
                </c:pt>
                <c:pt idx="1">
                  <c:v>2018</c:v>
                </c:pt>
                <c:pt idx="2">
                  <c:v>2019</c:v>
                </c:pt>
                <c:pt idx="3">
                  <c:v>2020</c:v>
                </c:pt>
                <c:pt idx="4">
                  <c:v>2021</c:v>
                </c:pt>
                <c:pt idx="5">
                  <c:v>2022</c:v>
                </c:pt>
                <c:pt idx="6">
                  <c:v>2023</c:v>
                </c:pt>
              </c:numCache>
            </c:numRef>
          </c:cat>
          <c:val>
            <c:numRef>
              <c:f>'Graf fuga'!$D$10:$J$10</c:f>
              <c:numCache>
                <c:formatCode>0.00</c:formatCode>
                <c:ptCount val="7"/>
                <c:pt idx="0">
                  <c:v>-0.95242489958085941</c:v>
                </c:pt>
                <c:pt idx="1">
                  <c:v>-1.0476927459571013</c:v>
                </c:pt>
                <c:pt idx="2">
                  <c:v>-1.2951457132102888</c:v>
                </c:pt>
                <c:pt idx="3">
                  <c:v>-8.4</c:v>
                </c:pt>
                <c:pt idx="4">
                  <c:v>-6.05</c:v>
                </c:pt>
                <c:pt idx="5">
                  <c:v>-6.0865210482188301</c:v>
                </c:pt>
                <c:pt idx="6">
                  <c:v>-6.1335381297188469</c:v>
                </c:pt>
              </c:numCache>
            </c:numRef>
          </c:val>
          <c:smooth val="0"/>
          <c:extLst xmlns:c16r2="http://schemas.microsoft.com/office/drawing/2015/06/chart">
            <c:ext xmlns:c16="http://schemas.microsoft.com/office/drawing/2014/chart" uri="{C3380CC4-5D6E-409C-BE32-E72D297353CC}">
              <c16:uniqueId val="{0000000C-6C0F-4B07-8D8D-A460203575B5}"/>
            </c:ext>
          </c:extLst>
        </c:ser>
        <c:dLbls>
          <c:showLegendKey val="0"/>
          <c:showVal val="0"/>
          <c:showCatName val="0"/>
          <c:showSerName val="0"/>
          <c:showPercent val="0"/>
          <c:showBubbleSize val="0"/>
        </c:dLbls>
        <c:marker val="1"/>
        <c:smooth val="0"/>
        <c:axId val="237168744"/>
        <c:axId val="237169136"/>
      </c:lineChart>
      <c:catAx>
        <c:axId val="237168744"/>
        <c:scaling>
          <c:orientation val="minMax"/>
        </c:scaling>
        <c:delete val="0"/>
        <c:axPos val="b"/>
        <c:numFmt formatCode="General" sourceLinked="1"/>
        <c:majorTickMark val="out"/>
        <c:minorTickMark val="none"/>
        <c:tickLblPos val="low"/>
        <c:crossAx val="237169136"/>
        <c:crosses val="autoZero"/>
        <c:auto val="1"/>
        <c:lblAlgn val="ctr"/>
        <c:lblOffset val="100"/>
        <c:noMultiLvlLbl val="0"/>
      </c:catAx>
      <c:valAx>
        <c:axId val="237169136"/>
        <c:scaling>
          <c:orientation val="minMax"/>
        </c:scaling>
        <c:delete val="0"/>
        <c:axPos val="l"/>
        <c:numFmt formatCode="#,##0.0" sourceLinked="0"/>
        <c:majorTickMark val="out"/>
        <c:minorTickMark val="none"/>
        <c:tickLblPos val="nextTo"/>
        <c:crossAx val="237168744"/>
        <c:crosses val="autoZero"/>
        <c:crossBetween val="between"/>
      </c:valAx>
    </c:plotArea>
    <c:legend>
      <c:legendPos val="r"/>
      <c:layout>
        <c:manualLayout>
          <c:xMode val="edge"/>
          <c:yMode val="edge"/>
          <c:x val="0"/>
          <c:y val="0.55239898810117094"/>
          <c:w val="0.54095363079615044"/>
          <c:h val="0.38943771269097693"/>
        </c:manualLayout>
      </c:layout>
      <c:overlay val="0"/>
    </c:legend>
    <c:plotVisOnly val="1"/>
    <c:dispBlanksAs val="gap"/>
    <c:showDLblsOverMax val="0"/>
  </c:chart>
  <c:spPr>
    <a:ln>
      <a:noFill/>
    </a:ln>
  </c:spPr>
  <c:txPr>
    <a:bodyPr/>
    <a:lstStyle/>
    <a:p>
      <a:pPr>
        <a:defRPr sz="800">
          <a:latin typeface="Arial Narrow" panose="020B0606020202030204" pitchFamily="34" charset="0"/>
        </a:defRPr>
      </a:pPr>
      <a:endParaRPr lang="sk-SK"/>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5910018777131E-2"/>
          <c:y val="3.6702577156306072E-2"/>
          <c:w val="0.91507149165482005"/>
          <c:h val="0.91074167429314146"/>
        </c:manualLayout>
      </c:layout>
      <c:scatterChart>
        <c:scatterStyle val="smoothMarker"/>
        <c:varyColors val="0"/>
        <c:ser>
          <c:idx val="1"/>
          <c:order val="0"/>
          <c:dPt>
            <c:idx val="1"/>
            <c:bubble3D val="0"/>
            <c:spPr>
              <a:ln w="28575">
                <a:solidFill>
                  <a:schemeClr val="accent1"/>
                </a:solidFill>
              </a:ln>
            </c:spPr>
            <c:extLst xmlns:c16r2="http://schemas.microsoft.com/office/drawing/2015/06/chart">
              <c:ext xmlns:c16="http://schemas.microsoft.com/office/drawing/2014/chart" uri="{C3380CC4-5D6E-409C-BE32-E72D297353CC}">
                <c16:uniqueId val="{00000001-18D8-4F0E-A578-0AA98AC73407}"/>
              </c:ext>
            </c:extLst>
          </c:dPt>
          <c:xVal>
            <c:numRef>
              <c:f>'Graf 15'!$B$8:$H$8</c:f>
              <c:numCache>
                <c:formatCode>0.0</c:formatCode>
                <c:ptCount val="7"/>
                <c:pt idx="0">
                  <c:v>6.8036993172934546E-2</c:v>
                </c:pt>
                <c:pt idx="1">
                  <c:v>1.8099246289069448</c:v>
                </c:pt>
                <c:pt idx="2">
                  <c:v>1.6845468169292221</c:v>
                </c:pt>
                <c:pt idx="3">
                  <c:v>-7.1240493644227136</c:v>
                </c:pt>
                <c:pt idx="4">
                  <c:v>-2.9607238172592809</c:v>
                </c:pt>
                <c:pt idx="5">
                  <c:v>-1.3047774123322364</c:v>
                </c:pt>
                <c:pt idx="6">
                  <c:v>-0.46434902840726267</c:v>
                </c:pt>
              </c:numCache>
            </c:numRef>
          </c:xVal>
          <c:yVal>
            <c:numRef>
              <c:f>'Graf 15'!$B$7:$H$7</c:f>
              <c:numCache>
                <c:formatCode>0.0</c:formatCode>
                <c:ptCount val="7"/>
                <c:pt idx="0">
                  <c:v>1.05</c:v>
                </c:pt>
                <c:pt idx="1">
                  <c:v>-0.82953488679738285</c:v>
                </c:pt>
                <c:pt idx="2">
                  <c:v>-0.23476977563083268</c:v>
                </c:pt>
                <c:pt idx="3">
                  <c:v>-2.0486430945890923</c:v>
                </c:pt>
                <c:pt idx="4">
                  <c:v>0.16147476154915408</c:v>
                </c:pt>
                <c:pt idx="5">
                  <c:v>0.51503373582923384</c:v>
                </c:pt>
                <c:pt idx="6">
                  <c:v>0.48007218082006853</c:v>
                </c:pt>
              </c:numCache>
            </c:numRef>
          </c:yVal>
          <c:smooth val="1"/>
          <c:extLst xmlns:c16r2="http://schemas.microsoft.com/office/drawing/2015/06/chart">
            <c:ext xmlns:c16="http://schemas.microsoft.com/office/drawing/2014/chart" uri="{C3380CC4-5D6E-409C-BE32-E72D297353CC}">
              <c16:uniqueId val="{00000002-18D8-4F0E-A578-0AA98AC73407}"/>
            </c:ext>
          </c:extLst>
        </c:ser>
        <c:ser>
          <c:idx val="0"/>
          <c:order val="1"/>
          <c:marker>
            <c:symbol val="circle"/>
            <c:size val="6"/>
            <c:spPr>
              <a:solidFill>
                <a:srgbClr val="FFFF99"/>
              </a:solidFill>
              <a:ln>
                <a:solidFill>
                  <a:srgbClr val="000000"/>
                </a:solidFill>
                <a:prstDash val="solid"/>
              </a:ln>
              <a:effectLst>
                <a:glow>
                  <a:schemeClr val="accent1"/>
                </a:glow>
              </a:effectLst>
            </c:spPr>
          </c:marker>
          <c:dPt>
            <c:idx val="1"/>
            <c:bubble3D val="0"/>
            <c:spPr>
              <a:ln w="28575">
                <a:solidFill>
                  <a:schemeClr val="accent1"/>
                </a:solidFill>
              </a:ln>
            </c:spPr>
            <c:extLst xmlns:c16r2="http://schemas.microsoft.com/office/drawing/2015/06/chart">
              <c:ext xmlns:c16="http://schemas.microsoft.com/office/drawing/2014/chart" uri="{C3380CC4-5D6E-409C-BE32-E72D297353CC}">
                <c16:uniqueId val="{00000001-5000-4482-9B1B-463B76C5DDB9}"/>
              </c:ext>
            </c:extLst>
          </c:dPt>
          <c:dLbls>
            <c:dLbl>
              <c:idx val="0"/>
              <c:layout/>
              <c:tx>
                <c:rich>
                  <a:bodyPr/>
                  <a:lstStyle/>
                  <a:p>
                    <a:fld id="{02B4C150-2149-4161-B889-5BA385043B33}"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000-4482-9B1B-463B76C5DDB9}"/>
                </c:ext>
                <c:ext xmlns:c15="http://schemas.microsoft.com/office/drawing/2012/chart" uri="{CE6537A1-D6FC-4f65-9D91-7224C49458BB}">
                  <c15:layout/>
                  <c15:dlblFieldTable/>
                  <c15:showDataLabelsRange val="1"/>
                </c:ext>
              </c:extLst>
            </c:dLbl>
            <c:dLbl>
              <c:idx val="1"/>
              <c:layout/>
              <c:tx>
                <c:rich>
                  <a:bodyPr/>
                  <a:lstStyle/>
                  <a:p>
                    <a:fld id="{FD0590DE-5BFE-4797-8B96-6D299958B4F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manualLayout>
                  <c:x val="6.7735380447053514E-3"/>
                  <c:y val="4.7505938242280284E-2"/>
                </c:manualLayout>
              </c:layout>
              <c:tx>
                <c:rich>
                  <a:bodyPr/>
                  <a:lstStyle/>
                  <a:p>
                    <a:fld id="{7EF7372E-489B-4F30-BC08-5AE7E724BEE3}"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18D8-4F0E-A578-0AA98AC73407}"/>
                </c:ext>
                <c:ext xmlns:c15="http://schemas.microsoft.com/office/drawing/2012/chart" uri="{CE6537A1-D6FC-4f65-9D91-7224C49458BB}">
                  <c15:layout/>
                  <c15:dlblFieldTable/>
                  <c15:showDataLabelsRange val="1"/>
                </c:ext>
              </c:extLst>
            </c:dLbl>
            <c:dLbl>
              <c:idx val="3"/>
              <c:layout/>
              <c:tx>
                <c:rich>
                  <a:bodyPr/>
                  <a:lstStyle/>
                  <a:p>
                    <a:fld id="{9641DDBA-8955-45FE-AFBE-50408A62F2A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5E50F680-BF29-468D-B3AF-1DB61456C4F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manualLayout>
                  <c:x val="-4.4502618412590435E-2"/>
                  <c:y val="6.8706691212499213E-2"/>
                </c:manualLayout>
              </c:layout>
              <c:tx>
                <c:rich>
                  <a:bodyPr/>
                  <a:lstStyle/>
                  <a:p>
                    <a:fld id="{5A023522-C600-4A79-9579-987F4277E6A6}"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5000-4482-9B1B-463B76C5DDB9}"/>
                </c:ext>
                <c:ext xmlns:c15="http://schemas.microsoft.com/office/drawing/2012/chart" uri="{CE6537A1-D6FC-4f65-9D91-7224C49458BB}">
                  <c15:layout/>
                  <c15:dlblFieldTable/>
                  <c15:showDataLabelsRange val="1"/>
                </c:ext>
              </c:extLst>
            </c:dLbl>
            <c:dLbl>
              <c:idx val="6"/>
              <c:layout>
                <c:manualLayout>
                  <c:x val="-5.1865601608511662E-2"/>
                  <c:y val="4.651532460188193E-2"/>
                </c:manualLayout>
              </c:layout>
              <c:tx>
                <c:rich>
                  <a:bodyPr wrap="square" lIns="38100" tIns="19050" rIns="38100" bIns="19050" anchor="ctr">
                    <a:noAutofit/>
                  </a:bodyPr>
                  <a:lstStyle/>
                  <a:p>
                    <a:pPr>
                      <a:defRPr/>
                    </a:pPr>
                    <a:r>
                      <a:rPr lang="en-US"/>
                      <a:t>2023</a:t>
                    </a:r>
                  </a:p>
                </c:rich>
              </c:tx>
              <c:spPr>
                <a:noFill/>
                <a:ln>
                  <a:noFill/>
                </a:ln>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18D8-4F0E-A578-0AA98AC73407}"/>
                </c:ext>
                <c:ext xmlns:c15="http://schemas.microsoft.com/office/drawing/2012/chart" uri="{CE6537A1-D6FC-4f65-9D91-7224C49458BB}">
                  <c15:layout>
                    <c:manualLayout>
                      <c:w val="7.3487038810823066E-2"/>
                      <c:h val="4.6968940582349891E-2"/>
                    </c:manualLayout>
                  </c15:layout>
                </c:ext>
              </c:extLst>
            </c:dLbl>
            <c:dLbl>
              <c:idx val="7"/>
              <c:delete val="1"/>
              <c:extLst xmlns:c16r2="http://schemas.microsoft.com/office/drawing/2015/06/chart">
                <c:ext xmlns:c16="http://schemas.microsoft.com/office/drawing/2014/chart" uri="{C3380CC4-5D6E-409C-BE32-E72D297353CC}">
                  <c16:uniqueId val="{00000008-5000-4482-9B1B-463B76C5DDB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9-5000-4482-9B1B-463B76C5DDB9}"/>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A-5000-4482-9B1B-463B76C5DDB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B-5000-4482-9B1B-463B76C5DDB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C-5000-4482-9B1B-463B76C5DDB9}"/>
                </c:ext>
                <c:ext xmlns:c15="http://schemas.microsoft.com/office/drawing/2012/chart" uri="{CE6537A1-D6FC-4f65-9D91-7224C49458BB}"/>
              </c:extLst>
            </c:dLbl>
            <c:spPr>
              <a:noFill/>
              <a:ln>
                <a:noFill/>
              </a:ln>
              <a:effectLst/>
            </c:sp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ext>
            </c:extLst>
          </c:dLbls>
          <c:xVal>
            <c:numRef>
              <c:f>'Graf 15'!$B$8:$H$8</c:f>
              <c:numCache>
                <c:formatCode>0.0</c:formatCode>
                <c:ptCount val="7"/>
                <c:pt idx="0">
                  <c:v>6.8036993172934546E-2</c:v>
                </c:pt>
                <c:pt idx="1">
                  <c:v>1.8099246289069448</c:v>
                </c:pt>
                <c:pt idx="2">
                  <c:v>1.6845468169292221</c:v>
                </c:pt>
                <c:pt idx="3">
                  <c:v>-7.1240493644227136</c:v>
                </c:pt>
                <c:pt idx="4">
                  <c:v>-2.9607238172592809</c:v>
                </c:pt>
                <c:pt idx="5">
                  <c:v>-1.3047774123322364</c:v>
                </c:pt>
                <c:pt idx="6">
                  <c:v>-0.46434902840726267</c:v>
                </c:pt>
              </c:numCache>
            </c:numRef>
          </c:xVal>
          <c:yVal>
            <c:numRef>
              <c:f>'Graf 15'!$B$7:$H$7</c:f>
              <c:numCache>
                <c:formatCode>0.0</c:formatCode>
                <c:ptCount val="7"/>
                <c:pt idx="0">
                  <c:v>1.05</c:v>
                </c:pt>
                <c:pt idx="1">
                  <c:v>-0.82953488679738285</c:v>
                </c:pt>
                <c:pt idx="2">
                  <c:v>-0.23476977563083268</c:v>
                </c:pt>
                <c:pt idx="3">
                  <c:v>-2.0486430945890923</c:v>
                </c:pt>
                <c:pt idx="4">
                  <c:v>0.16147476154915408</c:v>
                </c:pt>
                <c:pt idx="5">
                  <c:v>0.51503373582923384</c:v>
                </c:pt>
                <c:pt idx="6">
                  <c:v>0.48007218082006853</c:v>
                </c:pt>
              </c:numCache>
            </c:numRef>
          </c:yVal>
          <c:smooth val="1"/>
          <c:extLst xmlns:c16r2="http://schemas.microsoft.com/office/drawing/2015/06/chart">
            <c:ext xmlns:c16="http://schemas.microsoft.com/office/drawing/2014/chart" uri="{C3380CC4-5D6E-409C-BE32-E72D297353CC}">
              <c16:uniqueId val="{0000000D-5000-4482-9B1B-463B76C5DDB9}"/>
            </c:ext>
            <c:ext xmlns:c15="http://schemas.microsoft.com/office/drawing/2012/chart" uri="{02D57815-91ED-43cb-92C2-25804820EDAC}">
              <c15:datalabelsRange>
                <c15:f>'Graf 15'!$B$3:$G$3</c15:f>
                <c15:dlblRangeCache>
                  <c:ptCount val="6"/>
                  <c:pt idx="0">
                    <c:v>2017</c:v>
                  </c:pt>
                  <c:pt idx="1">
                    <c:v>2018</c:v>
                  </c:pt>
                  <c:pt idx="2">
                    <c:v>2019</c:v>
                  </c:pt>
                  <c:pt idx="3">
                    <c:v>2020</c:v>
                  </c:pt>
                  <c:pt idx="4">
                    <c:v>2021</c:v>
                  </c:pt>
                  <c:pt idx="5">
                    <c:v>2022</c:v>
                  </c:pt>
                </c15:dlblRangeCache>
              </c15:datalabelsRange>
            </c:ext>
          </c:extLst>
        </c:ser>
        <c:dLbls>
          <c:showLegendKey val="0"/>
          <c:showVal val="0"/>
          <c:showCatName val="0"/>
          <c:showSerName val="0"/>
          <c:showPercent val="0"/>
          <c:showBubbleSize val="0"/>
        </c:dLbls>
        <c:axId val="236860600"/>
        <c:axId val="236860992"/>
      </c:scatterChart>
      <c:valAx>
        <c:axId val="236860600"/>
        <c:scaling>
          <c:orientation val="minMax"/>
          <c:min val="-8"/>
        </c:scaling>
        <c:delete val="0"/>
        <c:axPos val="b"/>
        <c:numFmt formatCode="0.0" sourceLinked="1"/>
        <c:majorTickMark val="out"/>
        <c:minorTickMark val="none"/>
        <c:tickLblPos val="nextTo"/>
        <c:spPr>
          <a:ln w="15875" cmpd="sng">
            <a:solidFill>
              <a:schemeClr val="tx1">
                <a:lumMod val="50000"/>
                <a:lumOff val="50000"/>
              </a:schemeClr>
            </a:solidFill>
            <a:prstDash val="solid"/>
          </a:ln>
        </c:spPr>
        <c:txPr>
          <a:bodyPr rot="0" vert="horz"/>
          <a:lstStyle/>
          <a:p>
            <a:pPr>
              <a:defRPr sz="900" b="0" i="0" u="none" strike="noStrike" baseline="0">
                <a:solidFill>
                  <a:schemeClr val="tx1">
                    <a:lumMod val="50000"/>
                    <a:lumOff val="50000"/>
                  </a:schemeClr>
                </a:solidFill>
                <a:latin typeface="Arial Narrow"/>
                <a:ea typeface="Arial Narrow"/>
                <a:cs typeface="Arial Narrow"/>
              </a:defRPr>
            </a:pPr>
            <a:endParaRPr lang="sk-SK"/>
          </a:p>
        </c:txPr>
        <c:crossAx val="236860992"/>
        <c:crossesAt val="0"/>
        <c:crossBetween val="midCat"/>
      </c:valAx>
      <c:valAx>
        <c:axId val="236860992"/>
        <c:scaling>
          <c:orientation val="minMax"/>
          <c:min val="-2.5"/>
        </c:scaling>
        <c:delete val="0"/>
        <c:axPos val="l"/>
        <c:numFmt formatCode="0.0" sourceLinked="0"/>
        <c:majorTickMark val="out"/>
        <c:minorTickMark val="none"/>
        <c:tickLblPos val="nextTo"/>
        <c:spPr>
          <a:ln w="12700">
            <a:solidFill>
              <a:schemeClr val="tx1">
                <a:lumMod val="50000"/>
                <a:lumOff val="50000"/>
              </a:schemeClr>
            </a:solidFill>
            <a:prstDash val="solid"/>
          </a:ln>
        </c:spPr>
        <c:txPr>
          <a:bodyPr rot="0" vert="horz"/>
          <a:lstStyle/>
          <a:p>
            <a:pPr rtl="0">
              <a:defRPr sz="900" b="0" i="0" u="none" strike="noStrike" baseline="0">
                <a:solidFill>
                  <a:schemeClr val="tx1">
                    <a:lumMod val="50000"/>
                    <a:lumOff val="50000"/>
                  </a:schemeClr>
                </a:solidFill>
                <a:latin typeface="Arial Narrow"/>
                <a:ea typeface="Arial Narrow"/>
                <a:cs typeface="Arial Narrow"/>
              </a:defRPr>
            </a:pPr>
            <a:endParaRPr lang="sk-SK"/>
          </a:p>
        </c:txPr>
        <c:crossAx val="236860600"/>
        <c:crosses val="autoZero"/>
        <c:crossBetween val="midCat"/>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sk-SK"/>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269452980713272E-2"/>
          <c:y val="6.4648878691527231E-2"/>
          <c:w val="0.9334611212496331"/>
          <c:h val="0.7387668130268763"/>
        </c:manualLayout>
      </c:layout>
      <c:lineChart>
        <c:grouping val="standard"/>
        <c:varyColors val="0"/>
        <c:ser>
          <c:idx val="0"/>
          <c:order val="0"/>
          <c:tx>
            <c:strRef>
              <c:f>'Prognoza hrubého dlhu'!$AD$23</c:f>
              <c:strCache>
                <c:ptCount val="1"/>
                <c:pt idx="0">
                  <c:v>Hrubý dlh VS - prognóza</c:v>
                </c:pt>
              </c:strCache>
            </c:strRef>
          </c:tx>
          <c:spPr>
            <a:ln w="31750">
              <a:solidFill>
                <a:schemeClr val="tx1"/>
              </a:solidFill>
              <a:prstDash val="solid"/>
            </a:ln>
          </c:spPr>
          <c:marker>
            <c:symbol val="circle"/>
            <c:size val="6"/>
            <c:spPr>
              <a:solidFill>
                <a:schemeClr val="tx1"/>
              </a:solidFill>
              <a:ln>
                <a:noFill/>
              </a:ln>
            </c:spPr>
          </c:marker>
          <c:dLbls>
            <c:dLbl>
              <c:idx val="18"/>
              <c:delete val="1"/>
              <c:extLst xmlns:c16r2="http://schemas.microsoft.com/office/drawing/2015/06/chart">
                <c:ext xmlns:c16="http://schemas.microsoft.com/office/drawing/2014/chart" uri="{C3380CC4-5D6E-409C-BE32-E72D297353CC}">
                  <c16:uniqueId val="{00000000-DD00-467C-890B-74E363C5A032}"/>
                </c:ex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dlhu'!$AE$23:$BA$23</c:f>
              <c:numCache>
                <c:formatCode>General</c:formatCode>
                <c:ptCount val="23"/>
                <c:pt idx="18" formatCode="0.0">
                  <c:v>47.996600019112954</c:v>
                </c:pt>
                <c:pt idx="19" formatCode="0.0">
                  <c:v>61.237731762813887</c:v>
                </c:pt>
                <c:pt idx="20" formatCode="0.0">
                  <c:v>61.880446023645128</c:v>
                </c:pt>
                <c:pt idx="21" formatCode="0.0">
                  <c:v>61.445255726036351</c:v>
                </c:pt>
                <c:pt idx="22" formatCode="0.0">
                  <c:v>60.088223839173196</c:v>
                </c:pt>
              </c:numCache>
            </c:numRef>
          </c:val>
          <c:smooth val="0"/>
          <c:extLst xmlns:c16r2="http://schemas.microsoft.com/office/drawing/2015/06/chart">
            <c:ext xmlns:c16="http://schemas.microsoft.com/office/drawing/2014/chart" uri="{C3380CC4-5D6E-409C-BE32-E72D297353CC}">
              <c16:uniqueId val="{00000000-FE00-499E-BB05-62ECB20CEBE0}"/>
            </c:ext>
          </c:extLst>
        </c:ser>
        <c:ser>
          <c:idx val="2"/>
          <c:order val="1"/>
          <c:tx>
            <c:strRef>
              <c:f>'Prognoza hrubého dlhu'!$AD$24</c:f>
              <c:strCache>
                <c:ptCount val="1"/>
                <c:pt idx="0">
                  <c:v>Hrubý dlh VS - scenár 1</c:v>
                </c:pt>
              </c:strCache>
            </c:strRef>
          </c:tx>
          <c:spPr>
            <a:ln w="19050">
              <a:solidFill>
                <a:schemeClr val="accent1"/>
              </a:solidFill>
              <a:prstDash val="solid"/>
            </a:ln>
          </c:spPr>
          <c:marker>
            <c:symbol val="none"/>
          </c:marker>
          <c:dLbls>
            <c:dLbl>
              <c:idx val="22"/>
              <c:layout>
                <c:manualLayout>
                  <c:x val="-3.2414910858995297E-2"/>
                  <c:y val="-2.9075804776739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DB-4146-9E5F-EC6F15810F9E}"/>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dlhu'!$AE$24:$BA$24</c:f>
              <c:numCache>
                <c:formatCode>General</c:formatCode>
                <c:ptCount val="23"/>
                <c:pt idx="18" formatCode="0.0">
                  <c:v>47.996600019112954</c:v>
                </c:pt>
                <c:pt idx="19" formatCode="0.0">
                  <c:v>66.655285545732852</c:v>
                </c:pt>
                <c:pt idx="20" formatCode="0.0">
                  <c:v>66.432651245746158</c:v>
                </c:pt>
                <c:pt idx="21" formatCode="0.0">
                  <c:v>66.79977402638464</c:v>
                </c:pt>
                <c:pt idx="22" formatCode="0.0">
                  <c:v>66.333693068986648</c:v>
                </c:pt>
              </c:numCache>
            </c:numRef>
          </c:val>
          <c:smooth val="0"/>
          <c:extLst xmlns:c16r2="http://schemas.microsoft.com/office/drawing/2015/06/chart">
            <c:ext xmlns:c16="http://schemas.microsoft.com/office/drawing/2014/chart" uri="{C3380CC4-5D6E-409C-BE32-E72D297353CC}">
              <c16:uniqueId val="{00000001-FE00-499E-BB05-62ECB20CEBE0}"/>
            </c:ext>
          </c:extLst>
        </c:ser>
        <c:ser>
          <c:idx val="3"/>
          <c:order val="2"/>
          <c:tx>
            <c:strRef>
              <c:f>'Prognoza hrubého dlhu'!$AD$25</c:f>
              <c:strCache>
                <c:ptCount val="1"/>
                <c:pt idx="0">
                  <c:v>Hrubý dlh VS - scenár 2</c:v>
                </c:pt>
              </c:strCache>
            </c:strRef>
          </c:tx>
          <c:spPr>
            <a:ln w="19050">
              <a:solidFill>
                <a:schemeClr val="bg1">
                  <a:lumMod val="50000"/>
                </a:schemeClr>
              </a:solidFill>
              <a:prstDash val="solid"/>
            </a:ln>
          </c:spPr>
          <c:marker>
            <c:symbol val="none"/>
          </c:marker>
          <c:dLbls>
            <c:dLbl>
              <c:idx val="22"/>
              <c:layout>
                <c:manualLayout>
                  <c:x val="-3.2414910858995297E-2"/>
                  <c:y val="-3.3229491173416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DB-4146-9E5F-EC6F15810F9E}"/>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dlhu'!$AE$25:$BA$25</c:f>
              <c:numCache>
                <c:formatCode>General</c:formatCode>
                <c:ptCount val="23"/>
                <c:pt idx="18" formatCode="0.0">
                  <c:v>47.996600019112954</c:v>
                </c:pt>
                <c:pt idx="19" formatCode="0.0">
                  <c:v>65.086572021177318</c:v>
                </c:pt>
                <c:pt idx="20" formatCode="0.0">
                  <c:v>74.068900551208998</c:v>
                </c:pt>
                <c:pt idx="21" formatCode="0.0">
                  <c:v>76.635848016336865</c:v>
                </c:pt>
                <c:pt idx="22" formatCode="0.0">
                  <c:v>76.74663918687277</c:v>
                </c:pt>
              </c:numCache>
            </c:numRef>
          </c:val>
          <c:smooth val="0"/>
          <c:extLst xmlns:c16r2="http://schemas.microsoft.com/office/drawing/2015/06/chart">
            <c:ext xmlns:c16="http://schemas.microsoft.com/office/drawing/2014/chart" uri="{C3380CC4-5D6E-409C-BE32-E72D297353CC}">
              <c16:uniqueId val="{00000002-FE00-499E-BB05-62ECB20CEBE0}"/>
            </c:ext>
          </c:extLst>
        </c:ser>
        <c:ser>
          <c:idx val="1"/>
          <c:order val="3"/>
          <c:tx>
            <c:strRef>
              <c:f>'Prognoza hrubého dlhu'!$AD$22</c:f>
              <c:strCache>
                <c:ptCount val="1"/>
                <c:pt idx="0">
                  <c:v>Hrubý dlh VS - skutočnosť</c:v>
                </c:pt>
              </c:strCache>
            </c:strRef>
          </c:tx>
          <c:spPr>
            <a:ln w="25400">
              <a:solidFill>
                <a:schemeClr val="bg1">
                  <a:lumMod val="75000"/>
                </a:schemeClr>
              </a:solidFill>
            </a:ln>
          </c:spPr>
          <c:marker>
            <c:symbol val="circle"/>
            <c:size val="5"/>
            <c:spPr>
              <a:solidFill>
                <a:schemeClr val="bg1">
                  <a:lumMod val="65000"/>
                </a:schemeClr>
              </a:solidFill>
              <a:ln>
                <a:noFill/>
              </a:ln>
            </c:spPr>
          </c:marker>
          <c:dLbls>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dlhu'!$AE$22:$BA$22</c:f>
              <c:numCache>
                <c:formatCode>0.0</c:formatCode>
                <c:ptCount val="23"/>
                <c:pt idx="0">
                  <c:v>51.112556745818068</c:v>
                </c:pt>
                <c:pt idx="1">
                  <c:v>45.297418931408131</c:v>
                </c:pt>
                <c:pt idx="2">
                  <c:v>43.241844440836779</c:v>
                </c:pt>
                <c:pt idx="3">
                  <c:v>41.715028660944768</c:v>
                </c:pt>
                <c:pt idx="4">
                  <c:v>34.731839914000133</c:v>
                </c:pt>
                <c:pt idx="5">
                  <c:v>31.426991067028553</c:v>
                </c:pt>
                <c:pt idx="6">
                  <c:v>30.345444617948708</c:v>
                </c:pt>
                <c:pt idx="7">
                  <c:v>28.598844266178187</c:v>
                </c:pt>
                <c:pt idx="8">
                  <c:v>36.360888192511553</c:v>
                </c:pt>
                <c:pt idx="9">
                  <c:v>40.9885226908319</c:v>
                </c:pt>
                <c:pt idx="10">
                  <c:v>43.464110699991011</c:v>
                </c:pt>
                <c:pt idx="11">
                  <c:v>51.753704373188413</c:v>
                </c:pt>
                <c:pt idx="12">
                  <c:v>54.707262183116647</c:v>
                </c:pt>
                <c:pt idx="13">
                  <c:v>53.507234906654269</c:v>
                </c:pt>
                <c:pt idx="14">
                  <c:v>51.887079996466312</c:v>
                </c:pt>
                <c:pt idx="15">
                  <c:v>52.024485830349597</c:v>
                </c:pt>
                <c:pt idx="16">
                  <c:v>51.314525402314004</c:v>
                </c:pt>
                <c:pt idx="17">
                  <c:v>49.399716081953251</c:v>
                </c:pt>
                <c:pt idx="18">
                  <c:v>47.996600019112954</c:v>
                </c:pt>
              </c:numCache>
            </c:numRef>
          </c:val>
          <c:smooth val="0"/>
          <c:extLst xmlns:c16r2="http://schemas.microsoft.com/office/drawing/2015/06/chart">
            <c:ext xmlns:c16="http://schemas.microsoft.com/office/drawing/2014/chart" uri="{C3380CC4-5D6E-409C-BE32-E72D297353CC}">
              <c16:uniqueId val="{00000003-2AA4-4255-A189-000C806B559A}"/>
            </c:ext>
          </c:extLst>
        </c:ser>
        <c:ser>
          <c:idx val="4"/>
          <c:order val="4"/>
          <c:tx>
            <c:strRef>
              <c:f>'Prognoza hrubého dlhu'!$AD$27</c:f>
              <c:strCache>
                <c:ptCount val="1"/>
                <c:pt idx="0">
                  <c:v>Sankčné pásma "dlhovej brzdy"</c:v>
                </c:pt>
              </c:strCache>
            </c:strRef>
          </c:tx>
          <c:spPr>
            <a:ln w="19050">
              <a:solidFill>
                <a:schemeClr val="accent6">
                  <a:lumMod val="50000"/>
                </a:schemeClr>
              </a:solidFill>
              <a:prstDash val="sysDot"/>
            </a:ln>
          </c:spPr>
          <c:marker>
            <c:symbol val="none"/>
          </c:marker>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dlhu'!$AE$26:$BA$26</c:f>
              <c:numCache>
                <c:formatCode>General</c:formatCode>
                <c:ptCount val="23"/>
                <c:pt idx="11">
                  <c:v>50</c:v>
                </c:pt>
                <c:pt idx="12">
                  <c:v>50</c:v>
                </c:pt>
                <c:pt idx="13">
                  <c:v>50</c:v>
                </c:pt>
                <c:pt idx="14">
                  <c:v>50</c:v>
                </c:pt>
                <c:pt idx="15">
                  <c:v>50</c:v>
                </c:pt>
                <c:pt idx="16">
                  <c:v>50</c:v>
                </c:pt>
                <c:pt idx="17">
                  <c:v>49</c:v>
                </c:pt>
                <c:pt idx="18">
                  <c:v>48</c:v>
                </c:pt>
                <c:pt idx="19">
                  <c:v>47</c:v>
                </c:pt>
                <c:pt idx="20">
                  <c:v>46</c:v>
                </c:pt>
                <c:pt idx="21">
                  <c:v>45</c:v>
                </c:pt>
                <c:pt idx="22">
                  <c:v>44</c:v>
                </c:pt>
              </c:numCache>
            </c:numRef>
          </c:val>
          <c:smooth val="0"/>
          <c:extLst xmlns:c16r2="http://schemas.microsoft.com/office/drawing/2015/06/chart">
            <c:ext xmlns:c16="http://schemas.microsoft.com/office/drawing/2014/chart" uri="{C3380CC4-5D6E-409C-BE32-E72D297353CC}">
              <c16:uniqueId val="{00000003-FE00-499E-BB05-62ECB20CEBE0}"/>
            </c:ext>
          </c:extLst>
        </c:ser>
        <c:ser>
          <c:idx val="5"/>
          <c:order val="5"/>
          <c:tx>
            <c:strRef>
              <c:f>'Prognoza hrubého dlhu'!$AD$27</c:f>
              <c:strCache>
                <c:ptCount val="1"/>
                <c:pt idx="0">
                  <c:v>Sankčné pásma "dlhovej brzdy"</c:v>
                </c:pt>
              </c:strCache>
            </c:strRef>
          </c:tx>
          <c:spPr>
            <a:ln w="19050">
              <a:solidFill>
                <a:schemeClr val="accent6">
                  <a:lumMod val="50000"/>
                </a:schemeClr>
              </a:solidFill>
              <a:prstDash val="sysDot"/>
            </a:ln>
          </c:spPr>
          <c:marker>
            <c:symbol val="none"/>
          </c:marker>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dlhu'!$AE$27:$BA$27</c:f>
              <c:numCache>
                <c:formatCode>General</c:formatCode>
                <c:ptCount val="23"/>
                <c:pt idx="11">
                  <c:v>53</c:v>
                </c:pt>
                <c:pt idx="12">
                  <c:v>53</c:v>
                </c:pt>
                <c:pt idx="13">
                  <c:v>53</c:v>
                </c:pt>
                <c:pt idx="14">
                  <c:v>53</c:v>
                </c:pt>
                <c:pt idx="15">
                  <c:v>53</c:v>
                </c:pt>
                <c:pt idx="16">
                  <c:v>53</c:v>
                </c:pt>
                <c:pt idx="17">
                  <c:v>52</c:v>
                </c:pt>
                <c:pt idx="18">
                  <c:v>51</c:v>
                </c:pt>
                <c:pt idx="19">
                  <c:v>50</c:v>
                </c:pt>
                <c:pt idx="20">
                  <c:v>49</c:v>
                </c:pt>
                <c:pt idx="21">
                  <c:v>48</c:v>
                </c:pt>
                <c:pt idx="22">
                  <c:v>47</c:v>
                </c:pt>
              </c:numCache>
            </c:numRef>
          </c:val>
          <c:smooth val="0"/>
          <c:extLst xmlns:c16r2="http://schemas.microsoft.com/office/drawing/2015/06/chart">
            <c:ext xmlns:c16="http://schemas.microsoft.com/office/drawing/2014/chart" uri="{C3380CC4-5D6E-409C-BE32-E72D297353CC}">
              <c16:uniqueId val="{00000004-FE00-499E-BB05-62ECB20CEBE0}"/>
            </c:ext>
          </c:extLst>
        </c:ser>
        <c:ser>
          <c:idx val="6"/>
          <c:order val="6"/>
          <c:tx>
            <c:strRef>
              <c:f>'Prognoza hrubého dlhu'!$AD$28</c:f>
              <c:strCache>
                <c:ptCount val="1"/>
                <c:pt idx="0">
                  <c:v>Sankčné pásma</c:v>
                </c:pt>
              </c:strCache>
            </c:strRef>
          </c:tx>
          <c:spPr>
            <a:ln w="19050">
              <a:solidFill>
                <a:schemeClr val="accent6">
                  <a:lumMod val="50000"/>
                </a:schemeClr>
              </a:solidFill>
              <a:prstDash val="sysDot"/>
            </a:ln>
          </c:spPr>
          <c:marker>
            <c:symbol val="none"/>
          </c:marker>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dlhu'!$AE$28:$BA$28</c:f>
              <c:numCache>
                <c:formatCode>General</c:formatCode>
                <c:ptCount val="23"/>
                <c:pt idx="11">
                  <c:v>55</c:v>
                </c:pt>
                <c:pt idx="12">
                  <c:v>55</c:v>
                </c:pt>
                <c:pt idx="13">
                  <c:v>55</c:v>
                </c:pt>
                <c:pt idx="14">
                  <c:v>55</c:v>
                </c:pt>
                <c:pt idx="15">
                  <c:v>55</c:v>
                </c:pt>
                <c:pt idx="16">
                  <c:v>55</c:v>
                </c:pt>
                <c:pt idx="17">
                  <c:v>54</c:v>
                </c:pt>
                <c:pt idx="18">
                  <c:v>53</c:v>
                </c:pt>
                <c:pt idx="19">
                  <c:v>52</c:v>
                </c:pt>
                <c:pt idx="20">
                  <c:v>51</c:v>
                </c:pt>
                <c:pt idx="21">
                  <c:v>50</c:v>
                </c:pt>
                <c:pt idx="22">
                  <c:v>49</c:v>
                </c:pt>
              </c:numCache>
            </c:numRef>
          </c:val>
          <c:smooth val="0"/>
          <c:extLst xmlns:c16r2="http://schemas.microsoft.com/office/drawing/2015/06/chart">
            <c:ext xmlns:c16="http://schemas.microsoft.com/office/drawing/2014/chart" uri="{C3380CC4-5D6E-409C-BE32-E72D297353CC}">
              <c16:uniqueId val="{00000005-FE00-499E-BB05-62ECB20CEBE0}"/>
            </c:ext>
          </c:extLst>
        </c:ser>
        <c:ser>
          <c:idx val="7"/>
          <c:order val="7"/>
          <c:tx>
            <c:strRef>
              <c:f>'Prognoza hrubého dlhu'!$AD$29</c:f>
              <c:strCache>
                <c:ptCount val="1"/>
                <c:pt idx="0">
                  <c:v>Sankčné pásma</c:v>
                </c:pt>
              </c:strCache>
            </c:strRef>
          </c:tx>
          <c:spPr>
            <a:ln w="22225">
              <a:solidFill>
                <a:schemeClr val="accent6">
                  <a:lumMod val="50000"/>
                </a:schemeClr>
              </a:solidFill>
              <a:prstDash val="sysDot"/>
            </a:ln>
          </c:spPr>
          <c:marker>
            <c:symbol val="none"/>
          </c:marker>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dlhu'!$AE$29:$BA$29</c:f>
              <c:numCache>
                <c:formatCode>General</c:formatCode>
                <c:ptCount val="23"/>
                <c:pt idx="11">
                  <c:v>57</c:v>
                </c:pt>
                <c:pt idx="12">
                  <c:v>57</c:v>
                </c:pt>
                <c:pt idx="13">
                  <c:v>57</c:v>
                </c:pt>
                <c:pt idx="14">
                  <c:v>57</c:v>
                </c:pt>
                <c:pt idx="15">
                  <c:v>57</c:v>
                </c:pt>
                <c:pt idx="16">
                  <c:v>57</c:v>
                </c:pt>
                <c:pt idx="17">
                  <c:v>56</c:v>
                </c:pt>
                <c:pt idx="18">
                  <c:v>55</c:v>
                </c:pt>
                <c:pt idx="19">
                  <c:v>54</c:v>
                </c:pt>
                <c:pt idx="20">
                  <c:v>53</c:v>
                </c:pt>
                <c:pt idx="21">
                  <c:v>52</c:v>
                </c:pt>
                <c:pt idx="22">
                  <c:v>51</c:v>
                </c:pt>
              </c:numCache>
            </c:numRef>
          </c:val>
          <c:smooth val="0"/>
          <c:extLst xmlns:c16r2="http://schemas.microsoft.com/office/drawing/2015/06/chart">
            <c:ext xmlns:c16="http://schemas.microsoft.com/office/drawing/2014/chart" uri="{C3380CC4-5D6E-409C-BE32-E72D297353CC}">
              <c16:uniqueId val="{00000006-FE00-499E-BB05-62ECB20CEBE0}"/>
            </c:ext>
          </c:extLst>
        </c:ser>
        <c:ser>
          <c:idx val="8"/>
          <c:order val="8"/>
          <c:tx>
            <c:strRef>
              <c:f>'Prognoza hrubého dlhu'!$AD$30</c:f>
              <c:strCache>
                <c:ptCount val="1"/>
                <c:pt idx="0">
                  <c:v>Sankčné pásma</c:v>
                </c:pt>
              </c:strCache>
            </c:strRef>
          </c:tx>
          <c:spPr>
            <a:ln w="19050">
              <a:solidFill>
                <a:schemeClr val="accent6">
                  <a:lumMod val="50000"/>
                </a:schemeClr>
              </a:solidFill>
              <a:prstDash val="sysDot"/>
            </a:ln>
          </c:spPr>
          <c:marker>
            <c:symbol val="none"/>
          </c:marker>
          <c:cat>
            <c:numRef>
              <c:f>'Prognoza hrubého dlhu'!$AE$21:$BA$21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'Prognoza hrubého dlhu'!$AE$30:$BA$30</c:f>
              <c:numCache>
                <c:formatCode>General</c:formatCode>
                <c:ptCount val="23"/>
                <c:pt idx="11">
                  <c:v>60</c:v>
                </c:pt>
                <c:pt idx="12">
                  <c:v>60</c:v>
                </c:pt>
                <c:pt idx="13">
                  <c:v>60</c:v>
                </c:pt>
                <c:pt idx="14">
                  <c:v>60</c:v>
                </c:pt>
                <c:pt idx="15">
                  <c:v>60</c:v>
                </c:pt>
                <c:pt idx="16">
                  <c:v>60</c:v>
                </c:pt>
                <c:pt idx="17">
                  <c:v>59</c:v>
                </c:pt>
                <c:pt idx="18">
                  <c:v>58</c:v>
                </c:pt>
                <c:pt idx="19">
                  <c:v>57</c:v>
                </c:pt>
                <c:pt idx="20">
                  <c:v>56</c:v>
                </c:pt>
                <c:pt idx="21">
                  <c:v>55</c:v>
                </c:pt>
                <c:pt idx="22">
                  <c:v>54</c:v>
                </c:pt>
              </c:numCache>
            </c:numRef>
          </c:val>
          <c:smooth val="0"/>
          <c:extLst xmlns:c16r2="http://schemas.microsoft.com/office/drawing/2015/06/chart">
            <c:ext xmlns:c16="http://schemas.microsoft.com/office/drawing/2014/chart" uri="{C3380CC4-5D6E-409C-BE32-E72D297353CC}">
              <c16:uniqueId val="{00000007-FE00-499E-BB05-62ECB20CEBE0}"/>
            </c:ext>
          </c:extLst>
        </c:ser>
        <c:dLbls>
          <c:showLegendKey val="0"/>
          <c:showVal val="0"/>
          <c:showCatName val="0"/>
          <c:showSerName val="0"/>
          <c:showPercent val="0"/>
          <c:showBubbleSize val="0"/>
        </c:dLbls>
        <c:marker val="1"/>
        <c:smooth val="0"/>
        <c:axId val="236861384"/>
        <c:axId val="236861776"/>
        <c:extLst xmlns:c16r2="http://schemas.microsoft.com/office/drawing/2015/06/chart"/>
      </c:lineChart>
      <c:catAx>
        <c:axId val="236861384"/>
        <c:scaling>
          <c:orientation val="minMax"/>
        </c:scaling>
        <c:delete val="0"/>
        <c:axPos val="b"/>
        <c:numFmt formatCode="General" sourceLinked="1"/>
        <c:majorTickMark val="out"/>
        <c:minorTickMark val="none"/>
        <c:tickLblPos val="nextTo"/>
        <c:txPr>
          <a:bodyPr rot="0" vert="horz"/>
          <a:lstStyle/>
          <a:p>
            <a:pPr>
              <a:defRPr/>
            </a:pPr>
            <a:endParaRPr lang="sk-SK"/>
          </a:p>
        </c:txPr>
        <c:crossAx val="236861776"/>
        <c:crosses val="autoZero"/>
        <c:auto val="1"/>
        <c:lblAlgn val="ctr"/>
        <c:lblOffset val="100"/>
        <c:noMultiLvlLbl val="0"/>
      </c:catAx>
      <c:valAx>
        <c:axId val="236861776"/>
        <c:scaling>
          <c:orientation val="minMax"/>
          <c:max val="90"/>
        </c:scaling>
        <c:delete val="0"/>
        <c:axPos val="r"/>
        <c:majorGridlines>
          <c:spPr>
            <a:ln>
              <a:solidFill>
                <a:schemeClr val="bg1">
                  <a:lumMod val="95000"/>
                </a:schemeClr>
              </a:solidFill>
              <a:prstDash val="sysDot"/>
            </a:ln>
          </c:spPr>
        </c:majorGridlines>
        <c:numFmt formatCode="0" sourceLinked="0"/>
        <c:majorTickMark val="out"/>
        <c:minorTickMark val="none"/>
        <c:tickLblPos val="nextTo"/>
        <c:crossAx val="236861384"/>
        <c:crosses val="max"/>
        <c:crossBetween val="between"/>
      </c:valAx>
      <c:spPr>
        <a:noFill/>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5.2788221723573548E-3"/>
          <c:y val="0.87646773125321953"/>
          <c:w val="0.98536930588176186"/>
          <c:h val="0.11000793125158419"/>
        </c:manualLayout>
      </c:layout>
      <c:overlay val="0"/>
    </c:legend>
    <c:plotVisOnly val="1"/>
    <c:dispBlanksAs val="gap"/>
    <c:showDLblsOverMax val="0"/>
  </c:chart>
  <c:spPr>
    <a:noFill/>
    <a:ln>
      <a:noFill/>
    </a:ln>
  </c:spPr>
  <c:txPr>
    <a:bodyPr/>
    <a:lstStyle/>
    <a:p>
      <a:pPr>
        <a:defRPr sz="800">
          <a:latin typeface="Arial Narrow" pitchFamily="34" charset="0"/>
        </a:defRPr>
      </a:pPr>
      <a:endParaRPr lang="sk-SK"/>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60307608128793E-2"/>
          <c:y val="0.13067704078821604"/>
          <c:w val="0.90891037643095918"/>
          <c:h val="0.69310646330449954"/>
        </c:manualLayout>
      </c:layout>
      <c:barChart>
        <c:barDir val="col"/>
        <c:grouping val="stacked"/>
        <c:varyColors val="0"/>
        <c:ser>
          <c:idx val="2"/>
          <c:order val="1"/>
          <c:tx>
            <c:strRef>
              <c:f>'Súhrnná tabuľka'!$A$37</c:f>
              <c:strCache>
                <c:ptCount val="1"/>
                <c:pt idx="0">
                  <c:v>Primárne saldo</c:v>
                </c:pt>
              </c:strCache>
            </c:strRef>
          </c:tx>
          <c:spPr>
            <a:solidFill>
              <a:srgbClr val="D3BEDE">
                <a:lumMod val="75000"/>
              </a:srgbClr>
            </a:solidFill>
            <a:ln w="12700">
              <a:noFill/>
              <a:prstDash val="solid"/>
            </a:ln>
          </c:spPr>
          <c:invertIfNegative val="0"/>
          <c:cat>
            <c:strRef>
              <c:f>'Súhrnná tabuľka'!$W$1:$AJ$1</c:f>
              <c:strCache>
                <c:ptCount val="6"/>
                <c:pt idx="0">
                  <c:v>2018</c:v>
                </c:pt>
                <c:pt idx="1">
                  <c:v>2019</c:v>
                </c:pt>
                <c:pt idx="2">
                  <c:v>2020</c:v>
                </c:pt>
                <c:pt idx="3">
                  <c:v>2021</c:v>
                </c:pt>
                <c:pt idx="4">
                  <c:v>2022</c:v>
                </c:pt>
                <c:pt idx="5">
                  <c:v>2023</c:v>
                </c:pt>
              </c:strCache>
            </c:strRef>
          </c:cat>
          <c:val>
            <c:numRef>
              <c:f>'Súhrnná tabuľka'!$W$37:$AJ$37</c:f>
              <c:numCache>
                <c:formatCode>#\ ##0.0</c:formatCode>
                <c:ptCount val="6"/>
                <c:pt idx="0">
                  <c:v>-0.29714683952170334</c:v>
                </c:pt>
                <c:pt idx="1">
                  <c:v>6.6507746052645547E-2</c:v>
                </c:pt>
                <c:pt idx="2">
                  <c:v>7.2149429246854524</c:v>
                </c:pt>
                <c:pt idx="3">
                  <c:v>3.7908708128113036</c:v>
                </c:pt>
                <c:pt idx="4">
                  <c:v>2.6752150731233484</c:v>
                </c:pt>
                <c:pt idx="5">
                  <c:v>1.8889006456270538</c:v>
                </c:pt>
              </c:numCache>
            </c:numRef>
          </c:val>
          <c:extLst xmlns:c16r2="http://schemas.microsoft.com/office/drawing/2015/06/chart">
            <c:ext xmlns:c16="http://schemas.microsoft.com/office/drawing/2014/chart" uri="{C3380CC4-5D6E-409C-BE32-E72D297353CC}">
              <c16:uniqueId val="{00000000-BFDC-48D8-915B-B0C3705EC2CF}"/>
            </c:ext>
          </c:extLst>
        </c:ser>
        <c:ser>
          <c:idx val="4"/>
          <c:order val="2"/>
          <c:tx>
            <c:strRef>
              <c:f>'Súhrnná tabuľka'!$A$39</c:f>
              <c:strCache>
                <c:ptCount val="1"/>
                <c:pt idx="0">
                  <c:v>Úroky</c:v>
                </c:pt>
              </c:strCache>
            </c:strRef>
          </c:tx>
          <c:spPr>
            <a:solidFill>
              <a:srgbClr val="D3BEDE"/>
            </a:solidFill>
            <a:ln w="12700">
              <a:noFill/>
              <a:prstDash val="solid"/>
            </a:ln>
          </c:spPr>
          <c:invertIfNegative val="0"/>
          <c:cat>
            <c:strRef>
              <c:f>'Súhrnná tabuľka'!$W$1:$AJ$1</c:f>
              <c:strCache>
                <c:ptCount val="6"/>
                <c:pt idx="0">
                  <c:v>2018</c:v>
                </c:pt>
                <c:pt idx="1">
                  <c:v>2019</c:v>
                </c:pt>
                <c:pt idx="2">
                  <c:v>2020</c:v>
                </c:pt>
                <c:pt idx="3">
                  <c:v>2021</c:v>
                </c:pt>
                <c:pt idx="4">
                  <c:v>2022</c:v>
                </c:pt>
                <c:pt idx="5">
                  <c:v>2023</c:v>
                </c:pt>
              </c:strCache>
            </c:strRef>
          </c:cat>
          <c:val>
            <c:numRef>
              <c:f>'Súhrnná tabuľka'!$W$39:$AJ$39</c:f>
              <c:numCache>
                <c:formatCode>#\ ##0.0</c:formatCode>
                <c:ptCount val="6"/>
                <c:pt idx="0">
                  <c:v>1.3455395333984441</c:v>
                </c:pt>
                <c:pt idx="1">
                  <c:v>1.2286386272656806</c:v>
                </c:pt>
                <c:pt idx="2">
                  <c:v>1.1835863235758306</c:v>
                </c:pt>
                <c:pt idx="3">
                  <c:v>1.0852754813985876</c:v>
                </c:pt>
                <c:pt idx="4">
                  <c:v>1.0494962946729909</c:v>
                </c:pt>
                <c:pt idx="5">
                  <c:v>1.005193485855949</c:v>
                </c:pt>
              </c:numCache>
            </c:numRef>
          </c:val>
          <c:extLst xmlns:c16r2="http://schemas.microsoft.com/office/drawing/2015/06/chart">
            <c:ext xmlns:c16="http://schemas.microsoft.com/office/drawing/2014/chart" uri="{C3380CC4-5D6E-409C-BE32-E72D297353CC}">
              <c16:uniqueId val="{00000001-BFDC-48D8-915B-B0C3705EC2CF}"/>
            </c:ext>
          </c:extLst>
        </c:ser>
        <c:ser>
          <c:idx val="6"/>
          <c:order val="4"/>
          <c:tx>
            <c:strRef>
              <c:f>'Súhrnná tabuľka'!$A$41</c:f>
              <c:strCache>
                <c:ptCount val="1"/>
                <c:pt idx="0">
                  <c:v>Zosúladenie deficitu a dlhu</c:v>
                </c:pt>
              </c:strCache>
            </c:strRef>
          </c:tx>
          <c:spPr>
            <a:solidFill>
              <a:sysClr val="window" lastClr="FFFFFF">
                <a:lumMod val="75000"/>
              </a:sysClr>
            </a:solidFill>
            <a:ln w="12700">
              <a:noFill/>
              <a:prstDash val="solid"/>
            </a:ln>
          </c:spPr>
          <c:invertIfNegative val="0"/>
          <c:cat>
            <c:strRef>
              <c:f>'Súhrnná tabuľka'!$W$1:$AJ$1</c:f>
              <c:strCache>
                <c:ptCount val="6"/>
                <c:pt idx="0">
                  <c:v>2018</c:v>
                </c:pt>
                <c:pt idx="1">
                  <c:v>2019</c:v>
                </c:pt>
                <c:pt idx="2">
                  <c:v>2020</c:v>
                </c:pt>
                <c:pt idx="3">
                  <c:v>2021</c:v>
                </c:pt>
                <c:pt idx="4">
                  <c:v>2022</c:v>
                </c:pt>
                <c:pt idx="5">
                  <c:v>2023</c:v>
                </c:pt>
              </c:strCache>
            </c:strRef>
          </c:cat>
          <c:val>
            <c:numRef>
              <c:f>'Súhrnná tabuľka'!$W$41:$AJ$41</c:f>
              <c:numCache>
                <c:formatCode>#\ ##0.0</c:formatCode>
                <c:ptCount val="6"/>
                <c:pt idx="0">
                  <c:v>1.3120679792989698E-2</c:v>
                </c:pt>
                <c:pt idx="1">
                  <c:v>-0.36088641600390425</c:v>
                </c:pt>
                <c:pt idx="2">
                  <c:v>2.0477292152215214</c:v>
                </c:pt>
                <c:pt idx="3">
                  <c:v>-0.24701841804230007</c:v>
                </c:pt>
                <c:pt idx="4">
                  <c:v>-0.90626935333884306</c:v>
                </c:pt>
                <c:pt idx="5">
                  <c:v>-1.160416159282204</c:v>
                </c:pt>
              </c:numCache>
            </c:numRef>
          </c:val>
          <c:extLst xmlns:c16r2="http://schemas.microsoft.com/office/drawing/2015/06/chart">
            <c:ext xmlns:c16="http://schemas.microsoft.com/office/drawing/2014/chart" uri="{C3380CC4-5D6E-409C-BE32-E72D297353CC}">
              <c16:uniqueId val="{00000002-BFDC-48D8-915B-B0C3705EC2CF}"/>
            </c:ext>
          </c:extLst>
        </c:ser>
        <c:ser>
          <c:idx val="1"/>
          <c:order val="5"/>
          <c:tx>
            <c:strRef>
              <c:f>'Súhrnná tabuľka'!$A$42</c:f>
              <c:strCache>
                <c:ptCount val="1"/>
                <c:pt idx="0">
                  <c:v>Rast reálneho HDP</c:v>
                </c:pt>
              </c:strCache>
            </c:strRef>
          </c:tx>
          <c:spPr>
            <a:solidFill>
              <a:srgbClr val="2C9ADC"/>
            </a:solidFill>
          </c:spPr>
          <c:invertIfNegative val="0"/>
          <c:cat>
            <c:strRef>
              <c:f>'Súhrnná tabuľka'!$W$1:$AJ$1</c:f>
              <c:strCache>
                <c:ptCount val="6"/>
                <c:pt idx="0">
                  <c:v>2018</c:v>
                </c:pt>
                <c:pt idx="1">
                  <c:v>2019</c:v>
                </c:pt>
                <c:pt idx="2">
                  <c:v>2020</c:v>
                </c:pt>
                <c:pt idx="3">
                  <c:v>2021</c:v>
                </c:pt>
                <c:pt idx="4">
                  <c:v>2022</c:v>
                </c:pt>
                <c:pt idx="5">
                  <c:v>2023</c:v>
                </c:pt>
              </c:strCache>
            </c:strRef>
          </c:cat>
          <c:val>
            <c:numRef>
              <c:f>'Súhrnná tabuľka'!$W$42:$AJ$42</c:f>
              <c:numCache>
                <c:formatCode>#\ ##0.0</c:formatCode>
                <c:ptCount val="6"/>
                <c:pt idx="0">
                  <c:v>-2.028627715300046</c:v>
                </c:pt>
                <c:pt idx="1">
                  <c:v>-1.1276561819480786</c:v>
                </c:pt>
                <c:pt idx="2">
                  <c:v>3.8096196837052725</c:v>
                </c:pt>
                <c:pt idx="3">
                  <c:v>-3.9037502716922829</c:v>
                </c:pt>
                <c:pt idx="4">
                  <c:v>-2.4588848010014139</c:v>
                </c:pt>
                <c:pt idx="5">
                  <c:v>-1.9146626877601451</c:v>
                </c:pt>
              </c:numCache>
            </c:numRef>
          </c:val>
          <c:extLst xmlns:c16r2="http://schemas.microsoft.com/office/drawing/2015/06/chart">
            <c:ext xmlns:c16="http://schemas.microsoft.com/office/drawing/2014/chart" uri="{C3380CC4-5D6E-409C-BE32-E72D297353CC}">
              <c16:uniqueId val="{00000003-BFDC-48D8-915B-B0C3705EC2CF}"/>
            </c:ext>
          </c:extLst>
        </c:ser>
        <c:ser>
          <c:idx val="3"/>
          <c:order val="6"/>
          <c:tx>
            <c:strRef>
              <c:f>'Súhrnná tabuľka'!$A$44</c:f>
              <c:strCache>
                <c:ptCount val="1"/>
                <c:pt idx="0">
                  <c:v>Deflátor HDP</c:v>
                </c:pt>
              </c:strCache>
            </c:strRef>
          </c:tx>
          <c:spPr>
            <a:solidFill>
              <a:srgbClr val="AAD3F2"/>
            </a:solidFill>
          </c:spPr>
          <c:invertIfNegative val="0"/>
          <c:cat>
            <c:strRef>
              <c:f>'Súhrnná tabuľka'!$W$1:$AJ$1</c:f>
              <c:strCache>
                <c:ptCount val="6"/>
                <c:pt idx="0">
                  <c:v>2018</c:v>
                </c:pt>
                <c:pt idx="1">
                  <c:v>2019</c:v>
                </c:pt>
                <c:pt idx="2">
                  <c:v>2020</c:v>
                </c:pt>
                <c:pt idx="3">
                  <c:v>2021</c:v>
                </c:pt>
                <c:pt idx="4">
                  <c:v>2022</c:v>
                </c:pt>
                <c:pt idx="5">
                  <c:v>2023</c:v>
                </c:pt>
              </c:strCache>
            </c:strRef>
          </c:cat>
          <c:val>
            <c:numRef>
              <c:f>'Súhrnná tabuľka'!$W$43:$AJ$43</c:f>
              <c:numCache>
                <c:formatCode>#\ ##0.0</c:formatCode>
                <c:ptCount val="6"/>
                <c:pt idx="0">
                  <c:v>-0.9476949787304374</c:v>
                </c:pt>
                <c:pt idx="1">
                  <c:v>-1.2097198382066405</c:v>
                </c:pt>
                <c:pt idx="2">
                  <c:v>-1.0147464034871438</c:v>
                </c:pt>
                <c:pt idx="3">
                  <c:v>-8.2663343644067133E-2</c:v>
                </c:pt>
                <c:pt idx="4">
                  <c:v>-0.79474751106485941</c:v>
                </c:pt>
                <c:pt idx="5">
                  <c:v>-1.1760471713038081</c:v>
                </c:pt>
              </c:numCache>
            </c:numRef>
          </c:val>
          <c:extLst xmlns:c16r2="http://schemas.microsoft.com/office/drawing/2015/06/chart">
            <c:ext xmlns:c16="http://schemas.microsoft.com/office/drawing/2014/chart" uri="{C3380CC4-5D6E-409C-BE32-E72D297353CC}">
              <c16:uniqueId val="{00000004-BFDC-48D8-915B-B0C3705EC2CF}"/>
            </c:ext>
          </c:extLst>
        </c:ser>
        <c:dLbls>
          <c:showLegendKey val="0"/>
          <c:showVal val="0"/>
          <c:showCatName val="0"/>
          <c:showSerName val="0"/>
          <c:showPercent val="0"/>
          <c:showBubbleSize val="0"/>
        </c:dLbls>
        <c:gapWidth val="150"/>
        <c:overlap val="100"/>
        <c:axId val="236862560"/>
        <c:axId val="236862952"/>
        <c:extLst xmlns:c16r2="http://schemas.microsoft.com/office/drawing/2015/06/chart">
          <c:ext xmlns:c15="http://schemas.microsoft.com/office/drawing/2012/chart" uri="{02D57815-91ED-43cb-92C2-25804820EDAC}">
            <c15:filteredBarSeries>
              <c15:ser>
                <c:idx val="5"/>
                <c:order val="3"/>
                <c:tx>
                  <c:strRef>
                    <c:extLst xmlns:c16r2="http://schemas.microsoft.com/office/drawing/2015/06/chart">
                      <c:ext uri="{02D57815-91ED-43cb-92C2-25804820EDAC}">
                        <c15:formulaRef>
                          <c15:sqref>'Súhrnná tabuľka'!$A$40</c15:sqref>
                        </c15:formulaRef>
                      </c:ext>
                    </c:extLst>
                    <c:strCache>
                      <c:ptCount val="1"/>
                      <c:pt idx="0">
                        <c:v>Rast nominálneho HDP</c:v>
                      </c:pt>
                    </c:strCache>
                  </c:strRef>
                </c:tx>
                <c:spPr>
                  <a:solidFill>
                    <a:srgbClr val="D3BEDE"/>
                  </a:solidFill>
                  <a:ln w="12700">
                    <a:noFill/>
                    <a:prstDash val="solid"/>
                  </a:ln>
                </c:spPr>
                <c:invertIfNegative val="0"/>
                <c:cat>
                  <c:strRef>
                    <c:extLst xmlns:c16r2="http://schemas.microsoft.com/office/drawing/2015/06/chart">
                      <c:ext uri="{02D57815-91ED-43cb-92C2-25804820EDAC}">
                        <c15:formulaRef>
                          <c15:sqref>'Súhrnná tabuľka'!$W$1:$AJ$1</c15:sqref>
                        </c15:formulaRef>
                      </c:ext>
                    </c:extLst>
                    <c:strCache>
                      <c:ptCount val="6"/>
                      <c:pt idx="0">
                        <c:v>2018</c:v>
                      </c:pt>
                      <c:pt idx="1">
                        <c:v>2019</c:v>
                      </c:pt>
                      <c:pt idx="2">
                        <c:v>2020</c:v>
                      </c:pt>
                      <c:pt idx="3">
                        <c:v>2021</c:v>
                      </c:pt>
                      <c:pt idx="4">
                        <c:v>2022</c:v>
                      </c:pt>
                      <c:pt idx="5">
                        <c:v>2023</c:v>
                      </c:pt>
                    </c:strCache>
                  </c:strRef>
                </c:cat>
                <c:val>
                  <c:numRef>
                    <c:extLst xmlns:c16r2="http://schemas.microsoft.com/office/drawing/2015/06/chart">
                      <c:ext uri="{02D57815-91ED-43cb-92C2-25804820EDAC}">
                        <c15:formulaRef>
                          <c15:sqref>'Súhrnná tabuľka'!$W$40:$AJ$40</c15:sqref>
                        </c15:formulaRef>
                      </c:ext>
                    </c:extLst>
                    <c:numCache>
                      <c:formatCode>#\ ##0.0</c:formatCode>
                      <c:ptCount val="6"/>
                      <c:pt idx="0">
                        <c:v>-2.9763226940304834</c:v>
                      </c:pt>
                      <c:pt idx="1">
                        <c:v>-2.3373760201547191</c:v>
                      </c:pt>
                      <c:pt idx="2">
                        <c:v>2.7948732802181286</c:v>
                      </c:pt>
                      <c:pt idx="3">
                        <c:v>-3.9864136153363501</c:v>
                      </c:pt>
                      <c:pt idx="4">
                        <c:v>-3.2536323120662733</c:v>
                      </c:pt>
                      <c:pt idx="5">
                        <c:v>-3.0907098590639532</c:v>
                      </c:pt>
                    </c:numCache>
                  </c:numRef>
                </c:val>
                <c:extLst xmlns:c16r2="http://schemas.microsoft.com/office/drawing/2015/06/chart">
                  <c:ext xmlns:c16="http://schemas.microsoft.com/office/drawing/2014/chart" uri="{C3380CC4-5D6E-409C-BE32-E72D297353CC}">
                    <c16:uniqueId val="{00000006-BFDC-48D8-915B-B0C3705EC2CF}"/>
                  </c:ext>
                </c:extLst>
              </c15:ser>
            </c15:filteredBarSeries>
          </c:ext>
        </c:extLst>
      </c:barChart>
      <c:lineChart>
        <c:grouping val="standard"/>
        <c:varyColors val="0"/>
        <c:ser>
          <c:idx val="0"/>
          <c:order val="0"/>
          <c:tx>
            <c:strRef>
              <c:f>'Súhrnná tabuľka'!$A$34</c:f>
              <c:strCache>
                <c:ptCount val="1"/>
                <c:pt idx="0">
                  <c:v>Zmena hrubého dlhu VS</c:v>
                </c:pt>
              </c:strCache>
            </c:strRef>
          </c:tx>
          <c:spPr>
            <a:ln w="25400" cmpd="sng">
              <a:solidFill>
                <a:srgbClr val="000000"/>
              </a:solidFill>
              <a:prstDash val="solid"/>
            </a:ln>
          </c:spPr>
          <c:marker>
            <c:symbol val="circle"/>
            <c:size val="7"/>
            <c:spPr>
              <a:solidFill>
                <a:sysClr val="windowText" lastClr="000000"/>
              </a:solidFill>
              <a:ln w="15875">
                <a:solidFill>
                  <a:srgbClr val="000000"/>
                </a:solidFill>
              </a:ln>
            </c:spPr>
          </c:marker>
          <c:dLbls>
            <c:dLbl>
              <c:idx val="0"/>
              <c:layout>
                <c:manualLayout>
                  <c:x val="0"/>
                  <c:y val="4.86766048068147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2F-4AC1-AFC6-D67D09DD5ACD}"/>
                </c:ext>
                <c:ext xmlns:c15="http://schemas.microsoft.com/office/drawing/2012/chart" uri="{CE6537A1-D6FC-4f65-9D91-7224C49458BB}">
                  <c15:layout/>
                </c:ext>
              </c:extLst>
            </c:dLbl>
            <c:dLbl>
              <c:idx val="3"/>
              <c:layout>
                <c:manualLayout>
                  <c:x val="7.9622677730939374E-17"/>
                  <c:y val="-2.43383024034073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2F-4AC1-AFC6-D67D09DD5ACD}"/>
                </c:ext>
                <c:ext xmlns:c15="http://schemas.microsoft.com/office/drawing/2012/chart" uri="{CE6537A1-D6FC-4f65-9D91-7224C49458BB}">
                  <c15:layout/>
                </c:ext>
              </c:extLst>
            </c:dLbl>
            <c:dLbl>
              <c:idx val="4"/>
              <c:layout>
                <c:manualLayout>
                  <c:x val="0"/>
                  <c:y val="-4.8676604806814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F2F-4AC1-AFC6-D67D09DD5ACD}"/>
                </c:ext>
                <c:ext xmlns:c15="http://schemas.microsoft.com/office/drawing/2012/chart" uri="{CE6537A1-D6FC-4f65-9D91-7224C49458BB}">
                  <c15:layout/>
                </c:ext>
              </c:extLst>
            </c:dLbl>
            <c:dLbl>
              <c:idx val="5"/>
              <c:layout>
                <c:manualLayout>
                  <c:x val="0"/>
                  <c:y val="-1.82537268025555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2F-4AC1-AFC6-D67D09DD5ACD}"/>
                </c:ext>
                <c:ext xmlns:c15="http://schemas.microsoft.com/office/drawing/2012/chart" uri="{CE6537A1-D6FC-4f65-9D91-7224C49458BB}">
                  <c15:layout/>
                </c:ext>
              </c:extLst>
            </c:dLbl>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'Súhrnná tabuľka'!$W$1:$AJ$1</c:f>
              <c:strCache>
                <c:ptCount val="6"/>
                <c:pt idx="0">
                  <c:v>2018</c:v>
                </c:pt>
                <c:pt idx="1">
                  <c:v>2019</c:v>
                </c:pt>
                <c:pt idx="2">
                  <c:v>2020</c:v>
                </c:pt>
                <c:pt idx="3">
                  <c:v>2021</c:v>
                </c:pt>
                <c:pt idx="4">
                  <c:v>2022</c:v>
                </c:pt>
                <c:pt idx="5">
                  <c:v>2023</c:v>
                </c:pt>
              </c:strCache>
            </c:strRef>
          </c:cat>
          <c:val>
            <c:numRef>
              <c:f>'Súhrnná tabuľka'!$W$34:$AJ$34</c:f>
              <c:numCache>
                <c:formatCode>#\ ##0.0</c:formatCode>
                <c:ptCount val="6"/>
                <c:pt idx="0">
                  <c:v>-1.914809320360753</c:v>
                </c:pt>
                <c:pt idx="1">
                  <c:v>-1.4031160628402972</c:v>
                </c:pt>
                <c:pt idx="2">
                  <c:v>13.241131743700933</c:v>
                </c:pt>
                <c:pt idx="3">
                  <c:v>0.64271426083124084</c:v>
                </c:pt>
                <c:pt idx="4">
                  <c:v>-0.43519029760877714</c:v>
                </c:pt>
                <c:pt idx="5">
                  <c:v>-1.3570318868631546</c:v>
                </c:pt>
              </c:numCache>
            </c:numRef>
          </c:val>
          <c:smooth val="0"/>
          <c:extLst xmlns:c16r2="http://schemas.microsoft.com/office/drawing/2015/06/chart">
            <c:ext xmlns:c16="http://schemas.microsoft.com/office/drawing/2014/chart" uri="{C3380CC4-5D6E-409C-BE32-E72D297353CC}">
              <c16:uniqueId val="{00000005-BFDC-48D8-915B-B0C3705EC2CF}"/>
            </c:ext>
          </c:extLst>
        </c:ser>
        <c:dLbls>
          <c:showLegendKey val="0"/>
          <c:showVal val="0"/>
          <c:showCatName val="0"/>
          <c:showSerName val="0"/>
          <c:showPercent val="0"/>
          <c:showBubbleSize val="0"/>
        </c:dLbls>
        <c:marker val="1"/>
        <c:smooth val="0"/>
        <c:axId val="236862560"/>
        <c:axId val="236862952"/>
      </c:lineChart>
      <c:catAx>
        <c:axId val="236862560"/>
        <c:scaling>
          <c:orientation val="minMax"/>
        </c:scaling>
        <c:delete val="0"/>
        <c:axPos val="b"/>
        <c:numFmt formatCode="General" sourceLinked="1"/>
        <c:majorTickMark val="none"/>
        <c:minorTickMark val="none"/>
        <c:tickLblPos val="high"/>
        <c:spPr>
          <a:ln w="3175">
            <a:solidFill>
              <a:srgbClr val="000000"/>
            </a:solidFill>
            <a:prstDash val="solid"/>
          </a:ln>
        </c:spPr>
        <c:txPr>
          <a:bodyPr rot="0" vert="horz"/>
          <a:lstStyle/>
          <a:p>
            <a:pPr>
              <a:defRPr/>
            </a:pPr>
            <a:endParaRPr lang="sk-SK"/>
          </a:p>
        </c:txPr>
        <c:crossAx val="236862952"/>
        <c:crosses val="autoZero"/>
        <c:auto val="1"/>
        <c:lblAlgn val="ctr"/>
        <c:lblOffset val="100"/>
        <c:tickLblSkip val="1"/>
        <c:tickMarkSkip val="1"/>
        <c:noMultiLvlLbl val="0"/>
      </c:catAx>
      <c:valAx>
        <c:axId val="236862952"/>
        <c:scaling>
          <c:orientation val="minMax"/>
          <c:max val="15"/>
        </c:scaling>
        <c:delete val="0"/>
        <c:axPos val="l"/>
        <c:majorGridlines>
          <c:spPr>
            <a:ln>
              <a:solidFill>
                <a:sysClr val="window" lastClr="FFFFFF">
                  <a:lumMod val="75000"/>
                </a:sysClr>
              </a:solidFill>
              <a:prstDash val="sysDot"/>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sk-SK"/>
          </a:p>
        </c:txPr>
        <c:crossAx val="236862560"/>
        <c:crosses val="autoZero"/>
        <c:crossBetween val="between"/>
      </c:valAx>
      <c:spPr>
        <a:noFill/>
        <a:ln w="25400">
          <a:noFill/>
        </a:ln>
      </c:spPr>
    </c:plotArea>
    <c:legend>
      <c:legendPos val="r"/>
      <c:layout>
        <c:manualLayout>
          <c:xMode val="edge"/>
          <c:yMode val="edge"/>
          <c:x val="4.8588617389977551E-2"/>
          <c:y val="0.84897816239729784"/>
          <c:w val="0.95042686604035442"/>
          <c:h val="0.1510218376027021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sk-SK"/>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858014840266519E-2"/>
          <c:y val="5.1400554097404488E-2"/>
          <c:w val="0.94712825575489124"/>
          <c:h val="0.89719889180519097"/>
        </c:manualLayout>
      </c:layout>
      <c:areaChart>
        <c:grouping val="stacked"/>
        <c:varyColors val="0"/>
        <c:ser>
          <c:idx val="3"/>
          <c:order val="0"/>
          <c:spPr>
            <a:solidFill>
              <a:sysClr val="window" lastClr="FFFFFF"/>
            </a:solidFill>
          </c:spP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tabuľka'!$E$92:$AG$92</c:f>
              <c:numCache>
                <c:formatCode>#,##0.00</c:formatCode>
                <c:ptCount val="29"/>
                <c:pt idx="0">
                  <c:v>11.167483111541058</c:v>
                </c:pt>
                <c:pt idx="1">
                  <c:v>13.042479617655328</c:v>
                </c:pt>
                <c:pt idx="2">
                  <c:v>8.5319782515296527</c:v>
                </c:pt>
                <c:pt idx="3">
                  <c:v>8.2723914821884534</c:v>
                </c:pt>
                <c:pt idx="4">
                  <c:v>10.553468846663721</c:v>
                </c:pt>
                <c:pt idx="5">
                  <c:v>9.397190806546357</c:v>
                </c:pt>
                <c:pt idx="6">
                  <c:v>8.4589572795111945</c:v>
                </c:pt>
                <c:pt idx="7">
                  <c:v>7.4266585445001736</c:v>
                </c:pt>
                <c:pt idx="8">
                  <c:v>6.0179901001224181</c:v>
                </c:pt>
                <c:pt idx="9">
                  <c:v>5.4832325147046523</c:v>
                </c:pt>
                <c:pt idx="10">
                  <c:v>4.393624753400478</c:v>
                </c:pt>
                <c:pt idx="11">
                  <c:v>4.5829388751382982</c:v>
                </c:pt>
                <c:pt idx="12">
                  <c:v>4.8400300349466763</c:v>
                </c:pt>
                <c:pt idx="13">
                  <c:v>4.8060958303768935</c:v>
                </c:pt>
                <c:pt idx="14">
                  <c:v>4.7595648472428262</c:v>
                </c:pt>
                <c:pt idx="15">
                  <c:v>3.7876656783533642</c:v>
                </c:pt>
                <c:pt idx="16">
                  <c:v>3.9518457343704654</c:v>
                </c:pt>
                <c:pt idx="17">
                  <c:v>4.2377369340962172</c:v>
                </c:pt>
                <c:pt idx="18">
                  <c:v>3.7274431641888373</c:v>
                </c:pt>
                <c:pt idx="19">
                  <c:v>3.6310515641325058</c:v>
                </c:pt>
                <c:pt idx="20">
                  <c:v>3.4682003999764719</c:v>
                </c:pt>
                <c:pt idx="21">
                  <c:v>3.3176043030915183</c:v>
                </c:pt>
                <c:pt idx="22">
                  <c:v>2.8854596084421651</c:v>
                </c:pt>
                <c:pt idx="23">
                  <c:v>2.7835944615455563</c:v>
                </c:pt>
                <c:pt idx="24">
                  <c:v>2.6106619977934158</c:v>
                </c:pt>
                <c:pt idx="25">
                  <c:v>2.3302854725252051</c:v>
                </c:pt>
                <c:pt idx="26">
                  <c:v>1.8957305787067127</c:v>
                </c:pt>
                <c:pt idx="27">
                  <c:v>1.7900741262972026</c:v>
                </c:pt>
                <c:pt idx="28">
                  <c:v>1.7225327188907662</c:v>
                </c:pt>
              </c:numCache>
            </c:numRef>
          </c:val>
          <c:extLst xmlns:c16r2="http://schemas.microsoft.com/office/drawing/2015/06/chart">
            <c:ext xmlns:c16="http://schemas.microsoft.com/office/drawing/2014/chart" uri="{C3380CC4-5D6E-409C-BE32-E72D297353CC}">
              <c16:uniqueId val="{00000000-F88F-4A50-9ECB-67F2A3B52974}"/>
            </c:ext>
          </c:extLst>
        </c:ser>
        <c:ser>
          <c:idx val="5"/>
          <c:order val="1"/>
          <c:spPr>
            <a:solidFill>
              <a:srgbClr val="F9C9BA"/>
            </a:solidFill>
          </c:spP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tabuľka'!$E$93:$AF$93</c:f>
              <c:numCache>
                <c:formatCode>0.00</c:formatCode>
                <c:ptCount val="28"/>
                <c:pt idx="0">
                  <c:v>0</c:v>
                </c:pt>
                <c:pt idx="1">
                  <c:v>-1.2836825651689026</c:v>
                </c:pt>
                <c:pt idx="2">
                  <c:v>0</c:v>
                </c:pt>
                <c:pt idx="3">
                  <c:v>0</c:v>
                </c:pt>
                <c:pt idx="4">
                  <c:v>-3.4519730926662211</c:v>
                </c:pt>
                <c:pt idx="5">
                  <c:v>0</c:v>
                </c:pt>
                <c:pt idx="6">
                  <c:v>0</c:v>
                </c:pt>
                <c:pt idx="7">
                  <c:v>0</c:v>
                </c:pt>
                <c:pt idx="8">
                  <c:v>0</c:v>
                </c:pt>
                <c:pt idx="9">
                  <c:v>0</c:v>
                </c:pt>
                <c:pt idx="10">
                  <c:v>0</c:v>
                </c:pt>
                <c:pt idx="11">
                  <c:v>0</c:v>
                </c:pt>
                <c:pt idx="12">
                  <c:v>0</c:v>
                </c:pt>
                <c:pt idx="13">
                  <c:v>0</c:v>
                </c:pt>
                <c:pt idx="14">
                  <c:v>-11.312969140610775</c:v>
                </c:pt>
                <c:pt idx="15">
                  <c:v>0</c:v>
                </c:pt>
                <c:pt idx="16">
                  <c:v>0</c:v>
                </c:pt>
                <c:pt idx="17">
                  <c:v>-1.0509721586021508</c:v>
                </c:pt>
                <c:pt idx="18">
                  <c:v>-2.5421169572858004</c:v>
                </c:pt>
                <c:pt idx="19">
                  <c:v>-1.0743775504888942</c:v>
                </c:pt>
                <c:pt idx="20">
                  <c:v>0</c:v>
                </c:pt>
                <c:pt idx="21">
                  <c:v>-1.7125266658058838</c:v>
                </c:pt>
                <c:pt idx="22">
                  <c:v>0</c:v>
                </c:pt>
                <c:pt idx="23">
                  <c:v>0</c:v>
                </c:pt>
                <c:pt idx="24">
                  <c:v>0</c:v>
                </c:pt>
                <c:pt idx="25">
                  <c:v>-7.8329281380509865</c:v>
                </c:pt>
                <c:pt idx="26">
                  <c:v>0</c:v>
                </c:pt>
                <c:pt idx="27">
                  <c:v>0</c:v>
                </c:pt>
              </c:numCache>
            </c:numRef>
          </c:val>
          <c:extLst xmlns:c16r2="http://schemas.microsoft.com/office/drawing/2015/06/chart">
            <c:ext xmlns:c16="http://schemas.microsoft.com/office/drawing/2014/chart" uri="{C3380CC4-5D6E-409C-BE32-E72D297353CC}">
              <c16:uniqueId val="{00000000-1EB3-4009-AC35-B48748CDED8A}"/>
            </c:ext>
          </c:extLst>
        </c:ser>
        <c:ser>
          <c:idx val="2"/>
          <c:order val="2"/>
          <c:spPr>
            <a:solidFill>
              <a:srgbClr val="B0D6AF"/>
            </a:solidFill>
          </c:spP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tabuľka'!$E$91:$AG$91</c:f>
              <c:numCache>
                <c:formatCode>#,##0.00</c:formatCode>
                <c:ptCount val="29"/>
                <c:pt idx="0">
                  <c:v>8.9827189854047003</c:v>
                </c:pt>
                <c:pt idx="1">
                  <c:v>-3.6825651689025296E-3</c:v>
                </c:pt>
                <c:pt idx="2">
                  <c:v>2.4664017132265794</c:v>
                </c:pt>
                <c:pt idx="3">
                  <c:v>0.85484874010200329</c:v>
                </c:pt>
                <c:pt idx="4">
                  <c:v>-1.9730926662209214E-3</c:v>
                </c:pt>
                <c:pt idx="5">
                  <c:v>1.3695664040530513</c:v>
                </c:pt>
                <c:pt idx="6">
                  <c:v>8.2956358459371771E-2</c:v>
                </c:pt>
                <c:pt idx="7">
                  <c:v>1.1981820224773019</c:v>
                </c:pt>
                <c:pt idx="8">
                  <c:v>5.0992174702977451</c:v>
                </c:pt>
                <c:pt idx="9">
                  <c:v>5.8373167359155298</c:v>
                </c:pt>
                <c:pt idx="10">
                  <c:v>4.9413830716866149</c:v>
                </c:pt>
                <c:pt idx="11">
                  <c:v>7.0555353657868256</c:v>
                </c:pt>
                <c:pt idx="12">
                  <c:v>7.2283784554348118</c:v>
                </c:pt>
                <c:pt idx="13">
                  <c:v>3.7861999046562786</c:v>
                </c:pt>
                <c:pt idx="14">
                  <c:v>-2.9691406107748008E-3</c:v>
                </c:pt>
                <c:pt idx="15">
                  <c:v>2.4490339573887292</c:v>
                </c:pt>
                <c:pt idx="16">
                  <c:v>0.6322152561306611</c:v>
                </c:pt>
                <c:pt idx="17">
                  <c:v>-9.7215860215071892E-4</c:v>
                </c:pt>
                <c:pt idx="18">
                  <c:v>-2.1169572858004138E-3</c:v>
                </c:pt>
                <c:pt idx="19">
                  <c:v>-4.3775504888940997E-3</c:v>
                </c:pt>
                <c:pt idx="20">
                  <c:v>1.1246822764700584</c:v>
                </c:pt>
                <c:pt idx="21">
                  <c:v>-2.5266658058837876E-3</c:v>
                </c:pt>
                <c:pt idx="22">
                  <c:v>1.4071065101372788</c:v>
                </c:pt>
                <c:pt idx="23">
                  <c:v>3.3736942402961558</c:v>
                </c:pt>
                <c:pt idx="24">
                  <c:v>2.3558909128469492</c:v>
                </c:pt>
                <c:pt idx="25">
                  <c:v>-2.9281380509864618E-3</c:v>
                </c:pt>
                <c:pt idx="26">
                  <c:v>5.0672769892019947</c:v>
                </c:pt>
                <c:pt idx="27">
                  <c:v>3.7596600415408803</c:v>
                </c:pt>
                <c:pt idx="28">
                  <c:v>3.5739010261505739</c:v>
                </c:pt>
              </c:numCache>
            </c:numRef>
          </c:val>
          <c:extLst xmlns:c16r2="http://schemas.microsoft.com/office/drawing/2015/06/chart">
            <c:ext xmlns:c16="http://schemas.microsoft.com/office/drawing/2014/chart" uri="{C3380CC4-5D6E-409C-BE32-E72D297353CC}">
              <c16:uniqueId val="{00000002-F88F-4A50-9ECB-67F2A3B52974}"/>
            </c:ext>
          </c:extLst>
        </c:ser>
        <c:dLbls>
          <c:showLegendKey val="0"/>
          <c:showVal val="0"/>
          <c:showCatName val="0"/>
          <c:showSerName val="0"/>
          <c:showPercent val="0"/>
          <c:showBubbleSize val="0"/>
        </c:dLbls>
        <c:axId val="236863736"/>
        <c:axId val="236864128"/>
      </c:areaChart>
      <c:lineChart>
        <c:grouping val="standard"/>
        <c:varyColors val="0"/>
        <c:ser>
          <c:idx val="0"/>
          <c:order val="3"/>
          <c:tx>
            <c:v>Rast HDP v bežných cenách</c:v>
          </c:tx>
          <c:spPr>
            <a:ln>
              <a:solidFill>
                <a:srgbClr val="2C9ADC"/>
              </a:solidFill>
            </a:ln>
          </c:spPr>
          <c:marker>
            <c:symbol val="none"/>
          </c:marker>
          <c:cat>
            <c:numRef>
              <c:f>'Súhrnná tabuľka'!$E$1:$AG$1</c:f>
              <c:numCache>
                <c:formatCode>General</c:formatCode>
                <c:ptCount val="2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'Súhrnná tabuľka'!$E$58:$AG$58</c:f>
              <c:numCache>
                <c:formatCode>#,##0.00</c:formatCode>
                <c:ptCount val="29"/>
                <c:pt idx="0">
                  <c:v>20.150202096945758</c:v>
                </c:pt>
                <c:pt idx="1">
                  <c:v>11.458797052486425</c:v>
                </c:pt>
                <c:pt idx="2">
                  <c:v>10.998379964756232</c:v>
                </c:pt>
                <c:pt idx="3">
                  <c:v>9.1272402222904567</c:v>
                </c:pt>
                <c:pt idx="4">
                  <c:v>7.1014957539974999</c:v>
                </c:pt>
                <c:pt idx="5">
                  <c:v>10.766757210599408</c:v>
                </c:pt>
                <c:pt idx="6">
                  <c:v>8.5419136379705662</c:v>
                </c:pt>
                <c:pt idx="7">
                  <c:v>8.6248405669774755</c:v>
                </c:pt>
                <c:pt idx="8">
                  <c:v>11.117207570420163</c:v>
                </c:pt>
                <c:pt idx="9">
                  <c:v>11.320549250620182</c:v>
                </c:pt>
                <c:pt idx="10">
                  <c:v>9.3350078250870929</c:v>
                </c:pt>
                <c:pt idx="11">
                  <c:v>11.638474240925124</c:v>
                </c:pt>
                <c:pt idx="12">
                  <c:v>12.068408490381488</c:v>
                </c:pt>
                <c:pt idx="13">
                  <c:v>8.5922957350331721</c:v>
                </c:pt>
                <c:pt idx="14">
                  <c:v>-6.5534042933679482</c:v>
                </c:pt>
                <c:pt idx="15">
                  <c:v>6.2366996357420934</c:v>
                </c:pt>
                <c:pt idx="16">
                  <c:v>4.5840609905011265</c:v>
                </c:pt>
                <c:pt idx="17">
                  <c:v>3.1867647754940664</c:v>
                </c:pt>
                <c:pt idx="18">
                  <c:v>1.1853262069030368</c:v>
                </c:pt>
                <c:pt idx="19">
                  <c:v>2.5566740136436117</c:v>
                </c:pt>
                <c:pt idx="20">
                  <c:v>4.5928826764465303</c:v>
                </c:pt>
                <c:pt idx="21">
                  <c:v>1.6050776372856346</c:v>
                </c:pt>
                <c:pt idx="22">
                  <c:v>4.2925661185794439</c:v>
                </c:pt>
                <c:pt idx="23">
                  <c:v>6.1572887018417122</c:v>
                </c:pt>
                <c:pt idx="24">
                  <c:v>4.966552910640365</c:v>
                </c:pt>
                <c:pt idx="25">
                  <c:v>-5.502642665525781</c:v>
                </c:pt>
                <c:pt idx="26">
                  <c:v>6.9630075679087078</c:v>
                </c:pt>
                <c:pt idx="27">
                  <c:v>5.5497341678380829</c:v>
                </c:pt>
                <c:pt idx="28">
                  <c:v>5.2964337450413401</c:v>
                </c:pt>
              </c:numCache>
            </c:numRef>
          </c:val>
          <c:smooth val="0"/>
          <c:extLst xmlns:c16r2="http://schemas.microsoft.com/office/drawing/2015/06/chart">
            <c:ext xmlns:c16="http://schemas.microsoft.com/office/drawing/2014/chart" uri="{C3380CC4-5D6E-409C-BE32-E72D297353CC}">
              <c16:uniqueId val="{00000003-F88F-4A50-9ECB-67F2A3B52974}"/>
            </c:ext>
          </c:extLst>
        </c:ser>
        <c:ser>
          <c:idx val="1"/>
          <c:order val="4"/>
          <c:tx>
            <c:v>Implicitná úroková miera</c:v>
          </c:tx>
          <c:spPr>
            <a:ln>
              <a:solidFill>
                <a:sysClr val="windowText" lastClr="000000"/>
              </a:solidFill>
            </a:ln>
          </c:spPr>
          <c:marker>
            <c:symbol val="none"/>
          </c:marker>
          <c:cat>
            <c:numRef>
              <c:f>'Súhrnná tabuľka'!$E$1:$AG$1</c:f>
              <c:numCache>
                <c:formatCode>General</c:formatCode>
                <c:ptCount val="2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'Súhrnná tabuľka'!$E$46:$AG$46</c:f>
              <c:numCache>
                <c:formatCode>#\ ##0.0</c:formatCode>
                <c:ptCount val="29"/>
                <c:pt idx="0">
                  <c:v>11.167483111541058</c:v>
                </c:pt>
                <c:pt idx="1">
                  <c:v>12.742479617655327</c:v>
                </c:pt>
                <c:pt idx="2">
                  <c:v>8.5319782515296527</c:v>
                </c:pt>
                <c:pt idx="3">
                  <c:v>8.2723914821884534</c:v>
                </c:pt>
                <c:pt idx="4">
                  <c:v>10.553468846663721</c:v>
                </c:pt>
                <c:pt idx="5">
                  <c:v>9.397190806546357</c:v>
                </c:pt>
                <c:pt idx="6">
                  <c:v>8.4589572795111945</c:v>
                </c:pt>
                <c:pt idx="7">
                  <c:v>7.4266585445001736</c:v>
                </c:pt>
                <c:pt idx="8">
                  <c:v>6.0179901001224181</c:v>
                </c:pt>
                <c:pt idx="9">
                  <c:v>5.4832325147046523</c:v>
                </c:pt>
                <c:pt idx="10">
                  <c:v>4.393624753400478</c:v>
                </c:pt>
                <c:pt idx="11">
                  <c:v>4.5829388751382982</c:v>
                </c:pt>
                <c:pt idx="12">
                  <c:v>4.8400300349466763</c:v>
                </c:pt>
                <c:pt idx="13">
                  <c:v>4.8060958303768935</c:v>
                </c:pt>
                <c:pt idx="14">
                  <c:v>4.7595648472428262</c:v>
                </c:pt>
                <c:pt idx="15">
                  <c:v>3.7876656783533642</c:v>
                </c:pt>
                <c:pt idx="16">
                  <c:v>3.9518457343704654</c:v>
                </c:pt>
                <c:pt idx="17">
                  <c:v>4.2377369340962172</c:v>
                </c:pt>
                <c:pt idx="18">
                  <c:v>3.7274431641888373</c:v>
                </c:pt>
                <c:pt idx="19">
                  <c:v>3.6310515641325058</c:v>
                </c:pt>
                <c:pt idx="20">
                  <c:v>3.4682003999764719</c:v>
                </c:pt>
                <c:pt idx="21">
                  <c:v>3.3176043030915183</c:v>
                </c:pt>
                <c:pt idx="22">
                  <c:v>2.8854596084421651</c:v>
                </c:pt>
                <c:pt idx="23">
                  <c:v>2.7835944615455563</c:v>
                </c:pt>
                <c:pt idx="24">
                  <c:v>2.6106619977934158</c:v>
                </c:pt>
                <c:pt idx="25">
                  <c:v>2.3302854725252051</c:v>
                </c:pt>
                <c:pt idx="26">
                  <c:v>1.8957305787067127</c:v>
                </c:pt>
                <c:pt idx="27">
                  <c:v>1.7900741262972026</c:v>
                </c:pt>
                <c:pt idx="28">
                  <c:v>1.7225327188907662</c:v>
                </c:pt>
              </c:numCache>
            </c:numRef>
          </c:val>
          <c:smooth val="0"/>
          <c:extLst xmlns:c16r2="http://schemas.microsoft.com/office/drawing/2015/06/chart">
            <c:ext xmlns:c16="http://schemas.microsoft.com/office/drawing/2014/chart" uri="{C3380CC4-5D6E-409C-BE32-E72D297353CC}">
              <c16:uniqueId val="{00000004-F88F-4A50-9ECB-67F2A3B52974}"/>
            </c:ext>
          </c:extLst>
        </c:ser>
        <c:dLbls>
          <c:showLegendKey val="0"/>
          <c:showVal val="0"/>
          <c:showCatName val="0"/>
          <c:showSerName val="0"/>
          <c:showPercent val="0"/>
          <c:showBubbleSize val="0"/>
        </c:dLbls>
        <c:marker val="1"/>
        <c:smooth val="0"/>
        <c:axId val="236863736"/>
        <c:axId val="236864128"/>
      </c:lineChart>
      <c:catAx>
        <c:axId val="236863736"/>
        <c:scaling>
          <c:orientation val="minMax"/>
        </c:scaling>
        <c:delete val="0"/>
        <c:axPos val="b"/>
        <c:numFmt formatCode="General" sourceLinked="0"/>
        <c:majorTickMark val="out"/>
        <c:minorTickMark val="none"/>
        <c:tickLblPos val="low"/>
        <c:spPr>
          <a:ln>
            <a:solidFill>
              <a:sysClr val="windowText" lastClr="000000"/>
            </a:solidFill>
          </a:ln>
        </c:spPr>
        <c:crossAx val="236864128"/>
        <c:crosses val="autoZero"/>
        <c:auto val="1"/>
        <c:lblAlgn val="ctr"/>
        <c:lblOffset val="100"/>
        <c:noMultiLvlLbl val="0"/>
      </c:catAx>
      <c:valAx>
        <c:axId val="236864128"/>
        <c:scaling>
          <c:orientation val="minMax"/>
        </c:scaling>
        <c:delete val="0"/>
        <c:axPos val="l"/>
        <c:majorGridlines>
          <c:spPr>
            <a:ln>
              <a:solidFill>
                <a:sysClr val="window" lastClr="FFFFFF">
                  <a:lumMod val="85000"/>
                </a:sysClr>
              </a:solidFill>
              <a:prstDash val="sysDot"/>
            </a:ln>
          </c:spPr>
        </c:majorGridlines>
        <c:numFmt formatCode="#,##0" sourceLinked="0"/>
        <c:majorTickMark val="out"/>
        <c:minorTickMark val="none"/>
        <c:tickLblPos val="nextTo"/>
        <c:spPr>
          <a:ln>
            <a:solidFill>
              <a:sysClr val="windowText" lastClr="000000"/>
            </a:solidFill>
          </a:ln>
        </c:spPr>
        <c:crossAx val="236863736"/>
        <c:crosses val="autoZero"/>
        <c:crossBetween val="between"/>
      </c:valAx>
    </c:plotArea>
    <c:legend>
      <c:legendPos val="r"/>
      <c:legendEntry>
        <c:idx val="0"/>
        <c:delete val="1"/>
      </c:legendEntry>
      <c:legendEntry>
        <c:idx val="1"/>
        <c:delete val="1"/>
      </c:legendEntry>
      <c:legendEntry>
        <c:idx val="2"/>
        <c:delete val="1"/>
      </c:legendEntry>
      <c:layout>
        <c:manualLayout>
          <c:xMode val="edge"/>
          <c:yMode val="edge"/>
          <c:x val="9.4884305106033531E-2"/>
          <c:y val="3.8978751902283212E-2"/>
          <c:w val="0.89921897776289739"/>
          <c:h val="0.17634487888385661"/>
        </c:manualLayout>
      </c:layout>
      <c:overlay val="0"/>
    </c:legend>
    <c:plotVisOnly val="1"/>
    <c:dispBlanksAs val="zero"/>
    <c:showDLblsOverMax val="0"/>
  </c:chart>
  <c:spPr>
    <a:ln>
      <a:noFill/>
    </a:ln>
  </c:spPr>
  <c:txPr>
    <a:bodyPr/>
    <a:lstStyle/>
    <a:p>
      <a:pPr>
        <a:defRPr sz="800" b="0">
          <a:latin typeface="Arial Narrow" panose="020B0606020202030204" pitchFamily="34" charset="0"/>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1539126675313"/>
          <c:y val="0.19854998388359349"/>
          <c:w val="0.86040351915635793"/>
          <c:h val="0.65629644978588197"/>
        </c:manualLayout>
      </c:layout>
      <c:barChart>
        <c:barDir val="col"/>
        <c:grouping val="stacked"/>
        <c:varyColors val="0"/>
        <c:ser>
          <c:idx val="7"/>
          <c:order val="0"/>
          <c:tx>
            <c:v>Hrubý dlh (očistený o EFSF a ESM)</c:v>
          </c:tx>
          <c:spPr>
            <a:solidFill>
              <a:schemeClr val="accent1"/>
            </a:solidFill>
            <a:ln>
              <a:noFill/>
            </a:ln>
            <a:effectLst/>
          </c:spPr>
          <c:invertIfNegative val="0"/>
          <c:cat>
            <c:numRef>
              <c:f>'Graf 9+10 '!$K$20:$P$20</c:f>
              <c:numCache>
                <c:formatCode>General</c:formatCode>
                <c:ptCount val="6"/>
                <c:pt idx="0">
                  <c:v>2018</c:v>
                </c:pt>
                <c:pt idx="1">
                  <c:v>2019</c:v>
                </c:pt>
                <c:pt idx="2">
                  <c:v>2020</c:v>
                </c:pt>
                <c:pt idx="3">
                  <c:v>2021</c:v>
                </c:pt>
                <c:pt idx="4">
                  <c:v>2022</c:v>
                </c:pt>
                <c:pt idx="5">
                  <c:v>2023</c:v>
                </c:pt>
              </c:numCache>
            </c:numRef>
          </c:cat>
          <c:val>
            <c:numRef>
              <c:f>'Graf 9+10 '!$K$22:$P$22</c:f>
              <c:numCache>
                <c:formatCode>0.0</c:formatCode>
                <c:ptCount val="6"/>
                <c:pt idx="0">
                  <c:v>46.568894982592781</c:v>
                </c:pt>
                <c:pt idx="1">
                  <c:v>45.322356101238128</c:v>
                </c:pt>
                <c:pt idx="2">
                  <c:v>58.257025695221571</c:v>
                </c:pt>
                <c:pt idx="3">
                  <c:v>59.093776000646827</c:v>
                </c:pt>
                <c:pt idx="4">
                  <c:v>58.805106942177623</c:v>
                </c:pt>
                <c:pt idx="5">
                  <c:v>57.580875119033792</c:v>
                </c:pt>
              </c:numCache>
            </c:numRef>
          </c:val>
          <c:extLst xmlns:c16r2="http://schemas.microsoft.com/office/drawing/2015/06/chart">
            <c:ext xmlns:c16="http://schemas.microsoft.com/office/drawing/2014/chart" uri="{C3380CC4-5D6E-409C-BE32-E72D297353CC}">
              <c16:uniqueId val="{00000000-3E62-47CD-824C-E59D890F0491}"/>
            </c:ext>
          </c:extLst>
        </c:ser>
        <c:ser>
          <c:idx val="3"/>
          <c:order val="2"/>
          <c:tx>
            <c:strRef>
              <c:f>'Graf 9+10 '!$J$23</c:f>
              <c:strCache>
                <c:ptCount val="1"/>
                <c:pt idx="0">
                  <c:v>EFSF + ESM</c:v>
                </c:pt>
              </c:strCache>
            </c:strRef>
          </c:tx>
          <c:spPr>
            <a:solidFill>
              <a:schemeClr val="accent2"/>
            </a:solidFill>
            <a:ln>
              <a:noFill/>
            </a:ln>
            <a:effectLst/>
          </c:spPr>
          <c:invertIfNegative val="0"/>
          <c:cat>
            <c:numRef>
              <c:f>'Graf 9+10 '!$K$20:$P$20</c:f>
              <c:numCache>
                <c:formatCode>General</c:formatCode>
                <c:ptCount val="6"/>
                <c:pt idx="0">
                  <c:v>2018</c:v>
                </c:pt>
                <c:pt idx="1">
                  <c:v>2019</c:v>
                </c:pt>
                <c:pt idx="2">
                  <c:v>2020</c:v>
                </c:pt>
                <c:pt idx="3">
                  <c:v>2021</c:v>
                </c:pt>
                <c:pt idx="4">
                  <c:v>2022</c:v>
                </c:pt>
                <c:pt idx="5">
                  <c:v>2023</c:v>
                </c:pt>
              </c:numCache>
            </c:numRef>
          </c:cat>
          <c:val>
            <c:numRef>
              <c:f>'Graf 9+10 '!$K$23:$P$23</c:f>
              <c:numCache>
                <c:formatCode>0.0</c:formatCode>
                <c:ptCount val="6"/>
                <c:pt idx="0">
                  <c:v>2.8308210993604672</c:v>
                </c:pt>
                <c:pt idx="1">
                  <c:v>2.674243917874827</c:v>
                </c:pt>
                <c:pt idx="2">
                  <c:v>2.980706067592314</c:v>
                </c:pt>
                <c:pt idx="3">
                  <c:v>2.7866700229982992</c:v>
                </c:pt>
                <c:pt idx="4">
                  <c:v>2.6401487838587299</c:v>
                </c:pt>
                <c:pt idx="5">
                  <c:v>2.5073487201394045</c:v>
                </c:pt>
              </c:numCache>
            </c:numRef>
          </c:val>
          <c:extLst xmlns:c16r2="http://schemas.microsoft.com/office/drawing/2015/06/chart">
            <c:ext xmlns:c16="http://schemas.microsoft.com/office/drawing/2014/chart" uri="{C3380CC4-5D6E-409C-BE32-E72D297353CC}">
              <c16:uniqueId val="{00000001-3E62-47CD-824C-E59D890F0491}"/>
            </c:ext>
          </c:extLst>
        </c:ser>
        <c:dLbls>
          <c:showLegendKey val="0"/>
          <c:showVal val="0"/>
          <c:showCatName val="0"/>
          <c:showSerName val="0"/>
          <c:showPercent val="0"/>
          <c:showBubbleSize val="0"/>
        </c:dLbls>
        <c:gapWidth val="150"/>
        <c:overlap val="100"/>
        <c:axId val="236019832"/>
        <c:axId val="236020216"/>
        <c:extLst xmlns:c16r2="http://schemas.microsoft.com/office/drawing/2015/06/chart"/>
      </c:barChart>
      <c:lineChart>
        <c:grouping val="standard"/>
        <c:varyColors val="0"/>
        <c:ser>
          <c:idx val="0"/>
          <c:order val="1"/>
          <c:tx>
            <c:strRef>
              <c:f>'Graf 9+10 '!$J$21</c:f>
              <c:strCache>
                <c:ptCount val="1"/>
                <c:pt idx="0">
                  <c:v>Hrubý dlh verejnej správy</c:v>
                </c:pt>
              </c:strCache>
            </c:strRef>
          </c:tx>
          <c:spPr>
            <a:ln w="28575" cap="rnd">
              <a:noFill/>
              <a:round/>
            </a:ln>
            <a:effectLst/>
          </c:spPr>
          <c:marker>
            <c:symbol val="circle"/>
            <c:size val="5"/>
            <c:spPr>
              <a:solidFill>
                <a:schemeClr val="tx1"/>
              </a:solidFill>
              <a:ln w="9525">
                <a:noFill/>
              </a:ln>
              <a:effectLst/>
            </c:spPr>
          </c:marker>
          <c:dPt>
            <c:idx val="1"/>
            <c:marker>
              <c:symbol val="circle"/>
              <c:size val="5"/>
              <c:spPr>
                <a:solidFill>
                  <a:schemeClr val="tx1"/>
                </a:solidFill>
                <a:ln w="9525">
                  <a:noFill/>
                  <a:prstDash val="sysDot"/>
                </a:ln>
                <a:effectLst/>
              </c:spPr>
            </c:marker>
            <c:bubble3D val="0"/>
            <c:spPr>
              <a:ln w="28575" cap="rnd">
                <a:noFill/>
                <a:prstDash val="sysDot"/>
                <a:round/>
              </a:ln>
              <a:effectLst/>
            </c:spPr>
            <c:extLst xmlns:c16r2="http://schemas.microsoft.com/office/drawing/2015/06/chart">
              <c:ext xmlns:c16="http://schemas.microsoft.com/office/drawing/2014/chart" uri="{C3380CC4-5D6E-409C-BE32-E72D297353CC}">
                <c16:uniqueId val="{00000003-3E62-47CD-824C-E59D890F0491}"/>
              </c:ext>
            </c:extLst>
          </c:dPt>
          <c:dPt>
            <c:idx val="2"/>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5-3E62-47CD-824C-E59D890F0491}"/>
              </c:ext>
            </c:extLst>
          </c:dPt>
          <c:dPt>
            <c:idx val="3"/>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7-3E62-47CD-824C-E59D890F0491}"/>
              </c:ext>
            </c:extLst>
          </c:dPt>
          <c:dPt>
            <c:idx val="4"/>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9-3E62-47CD-824C-E59D890F0491}"/>
              </c:ext>
            </c:extLst>
          </c:dPt>
          <c:dPt>
            <c:idx val="5"/>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B-3E62-47CD-824C-E59D890F049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9+10 '!$K$20:$P$20</c:f>
              <c:numCache>
                <c:formatCode>General</c:formatCode>
                <c:ptCount val="6"/>
                <c:pt idx="0">
                  <c:v>2018</c:v>
                </c:pt>
                <c:pt idx="1">
                  <c:v>2019</c:v>
                </c:pt>
                <c:pt idx="2">
                  <c:v>2020</c:v>
                </c:pt>
                <c:pt idx="3">
                  <c:v>2021</c:v>
                </c:pt>
                <c:pt idx="4">
                  <c:v>2022</c:v>
                </c:pt>
                <c:pt idx="5">
                  <c:v>2023</c:v>
                </c:pt>
              </c:numCache>
            </c:numRef>
          </c:cat>
          <c:val>
            <c:numRef>
              <c:f>'Graf 9+10 '!$K$21:$P$21</c:f>
              <c:numCache>
                <c:formatCode>0.0</c:formatCode>
                <c:ptCount val="6"/>
                <c:pt idx="0">
                  <c:v>49.399716081953251</c:v>
                </c:pt>
                <c:pt idx="1">
                  <c:v>47.996600019112954</c:v>
                </c:pt>
                <c:pt idx="2">
                  <c:v>61.237731762813887</c:v>
                </c:pt>
                <c:pt idx="3">
                  <c:v>61.880446023645128</c:v>
                </c:pt>
                <c:pt idx="4">
                  <c:v>61.445255726036351</c:v>
                </c:pt>
                <c:pt idx="5">
                  <c:v>60.088223839173196</c:v>
                </c:pt>
              </c:numCache>
            </c:numRef>
          </c:val>
          <c:smooth val="0"/>
          <c:extLst xmlns:c16r2="http://schemas.microsoft.com/office/drawing/2015/06/chart">
            <c:ext xmlns:c16="http://schemas.microsoft.com/office/drawing/2014/chart" uri="{C3380CC4-5D6E-409C-BE32-E72D297353CC}">
              <c16:uniqueId val="{0000000C-3E62-47CD-824C-E59D890F0491}"/>
            </c:ext>
          </c:extLst>
        </c:ser>
        <c:ser>
          <c:idx val="6"/>
          <c:order val="3"/>
          <c:tx>
            <c:v>Čistý dlh</c:v>
          </c:tx>
          <c:spPr>
            <a:ln w="28575" cap="rnd">
              <a:noFill/>
              <a:round/>
            </a:ln>
            <a:effectLst/>
          </c:spPr>
          <c:marker>
            <c:symbol val="circle"/>
            <c:size val="6"/>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lumMod val="50000"/>
                      </a:schemeClr>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9+10 '!$K$20:$P$20</c:f>
              <c:numCache>
                <c:formatCode>General</c:formatCode>
                <c:ptCount val="6"/>
                <c:pt idx="0">
                  <c:v>2018</c:v>
                </c:pt>
                <c:pt idx="1">
                  <c:v>2019</c:v>
                </c:pt>
                <c:pt idx="2">
                  <c:v>2020</c:v>
                </c:pt>
                <c:pt idx="3">
                  <c:v>2021</c:v>
                </c:pt>
                <c:pt idx="4">
                  <c:v>2022</c:v>
                </c:pt>
                <c:pt idx="5">
                  <c:v>2023</c:v>
                </c:pt>
              </c:numCache>
            </c:numRef>
          </c:cat>
          <c:val>
            <c:numRef>
              <c:f>'Graf 9+10 '!$K$24:$P$24</c:f>
              <c:numCache>
                <c:formatCode>0.0</c:formatCode>
                <c:ptCount val="6"/>
                <c:pt idx="0">
                  <c:v>43.410814558707187</c:v>
                </c:pt>
                <c:pt idx="1">
                  <c:v>43.154547288616115</c:v>
                </c:pt>
                <c:pt idx="2">
                  <c:v>54.306186675056601</c:v>
                </c:pt>
                <c:pt idx="3">
                  <c:v>56.789945552293752</c:v>
                </c:pt>
                <c:pt idx="4">
                  <c:v>57.576704571669723</c:v>
                </c:pt>
                <c:pt idx="5">
                  <c:v>57.402780140481369</c:v>
                </c:pt>
              </c:numCache>
            </c:numRef>
          </c:val>
          <c:smooth val="0"/>
          <c:extLst xmlns:c16r2="http://schemas.microsoft.com/office/drawing/2015/06/chart">
            <c:ext xmlns:c16="http://schemas.microsoft.com/office/drawing/2014/chart" uri="{C3380CC4-5D6E-409C-BE32-E72D297353CC}">
              <c16:uniqueId val="{0000000D-3E62-47CD-824C-E59D890F0491}"/>
            </c:ext>
          </c:extLst>
        </c:ser>
        <c:ser>
          <c:idx val="1"/>
          <c:order val="4"/>
          <c:tx>
            <c:strRef>
              <c:f>'Graf 9+10 '!$J$25</c:f>
              <c:strCache>
                <c:ptCount val="1"/>
                <c:pt idx="0">
                  <c:v>Horné sankčné pásmo</c:v>
                </c:pt>
              </c:strCache>
            </c:strRef>
          </c:tx>
          <c:spPr>
            <a:ln w="12700" cap="rnd">
              <a:solidFill>
                <a:srgbClr val="FF0000"/>
              </a:solidFill>
              <a:round/>
            </a:ln>
            <a:effectLst/>
          </c:spPr>
          <c:marker>
            <c:symbol val="none"/>
          </c:marker>
          <c:cat>
            <c:numRef>
              <c:f>'Graf 9+10 '!$K$20:$P$20</c:f>
              <c:numCache>
                <c:formatCode>General</c:formatCode>
                <c:ptCount val="6"/>
                <c:pt idx="0">
                  <c:v>2018</c:v>
                </c:pt>
                <c:pt idx="1">
                  <c:v>2019</c:v>
                </c:pt>
                <c:pt idx="2">
                  <c:v>2020</c:v>
                </c:pt>
                <c:pt idx="3">
                  <c:v>2021</c:v>
                </c:pt>
                <c:pt idx="4">
                  <c:v>2022</c:v>
                </c:pt>
                <c:pt idx="5">
                  <c:v>2023</c:v>
                </c:pt>
              </c:numCache>
            </c:numRef>
          </c:cat>
          <c:val>
            <c:numRef>
              <c:f>'Graf 9+10 '!$K$25:$P$25</c:f>
              <c:numCache>
                <c:formatCode>0.0</c:formatCode>
                <c:ptCount val="6"/>
                <c:pt idx="0">
                  <c:v>59</c:v>
                </c:pt>
                <c:pt idx="1">
                  <c:v>58</c:v>
                </c:pt>
                <c:pt idx="2">
                  <c:v>57</c:v>
                </c:pt>
                <c:pt idx="3">
                  <c:v>56</c:v>
                </c:pt>
                <c:pt idx="4">
                  <c:v>55</c:v>
                </c:pt>
                <c:pt idx="5">
                  <c:v>54</c:v>
                </c:pt>
              </c:numCache>
            </c:numRef>
          </c:val>
          <c:smooth val="0"/>
          <c:extLst xmlns:c16r2="http://schemas.microsoft.com/office/drawing/2015/06/chart">
            <c:ext xmlns:c16="http://schemas.microsoft.com/office/drawing/2014/chart" uri="{C3380CC4-5D6E-409C-BE32-E72D297353CC}">
              <c16:uniqueId val="{0000000E-3E62-47CD-824C-E59D890F0491}"/>
            </c:ext>
          </c:extLst>
        </c:ser>
        <c:ser>
          <c:idx val="2"/>
          <c:order val="5"/>
          <c:tx>
            <c:strRef>
              <c:f>'Graf 9+10 '!$J$26</c:f>
              <c:strCache>
                <c:ptCount val="1"/>
                <c:pt idx="0">
                  <c:v>Dolné sankčné pásmo</c:v>
                </c:pt>
              </c:strCache>
            </c:strRef>
          </c:tx>
          <c:spPr>
            <a:ln w="12700" cap="rnd">
              <a:solidFill>
                <a:srgbClr val="FF0000"/>
              </a:solidFill>
              <a:prstDash val="dash"/>
              <a:round/>
            </a:ln>
            <a:effectLst/>
          </c:spPr>
          <c:marker>
            <c:symbol val="none"/>
          </c:marker>
          <c:cat>
            <c:numRef>
              <c:f>'Graf 9+10 '!$K$20:$P$20</c:f>
              <c:numCache>
                <c:formatCode>General</c:formatCode>
                <c:ptCount val="6"/>
                <c:pt idx="0">
                  <c:v>2018</c:v>
                </c:pt>
                <c:pt idx="1">
                  <c:v>2019</c:v>
                </c:pt>
                <c:pt idx="2">
                  <c:v>2020</c:v>
                </c:pt>
                <c:pt idx="3">
                  <c:v>2021</c:v>
                </c:pt>
                <c:pt idx="4">
                  <c:v>2022</c:v>
                </c:pt>
                <c:pt idx="5">
                  <c:v>2023</c:v>
                </c:pt>
              </c:numCache>
            </c:numRef>
          </c:cat>
          <c:val>
            <c:numRef>
              <c:f>'Graf 9+10 '!$K$26:$P$26</c:f>
              <c:numCache>
                <c:formatCode>0.0</c:formatCode>
                <c:ptCount val="6"/>
                <c:pt idx="0">
                  <c:v>49</c:v>
                </c:pt>
                <c:pt idx="1">
                  <c:v>48</c:v>
                </c:pt>
                <c:pt idx="2">
                  <c:v>47</c:v>
                </c:pt>
                <c:pt idx="3">
                  <c:v>46</c:v>
                </c:pt>
                <c:pt idx="4">
                  <c:v>45</c:v>
                </c:pt>
                <c:pt idx="5">
                  <c:v>44</c:v>
                </c:pt>
              </c:numCache>
            </c:numRef>
          </c:val>
          <c:smooth val="0"/>
          <c:extLst xmlns:c16r2="http://schemas.microsoft.com/office/drawing/2015/06/chart">
            <c:ext xmlns:c16="http://schemas.microsoft.com/office/drawing/2014/chart" uri="{C3380CC4-5D6E-409C-BE32-E72D297353CC}">
              <c16:uniqueId val="{0000000F-3E62-47CD-824C-E59D890F0491}"/>
            </c:ext>
          </c:extLst>
        </c:ser>
        <c:dLbls>
          <c:showLegendKey val="0"/>
          <c:showVal val="0"/>
          <c:showCatName val="0"/>
          <c:showSerName val="0"/>
          <c:showPercent val="0"/>
          <c:showBubbleSize val="0"/>
        </c:dLbls>
        <c:marker val="1"/>
        <c:smooth val="0"/>
        <c:axId val="236019832"/>
        <c:axId val="236020216"/>
      </c:lineChart>
      <c:catAx>
        <c:axId val="236019832"/>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36020216"/>
        <c:crosses val="autoZero"/>
        <c:auto val="1"/>
        <c:lblAlgn val="ctr"/>
        <c:lblOffset val="100"/>
        <c:noMultiLvlLbl val="0"/>
      </c:catAx>
      <c:valAx>
        <c:axId val="236020216"/>
        <c:scaling>
          <c:orientation val="minMax"/>
          <c:max val="70"/>
          <c:min val="30"/>
        </c:scaling>
        <c:delete val="0"/>
        <c:axPos val="l"/>
        <c:majorGridlines>
          <c:spPr>
            <a:ln w="9525" cap="flat" cmpd="sng" algn="ctr">
              <a:solidFill>
                <a:schemeClr val="accent2"/>
              </a:solidFill>
              <a:prstDash val="dash"/>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36019832"/>
        <c:crosses val="autoZero"/>
        <c:crossBetween val="between"/>
        <c:majorUnit val="5"/>
      </c:valAx>
      <c:spPr>
        <a:noFill/>
        <a:ln>
          <a:noFill/>
        </a:ln>
        <a:effectLst/>
      </c:spPr>
    </c:plotArea>
    <c:legend>
      <c:legendPos val="t"/>
      <c:layout>
        <c:manualLayout>
          <c:xMode val="edge"/>
          <c:yMode val="edge"/>
          <c:x val="0"/>
          <c:y val="0"/>
          <c:w val="1"/>
          <c:h val="0.1735225859925404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20517307131479E-2"/>
          <c:y val="6.4648737089681968E-2"/>
          <c:w val="0.93779456199554978"/>
          <c:h val="0.76963521920871003"/>
        </c:manualLayout>
      </c:layout>
      <c:lineChart>
        <c:grouping val="standard"/>
        <c:varyColors val="0"/>
        <c:ser>
          <c:idx val="0"/>
          <c:order val="0"/>
          <c:tx>
            <c:strRef>
              <c:f>'Prognoza hrubého dlhu'!$AE$37</c:f>
              <c:strCache>
                <c:ptCount val="1"/>
                <c:pt idx="0">
                  <c:v>Hrubý dlh VS (s opatreniami)</c:v>
                </c:pt>
              </c:strCache>
            </c:strRef>
          </c:tx>
          <c:spPr>
            <a:ln w="31750">
              <a:solidFill>
                <a:schemeClr val="tx1"/>
              </a:solidFill>
              <a:prstDash val="solid"/>
            </a:ln>
          </c:spPr>
          <c:marker>
            <c:symbol val="circle"/>
            <c:size val="6"/>
            <c:spPr>
              <a:solidFill>
                <a:schemeClr val="tx1"/>
              </a:solidFill>
              <a:ln>
                <a:noFill/>
              </a:ln>
            </c:spPr>
          </c:marker>
          <c:dLbls>
            <c:dLbl>
              <c:idx val="1"/>
              <c:delete val="1"/>
              <c:extLst xmlns:c16r2="http://schemas.microsoft.com/office/drawing/2015/06/chart">
                <c:ext xmlns:c16="http://schemas.microsoft.com/office/drawing/2014/chart" uri="{C3380CC4-5D6E-409C-BE32-E72D297353CC}">
                  <c16:uniqueId val="{00000000-0178-4623-A973-B890DEA85D83}"/>
                </c:ex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'Prognoza hrubého dlhu'!$AW$21:$BB$21</c:f>
              <c:numCache>
                <c:formatCode>General</c:formatCode>
                <c:ptCount val="6"/>
                <c:pt idx="0">
                  <c:v>2018</c:v>
                </c:pt>
                <c:pt idx="1">
                  <c:v>2019</c:v>
                </c:pt>
                <c:pt idx="2">
                  <c:v>2020</c:v>
                </c:pt>
                <c:pt idx="3">
                  <c:v>2021</c:v>
                </c:pt>
                <c:pt idx="4">
                  <c:v>2022</c:v>
                </c:pt>
                <c:pt idx="5">
                  <c:v>2023</c:v>
                </c:pt>
              </c:numCache>
            </c:numRef>
          </c:cat>
          <c:val>
            <c:numRef>
              <c:f>'Prognoza hrubého dlhu'!$AW$37:$BB$37</c:f>
              <c:numCache>
                <c:formatCode>0.0</c:formatCode>
                <c:ptCount val="6"/>
                <c:pt idx="1">
                  <c:v>47.996600019112954</c:v>
                </c:pt>
                <c:pt idx="2" formatCode="#\ ##0.0">
                  <c:v>61.237731762813887</c:v>
                </c:pt>
                <c:pt idx="3" formatCode="#\ ##0.0">
                  <c:v>61.880446023645128</c:v>
                </c:pt>
                <c:pt idx="4" formatCode="#\ ##0.0">
                  <c:v>61.445255726036351</c:v>
                </c:pt>
                <c:pt idx="5" formatCode="#\ ##0.0">
                  <c:v>60.088223839173196</c:v>
                </c:pt>
              </c:numCache>
            </c:numRef>
          </c:val>
          <c:smooth val="0"/>
          <c:extLst xmlns:c16r2="http://schemas.microsoft.com/office/drawing/2015/06/chart">
            <c:ext xmlns:c16="http://schemas.microsoft.com/office/drawing/2014/chart" uri="{C3380CC4-5D6E-409C-BE32-E72D297353CC}">
              <c16:uniqueId val="{00000000-FE00-499E-BB05-62ECB20CEBE0}"/>
            </c:ext>
          </c:extLst>
        </c:ser>
        <c:ser>
          <c:idx val="2"/>
          <c:order val="1"/>
          <c:tx>
            <c:strRef>
              <c:f>'Prognoza hrubého dlhu'!$AE$38</c:f>
              <c:strCache>
                <c:ptCount val="1"/>
                <c:pt idx="0">
                  <c:v>Hrubý dlh VS (bez opatrení)</c:v>
                </c:pt>
              </c:strCache>
            </c:strRef>
          </c:tx>
          <c:spPr>
            <a:ln w="19050">
              <a:solidFill>
                <a:schemeClr val="accent1"/>
              </a:solidFill>
              <a:prstDash val="solid"/>
            </a:ln>
          </c:spPr>
          <c:marker>
            <c:symbol val="none"/>
          </c:marker>
          <c:dLbls>
            <c:dLbl>
              <c:idx val="2"/>
              <c:delete val="1"/>
              <c:extLst xmlns:c16r2="http://schemas.microsoft.com/office/drawing/2015/06/chart">
                <c:ext xmlns:c16="http://schemas.microsoft.com/office/drawing/2014/chart" uri="{C3380CC4-5D6E-409C-BE32-E72D297353CC}">
                  <c16:uniqueId val="{00000001-0178-4623-A973-B890DEA85D83}"/>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'Prognoza hrubého dlhu'!$AW$21:$BB$21</c:f>
              <c:numCache>
                <c:formatCode>General</c:formatCode>
                <c:ptCount val="6"/>
                <c:pt idx="0">
                  <c:v>2018</c:v>
                </c:pt>
                <c:pt idx="1">
                  <c:v>2019</c:v>
                </c:pt>
                <c:pt idx="2">
                  <c:v>2020</c:v>
                </c:pt>
                <c:pt idx="3">
                  <c:v>2021</c:v>
                </c:pt>
                <c:pt idx="4">
                  <c:v>2022</c:v>
                </c:pt>
                <c:pt idx="5">
                  <c:v>2023</c:v>
                </c:pt>
              </c:numCache>
            </c:numRef>
          </c:cat>
          <c:val>
            <c:numRef>
              <c:f>'Prognoza hrubého dlhu'!$AW$38:$BB$38</c:f>
              <c:numCache>
                <c:formatCode>General</c:formatCode>
                <c:ptCount val="6"/>
                <c:pt idx="2" formatCode="#\ ##0.0">
                  <c:v>61.237731762813887</c:v>
                </c:pt>
                <c:pt idx="3" formatCode="#\ ##0.0">
                  <c:v>63.049306224402713</c:v>
                </c:pt>
                <c:pt idx="4" formatCode="#\ ##0.0">
                  <c:v>64.914467733288632</c:v>
                </c:pt>
                <c:pt idx="5" formatCode="#\ ##0.0">
                  <c:v>66.62237772261399</c:v>
                </c:pt>
              </c:numCache>
            </c:numRef>
          </c:val>
          <c:smooth val="0"/>
          <c:extLst xmlns:c16r2="http://schemas.microsoft.com/office/drawing/2015/06/chart">
            <c:ext xmlns:c16="http://schemas.microsoft.com/office/drawing/2014/chart" uri="{C3380CC4-5D6E-409C-BE32-E72D297353CC}">
              <c16:uniqueId val="{00000001-FE00-499E-BB05-62ECB20CEBE0}"/>
            </c:ext>
          </c:extLst>
        </c:ser>
        <c:ser>
          <c:idx val="9"/>
          <c:order val="8"/>
          <c:tx>
            <c:strRef>
              <c:f>'Prognoza hrubého dlhu'!$AE$40</c:f>
              <c:strCache>
                <c:ptCount val="1"/>
                <c:pt idx="0">
                  <c:v>Hrubý dlh VS - skutočnosť</c:v>
                </c:pt>
              </c:strCache>
            </c:strRef>
          </c:tx>
          <c:spPr>
            <a:ln>
              <a:solidFill>
                <a:schemeClr val="tx1"/>
              </a:solidFill>
            </a:ln>
          </c:spPr>
          <c:marker>
            <c:spPr>
              <a:solidFill>
                <a:schemeClr val="bg1">
                  <a:lumMod val="75000"/>
                </a:schemeClr>
              </a:solidFill>
              <a:ln>
                <a:solidFill>
                  <a:schemeClr val="tx1"/>
                </a:solidFill>
              </a:ln>
            </c:spPr>
          </c:marker>
          <c:dLbls>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'Prognoza hrubého dlhu'!$AW$21:$BB$21</c:f>
              <c:numCache>
                <c:formatCode>General</c:formatCode>
                <c:ptCount val="6"/>
                <c:pt idx="0">
                  <c:v>2018</c:v>
                </c:pt>
                <c:pt idx="1">
                  <c:v>2019</c:v>
                </c:pt>
                <c:pt idx="2">
                  <c:v>2020</c:v>
                </c:pt>
                <c:pt idx="3">
                  <c:v>2021</c:v>
                </c:pt>
                <c:pt idx="4">
                  <c:v>2022</c:v>
                </c:pt>
                <c:pt idx="5">
                  <c:v>2023</c:v>
                </c:pt>
              </c:numCache>
            </c:numRef>
          </c:cat>
          <c:val>
            <c:numRef>
              <c:f>'Prognoza hrubého dlhu'!$AW$40:$BB$40</c:f>
              <c:numCache>
                <c:formatCode>0.0</c:formatCode>
                <c:ptCount val="6"/>
                <c:pt idx="0">
                  <c:v>49.399716081953251</c:v>
                </c:pt>
                <c:pt idx="1">
                  <c:v>47.996600019112954</c:v>
                </c:pt>
              </c:numCache>
            </c:numRef>
          </c:val>
          <c:smooth val="0"/>
          <c:extLst xmlns:c16r2="http://schemas.microsoft.com/office/drawing/2015/06/chart">
            <c:ext xmlns:c16="http://schemas.microsoft.com/office/drawing/2014/chart" uri="{C3380CC4-5D6E-409C-BE32-E72D297353CC}">
              <c16:uniqueId val="{00000002-0178-4623-A973-B890DEA85D83}"/>
            </c:ext>
          </c:extLst>
        </c:ser>
        <c:dLbls>
          <c:showLegendKey val="0"/>
          <c:showVal val="0"/>
          <c:showCatName val="0"/>
          <c:showSerName val="0"/>
          <c:showPercent val="0"/>
          <c:showBubbleSize val="0"/>
        </c:dLbls>
        <c:marker val="1"/>
        <c:smooth val="0"/>
        <c:axId val="239427864"/>
        <c:axId val="239428256"/>
        <c:extLst xmlns:c16r2="http://schemas.microsoft.com/office/drawing/2015/06/chart">
          <c:ext xmlns:c15="http://schemas.microsoft.com/office/drawing/2012/chart" uri="{02D57815-91ED-43cb-92C2-25804820EDAC}">
            <c15:filteredLineSeries>
              <c15:ser>
                <c:idx val="1"/>
                <c:order val="2"/>
                <c:tx>
                  <c:strRef>
                    <c:extLst xmlns:c16r2="http://schemas.microsoft.com/office/drawing/2015/06/chart">
                      <c:ext uri="{02D57815-91ED-43cb-92C2-25804820EDAC}">
                        <c15:formulaRef>
                          <c15:sqref>'Prognoza hrubého dlhu'!$AE$22</c15:sqref>
                        </c15:formulaRef>
                      </c:ext>
                    </c:extLst>
                    <c:strCache>
                      <c:ptCount val="1"/>
                      <c:pt idx="0">
                        <c:v>Hrubý dlh VS - skutočnosť</c:v>
                      </c:pt>
                    </c:strCache>
                  </c:strRef>
                </c:tx>
                <c:spPr>
                  <a:ln w="25400">
                    <a:solidFill>
                      <a:schemeClr val="bg1">
                        <a:lumMod val="75000"/>
                      </a:schemeClr>
                    </a:solidFill>
                  </a:ln>
                </c:spPr>
                <c:marker>
                  <c:symbol val="circle"/>
                  <c:size val="5"/>
                  <c:spPr>
                    <a:solidFill>
                      <a:schemeClr val="bg1">
                        <a:lumMod val="65000"/>
                      </a:schemeClr>
                    </a:solidFill>
                    <a:ln>
                      <a:noFill/>
                    </a:ln>
                  </c:spPr>
                </c:marker>
                <c:dLbls>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uri="{CE6537A1-D6FC-4f65-9D91-7224C49458BB}">
                      <c15:showLeaderLines val="1"/>
                    </c:ext>
                  </c:extLst>
                </c:dLbls>
                <c:cat>
                  <c:numRef>
                    <c:extLst xmlns:c16r2="http://schemas.microsoft.com/office/drawing/2015/06/chart">
                      <c:ext uri="{02D57815-91ED-43cb-92C2-25804820EDAC}">
                        <c15:formulaRef>
                          <c15:sqref>'Prognoza hrubého dlhu'!$AW$21:$BB$21</c15:sqref>
                        </c15:formulaRef>
                      </c:ext>
                    </c:extLst>
                    <c:numCache>
                      <c:formatCode>General</c:formatCode>
                      <c:ptCount val="6"/>
                      <c:pt idx="0">
                        <c:v>2018</c:v>
                      </c:pt>
                      <c:pt idx="1">
                        <c:v>2019</c:v>
                      </c:pt>
                      <c:pt idx="2">
                        <c:v>2020</c:v>
                      </c:pt>
                      <c:pt idx="3">
                        <c:v>2021</c:v>
                      </c:pt>
                      <c:pt idx="4">
                        <c:v>2022</c:v>
                      </c:pt>
                      <c:pt idx="5">
                        <c:v>2023</c:v>
                      </c:pt>
                    </c:numCache>
                  </c:numRef>
                </c:cat>
                <c:val>
                  <c:numRef>
                    <c:extLst xmlns:c16r2="http://schemas.microsoft.com/office/drawing/2015/06/chart">
                      <c:ext uri="{02D57815-91ED-43cb-92C2-25804820EDAC}">
                        <c15:formulaRef>
                          <c15:sqref>'Prognoza hrubého dlhu'!$AF$22:$BB$22</c15:sqref>
                        </c15:formulaRef>
                      </c:ext>
                    </c:extLst>
                    <c:numCache>
                      <c:formatCode>0.0</c:formatCode>
                      <c:ptCount val="23"/>
                      <c:pt idx="0">
                        <c:v>51.112556745818068</c:v>
                      </c:pt>
                      <c:pt idx="1">
                        <c:v>45.297418931408131</c:v>
                      </c:pt>
                      <c:pt idx="2">
                        <c:v>43.241844440836779</c:v>
                      </c:pt>
                      <c:pt idx="3">
                        <c:v>41.715028660944768</c:v>
                      </c:pt>
                      <c:pt idx="4">
                        <c:v>34.731839914000133</c:v>
                      </c:pt>
                      <c:pt idx="5">
                        <c:v>31.426991067028553</c:v>
                      </c:pt>
                      <c:pt idx="6">
                        <c:v>30.345444617948708</c:v>
                      </c:pt>
                      <c:pt idx="7">
                        <c:v>28.598844266178187</c:v>
                      </c:pt>
                      <c:pt idx="8">
                        <c:v>36.360888192511553</c:v>
                      </c:pt>
                      <c:pt idx="9">
                        <c:v>40.9885226908319</c:v>
                      </c:pt>
                      <c:pt idx="10">
                        <c:v>43.464110699991011</c:v>
                      </c:pt>
                      <c:pt idx="11">
                        <c:v>51.753704373188413</c:v>
                      </c:pt>
                      <c:pt idx="12">
                        <c:v>54.707262183116647</c:v>
                      </c:pt>
                      <c:pt idx="13">
                        <c:v>53.507234906654269</c:v>
                      </c:pt>
                      <c:pt idx="14">
                        <c:v>51.887079996466312</c:v>
                      </c:pt>
                      <c:pt idx="15">
                        <c:v>52.024485830349597</c:v>
                      </c:pt>
                      <c:pt idx="16">
                        <c:v>51.314525402314004</c:v>
                      </c:pt>
                      <c:pt idx="17">
                        <c:v>49.399716081953251</c:v>
                      </c:pt>
                      <c:pt idx="18">
                        <c:v>47.996600019112954</c:v>
                      </c:pt>
                      <c:pt idx="19">
                        <c:v>61.237731762813887</c:v>
                      </c:pt>
                      <c:pt idx="20">
                        <c:v>61.880446023645128</c:v>
                      </c:pt>
                      <c:pt idx="21">
                        <c:v>61.445255726036351</c:v>
                      </c:pt>
                      <c:pt idx="22">
                        <c:v>60.088223839173196</c:v>
                      </c:pt>
                    </c:numCache>
                  </c:numRef>
                </c:val>
                <c:smooth val="0"/>
                <c:extLst xmlns:c16r2="http://schemas.microsoft.com/office/drawing/2015/06/chart">
                  <c:ext xmlns:c16="http://schemas.microsoft.com/office/drawing/2014/chart" uri="{C3380CC4-5D6E-409C-BE32-E72D297353CC}">
                    <c16:uniqueId val="{00000003-2AA4-4255-A189-000C806B559A}"/>
                  </c:ext>
                </c:extLst>
              </c15:ser>
            </c15:filteredLineSeries>
            <c15:filteredLineSeries>
              <c15:ser>
                <c:idx val="4"/>
                <c:order val="3"/>
                <c:tx>
                  <c:strRef>
                    <c:extLst xmlns:c16r2="http://schemas.microsoft.com/office/drawing/2015/06/chart" xmlns:c15="http://schemas.microsoft.com/office/drawing/2012/chart">
                      <c:ext xmlns:c15="http://schemas.microsoft.com/office/drawing/2012/chart" uri="{02D57815-91ED-43cb-92C2-25804820EDAC}">
                        <c15:formulaRef>
                          <c15:sqref>'Prognoza hrubého dlhu'!$AE$31</c15:sqref>
                        </c15:formulaRef>
                      </c:ext>
                    </c:extLst>
                    <c:strCache>
                      <c:ptCount val="1"/>
                      <c:pt idx="0">
                        <c:v>Sankčné pásma "dlhovej brzdy"</c:v>
                      </c:pt>
                    </c:strCache>
                  </c:strRef>
                </c:tx>
                <c:spPr>
                  <a:ln w="19050">
                    <a:solidFill>
                      <a:schemeClr val="accent6">
                        <a:lumMod val="50000"/>
                      </a:schemeClr>
                    </a:solidFill>
                    <a:prstDash val="sysDot"/>
                  </a:ln>
                </c:spPr>
                <c:marker>
                  <c:symbol val="none"/>
                </c:marker>
                <c:cat>
                  <c:numRef>
                    <c:extLst xmlns:c16r2="http://schemas.microsoft.com/office/drawing/2015/06/chart" xmlns:c15="http://schemas.microsoft.com/office/drawing/2012/chart">
                      <c:ext xmlns:c15="http://schemas.microsoft.com/office/drawing/2012/chart" uri="{02D57815-91ED-43cb-92C2-25804820EDAC}">
                        <c15:formulaRef>
                          <c15:sqref>'Prognoza hrubého dlhu'!$AW$21:$BB$21</c15:sqref>
                        </c15:formulaRef>
                      </c:ext>
                    </c:extLst>
                    <c:numCache>
                      <c:formatCode>General</c:formatCode>
                      <c:ptCount val="6"/>
                      <c:pt idx="0">
                        <c:v>2018</c:v>
                      </c:pt>
                      <c:pt idx="1">
                        <c:v>2019</c:v>
                      </c:pt>
                      <c:pt idx="2">
                        <c:v>2020</c:v>
                      </c:pt>
                      <c:pt idx="3">
                        <c:v>2021</c:v>
                      </c:pt>
                      <c:pt idx="4">
                        <c:v>2022</c:v>
                      </c:pt>
                      <c:pt idx="5">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'Prognoza hrubého dlhu'!$AF$30:$BB$30</c15:sqref>
                        </c15:formulaRef>
                      </c:ext>
                    </c:extLst>
                    <c:numCache>
                      <c:formatCode>General</c:formatCode>
                      <c:ptCount val="23"/>
                      <c:pt idx="11">
                        <c:v>50</c:v>
                      </c:pt>
                      <c:pt idx="12">
                        <c:v>50</c:v>
                      </c:pt>
                      <c:pt idx="13">
                        <c:v>50</c:v>
                      </c:pt>
                      <c:pt idx="14">
                        <c:v>50</c:v>
                      </c:pt>
                      <c:pt idx="15">
                        <c:v>50</c:v>
                      </c:pt>
                      <c:pt idx="16">
                        <c:v>50</c:v>
                      </c:pt>
                      <c:pt idx="17">
                        <c:v>49</c:v>
                      </c:pt>
                      <c:pt idx="18">
                        <c:v>48</c:v>
                      </c:pt>
                      <c:pt idx="19">
                        <c:v>47</c:v>
                      </c:pt>
                      <c:pt idx="20">
                        <c:v>46</c:v>
                      </c:pt>
                      <c:pt idx="21">
                        <c:v>45</c:v>
                      </c:pt>
                      <c:pt idx="22">
                        <c:v>44</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3-FE00-499E-BB05-62ECB20CEBE0}"/>
                  </c:ext>
                </c:extLst>
              </c15:ser>
            </c15:filteredLineSeries>
            <c15:filteredLineSeries>
              <c15:ser>
                <c:idx val="5"/>
                <c:order val="4"/>
                <c:tx>
                  <c:strRef>
                    <c:extLst xmlns:c16r2="http://schemas.microsoft.com/office/drawing/2015/06/chart" xmlns:c15="http://schemas.microsoft.com/office/drawing/2012/chart">
                      <c:ext xmlns:c15="http://schemas.microsoft.com/office/drawing/2012/chart" uri="{02D57815-91ED-43cb-92C2-25804820EDAC}">
                        <c15:formulaRef>
                          <c15:sqref>'Prognoza hrubého dlhu'!$AE$31</c15:sqref>
                        </c15:formulaRef>
                      </c:ext>
                    </c:extLst>
                    <c:strCache>
                      <c:ptCount val="1"/>
                      <c:pt idx="0">
                        <c:v>Sankčné pásma "dlhovej brzdy"</c:v>
                      </c:pt>
                    </c:strCache>
                  </c:strRef>
                </c:tx>
                <c:spPr>
                  <a:ln w="19050">
                    <a:solidFill>
                      <a:schemeClr val="accent6">
                        <a:lumMod val="50000"/>
                      </a:schemeClr>
                    </a:solidFill>
                    <a:prstDash val="sysDot"/>
                  </a:ln>
                </c:spPr>
                <c:marker>
                  <c:symbol val="none"/>
                </c:marker>
                <c:cat>
                  <c:numRef>
                    <c:extLst xmlns:c16r2="http://schemas.microsoft.com/office/drawing/2015/06/chart" xmlns:c15="http://schemas.microsoft.com/office/drawing/2012/chart">
                      <c:ext xmlns:c15="http://schemas.microsoft.com/office/drawing/2012/chart" uri="{02D57815-91ED-43cb-92C2-25804820EDAC}">
                        <c15:formulaRef>
                          <c15:sqref>'Prognoza hrubého dlhu'!$AW$21:$BB$21</c15:sqref>
                        </c15:formulaRef>
                      </c:ext>
                    </c:extLst>
                    <c:numCache>
                      <c:formatCode>General</c:formatCode>
                      <c:ptCount val="6"/>
                      <c:pt idx="0">
                        <c:v>2018</c:v>
                      </c:pt>
                      <c:pt idx="1">
                        <c:v>2019</c:v>
                      </c:pt>
                      <c:pt idx="2">
                        <c:v>2020</c:v>
                      </c:pt>
                      <c:pt idx="3">
                        <c:v>2021</c:v>
                      </c:pt>
                      <c:pt idx="4">
                        <c:v>2022</c:v>
                      </c:pt>
                      <c:pt idx="5">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'Prognoza hrubého dlhu'!$AF$31:$BB$31</c15:sqref>
                        </c15:formulaRef>
                      </c:ext>
                    </c:extLst>
                    <c:numCache>
                      <c:formatCode>General</c:formatCode>
                      <c:ptCount val="23"/>
                      <c:pt idx="11">
                        <c:v>53</c:v>
                      </c:pt>
                      <c:pt idx="12">
                        <c:v>53</c:v>
                      </c:pt>
                      <c:pt idx="13">
                        <c:v>53</c:v>
                      </c:pt>
                      <c:pt idx="14">
                        <c:v>53</c:v>
                      </c:pt>
                      <c:pt idx="15">
                        <c:v>53</c:v>
                      </c:pt>
                      <c:pt idx="16">
                        <c:v>53</c:v>
                      </c:pt>
                      <c:pt idx="17">
                        <c:v>52</c:v>
                      </c:pt>
                      <c:pt idx="18">
                        <c:v>51</c:v>
                      </c:pt>
                      <c:pt idx="19">
                        <c:v>50</c:v>
                      </c:pt>
                      <c:pt idx="20">
                        <c:v>49</c:v>
                      </c:pt>
                      <c:pt idx="21">
                        <c:v>48</c:v>
                      </c:pt>
                      <c:pt idx="22">
                        <c:v>47</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4-FE00-499E-BB05-62ECB20CEBE0}"/>
                  </c:ext>
                </c:extLst>
              </c15:ser>
            </c15:filteredLineSeries>
            <c15:filteredLineSeries>
              <c15:ser>
                <c:idx val="6"/>
                <c:order val="5"/>
                <c:tx>
                  <c:strRef>
                    <c:extLst xmlns:c16r2="http://schemas.microsoft.com/office/drawing/2015/06/chart" xmlns:c15="http://schemas.microsoft.com/office/drawing/2012/chart">
                      <c:ext xmlns:c15="http://schemas.microsoft.com/office/drawing/2012/chart" uri="{02D57815-91ED-43cb-92C2-25804820EDAC}">
                        <c15:formulaRef>
                          <c15:sqref>'Prognoza hrubého dlhu'!$AE$32</c15:sqref>
                        </c15:formulaRef>
                      </c:ext>
                    </c:extLst>
                    <c:strCache>
                      <c:ptCount val="1"/>
                      <c:pt idx="0">
                        <c:v>Sankčné pásma</c:v>
                      </c:pt>
                    </c:strCache>
                  </c:strRef>
                </c:tx>
                <c:spPr>
                  <a:ln w="19050">
                    <a:solidFill>
                      <a:schemeClr val="accent6">
                        <a:lumMod val="50000"/>
                      </a:schemeClr>
                    </a:solidFill>
                    <a:prstDash val="sysDot"/>
                  </a:ln>
                </c:spPr>
                <c:marker>
                  <c:symbol val="none"/>
                </c:marker>
                <c:cat>
                  <c:numRef>
                    <c:extLst xmlns:c16r2="http://schemas.microsoft.com/office/drawing/2015/06/chart" xmlns:c15="http://schemas.microsoft.com/office/drawing/2012/chart">
                      <c:ext xmlns:c15="http://schemas.microsoft.com/office/drawing/2012/chart" uri="{02D57815-91ED-43cb-92C2-25804820EDAC}">
                        <c15:formulaRef>
                          <c15:sqref>'Prognoza hrubého dlhu'!$AW$21:$BB$21</c15:sqref>
                        </c15:formulaRef>
                      </c:ext>
                    </c:extLst>
                    <c:numCache>
                      <c:formatCode>General</c:formatCode>
                      <c:ptCount val="6"/>
                      <c:pt idx="0">
                        <c:v>2018</c:v>
                      </c:pt>
                      <c:pt idx="1">
                        <c:v>2019</c:v>
                      </c:pt>
                      <c:pt idx="2">
                        <c:v>2020</c:v>
                      </c:pt>
                      <c:pt idx="3">
                        <c:v>2021</c:v>
                      </c:pt>
                      <c:pt idx="4">
                        <c:v>2022</c:v>
                      </c:pt>
                      <c:pt idx="5">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'Prognoza hrubého dlhu'!$AF$32:$BB$32</c15:sqref>
                        </c15:formulaRef>
                      </c:ext>
                    </c:extLst>
                    <c:numCache>
                      <c:formatCode>General</c:formatCode>
                      <c:ptCount val="23"/>
                      <c:pt idx="11">
                        <c:v>55</c:v>
                      </c:pt>
                      <c:pt idx="12">
                        <c:v>55</c:v>
                      </c:pt>
                      <c:pt idx="13">
                        <c:v>55</c:v>
                      </c:pt>
                      <c:pt idx="14">
                        <c:v>55</c:v>
                      </c:pt>
                      <c:pt idx="15">
                        <c:v>55</c:v>
                      </c:pt>
                      <c:pt idx="16">
                        <c:v>55</c:v>
                      </c:pt>
                      <c:pt idx="17">
                        <c:v>54</c:v>
                      </c:pt>
                      <c:pt idx="18">
                        <c:v>53</c:v>
                      </c:pt>
                      <c:pt idx="19">
                        <c:v>52</c:v>
                      </c:pt>
                      <c:pt idx="20">
                        <c:v>51</c:v>
                      </c:pt>
                      <c:pt idx="21">
                        <c:v>50</c:v>
                      </c:pt>
                      <c:pt idx="22">
                        <c:v>49</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5-FE00-499E-BB05-62ECB20CEBE0}"/>
                  </c:ext>
                </c:extLst>
              </c15:ser>
            </c15:filteredLineSeries>
            <c15:filteredLineSeries>
              <c15:ser>
                <c:idx val="7"/>
                <c:order val="6"/>
                <c:tx>
                  <c:strRef>
                    <c:extLst xmlns:c16r2="http://schemas.microsoft.com/office/drawing/2015/06/chart" xmlns:c15="http://schemas.microsoft.com/office/drawing/2012/chart">
                      <c:ext xmlns:c15="http://schemas.microsoft.com/office/drawing/2012/chart" uri="{02D57815-91ED-43cb-92C2-25804820EDAC}">
                        <c15:formulaRef>
                          <c15:sqref>'Prognoza hrubého dlhu'!$AE$33</c15:sqref>
                        </c15:formulaRef>
                      </c:ext>
                    </c:extLst>
                    <c:strCache>
                      <c:ptCount val="1"/>
                      <c:pt idx="0">
                        <c:v>Sankčné pásma</c:v>
                      </c:pt>
                    </c:strCache>
                  </c:strRef>
                </c:tx>
                <c:spPr>
                  <a:ln w="22225">
                    <a:solidFill>
                      <a:schemeClr val="accent6">
                        <a:lumMod val="50000"/>
                      </a:schemeClr>
                    </a:solidFill>
                    <a:prstDash val="sysDot"/>
                  </a:ln>
                </c:spPr>
                <c:marker>
                  <c:symbol val="none"/>
                </c:marker>
                <c:cat>
                  <c:numRef>
                    <c:extLst xmlns:c16r2="http://schemas.microsoft.com/office/drawing/2015/06/chart" xmlns:c15="http://schemas.microsoft.com/office/drawing/2012/chart">
                      <c:ext xmlns:c15="http://schemas.microsoft.com/office/drawing/2012/chart" uri="{02D57815-91ED-43cb-92C2-25804820EDAC}">
                        <c15:formulaRef>
                          <c15:sqref>'Prognoza hrubého dlhu'!$AW$21:$BB$21</c15:sqref>
                        </c15:formulaRef>
                      </c:ext>
                    </c:extLst>
                    <c:numCache>
                      <c:formatCode>General</c:formatCode>
                      <c:ptCount val="6"/>
                      <c:pt idx="0">
                        <c:v>2018</c:v>
                      </c:pt>
                      <c:pt idx="1">
                        <c:v>2019</c:v>
                      </c:pt>
                      <c:pt idx="2">
                        <c:v>2020</c:v>
                      </c:pt>
                      <c:pt idx="3">
                        <c:v>2021</c:v>
                      </c:pt>
                      <c:pt idx="4">
                        <c:v>2022</c:v>
                      </c:pt>
                      <c:pt idx="5">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'Prognoza hrubého dlhu'!$AF$33:$BB$33</c15:sqref>
                        </c15:formulaRef>
                      </c:ext>
                    </c:extLst>
                    <c:numCache>
                      <c:formatCode>General</c:formatCode>
                      <c:ptCount val="23"/>
                      <c:pt idx="11">
                        <c:v>57</c:v>
                      </c:pt>
                      <c:pt idx="12">
                        <c:v>57</c:v>
                      </c:pt>
                      <c:pt idx="13">
                        <c:v>57</c:v>
                      </c:pt>
                      <c:pt idx="14">
                        <c:v>57</c:v>
                      </c:pt>
                      <c:pt idx="15">
                        <c:v>57</c:v>
                      </c:pt>
                      <c:pt idx="16">
                        <c:v>57</c:v>
                      </c:pt>
                      <c:pt idx="17">
                        <c:v>56</c:v>
                      </c:pt>
                      <c:pt idx="18">
                        <c:v>55</c:v>
                      </c:pt>
                      <c:pt idx="19">
                        <c:v>54</c:v>
                      </c:pt>
                      <c:pt idx="20">
                        <c:v>53</c:v>
                      </c:pt>
                      <c:pt idx="21">
                        <c:v>52</c:v>
                      </c:pt>
                      <c:pt idx="22">
                        <c:v>51</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6-FE00-499E-BB05-62ECB20CEBE0}"/>
                  </c:ext>
                </c:extLst>
              </c15:ser>
            </c15:filteredLineSeries>
            <c15:filteredLineSeries>
              <c15:ser>
                <c:idx val="8"/>
                <c:order val="7"/>
                <c:tx>
                  <c:strRef>
                    <c:extLst xmlns:c16r2="http://schemas.microsoft.com/office/drawing/2015/06/chart" xmlns:c15="http://schemas.microsoft.com/office/drawing/2012/chart">
                      <c:ext xmlns:c15="http://schemas.microsoft.com/office/drawing/2012/chart" uri="{02D57815-91ED-43cb-92C2-25804820EDAC}">
                        <c15:formulaRef>
                          <c15:sqref>'Prognoza hrubého dlhu'!$AE$34</c15:sqref>
                        </c15:formulaRef>
                      </c:ext>
                    </c:extLst>
                    <c:strCache>
                      <c:ptCount val="1"/>
                      <c:pt idx="0">
                        <c:v>Sankčné pásma</c:v>
                      </c:pt>
                    </c:strCache>
                  </c:strRef>
                </c:tx>
                <c:spPr>
                  <a:ln w="19050">
                    <a:solidFill>
                      <a:schemeClr val="accent6">
                        <a:lumMod val="50000"/>
                      </a:schemeClr>
                    </a:solidFill>
                    <a:prstDash val="sysDot"/>
                  </a:ln>
                </c:spPr>
                <c:marker>
                  <c:symbol val="none"/>
                </c:marker>
                <c:cat>
                  <c:numRef>
                    <c:extLst xmlns:c16r2="http://schemas.microsoft.com/office/drawing/2015/06/chart" xmlns:c15="http://schemas.microsoft.com/office/drawing/2012/chart">
                      <c:ext xmlns:c15="http://schemas.microsoft.com/office/drawing/2012/chart" uri="{02D57815-91ED-43cb-92C2-25804820EDAC}">
                        <c15:formulaRef>
                          <c15:sqref>'Prognoza hrubého dlhu'!$AW$21:$BB$21</c15:sqref>
                        </c15:formulaRef>
                      </c:ext>
                    </c:extLst>
                    <c:numCache>
                      <c:formatCode>General</c:formatCode>
                      <c:ptCount val="6"/>
                      <c:pt idx="0">
                        <c:v>2018</c:v>
                      </c:pt>
                      <c:pt idx="1">
                        <c:v>2019</c:v>
                      </c:pt>
                      <c:pt idx="2">
                        <c:v>2020</c:v>
                      </c:pt>
                      <c:pt idx="3">
                        <c:v>2021</c:v>
                      </c:pt>
                      <c:pt idx="4">
                        <c:v>2022</c:v>
                      </c:pt>
                      <c:pt idx="5">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'Prognoza hrubého dlhu'!$AF$34:$BB$34</c15:sqref>
                        </c15:formulaRef>
                      </c:ext>
                    </c:extLst>
                    <c:numCache>
                      <c:formatCode>General</c:formatCode>
                      <c:ptCount val="23"/>
                      <c:pt idx="11">
                        <c:v>60</c:v>
                      </c:pt>
                      <c:pt idx="12">
                        <c:v>60</c:v>
                      </c:pt>
                      <c:pt idx="13">
                        <c:v>60</c:v>
                      </c:pt>
                      <c:pt idx="14">
                        <c:v>60</c:v>
                      </c:pt>
                      <c:pt idx="15">
                        <c:v>60</c:v>
                      </c:pt>
                      <c:pt idx="16">
                        <c:v>60</c:v>
                      </c:pt>
                      <c:pt idx="17">
                        <c:v>59</c:v>
                      </c:pt>
                      <c:pt idx="18">
                        <c:v>58</c:v>
                      </c:pt>
                      <c:pt idx="19">
                        <c:v>57</c:v>
                      </c:pt>
                      <c:pt idx="20">
                        <c:v>56</c:v>
                      </c:pt>
                      <c:pt idx="21">
                        <c:v>55</c:v>
                      </c:pt>
                      <c:pt idx="22">
                        <c:v>54</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7-FE00-499E-BB05-62ECB20CEBE0}"/>
                  </c:ext>
                </c:extLst>
              </c15:ser>
            </c15:filteredLineSeries>
          </c:ext>
        </c:extLst>
      </c:lineChart>
      <c:catAx>
        <c:axId val="239427864"/>
        <c:scaling>
          <c:orientation val="minMax"/>
        </c:scaling>
        <c:delete val="0"/>
        <c:axPos val="b"/>
        <c:numFmt formatCode="General" sourceLinked="1"/>
        <c:majorTickMark val="out"/>
        <c:minorTickMark val="none"/>
        <c:tickLblPos val="nextTo"/>
        <c:txPr>
          <a:bodyPr rot="0" vert="horz"/>
          <a:lstStyle/>
          <a:p>
            <a:pPr>
              <a:defRPr/>
            </a:pPr>
            <a:endParaRPr lang="sk-SK"/>
          </a:p>
        </c:txPr>
        <c:crossAx val="239428256"/>
        <c:crosses val="autoZero"/>
        <c:auto val="1"/>
        <c:lblAlgn val="ctr"/>
        <c:lblOffset val="100"/>
        <c:noMultiLvlLbl val="0"/>
      </c:catAx>
      <c:valAx>
        <c:axId val="239428256"/>
        <c:scaling>
          <c:orientation val="minMax"/>
          <c:max val="70"/>
          <c:min val="40"/>
        </c:scaling>
        <c:delete val="0"/>
        <c:axPos val="r"/>
        <c:majorGridlines>
          <c:spPr>
            <a:ln>
              <a:solidFill>
                <a:schemeClr val="bg1">
                  <a:lumMod val="95000"/>
                </a:schemeClr>
              </a:solidFill>
              <a:prstDash val="sysDot"/>
            </a:ln>
          </c:spPr>
        </c:majorGridlines>
        <c:numFmt formatCode="0" sourceLinked="0"/>
        <c:majorTickMark val="out"/>
        <c:minorTickMark val="none"/>
        <c:tickLblPos val="nextTo"/>
        <c:crossAx val="239427864"/>
        <c:crosses val="max"/>
        <c:crossBetween val="between"/>
      </c:valAx>
      <c:spPr>
        <a:noFill/>
      </c:spPr>
    </c:plotArea>
    <c:legend>
      <c:legendPos val="b"/>
      <c:legendEntry>
        <c:idx val="2"/>
        <c:delete val="1"/>
      </c:legendEntry>
      <c:layout>
        <c:manualLayout>
          <c:xMode val="edge"/>
          <c:yMode val="edge"/>
          <c:x val="0.29559056890140339"/>
          <c:y val="0.5719460363312574"/>
          <c:w val="0.66507904583267241"/>
          <c:h val="0.18309908007061249"/>
        </c:manualLayout>
      </c:layout>
      <c:overlay val="0"/>
    </c:legend>
    <c:plotVisOnly val="1"/>
    <c:dispBlanksAs val="gap"/>
    <c:showDLblsOverMax val="0"/>
  </c:chart>
  <c:spPr>
    <a:noFill/>
    <a:ln>
      <a:noFill/>
    </a:ln>
  </c:spPr>
  <c:txPr>
    <a:bodyPr/>
    <a:lstStyle/>
    <a:p>
      <a:pPr>
        <a:defRPr sz="800">
          <a:latin typeface="Arial Narrow" pitchFamily="34" charset="0"/>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820667575922261E-2"/>
          <c:y val="0.18517098259733894"/>
          <c:w val="0.91121101931561055"/>
          <c:h val="0.70433816080978329"/>
        </c:manualLayout>
      </c:layout>
      <c:barChart>
        <c:barDir val="col"/>
        <c:grouping val="stacked"/>
        <c:varyColors val="0"/>
        <c:ser>
          <c:idx val="1"/>
          <c:order val="1"/>
          <c:tx>
            <c:strRef>
              <c:f>'Cisty dlh'!$K$48</c:f>
              <c:strCache>
                <c:ptCount val="1"/>
                <c:pt idx="0">
                  <c:v>Čistý dlh verejnej správy</c:v>
                </c:pt>
              </c:strCache>
            </c:strRef>
          </c:tx>
          <c:spPr>
            <a:solidFill>
              <a:schemeClr val="accent1"/>
            </a:solidFill>
            <a:ln w="25400">
              <a:noFill/>
            </a:ln>
          </c:spPr>
          <c:invertIfNegative val="0"/>
          <c:dLbls>
            <c:numFmt formatCode="#,##0.0" sourceLinked="0"/>
            <c:spPr>
              <a:solidFill>
                <a:schemeClr val="accent1"/>
              </a:solidFill>
              <a:ln>
                <a:solidFill>
                  <a:schemeClr val="tx1"/>
                </a:solidFill>
              </a:ln>
            </c:spPr>
            <c:txPr>
              <a:bodyPr/>
              <a:lstStyle/>
              <a:p>
                <a:pPr>
                  <a:defRPr>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'Cisty dlh'!$C$2:$W$2</c:f>
              <c:numCache>
                <c:formatCode>General</c:formatCode>
                <c:ptCount val="6"/>
                <c:pt idx="0">
                  <c:v>2018</c:v>
                </c:pt>
                <c:pt idx="1">
                  <c:v>2019</c:v>
                </c:pt>
                <c:pt idx="2">
                  <c:v>2020</c:v>
                </c:pt>
                <c:pt idx="3">
                  <c:v>2021</c:v>
                </c:pt>
                <c:pt idx="4">
                  <c:v>2022</c:v>
                </c:pt>
                <c:pt idx="5">
                  <c:v>2023</c:v>
                </c:pt>
              </c:numCache>
            </c:numRef>
          </c:cat>
          <c:val>
            <c:numRef>
              <c:f>'Cisty dlh'!$C$21:$W$21</c:f>
              <c:numCache>
                <c:formatCode>#\ ##0.0</c:formatCode>
                <c:ptCount val="6"/>
                <c:pt idx="0">
                  <c:v>43.410814558707187</c:v>
                </c:pt>
                <c:pt idx="1">
                  <c:v>43.154547288616115</c:v>
                </c:pt>
                <c:pt idx="2">
                  <c:v>54.306186675056601</c:v>
                </c:pt>
                <c:pt idx="3">
                  <c:v>56.789945552293752</c:v>
                </c:pt>
                <c:pt idx="4">
                  <c:v>57.576704571669723</c:v>
                </c:pt>
                <c:pt idx="5">
                  <c:v>57.402780140481369</c:v>
                </c:pt>
              </c:numCache>
            </c:numRef>
          </c:val>
          <c:extLst xmlns:c16r2="http://schemas.microsoft.com/office/drawing/2015/06/chart">
            <c:ext xmlns:c16="http://schemas.microsoft.com/office/drawing/2014/chart" uri="{C3380CC4-5D6E-409C-BE32-E72D297353CC}">
              <c16:uniqueId val="{00000000-986F-4DCC-B8AF-B6E3855933EC}"/>
            </c:ext>
          </c:extLst>
        </c:ser>
        <c:ser>
          <c:idx val="5"/>
          <c:order val="2"/>
          <c:tx>
            <c:v>Likvidné finančné aktíva</c:v>
          </c:tx>
          <c:spPr>
            <a:solidFill>
              <a:schemeClr val="accent2"/>
            </a:solidFill>
            <a:ln w="28575">
              <a:noFill/>
            </a:ln>
          </c:spPr>
          <c:invertIfNegative val="0"/>
          <c:cat>
            <c:numRef>
              <c:f>'Cisty dlh'!$C$2:$W$2</c:f>
              <c:numCache>
                <c:formatCode>General</c:formatCode>
                <c:ptCount val="6"/>
                <c:pt idx="0">
                  <c:v>2018</c:v>
                </c:pt>
                <c:pt idx="1">
                  <c:v>2019</c:v>
                </c:pt>
                <c:pt idx="2">
                  <c:v>2020</c:v>
                </c:pt>
                <c:pt idx="3">
                  <c:v>2021</c:v>
                </c:pt>
                <c:pt idx="4">
                  <c:v>2022</c:v>
                </c:pt>
                <c:pt idx="5">
                  <c:v>2023</c:v>
                </c:pt>
              </c:numCache>
            </c:numRef>
          </c:cat>
          <c:val>
            <c:numRef>
              <c:f>'Cisty dlh'!$C$14:$W$14</c:f>
              <c:numCache>
                <c:formatCode>#\ ##0.0</c:formatCode>
                <c:ptCount val="6"/>
                <c:pt idx="0">
                  <c:v>5.9889015232460565</c:v>
                </c:pt>
                <c:pt idx="1">
                  <c:v>4.8420527304968308</c:v>
                </c:pt>
                <c:pt idx="2">
                  <c:v>6.9315450877572893</c:v>
                </c:pt>
                <c:pt idx="3">
                  <c:v>5.0905004713513753</c:v>
                </c:pt>
                <c:pt idx="4">
                  <c:v>3.8685511543666276</c:v>
                </c:pt>
                <c:pt idx="5">
                  <c:v>2.6854436986918215</c:v>
                </c:pt>
              </c:numCache>
            </c:numRef>
          </c:val>
          <c:extLst xmlns:c16r2="http://schemas.microsoft.com/office/drawing/2015/06/chart">
            <c:ext xmlns:c16="http://schemas.microsoft.com/office/drawing/2014/chart" uri="{C3380CC4-5D6E-409C-BE32-E72D297353CC}">
              <c16:uniqueId val="{00000001-986F-4DCC-B8AF-B6E3855933EC}"/>
            </c:ext>
          </c:extLst>
        </c:ser>
        <c:dLbls>
          <c:showLegendKey val="0"/>
          <c:showVal val="0"/>
          <c:showCatName val="0"/>
          <c:showSerName val="0"/>
          <c:showPercent val="0"/>
          <c:showBubbleSize val="0"/>
        </c:dLbls>
        <c:gapWidth val="150"/>
        <c:overlap val="100"/>
        <c:axId val="239429040"/>
        <c:axId val="239429432"/>
        <c:extLst xmlns:c16r2="http://schemas.microsoft.com/office/drawing/2015/06/chart">
          <c:ext xmlns:c15="http://schemas.microsoft.com/office/drawing/2012/chart" uri="{02D57815-91ED-43cb-92C2-25804820EDAC}">
            <c15:filteredBarSeries>
              <c15:ser>
                <c:idx val="2"/>
                <c:order val="4"/>
                <c:tx>
                  <c:v>Hotovosť a vklady</c:v>
                </c:tx>
                <c:spPr>
                  <a:solidFill>
                    <a:srgbClr val="AAD3F2"/>
                  </a:solidFill>
                  <a:ln w="25400">
                    <a:noFill/>
                  </a:ln>
                </c:spPr>
                <c:invertIfNegative val="0"/>
                <c:cat>
                  <c:numRef>
                    <c:extLst xmlns:c16r2="http://schemas.microsoft.com/office/drawing/2015/06/chart">
                      <c:ext uri="{02D57815-91ED-43cb-92C2-25804820EDAC}">
                        <c15:formulaRef>
                          <c15:sqref>'Cisty dlh'!$C$2:$W$2</c15:sqref>
                        </c15:formulaRef>
                      </c:ext>
                    </c:extLst>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extLst xmlns:c16r2="http://schemas.microsoft.com/office/drawing/2015/06/chart">
                      <c:ext uri="{02D57815-91ED-43cb-92C2-25804820EDAC}">
                        <c15:formulaRef>
                          <c15:sqref>'Cisty dlh'!$M$16:$T$16</c15:sqref>
                        </c15:formulaRef>
                      </c:ext>
                    </c:extLst>
                  </c:numRef>
                </c:val>
                <c:extLst xmlns:c16r2="http://schemas.microsoft.com/office/drawing/2015/06/chart">
                  <c:ext xmlns:c16="http://schemas.microsoft.com/office/drawing/2014/chart" uri="{C3380CC4-5D6E-409C-BE32-E72D297353CC}">
                    <c16:uniqueId val="{00000004-986F-4DCC-B8AF-B6E3855933EC}"/>
                  </c:ext>
                </c:extLst>
              </c15:ser>
            </c15:filteredBarSeries>
            <c15:filteredBarSeries>
              <c15:ser>
                <c:idx val="3"/>
                <c:order val="5"/>
                <c:tx>
                  <c:v>Cenné papiere (mimo akcií)</c:v>
                </c:tx>
                <c:spPr>
                  <a:ln w="28575">
                    <a:noFill/>
                  </a:ln>
                </c:spPr>
                <c:invertIfNegative val="0"/>
                <c:cat>
                  <c:numRef>
                    <c:extLst xmlns:c16r2="http://schemas.microsoft.com/office/drawing/2015/06/chart" xmlns:c15="http://schemas.microsoft.com/office/drawing/2012/chart">
                      <c:ext xmlns:c15="http://schemas.microsoft.com/office/drawing/2012/chart" uri="{02D57815-91ED-43cb-92C2-25804820EDAC}">
                        <c15:formulaRef>
                          <c15:sqref>'Cisty dlh'!$C$2:$W$2</c15:sqref>
                        </c15:formulaRef>
                      </c:ext>
                    </c:extLst>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'Cisty dlh'!$M$17:$T$17</c15:sqref>
                        </c15:formulaRef>
                      </c:ext>
                    </c:extLst>
                  </c:numRef>
                </c:val>
                <c:extLst xmlns:c16r2="http://schemas.microsoft.com/office/drawing/2015/06/chart" xmlns:c15="http://schemas.microsoft.com/office/drawing/2012/chart">
                  <c:ext xmlns:c16="http://schemas.microsoft.com/office/drawing/2014/chart" uri="{C3380CC4-5D6E-409C-BE32-E72D297353CC}">
                    <c16:uniqueId val="{00000005-986F-4DCC-B8AF-B6E3855933EC}"/>
                  </c:ext>
                </c:extLst>
              </c15:ser>
            </c15:filteredBarSeries>
            <c15:filteredBarSeries>
              <c15:ser>
                <c:idx val="4"/>
                <c:order val="6"/>
                <c:tx>
                  <c:v>Kótované akcie</c:v>
                </c:tx>
                <c:spPr>
                  <a:ln w="28575">
                    <a:noFill/>
                  </a:ln>
                </c:spPr>
                <c:invertIfNegative val="0"/>
                <c:cat>
                  <c:numRef>
                    <c:extLst xmlns:c16r2="http://schemas.microsoft.com/office/drawing/2015/06/chart" xmlns:c15="http://schemas.microsoft.com/office/drawing/2012/chart">
                      <c:ext xmlns:c15="http://schemas.microsoft.com/office/drawing/2012/chart" uri="{02D57815-91ED-43cb-92C2-25804820EDAC}">
                        <c15:formulaRef>
                          <c15:sqref>'Cisty dlh'!$C$2:$W$2</c15:sqref>
                        </c15:formulaRef>
                      </c:ext>
                    </c:extLst>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'Cisty dlh'!$M$18:$T$18</c15:sqref>
                        </c15:formulaRef>
                      </c:ext>
                    </c:extLst>
                  </c:numRef>
                </c:val>
                <c:extLst xmlns:c16r2="http://schemas.microsoft.com/office/drawing/2015/06/chart" xmlns:c15="http://schemas.microsoft.com/office/drawing/2012/chart">
                  <c:ext xmlns:c16="http://schemas.microsoft.com/office/drawing/2014/chart" uri="{C3380CC4-5D6E-409C-BE32-E72D297353CC}">
                    <c16:uniqueId val="{00000006-986F-4DCC-B8AF-B6E3855933EC}"/>
                  </c:ext>
                </c:extLst>
              </c15:ser>
            </c15:filteredBarSeries>
          </c:ext>
        </c:extLst>
      </c:barChart>
      <c:lineChart>
        <c:grouping val="standard"/>
        <c:varyColors val="0"/>
        <c:ser>
          <c:idx val="0"/>
          <c:order val="0"/>
          <c:tx>
            <c:strRef>
              <c:f>'Cisty dlh'!$K$49</c:f>
              <c:strCache>
                <c:ptCount val="1"/>
                <c:pt idx="0">
                  <c:v>Hrubý dlh verejnej správy</c:v>
                </c:pt>
              </c:strCache>
            </c:strRef>
          </c:tx>
          <c:spPr>
            <a:ln>
              <a:noFill/>
            </a:ln>
          </c:spPr>
          <c:marker>
            <c:symbol val="diamond"/>
            <c:size val="8"/>
            <c:spPr>
              <a:solidFill>
                <a:schemeClr val="accent1"/>
              </a:solidFill>
              <a:ln>
                <a:noFill/>
              </a:ln>
            </c:spPr>
          </c:marker>
          <c:dLbls>
            <c:numFmt formatCode="#,##0.0" sourceLinked="0"/>
            <c:spPr>
              <a:noFill/>
              <a:ln>
                <a:noFill/>
              </a:ln>
              <a:effectLst/>
            </c:spPr>
            <c:txPr>
              <a:bodyPr wrap="square" lIns="38100" tIns="19050" rIns="38100" bIns="19050" anchor="ctr">
                <a:spAutoFit/>
              </a:bodyPr>
              <a:lstStyle/>
              <a:p>
                <a:pPr>
                  <a:defRPr b="0"/>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'Cisty dlh'!$C$2:$W$2</c:f>
              <c:numCache>
                <c:formatCode>General</c:formatCode>
                <c:ptCount val="6"/>
                <c:pt idx="0">
                  <c:v>2018</c:v>
                </c:pt>
                <c:pt idx="1">
                  <c:v>2019</c:v>
                </c:pt>
                <c:pt idx="2">
                  <c:v>2020</c:v>
                </c:pt>
                <c:pt idx="3">
                  <c:v>2021</c:v>
                </c:pt>
                <c:pt idx="4">
                  <c:v>2022</c:v>
                </c:pt>
                <c:pt idx="5">
                  <c:v>2023</c:v>
                </c:pt>
              </c:numCache>
            </c:numRef>
          </c:cat>
          <c:val>
            <c:numRef>
              <c:f>'Cisty dlh'!$C$4:$W$4</c:f>
              <c:numCache>
                <c:formatCode>#\ ##0.0</c:formatCode>
                <c:ptCount val="6"/>
                <c:pt idx="0">
                  <c:v>49.399716081953251</c:v>
                </c:pt>
                <c:pt idx="1">
                  <c:v>47.996600019112954</c:v>
                </c:pt>
                <c:pt idx="2">
                  <c:v>61.237731762813887</c:v>
                </c:pt>
                <c:pt idx="3">
                  <c:v>61.880446023645128</c:v>
                </c:pt>
                <c:pt idx="4">
                  <c:v>61.445255726036351</c:v>
                </c:pt>
                <c:pt idx="5">
                  <c:v>60.088223839173196</c:v>
                </c:pt>
              </c:numCache>
            </c:numRef>
          </c:val>
          <c:smooth val="0"/>
          <c:extLst xmlns:c16r2="http://schemas.microsoft.com/office/drawing/2015/06/chart">
            <c:ext xmlns:c16="http://schemas.microsoft.com/office/drawing/2014/chart" uri="{C3380CC4-5D6E-409C-BE32-E72D297353CC}">
              <c16:uniqueId val="{00000002-986F-4DCC-B8AF-B6E3855933EC}"/>
            </c:ext>
          </c:extLst>
        </c:ser>
        <c:dLbls>
          <c:showLegendKey val="0"/>
          <c:showVal val="0"/>
          <c:showCatName val="0"/>
          <c:showSerName val="0"/>
          <c:showPercent val="0"/>
          <c:showBubbleSize val="0"/>
        </c:dLbls>
        <c:marker val="1"/>
        <c:smooth val="0"/>
        <c:axId val="239429040"/>
        <c:axId val="239429432"/>
        <c:extLst xmlns:c16r2="http://schemas.microsoft.com/office/drawing/2015/06/chart">
          <c:ext xmlns:c15="http://schemas.microsoft.com/office/drawing/2012/chart" uri="{02D57815-91ED-43cb-92C2-25804820EDAC}">
            <c15:filteredLineSeries>
              <c15:ser>
                <c:idx val="6"/>
                <c:order val="3"/>
                <c:tx>
                  <c:strRef>
                    <c:extLst xmlns:c16r2="http://schemas.microsoft.com/office/drawing/2015/06/chart">
                      <c:ext uri="{02D57815-91ED-43cb-92C2-25804820EDAC}">
                        <c15:formulaRef>
                          <c15:sqref>'Cisty dlh'!$A$23</c15:sqref>
                        </c15:formulaRef>
                      </c:ext>
                    </c:extLst>
                    <c:strCache>
                      <c:ptCount val="1"/>
                      <c:pt idx="0">
                        <c:v>Dolný limit</c:v>
                      </c:pt>
                    </c:strCache>
                  </c:strRef>
                </c:tx>
                <c:spPr>
                  <a:ln>
                    <a:solidFill>
                      <a:srgbClr val="FF0000"/>
                    </a:solidFill>
                  </a:ln>
                </c:spPr>
                <c:marker>
                  <c:symbol val="none"/>
                </c:marker>
                <c:cat>
                  <c:numRef>
                    <c:extLst xmlns:c16r2="http://schemas.microsoft.com/office/drawing/2015/06/chart">
                      <c:ext uri="{02D57815-91ED-43cb-92C2-25804820EDAC}">
                        <c15:formulaRef>
                          <c15:sqref>'Cisty dlh'!$C$2:$W$2</c15:sqref>
                        </c15:formulaRef>
                      </c:ext>
                    </c:extLst>
                    <c:numCache>
                      <c:formatCode>General</c:formatCode>
                      <c:ptCount val="6"/>
                      <c:pt idx="0">
                        <c:v>2018</c:v>
                      </c:pt>
                      <c:pt idx="1">
                        <c:v>2019</c:v>
                      </c:pt>
                      <c:pt idx="2">
                        <c:v>2020</c:v>
                      </c:pt>
                      <c:pt idx="3">
                        <c:v>2021</c:v>
                      </c:pt>
                      <c:pt idx="4">
                        <c:v>2022</c:v>
                      </c:pt>
                      <c:pt idx="5">
                        <c:v>2023</c:v>
                      </c:pt>
                    </c:numCache>
                  </c:numRef>
                </c:cat>
                <c:val>
                  <c:numRef>
                    <c:extLst xmlns:c16r2="http://schemas.microsoft.com/office/drawing/2015/06/chart">
                      <c:ext uri="{02D57815-91ED-43cb-92C2-25804820EDAC}">
                        <c15:formulaRef>
                          <c15:sqref>'Cisty dlh'!$C$23:$T$23</c15:sqref>
                        </c15:formulaRef>
                      </c:ext>
                    </c:extLst>
                    <c:numCache>
                      <c:formatCode>#\ ##0.0</c:formatCode>
                      <c:ptCount val="3"/>
                      <c:pt idx="0">
                        <c:v>49</c:v>
                      </c:pt>
                      <c:pt idx="1">
                        <c:v>48</c:v>
                      </c:pt>
                      <c:pt idx="2">
                        <c:v>47</c:v>
                      </c:pt>
                    </c:numCache>
                  </c:numRef>
                </c:val>
                <c:smooth val="0"/>
                <c:extLst xmlns:c16r2="http://schemas.microsoft.com/office/drawing/2015/06/chart">
                  <c:ext xmlns:c16="http://schemas.microsoft.com/office/drawing/2014/chart" uri="{C3380CC4-5D6E-409C-BE32-E72D297353CC}">
                    <c16:uniqueId val="{00000003-986F-4DCC-B8AF-B6E3855933EC}"/>
                  </c:ext>
                </c:extLst>
              </c15:ser>
            </c15:filteredLineSeries>
            <c15:filteredLineSeries>
              <c15:ser>
                <c:idx val="7"/>
                <c:order val="7"/>
                <c:tx>
                  <c:v>Dolný limit</c:v>
                </c:tx>
                <c:spPr>
                  <a:ln w="28575">
                    <a:noFill/>
                  </a:ln>
                </c:spPr>
                <c:cat>
                  <c:numRef>
                    <c:extLst xmlns:c16r2="http://schemas.microsoft.com/office/drawing/2015/06/chart" xmlns:c15="http://schemas.microsoft.com/office/drawing/2012/chart">
                      <c:ext xmlns:c15="http://schemas.microsoft.com/office/drawing/2012/chart" uri="{02D57815-91ED-43cb-92C2-25804820EDAC}">
                        <c15:formulaRef>
                          <c15:sqref>'Cisty dlh'!$C$2:$W$2</c15:sqref>
                        </c15:formulaRef>
                      </c:ext>
                    </c:extLst>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'Prognoza hrubého dlhu'!$C$103:$M$103</c15:sqref>
                        </c15:formulaRef>
                      </c:ext>
                    </c:extLst>
                  </c:numRef>
                </c:val>
                <c:smooth val="0"/>
                <c:extLst xmlns:c16r2="http://schemas.microsoft.com/office/drawing/2015/06/chart" xmlns:c15="http://schemas.microsoft.com/office/drawing/2012/chart">
                  <c:ext xmlns:c16="http://schemas.microsoft.com/office/drawing/2014/chart" uri="{C3380CC4-5D6E-409C-BE32-E72D297353CC}">
                    <c16:uniqueId val="{00000007-986F-4DCC-B8AF-B6E3855933EC}"/>
                  </c:ext>
                </c:extLst>
              </c15:ser>
            </c15:filteredLineSeries>
          </c:ext>
        </c:extLst>
      </c:lineChart>
      <c:catAx>
        <c:axId val="239429040"/>
        <c:scaling>
          <c:orientation val="minMax"/>
        </c:scaling>
        <c:delete val="0"/>
        <c:axPos val="b"/>
        <c:numFmt formatCode="General" sourceLinked="1"/>
        <c:majorTickMark val="out"/>
        <c:minorTickMark val="none"/>
        <c:tickLblPos val="nextTo"/>
        <c:spPr>
          <a:ln>
            <a:solidFill>
              <a:schemeClr val="tx1"/>
            </a:solidFill>
          </a:ln>
        </c:spPr>
        <c:txPr>
          <a:bodyPr rot="0" vert="horz"/>
          <a:lstStyle/>
          <a:p>
            <a:pPr>
              <a:defRPr sz="800"/>
            </a:pPr>
            <a:endParaRPr lang="sk-SK"/>
          </a:p>
        </c:txPr>
        <c:crossAx val="239429432"/>
        <c:crosses val="autoZero"/>
        <c:auto val="1"/>
        <c:lblAlgn val="ctr"/>
        <c:lblOffset val="100"/>
        <c:noMultiLvlLbl val="0"/>
      </c:catAx>
      <c:valAx>
        <c:axId val="239429432"/>
        <c:scaling>
          <c:orientation val="minMax"/>
          <c:min val="0"/>
        </c:scaling>
        <c:delete val="0"/>
        <c:axPos val="l"/>
        <c:majorGridlines>
          <c:spPr>
            <a:ln>
              <a:solidFill>
                <a:schemeClr val="bg1">
                  <a:lumMod val="85000"/>
                </a:schemeClr>
              </a:solidFill>
              <a:prstDash val="sysDot"/>
            </a:ln>
          </c:spPr>
        </c:majorGridlines>
        <c:numFmt formatCode="#,##0" sourceLinked="0"/>
        <c:majorTickMark val="out"/>
        <c:minorTickMark val="none"/>
        <c:tickLblPos val="nextTo"/>
        <c:spPr>
          <a:noFill/>
          <a:ln>
            <a:solidFill>
              <a:schemeClr val="tx1"/>
            </a:solidFill>
            <a:prstDash val="sysDot"/>
          </a:ln>
        </c:spPr>
        <c:txPr>
          <a:bodyPr rot="0" vert="horz"/>
          <a:lstStyle/>
          <a:p>
            <a:pPr>
              <a:defRPr/>
            </a:pPr>
            <a:endParaRPr lang="sk-SK"/>
          </a:p>
        </c:txPr>
        <c:crossAx val="239429040"/>
        <c:crosses val="autoZero"/>
        <c:crossBetween val="between"/>
        <c:majorUnit val="10"/>
      </c:valAx>
      <c:spPr>
        <a:noFill/>
        <a:ln w="25400">
          <a:noFill/>
        </a:ln>
      </c:spPr>
    </c:plotArea>
    <c:legend>
      <c:legendPos val="b"/>
      <c:layout>
        <c:manualLayout>
          <c:xMode val="edge"/>
          <c:yMode val="edge"/>
          <c:x val="0"/>
          <c:y val="0"/>
          <c:w val="0.99614546387074387"/>
          <c:h val="0.14134022467595789"/>
        </c:manualLayout>
      </c:layout>
      <c:overlay val="0"/>
      <c:txPr>
        <a:bodyPr/>
        <a:lstStyle/>
        <a:p>
          <a:pPr>
            <a:defRPr sz="800"/>
          </a:pPr>
          <a:endParaRPr lang="sk-SK"/>
        </a:p>
      </c:txPr>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0291429088605"/>
          <c:y val="0.25078662196928353"/>
          <c:w val="0.85301547651371168"/>
          <c:h val="0.60281229697772931"/>
        </c:manualLayout>
      </c:layout>
      <c:barChart>
        <c:barDir val="col"/>
        <c:grouping val="stacked"/>
        <c:varyColors val="0"/>
        <c:ser>
          <c:idx val="0"/>
          <c:order val="0"/>
          <c:tx>
            <c:strRef>
              <c:f>Hárok1!$A$8</c:f>
              <c:strCache>
                <c:ptCount val="1"/>
                <c:pt idx="0">
                  <c:v>Refinancovanie dlhu</c:v>
                </c:pt>
              </c:strCache>
            </c:strRef>
          </c:tx>
          <c:spPr>
            <a:solidFill>
              <a:schemeClr val="accent1"/>
            </a:solidFill>
            <a:ln>
              <a:noFill/>
            </a:ln>
            <a:effectLst/>
          </c:spPr>
          <c:invertIfNegative val="0"/>
          <c:cat>
            <c:numRef>
              <c:f>Hárok1!$B$1:$K$1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Hárok1!$B$8:$K$8</c:f>
              <c:numCache>
                <c:formatCode>0.0</c:formatCode>
                <c:ptCount val="10"/>
                <c:pt idx="0">
                  <c:v>3.8736816255236222</c:v>
                </c:pt>
                <c:pt idx="1">
                  <c:v>3.7614684979336963</c:v>
                </c:pt>
                <c:pt idx="2">
                  <c:v>4.9183846978934147</c:v>
                </c:pt>
                <c:pt idx="3">
                  <c:v>6.4382268750176372</c:v>
                </c:pt>
                <c:pt idx="4">
                  <c:v>3.3743778145573966</c:v>
                </c:pt>
                <c:pt idx="5">
                  <c:v>2.7361727816884445</c:v>
                </c:pt>
                <c:pt idx="6">
                  <c:v>5.1268455012621637</c:v>
                </c:pt>
                <c:pt idx="7">
                  <c:v>3.030030456140667</c:v>
                </c:pt>
                <c:pt idx="8">
                  <c:v>1.9030985143917944</c:v>
                </c:pt>
                <c:pt idx="9">
                  <c:v>4.3983026663258702</c:v>
                </c:pt>
              </c:numCache>
            </c:numRef>
          </c:val>
          <c:extLst xmlns:c16r2="http://schemas.microsoft.com/office/drawing/2015/06/chart">
            <c:ext xmlns:c16="http://schemas.microsoft.com/office/drawing/2014/chart" uri="{C3380CC4-5D6E-409C-BE32-E72D297353CC}">
              <c16:uniqueId val="{00000000-DD94-4EC3-A3DF-53539B702D89}"/>
            </c:ext>
          </c:extLst>
        </c:ser>
        <c:ser>
          <c:idx val="1"/>
          <c:order val="1"/>
          <c:tx>
            <c:strRef>
              <c:f>Hárok1!$A$9</c:f>
              <c:strCache>
                <c:ptCount val="1"/>
                <c:pt idx="0">
                  <c:v>Refinancovanie deficitu</c:v>
                </c:pt>
              </c:strCache>
            </c:strRef>
          </c:tx>
          <c:spPr>
            <a:solidFill>
              <a:schemeClr val="accent2"/>
            </a:solidFill>
            <a:ln>
              <a:noFill/>
            </a:ln>
            <a:effectLst/>
          </c:spPr>
          <c:invertIfNegative val="0"/>
          <c:cat>
            <c:numRef>
              <c:f>Hárok1!$B$1:$K$1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Hárok1!$B$9:$K$9</c:f>
              <c:numCache>
                <c:formatCode>0.0</c:formatCode>
                <c:ptCount val="10"/>
                <c:pt idx="0">
                  <c:v>3.8336347571785181</c:v>
                </c:pt>
                <c:pt idx="1">
                  <c:v>2.423068785982351</c:v>
                </c:pt>
                <c:pt idx="2">
                  <c:v>1.2096182229903685</c:v>
                </c:pt>
                <c:pt idx="3">
                  <c:v>1.4436526708441693</c:v>
                </c:pt>
                <c:pt idx="4">
                  <c:v>1.3176873563469744</c:v>
                </c:pt>
                <c:pt idx="5">
                  <c:v>2.3375985903776932</c:v>
                </c:pt>
                <c:pt idx="6">
                  <c:v>8.7755745437988981</c:v>
                </c:pt>
                <c:pt idx="7">
                  <c:v>6.3273995819996252</c:v>
                </c:pt>
                <c:pt idx="8">
                  <c:v>3.9306483323403669</c:v>
                </c:pt>
                <c:pt idx="9">
                  <c:v>2.958864008003999</c:v>
                </c:pt>
              </c:numCache>
            </c:numRef>
          </c:val>
          <c:extLst xmlns:c16r2="http://schemas.microsoft.com/office/drawing/2015/06/chart">
            <c:ext xmlns:c16="http://schemas.microsoft.com/office/drawing/2014/chart" uri="{C3380CC4-5D6E-409C-BE32-E72D297353CC}">
              <c16:uniqueId val="{00000001-DD94-4EC3-A3DF-53539B702D89}"/>
            </c:ext>
          </c:extLst>
        </c:ser>
        <c:dLbls>
          <c:showLegendKey val="0"/>
          <c:showVal val="0"/>
          <c:showCatName val="0"/>
          <c:showSerName val="0"/>
          <c:showPercent val="0"/>
          <c:showBubbleSize val="0"/>
        </c:dLbls>
        <c:gapWidth val="219"/>
        <c:overlap val="100"/>
        <c:axId val="239430216"/>
        <c:axId val="239430608"/>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Hárok1!$A$10</c15:sqref>
                        </c15:formulaRef>
                      </c:ext>
                    </c:extLst>
                    <c:strCache>
                      <c:ptCount val="1"/>
                      <c:pt idx="0">
                        <c:v>Potreba finacovania</c:v>
                      </c:pt>
                    </c:strCache>
                  </c:strRef>
                </c:tx>
                <c:spPr>
                  <a:solidFill>
                    <a:schemeClr val="accent3"/>
                  </a:solidFill>
                  <a:ln>
                    <a:noFill/>
                  </a:ln>
                  <a:effectLst/>
                </c:spPr>
                <c:invertIfNegative val="0"/>
                <c:dPt>
                  <c:idx val="6"/>
                  <c:invertIfNegative val="0"/>
                  <c:bubble3D val="0"/>
                  <c:spPr>
                    <a:solidFill>
                      <a:schemeClr val="accent3"/>
                    </a:solidFill>
                    <a:ln w="28575" cap="rnd">
                      <a:noFill/>
                      <a:round/>
                    </a:ln>
                    <a:effectLst/>
                  </c:spPr>
                  <c:extLst xmlns:c16r2="http://schemas.microsoft.com/office/drawing/2015/06/chart">
                    <c:ext xmlns:c16="http://schemas.microsoft.com/office/drawing/2014/chart" uri="{C3380CC4-5D6E-409C-BE32-E72D297353CC}">
                      <c16:uniqueId val="{00000007-DD94-4EC3-A3DF-53539B702D89}"/>
                    </c:ext>
                  </c:extLst>
                </c:dPt>
                <c:cat>
                  <c:numRef>
                    <c:extLst xmlns:c16r2="http://schemas.microsoft.com/office/drawing/2015/06/chart">
                      <c:ext uri="{02D57815-91ED-43cb-92C2-25804820EDAC}">
                        <c15:formulaRef>
                          <c15:sqref>Hárok1!$B$1:$K$1</c15:sqref>
                        </c15:formulaRef>
                      </c:ext>
                    </c:extLst>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extLst xmlns:c16r2="http://schemas.microsoft.com/office/drawing/2015/06/chart">
                      <c:ext uri="{02D57815-91ED-43cb-92C2-25804820EDAC}">
                        <c15:formulaRef>
                          <c15:sqref>Hárok1!$B$10:$K$10</c15:sqref>
                        </c15:formulaRef>
                      </c:ext>
                    </c:extLst>
                    <c:numCache>
                      <c:formatCode>0.0</c:formatCode>
                      <c:ptCount val="10"/>
                      <c:pt idx="0">
                        <c:v>7.7073163827021407</c:v>
                      </c:pt>
                      <c:pt idx="1">
                        <c:v>6.1845372839160468</c:v>
                      </c:pt>
                      <c:pt idx="2">
                        <c:v>6.128002920883783</c:v>
                      </c:pt>
                      <c:pt idx="3">
                        <c:v>7.8818795458618069</c:v>
                      </c:pt>
                      <c:pt idx="4">
                        <c:v>4.692065170904371</c:v>
                      </c:pt>
                      <c:pt idx="5">
                        <c:v>5.0737713720661377</c:v>
                      </c:pt>
                      <c:pt idx="6">
                        <c:v>13.902420045061062</c:v>
                      </c:pt>
                      <c:pt idx="7">
                        <c:v>9.3574300381402917</c:v>
                      </c:pt>
                      <c:pt idx="8">
                        <c:v>5.8337468467321614</c:v>
                      </c:pt>
                      <c:pt idx="9">
                        <c:v>7.3571666743298696</c:v>
                      </c:pt>
                    </c:numCache>
                  </c:numRef>
                </c:val>
                <c:extLst xmlns:c16r2="http://schemas.microsoft.com/office/drawing/2015/06/chart">
                  <c:ext xmlns:c16="http://schemas.microsoft.com/office/drawing/2014/chart" uri="{C3380CC4-5D6E-409C-BE32-E72D297353CC}">
                    <c16:uniqueId val="{00000008-DD94-4EC3-A3DF-53539B702D89}"/>
                  </c:ext>
                </c:extLst>
              </c15:ser>
            </c15:filteredBarSeries>
          </c:ext>
        </c:extLst>
      </c:barChart>
      <c:lineChart>
        <c:grouping val="standard"/>
        <c:varyColors val="0"/>
        <c:ser>
          <c:idx val="3"/>
          <c:order val="3"/>
          <c:tx>
            <c:strRef>
              <c:f>Hárok1!$A$11</c:f>
              <c:strCache>
                <c:ptCount val="1"/>
                <c:pt idx="0">
                  <c:v>Priemer 2014 - 2019</c:v>
                </c:pt>
              </c:strCache>
            </c:strRef>
          </c:tx>
          <c:spPr>
            <a:ln w="28575" cap="rnd">
              <a:solidFill>
                <a:schemeClr val="tx1"/>
              </a:solidFill>
              <a:prstDash val="dash"/>
              <a:round/>
            </a:ln>
            <a:effectLst/>
          </c:spPr>
          <c:marker>
            <c:symbol val="none"/>
          </c:marker>
          <c:cat>
            <c:numRef>
              <c:f>Hárok1!$B$1:$K$1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Hárok1!$B$11:$K$11</c:f>
              <c:numCache>
                <c:formatCode>0.0</c:formatCode>
                <c:ptCount val="10"/>
                <c:pt idx="0">
                  <c:v>6.2779287793890477</c:v>
                </c:pt>
                <c:pt idx="1">
                  <c:v>6.2779287793890477</c:v>
                </c:pt>
                <c:pt idx="2">
                  <c:v>6.2779287793890477</c:v>
                </c:pt>
                <c:pt idx="3">
                  <c:v>6.2779287793890477</c:v>
                </c:pt>
                <c:pt idx="4">
                  <c:v>6.2779287793890477</c:v>
                </c:pt>
                <c:pt idx="5">
                  <c:v>6.2779287793890477</c:v>
                </c:pt>
                <c:pt idx="6">
                  <c:v>6.2779287793890477</c:v>
                </c:pt>
                <c:pt idx="7">
                  <c:v>6.2779287793890477</c:v>
                </c:pt>
                <c:pt idx="8">
                  <c:v>6.2779287793890477</c:v>
                </c:pt>
                <c:pt idx="9">
                  <c:v>6.2779287793890477</c:v>
                </c:pt>
              </c:numCache>
            </c:numRef>
          </c:val>
          <c:smooth val="0"/>
          <c:extLst xmlns:c16r2="http://schemas.microsoft.com/office/drawing/2015/06/chart">
            <c:ext xmlns:c16="http://schemas.microsoft.com/office/drawing/2014/chart" uri="{C3380CC4-5D6E-409C-BE32-E72D297353CC}">
              <c16:uniqueId val="{00000002-DD94-4EC3-A3DF-53539B702D89}"/>
            </c:ext>
          </c:extLst>
        </c:ser>
        <c:ser>
          <c:idx val="4"/>
          <c:order val="4"/>
          <c:tx>
            <c:strRef>
              <c:f>Hárok1!$A$10</c:f>
              <c:strCache>
                <c:ptCount val="1"/>
                <c:pt idx="0">
                  <c:v>Potreba finacovania</c:v>
                </c:pt>
              </c:strCache>
            </c:strRef>
          </c:tx>
          <c:spPr>
            <a:ln w="28575" cap="rnd">
              <a:noFill/>
              <a:round/>
            </a:ln>
            <a:effectLst/>
          </c:spPr>
          <c:marker>
            <c:symbol val="circle"/>
            <c:size val="5"/>
            <c:spPr>
              <a:solidFill>
                <a:schemeClr val="tx1"/>
              </a:solidFill>
              <a:ln w="9525">
                <a:no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Hárok1!$B$1:$K$1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Hárok1!$B$10:$K$10</c:f>
              <c:numCache>
                <c:formatCode>0.0</c:formatCode>
                <c:ptCount val="10"/>
                <c:pt idx="0">
                  <c:v>7.7073163827021407</c:v>
                </c:pt>
                <c:pt idx="1">
                  <c:v>6.1845372839160468</c:v>
                </c:pt>
                <c:pt idx="2">
                  <c:v>6.128002920883783</c:v>
                </c:pt>
                <c:pt idx="3">
                  <c:v>7.8818795458618069</c:v>
                </c:pt>
                <c:pt idx="4">
                  <c:v>4.692065170904371</c:v>
                </c:pt>
                <c:pt idx="5">
                  <c:v>5.0737713720661377</c:v>
                </c:pt>
                <c:pt idx="6">
                  <c:v>13.902420045061062</c:v>
                </c:pt>
                <c:pt idx="7">
                  <c:v>9.3574300381402917</c:v>
                </c:pt>
                <c:pt idx="8">
                  <c:v>5.8337468467321614</c:v>
                </c:pt>
                <c:pt idx="9">
                  <c:v>7.3571666743298696</c:v>
                </c:pt>
              </c:numCache>
            </c:numRef>
          </c:val>
          <c:smooth val="0"/>
          <c:extLst xmlns:c16r2="http://schemas.microsoft.com/office/drawing/2015/06/chart">
            <c:ext xmlns:c16="http://schemas.microsoft.com/office/drawing/2014/chart" uri="{C3380CC4-5D6E-409C-BE32-E72D297353CC}">
              <c16:uniqueId val="{00000003-DD94-4EC3-A3DF-53539B702D89}"/>
            </c:ext>
          </c:extLst>
        </c:ser>
        <c:ser>
          <c:idx val="5"/>
          <c:order val="5"/>
          <c:tx>
            <c:strRef>
              <c:f>Hárok1!$A$12</c:f>
              <c:strCache>
                <c:ptCount val="1"/>
                <c:pt idx="0">
                  <c:v>MMF "benchmark"</c:v>
                </c:pt>
              </c:strCache>
            </c:strRef>
          </c:tx>
          <c:spPr>
            <a:ln w="28575" cap="rnd">
              <a:solidFill>
                <a:schemeClr val="tx1"/>
              </a:solidFill>
              <a:prstDash val="dash"/>
              <a:round/>
            </a:ln>
            <a:effectLst/>
          </c:spPr>
          <c:marker>
            <c:symbol val="none"/>
          </c:marker>
          <c:cat>
            <c:numRef>
              <c:f>Hárok1!$B$1:$K$1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Hárok1!$B$12:$K$12</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mooth val="0"/>
          <c:extLst xmlns:c16r2="http://schemas.microsoft.com/office/drawing/2015/06/chart">
            <c:ext xmlns:c16="http://schemas.microsoft.com/office/drawing/2014/chart" uri="{C3380CC4-5D6E-409C-BE32-E72D297353CC}">
              <c16:uniqueId val="{00000004-DD94-4EC3-A3DF-53539B702D89}"/>
            </c:ext>
          </c:extLst>
        </c:ser>
        <c:ser>
          <c:idx val="6"/>
          <c:order val="6"/>
          <c:tx>
            <c:strRef>
              <c:f>Hárok1!$A$14</c:f>
              <c:strCache>
                <c:ptCount val="1"/>
                <c:pt idx="0">
                  <c:v>Získané zdroje k 6.5.</c:v>
                </c:pt>
              </c:strCache>
            </c:strRef>
          </c:tx>
          <c:spPr>
            <a:ln w="28575" cap="rnd">
              <a:noFill/>
              <a:round/>
            </a:ln>
            <a:effectLst/>
          </c:spPr>
          <c:marker>
            <c:symbol val="circle"/>
            <c:size val="6"/>
            <c:spPr>
              <a:solidFill>
                <a:srgbClr val="FF0000"/>
              </a:solidFill>
              <a:ln w="9525">
                <a:no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Hárok1!$B$1:$K$1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Hárok1!$B$14:$K$14</c:f>
              <c:numCache>
                <c:formatCode>General</c:formatCode>
                <c:ptCount val="10"/>
                <c:pt idx="6" formatCode="0.0">
                  <c:v>12.024256315809883</c:v>
                </c:pt>
              </c:numCache>
            </c:numRef>
          </c:val>
          <c:smooth val="0"/>
          <c:extLst xmlns:c16r2="http://schemas.microsoft.com/office/drawing/2015/06/chart">
            <c:ext xmlns:c16="http://schemas.microsoft.com/office/drawing/2014/chart" uri="{C3380CC4-5D6E-409C-BE32-E72D297353CC}">
              <c16:uniqueId val="{00000005-DD94-4EC3-A3DF-53539B702D89}"/>
            </c:ext>
          </c:extLst>
        </c:ser>
        <c:dLbls>
          <c:showLegendKey val="0"/>
          <c:showVal val="0"/>
          <c:showCatName val="0"/>
          <c:showSerName val="0"/>
          <c:showPercent val="0"/>
          <c:showBubbleSize val="0"/>
        </c:dLbls>
        <c:marker val="1"/>
        <c:smooth val="0"/>
        <c:axId val="239430216"/>
        <c:axId val="239430608"/>
      </c:lineChart>
      <c:catAx>
        <c:axId val="23943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39430608"/>
        <c:crosses val="autoZero"/>
        <c:auto val="1"/>
        <c:lblAlgn val="ctr"/>
        <c:lblOffset val="100"/>
        <c:noMultiLvlLbl val="0"/>
      </c:catAx>
      <c:valAx>
        <c:axId val="239430608"/>
        <c:scaling>
          <c:orientation val="minMax"/>
          <c:max val="20"/>
        </c:scaling>
        <c:delete val="0"/>
        <c:axPos val="l"/>
        <c:majorGridlines>
          <c:spPr>
            <a:ln w="9525" cap="flat" cmpd="sng" algn="ctr">
              <a:solidFill>
                <a:schemeClr val="tx1">
                  <a:lumMod val="15000"/>
                  <a:lumOff val="85000"/>
                </a:scheme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39430216"/>
        <c:crosses val="autoZero"/>
        <c:crossBetween val="between"/>
        <c:majorUnit val="2"/>
      </c:valAx>
      <c:spPr>
        <a:noFill/>
        <a:ln>
          <a:noFill/>
        </a:ln>
        <a:effectLst/>
      </c:spPr>
    </c:plotArea>
    <c:legend>
      <c:legendPos val="b"/>
      <c:layout>
        <c:manualLayout>
          <c:xMode val="edge"/>
          <c:yMode val="edge"/>
          <c:x val="1.3487555434880985E-2"/>
          <c:y val="2.1864898466639044E-2"/>
          <c:w val="0.97265852113313422"/>
          <c:h val="0.185824172968477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Narrow" panose="020B0606020202030204" pitchFamily="34" charset="0"/>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02141629690436E-2"/>
          <c:y val="0.20938805478897132"/>
          <c:w val="0.88590593928201966"/>
          <c:h val="0.63596526318454571"/>
        </c:manualLayout>
      </c:layout>
      <c:areaChart>
        <c:grouping val="standard"/>
        <c:varyColors val="0"/>
        <c:ser>
          <c:idx val="3"/>
          <c:order val="3"/>
          <c:tx>
            <c:strRef>
              <c:f>'Graf 25+26'!$B$11</c:f>
              <c:strCache>
                <c:ptCount val="1"/>
                <c:pt idx="0">
                  <c:v>Vysoké riziko/ High risk</c:v>
                </c:pt>
              </c:strCache>
            </c:strRef>
          </c:tx>
          <c:spPr>
            <a:solidFill>
              <a:schemeClr val="accent6"/>
            </a:solidFill>
            <a:ln>
              <a:noFill/>
            </a:ln>
            <a:effectLst/>
          </c:spPr>
          <c:cat>
            <c:numRef>
              <c:f>'Graf 25+26'!$C$5:$M$5</c:f>
              <c:numCache>
                <c:formatCode>0</c:formatCode>
                <c:ptCount val="11"/>
                <c:pt idx="1">
                  <c:v>2005</c:v>
                </c:pt>
                <c:pt idx="2">
                  <c:v>2009</c:v>
                </c:pt>
                <c:pt idx="3">
                  <c:v>2014</c:v>
                </c:pt>
                <c:pt idx="4">
                  <c:v>2016</c:v>
                </c:pt>
                <c:pt idx="5">
                  <c:v>2017</c:v>
                </c:pt>
                <c:pt idx="6">
                  <c:v>2019</c:v>
                </c:pt>
                <c:pt idx="7">
                  <c:v>2020</c:v>
                </c:pt>
                <c:pt idx="8">
                  <c:v>2021</c:v>
                </c:pt>
                <c:pt idx="9">
                  <c:v>2023</c:v>
                </c:pt>
              </c:numCache>
            </c:numRef>
          </c:cat>
          <c:val>
            <c:numRef>
              <c:f>'Graf 25+26'!$C$11:$M$11</c:f>
              <c:numCache>
                <c:formatCode>0.0</c:formatCode>
                <c:ptCount val="11"/>
                <c:pt idx="0">
                  <c:v>6</c:v>
                </c:pt>
                <c:pt idx="1">
                  <c:v>6</c:v>
                </c:pt>
                <c:pt idx="2">
                  <c:v>6</c:v>
                </c:pt>
                <c:pt idx="3">
                  <c:v>6</c:v>
                </c:pt>
                <c:pt idx="4">
                  <c:v>6</c:v>
                </c:pt>
                <c:pt idx="5">
                  <c:v>6</c:v>
                </c:pt>
                <c:pt idx="6">
                  <c:v>6</c:v>
                </c:pt>
                <c:pt idx="7">
                  <c:v>6</c:v>
                </c:pt>
                <c:pt idx="8">
                  <c:v>6</c:v>
                </c:pt>
                <c:pt idx="9">
                  <c:v>6</c:v>
                </c:pt>
                <c:pt idx="10">
                  <c:v>6</c:v>
                </c:pt>
              </c:numCache>
            </c:numRef>
          </c:val>
          <c:extLst xmlns:c16r2="http://schemas.microsoft.com/office/drawing/2015/06/chart">
            <c:ext xmlns:c16="http://schemas.microsoft.com/office/drawing/2014/chart" uri="{C3380CC4-5D6E-409C-BE32-E72D297353CC}">
              <c16:uniqueId val="{00000000-498E-4D79-9C8A-9310499D8B95}"/>
            </c:ext>
          </c:extLst>
        </c:ser>
        <c:ser>
          <c:idx val="2"/>
          <c:order val="4"/>
          <c:tx>
            <c:strRef>
              <c:f>'Graf 25+26'!$B$10</c:f>
              <c:strCache>
                <c:ptCount val="1"/>
                <c:pt idx="0">
                  <c:v>Stredné riziko/ Medium risk</c:v>
                </c:pt>
              </c:strCache>
            </c:strRef>
          </c:tx>
          <c:spPr>
            <a:solidFill>
              <a:srgbClr val="FFFFAF"/>
            </a:solidFill>
            <a:ln>
              <a:noFill/>
            </a:ln>
            <a:effectLst/>
          </c:spPr>
          <c:cat>
            <c:numRef>
              <c:f>'Graf 25+26'!$C$5:$M$5</c:f>
              <c:numCache>
                <c:formatCode>0</c:formatCode>
                <c:ptCount val="11"/>
                <c:pt idx="1">
                  <c:v>2005</c:v>
                </c:pt>
                <c:pt idx="2">
                  <c:v>2009</c:v>
                </c:pt>
                <c:pt idx="3">
                  <c:v>2014</c:v>
                </c:pt>
                <c:pt idx="4">
                  <c:v>2016</c:v>
                </c:pt>
                <c:pt idx="5">
                  <c:v>2017</c:v>
                </c:pt>
                <c:pt idx="6">
                  <c:v>2019</c:v>
                </c:pt>
                <c:pt idx="7">
                  <c:v>2020</c:v>
                </c:pt>
                <c:pt idx="8">
                  <c:v>2021</c:v>
                </c:pt>
                <c:pt idx="9">
                  <c:v>2023</c:v>
                </c:pt>
              </c:numCache>
            </c:numRef>
          </c:cat>
          <c:val>
            <c:numRef>
              <c:f>'Graf 25+26'!$C$10:$M$10</c:f>
              <c:numCache>
                <c:formatCode>0.0</c:formatCode>
                <c:ptCount val="11"/>
                <c:pt idx="0">
                  <c:v>2.5</c:v>
                </c:pt>
                <c:pt idx="1">
                  <c:v>2.5</c:v>
                </c:pt>
                <c:pt idx="2">
                  <c:v>2.5</c:v>
                </c:pt>
                <c:pt idx="3">
                  <c:v>2.5</c:v>
                </c:pt>
                <c:pt idx="4">
                  <c:v>2.5</c:v>
                </c:pt>
                <c:pt idx="5">
                  <c:v>2.5</c:v>
                </c:pt>
                <c:pt idx="6">
                  <c:v>2.5</c:v>
                </c:pt>
                <c:pt idx="7">
                  <c:v>2.5</c:v>
                </c:pt>
                <c:pt idx="8">
                  <c:v>2.5</c:v>
                </c:pt>
                <c:pt idx="9">
                  <c:v>2.5</c:v>
                </c:pt>
                <c:pt idx="10">
                  <c:v>2.5</c:v>
                </c:pt>
              </c:numCache>
            </c:numRef>
          </c:val>
          <c:extLst xmlns:c16r2="http://schemas.microsoft.com/office/drawing/2015/06/chart">
            <c:ext xmlns:c16="http://schemas.microsoft.com/office/drawing/2014/chart" uri="{C3380CC4-5D6E-409C-BE32-E72D297353CC}">
              <c16:uniqueId val="{00000001-498E-4D79-9C8A-9310499D8B95}"/>
            </c:ext>
          </c:extLst>
        </c:ser>
        <c:ser>
          <c:idx val="1"/>
          <c:order val="5"/>
          <c:tx>
            <c:strRef>
              <c:f>'Graf 25+26'!$B$9</c:f>
              <c:strCache>
                <c:ptCount val="1"/>
                <c:pt idx="0">
                  <c:v>Nízke riziko/ Low risk</c:v>
                </c:pt>
              </c:strCache>
            </c:strRef>
          </c:tx>
          <c:spPr>
            <a:solidFill>
              <a:schemeClr val="accent3"/>
            </a:solidFill>
            <a:ln>
              <a:noFill/>
            </a:ln>
            <a:effectLst/>
          </c:spPr>
          <c:cat>
            <c:numRef>
              <c:f>'Graf 25+26'!$C$5:$M$5</c:f>
              <c:numCache>
                <c:formatCode>0</c:formatCode>
                <c:ptCount val="11"/>
                <c:pt idx="1">
                  <c:v>2005</c:v>
                </c:pt>
                <c:pt idx="2">
                  <c:v>2009</c:v>
                </c:pt>
                <c:pt idx="3">
                  <c:v>2014</c:v>
                </c:pt>
                <c:pt idx="4">
                  <c:v>2016</c:v>
                </c:pt>
                <c:pt idx="5">
                  <c:v>2017</c:v>
                </c:pt>
                <c:pt idx="6">
                  <c:v>2019</c:v>
                </c:pt>
                <c:pt idx="7">
                  <c:v>2020</c:v>
                </c:pt>
                <c:pt idx="8">
                  <c:v>2021</c:v>
                </c:pt>
                <c:pt idx="9">
                  <c:v>2023</c:v>
                </c:pt>
              </c:numCache>
            </c:numRef>
          </c:cat>
          <c:val>
            <c:numRef>
              <c:f>'Graf 25+26'!$C$9:$M$9</c:f>
              <c:numCache>
                <c:formatCode>0.0</c:formatCode>
                <c:ptCount val="11"/>
                <c:pt idx="0">
                  <c:v>-4</c:v>
                </c:pt>
                <c:pt idx="1">
                  <c:v>-4</c:v>
                </c:pt>
                <c:pt idx="2">
                  <c:v>-4</c:v>
                </c:pt>
                <c:pt idx="3">
                  <c:v>-4</c:v>
                </c:pt>
                <c:pt idx="4">
                  <c:v>-4</c:v>
                </c:pt>
                <c:pt idx="5">
                  <c:v>-4</c:v>
                </c:pt>
                <c:pt idx="6">
                  <c:v>-4</c:v>
                </c:pt>
                <c:pt idx="7">
                  <c:v>-4</c:v>
                </c:pt>
                <c:pt idx="8">
                  <c:v>-4</c:v>
                </c:pt>
                <c:pt idx="9">
                  <c:v>-4</c:v>
                </c:pt>
                <c:pt idx="10">
                  <c:v>-4</c:v>
                </c:pt>
              </c:numCache>
            </c:numRef>
          </c:val>
          <c:extLst xmlns:c16r2="http://schemas.microsoft.com/office/drawing/2015/06/chart">
            <c:ext xmlns:c16="http://schemas.microsoft.com/office/drawing/2014/chart" uri="{C3380CC4-5D6E-409C-BE32-E72D297353CC}">
              <c16:uniqueId val="{00000002-498E-4D79-9C8A-9310499D8B95}"/>
            </c:ext>
          </c:extLst>
        </c:ser>
        <c:dLbls>
          <c:showLegendKey val="0"/>
          <c:showVal val="0"/>
          <c:showCatName val="0"/>
          <c:showSerName val="0"/>
          <c:showPercent val="0"/>
          <c:showBubbleSize val="0"/>
        </c:dLbls>
        <c:axId val="239337680"/>
        <c:axId val="239338072"/>
      </c:areaChart>
      <c:barChart>
        <c:barDir val="col"/>
        <c:grouping val="clustered"/>
        <c:varyColors val="0"/>
        <c:ser>
          <c:idx val="0"/>
          <c:order val="0"/>
          <c:tx>
            <c:strRef>
              <c:f>'Graf 25+26'!$B$6</c:f>
              <c:strCache>
                <c:ptCount val="1"/>
                <c:pt idx="0">
                  <c:v>EK (ref. úroveň dlhu - 60 % HDP)</c:v>
                </c:pt>
              </c:strCache>
            </c:strRef>
          </c:tx>
          <c:spPr>
            <a:solidFill>
              <a:schemeClr val="tx1"/>
            </a:solidFill>
            <a:ln>
              <a:noFill/>
            </a:ln>
            <a:effectLst/>
          </c:spPr>
          <c:invertIfNegative val="0"/>
          <c:dLbls>
            <c:dLbl>
              <c:idx val="2"/>
              <c:layout>
                <c:manualLayout>
                  <c:x val="-3.9087947882736195E-2"/>
                  <c:y val="8.36012861736334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C9-4D02-842E-B364301F8925}"/>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25+26'!$C$5:$M$5</c:f>
              <c:numCache>
                <c:formatCode>0</c:formatCode>
                <c:ptCount val="11"/>
                <c:pt idx="1">
                  <c:v>2005</c:v>
                </c:pt>
                <c:pt idx="2">
                  <c:v>2009</c:v>
                </c:pt>
                <c:pt idx="3">
                  <c:v>2014</c:v>
                </c:pt>
                <c:pt idx="4">
                  <c:v>2016</c:v>
                </c:pt>
                <c:pt idx="5">
                  <c:v>2017</c:v>
                </c:pt>
                <c:pt idx="6">
                  <c:v>2019</c:v>
                </c:pt>
                <c:pt idx="7">
                  <c:v>2020</c:v>
                </c:pt>
                <c:pt idx="8">
                  <c:v>2021</c:v>
                </c:pt>
                <c:pt idx="9">
                  <c:v>2023</c:v>
                </c:pt>
              </c:numCache>
            </c:numRef>
          </c:cat>
          <c:val>
            <c:numRef>
              <c:f>'Graf 25+26'!$C$6:$M$6</c:f>
              <c:numCache>
                <c:formatCode>0.0</c:formatCode>
                <c:ptCount val="11"/>
                <c:pt idx="1">
                  <c:v>1.3</c:v>
                </c:pt>
                <c:pt idx="2">
                  <c:v>5.7</c:v>
                </c:pt>
                <c:pt idx="3">
                  <c:v>2.2000000000000002</c:v>
                </c:pt>
                <c:pt idx="4">
                  <c:v>-0.7</c:v>
                </c:pt>
                <c:pt idx="5">
                  <c:v>-2.1</c:v>
                </c:pt>
                <c:pt idx="6">
                  <c:v>-2.6</c:v>
                </c:pt>
                <c:pt idx="7">
                  <c:v>-2.9</c:v>
                </c:pt>
                <c:pt idx="8">
                  <c:v>-1.8</c:v>
                </c:pt>
              </c:numCache>
            </c:numRef>
          </c:val>
          <c:extLst xmlns:c16r2="http://schemas.microsoft.com/office/drawing/2015/06/chart">
            <c:ext xmlns:c16="http://schemas.microsoft.com/office/drawing/2014/chart" uri="{C3380CC4-5D6E-409C-BE32-E72D297353CC}">
              <c16:uniqueId val="{00000004-498E-4D79-9C8A-9310499D8B95}"/>
            </c:ext>
          </c:extLst>
        </c:ser>
        <c:ser>
          <c:idx val="5"/>
          <c:order val="1"/>
          <c:tx>
            <c:strRef>
              <c:f>'Graf 25+26'!$B$7</c:f>
              <c:strCache>
                <c:ptCount val="1"/>
                <c:pt idx="0">
                  <c:v>Program stability 20-23 (ref. úroveň dlhu - 60 % HDP)</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5-498E-4D79-9C8A-9310499D8B9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498E-4D79-9C8A-9310499D8B9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498E-4D79-9C8A-9310499D8B9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498E-4D79-9C8A-9310499D8B9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498E-4D79-9C8A-9310499D8B9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25+26'!$C$5:$M$5</c:f>
              <c:numCache>
                <c:formatCode>0</c:formatCode>
                <c:ptCount val="11"/>
                <c:pt idx="1">
                  <c:v>2005</c:v>
                </c:pt>
                <c:pt idx="2">
                  <c:v>2009</c:v>
                </c:pt>
                <c:pt idx="3">
                  <c:v>2014</c:v>
                </c:pt>
                <c:pt idx="4">
                  <c:v>2016</c:v>
                </c:pt>
                <c:pt idx="5">
                  <c:v>2017</c:v>
                </c:pt>
                <c:pt idx="6">
                  <c:v>2019</c:v>
                </c:pt>
                <c:pt idx="7">
                  <c:v>2020</c:v>
                </c:pt>
                <c:pt idx="8">
                  <c:v>2021</c:v>
                </c:pt>
                <c:pt idx="9">
                  <c:v>2023</c:v>
                </c:pt>
              </c:numCache>
            </c:numRef>
          </c:cat>
          <c:val>
            <c:numRef>
              <c:f>'Graf 25+26'!$C$7:$M$7</c:f>
              <c:numCache>
                <c:formatCode>General</c:formatCode>
                <c:ptCount val="11"/>
                <c:pt idx="8" formatCode="0.0">
                  <c:v>2.7</c:v>
                </c:pt>
                <c:pt idx="9" formatCode="0.0">
                  <c:v>1.9</c:v>
                </c:pt>
              </c:numCache>
            </c:numRef>
          </c:val>
          <c:extLst xmlns:c16r2="http://schemas.microsoft.com/office/drawing/2015/06/chart">
            <c:ext xmlns:c16="http://schemas.microsoft.com/office/drawing/2014/chart" uri="{C3380CC4-5D6E-409C-BE32-E72D297353CC}">
              <c16:uniqueId val="{0000000C-498E-4D79-9C8A-9310499D8B95}"/>
            </c:ext>
          </c:extLst>
        </c:ser>
        <c:dLbls>
          <c:showLegendKey val="0"/>
          <c:showVal val="0"/>
          <c:showCatName val="0"/>
          <c:showSerName val="0"/>
          <c:showPercent val="0"/>
          <c:showBubbleSize val="0"/>
        </c:dLbls>
        <c:gapWidth val="150"/>
        <c:axId val="239337680"/>
        <c:axId val="239338072"/>
      </c:barChart>
      <c:lineChart>
        <c:grouping val="standard"/>
        <c:varyColors val="0"/>
        <c:ser>
          <c:idx val="6"/>
          <c:order val="2"/>
          <c:tx>
            <c:strRef>
              <c:f>'Graf 25+26'!$B$8</c:f>
              <c:strCache>
                <c:ptCount val="1"/>
                <c:pt idx="0">
                  <c:v>Program stability 20-23   (ref. úroveň dlhu - 40 % HDP)</c:v>
                </c:pt>
              </c:strCache>
            </c:strRef>
          </c:tx>
          <c:spPr>
            <a:ln w="28575" cap="rnd">
              <a:noFill/>
              <a:round/>
            </a:ln>
            <a:effectLst/>
          </c:spPr>
          <c:marker>
            <c:symbol val="circle"/>
            <c:size val="5"/>
            <c:spPr>
              <a:solidFill>
                <a:schemeClr val="tx2"/>
              </a:solidFill>
              <a:ln w="9525">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25+26'!$C$5:$M$5</c:f>
              <c:numCache>
                <c:formatCode>0</c:formatCode>
                <c:ptCount val="11"/>
                <c:pt idx="1">
                  <c:v>2005</c:v>
                </c:pt>
                <c:pt idx="2">
                  <c:v>2009</c:v>
                </c:pt>
                <c:pt idx="3">
                  <c:v>2014</c:v>
                </c:pt>
                <c:pt idx="4">
                  <c:v>2016</c:v>
                </c:pt>
                <c:pt idx="5">
                  <c:v>2017</c:v>
                </c:pt>
                <c:pt idx="6">
                  <c:v>2019</c:v>
                </c:pt>
                <c:pt idx="7">
                  <c:v>2020</c:v>
                </c:pt>
                <c:pt idx="8">
                  <c:v>2021</c:v>
                </c:pt>
                <c:pt idx="9">
                  <c:v>2023</c:v>
                </c:pt>
              </c:numCache>
            </c:numRef>
          </c:cat>
          <c:val>
            <c:numRef>
              <c:f>'Graf 25+26'!$C$8:$M$8</c:f>
              <c:numCache>
                <c:formatCode>General</c:formatCode>
                <c:ptCount val="11"/>
                <c:pt idx="8" formatCode="0.0">
                  <c:v>4.7</c:v>
                </c:pt>
                <c:pt idx="9" formatCode="0.0">
                  <c:v>3.7630294513515761</c:v>
                </c:pt>
              </c:numCache>
            </c:numRef>
          </c:val>
          <c:smooth val="0"/>
          <c:extLst xmlns:c16r2="http://schemas.microsoft.com/office/drawing/2015/06/chart">
            <c:ext xmlns:c16="http://schemas.microsoft.com/office/drawing/2014/chart" uri="{C3380CC4-5D6E-409C-BE32-E72D297353CC}">
              <c16:uniqueId val="{0000000E-498E-4D79-9C8A-9310499D8B95}"/>
            </c:ext>
          </c:extLst>
        </c:ser>
        <c:ser>
          <c:idx val="4"/>
          <c:order val="6"/>
          <c:tx>
            <c:strRef>
              <c:f>'Graf 25+26'!$B$12</c:f>
              <c:strCache>
                <c:ptCount val="1"/>
                <c:pt idx="0">
                  <c:v>Hranica</c:v>
                </c:pt>
              </c:strCache>
            </c:strRef>
          </c:tx>
          <c:spPr>
            <a:ln w="28575" cap="rnd">
              <a:solidFill>
                <a:srgbClr val="FF0000"/>
              </a:solidFill>
              <a:prstDash val="sysDot"/>
              <a:round/>
            </a:ln>
            <a:effectLst/>
          </c:spPr>
          <c:marker>
            <c:symbol val="none"/>
          </c:marker>
          <c:cat>
            <c:numRef>
              <c:f>'Graf 25+26'!$C$5:$L$5</c:f>
              <c:numCache>
                <c:formatCode>0</c:formatCode>
                <c:ptCount val="10"/>
                <c:pt idx="1">
                  <c:v>2005</c:v>
                </c:pt>
                <c:pt idx="2">
                  <c:v>2009</c:v>
                </c:pt>
                <c:pt idx="3">
                  <c:v>2014</c:v>
                </c:pt>
                <c:pt idx="4">
                  <c:v>2016</c:v>
                </c:pt>
                <c:pt idx="5">
                  <c:v>2017</c:v>
                </c:pt>
                <c:pt idx="6">
                  <c:v>2019</c:v>
                </c:pt>
                <c:pt idx="7">
                  <c:v>2020</c:v>
                </c:pt>
                <c:pt idx="8">
                  <c:v>2021</c:v>
                </c:pt>
                <c:pt idx="9">
                  <c:v>2023</c:v>
                </c:pt>
              </c:numCache>
            </c:numRef>
          </c:cat>
          <c:val>
            <c:numRef>
              <c:f>'Graf 25+26'!$C$12:$M$12</c:f>
              <c:numCache>
                <c:formatCode>0.0</c:formatCode>
                <c:ptCount val="11"/>
                <c:pt idx="0">
                  <c:v>2.5</c:v>
                </c:pt>
                <c:pt idx="1">
                  <c:v>2.5</c:v>
                </c:pt>
                <c:pt idx="2">
                  <c:v>2.5</c:v>
                </c:pt>
                <c:pt idx="3">
                  <c:v>2.5</c:v>
                </c:pt>
                <c:pt idx="4">
                  <c:v>2.5</c:v>
                </c:pt>
                <c:pt idx="5">
                  <c:v>2.5</c:v>
                </c:pt>
                <c:pt idx="6">
                  <c:v>2.5</c:v>
                </c:pt>
                <c:pt idx="7">
                  <c:v>2.5</c:v>
                </c:pt>
                <c:pt idx="8">
                  <c:v>2.5</c:v>
                </c:pt>
                <c:pt idx="9">
                  <c:v>2.5</c:v>
                </c:pt>
                <c:pt idx="10">
                  <c:v>2.5</c:v>
                </c:pt>
              </c:numCache>
            </c:numRef>
          </c:val>
          <c:smooth val="0"/>
          <c:extLst xmlns:c16r2="http://schemas.microsoft.com/office/drawing/2015/06/chart">
            <c:ext xmlns:c16="http://schemas.microsoft.com/office/drawing/2014/chart" uri="{C3380CC4-5D6E-409C-BE32-E72D297353CC}">
              <c16:uniqueId val="{0000000D-498E-4D79-9C8A-9310499D8B95}"/>
            </c:ext>
          </c:extLst>
        </c:ser>
        <c:dLbls>
          <c:showLegendKey val="0"/>
          <c:showVal val="0"/>
          <c:showCatName val="0"/>
          <c:showSerName val="0"/>
          <c:showPercent val="0"/>
          <c:showBubbleSize val="0"/>
        </c:dLbls>
        <c:marker val="1"/>
        <c:smooth val="0"/>
        <c:axId val="239337680"/>
        <c:axId val="239338072"/>
      </c:lineChart>
      <c:catAx>
        <c:axId val="239337680"/>
        <c:scaling>
          <c:orientation val="minMax"/>
        </c:scaling>
        <c:delete val="0"/>
        <c:axPos val="b"/>
        <c:numFmt formatCode="0"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39338072"/>
        <c:crosses val="autoZero"/>
        <c:auto val="0"/>
        <c:lblAlgn val="ctr"/>
        <c:lblOffset val="100"/>
        <c:noMultiLvlLbl val="0"/>
      </c:catAx>
      <c:valAx>
        <c:axId val="239338072"/>
        <c:scaling>
          <c:orientation val="minMax"/>
          <c:max val="6"/>
          <c:min val="-4"/>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39337680"/>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627604367043696E-2"/>
          <c:y val="1.692888067448161E-2"/>
          <c:w val="0.97791498443511005"/>
          <c:h val="0.179212598425196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45130715209454E-2"/>
          <c:y val="0.18979057591623036"/>
          <c:w val="0.89030329542140563"/>
          <c:h val="0.65639042338294085"/>
        </c:manualLayout>
      </c:layout>
      <c:areaChart>
        <c:grouping val="standard"/>
        <c:varyColors val="0"/>
        <c:ser>
          <c:idx val="3"/>
          <c:order val="2"/>
          <c:tx>
            <c:strRef>
              <c:f>'Graf 25+26'!$B$34</c:f>
              <c:strCache>
                <c:ptCount val="1"/>
                <c:pt idx="0">
                  <c:v>Vysoké riziko/ High risk</c:v>
                </c:pt>
              </c:strCache>
            </c:strRef>
          </c:tx>
          <c:spPr>
            <a:blipFill>
              <a:blip xmlns:r="http://schemas.openxmlformats.org/officeDocument/2006/relationships" r:embed="rId3"/>
              <a:stretch>
                <a:fillRect/>
              </a:stretch>
            </a:blipFill>
            <a:ln>
              <a:noFill/>
            </a:ln>
            <a:effectLst/>
          </c:spPr>
          <c:cat>
            <c:numRef>
              <c:f>'Graf 25+26'!$C$29:$M$29</c:f>
              <c:numCache>
                <c:formatCode>General</c:formatCode>
                <c:ptCount val="11"/>
                <c:pt idx="1">
                  <c:v>2005</c:v>
                </c:pt>
                <c:pt idx="2">
                  <c:v>2009</c:v>
                </c:pt>
                <c:pt idx="3">
                  <c:v>2014</c:v>
                </c:pt>
                <c:pt idx="4">
                  <c:v>2016</c:v>
                </c:pt>
                <c:pt idx="5">
                  <c:v>2017</c:v>
                </c:pt>
                <c:pt idx="6" formatCode="0">
                  <c:v>2019</c:v>
                </c:pt>
                <c:pt idx="7" formatCode="0">
                  <c:v>2020</c:v>
                </c:pt>
                <c:pt idx="8" formatCode="0">
                  <c:v>2021</c:v>
                </c:pt>
                <c:pt idx="9" formatCode="0">
                  <c:v>2023</c:v>
                </c:pt>
              </c:numCache>
            </c:numRef>
          </c:cat>
          <c:val>
            <c:numRef>
              <c:f>'Graf 25+26'!$C$34:$M$34</c:f>
              <c:numCache>
                <c:formatCode>0.0</c:formatCode>
                <c:ptCount val="11"/>
                <c:pt idx="0">
                  <c:v>9</c:v>
                </c:pt>
                <c:pt idx="1">
                  <c:v>9</c:v>
                </c:pt>
                <c:pt idx="2">
                  <c:v>9</c:v>
                </c:pt>
                <c:pt idx="3">
                  <c:v>9</c:v>
                </c:pt>
                <c:pt idx="4">
                  <c:v>9</c:v>
                </c:pt>
                <c:pt idx="5">
                  <c:v>9</c:v>
                </c:pt>
                <c:pt idx="6">
                  <c:v>9</c:v>
                </c:pt>
                <c:pt idx="7">
                  <c:v>9</c:v>
                </c:pt>
                <c:pt idx="8">
                  <c:v>9</c:v>
                </c:pt>
                <c:pt idx="9">
                  <c:v>9</c:v>
                </c:pt>
                <c:pt idx="10">
                  <c:v>9</c:v>
                </c:pt>
              </c:numCache>
            </c:numRef>
          </c:val>
          <c:extLst xmlns:c16r2="http://schemas.microsoft.com/office/drawing/2015/06/chart">
            <c:ext xmlns:c16="http://schemas.microsoft.com/office/drawing/2014/chart" uri="{C3380CC4-5D6E-409C-BE32-E72D297353CC}">
              <c16:uniqueId val="{00000000-1104-4129-BD11-38AD28F682BE}"/>
            </c:ext>
          </c:extLst>
        </c:ser>
        <c:ser>
          <c:idx val="2"/>
          <c:order val="3"/>
          <c:tx>
            <c:strRef>
              <c:f>'Graf 25+26'!$B$33</c:f>
              <c:strCache>
                <c:ptCount val="1"/>
                <c:pt idx="0">
                  <c:v>Stredné riziko/ Medium risk</c:v>
                </c:pt>
              </c:strCache>
            </c:strRef>
          </c:tx>
          <c:spPr>
            <a:solidFill>
              <a:srgbClr val="FFFFAF"/>
            </a:solidFill>
            <a:ln>
              <a:noFill/>
            </a:ln>
            <a:effectLst/>
          </c:spPr>
          <c:cat>
            <c:numRef>
              <c:f>'Graf 25+26'!$C$29:$M$29</c:f>
              <c:numCache>
                <c:formatCode>General</c:formatCode>
                <c:ptCount val="11"/>
                <c:pt idx="1">
                  <c:v>2005</c:v>
                </c:pt>
                <c:pt idx="2">
                  <c:v>2009</c:v>
                </c:pt>
                <c:pt idx="3">
                  <c:v>2014</c:v>
                </c:pt>
                <c:pt idx="4">
                  <c:v>2016</c:v>
                </c:pt>
                <c:pt idx="5">
                  <c:v>2017</c:v>
                </c:pt>
                <c:pt idx="6" formatCode="0">
                  <c:v>2019</c:v>
                </c:pt>
                <c:pt idx="7" formatCode="0">
                  <c:v>2020</c:v>
                </c:pt>
                <c:pt idx="8" formatCode="0">
                  <c:v>2021</c:v>
                </c:pt>
                <c:pt idx="9" formatCode="0">
                  <c:v>2023</c:v>
                </c:pt>
              </c:numCache>
            </c:numRef>
          </c:cat>
          <c:val>
            <c:numRef>
              <c:f>'Graf 25+26'!$C$33:$M$33</c:f>
              <c:numCache>
                <c:formatCode>0.0</c:formatCode>
                <c:ptCount val="11"/>
                <c:pt idx="0">
                  <c:v>6</c:v>
                </c:pt>
                <c:pt idx="1">
                  <c:v>6</c:v>
                </c:pt>
                <c:pt idx="2">
                  <c:v>6</c:v>
                </c:pt>
                <c:pt idx="3">
                  <c:v>6</c:v>
                </c:pt>
                <c:pt idx="4">
                  <c:v>6</c:v>
                </c:pt>
                <c:pt idx="5">
                  <c:v>6</c:v>
                </c:pt>
                <c:pt idx="6">
                  <c:v>6</c:v>
                </c:pt>
                <c:pt idx="7">
                  <c:v>6</c:v>
                </c:pt>
                <c:pt idx="8">
                  <c:v>6</c:v>
                </c:pt>
                <c:pt idx="9">
                  <c:v>6</c:v>
                </c:pt>
                <c:pt idx="10">
                  <c:v>6</c:v>
                </c:pt>
              </c:numCache>
            </c:numRef>
          </c:val>
          <c:extLst xmlns:c16r2="http://schemas.microsoft.com/office/drawing/2015/06/chart">
            <c:ext xmlns:c16="http://schemas.microsoft.com/office/drawing/2014/chart" uri="{C3380CC4-5D6E-409C-BE32-E72D297353CC}">
              <c16:uniqueId val="{00000001-1104-4129-BD11-38AD28F682BE}"/>
            </c:ext>
          </c:extLst>
        </c:ser>
        <c:ser>
          <c:idx val="1"/>
          <c:order val="4"/>
          <c:tx>
            <c:strRef>
              <c:f>'Graf 25+26'!$B$32</c:f>
              <c:strCache>
                <c:ptCount val="1"/>
                <c:pt idx="0">
                  <c:v>Nízke riziko/ Low risk</c:v>
                </c:pt>
              </c:strCache>
            </c:strRef>
          </c:tx>
          <c:spPr>
            <a:solidFill>
              <a:schemeClr val="accent3"/>
            </a:solidFill>
            <a:ln>
              <a:noFill/>
            </a:ln>
            <a:effectLst/>
          </c:spPr>
          <c:cat>
            <c:numRef>
              <c:f>'Graf 25+26'!$C$29:$M$29</c:f>
              <c:numCache>
                <c:formatCode>General</c:formatCode>
                <c:ptCount val="11"/>
                <c:pt idx="1">
                  <c:v>2005</c:v>
                </c:pt>
                <c:pt idx="2">
                  <c:v>2009</c:v>
                </c:pt>
                <c:pt idx="3">
                  <c:v>2014</c:v>
                </c:pt>
                <c:pt idx="4">
                  <c:v>2016</c:v>
                </c:pt>
                <c:pt idx="5">
                  <c:v>2017</c:v>
                </c:pt>
                <c:pt idx="6" formatCode="0">
                  <c:v>2019</c:v>
                </c:pt>
                <c:pt idx="7" formatCode="0">
                  <c:v>2020</c:v>
                </c:pt>
                <c:pt idx="8" formatCode="0">
                  <c:v>2021</c:v>
                </c:pt>
                <c:pt idx="9" formatCode="0">
                  <c:v>2023</c:v>
                </c:pt>
              </c:numCache>
            </c:numRef>
          </c:cat>
          <c:val>
            <c:numRef>
              <c:f>'Graf 25+26'!$C$32:$M$32</c:f>
              <c:numCache>
                <c:formatCode>0.0</c:formatCode>
                <c:ptCount val="11"/>
                <c:pt idx="0">
                  <c:v>2</c:v>
                </c:pt>
                <c:pt idx="1">
                  <c:v>2</c:v>
                </c:pt>
                <c:pt idx="2">
                  <c:v>2</c:v>
                </c:pt>
                <c:pt idx="3">
                  <c:v>2</c:v>
                </c:pt>
                <c:pt idx="4">
                  <c:v>2</c:v>
                </c:pt>
                <c:pt idx="5">
                  <c:v>2</c:v>
                </c:pt>
                <c:pt idx="6">
                  <c:v>2</c:v>
                </c:pt>
                <c:pt idx="7">
                  <c:v>2</c:v>
                </c:pt>
                <c:pt idx="8">
                  <c:v>2</c:v>
                </c:pt>
                <c:pt idx="9">
                  <c:v>2</c:v>
                </c:pt>
                <c:pt idx="10">
                  <c:v>2</c:v>
                </c:pt>
              </c:numCache>
            </c:numRef>
          </c:val>
          <c:extLst xmlns:c16r2="http://schemas.microsoft.com/office/drawing/2015/06/chart">
            <c:ext xmlns:c16="http://schemas.microsoft.com/office/drawing/2014/chart" uri="{C3380CC4-5D6E-409C-BE32-E72D297353CC}">
              <c16:uniqueId val="{00000002-1104-4129-BD11-38AD28F682BE}"/>
            </c:ext>
          </c:extLst>
        </c:ser>
        <c:dLbls>
          <c:showLegendKey val="0"/>
          <c:showVal val="0"/>
          <c:showCatName val="0"/>
          <c:showSerName val="0"/>
          <c:showPercent val="0"/>
          <c:showBubbleSize val="0"/>
        </c:dLbls>
        <c:axId val="239338856"/>
        <c:axId val="239339248"/>
      </c:areaChart>
      <c:barChart>
        <c:barDir val="col"/>
        <c:grouping val="clustered"/>
        <c:varyColors val="0"/>
        <c:ser>
          <c:idx val="0"/>
          <c:order val="0"/>
          <c:tx>
            <c:strRef>
              <c:f>'Graf 25+26'!$B$30</c:f>
              <c:strCache>
                <c:ptCount val="1"/>
                <c:pt idx="0">
                  <c:v>EK</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25+26'!$C$29:$M$29</c:f>
              <c:numCache>
                <c:formatCode>General</c:formatCode>
                <c:ptCount val="11"/>
                <c:pt idx="1">
                  <c:v>2005</c:v>
                </c:pt>
                <c:pt idx="2">
                  <c:v>2009</c:v>
                </c:pt>
                <c:pt idx="3">
                  <c:v>2014</c:v>
                </c:pt>
                <c:pt idx="4">
                  <c:v>2016</c:v>
                </c:pt>
                <c:pt idx="5">
                  <c:v>2017</c:v>
                </c:pt>
                <c:pt idx="6" formatCode="0">
                  <c:v>2019</c:v>
                </c:pt>
                <c:pt idx="7" formatCode="0">
                  <c:v>2020</c:v>
                </c:pt>
                <c:pt idx="8" formatCode="0">
                  <c:v>2021</c:v>
                </c:pt>
                <c:pt idx="9" formatCode="0">
                  <c:v>2023</c:v>
                </c:pt>
              </c:numCache>
            </c:numRef>
          </c:cat>
          <c:val>
            <c:numRef>
              <c:f>'Graf 25+26'!$C$30:$M$30</c:f>
              <c:numCache>
                <c:formatCode>0.0</c:formatCode>
                <c:ptCount val="11"/>
                <c:pt idx="1">
                  <c:v>3</c:v>
                </c:pt>
                <c:pt idx="2">
                  <c:v>7.4</c:v>
                </c:pt>
                <c:pt idx="3">
                  <c:v>6.9</c:v>
                </c:pt>
                <c:pt idx="4">
                  <c:v>3.5</c:v>
                </c:pt>
                <c:pt idx="5">
                  <c:v>2.4</c:v>
                </c:pt>
                <c:pt idx="6">
                  <c:v>2.4</c:v>
                </c:pt>
                <c:pt idx="7">
                  <c:v>2.5</c:v>
                </c:pt>
                <c:pt idx="8">
                  <c:v>3.8</c:v>
                </c:pt>
              </c:numCache>
            </c:numRef>
          </c:val>
          <c:extLst xmlns:c16r2="http://schemas.microsoft.com/office/drawing/2015/06/chart">
            <c:ext xmlns:c16="http://schemas.microsoft.com/office/drawing/2014/chart" uri="{C3380CC4-5D6E-409C-BE32-E72D297353CC}">
              <c16:uniqueId val="{00000003-1104-4129-BD11-38AD28F682BE}"/>
            </c:ext>
          </c:extLst>
        </c:ser>
        <c:ser>
          <c:idx val="5"/>
          <c:order val="1"/>
          <c:tx>
            <c:strRef>
              <c:f>'Graf 25+26'!$B$31</c:f>
              <c:strCache>
                <c:ptCount val="1"/>
                <c:pt idx="0">
                  <c:v>Program stability 20-23 </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4-1104-4129-BD11-38AD28F682B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1104-4129-BD11-38AD28F682B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1104-4129-BD11-38AD28F682B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1104-4129-BD11-38AD28F682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1104-4129-BD11-38AD28F682BE}"/>
                </c:ext>
                <c:ext xmlns:c15="http://schemas.microsoft.com/office/drawing/2012/chart" uri="{CE6537A1-D6FC-4f65-9D91-7224C49458BB}"/>
              </c:extLst>
            </c:dLbl>
            <c:dLbl>
              <c:idx val="6"/>
              <c:layout>
                <c:manualLayout>
                  <c:x val="2.6512138772109228E-2"/>
                  <c:y val="2.2322684065470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04-4129-BD11-38AD28F682BE}"/>
                </c:ext>
                <c:ext xmlns:c15="http://schemas.microsoft.com/office/drawing/2012/chart" uri="{CE6537A1-D6FC-4f65-9D91-7224C49458BB}"/>
              </c:extLst>
            </c:dLbl>
            <c:dLbl>
              <c:idx val="7"/>
              <c:layout>
                <c:manualLayout>
                  <c:x val="1.4036171867906481E-3"/>
                  <c:y val="-5.24975894853197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04-4129-BD11-38AD28F682BE}"/>
                </c:ext>
                <c:ext xmlns:c15="http://schemas.microsoft.com/office/drawing/2012/chart" uri="{CE6537A1-D6FC-4f65-9D91-7224C49458BB}"/>
              </c:extLst>
            </c:dLbl>
            <c:dLbl>
              <c:idx val="8"/>
              <c:layout>
                <c:manualLayout>
                  <c:x val="5.7791986617742189E-3"/>
                  <c:y val="2.2133600679344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62-4179-ACD4-330482BC54FE}"/>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 25+26'!$C$29:$M$29</c:f>
              <c:numCache>
                <c:formatCode>General</c:formatCode>
                <c:ptCount val="11"/>
                <c:pt idx="1">
                  <c:v>2005</c:v>
                </c:pt>
                <c:pt idx="2">
                  <c:v>2009</c:v>
                </c:pt>
                <c:pt idx="3">
                  <c:v>2014</c:v>
                </c:pt>
                <c:pt idx="4">
                  <c:v>2016</c:v>
                </c:pt>
                <c:pt idx="5">
                  <c:v>2017</c:v>
                </c:pt>
                <c:pt idx="6" formatCode="0">
                  <c:v>2019</c:v>
                </c:pt>
                <c:pt idx="7" formatCode="0">
                  <c:v>2020</c:v>
                </c:pt>
                <c:pt idx="8" formatCode="0">
                  <c:v>2021</c:v>
                </c:pt>
                <c:pt idx="9" formatCode="0">
                  <c:v>2023</c:v>
                </c:pt>
              </c:numCache>
            </c:numRef>
          </c:cat>
          <c:val>
            <c:numRef>
              <c:f>'Graf 25+26'!$C$31:$M$31</c:f>
              <c:numCache>
                <c:formatCode>General</c:formatCode>
                <c:ptCount val="11"/>
                <c:pt idx="8" formatCode="0.0">
                  <c:v>8.4298788517182057</c:v>
                </c:pt>
                <c:pt idx="9" formatCode="0.0">
                  <c:v>7.6006465833167365</c:v>
                </c:pt>
              </c:numCache>
            </c:numRef>
          </c:val>
          <c:extLst xmlns:c16r2="http://schemas.microsoft.com/office/drawing/2015/06/chart">
            <c:ext xmlns:c16="http://schemas.microsoft.com/office/drawing/2014/chart" uri="{C3380CC4-5D6E-409C-BE32-E72D297353CC}">
              <c16:uniqueId val="{0000000B-1104-4129-BD11-38AD28F682BE}"/>
            </c:ext>
          </c:extLst>
        </c:ser>
        <c:dLbls>
          <c:showLegendKey val="0"/>
          <c:showVal val="0"/>
          <c:showCatName val="0"/>
          <c:showSerName val="0"/>
          <c:showPercent val="0"/>
          <c:showBubbleSize val="0"/>
        </c:dLbls>
        <c:gapWidth val="150"/>
        <c:axId val="239338856"/>
        <c:axId val="239339248"/>
      </c:barChart>
      <c:lineChart>
        <c:grouping val="standard"/>
        <c:varyColors val="0"/>
        <c:ser>
          <c:idx val="4"/>
          <c:order val="5"/>
          <c:tx>
            <c:strRef>
              <c:f>'Graf 25+26'!$B$35</c:f>
              <c:strCache>
                <c:ptCount val="1"/>
                <c:pt idx="0">
                  <c:v>Borders</c:v>
                </c:pt>
              </c:strCache>
            </c:strRef>
          </c:tx>
          <c:spPr>
            <a:ln w="28575" cap="rnd">
              <a:solidFill>
                <a:srgbClr val="FF0000"/>
              </a:solidFill>
              <a:prstDash val="sysDot"/>
              <a:round/>
            </a:ln>
            <a:effectLst/>
          </c:spPr>
          <c:marker>
            <c:symbol val="none"/>
          </c:marker>
          <c:cat>
            <c:numRef>
              <c:f>'Graf 25+26'!$C$29:$L$29</c:f>
              <c:numCache>
                <c:formatCode>General</c:formatCode>
                <c:ptCount val="10"/>
                <c:pt idx="1">
                  <c:v>2005</c:v>
                </c:pt>
                <c:pt idx="2">
                  <c:v>2009</c:v>
                </c:pt>
                <c:pt idx="3">
                  <c:v>2014</c:v>
                </c:pt>
                <c:pt idx="4">
                  <c:v>2016</c:v>
                </c:pt>
                <c:pt idx="5">
                  <c:v>2017</c:v>
                </c:pt>
                <c:pt idx="6" formatCode="0">
                  <c:v>2019</c:v>
                </c:pt>
                <c:pt idx="7" formatCode="0">
                  <c:v>2020</c:v>
                </c:pt>
                <c:pt idx="8" formatCode="0">
                  <c:v>2021</c:v>
                </c:pt>
                <c:pt idx="9" formatCode="0">
                  <c:v>2023</c:v>
                </c:pt>
              </c:numCache>
            </c:numRef>
          </c:cat>
          <c:val>
            <c:numRef>
              <c:f>'Graf 25+26'!$C$35:$M$35</c:f>
              <c:numCache>
                <c:formatCode>0.0</c:formatCode>
                <c:ptCount val="11"/>
                <c:pt idx="0">
                  <c:v>6</c:v>
                </c:pt>
                <c:pt idx="1">
                  <c:v>6</c:v>
                </c:pt>
                <c:pt idx="2">
                  <c:v>6</c:v>
                </c:pt>
                <c:pt idx="3">
                  <c:v>6</c:v>
                </c:pt>
                <c:pt idx="4">
                  <c:v>6</c:v>
                </c:pt>
                <c:pt idx="5">
                  <c:v>6</c:v>
                </c:pt>
                <c:pt idx="6">
                  <c:v>6</c:v>
                </c:pt>
                <c:pt idx="7">
                  <c:v>6</c:v>
                </c:pt>
                <c:pt idx="8">
                  <c:v>6</c:v>
                </c:pt>
                <c:pt idx="9">
                  <c:v>6</c:v>
                </c:pt>
                <c:pt idx="10">
                  <c:v>6</c:v>
                </c:pt>
              </c:numCache>
            </c:numRef>
          </c:val>
          <c:smooth val="0"/>
          <c:extLst xmlns:c16r2="http://schemas.microsoft.com/office/drawing/2015/06/chart">
            <c:ext xmlns:c16="http://schemas.microsoft.com/office/drawing/2014/chart" uri="{C3380CC4-5D6E-409C-BE32-E72D297353CC}">
              <c16:uniqueId val="{0000000C-1104-4129-BD11-38AD28F682BE}"/>
            </c:ext>
          </c:extLst>
        </c:ser>
        <c:dLbls>
          <c:showLegendKey val="0"/>
          <c:showVal val="0"/>
          <c:showCatName val="0"/>
          <c:showSerName val="0"/>
          <c:showPercent val="0"/>
          <c:showBubbleSize val="0"/>
        </c:dLbls>
        <c:marker val="1"/>
        <c:smooth val="0"/>
        <c:axId val="239338856"/>
        <c:axId val="239339248"/>
      </c:lineChart>
      <c:catAx>
        <c:axId val="23933885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39339248"/>
        <c:crosses val="autoZero"/>
        <c:auto val="1"/>
        <c:lblAlgn val="ctr"/>
        <c:lblOffset val="100"/>
        <c:noMultiLvlLbl val="0"/>
      </c:catAx>
      <c:valAx>
        <c:axId val="239339248"/>
        <c:scaling>
          <c:orientation val="minMax"/>
          <c:max val="9"/>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39338856"/>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Entry>
      <c:legendEntry>
        <c:idx val="5"/>
        <c:delete val="1"/>
      </c:legendEntry>
      <c:layout>
        <c:manualLayout>
          <c:xMode val="edge"/>
          <c:yMode val="edge"/>
          <c:x val="0.20389379082292469"/>
          <c:y val="4.0112132580286111E-3"/>
          <c:w val="0.37183787057802808"/>
          <c:h val="0.1582924516634373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b="1">
          <a:latin typeface="Arial Narrow" panose="020B0606020202030204" pitchFamily="34" charset="0"/>
        </a:defRPr>
      </a:pPr>
      <a:endParaRPr lang="sk-SK"/>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91819511922711794"/>
          <c:h val="0.71175226231049482"/>
        </c:manualLayout>
      </c:layout>
      <c:lineChart>
        <c:grouping val="standard"/>
        <c:varyColors val="0"/>
        <c:ser>
          <c:idx val="3"/>
          <c:order val="0"/>
          <c:tx>
            <c:strRef>
              <c:f>Hárok1!$A$39</c:f>
              <c:strCache>
                <c:ptCount val="1"/>
                <c:pt idx="0">
                  <c:v>Metodologická zmena</c:v>
                </c:pt>
              </c:strCache>
            </c:strRef>
          </c:tx>
          <c:spPr>
            <a:ln w="22225">
              <a:solidFill>
                <a:srgbClr val="2C9ADC"/>
              </a:solidFill>
              <a:prstDash val="solid"/>
            </a:ln>
          </c:spPr>
          <c:marker>
            <c:symbol val="none"/>
          </c:marker>
          <c:cat>
            <c:numRef>
              <c:f>Hárok1!$B$38:$BD$38</c:f>
              <c:numCache>
                <c:formatCode>0</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Hárok1!$B$39:$BD$39</c:f>
              <c:numCache>
                <c:formatCode>0.0%</c:formatCode>
                <c:ptCount val="55"/>
                <c:pt idx="0">
                  <c:v>8.5661178091161305E-2</c:v>
                </c:pt>
                <c:pt idx="1">
                  <c:v>8.6890541246745848E-2</c:v>
                </c:pt>
                <c:pt idx="2">
                  <c:v>8.5860344001902456E-2</c:v>
                </c:pt>
                <c:pt idx="3">
                  <c:v>8.4952860073244582E-2</c:v>
                </c:pt>
                <c:pt idx="4">
                  <c:v>8.4154280346291493E-2</c:v>
                </c:pt>
                <c:pt idx="5">
                  <c:v>8.34736900412619E-2</c:v>
                </c:pt>
                <c:pt idx="6">
                  <c:v>8.2427592738855929E-2</c:v>
                </c:pt>
                <c:pt idx="7">
                  <c:v>8.1052999756632077E-2</c:v>
                </c:pt>
                <c:pt idx="8">
                  <c:v>8.0610998831382966E-2</c:v>
                </c:pt>
                <c:pt idx="9">
                  <c:v>8.0271476985257481E-2</c:v>
                </c:pt>
                <c:pt idx="10">
                  <c:v>8.0118934679381332E-2</c:v>
                </c:pt>
                <c:pt idx="11">
                  <c:v>8.0063968640810723E-2</c:v>
                </c:pt>
                <c:pt idx="12">
                  <c:v>8.0290326384493196E-2</c:v>
                </c:pt>
                <c:pt idx="13">
                  <c:v>8.0538437373467608E-2</c:v>
                </c:pt>
                <c:pt idx="14">
                  <c:v>8.0307724867782967E-2</c:v>
                </c:pt>
                <c:pt idx="15">
                  <c:v>8.019678760543543E-2</c:v>
                </c:pt>
                <c:pt idx="16">
                  <c:v>8.0349538278954732E-2</c:v>
                </c:pt>
                <c:pt idx="17">
                  <c:v>8.0560023677813883E-2</c:v>
                </c:pt>
                <c:pt idx="18">
                  <c:v>8.0709066869897275E-2</c:v>
                </c:pt>
                <c:pt idx="19">
                  <c:v>8.127476027163813E-2</c:v>
                </c:pt>
                <c:pt idx="20">
                  <c:v>8.2003563008569438E-2</c:v>
                </c:pt>
                <c:pt idx="21">
                  <c:v>8.2792518175484955E-2</c:v>
                </c:pt>
                <c:pt idx="22">
                  <c:v>8.2975472831497213E-2</c:v>
                </c:pt>
                <c:pt idx="23">
                  <c:v>8.3884808269749159E-2</c:v>
                </c:pt>
                <c:pt idx="24">
                  <c:v>8.4980482790699557E-2</c:v>
                </c:pt>
                <c:pt idx="25">
                  <c:v>8.6135489875054025E-2</c:v>
                </c:pt>
                <c:pt idx="26">
                  <c:v>8.7059630163263263E-2</c:v>
                </c:pt>
                <c:pt idx="27">
                  <c:v>8.8411817541516571E-2</c:v>
                </c:pt>
                <c:pt idx="28">
                  <c:v>8.9879998490873983E-2</c:v>
                </c:pt>
                <c:pt idx="29">
                  <c:v>9.1351678349381293E-2</c:v>
                </c:pt>
                <c:pt idx="30">
                  <c:v>9.218782557923072E-2</c:v>
                </c:pt>
                <c:pt idx="31">
                  <c:v>9.3337336760416723E-2</c:v>
                </c:pt>
                <c:pt idx="32">
                  <c:v>9.4320520525975907E-2</c:v>
                </c:pt>
                <c:pt idx="33">
                  <c:v>9.5462293625258987E-2</c:v>
                </c:pt>
                <c:pt idx="34">
                  <c:v>9.6624133000199106E-2</c:v>
                </c:pt>
                <c:pt idx="35">
                  <c:v>9.8094457616699354E-2</c:v>
                </c:pt>
                <c:pt idx="36">
                  <c:v>9.9650406278333145E-2</c:v>
                </c:pt>
                <c:pt idx="37">
                  <c:v>0.1010455701359087</c:v>
                </c:pt>
                <c:pt idx="38">
                  <c:v>0.10225647792316872</c:v>
                </c:pt>
                <c:pt idx="39">
                  <c:v>0.10323526380129902</c:v>
                </c:pt>
                <c:pt idx="40">
                  <c:v>0.10462593357493712</c:v>
                </c:pt>
                <c:pt idx="41">
                  <c:v>0.10601233331407428</c:v>
                </c:pt>
                <c:pt idx="42">
                  <c:v>0.10731079387885484</c:v>
                </c:pt>
                <c:pt idx="43">
                  <c:v>0.10844459723966922</c:v>
                </c:pt>
                <c:pt idx="44">
                  <c:v>0.10962668710709902</c:v>
                </c:pt>
                <c:pt idx="45">
                  <c:v>0.11062277905398259</c:v>
                </c:pt>
                <c:pt idx="46">
                  <c:v>0.11129681697010115</c:v>
                </c:pt>
                <c:pt idx="47">
                  <c:v>0.11152787808802447</c:v>
                </c:pt>
                <c:pt idx="48">
                  <c:v>0.11146409185531816</c:v>
                </c:pt>
                <c:pt idx="49">
                  <c:v>0.11116392900979324</c:v>
                </c:pt>
                <c:pt idx="50">
                  <c:v>0.11097040949762166</c:v>
                </c:pt>
                <c:pt idx="51">
                  <c:v>0.11053897476867817</c:v>
                </c:pt>
                <c:pt idx="52">
                  <c:v>0.11016576686579012</c:v>
                </c:pt>
                <c:pt idx="53">
                  <c:v>0.10947683035731821</c:v>
                </c:pt>
                <c:pt idx="54">
                  <c:v>0.10862007838873265</c:v>
                </c:pt>
              </c:numCache>
            </c:numRef>
          </c:val>
          <c:smooth val="0"/>
          <c:extLst xmlns:c16r2="http://schemas.microsoft.com/office/drawing/2015/06/chart">
            <c:ext xmlns:c16="http://schemas.microsoft.com/office/drawing/2014/chart" uri="{C3380CC4-5D6E-409C-BE32-E72D297353CC}">
              <c16:uniqueId val="{00000000-5304-4A69-A52F-FDAEB464A855}"/>
            </c:ext>
          </c:extLst>
        </c:ser>
        <c:ser>
          <c:idx val="5"/>
          <c:order val="1"/>
          <c:tx>
            <c:strRef>
              <c:f>Hárok1!$A$40</c:f>
              <c:strCache>
                <c:ptCount val="1"/>
                <c:pt idx="0">
                  <c:v>(1)</c:v>
                </c:pt>
              </c:strCache>
            </c:strRef>
          </c:tx>
          <c:spPr>
            <a:ln w="22225">
              <a:solidFill>
                <a:srgbClr val="333F50"/>
              </a:solidFill>
              <a:prstDash val="dash"/>
            </a:ln>
          </c:spPr>
          <c:marker>
            <c:symbol val="none"/>
          </c:marker>
          <c:cat>
            <c:numRef>
              <c:f>Hárok1!$B$38:$BD$38</c:f>
              <c:numCache>
                <c:formatCode>0</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Hárok1!$B$40:$BD$40</c:f>
              <c:numCache>
                <c:formatCode>0.0%</c:formatCode>
                <c:ptCount val="55"/>
                <c:pt idx="0">
                  <c:v>8.5661178091161305E-2</c:v>
                </c:pt>
                <c:pt idx="1">
                  <c:v>8.6890541246745848E-2</c:v>
                </c:pt>
                <c:pt idx="2">
                  <c:v>8.5860344001902456E-2</c:v>
                </c:pt>
                <c:pt idx="3">
                  <c:v>8.5135416982476939E-2</c:v>
                </c:pt>
                <c:pt idx="4">
                  <c:v>8.5202518211664191E-2</c:v>
                </c:pt>
                <c:pt idx="5">
                  <c:v>8.5020122526452385E-2</c:v>
                </c:pt>
                <c:pt idx="6">
                  <c:v>8.4316270914044963E-2</c:v>
                </c:pt>
                <c:pt idx="7">
                  <c:v>8.3429010630431871E-2</c:v>
                </c:pt>
                <c:pt idx="8">
                  <c:v>8.324783228110659E-2</c:v>
                </c:pt>
                <c:pt idx="9">
                  <c:v>8.3201367999688733E-2</c:v>
                </c:pt>
                <c:pt idx="10">
                  <c:v>8.31717395820461E-2</c:v>
                </c:pt>
                <c:pt idx="11">
                  <c:v>8.2964947963205263E-2</c:v>
                </c:pt>
                <c:pt idx="12">
                  <c:v>8.297677719579355E-2</c:v>
                </c:pt>
                <c:pt idx="13">
                  <c:v>8.3140888612768832E-2</c:v>
                </c:pt>
                <c:pt idx="14">
                  <c:v>8.3107642835030318E-2</c:v>
                </c:pt>
                <c:pt idx="15">
                  <c:v>8.3453637403270553E-2</c:v>
                </c:pt>
                <c:pt idx="16">
                  <c:v>8.3948444531750335E-2</c:v>
                </c:pt>
                <c:pt idx="17">
                  <c:v>8.4688354782839981E-2</c:v>
                </c:pt>
                <c:pt idx="18">
                  <c:v>8.5637524875689111E-2</c:v>
                </c:pt>
                <c:pt idx="19">
                  <c:v>8.6770337943121334E-2</c:v>
                </c:pt>
                <c:pt idx="20">
                  <c:v>8.8166693555311593E-2</c:v>
                </c:pt>
                <c:pt idx="21">
                  <c:v>8.9753155110685975E-2</c:v>
                </c:pt>
                <c:pt idx="22">
                  <c:v>9.1478089467772292E-2</c:v>
                </c:pt>
                <c:pt idx="23">
                  <c:v>9.3264628223215448E-2</c:v>
                </c:pt>
                <c:pt idx="24">
                  <c:v>9.5070417366042964E-2</c:v>
                </c:pt>
                <c:pt idx="25">
                  <c:v>9.6967727719437444E-2</c:v>
                </c:pt>
                <c:pt idx="26">
                  <c:v>9.8890811919299534E-2</c:v>
                </c:pt>
                <c:pt idx="27">
                  <c:v>0.10078202794561085</c:v>
                </c:pt>
                <c:pt idx="28">
                  <c:v>0.10262968343256459</c:v>
                </c:pt>
                <c:pt idx="29">
                  <c:v>0.10449402485002177</c:v>
                </c:pt>
                <c:pt idx="30">
                  <c:v>0.10633645797370382</c:v>
                </c:pt>
                <c:pt idx="31">
                  <c:v>0.10831286711704004</c:v>
                </c:pt>
                <c:pt idx="32">
                  <c:v>0.1103792798395434</c:v>
                </c:pt>
                <c:pt idx="33">
                  <c:v>0.11250948455988632</c:v>
                </c:pt>
                <c:pt idx="34">
                  <c:v>0.11467952030542558</c:v>
                </c:pt>
                <c:pt idx="35">
                  <c:v>0.11684157853298693</c:v>
                </c:pt>
                <c:pt idx="36">
                  <c:v>0.11898749054751696</c:v>
                </c:pt>
                <c:pt idx="37">
                  <c:v>0.12118900396246271</c:v>
                </c:pt>
                <c:pt idx="38">
                  <c:v>0.12338670199507561</c:v>
                </c:pt>
                <c:pt idx="39">
                  <c:v>0.12547008717364569</c:v>
                </c:pt>
                <c:pt idx="40">
                  <c:v>0.1273256636965826</c:v>
                </c:pt>
                <c:pt idx="41">
                  <c:v>0.12865344008386889</c:v>
                </c:pt>
                <c:pt idx="42">
                  <c:v>0.12986564481867649</c:v>
                </c:pt>
                <c:pt idx="43">
                  <c:v>0.13075808541059908</c:v>
                </c:pt>
                <c:pt idx="44">
                  <c:v>0.13156414049263362</c:v>
                </c:pt>
                <c:pt idx="45">
                  <c:v>0.13199032945840133</c:v>
                </c:pt>
                <c:pt idx="46">
                  <c:v>0.13226737634859928</c:v>
                </c:pt>
                <c:pt idx="47">
                  <c:v>0.13233380955788251</c:v>
                </c:pt>
                <c:pt idx="48">
                  <c:v>0.13208490461435579</c:v>
                </c:pt>
                <c:pt idx="49">
                  <c:v>0.13199201022581319</c:v>
                </c:pt>
                <c:pt idx="50">
                  <c:v>0.13171039079453364</c:v>
                </c:pt>
                <c:pt idx="51">
                  <c:v>0.13147077584624856</c:v>
                </c:pt>
                <c:pt idx="52">
                  <c:v>0.13130704938086224</c:v>
                </c:pt>
                <c:pt idx="53">
                  <c:v>0.13121402385154962</c:v>
                </c:pt>
                <c:pt idx="54">
                  <c:v>0.13111155317757281</c:v>
                </c:pt>
              </c:numCache>
            </c:numRef>
          </c:val>
          <c:smooth val="0"/>
          <c:extLst xmlns:c16r2="http://schemas.microsoft.com/office/drawing/2015/06/chart">
            <c:ext xmlns:c16="http://schemas.microsoft.com/office/drawing/2014/chart" uri="{C3380CC4-5D6E-409C-BE32-E72D297353CC}">
              <c16:uniqueId val="{00000001-5304-4A69-A52F-FDAEB464A855}"/>
            </c:ext>
          </c:extLst>
        </c:ser>
        <c:ser>
          <c:idx val="0"/>
          <c:order val="2"/>
          <c:tx>
            <c:strRef>
              <c:f>Hárok1!$A$41</c:f>
              <c:strCache>
                <c:ptCount val="1"/>
                <c:pt idx="0">
                  <c:v>(1)+(2)</c:v>
                </c:pt>
              </c:strCache>
            </c:strRef>
          </c:tx>
          <c:spPr>
            <a:ln w="19050">
              <a:solidFill>
                <a:srgbClr val="2C9ADC"/>
              </a:solidFill>
              <a:prstDash val="dash"/>
            </a:ln>
          </c:spPr>
          <c:marker>
            <c:symbol val="none"/>
          </c:marker>
          <c:cat>
            <c:numRef>
              <c:f>Hárok1!$B$38:$BD$38</c:f>
              <c:numCache>
                <c:formatCode>0</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Hárok1!$B$41:$BD$41</c:f>
              <c:numCache>
                <c:formatCode>0.0%</c:formatCode>
                <c:ptCount val="55"/>
                <c:pt idx="0">
                  <c:v>8.5661178091161305E-2</c:v>
                </c:pt>
                <c:pt idx="1">
                  <c:v>8.6890541246745848E-2</c:v>
                </c:pt>
                <c:pt idx="2">
                  <c:v>8.5860344001902456E-2</c:v>
                </c:pt>
                <c:pt idx="3">
                  <c:v>8.5135416982476939E-2</c:v>
                </c:pt>
                <c:pt idx="4">
                  <c:v>8.5314277748593195E-2</c:v>
                </c:pt>
                <c:pt idx="5">
                  <c:v>8.5096823787667211E-2</c:v>
                </c:pt>
                <c:pt idx="6">
                  <c:v>8.4384761978291548E-2</c:v>
                </c:pt>
                <c:pt idx="7">
                  <c:v>8.3508893798396946E-2</c:v>
                </c:pt>
                <c:pt idx="8">
                  <c:v>8.3332393798842497E-2</c:v>
                </c:pt>
                <c:pt idx="9">
                  <c:v>8.3286626602203193E-2</c:v>
                </c:pt>
                <c:pt idx="10">
                  <c:v>8.3254725334359944E-2</c:v>
                </c:pt>
                <c:pt idx="11">
                  <c:v>8.3051520515347269E-2</c:v>
                </c:pt>
                <c:pt idx="12">
                  <c:v>8.3084756726456668E-2</c:v>
                </c:pt>
                <c:pt idx="13">
                  <c:v>8.3288514836070138E-2</c:v>
                </c:pt>
                <c:pt idx="14">
                  <c:v>8.3305741364471261E-2</c:v>
                </c:pt>
                <c:pt idx="15">
                  <c:v>8.37095708497885E-2</c:v>
                </c:pt>
                <c:pt idx="16">
                  <c:v>8.4273493056051876E-2</c:v>
                </c:pt>
                <c:pt idx="17">
                  <c:v>8.509453544197787E-2</c:v>
                </c:pt>
                <c:pt idx="18">
                  <c:v>8.6129978271781843E-2</c:v>
                </c:pt>
                <c:pt idx="19">
                  <c:v>8.73511730866873E-2</c:v>
                </c:pt>
                <c:pt idx="20">
                  <c:v>8.883973652877579E-2</c:v>
                </c:pt>
                <c:pt idx="21">
                  <c:v>9.0483338833215229E-2</c:v>
                </c:pt>
                <c:pt idx="22">
                  <c:v>9.2227184589278116E-2</c:v>
                </c:pt>
                <c:pt idx="23">
                  <c:v>9.4040712300765619E-2</c:v>
                </c:pt>
                <c:pt idx="24">
                  <c:v>9.5907159988431329E-2</c:v>
                </c:pt>
                <c:pt idx="25">
                  <c:v>9.7869500361068992E-2</c:v>
                </c:pt>
                <c:pt idx="26">
                  <c:v>9.9857338399057749E-2</c:v>
                </c:pt>
                <c:pt idx="27">
                  <c:v>0.10183873309922101</c:v>
                </c:pt>
                <c:pt idx="28">
                  <c:v>0.10377829332383277</c:v>
                </c:pt>
                <c:pt idx="29">
                  <c:v>0.10573556050051534</c:v>
                </c:pt>
                <c:pt idx="30">
                  <c:v>0.10764001331131311</c:v>
                </c:pt>
                <c:pt idx="31">
                  <c:v>0.10964939490824606</c:v>
                </c:pt>
                <c:pt idx="32">
                  <c:v>0.11175099618860124</c:v>
                </c:pt>
                <c:pt idx="33">
                  <c:v>0.11391667052403651</c:v>
                </c:pt>
                <c:pt idx="34">
                  <c:v>0.11612147679393658</c:v>
                </c:pt>
                <c:pt idx="35">
                  <c:v>0.11834826275873225</c:v>
                </c:pt>
                <c:pt idx="36">
                  <c:v>0.12056210681143728</c:v>
                </c:pt>
                <c:pt idx="37">
                  <c:v>0.12280344112755136</c:v>
                </c:pt>
                <c:pt idx="38">
                  <c:v>0.12504057326625931</c:v>
                </c:pt>
                <c:pt idx="39">
                  <c:v>0.12716206800529747</c:v>
                </c:pt>
                <c:pt idx="40">
                  <c:v>0.12905107747736863</c:v>
                </c:pt>
                <c:pt idx="41">
                  <c:v>0.13040791205431351</c:v>
                </c:pt>
                <c:pt idx="42">
                  <c:v>0.13164686251679883</c:v>
                </c:pt>
                <c:pt idx="43">
                  <c:v>0.13256373216271</c:v>
                </c:pt>
                <c:pt idx="44">
                  <c:v>0.13339398041955114</c:v>
                </c:pt>
                <c:pt idx="45">
                  <c:v>0.13383808680253156</c:v>
                </c:pt>
                <c:pt idx="46">
                  <c:v>0.13412924417830513</c:v>
                </c:pt>
                <c:pt idx="47">
                  <c:v>0.1342087151013337</c:v>
                </c:pt>
                <c:pt idx="48">
                  <c:v>0.13396955950069403</c:v>
                </c:pt>
                <c:pt idx="49">
                  <c:v>0.13388590175401235</c:v>
                </c:pt>
                <c:pt idx="50">
                  <c:v>0.13360875209384629</c:v>
                </c:pt>
                <c:pt idx="51">
                  <c:v>0.1333733402497079</c:v>
                </c:pt>
                <c:pt idx="52">
                  <c:v>0.13321187737833207</c:v>
                </c:pt>
                <c:pt idx="53">
                  <c:v>0.13312170989082056</c:v>
                </c:pt>
                <c:pt idx="54">
                  <c:v>0.1330221757259164</c:v>
                </c:pt>
              </c:numCache>
            </c:numRef>
          </c:val>
          <c:smooth val="0"/>
          <c:extLst xmlns:c16r2="http://schemas.microsoft.com/office/drawing/2015/06/chart">
            <c:ext xmlns:c16="http://schemas.microsoft.com/office/drawing/2014/chart" uri="{C3380CC4-5D6E-409C-BE32-E72D297353CC}">
              <c16:uniqueId val="{00000002-5304-4A69-A52F-FDAEB464A855}"/>
            </c:ext>
          </c:extLst>
        </c:ser>
        <c:ser>
          <c:idx val="1"/>
          <c:order val="3"/>
          <c:tx>
            <c:strRef>
              <c:f>Hárok1!$A$42</c:f>
              <c:strCache>
                <c:ptCount val="1"/>
                <c:pt idx="0">
                  <c:v>(1)+(2)+(3)</c:v>
                </c:pt>
              </c:strCache>
            </c:strRef>
          </c:tx>
          <c:spPr>
            <a:ln w="19050">
              <a:solidFill>
                <a:srgbClr val="EEECE1">
                  <a:lumMod val="50000"/>
                </a:srgbClr>
              </a:solidFill>
            </a:ln>
          </c:spPr>
          <c:marker>
            <c:symbol val="none"/>
          </c:marker>
          <c:cat>
            <c:numRef>
              <c:f>Hárok1!$B$38:$BD$38</c:f>
              <c:numCache>
                <c:formatCode>0</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Hárok1!$B$42:$BD$42</c:f>
              <c:numCache>
                <c:formatCode>0.0%</c:formatCode>
                <c:ptCount val="55"/>
                <c:pt idx="0">
                  <c:v>8.5661178091161305E-2</c:v>
                </c:pt>
                <c:pt idx="1">
                  <c:v>8.6895768194130696E-2</c:v>
                </c:pt>
                <c:pt idx="2">
                  <c:v>8.5869719371022543E-2</c:v>
                </c:pt>
                <c:pt idx="3">
                  <c:v>8.5149851180338382E-2</c:v>
                </c:pt>
                <c:pt idx="4">
                  <c:v>8.5336234303269337E-2</c:v>
                </c:pt>
                <c:pt idx="5">
                  <c:v>8.5128246239713448E-2</c:v>
                </c:pt>
                <c:pt idx="6">
                  <c:v>8.4430036221010446E-2</c:v>
                </c:pt>
                <c:pt idx="7">
                  <c:v>8.357097376197227E-2</c:v>
                </c:pt>
                <c:pt idx="8">
                  <c:v>8.3420805010007232E-2</c:v>
                </c:pt>
                <c:pt idx="9">
                  <c:v>8.3407150804902574E-2</c:v>
                </c:pt>
                <c:pt idx="10">
                  <c:v>8.3414095924806531E-2</c:v>
                </c:pt>
                <c:pt idx="11">
                  <c:v>8.32522433997092E-2</c:v>
                </c:pt>
                <c:pt idx="12">
                  <c:v>8.3331941471738363E-2</c:v>
                </c:pt>
                <c:pt idx="13">
                  <c:v>8.3588833009668448E-2</c:v>
                </c:pt>
                <c:pt idx="14">
                  <c:v>8.3659994072176239E-2</c:v>
                </c:pt>
                <c:pt idx="15">
                  <c:v>8.4131194901107001E-2</c:v>
                </c:pt>
                <c:pt idx="16">
                  <c:v>8.4772353789378183E-2</c:v>
                </c:pt>
                <c:pt idx="17">
                  <c:v>8.5682434288303397E-2</c:v>
                </c:pt>
                <c:pt idx="18">
                  <c:v>8.681781240692886E-2</c:v>
                </c:pt>
                <c:pt idx="19">
                  <c:v>8.8153017290461502E-2</c:v>
                </c:pt>
                <c:pt idx="20">
                  <c:v>8.9770755734477833E-2</c:v>
                </c:pt>
                <c:pt idx="21">
                  <c:v>9.1557305676102971E-2</c:v>
                </c:pt>
                <c:pt idx="22">
                  <c:v>9.345567940610322E-2</c:v>
                </c:pt>
                <c:pt idx="23">
                  <c:v>9.5431420327815208E-2</c:v>
                </c:pt>
                <c:pt idx="24">
                  <c:v>9.7469300324923222E-2</c:v>
                </c:pt>
                <c:pt idx="25">
                  <c:v>9.9612251388400921E-2</c:v>
                </c:pt>
                <c:pt idx="26">
                  <c:v>0.10178432218067866</c:v>
                </c:pt>
                <c:pt idx="27">
                  <c:v>0.10395044253753184</c:v>
                </c:pt>
                <c:pt idx="28">
                  <c:v>0.10607372965983203</c:v>
                </c:pt>
                <c:pt idx="29">
                  <c:v>0.10821321415678382</c:v>
                </c:pt>
                <c:pt idx="30">
                  <c:v>0.11029860425033747</c:v>
                </c:pt>
                <c:pt idx="31">
                  <c:v>0.11246620078323777</c:v>
                </c:pt>
                <c:pt idx="32">
                  <c:v>0.11470252419599571</c:v>
                </c:pt>
                <c:pt idx="33">
                  <c:v>0.11698077855965201</c:v>
                </c:pt>
                <c:pt idx="34">
                  <c:v>0.11927445225460248</c:v>
                </c:pt>
                <c:pt idx="35">
                  <c:v>0.12156860115556467</c:v>
                </c:pt>
                <c:pt idx="36">
                  <c:v>0.12383046537748051</c:v>
                </c:pt>
                <c:pt idx="37">
                  <c:v>0.12608541279303148</c:v>
                </c:pt>
                <c:pt idx="38">
                  <c:v>0.12831529886413087</c:v>
                </c:pt>
                <c:pt idx="39">
                  <c:v>0.13041881015252443</c:v>
                </c:pt>
                <c:pt idx="40">
                  <c:v>0.13228974157141987</c:v>
                </c:pt>
                <c:pt idx="41">
                  <c:v>0.13361840820361701</c:v>
                </c:pt>
                <c:pt idx="42">
                  <c:v>0.1348171014685344</c:v>
                </c:pt>
                <c:pt idx="43">
                  <c:v>0.13568662768911594</c:v>
                </c:pt>
                <c:pt idx="44">
                  <c:v>0.13647665968408346</c:v>
                </c:pt>
                <c:pt idx="45">
                  <c:v>0.13688613331588456</c:v>
                </c:pt>
                <c:pt idx="46">
                  <c:v>0.13713997022069066</c:v>
                </c:pt>
                <c:pt idx="47">
                  <c:v>0.1371772780533598</c:v>
                </c:pt>
                <c:pt idx="48">
                  <c:v>0.13688631570287985</c:v>
                </c:pt>
                <c:pt idx="49">
                  <c:v>0.13675273084748568</c:v>
                </c:pt>
                <c:pt idx="50">
                  <c:v>0.13642137973875396</c:v>
                </c:pt>
                <c:pt idx="51">
                  <c:v>0.13613226444516943</c:v>
                </c:pt>
                <c:pt idx="52">
                  <c:v>0.13592096002223014</c:v>
                </c:pt>
                <c:pt idx="53">
                  <c:v>0.13578367380869794</c:v>
                </c:pt>
                <c:pt idx="54">
                  <c:v>0.1356398896973193</c:v>
                </c:pt>
              </c:numCache>
            </c:numRef>
          </c:val>
          <c:smooth val="0"/>
          <c:extLst xmlns:c16r2="http://schemas.microsoft.com/office/drawing/2015/06/chart">
            <c:ext xmlns:c16="http://schemas.microsoft.com/office/drawing/2014/chart" uri="{C3380CC4-5D6E-409C-BE32-E72D297353CC}">
              <c16:uniqueId val="{00000003-5304-4A69-A52F-FDAEB464A855}"/>
            </c:ext>
          </c:extLst>
        </c:ser>
        <c:ser>
          <c:idx val="2"/>
          <c:order val="4"/>
          <c:tx>
            <c:strRef>
              <c:f>Hárok1!$A$43</c:f>
              <c:strCache>
                <c:ptCount val="1"/>
                <c:pt idx="0">
                  <c:v>(1)+(2)+(3)+(4)</c:v>
                </c:pt>
              </c:strCache>
            </c:strRef>
          </c:tx>
          <c:spPr>
            <a:ln w="22225">
              <a:solidFill>
                <a:sysClr val="window" lastClr="FFFFFF">
                  <a:lumMod val="50000"/>
                </a:sysClr>
              </a:solidFill>
            </a:ln>
          </c:spPr>
          <c:marker>
            <c:symbol val="none"/>
          </c:marker>
          <c:cat>
            <c:numRef>
              <c:f>Hárok1!$B$38:$BD$38</c:f>
              <c:numCache>
                <c:formatCode>0</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Hárok1!$B$43:$BD$43</c:f>
              <c:numCache>
                <c:formatCode>0.0%</c:formatCode>
                <c:ptCount val="55"/>
                <c:pt idx="0">
                  <c:v>8.5661178091161305E-2</c:v>
                </c:pt>
                <c:pt idx="1">
                  <c:v>8.6895768194130696E-2</c:v>
                </c:pt>
                <c:pt idx="2">
                  <c:v>8.5869719371022543E-2</c:v>
                </c:pt>
                <c:pt idx="3">
                  <c:v>8.6079303371177349E-2</c:v>
                </c:pt>
                <c:pt idx="4">
                  <c:v>8.6290943039993379E-2</c:v>
                </c:pt>
                <c:pt idx="5">
                  <c:v>8.612088882413306E-2</c:v>
                </c:pt>
                <c:pt idx="6">
                  <c:v>8.5456756298259579E-2</c:v>
                </c:pt>
                <c:pt idx="7">
                  <c:v>8.4634509521504392E-2</c:v>
                </c:pt>
                <c:pt idx="8">
                  <c:v>8.4519171064669926E-2</c:v>
                </c:pt>
                <c:pt idx="9">
                  <c:v>8.45444640904435E-2</c:v>
                </c:pt>
                <c:pt idx="10">
                  <c:v>8.4587524895146732E-2</c:v>
                </c:pt>
                <c:pt idx="11">
                  <c:v>8.4459825437564154E-2</c:v>
                </c:pt>
                <c:pt idx="12">
                  <c:v>8.4574394276437509E-2</c:v>
                </c:pt>
                <c:pt idx="13">
                  <c:v>8.4864287601189498E-2</c:v>
                </c:pt>
                <c:pt idx="14">
                  <c:v>8.4961828258627678E-2</c:v>
                </c:pt>
                <c:pt idx="15">
                  <c:v>8.5463063967824007E-2</c:v>
                </c:pt>
                <c:pt idx="16">
                  <c:v>8.6131446633112119E-2</c:v>
                </c:pt>
                <c:pt idx="17">
                  <c:v>8.7070832596380418E-2</c:v>
                </c:pt>
                <c:pt idx="18">
                  <c:v>8.8235400018287419E-2</c:v>
                </c:pt>
                <c:pt idx="19">
                  <c:v>8.9600216605603258E-2</c:v>
                </c:pt>
                <c:pt idx="20">
                  <c:v>9.1248209781332634E-2</c:v>
                </c:pt>
                <c:pt idx="21">
                  <c:v>9.3067478613093932E-2</c:v>
                </c:pt>
                <c:pt idx="22">
                  <c:v>9.4998105289006568E-2</c:v>
                </c:pt>
                <c:pt idx="23">
                  <c:v>9.7009655737963801E-2</c:v>
                </c:pt>
                <c:pt idx="24">
                  <c:v>9.9082734504452263E-2</c:v>
                </c:pt>
                <c:pt idx="25">
                  <c:v>0.10126164588676058</c:v>
                </c:pt>
                <c:pt idx="26">
                  <c:v>0.10347044310550767</c:v>
                </c:pt>
                <c:pt idx="27">
                  <c:v>0.10567213575219751</c:v>
                </c:pt>
                <c:pt idx="28">
                  <c:v>0.10782943781403832</c:v>
                </c:pt>
                <c:pt idx="29">
                  <c:v>0.1100004844324599</c:v>
                </c:pt>
                <c:pt idx="30">
                  <c:v>0.11211583313437898</c:v>
                </c:pt>
                <c:pt idx="31">
                  <c:v>0.11431509882181706</c:v>
                </c:pt>
                <c:pt idx="32">
                  <c:v>0.11658287647449829</c:v>
                </c:pt>
                <c:pt idx="33">
                  <c:v>0.11889201702098863</c:v>
                </c:pt>
                <c:pt idx="34">
                  <c:v>0.12121452551994143</c:v>
                </c:pt>
                <c:pt idx="35">
                  <c:v>0.12353813347818221</c:v>
                </c:pt>
                <c:pt idx="36">
                  <c:v>0.12582664350770864</c:v>
                </c:pt>
                <c:pt idx="37">
                  <c:v>0.12810740911500201</c:v>
                </c:pt>
                <c:pt idx="38">
                  <c:v>0.13036141639119239</c:v>
                </c:pt>
                <c:pt idx="39">
                  <c:v>0.13248698529519209</c:v>
                </c:pt>
                <c:pt idx="40">
                  <c:v>0.13437550715660918</c:v>
                </c:pt>
                <c:pt idx="41">
                  <c:v>0.13571594266145581</c:v>
                </c:pt>
                <c:pt idx="42">
                  <c:v>0.13692693765672254</c:v>
                </c:pt>
                <c:pt idx="43">
                  <c:v>0.13780346341393132</c:v>
                </c:pt>
                <c:pt idx="44">
                  <c:v>0.13859805874113484</c:v>
                </c:pt>
                <c:pt idx="45">
                  <c:v>0.13901019485146779</c:v>
                </c:pt>
                <c:pt idx="46">
                  <c:v>0.13926390288852764</c:v>
                </c:pt>
                <c:pt idx="47">
                  <c:v>0.13929847927795375</c:v>
                </c:pt>
                <c:pt idx="48">
                  <c:v>0.1390008891378674</c:v>
                </c:pt>
                <c:pt idx="49">
                  <c:v>0.13886181159532901</c:v>
                </c:pt>
                <c:pt idx="50">
                  <c:v>0.13852098118801878</c:v>
                </c:pt>
                <c:pt idx="51">
                  <c:v>0.13822564665896056</c:v>
                </c:pt>
                <c:pt idx="52">
                  <c:v>0.13800590968916818</c:v>
                </c:pt>
                <c:pt idx="53">
                  <c:v>0.13786322943207235</c:v>
                </c:pt>
                <c:pt idx="54">
                  <c:v>0.1377116280925299</c:v>
                </c:pt>
              </c:numCache>
            </c:numRef>
          </c:val>
          <c:smooth val="0"/>
          <c:extLst xmlns:c16r2="http://schemas.microsoft.com/office/drawing/2015/06/chart">
            <c:ext xmlns:c16="http://schemas.microsoft.com/office/drawing/2014/chart" uri="{C3380CC4-5D6E-409C-BE32-E72D297353CC}">
              <c16:uniqueId val="{00000004-5304-4A69-A52F-FDAEB464A855}"/>
            </c:ext>
          </c:extLst>
        </c:ser>
        <c:ser>
          <c:idx val="4"/>
          <c:order val="5"/>
          <c:tx>
            <c:strRef>
              <c:f>Hárok1!$A$44</c:f>
              <c:strCache>
                <c:ptCount val="1"/>
                <c:pt idx="0">
                  <c:v>Pôvodná projekcia</c:v>
                </c:pt>
              </c:strCache>
            </c:strRef>
          </c:tx>
          <c:spPr>
            <a:ln w="22225">
              <a:solidFill>
                <a:sysClr val="windowText" lastClr="000000"/>
              </a:solidFill>
              <a:prstDash val="solid"/>
            </a:ln>
          </c:spPr>
          <c:marker>
            <c:symbol val="none"/>
          </c:marker>
          <c:cat>
            <c:numRef>
              <c:f>Hárok1!$B$38:$BD$38</c:f>
              <c:numCache>
                <c:formatCode>0</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Hárok1!$B$44:$BD$44</c:f>
              <c:numCache>
                <c:formatCode>0.0%</c:formatCode>
                <c:ptCount val="55"/>
                <c:pt idx="0">
                  <c:v>8.5871481888352155E-2</c:v>
                </c:pt>
                <c:pt idx="1">
                  <c:v>8.6677305100869809E-2</c:v>
                </c:pt>
                <c:pt idx="2">
                  <c:v>8.520475475949027E-2</c:v>
                </c:pt>
                <c:pt idx="3">
                  <c:v>8.3954429560400681E-2</c:v>
                </c:pt>
                <c:pt idx="4">
                  <c:v>8.2606795942409814E-2</c:v>
                </c:pt>
                <c:pt idx="5">
                  <c:v>8.1502444224115178E-2</c:v>
                </c:pt>
                <c:pt idx="6">
                  <c:v>8.0407518364979169E-2</c:v>
                </c:pt>
                <c:pt idx="7">
                  <c:v>7.8927445356057738E-2</c:v>
                </c:pt>
                <c:pt idx="8">
                  <c:v>7.8341249817429764E-2</c:v>
                </c:pt>
                <c:pt idx="9">
                  <c:v>7.7810968570015668E-2</c:v>
                </c:pt>
                <c:pt idx="10">
                  <c:v>7.7432845938762332E-2</c:v>
                </c:pt>
                <c:pt idx="11">
                  <c:v>7.7106868563674644E-2</c:v>
                </c:pt>
                <c:pt idx="12">
                  <c:v>7.7021917462112691E-2</c:v>
                </c:pt>
                <c:pt idx="13">
                  <c:v>7.6944386737856349E-2</c:v>
                </c:pt>
                <c:pt idx="14">
                  <c:v>7.6419553865300083E-2</c:v>
                </c:pt>
                <c:pt idx="15">
                  <c:v>7.5973153306615748E-2</c:v>
                </c:pt>
                <c:pt idx="16">
                  <c:v>7.5797821707383736E-2</c:v>
                </c:pt>
                <c:pt idx="17">
                  <c:v>7.56906681855853E-2</c:v>
                </c:pt>
                <c:pt idx="18">
                  <c:v>7.554121961678939E-2</c:v>
                </c:pt>
                <c:pt idx="19">
                  <c:v>7.5826307151761391E-2</c:v>
                </c:pt>
                <c:pt idx="20">
                  <c:v>7.6293726726426703E-2</c:v>
                </c:pt>
                <c:pt idx="21">
                  <c:v>7.6805361532191141E-2</c:v>
                </c:pt>
                <c:pt idx="22">
                  <c:v>7.6811800544056591E-2</c:v>
                </c:pt>
                <c:pt idx="23">
                  <c:v>7.7433057791686299E-2</c:v>
                </c:pt>
                <c:pt idx="24">
                  <c:v>7.8242739038634643E-2</c:v>
                </c:pt>
                <c:pt idx="25">
                  <c:v>7.9120460652798041E-2</c:v>
                </c:pt>
                <c:pt idx="26">
                  <c:v>7.9805356711749403E-2</c:v>
                </c:pt>
                <c:pt idx="27">
                  <c:v>8.0929679398695664E-2</c:v>
                </c:pt>
                <c:pt idx="28">
                  <c:v>8.2183581607906328E-2</c:v>
                </c:pt>
                <c:pt idx="29">
                  <c:v>8.3462907845251774E-2</c:v>
                </c:pt>
                <c:pt idx="30">
                  <c:v>8.4225390894183128E-2</c:v>
                </c:pt>
                <c:pt idx="31">
                  <c:v>8.5174112043768777E-2</c:v>
                </c:pt>
                <c:pt idx="32">
                  <c:v>8.5969665287297256E-2</c:v>
                </c:pt>
                <c:pt idx="33">
                  <c:v>8.6926106244429535E-2</c:v>
                </c:pt>
                <c:pt idx="34">
                  <c:v>8.7870405674924101E-2</c:v>
                </c:pt>
                <c:pt idx="35">
                  <c:v>8.9120382885227112E-2</c:v>
                </c:pt>
                <c:pt idx="36">
                  <c:v>9.0447875294912092E-2</c:v>
                </c:pt>
                <c:pt idx="37">
                  <c:v>9.162017140967732E-2</c:v>
                </c:pt>
                <c:pt idx="38">
                  <c:v>9.2640334383228884E-2</c:v>
                </c:pt>
                <c:pt idx="39">
                  <c:v>9.3568436496964752E-2</c:v>
                </c:pt>
                <c:pt idx="40">
                  <c:v>9.4725683461378857E-2</c:v>
                </c:pt>
                <c:pt idx="41">
                  <c:v>9.588651921399019E-2</c:v>
                </c:pt>
                <c:pt idx="42">
                  <c:v>9.6973036140939245E-2</c:v>
                </c:pt>
                <c:pt idx="43">
                  <c:v>9.7920190841806698E-2</c:v>
                </c:pt>
                <c:pt idx="44">
                  <c:v>9.8952835873394832E-2</c:v>
                </c:pt>
                <c:pt idx="45">
                  <c:v>9.9814866231810476E-2</c:v>
                </c:pt>
                <c:pt idx="46">
                  <c:v>0.10040155857262703</c:v>
                </c:pt>
                <c:pt idx="47">
                  <c:v>0.10058755507054741</c:v>
                </c:pt>
                <c:pt idx="48">
                  <c:v>0.10049206864395245</c:v>
                </c:pt>
                <c:pt idx="49">
                  <c:v>0.10032403240608083</c:v>
                </c:pt>
                <c:pt idx="50">
                  <c:v>0.10011215439414586</c:v>
                </c:pt>
                <c:pt idx="51">
                  <c:v>9.9684662843596519E-2</c:v>
                </c:pt>
                <c:pt idx="52">
                  <c:v>9.9323052268488712E-2</c:v>
                </c:pt>
                <c:pt idx="53">
                  <c:v>9.8671409743270294E-2</c:v>
                </c:pt>
                <c:pt idx="54">
                  <c:v>9.787297698837169E-2</c:v>
                </c:pt>
              </c:numCache>
            </c:numRef>
          </c:val>
          <c:smooth val="0"/>
          <c:extLst xmlns:c16r2="http://schemas.microsoft.com/office/drawing/2015/06/chart">
            <c:ext xmlns:c16="http://schemas.microsoft.com/office/drawing/2014/chart" uri="{C3380CC4-5D6E-409C-BE32-E72D297353CC}">
              <c16:uniqueId val="{00000005-5304-4A69-A52F-FDAEB464A855}"/>
            </c:ext>
          </c:extLst>
        </c:ser>
        <c:dLbls>
          <c:showLegendKey val="0"/>
          <c:showVal val="0"/>
          <c:showCatName val="0"/>
          <c:showSerName val="0"/>
          <c:showPercent val="0"/>
          <c:showBubbleSize val="0"/>
        </c:dLbls>
        <c:smooth val="0"/>
        <c:axId val="239339640"/>
        <c:axId val="239340032"/>
      </c:lineChart>
      <c:catAx>
        <c:axId val="239339640"/>
        <c:scaling>
          <c:orientation val="minMax"/>
        </c:scaling>
        <c:delete val="0"/>
        <c:axPos val="b"/>
        <c:numFmt formatCode="General" sourceLinked="0"/>
        <c:majorTickMark val="out"/>
        <c:minorTickMark val="none"/>
        <c:tickLblPos val="low"/>
        <c:txPr>
          <a:bodyPr rot="-5400000" vert="horz"/>
          <a:lstStyle/>
          <a:p>
            <a:pPr>
              <a:defRPr sz="700"/>
            </a:pPr>
            <a:endParaRPr lang="sk-SK"/>
          </a:p>
        </c:txPr>
        <c:crossAx val="239340032"/>
        <c:crosses val="autoZero"/>
        <c:auto val="1"/>
        <c:lblAlgn val="ctr"/>
        <c:lblOffset val="100"/>
        <c:noMultiLvlLbl val="0"/>
      </c:catAx>
      <c:valAx>
        <c:axId val="239340032"/>
        <c:scaling>
          <c:orientation val="minMax"/>
          <c:min val="7.0000000000000007E-2"/>
        </c:scaling>
        <c:delete val="0"/>
        <c:axPos val="l"/>
        <c:majorGridlines>
          <c:spPr>
            <a:ln>
              <a:solidFill>
                <a:schemeClr val="bg1">
                  <a:lumMod val="75000"/>
                </a:schemeClr>
              </a:solidFill>
              <a:prstDash val="sysDash"/>
            </a:ln>
          </c:spPr>
        </c:majorGridlines>
        <c:numFmt formatCode="0%" sourceLinked="0"/>
        <c:majorTickMark val="out"/>
        <c:minorTickMark val="none"/>
        <c:tickLblPos val="nextTo"/>
        <c:txPr>
          <a:bodyPr rot="0" vert="horz"/>
          <a:lstStyle/>
          <a:p>
            <a:pPr>
              <a:defRPr sz="800"/>
            </a:pPr>
            <a:endParaRPr lang="sk-SK"/>
          </a:p>
        </c:txPr>
        <c:crossAx val="239339640"/>
        <c:crosses val="autoZero"/>
        <c:crossBetween val="between"/>
      </c:valAx>
      <c:spPr>
        <a:solidFill>
          <a:srgbClr val="AAD3F2"/>
        </a:solidFill>
      </c:spPr>
    </c:plotArea>
    <c:legend>
      <c:legendPos val="l"/>
      <c:layout>
        <c:manualLayout>
          <c:xMode val="edge"/>
          <c:yMode val="edge"/>
          <c:x val="8.9050524934383216E-2"/>
          <c:y val="5.7067293671624379E-2"/>
          <c:w val="0.34663801399825017"/>
          <c:h val="0.52012467191601053"/>
        </c:manualLayout>
      </c:layout>
      <c:overlay val="1"/>
      <c:spPr>
        <a:solidFill>
          <a:srgbClr val="AAD3F2"/>
        </a:solidFill>
      </c:spPr>
      <c:txPr>
        <a:bodyPr/>
        <a:lstStyle/>
        <a:p>
          <a:pPr>
            <a:defRPr sz="800"/>
          </a:pPr>
          <a:endParaRPr lang="sk-SK"/>
        </a:p>
      </c:txPr>
    </c:legend>
    <c:plotVisOnly val="1"/>
    <c:dispBlanksAs val="gap"/>
    <c:showDLblsOverMax val="0"/>
  </c:chart>
  <c:spPr>
    <a:solidFill>
      <a:srgbClr val="AAD3F2"/>
    </a:solidFill>
    <a:ln>
      <a:noFill/>
    </a:ln>
  </c:spPr>
  <c:txPr>
    <a:bodyPr/>
    <a:lstStyle/>
    <a:p>
      <a:pPr>
        <a:defRPr sz="1000" b="0" i="0" u="none" strike="noStrike" baseline="0">
          <a:solidFill>
            <a:srgbClr val="000000"/>
          </a:solidFill>
          <a:latin typeface="Arial Narrow" pitchFamily="34" charset="0"/>
          <a:ea typeface="Calibri"/>
          <a:cs typeface="Calibri"/>
        </a:defRPr>
      </a:pPr>
      <a:endParaRPr lang="sk-SK"/>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17436997626964E-2"/>
          <c:y val="5.5989236111111111E-2"/>
          <c:w val="0.93616132135261021"/>
          <c:h val="0.86336284722222201"/>
        </c:manualLayout>
      </c:layout>
      <c:barChart>
        <c:barDir val="col"/>
        <c:grouping val="clustered"/>
        <c:varyColors val="0"/>
        <c:ser>
          <c:idx val="0"/>
          <c:order val="0"/>
          <c:tx>
            <c:strRef>
              <c:f>Hárok2!$B$6</c:f>
              <c:strCache>
                <c:ptCount val="1"/>
                <c:pt idx="0">
                  <c:v>2016</c:v>
                </c:pt>
              </c:strCache>
            </c:strRef>
          </c:tx>
          <c:spPr>
            <a:solidFill>
              <a:srgbClr val="2C9ADC"/>
            </a:solidFill>
          </c:spPr>
          <c:invertIfNegative val="0"/>
          <c:cat>
            <c:strRef>
              <c:f>Hárok2!$A$7:$A$9</c:f>
              <c:strCache>
                <c:ptCount val="3"/>
                <c:pt idx="0">
                  <c:v>Zdravotníctvo</c:v>
                </c:pt>
                <c:pt idx="1">
                  <c:v>Dlhodobá starostlivosť</c:v>
                </c:pt>
                <c:pt idx="2">
                  <c:v>Školstvo</c:v>
                </c:pt>
              </c:strCache>
            </c:strRef>
          </c:cat>
          <c:val>
            <c:numRef>
              <c:f>Hárok2!$B$7:$B$9</c:f>
              <c:numCache>
                <c:formatCode>0.00%</c:formatCode>
                <c:ptCount val="3"/>
                <c:pt idx="0">
                  <c:v>5.5613124903142991E-2</c:v>
                </c:pt>
                <c:pt idx="1">
                  <c:v>9.048760671439714E-3</c:v>
                </c:pt>
                <c:pt idx="2">
                  <c:v>3.7025556926788779E-2</c:v>
                </c:pt>
              </c:numCache>
            </c:numRef>
          </c:val>
          <c:extLst xmlns:c16r2="http://schemas.microsoft.com/office/drawing/2015/06/chart">
            <c:ext xmlns:c16="http://schemas.microsoft.com/office/drawing/2014/chart" uri="{C3380CC4-5D6E-409C-BE32-E72D297353CC}">
              <c16:uniqueId val="{00000000-C232-40E0-BEE2-55942E63BEC6}"/>
            </c:ext>
          </c:extLst>
        </c:ser>
        <c:ser>
          <c:idx val="2"/>
          <c:order val="1"/>
          <c:tx>
            <c:strRef>
              <c:f>Hárok2!$C$6</c:f>
              <c:strCache>
                <c:ptCount val="1"/>
                <c:pt idx="0">
                  <c:v>Pôvodná projekcia 2070</c:v>
                </c:pt>
              </c:strCache>
            </c:strRef>
          </c:tx>
          <c:spPr>
            <a:solidFill>
              <a:srgbClr val="AAD3F2"/>
            </a:solidFill>
          </c:spPr>
          <c:invertIfNegative val="0"/>
          <c:cat>
            <c:strRef>
              <c:f>Hárok2!$A$7:$A$9</c:f>
              <c:strCache>
                <c:ptCount val="3"/>
                <c:pt idx="0">
                  <c:v>Zdravotníctvo</c:v>
                </c:pt>
                <c:pt idx="1">
                  <c:v>Dlhodobá starostlivosť</c:v>
                </c:pt>
                <c:pt idx="2">
                  <c:v>Školstvo</c:v>
                </c:pt>
              </c:strCache>
            </c:strRef>
          </c:cat>
          <c:val>
            <c:numRef>
              <c:f>Hárok2!$C$7:$C$9</c:f>
              <c:numCache>
                <c:formatCode>0.00%</c:formatCode>
                <c:ptCount val="3"/>
                <c:pt idx="0">
                  <c:v>6.7869487049164276E-2</c:v>
                </c:pt>
                <c:pt idx="1">
                  <c:v>1.4874885934126759E-2</c:v>
                </c:pt>
                <c:pt idx="2">
                  <c:v>3.7091633145338331E-2</c:v>
                </c:pt>
              </c:numCache>
            </c:numRef>
          </c:val>
          <c:extLst xmlns:c16r2="http://schemas.microsoft.com/office/drawing/2015/06/chart">
            <c:ext xmlns:c16="http://schemas.microsoft.com/office/drawing/2014/chart" uri="{C3380CC4-5D6E-409C-BE32-E72D297353CC}">
              <c16:uniqueId val="{00000001-C232-40E0-BEE2-55942E63BEC6}"/>
            </c:ext>
          </c:extLst>
        </c:ser>
        <c:ser>
          <c:idx val="1"/>
          <c:order val="2"/>
          <c:tx>
            <c:strRef>
              <c:f>Hárok2!$D$6</c:f>
              <c:strCache>
                <c:ptCount val="1"/>
                <c:pt idx="0">
                  <c:v>Aktualizovaná projekcia 2070</c:v>
                </c:pt>
              </c:strCache>
            </c:strRef>
          </c:tx>
          <c:spPr>
            <a:solidFill>
              <a:sysClr val="window" lastClr="FFFFFF">
                <a:lumMod val="50000"/>
              </a:sysClr>
            </a:solidFill>
          </c:spPr>
          <c:invertIfNegative val="0"/>
          <c:cat>
            <c:strRef>
              <c:f>Hárok2!$A$7:$A$9</c:f>
              <c:strCache>
                <c:ptCount val="3"/>
                <c:pt idx="0">
                  <c:v>Zdravotníctvo</c:v>
                </c:pt>
                <c:pt idx="1">
                  <c:v>Dlhodobá starostlivosť</c:v>
                </c:pt>
                <c:pt idx="2">
                  <c:v>Školstvo</c:v>
                </c:pt>
              </c:strCache>
            </c:strRef>
          </c:cat>
          <c:val>
            <c:numRef>
              <c:f>Hárok2!$D$7:$D$9</c:f>
              <c:numCache>
                <c:formatCode>0.00%</c:formatCode>
                <c:ptCount val="3"/>
                <c:pt idx="0">
                  <c:v>7.1046354901834613E-2</c:v>
                </c:pt>
                <c:pt idx="1">
                  <c:v>1.6390229905249451E-2</c:v>
                </c:pt>
                <c:pt idx="2">
                  <c:v>4.1655245029173595E-2</c:v>
                </c:pt>
              </c:numCache>
            </c:numRef>
          </c:val>
          <c:extLst xmlns:c16r2="http://schemas.microsoft.com/office/drawing/2015/06/chart">
            <c:ext xmlns:c16="http://schemas.microsoft.com/office/drawing/2014/chart" uri="{C3380CC4-5D6E-409C-BE32-E72D297353CC}">
              <c16:uniqueId val="{00000002-C232-40E0-BEE2-55942E63BEC6}"/>
            </c:ext>
          </c:extLst>
        </c:ser>
        <c:dLbls>
          <c:showLegendKey val="0"/>
          <c:showVal val="0"/>
          <c:showCatName val="0"/>
          <c:showSerName val="0"/>
          <c:showPercent val="0"/>
          <c:showBubbleSize val="0"/>
        </c:dLbls>
        <c:gapWidth val="150"/>
        <c:axId val="240193040"/>
        <c:axId val="240193432"/>
      </c:barChart>
      <c:catAx>
        <c:axId val="240193040"/>
        <c:scaling>
          <c:orientation val="minMax"/>
        </c:scaling>
        <c:delete val="0"/>
        <c:axPos val="b"/>
        <c:numFmt formatCode="General" sourceLinked="1"/>
        <c:majorTickMark val="out"/>
        <c:minorTickMark val="none"/>
        <c:tickLblPos val="nextTo"/>
        <c:crossAx val="240193432"/>
        <c:crosses val="autoZero"/>
        <c:auto val="1"/>
        <c:lblAlgn val="ctr"/>
        <c:lblOffset val="100"/>
        <c:noMultiLvlLbl val="0"/>
      </c:catAx>
      <c:valAx>
        <c:axId val="240193432"/>
        <c:scaling>
          <c:orientation val="minMax"/>
        </c:scaling>
        <c:delete val="0"/>
        <c:axPos val="l"/>
        <c:majorGridlines>
          <c:spPr>
            <a:ln>
              <a:solidFill>
                <a:schemeClr val="bg1">
                  <a:lumMod val="75000"/>
                </a:schemeClr>
              </a:solidFill>
              <a:prstDash val="sysDash"/>
            </a:ln>
          </c:spPr>
        </c:majorGridlines>
        <c:numFmt formatCode="0%" sourceLinked="0"/>
        <c:majorTickMark val="out"/>
        <c:minorTickMark val="none"/>
        <c:tickLblPos val="nextTo"/>
        <c:crossAx val="240193040"/>
        <c:crosses val="autoZero"/>
        <c:crossBetween val="between"/>
      </c:valAx>
      <c:spPr>
        <a:solidFill>
          <a:srgbClr val="AAD3F2"/>
        </a:solidFill>
      </c:spPr>
    </c:plotArea>
    <c:legend>
      <c:legendPos val="r"/>
      <c:layout>
        <c:manualLayout>
          <c:xMode val="edge"/>
          <c:yMode val="edge"/>
          <c:x val="0.43014628686120127"/>
          <c:y val="6.0106501110438124E-2"/>
          <c:w val="0.48970047861664351"/>
          <c:h val="0.27852311730264484"/>
        </c:manualLayout>
      </c:layout>
      <c:overlay val="0"/>
    </c:legend>
    <c:plotVisOnly val="1"/>
    <c:dispBlanksAs val="gap"/>
    <c:showDLblsOverMax val="0"/>
  </c:chart>
  <c:spPr>
    <a:solidFill>
      <a:srgbClr val="AAD3F2"/>
    </a:solidFill>
    <a:ln>
      <a:noFill/>
    </a:ln>
  </c:spPr>
  <c:txPr>
    <a:bodyPr/>
    <a:lstStyle/>
    <a:p>
      <a:pPr>
        <a:defRPr sz="800">
          <a:latin typeface="Arial Narrow" panose="020B0606020202030204" pitchFamily="34" charset="0"/>
        </a:defRPr>
      </a:pPr>
      <a:endParaRPr lang="sk-SK"/>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91819511922711794"/>
          <c:h val="0.77891622922134729"/>
        </c:manualLayout>
      </c:layout>
      <c:lineChart>
        <c:grouping val="standard"/>
        <c:varyColors val="0"/>
        <c:ser>
          <c:idx val="3"/>
          <c:order val="0"/>
          <c:tx>
            <c:strRef>
              <c:f>Hárok1!$A$9</c:f>
              <c:strCache>
                <c:ptCount val="1"/>
                <c:pt idx="0">
                  <c:v>Zdravotníctvo</c:v>
                </c:pt>
              </c:strCache>
            </c:strRef>
          </c:tx>
          <c:spPr>
            <a:ln w="22225">
              <a:solidFill>
                <a:srgbClr val="2C9ADC"/>
              </a:solidFill>
              <a:prstDash val="solid"/>
            </a:ln>
          </c:spPr>
          <c:marker>
            <c:symbol val="none"/>
          </c:marker>
          <c:cat>
            <c:numRef>
              <c:f>Hárok1!$B$8:$BD$8</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Hárok1!$B$9:$BD$9</c:f>
              <c:numCache>
                <c:formatCode>0.0%</c:formatCode>
                <c:ptCount val="55"/>
                <c:pt idx="0">
                  <c:v>0</c:v>
                </c:pt>
                <c:pt idx="1">
                  <c:v>-1.5323191813170211E-4</c:v>
                </c:pt>
                <c:pt idx="2">
                  <c:v>-1.8773383317737923E-4</c:v>
                </c:pt>
                <c:pt idx="3">
                  <c:v>-1.386948040912106E-4</c:v>
                </c:pt>
                <c:pt idx="4">
                  <c:v>-9.5417560786250632E-5</c:v>
                </c:pt>
                <c:pt idx="5">
                  <c:v>-7.7236540802765312E-5</c:v>
                </c:pt>
                <c:pt idx="6">
                  <c:v>-4.6579743149024464E-5</c:v>
                </c:pt>
                <c:pt idx="7">
                  <c:v>-2.6089803381994516E-5</c:v>
                </c:pt>
                <c:pt idx="8">
                  <c:v>-8.0091485072752984E-6</c:v>
                </c:pt>
                <c:pt idx="9">
                  <c:v>-6.1701994600316112E-6</c:v>
                </c:pt>
                <c:pt idx="10">
                  <c:v>2.0556382881364855E-5</c:v>
                </c:pt>
                <c:pt idx="11">
                  <c:v>2.3526819170403E-5</c:v>
                </c:pt>
                <c:pt idx="12">
                  <c:v>5.0678957859497941E-5</c:v>
                </c:pt>
                <c:pt idx="13">
                  <c:v>4.529669584947271E-5</c:v>
                </c:pt>
                <c:pt idx="14">
                  <c:v>5.9328658778854403E-5</c:v>
                </c:pt>
                <c:pt idx="15">
                  <c:v>6.9435790422005532E-5</c:v>
                </c:pt>
                <c:pt idx="16">
                  <c:v>9.6416190897938848E-5</c:v>
                </c:pt>
                <c:pt idx="17">
                  <c:v>1.2356797102493821E-4</c:v>
                </c:pt>
                <c:pt idx="18">
                  <c:v>1.6202297489989803E-4</c:v>
                </c:pt>
                <c:pt idx="19">
                  <c:v>2.2460680821644095E-4</c:v>
                </c:pt>
                <c:pt idx="20">
                  <c:v>2.6619879097606437E-4</c:v>
                </c:pt>
                <c:pt idx="21">
                  <c:v>3.4473195480651421E-4</c:v>
                </c:pt>
                <c:pt idx="22">
                  <c:v>4.0803806682850665E-4</c:v>
                </c:pt>
                <c:pt idx="23">
                  <c:v>4.7342195039590251E-4</c:v>
                </c:pt>
                <c:pt idx="24">
                  <c:v>5.7571031764378053E-4</c:v>
                </c:pt>
                <c:pt idx="25">
                  <c:v>6.5209810208053829E-4</c:v>
                </c:pt>
                <c:pt idx="26">
                  <c:v>7.1572257305700052E-4</c:v>
                </c:pt>
                <c:pt idx="27">
                  <c:v>8.1010915025029999E-4</c:v>
                </c:pt>
                <c:pt idx="28">
                  <c:v>9.0735722370825832E-4</c:v>
                </c:pt>
                <c:pt idx="29">
                  <c:v>9.95742011786609E-4</c:v>
                </c:pt>
                <c:pt idx="30">
                  <c:v>1.0682809133016047E-3</c:v>
                </c:pt>
                <c:pt idx="31">
                  <c:v>1.1634969887778103E-3</c:v>
                </c:pt>
                <c:pt idx="32">
                  <c:v>1.2457431825673292E-3</c:v>
                </c:pt>
                <c:pt idx="33">
                  <c:v>1.3063471372229251E-3</c:v>
                </c:pt>
                <c:pt idx="34">
                  <c:v>1.3901415472479339E-3</c:v>
                </c:pt>
                <c:pt idx="35">
                  <c:v>1.4531308368605522E-3</c:v>
                </c:pt>
                <c:pt idx="36">
                  <c:v>1.4970810310469672E-3</c:v>
                </c:pt>
                <c:pt idx="37">
                  <c:v>1.5919780268363404E-3</c:v>
                </c:pt>
                <c:pt idx="38">
                  <c:v>1.6655340377508133E-3</c:v>
                </c:pt>
                <c:pt idx="39">
                  <c:v>1.7325102094480904E-3</c:v>
                </c:pt>
                <c:pt idx="40">
                  <c:v>1.8138572181613988E-3</c:v>
                </c:pt>
                <c:pt idx="41">
                  <c:v>1.8646647313710042E-3</c:v>
                </c:pt>
                <c:pt idx="42">
                  <c:v>1.9674460589936158E-3</c:v>
                </c:pt>
                <c:pt idx="43">
                  <c:v>2.0347784836105554E-3</c:v>
                </c:pt>
                <c:pt idx="44">
                  <c:v>2.1174023790833285E-3</c:v>
                </c:pt>
                <c:pt idx="45">
                  <c:v>2.1940013618165556E-3</c:v>
                </c:pt>
                <c:pt idx="46">
                  <c:v>2.2873841769585203E-3</c:v>
                </c:pt>
                <c:pt idx="47">
                  <c:v>2.3714973074344136E-3</c:v>
                </c:pt>
                <c:pt idx="48">
                  <c:v>2.4737499125666142E-3</c:v>
                </c:pt>
                <c:pt idx="49">
                  <c:v>2.5640045581201143E-3</c:v>
                </c:pt>
                <c:pt idx="50">
                  <c:v>2.6812566682456931E-3</c:v>
                </c:pt>
                <c:pt idx="51">
                  <c:v>2.7898242094026669E-3</c:v>
                </c:pt>
                <c:pt idx="52">
                  <c:v>2.9143165814604277E-3</c:v>
                </c:pt>
                <c:pt idx="53">
                  <c:v>3.0302395818460059E-3</c:v>
                </c:pt>
                <c:pt idx="54">
                  <c:v>3.1768678526703374E-3</c:v>
                </c:pt>
              </c:numCache>
            </c:numRef>
          </c:val>
          <c:smooth val="0"/>
          <c:extLst xmlns:c16r2="http://schemas.microsoft.com/office/drawing/2015/06/chart">
            <c:ext xmlns:c16="http://schemas.microsoft.com/office/drawing/2014/chart" uri="{C3380CC4-5D6E-409C-BE32-E72D297353CC}">
              <c16:uniqueId val="{00000000-5AAC-4119-9C6F-52C7509B911C}"/>
            </c:ext>
          </c:extLst>
        </c:ser>
        <c:ser>
          <c:idx val="5"/>
          <c:order val="1"/>
          <c:tx>
            <c:strRef>
              <c:f>Hárok1!$A$10</c:f>
              <c:strCache>
                <c:ptCount val="1"/>
                <c:pt idx="0">
                  <c:v>Dlhodobá starostlivosť</c:v>
                </c:pt>
              </c:strCache>
            </c:strRef>
          </c:tx>
          <c:spPr>
            <a:ln w="22225">
              <a:solidFill>
                <a:srgbClr val="333F50"/>
              </a:solidFill>
              <a:prstDash val="solid"/>
            </a:ln>
          </c:spPr>
          <c:marker>
            <c:symbol val="none"/>
          </c:marker>
          <c:cat>
            <c:numRef>
              <c:f>Hárok1!$B$8:$BD$8</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Hárok1!$B$10:$BD$10</c:f>
              <c:numCache>
                <c:formatCode>0.0%</c:formatCode>
                <c:ptCount val="55"/>
                <c:pt idx="0">
                  <c:v>0</c:v>
                </c:pt>
                <c:pt idx="1">
                  <c:v>-4.4936357113495308E-5</c:v>
                </c:pt>
                <c:pt idx="2">
                  <c:v>-4.5093994312407349E-5</c:v>
                </c:pt>
                <c:pt idx="3">
                  <c:v>-4.5496269870924923E-5</c:v>
                </c:pt>
                <c:pt idx="4">
                  <c:v>-4.4336225215380054E-5</c:v>
                </c:pt>
                <c:pt idx="5">
                  <c:v>-4.2774471680920858E-5</c:v>
                </c:pt>
                <c:pt idx="6">
                  <c:v>-4.0274985731383326E-5</c:v>
                </c:pt>
                <c:pt idx="7">
                  <c:v>-3.8777838406657269E-5</c:v>
                </c:pt>
                <c:pt idx="8">
                  <c:v>-3.7696479124971204E-5</c:v>
                </c:pt>
                <c:pt idx="9">
                  <c:v>-3.404676801951778E-5</c:v>
                </c:pt>
                <c:pt idx="10">
                  <c:v>-2.7895612512218727E-5</c:v>
                </c:pt>
                <c:pt idx="11">
                  <c:v>-2.1331425710506834E-5</c:v>
                </c:pt>
                <c:pt idx="12">
                  <c:v>-1.5030882437412352E-5</c:v>
                </c:pt>
                <c:pt idx="13">
                  <c:v>-9.0149537676209596E-6</c:v>
                </c:pt>
                <c:pt idx="14">
                  <c:v>-4.0442334132473333E-7</c:v>
                </c:pt>
                <c:pt idx="15">
                  <c:v>1.36600754810412E-5</c:v>
                </c:pt>
                <c:pt idx="16">
                  <c:v>3.3045312132542468E-5</c:v>
                </c:pt>
                <c:pt idx="17">
                  <c:v>5.8118579835135799E-5</c:v>
                </c:pt>
                <c:pt idx="18">
                  <c:v>8.7476294389658986E-5</c:v>
                </c:pt>
                <c:pt idx="19">
                  <c:v>1.2158672775692159E-4</c:v>
                </c:pt>
                <c:pt idx="20">
                  <c:v>1.6183689158796755E-4</c:v>
                </c:pt>
                <c:pt idx="21">
                  <c:v>2.0454444803045925E-4</c:v>
                </c:pt>
                <c:pt idx="22">
                  <c:v>2.4976606912791022E-4</c:v>
                </c:pt>
                <c:pt idx="23">
                  <c:v>2.9625903940301069E-4</c:v>
                </c:pt>
                <c:pt idx="24">
                  <c:v>3.4433310003521232E-4</c:v>
                </c:pt>
                <c:pt idx="25">
                  <c:v>3.9443484518129511E-4</c:v>
                </c:pt>
                <c:pt idx="26">
                  <c:v>4.4504645408816713E-4</c:v>
                </c:pt>
                <c:pt idx="27">
                  <c:v>4.9410103402911746E-4</c:v>
                </c:pt>
                <c:pt idx="28">
                  <c:v>5.4159514898473261E-4</c:v>
                </c:pt>
                <c:pt idx="29">
                  <c:v>5.8844666581101099E-4</c:v>
                </c:pt>
                <c:pt idx="30">
                  <c:v>6.3750127504650365E-4</c:v>
                </c:pt>
                <c:pt idx="31">
                  <c:v>6.8955749041135881E-4</c:v>
                </c:pt>
                <c:pt idx="32">
                  <c:v>7.4287372147167517E-4</c:v>
                </c:pt>
                <c:pt idx="33">
                  <c:v>7.9758635342253026E-4</c:v>
                </c:pt>
                <c:pt idx="34">
                  <c:v>8.5230361165498979E-4</c:v>
                </c:pt>
                <c:pt idx="35">
                  <c:v>9.0606917830760025E-4</c:v>
                </c:pt>
                <c:pt idx="36">
                  <c:v>9.5770313144996513E-4</c:v>
                </c:pt>
                <c:pt idx="37">
                  <c:v>1.0076542667481413E-3</c:v>
                </c:pt>
                <c:pt idx="38">
                  <c:v>1.0560843629336826E-3</c:v>
                </c:pt>
                <c:pt idx="39">
                  <c:v>1.1014486513760157E-3</c:v>
                </c:pt>
                <c:pt idx="40">
                  <c:v>1.1416444436400241E-3</c:v>
                </c:pt>
                <c:pt idx="41">
                  <c:v>1.1753562809007122E-3</c:v>
                </c:pt>
                <c:pt idx="42">
                  <c:v>1.2032258199100477E-3</c:v>
                </c:pt>
                <c:pt idx="43">
                  <c:v>1.226716017578835E-3</c:v>
                </c:pt>
                <c:pt idx="44">
                  <c:v>1.2471413985992296E-3</c:v>
                </c:pt>
                <c:pt idx="45">
                  <c:v>1.2653282813286193E-3</c:v>
                </c:pt>
                <c:pt idx="46">
                  <c:v>1.2836873651929826E-3</c:v>
                </c:pt>
                <c:pt idx="47">
                  <c:v>1.3024274299888328E-3</c:v>
                </c:pt>
                <c:pt idx="48">
                  <c:v>1.321962880668459E-3</c:v>
                </c:pt>
                <c:pt idx="49">
                  <c:v>1.3433125069877772E-3</c:v>
                </c:pt>
                <c:pt idx="50">
                  <c:v>1.3675806484281751E-3</c:v>
                </c:pt>
                <c:pt idx="51">
                  <c:v>1.3957533137844891E-3</c:v>
                </c:pt>
                <c:pt idx="52">
                  <c:v>1.4297922271436158E-3</c:v>
                </c:pt>
                <c:pt idx="53">
                  <c:v>1.4696130280562314E-3</c:v>
                </c:pt>
                <c:pt idx="54">
                  <c:v>1.5153439711226913E-3</c:v>
                </c:pt>
              </c:numCache>
            </c:numRef>
          </c:val>
          <c:smooth val="0"/>
          <c:extLst xmlns:c16r2="http://schemas.microsoft.com/office/drawing/2015/06/chart">
            <c:ext xmlns:c16="http://schemas.microsoft.com/office/drawing/2014/chart" uri="{C3380CC4-5D6E-409C-BE32-E72D297353CC}">
              <c16:uniqueId val="{00000001-5AAC-4119-9C6F-52C7509B911C}"/>
            </c:ext>
          </c:extLst>
        </c:ser>
        <c:ser>
          <c:idx val="0"/>
          <c:order val="2"/>
          <c:tx>
            <c:strRef>
              <c:f>Hárok1!$A$11</c:f>
              <c:strCache>
                <c:ptCount val="1"/>
                <c:pt idx="0">
                  <c:v>Školstvo</c:v>
                </c:pt>
              </c:strCache>
            </c:strRef>
          </c:tx>
          <c:spPr>
            <a:ln w="19050">
              <a:solidFill>
                <a:sysClr val="window" lastClr="FFFFFF">
                  <a:lumMod val="65000"/>
                </a:sysClr>
              </a:solidFill>
              <a:prstDash val="solid"/>
            </a:ln>
          </c:spPr>
          <c:marker>
            <c:symbol val="none"/>
          </c:marker>
          <c:cat>
            <c:numRef>
              <c:f>Hárok1!$B$8:$BD$8</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Hárok1!$B$11:$BD$11</c:f>
              <c:numCache>
                <c:formatCode>0.0%</c:formatCode>
                <c:ptCount val="55"/>
                <c:pt idx="0">
                  <c:v>0</c:v>
                </c:pt>
                <c:pt idx="1">
                  <c:v>0</c:v>
                </c:pt>
                <c:pt idx="2">
                  <c:v>0</c:v>
                </c:pt>
                <c:pt idx="3">
                  <c:v>0</c:v>
                </c:pt>
                <c:pt idx="4">
                  <c:v>8.297389744247318E-6</c:v>
                </c:pt>
                <c:pt idx="5">
                  <c:v>1.9163508668902375E-5</c:v>
                </c:pt>
                <c:pt idx="6">
                  <c:v>3.4017679397861933E-5</c:v>
                </c:pt>
                <c:pt idx="7">
                  <c:v>4.4469160975753043E-5</c:v>
                </c:pt>
                <c:pt idx="8">
                  <c:v>5.2738845749340511E-5</c:v>
                </c:pt>
                <c:pt idx="9">
                  <c:v>7.1404611173573335E-5</c:v>
                </c:pt>
                <c:pt idx="10">
                  <c:v>9.9851974563609503E-5</c:v>
                </c:pt>
                <c:pt idx="11">
                  <c:v>1.2823197320346313E-4</c:v>
                </c:pt>
                <c:pt idx="12">
                  <c:v>1.5418204472136487E-4</c:v>
                </c:pt>
                <c:pt idx="13">
                  <c:v>1.7775257074434503E-4</c:v>
                </c:pt>
                <c:pt idx="14">
                  <c:v>2.1041809284749746E-4</c:v>
                </c:pt>
                <c:pt idx="15">
                  <c:v>2.623909387532741E-4</c:v>
                </c:pt>
                <c:pt idx="16">
                  <c:v>3.3189073522122748E-4</c:v>
                </c:pt>
                <c:pt idx="17">
                  <c:v>4.1995672398543961E-4</c:v>
                </c:pt>
                <c:pt idx="18">
                  <c:v>5.2053017601920275E-4</c:v>
                </c:pt>
                <c:pt idx="19">
                  <c:v>6.3468289414073012E-4</c:v>
                </c:pt>
                <c:pt idx="20">
                  <c:v>7.6602265127314164E-4</c:v>
                </c:pt>
                <c:pt idx="21">
                  <c:v>9.0169147622852996E-4</c:v>
                </c:pt>
                <c:pt idx="22">
                  <c:v>1.041813719081386E-3</c:v>
                </c:pt>
                <c:pt idx="23">
                  <c:v>1.182973875549096E-3</c:v>
                </c:pt>
                <c:pt idx="24">
                  <c:v>1.3262897148590192E-3</c:v>
                </c:pt>
                <c:pt idx="25">
                  <c:v>1.4735999553185674E-3</c:v>
                </c:pt>
                <c:pt idx="26">
                  <c:v>1.6214100627532479E-3</c:v>
                </c:pt>
                <c:pt idx="27">
                  <c:v>1.7635376232477816E-3</c:v>
                </c:pt>
                <c:pt idx="28">
                  <c:v>1.9020301511598614E-3</c:v>
                </c:pt>
                <c:pt idx="29">
                  <c:v>2.0386240148594979E-3</c:v>
                </c:pt>
                <c:pt idx="30">
                  <c:v>2.1837726101817225E-3</c:v>
                </c:pt>
                <c:pt idx="31">
                  <c:v>2.3400062459694791E-3</c:v>
                </c:pt>
                <c:pt idx="32">
                  <c:v>2.5018894249286784E-3</c:v>
                </c:pt>
                <c:pt idx="33">
                  <c:v>2.6671046466545212E-3</c:v>
                </c:pt>
                <c:pt idx="34">
                  <c:v>2.8330079355993829E-3</c:v>
                </c:pt>
                <c:pt idx="35">
                  <c:v>2.9975583401418682E-3</c:v>
                </c:pt>
                <c:pt idx="36">
                  <c:v>3.1564675172445432E-3</c:v>
                </c:pt>
                <c:pt idx="37">
                  <c:v>3.3104733798331675E-3</c:v>
                </c:pt>
                <c:pt idx="38">
                  <c:v>3.4567483644547181E-3</c:v>
                </c:pt>
                <c:pt idx="39">
                  <c:v>3.591685429713829E-3</c:v>
                </c:pt>
                <c:pt idx="40">
                  <c:v>3.7086384162841402E-3</c:v>
                </c:pt>
                <c:pt idx="41">
                  <c:v>3.801153751935966E-3</c:v>
                </c:pt>
                <c:pt idx="42">
                  <c:v>3.8726184373669482E-3</c:v>
                </c:pt>
                <c:pt idx="43">
                  <c:v>3.9254935692720804E-3</c:v>
                </c:pt>
                <c:pt idx="44">
                  <c:v>3.9664929691008233E-3</c:v>
                </c:pt>
                <c:pt idx="45">
                  <c:v>3.9993339849596805E-3</c:v>
                </c:pt>
                <c:pt idx="46">
                  <c:v>4.0316014113698003E-3</c:v>
                </c:pt>
                <c:pt idx="47">
                  <c:v>4.0637774942429506E-3</c:v>
                </c:pt>
                <c:pt idx="48">
                  <c:v>4.0969090247129133E-3</c:v>
                </c:pt>
                <c:pt idx="49">
                  <c:v>4.1371312005330464E-3</c:v>
                </c:pt>
                <c:pt idx="50">
                  <c:v>4.1877807425903142E-3</c:v>
                </c:pt>
                <c:pt idx="51">
                  <c:v>4.253026393451851E-3</c:v>
                </c:pt>
                <c:pt idx="52">
                  <c:v>4.3371198941613764E-3</c:v>
                </c:pt>
                <c:pt idx="53">
                  <c:v>4.4404245085481794E-3</c:v>
                </c:pt>
                <c:pt idx="54">
                  <c:v>4.5636118838352675E-3</c:v>
                </c:pt>
              </c:numCache>
            </c:numRef>
          </c:val>
          <c:smooth val="0"/>
          <c:extLst xmlns:c16r2="http://schemas.microsoft.com/office/drawing/2015/06/chart">
            <c:ext xmlns:c16="http://schemas.microsoft.com/office/drawing/2014/chart" uri="{C3380CC4-5D6E-409C-BE32-E72D297353CC}">
              <c16:uniqueId val="{00000002-5AAC-4119-9C6F-52C7509B911C}"/>
            </c:ext>
          </c:extLst>
        </c:ser>
        <c:dLbls>
          <c:showLegendKey val="0"/>
          <c:showVal val="0"/>
          <c:showCatName val="0"/>
          <c:showSerName val="0"/>
          <c:showPercent val="0"/>
          <c:showBubbleSize val="0"/>
        </c:dLbls>
        <c:smooth val="0"/>
        <c:axId val="240194216"/>
        <c:axId val="240194608"/>
      </c:lineChart>
      <c:catAx>
        <c:axId val="240194216"/>
        <c:scaling>
          <c:orientation val="minMax"/>
        </c:scaling>
        <c:delete val="0"/>
        <c:axPos val="b"/>
        <c:numFmt formatCode="General" sourceLinked="0"/>
        <c:majorTickMark val="out"/>
        <c:minorTickMark val="none"/>
        <c:tickLblPos val="low"/>
        <c:txPr>
          <a:bodyPr rot="-5400000" vert="horz"/>
          <a:lstStyle/>
          <a:p>
            <a:pPr>
              <a:defRPr sz="800"/>
            </a:pPr>
            <a:endParaRPr lang="sk-SK"/>
          </a:p>
        </c:txPr>
        <c:crossAx val="240194608"/>
        <c:crosses val="autoZero"/>
        <c:auto val="1"/>
        <c:lblAlgn val="ctr"/>
        <c:lblOffset val="100"/>
        <c:noMultiLvlLbl val="0"/>
      </c:catAx>
      <c:valAx>
        <c:axId val="240194608"/>
        <c:scaling>
          <c:orientation val="minMax"/>
          <c:min val="0"/>
        </c:scaling>
        <c:delete val="0"/>
        <c:axPos val="l"/>
        <c:majorGridlines>
          <c:spPr>
            <a:ln>
              <a:solidFill>
                <a:schemeClr val="bg1">
                  <a:lumMod val="75000"/>
                </a:schemeClr>
              </a:solidFill>
              <a:prstDash val="sysDash"/>
            </a:ln>
          </c:spPr>
        </c:majorGridlines>
        <c:numFmt formatCode="0.0%" sourceLinked="0"/>
        <c:majorTickMark val="out"/>
        <c:minorTickMark val="none"/>
        <c:tickLblPos val="nextTo"/>
        <c:txPr>
          <a:bodyPr rot="0" vert="horz"/>
          <a:lstStyle/>
          <a:p>
            <a:pPr>
              <a:defRPr sz="800"/>
            </a:pPr>
            <a:endParaRPr lang="sk-SK"/>
          </a:p>
        </c:txPr>
        <c:crossAx val="240194216"/>
        <c:crosses val="autoZero"/>
        <c:crossBetween val="between"/>
        <c:majorUnit val="1.0000000000000002E-3"/>
      </c:valAx>
      <c:spPr>
        <a:solidFill>
          <a:srgbClr val="AAD3F2"/>
        </a:solidFill>
      </c:spPr>
    </c:plotArea>
    <c:legend>
      <c:legendPos val="l"/>
      <c:layout>
        <c:manualLayout>
          <c:xMode val="edge"/>
          <c:yMode val="edge"/>
          <c:x val="0.11861822535340977"/>
          <c:y val="5.6666948889453332E-2"/>
          <c:w val="0.43915236911175576"/>
          <c:h val="0.40876866198176842"/>
        </c:manualLayout>
      </c:layout>
      <c:overlay val="1"/>
      <c:spPr>
        <a:solidFill>
          <a:srgbClr val="AAD3F2"/>
        </a:solidFill>
      </c:spPr>
      <c:txPr>
        <a:bodyPr/>
        <a:lstStyle/>
        <a:p>
          <a:pPr>
            <a:defRPr sz="800"/>
          </a:pPr>
          <a:endParaRPr lang="sk-SK"/>
        </a:p>
      </c:txPr>
    </c:legend>
    <c:plotVisOnly val="1"/>
    <c:dispBlanksAs val="gap"/>
    <c:showDLblsOverMax val="0"/>
  </c:chart>
  <c:spPr>
    <a:solidFill>
      <a:srgbClr val="AAD3F2"/>
    </a:solidFill>
    <a:ln>
      <a:noFill/>
    </a:ln>
  </c:spPr>
  <c:txPr>
    <a:bodyPr/>
    <a:lstStyle/>
    <a:p>
      <a:pPr>
        <a:defRPr sz="1000" b="0" i="0" u="none" strike="noStrike" baseline="0">
          <a:solidFill>
            <a:srgbClr val="000000"/>
          </a:solidFill>
          <a:latin typeface="Arial Narrow" pitchFamily="34" charset="0"/>
          <a:ea typeface="Calibri"/>
          <a:cs typeface="Calibri"/>
        </a:defRPr>
      </a:pPr>
      <a:endParaRPr lang="sk-SK"/>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3768358742392E-2"/>
          <c:y val="8.4437714516454654E-2"/>
          <c:w val="0.91819511922711794"/>
          <c:h val="0.77891622922134729"/>
        </c:manualLayout>
      </c:layout>
      <c:lineChart>
        <c:grouping val="standard"/>
        <c:varyColors val="0"/>
        <c:ser>
          <c:idx val="3"/>
          <c:order val="0"/>
          <c:tx>
            <c:strRef>
              <c:f>Hárok3!$A$2</c:f>
              <c:strCache>
                <c:ptCount val="1"/>
                <c:pt idx="0">
                  <c:v>Dodatočné výdavky</c:v>
                </c:pt>
              </c:strCache>
            </c:strRef>
          </c:tx>
          <c:spPr>
            <a:ln w="22225">
              <a:solidFill>
                <a:srgbClr val="2C9ADC"/>
              </a:solidFill>
              <a:prstDash val="solid"/>
            </a:ln>
          </c:spPr>
          <c:marker>
            <c:symbol val="none"/>
          </c:marker>
          <c:cat>
            <c:numRef>
              <c:f>Hárok3!$B$1:$BD$1</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Hárok3!$B$2:$BD$2</c:f>
              <c:numCache>
                <c:formatCode>0.0%</c:formatCode>
                <c:ptCount val="55"/>
                <c:pt idx="0">
                  <c:v>0</c:v>
                </c:pt>
                <c:pt idx="1">
                  <c:v>0</c:v>
                </c:pt>
                <c:pt idx="2">
                  <c:v>0</c:v>
                </c:pt>
                <c:pt idx="3">
                  <c:v>0</c:v>
                </c:pt>
                <c:pt idx="4">
                  <c:v>4.3724780517719886E-3</c:v>
                </c:pt>
                <c:pt idx="5">
                  <c:v>4.2577427783038468E-3</c:v>
                </c:pt>
                <c:pt idx="6">
                  <c:v>4.1159185320399777E-3</c:v>
                </c:pt>
                <c:pt idx="7">
                  <c:v>3.9492225040683171E-3</c:v>
                </c:pt>
                <c:pt idx="8">
                  <c:v>3.8408227389079286E-3</c:v>
                </c:pt>
                <c:pt idx="9">
                  <c:v>3.7352103563030314E-3</c:v>
                </c:pt>
                <c:pt idx="10">
                  <c:v>3.6323348334128674E-3</c:v>
                </c:pt>
                <c:pt idx="11">
                  <c:v>3.5141986187798013E-3</c:v>
                </c:pt>
                <c:pt idx="12">
                  <c:v>3.4107696666177412E-3</c:v>
                </c:pt>
                <c:pt idx="13">
                  <c:v>3.3225494421754709E-3</c:v>
                </c:pt>
                <c:pt idx="14">
                  <c:v>3.2296054559788484E-3</c:v>
                </c:pt>
                <c:pt idx="15">
                  <c:v>3.1687020040446212E-3</c:v>
                </c:pt>
                <c:pt idx="16">
                  <c:v>3.1269576353893797E-3</c:v>
                </c:pt>
                <c:pt idx="17">
                  <c:v>3.1023810201016022E-3</c:v>
                </c:pt>
                <c:pt idx="18">
                  <c:v>3.097657118351943E-3</c:v>
                </c:pt>
                <c:pt idx="19">
                  <c:v>3.1145211910396514E-3</c:v>
                </c:pt>
                <c:pt idx="20">
                  <c:v>3.1538660626610759E-3</c:v>
                </c:pt>
                <c:pt idx="21">
                  <c:v>3.2101734238379614E-3</c:v>
                </c:pt>
                <c:pt idx="22">
                  <c:v>3.2813326949448773E-3</c:v>
                </c:pt>
                <c:pt idx="23">
                  <c:v>3.3540181671287417E-3</c:v>
                </c:pt>
                <c:pt idx="24">
                  <c:v>3.4344997894956153E-3</c:v>
                </c:pt>
                <c:pt idx="25">
                  <c:v>3.5258505945141849E-3</c:v>
                </c:pt>
                <c:pt idx="26">
                  <c:v>3.6197083183349826E-3</c:v>
                </c:pt>
                <c:pt idx="27">
                  <c:v>3.7162129940413458E-3</c:v>
                </c:pt>
                <c:pt idx="28">
                  <c:v>3.8142539026223554E-3</c:v>
                </c:pt>
                <c:pt idx="29">
                  <c:v>3.9129335653558389E-3</c:v>
                </c:pt>
                <c:pt idx="30">
                  <c:v>4.0160222965707065E-3</c:v>
                </c:pt>
                <c:pt idx="31">
                  <c:v>4.1162185781701555E-3</c:v>
                </c:pt>
                <c:pt idx="32">
                  <c:v>4.2160386464033667E-3</c:v>
                </c:pt>
                <c:pt idx="33">
                  <c:v>4.3100992918637254E-3</c:v>
                </c:pt>
                <c:pt idx="34">
                  <c:v>4.3993331458584001E-3</c:v>
                </c:pt>
                <c:pt idx="35">
                  <c:v>4.4820481900243458E-3</c:v>
                </c:pt>
                <c:pt idx="36">
                  <c:v>4.5630108688480275E-3</c:v>
                </c:pt>
                <c:pt idx="37">
                  <c:v>4.6361625012377172E-3</c:v>
                </c:pt>
                <c:pt idx="38">
                  <c:v>4.7039186033494551E-3</c:v>
                </c:pt>
                <c:pt idx="39">
                  <c:v>4.7654935331417902E-3</c:v>
                </c:pt>
                <c:pt idx="40">
                  <c:v>4.8129253749288059E-3</c:v>
                </c:pt>
                <c:pt idx="41">
                  <c:v>4.8361211143609917E-3</c:v>
                </c:pt>
                <c:pt idx="42">
                  <c:v>4.8495473114093524E-3</c:v>
                </c:pt>
                <c:pt idx="43">
                  <c:v>4.8481099157897389E-3</c:v>
                </c:pt>
                <c:pt idx="44">
                  <c:v>4.8503358081487258E-3</c:v>
                </c:pt>
                <c:pt idx="45">
                  <c:v>4.8314472683150533E-3</c:v>
                </c:pt>
                <c:pt idx="46">
                  <c:v>4.8085043643904812E-3</c:v>
                </c:pt>
                <c:pt idx="47">
                  <c:v>4.7807384461131253E-3</c:v>
                </c:pt>
                <c:pt idx="48">
                  <c:v>4.7355060201135779E-3</c:v>
                </c:pt>
                <c:pt idx="49">
                  <c:v>4.70375365155834E-3</c:v>
                </c:pt>
                <c:pt idx="50">
                  <c:v>4.6669402850179342E-3</c:v>
                </c:pt>
                <c:pt idx="51">
                  <c:v>4.6315258222805189E-3</c:v>
                </c:pt>
                <c:pt idx="52">
                  <c:v>4.6059998079218956E-3</c:v>
                </c:pt>
                <c:pt idx="53">
                  <c:v>4.5849132125967973E-3</c:v>
                </c:pt>
                <c:pt idx="54">
                  <c:v>4.572620856516163E-3</c:v>
                </c:pt>
              </c:numCache>
            </c:numRef>
          </c:val>
          <c:smooth val="0"/>
          <c:extLst xmlns:c16r2="http://schemas.microsoft.com/office/drawing/2015/06/chart">
            <c:ext xmlns:c16="http://schemas.microsoft.com/office/drawing/2014/chart" uri="{C3380CC4-5D6E-409C-BE32-E72D297353CC}">
              <c16:uniqueId val="{00000000-6D28-4A22-9E94-D7264034CEB9}"/>
            </c:ext>
          </c:extLst>
        </c:ser>
        <c:dLbls>
          <c:showLegendKey val="0"/>
          <c:showVal val="0"/>
          <c:showCatName val="0"/>
          <c:showSerName val="0"/>
          <c:showPercent val="0"/>
          <c:showBubbleSize val="0"/>
        </c:dLbls>
        <c:smooth val="0"/>
        <c:axId val="240195000"/>
        <c:axId val="240195392"/>
      </c:lineChart>
      <c:catAx>
        <c:axId val="240195000"/>
        <c:scaling>
          <c:orientation val="minMax"/>
        </c:scaling>
        <c:delete val="0"/>
        <c:axPos val="b"/>
        <c:numFmt formatCode="General" sourceLinked="0"/>
        <c:majorTickMark val="out"/>
        <c:minorTickMark val="none"/>
        <c:tickLblPos val="low"/>
        <c:txPr>
          <a:bodyPr rot="-5400000" vert="horz"/>
          <a:lstStyle/>
          <a:p>
            <a:pPr>
              <a:defRPr sz="800"/>
            </a:pPr>
            <a:endParaRPr lang="sk-SK"/>
          </a:p>
        </c:txPr>
        <c:crossAx val="240195392"/>
        <c:crosses val="autoZero"/>
        <c:auto val="1"/>
        <c:lblAlgn val="ctr"/>
        <c:lblOffset val="100"/>
        <c:noMultiLvlLbl val="0"/>
      </c:catAx>
      <c:valAx>
        <c:axId val="240195392"/>
        <c:scaling>
          <c:orientation val="minMax"/>
          <c:min val="0"/>
        </c:scaling>
        <c:delete val="0"/>
        <c:axPos val="l"/>
        <c:majorGridlines>
          <c:spPr>
            <a:ln>
              <a:solidFill>
                <a:schemeClr val="bg1">
                  <a:lumMod val="75000"/>
                </a:schemeClr>
              </a:solidFill>
              <a:prstDash val="sysDash"/>
            </a:ln>
          </c:spPr>
        </c:majorGridlines>
        <c:numFmt formatCode="0.0%" sourceLinked="0"/>
        <c:majorTickMark val="out"/>
        <c:minorTickMark val="none"/>
        <c:tickLblPos val="nextTo"/>
        <c:txPr>
          <a:bodyPr rot="0" vert="horz"/>
          <a:lstStyle/>
          <a:p>
            <a:pPr>
              <a:defRPr sz="800"/>
            </a:pPr>
            <a:endParaRPr lang="sk-SK"/>
          </a:p>
        </c:txPr>
        <c:crossAx val="240195000"/>
        <c:crosses val="autoZero"/>
        <c:crossBetween val="between"/>
      </c:valAx>
      <c:spPr>
        <a:solidFill>
          <a:srgbClr val="AAD3F2"/>
        </a:solidFill>
      </c:spPr>
    </c:plotArea>
    <c:plotVisOnly val="1"/>
    <c:dispBlanksAs val="gap"/>
    <c:showDLblsOverMax val="0"/>
  </c:chart>
  <c:spPr>
    <a:solidFill>
      <a:srgbClr val="AAD3F2"/>
    </a:solidFill>
    <a:ln>
      <a:noFill/>
    </a:ln>
  </c:spPr>
  <c:txPr>
    <a:bodyPr/>
    <a:lstStyle/>
    <a:p>
      <a:pPr>
        <a:defRPr sz="1000" b="0" i="0" u="none" strike="noStrike" baseline="0">
          <a:solidFill>
            <a:srgbClr val="000000"/>
          </a:solidFill>
          <a:latin typeface="Arial Narrow" pitchFamily="34" charset="0"/>
          <a:ea typeface="Calibri"/>
          <a:cs typeface="Calibri"/>
        </a:defRPr>
      </a:pPr>
      <a:endParaRPr lang="sk-SK"/>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91819511922711794"/>
          <c:h val="0.77331734548409881"/>
        </c:manualLayout>
      </c:layout>
      <c:lineChart>
        <c:grouping val="standard"/>
        <c:varyColors val="0"/>
        <c:ser>
          <c:idx val="3"/>
          <c:order val="0"/>
          <c:tx>
            <c:strRef>
              <c:f>Hárok1!$A$14</c:f>
              <c:strCache>
                <c:ptCount val="1"/>
                <c:pt idx="0">
                  <c:v>Aktualizácia 2020</c:v>
                </c:pt>
              </c:strCache>
            </c:strRef>
          </c:tx>
          <c:spPr>
            <a:ln w="22225">
              <a:solidFill>
                <a:srgbClr val="2C9ADC"/>
              </a:solidFill>
              <a:prstDash val="dash"/>
            </a:ln>
          </c:spPr>
          <c:marker>
            <c:symbol val="none"/>
          </c:marker>
          <c:cat>
            <c:numRef>
              <c:f>Hárok1!$B$13:$BD$13</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Hárok1!$B$14:$BD$14</c:f>
              <c:numCache>
                <c:formatCode>0.0%</c:formatCode>
                <c:ptCount val="55"/>
                <c:pt idx="0">
                  <c:v>8.5661178091161305E-2</c:v>
                </c:pt>
                <c:pt idx="1">
                  <c:v>8.6895768194130696E-2</c:v>
                </c:pt>
                <c:pt idx="2">
                  <c:v>8.5869719371022543E-2</c:v>
                </c:pt>
                <c:pt idx="3">
                  <c:v>8.6079303371177349E-2</c:v>
                </c:pt>
                <c:pt idx="4">
                  <c:v>8.6290943039993379E-2</c:v>
                </c:pt>
                <c:pt idx="5">
                  <c:v>8.612088882413306E-2</c:v>
                </c:pt>
                <c:pt idx="6">
                  <c:v>8.5456756298259579E-2</c:v>
                </c:pt>
                <c:pt idx="7">
                  <c:v>8.4634509521504392E-2</c:v>
                </c:pt>
                <c:pt idx="8">
                  <c:v>8.4519171064669926E-2</c:v>
                </c:pt>
                <c:pt idx="9">
                  <c:v>8.45444640904435E-2</c:v>
                </c:pt>
                <c:pt idx="10">
                  <c:v>8.4587524895146732E-2</c:v>
                </c:pt>
                <c:pt idx="11">
                  <c:v>8.4459825437564154E-2</c:v>
                </c:pt>
                <c:pt idx="12">
                  <c:v>8.4574394276437509E-2</c:v>
                </c:pt>
                <c:pt idx="13">
                  <c:v>8.4864287601189498E-2</c:v>
                </c:pt>
                <c:pt idx="14">
                  <c:v>8.4961828258627678E-2</c:v>
                </c:pt>
                <c:pt idx="15">
                  <c:v>8.5463063967824007E-2</c:v>
                </c:pt>
                <c:pt idx="16">
                  <c:v>8.6131446633112119E-2</c:v>
                </c:pt>
                <c:pt idx="17">
                  <c:v>8.7070832596380418E-2</c:v>
                </c:pt>
                <c:pt idx="18">
                  <c:v>8.8235400018287419E-2</c:v>
                </c:pt>
                <c:pt idx="19">
                  <c:v>8.9600216605603258E-2</c:v>
                </c:pt>
                <c:pt idx="20">
                  <c:v>9.1248209781332634E-2</c:v>
                </c:pt>
                <c:pt idx="21">
                  <c:v>9.3067478613093932E-2</c:v>
                </c:pt>
                <c:pt idx="22">
                  <c:v>9.4998105289006568E-2</c:v>
                </c:pt>
                <c:pt idx="23">
                  <c:v>9.7009655737963801E-2</c:v>
                </c:pt>
                <c:pt idx="24">
                  <c:v>9.9082734504452263E-2</c:v>
                </c:pt>
                <c:pt idx="25">
                  <c:v>0.10126164588676058</c:v>
                </c:pt>
                <c:pt idx="26">
                  <c:v>0.10347044310550767</c:v>
                </c:pt>
                <c:pt idx="27">
                  <c:v>0.10567213575219751</c:v>
                </c:pt>
                <c:pt idx="28">
                  <c:v>0.10782943781403832</c:v>
                </c:pt>
                <c:pt idx="29">
                  <c:v>0.1100004844324599</c:v>
                </c:pt>
                <c:pt idx="30">
                  <c:v>0.11211583313437898</c:v>
                </c:pt>
                <c:pt idx="31">
                  <c:v>0.11431509882181706</c:v>
                </c:pt>
                <c:pt idx="32">
                  <c:v>0.11658287647449829</c:v>
                </c:pt>
                <c:pt idx="33">
                  <c:v>0.11889201702098863</c:v>
                </c:pt>
                <c:pt idx="34">
                  <c:v>0.12121452551994143</c:v>
                </c:pt>
                <c:pt idx="35">
                  <c:v>0.12353813347818221</c:v>
                </c:pt>
                <c:pt idx="36">
                  <c:v>0.12582664350770864</c:v>
                </c:pt>
                <c:pt idx="37">
                  <c:v>0.12810740911500201</c:v>
                </c:pt>
                <c:pt idx="38">
                  <c:v>0.13036141639119239</c:v>
                </c:pt>
                <c:pt idx="39">
                  <c:v>0.13248698529519209</c:v>
                </c:pt>
                <c:pt idx="40">
                  <c:v>0.13437550715660918</c:v>
                </c:pt>
                <c:pt idx="41">
                  <c:v>0.13571594266145581</c:v>
                </c:pt>
                <c:pt idx="42">
                  <c:v>0.13692693765672254</c:v>
                </c:pt>
                <c:pt idx="43">
                  <c:v>0.13780346341393132</c:v>
                </c:pt>
                <c:pt idx="44">
                  <c:v>0.13859805874113484</c:v>
                </c:pt>
                <c:pt idx="45">
                  <c:v>0.13901019485146779</c:v>
                </c:pt>
                <c:pt idx="46">
                  <c:v>0.13926390288852764</c:v>
                </c:pt>
                <c:pt idx="47">
                  <c:v>0.13929847927795375</c:v>
                </c:pt>
                <c:pt idx="48">
                  <c:v>0.1390008891378674</c:v>
                </c:pt>
                <c:pt idx="49">
                  <c:v>0.13886181159532901</c:v>
                </c:pt>
                <c:pt idx="50">
                  <c:v>0.13852098118801878</c:v>
                </c:pt>
                <c:pt idx="51">
                  <c:v>0.13822564665896056</c:v>
                </c:pt>
                <c:pt idx="52">
                  <c:v>0.13800590968916818</c:v>
                </c:pt>
                <c:pt idx="53">
                  <c:v>0.13786322943207235</c:v>
                </c:pt>
                <c:pt idx="54">
                  <c:v>0.1377116280925299</c:v>
                </c:pt>
              </c:numCache>
            </c:numRef>
          </c:val>
          <c:smooth val="0"/>
          <c:extLst xmlns:c16r2="http://schemas.microsoft.com/office/drawing/2015/06/chart">
            <c:ext xmlns:c16="http://schemas.microsoft.com/office/drawing/2014/chart" uri="{C3380CC4-5D6E-409C-BE32-E72D297353CC}">
              <c16:uniqueId val="{00000000-B2A3-43C1-A01F-E59AA82DE790}"/>
            </c:ext>
          </c:extLst>
        </c:ser>
        <c:ser>
          <c:idx val="5"/>
          <c:order val="1"/>
          <c:tx>
            <c:strRef>
              <c:f>Hárok1!$A$15</c:f>
              <c:strCache>
                <c:ptCount val="1"/>
                <c:pt idx="0">
                  <c:v>Aktualizácia 2020 + 13. dôchodok</c:v>
                </c:pt>
              </c:strCache>
            </c:strRef>
          </c:tx>
          <c:spPr>
            <a:ln w="22225">
              <a:solidFill>
                <a:srgbClr val="333F50"/>
              </a:solidFill>
              <a:prstDash val="solid"/>
            </a:ln>
          </c:spPr>
          <c:marker>
            <c:symbol val="none"/>
          </c:marker>
          <c:cat>
            <c:numRef>
              <c:f>Hárok1!$B$13:$BD$13</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Hárok1!$B$15:$BD$15</c:f>
              <c:numCache>
                <c:formatCode>0.0%</c:formatCode>
                <c:ptCount val="55"/>
                <c:pt idx="0">
                  <c:v>8.5661178091161305E-2</c:v>
                </c:pt>
                <c:pt idx="1">
                  <c:v>8.6895768194130696E-2</c:v>
                </c:pt>
                <c:pt idx="2">
                  <c:v>8.5869719371022543E-2</c:v>
                </c:pt>
                <c:pt idx="3">
                  <c:v>8.6079303371177349E-2</c:v>
                </c:pt>
                <c:pt idx="4">
                  <c:v>9.0663421091765367E-2</c:v>
                </c:pt>
                <c:pt idx="5">
                  <c:v>9.0378631602436907E-2</c:v>
                </c:pt>
                <c:pt idx="6">
                  <c:v>8.9572674830299556E-2</c:v>
                </c:pt>
                <c:pt idx="7">
                  <c:v>8.8583732025572709E-2</c:v>
                </c:pt>
                <c:pt idx="8">
                  <c:v>8.8359993803577855E-2</c:v>
                </c:pt>
                <c:pt idx="9">
                  <c:v>8.8279674446746531E-2</c:v>
                </c:pt>
                <c:pt idx="10">
                  <c:v>8.8219859728559599E-2</c:v>
                </c:pt>
                <c:pt idx="11">
                  <c:v>8.7974024056343955E-2</c:v>
                </c:pt>
                <c:pt idx="12">
                  <c:v>8.798516394305525E-2</c:v>
                </c:pt>
                <c:pt idx="13">
                  <c:v>8.8186837043364968E-2</c:v>
                </c:pt>
                <c:pt idx="14">
                  <c:v>8.8191433714606526E-2</c:v>
                </c:pt>
                <c:pt idx="15">
                  <c:v>8.8631765971868628E-2</c:v>
                </c:pt>
                <c:pt idx="16">
                  <c:v>8.9258404268501498E-2</c:v>
                </c:pt>
                <c:pt idx="17">
                  <c:v>9.017321361648202E-2</c:v>
                </c:pt>
                <c:pt idx="18">
                  <c:v>9.1333057136639362E-2</c:v>
                </c:pt>
                <c:pt idx="19">
                  <c:v>9.271473779664291E-2</c:v>
                </c:pt>
                <c:pt idx="20">
                  <c:v>9.440207584399371E-2</c:v>
                </c:pt>
                <c:pt idx="21">
                  <c:v>9.6277652036931893E-2</c:v>
                </c:pt>
                <c:pt idx="22">
                  <c:v>9.8279437983951445E-2</c:v>
                </c:pt>
                <c:pt idx="23">
                  <c:v>0.10036367390509254</c:v>
                </c:pt>
                <c:pt idx="24">
                  <c:v>0.10251723429394788</c:v>
                </c:pt>
                <c:pt idx="25">
                  <c:v>0.10478749648127476</c:v>
                </c:pt>
                <c:pt idx="26">
                  <c:v>0.10709015142384265</c:v>
                </c:pt>
                <c:pt idx="27">
                  <c:v>0.10938834874623886</c:v>
                </c:pt>
                <c:pt idx="28">
                  <c:v>0.11164369171666068</c:v>
                </c:pt>
                <c:pt idx="29">
                  <c:v>0.11391341799781574</c:v>
                </c:pt>
                <c:pt idx="30">
                  <c:v>0.11613185543094968</c:v>
                </c:pt>
                <c:pt idx="31">
                  <c:v>0.11843131739998722</c:v>
                </c:pt>
                <c:pt idx="32">
                  <c:v>0.12079891512090166</c:v>
                </c:pt>
                <c:pt idx="33">
                  <c:v>0.12320211631285236</c:v>
                </c:pt>
                <c:pt idx="34">
                  <c:v>0.12561385866579983</c:v>
                </c:pt>
                <c:pt idx="35">
                  <c:v>0.12802018166820656</c:v>
                </c:pt>
                <c:pt idx="36">
                  <c:v>0.13038965437655667</c:v>
                </c:pt>
                <c:pt idx="37">
                  <c:v>0.13274357161623973</c:v>
                </c:pt>
                <c:pt idx="38">
                  <c:v>0.13506533499454185</c:v>
                </c:pt>
                <c:pt idx="39">
                  <c:v>0.13725247882833388</c:v>
                </c:pt>
                <c:pt idx="40">
                  <c:v>0.13918843253153798</c:v>
                </c:pt>
                <c:pt idx="41">
                  <c:v>0.1405520637758168</c:v>
                </c:pt>
                <c:pt idx="42">
                  <c:v>0.14177648496813189</c:v>
                </c:pt>
                <c:pt idx="43">
                  <c:v>0.14265157332972106</c:v>
                </c:pt>
                <c:pt idx="44">
                  <c:v>0.14344839454928357</c:v>
                </c:pt>
                <c:pt idx="45">
                  <c:v>0.14384164211978284</c:v>
                </c:pt>
                <c:pt idx="46">
                  <c:v>0.14407240725291812</c:v>
                </c:pt>
                <c:pt idx="47">
                  <c:v>0.14407921772406687</c:v>
                </c:pt>
                <c:pt idx="48">
                  <c:v>0.14373639515798098</c:v>
                </c:pt>
                <c:pt idx="49">
                  <c:v>0.14356556524688735</c:v>
                </c:pt>
                <c:pt idx="50">
                  <c:v>0.14318792147303672</c:v>
                </c:pt>
                <c:pt idx="51">
                  <c:v>0.14285717248124108</c:v>
                </c:pt>
                <c:pt idx="52">
                  <c:v>0.14261190949709007</c:v>
                </c:pt>
                <c:pt idx="53">
                  <c:v>0.14244814264466915</c:v>
                </c:pt>
                <c:pt idx="54">
                  <c:v>0.14228424894904607</c:v>
                </c:pt>
              </c:numCache>
            </c:numRef>
          </c:val>
          <c:smooth val="0"/>
          <c:extLst xmlns:c16r2="http://schemas.microsoft.com/office/drawing/2015/06/chart">
            <c:ext xmlns:c16="http://schemas.microsoft.com/office/drawing/2014/chart" uri="{C3380CC4-5D6E-409C-BE32-E72D297353CC}">
              <c16:uniqueId val="{00000001-B2A3-43C1-A01F-E59AA82DE790}"/>
            </c:ext>
          </c:extLst>
        </c:ser>
        <c:dLbls>
          <c:showLegendKey val="0"/>
          <c:showVal val="0"/>
          <c:showCatName val="0"/>
          <c:showSerName val="0"/>
          <c:showPercent val="0"/>
          <c:showBubbleSize val="0"/>
        </c:dLbls>
        <c:smooth val="0"/>
        <c:axId val="240196176"/>
        <c:axId val="240196568"/>
      </c:lineChart>
      <c:catAx>
        <c:axId val="240196176"/>
        <c:scaling>
          <c:orientation val="minMax"/>
        </c:scaling>
        <c:delete val="0"/>
        <c:axPos val="b"/>
        <c:numFmt formatCode="General" sourceLinked="0"/>
        <c:majorTickMark val="out"/>
        <c:minorTickMark val="none"/>
        <c:tickLblPos val="low"/>
        <c:txPr>
          <a:bodyPr rot="-5400000" vert="horz"/>
          <a:lstStyle/>
          <a:p>
            <a:pPr>
              <a:defRPr sz="800"/>
            </a:pPr>
            <a:endParaRPr lang="sk-SK"/>
          </a:p>
        </c:txPr>
        <c:crossAx val="240196568"/>
        <c:crosses val="autoZero"/>
        <c:auto val="1"/>
        <c:lblAlgn val="ctr"/>
        <c:lblOffset val="100"/>
        <c:noMultiLvlLbl val="0"/>
      </c:catAx>
      <c:valAx>
        <c:axId val="240196568"/>
        <c:scaling>
          <c:orientation val="minMax"/>
          <c:min val="8.0000000000000016E-2"/>
        </c:scaling>
        <c:delete val="0"/>
        <c:axPos val="l"/>
        <c:majorGridlines>
          <c:spPr>
            <a:ln>
              <a:solidFill>
                <a:schemeClr val="bg1">
                  <a:lumMod val="75000"/>
                </a:schemeClr>
              </a:solidFill>
              <a:prstDash val="sysDash"/>
            </a:ln>
          </c:spPr>
        </c:majorGridlines>
        <c:numFmt formatCode="0%" sourceLinked="0"/>
        <c:majorTickMark val="out"/>
        <c:minorTickMark val="none"/>
        <c:tickLblPos val="nextTo"/>
        <c:txPr>
          <a:bodyPr rot="0" vert="horz"/>
          <a:lstStyle/>
          <a:p>
            <a:pPr>
              <a:defRPr sz="800"/>
            </a:pPr>
            <a:endParaRPr lang="sk-SK"/>
          </a:p>
        </c:txPr>
        <c:crossAx val="240196176"/>
        <c:crosses val="autoZero"/>
        <c:crossBetween val="between"/>
      </c:valAx>
      <c:spPr>
        <a:solidFill>
          <a:srgbClr val="AAD3F2"/>
        </a:solidFill>
      </c:spPr>
    </c:plotArea>
    <c:legend>
      <c:legendPos val="l"/>
      <c:layout>
        <c:manualLayout>
          <c:xMode val="edge"/>
          <c:yMode val="edge"/>
          <c:x val="0.10293941382327208"/>
          <c:y val="0.13114136774569846"/>
          <c:w val="0.4254539001130197"/>
          <c:h val="0.3349394867308253"/>
        </c:manualLayout>
      </c:layout>
      <c:overlay val="1"/>
      <c:spPr>
        <a:solidFill>
          <a:srgbClr val="AAD3F2"/>
        </a:solidFill>
      </c:spPr>
      <c:txPr>
        <a:bodyPr/>
        <a:lstStyle/>
        <a:p>
          <a:pPr>
            <a:defRPr sz="800"/>
          </a:pPr>
          <a:endParaRPr lang="sk-SK"/>
        </a:p>
      </c:txPr>
    </c:legend>
    <c:plotVisOnly val="1"/>
    <c:dispBlanksAs val="gap"/>
    <c:showDLblsOverMax val="0"/>
  </c:chart>
  <c:spPr>
    <a:solidFill>
      <a:srgbClr val="AAD3F2"/>
    </a:solidFill>
    <a:ln>
      <a:noFill/>
    </a:ln>
  </c:spPr>
  <c:txPr>
    <a:bodyPr/>
    <a:lstStyle/>
    <a:p>
      <a:pPr>
        <a:defRPr sz="1000" b="0" i="0" u="none" strike="noStrike" baseline="0">
          <a:solidFill>
            <a:srgbClr val="000000"/>
          </a:solidFill>
          <a:latin typeface="Arial Narrow" pitchFamily="34" charset="0"/>
          <a:ea typeface="Calibri"/>
          <a:cs typeface="Calibri"/>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679777191692E-2"/>
          <c:y val="8.5242482034935022E-2"/>
          <c:w val="0.89093095636884034"/>
          <c:h val="0.82106259115597957"/>
        </c:manualLayout>
      </c:layout>
      <c:barChart>
        <c:barDir val="col"/>
        <c:grouping val="stacked"/>
        <c:varyColors val="0"/>
        <c:ser>
          <c:idx val="5"/>
          <c:order val="0"/>
          <c:tx>
            <c:strRef>
              <c:f>'Graf 1+2'!$I$4</c:f>
              <c:strCache>
                <c:ptCount val="1"/>
                <c:pt idx="0">
                  <c:v>Spotreba</c:v>
                </c:pt>
              </c:strCache>
            </c:strRef>
          </c:tx>
          <c:spPr>
            <a:solidFill>
              <a:srgbClr val="2C9ADC"/>
            </a:solidFill>
          </c:spPr>
          <c:invertIfNegative val="0"/>
          <c:cat>
            <c:strRef>
              <c:f>'Graf 1+2'!$J$3:$O$3</c:f>
              <c:strCache>
                <c:ptCount val="6"/>
                <c:pt idx="0">
                  <c:v>2018</c:v>
                </c:pt>
                <c:pt idx="1">
                  <c:v>2019</c:v>
                </c:pt>
                <c:pt idx="2">
                  <c:v>2020F</c:v>
                </c:pt>
                <c:pt idx="3">
                  <c:v>2021F</c:v>
                </c:pt>
                <c:pt idx="4">
                  <c:v>2022F</c:v>
                </c:pt>
                <c:pt idx="5">
                  <c:v>2023F</c:v>
                </c:pt>
              </c:strCache>
            </c:strRef>
          </c:cat>
          <c:val>
            <c:numRef>
              <c:f>'Graf 1+2'!$J$4:$O$4</c:f>
              <c:numCache>
                <c:formatCode>0.0</c:formatCode>
                <c:ptCount val="6"/>
                <c:pt idx="0">
                  <c:v>2.194397156543709</c:v>
                </c:pt>
                <c:pt idx="1">
                  <c:v>1.8687703569892946</c:v>
                </c:pt>
                <c:pt idx="2">
                  <c:v>-4.3084897560221336</c:v>
                </c:pt>
                <c:pt idx="3">
                  <c:v>4.3058356988232012</c:v>
                </c:pt>
                <c:pt idx="4">
                  <c:v>2.6033498118125542</c:v>
                </c:pt>
                <c:pt idx="5">
                  <c:v>2.0479641705497249</c:v>
                </c:pt>
              </c:numCache>
            </c:numRef>
          </c:val>
          <c:extLst xmlns:c16r2="http://schemas.microsoft.com/office/drawing/2015/06/chart">
            <c:ext xmlns:c16="http://schemas.microsoft.com/office/drawing/2014/chart" uri="{C3380CC4-5D6E-409C-BE32-E72D297353CC}">
              <c16:uniqueId val="{00000000-14E7-4408-9F07-E957EA5AF99D}"/>
            </c:ext>
          </c:extLst>
        </c:ser>
        <c:ser>
          <c:idx val="8"/>
          <c:order val="1"/>
          <c:tx>
            <c:strRef>
              <c:f>'Graf 1+2'!$I$5</c:f>
              <c:strCache>
                <c:ptCount val="1"/>
                <c:pt idx="0">
                  <c:v>Investície</c:v>
                </c:pt>
              </c:strCache>
            </c:strRef>
          </c:tx>
          <c:spPr>
            <a:solidFill>
              <a:schemeClr val="tx2">
                <a:lumMod val="20000"/>
                <a:lumOff val="80000"/>
              </a:schemeClr>
            </a:solidFill>
            <a:ln>
              <a:noFill/>
            </a:ln>
          </c:spPr>
          <c:invertIfNegative val="0"/>
          <c:cat>
            <c:strRef>
              <c:f>'Graf 1+2'!$J$3:$O$3</c:f>
              <c:strCache>
                <c:ptCount val="6"/>
                <c:pt idx="0">
                  <c:v>2018</c:v>
                </c:pt>
                <c:pt idx="1">
                  <c:v>2019</c:v>
                </c:pt>
                <c:pt idx="2">
                  <c:v>2020F</c:v>
                </c:pt>
                <c:pt idx="3">
                  <c:v>2021F</c:v>
                </c:pt>
                <c:pt idx="4">
                  <c:v>2022F</c:v>
                </c:pt>
                <c:pt idx="5">
                  <c:v>2023F</c:v>
                </c:pt>
              </c:strCache>
            </c:strRef>
          </c:cat>
          <c:val>
            <c:numRef>
              <c:f>'Graf 1+2'!$J$5:$O$5</c:f>
              <c:numCache>
                <c:formatCode>0.0</c:formatCode>
                <c:ptCount val="6"/>
                <c:pt idx="0">
                  <c:v>0.77955939743660463</c:v>
                </c:pt>
                <c:pt idx="1">
                  <c:v>0.9347677059594266</c:v>
                </c:pt>
                <c:pt idx="2">
                  <c:v>-4.3802151013383046</c:v>
                </c:pt>
                <c:pt idx="3">
                  <c:v>3.1643506566102477</c:v>
                </c:pt>
                <c:pt idx="4">
                  <c:v>1.0644171573000836</c:v>
                </c:pt>
                <c:pt idx="5">
                  <c:v>1.1962972900291591</c:v>
                </c:pt>
              </c:numCache>
            </c:numRef>
          </c:val>
          <c:extLst xmlns:c16r2="http://schemas.microsoft.com/office/drawing/2015/06/chart">
            <c:ext xmlns:c16="http://schemas.microsoft.com/office/drawing/2014/chart" uri="{C3380CC4-5D6E-409C-BE32-E72D297353CC}">
              <c16:uniqueId val="{00000001-14E7-4408-9F07-E957EA5AF99D}"/>
            </c:ext>
          </c:extLst>
        </c:ser>
        <c:ser>
          <c:idx val="0"/>
          <c:order val="2"/>
          <c:tx>
            <c:strRef>
              <c:f>'Graf 1+2'!$I$6</c:f>
              <c:strCache>
                <c:ptCount val="1"/>
                <c:pt idx="0">
                  <c:v>Zásoby a diskrepancia</c:v>
                </c:pt>
              </c:strCache>
            </c:strRef>
          </c:tx>
          <c:invertIfNegative val="0"/>
          <c:cat>
            <c:strRef>
              <c:f>'Graf 1+2'!$J$3:$O$3</c:f>
              <c:strCache>
                <c:ptCount val="6"/>
                <c:pt idx="0">
                  <c:v>2018</c:v>
                </c:pt>
                <c:pt idx="1">
                  <c:v>2019</c:v>
                </c:pt>
                <c:pt idx="2">
                  <c:v>2020F</c:v>
                </c:pt>
                <c:pt idx="3">
                  <c:v>2021F</c:v>
                </c:pt>
                <c:pt idx="4">
                  <c:v>2022F</c:v>
                </c:pt>
                <c:pt idx="5">
                  <c:v>2023F</c:v>
                </c:pt>
              </c:strCache>
            </c:strRef>
          </c:cat>
          <c:val>
            <c:numRef>
              <c:f>'Graf 1+2'!$J$6:$O$6</c:f>
              <c:numCache>
                <c:formatCode>0.0</c:formatCode>
                <c:ptCount val="6"/>
                <c:pt idx="0">
                  <c:v>0.51603171139720716</c:v>
                </c:pt>
                <c:pt idx="1">
                  <c:v>0.20633119145441614</c:v>
                </c:pt>
                <c:pt idx="2">
                  <c:v>-1.8229593910495039</c:v>
                </c:pt>
                <c:pt idx="3">
                  <c:v>-0.71083611010213199</c:v>
                </c:pt>
                <c:pt idx="4">
                  <c:v>8.2978306445221139E-2</c:v>
                </c:pt>
                <c:pt idx="5">
                  <c:v>9.4990092764661027E-3</c:v>
                </c:pt>
              </c:numCache>
            </c:numRef>
          </c:val>
          <c:extLst xmlns:c16r2="http://schemas.microsoft.com/office/drawing/2015/06/chart">
            <c:ext xmlns:c16="http://schemas.microsoft.com/office/drawing/2014/chart" uri="{C3380CC4-5D6E-409C-BE32-E72D297353CC}">
              <c16:uniqueId val="{00000002-14E7-4408-9F07-E957EA5AF99D}"/>
            </c:ext>
          </c:extLst>
        </c:ser>
        <c:ser>
          <c:idx val="1"/>
          <c:order val="3"/>
          <c:tx>
            <c:strRef>
              <c:f>'Graf 1+2'!$I$7</c:f>
              <c:strCache>
                <c:ptCount val="1"/>
                <c:pt idx="0">
                  <c:v>Čistý export</c:v>
                </c:pt>
              </c:strCache>
            </c:strRef>
          </c:tx>
          <c:invertIfNegative val="0"/>
          <c:cat>
            <c:strRef>
              <c:f>'Graf 1+2'!$J$3:$O$3</c:f>
              <c:strCache>
                <c:ptCount val="6"/>
                <c:pt idx="0">
                  <c:v>2018</c:v>
                </c:pt>
                <c:pt idx="1">
                  <c:v>2019</c:v>
                </c:pt>
                <c:pt idx="2">
                  <c:v>2020F</c:v>
                </c:pt>
                <c:pt idx="3">
                  <c:v>2021F</c:v>
                </c:pt>
                <c:pt idx="4">
                  <c:v>2022F</c:v>
                </c:pt>
                <c:pt idx="5">
                  <c:v>2023F</c:v>
                </c:pt>
              </c:strCache>
            </c:strRef>
          </c:cat>
          <c:val>
            <c:numRef>
              <c:f>'Graf 1+2'!$J$7:$O$7</c:f>
              <c:numCache>
                <c:formatCode>0.0</c:formatCode>
                <c:ptCount val="6"/>
                <c:pt idx="0">
                  <c:v>0.54371477800710366</c:v>
                </c:pt>
                <c:pt idx="1">
                  <c:v>-0.73364873753568038</c:v>
                </c:pt>
                <c:pt idx="2">
                  <c:v>3.2916597444873394</c:v>
                </c:pt>
                <c:pt idx="3">
                  <c:v>3.8955337173895391E-2</c:v>
                </c:pt>
                <c:pt idx="4">
                  <c:v>0.32968596043597348</c:v>
                </c:pt>
                <c:pt idx="5">
                  <c:v>-0.10303405990984009</c:v>
                </c:pt>
              </c:numCache>
            </c:numRef>
          </c:val>
          <c:extLst xmlns:c16r2="http://schemas.microsoft.com/office/drawing/2015/06/chart">
            <c:ext xmlns:c16="http://schemas.microsoft.com/office/drawing/2014/chart" uri="{C3380CC4-5D6E-409C-BE32-E72D297353CC}">
              <c16:uniqueId val="{00000003-14E7-4408-9F07-E957EA5AF99D}"/>
            </c:ext>
          </c:extLst>
        </c:ser>
        <c:dLbls>
          <c:showLegendKey val="0"/>
          <c:showVal val="0"/>
          <c:showCatName val="0"/>
          <c:showSerName val="0"/>
          <c:showPercent val="0"/>
          <c:showBubbleSize val="0"/>
        </c:dLbls>
        <c:gapWidth val="150"/>
        <c:overlap val="100"/>
        <c:axId val="109510304"/>
        <c:axId val="110439040"/>
      </c:barChart>
      <c:lineChart>
        <c:grouping val="standard"/>
        <c:varyColors val="0"/>
        <c:ser>
          <c:idx val="2"/>
          <c:order val="4"/>
          <c:tx>
            <c:strRef>
              <c:f>'Graf 1+2'!$I$8</c:f>
              <c:strCache>
                <c:ptCount val="1"/>
                <c:pt idx="0">
                  <c:v>HDP</c:v>
                </c:pt>
              </c:strCache>
            </c:strRef>
          </c:tx>
          <c:spPr>
            <a:ln w="19050">
              <a:solidFill>
                <a:sysClr val="windowText" lastClr="000000"/>
              </a:solidFill>
            </a:ln>
          </c:spPr>
          <c:marker>
            <c:symbol val="none"/>
          </c:marker>
          <c:cat>
            <c:strRef>
              <c:f>'Graf 1+2'!$J$3:$O$3</c:f>
              <c:strCache>
                <c:ptCount val="6"/>
                <c:pt idx="0">
                  <c:v>2018</c:v>
                </c:pt>
                <c:pt idx="1">
                  <c:v>2019</c:v>
                </c:pt>
                <c:pt idx="2">
                  <c:v>2020F</c:v>
                </c:pt>
                <c:pt idx="3">
                  <c:v>2021F</c:v>
                </c:pt>
                <c:pt idx="4">
                  <c:v>2022F</c:v>
                </c:pt>
                <c:pt idx="5">
                  <c:v>2023F</c:v>
                </c:pt>
              </c:strCache>
            </c:strRef>
          </c:cat>
          <c:val>
            <c:numRef>
              <c:f>'Graf 1+2'!$J$8:$O$8</c:f>
              <c:numCache>
                <c:formatCode>0.0</c:formatCode>
                <c:ptCount val="6"/>
                <c:pt idx="0">
                  <c:v>4.0337030433846515</c:v>
                </c:pt>
                <c:pt idx="1">
                  <c:v>2.2762205168674483</c:v>
                </c:pt>
                <c:pt idx="2">
                  <c:v>-7.2200045039226213</c:v>
                </c:pt>
                <c:pt idx="3">
                  <c:v>6.798305582505221</c:v>
                </c:pt>
                <c:pt idx="4">
                  <c:v>4.0804312359938315</c:v>
                </c:pt>
                <c:pt idx="5">
                  <c:v>3.1507264099455194</c:v>
                </c:pt>
              </c:numCache>
            </c:numRef>
          </c:val>
          <c:smooth val="0"/>
          <c:extLst xmlns:c16r2="http://schemas.microsoft.com/office/drawing/2015/06/chart">
            <c:ext xmlns:c16="http://schemas.microsoft.com/office/drawing/2014/chart" uri="{C3380CC4-5D6E-409C-BE32-E72D297353CC}">
              <c16:uniqueId val="{00000004-14E7-4408-9F07-E957EA5AF99D}"/>
            </c:ext>
          </c:extLst>
        </c:ser>
        <c:dLbls>
          <c:showLegendKey val="0"/>
          <c:showVal val="0"/>
          <c:showCatName val="0"/>
          <c:showSerName val="0"/>
          <c:showPercent val="0"/>
          <c:showBubbleSize val="0"/>
        </c:dLbls>
        <c:marker val="1"/>
        <c:smooth val="0"/>
        <c:axId val="109510304"/>
        <c:axId val="110439040"/>
      </c:lineChart>
      <c:catAx>
        <c:axId val="109510304"/>
        <c:scaling>
          <c:orientation val="minMax"/>
        </c:scaling>
        <c:delete val="0"/>
        <c:axPos val="b"/>
        <c:numFmt formatCode="General" sourceLinked="1"/>
        <c:majorTickMark val="out"/>
        <c:minorTickMark val="none"/>
        <c:tickLblPos val="low"/>
        <c:crossAx val="110439040"/>
        <c:crosses val="autoZero"/>
        <c:auto val="1"/>
        <c:lblAlgn val="ctr"/>
        <c:lblOffset val="100"/>
        <c:noMultiLvlLbl val="0"/>
      </c:catAx>
      <c:valAx>
        <c:axId val="110439040"/>
        <c:scaling>
          <c:orientation val="minMax"/>
          <c:max val="8"/>
        </c:scaling>
        <c:delete val="0"/>
        <c:axPos val="l"/>
        <c:majorGridlines>
          <c:spPr>
            <a:ln>
              <a:solidFill>
                <a:schemeClr val="bg1">
                  <a:lumMod val="75000"/>
                </a:schemeClr>
              </a:solidFill>
              <a:prstDash val="dash"/>
            </a:ln>
          </c:spPr>
        </c:majorGridlines>
        <c:numFmt formatCode="0.0" sourceLinked="0"/>
        <c:majorTickMark val="out"/>
        <c:minorTickMark val="none"/>
        <c:tickLblPos val="nextTo"/>
        <c:crossAx val="109510304"/>
        <c:crosses val="autoZero"/>
        <c:crossBetween val="between"/>
        <c:majorUnit val="2"/>
      </c:valAx>
    </c:plotArea>
    <c:legend>
      <c:legendPos val="r"/>
      <c:layout>
        <c:manualLayout>
          <c:xMode val="edge"/>
          <c:yMode val="edge"/>
          <c:x val="0.54058578051060635"/>
          <c:y val="0.4937863407137324"/>
          <c:w val="0.45338199625059344"/>
          <c:h val="0.39263992633082068"/>
        </c:manualLayout>
      </c:layout>
      <c:overlay val="0"/>
      <c:txPr>
        <a:bodyPr/>
        <a:lstStyle/>
        <a:p>
          <a:pPr>
            <a:defRPr sz="800"/>
          </a:pPr>
          <a:endParaRPr lang="sk-SK"/>
        </a:p>
      </c:txPr>
    </c:legend>
    <c:plotVisOnly val="1"/>
    <c:dispBlanksAs val="gap"/>
    <c:showDLblsOverMax val="0"/>
  </c:chart>
  <c:spPr>
    <a:ln>
      <a:noFill/>
    </a:ln>
  </c:spPr>
  <c:txPr>
    <a:bodyPr/>
    <a:lstStyle/>
    <a:p>
      <a:pPr>
        <a:defRPr sz="800">
          <a:latin typeface="Arial Narrow" pitchFamily="34" charset="0"/>
        </a:defRPr>
      </a:pPr>
      <a:endParaRPr lang="sk-SK"/>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39840838400536E-2"/>
          <c:y val="4.0316828446851867E-2"/>
          <c:w val="0.8681454497903065"/>
          <c:h val="0.76682406915592183"/>
        </c:manualLayout>
      </c:layout>
      <c:lineChart>
        <c:grouping val="standard"/>
        <c:varyColors val="0"/>
        <c:ser>
          <c:idx val="0"/>
          <c:order val="0"/>
          <c:tx>
            <c:strRef>
              <c:f>'Graf 30+31'!$B$22</c:f>
              <c:strCache>
                <c:ptCount val="1"/>
                <c:pt idx="0">
                  <c:v>Daňová medzera podľa MFSR</c:v>
                </c:pt>
              </c:strCache>
            </c:strRef>
          </c:tx>
          <c:spPr>
            <a:ln w="28575" cap="rnd">
              <a:solidFill>
                <a:schemeClr val="accent1"/>
              </a:solidFill>
              <a:round/>
            </a:ln>
            <a:effectLst/>
          </c:spPr>
          <c:marker>
            <c:symbol val="none"/>
          </c:marker>
          <c:dPt>
            <c:idx val="16"/>
            <c:marker>
              <c:symbol val="none"/>
            </c:marker>
            <c:bubble3D val="0"/>
            <c:spPr>
              <a:ln w="28575" cap="rnd">
                <a:solidFill>
                  <a:schemeClr val="accent1"/>
                </a:solidFill>
                <a:round/>
              </a:ln>
              <a:effectLst/>
            </c:spPr>
            <c:extLst xmlns:c16r2="http://schemas.microsoft.com/office/drawing/2015/06/chart">
              <c:ext xmlns:c16="http://schemas.microsoft.com/office/drawing/2014/chart" uri="{C3380CC4-5D6E-409C-BE32-E72D297353CC}">
                <c16:uniqueId val="{00000001-F83B-4012-8D30-52965B7763B3}"/>
              </c:ext>
            </c:extLst>
          </c:dPt>
          <c:dPt>
            <c:idx val="19"/>
            <c:marker>
              <c:symbol val="circle"/>
              <c:size val="5"/>
              <c:spPr>
                <a:solidFill>
                  <a:schemeClr val="accent1"/>
                </a:solidFill>
                <a:ln w="9525">
                  <a:noFill/>
                </a:ln>
                <a:effectLst/>
              </c:spPr>
            </c:marker>
            <c:bubble3D val="0"/>
            <c:extLst xmlns:c16r2="http://schemas.microsoft.com/office/drawing/2015/06/chart">
              <c:ext xmlns:c16="http://schemas.microsoft.com/office/drawing/2014/chart" uri="{C3380CC4-5D6E-409C-BE32-E72D297353CC}">
                <c16:uniqueId val="{00000002-00CD-4698-9323-B0C420F06AFB}"/>
              </c:ext>
            </c:extLst>
          </c:dPt>
          <c:dLbls>
            <c:dLbl>
              <c:idx val="19"/>
              <c:layout>
                <c:manualLayout>
                  <c:x val="-1.4134275618374732E-2"/>
                  <c:y val="-0.104625614105929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CD-4698-9323-B0C420F06AF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30+31'!$C$21:$V$21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'Graf 30+31'!$C$22:$V$22</c:f>
              <c:numCache>
                <c:formatCode>0.0</c:formatCode>
                <c:ptCount val="20"/>
                <c:pt idx="0">
                  <c:v>15.868792032924867</c:v>
                </c:pt>
                <c:pt idx="1">
                  <c:v>13.784761952272534</c:v>
                </c:pt>
                <c:pt idx="2">
                  <c:v>15.803771941157768</c:v>
                </c:pt>
                <c:pt idx="3">
                  <c:v>9.0742869967627566</c:v>
                </c:pt>
                <c:pt idx="4">
                  <c:v>18.735643346404856</c:v>
                </c:pt>
                <c:pt idx="5">
                  <c:v>15.75537902029521</c:v>
                </c:pt>
                <c:pt idx="6">
                  <c:v>21.27797009439438</c:v>
                </c:pt>
                <c:pt idx="7">
                  <c:v>26.720509076338018</c:v>
                </c:pt>
                <c:pt idx="8">
                  <c:v>27.067790249143659</c:v>
                </c:pt>
                <c:pt idx="9">
                  <c:v>30.411503827944003</c:v>
                </c:pt>
                <c:pt idx="10">
                  <c:v>31.063510404460953</c:v>
                </c:pt>
                <c:pt idx="11">
                  <c:v>33.248173617929865</c:v>
                </c:pt>
                <c:pt idx="12">
                  <c:v>36.745767569884777</c:v>
                </c:pt>
                <c:pt idx="13">
                  <c:v>32.240612090043939</c:v>
                </c:pt>
                <c:pt idx="14">
                  <c:v>29.167726504339075</c:v>
                </c:pt>
                <c:pt idx="15">
                  <c:v>27.812043879389403</c:v>
                </c:pt>
                <c:pt idx="16">
                  <c:v>22.928253638123124</c:v>
                </c:pt>
                <c:pt idx="17">
                  <c:v>20.931243174802784</c:v>
                </c:pt>
                <c:pt idx="18">
                  <c:v>20.300160083594687</c:v>
                </c:pt>
                <c:pt idx="19">
                  <c:v>17.453990899634601</c:v>
                </c:pt>
              </c:numCache>
            </c:numRef>
          </c:val>
          <c:smooth val="0"/>
          <c:extLst xmlns:c16r2="http://schemas.microsoft.com/office/drawing/2015/06/chart">
            <c:ext xmlns:c16="http://schemas.microsoft.com/office/drawing/2014/chart" uri="{C3380CC4-5D6E-409C-BE32-E72D297353CC}">
              <c16:uniqueId val="{00000003-F83B-4012-8D30-52965B7763B3}"/>
            </c:ext>
          </c:extLst>
        </c:ser>
        <c:ser>
          <c:idx val="1"/>
          <c:order val="1"/>
          <c:tx>
            <c:strRef>
              <c:f>'Graf 30+31'!$B$23</c:f>
              <c:strCache>
                <c:ptCount val="1"/>
                <c:pt idx="0">
                  <c:v>Daňová medzera podľa EK</c:v>
                </c:pt>
              </c:strCache>
            </c:strRef>
          </c:tx>
          <c:spPr>
            <a:ln w="28575" cap="rnd">
              <a:solidFill>
                <a:schemeClr val="accent3"/>
              </a:solidFill>
              <a:round/>
            </a:ln>
            <a:effectLst/>
          </c:spPr>
          <c:marker>
            <c:symbol val="none"/>
          </c:marker>
          <c:dPt>
            <c:idx val="17"/>
            <c:marker>
              <c:symbol val="circle"/>
              <c:size val="5"/>
              <c:spPr>
                <a:solidFill>
                  <a:srgbClr val="C5E0B4"/>
                </a:solidFill>
                <a:ln w="9525">
                  <a:noFill/>
                </a:ln>
                <a:effectLst/>
              </c:spPr>
            </c:marker>
            <c:bubble3D val="0"/>
            <c:extLst xmlns:c16r2="http://schemas.microsoft.com/office/drawing/2015/06/chart">
              <c:ext xmlns:c16="http://schemas.microsoft.com/office/drawing/2014/chart" uri="{C3380CC4-5D6E-409C-BE32-E72D297353CC}">
                <c16:uniqueId val="{00000003-00CD-4698-9323-B0C420F06AFB}"/>
              </c:ext>
            </c:extLst>
          </c:dPt>
          <c:dLbls>
            <c:dLbl>
              <c:idx val="17"/>
              <c:layout>
                <c:manualLayout>
                  <c:x val="-5.1825677267373381E-2"/>
                  <c:y val="-0.109401709401709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CD-4698-9323-B0C420F06AF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30+31'!$C$21:$V$21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'Graf 30+31'!$C$23:$U$23</c:f>
              <c:numCache>
                <c:formatCode>General</c:formatCode>
                <c:ptCount val="19"/>
                <c:pt idx="12" formatCode="0">
                  <c:v>36.688121708601521</c:v>
                </c:pt>
                <c:pt idx="13" formatCode="0">
                  <c:v>31.370543541788425</c:v>
                </c:pt>
                <c:pt idx="14" formatCode="0">
                  <c:v>30.601243953006218</c:v>
                </c:pt>
                <c:pt idx="15" formatCode="0">
                  <c:v>29.26670146137787</c:v>
                </c:pt>
                <c:pt idx="16" formatCode="0.0">
                  <c:v>25.671969281404277</c:v>
                </c:pt>
                <c:pt idx="17" formatCode="0.0">
                  <c:v>23.2</c:v>
                </c:pt>
              </c:numCache>
            </c:numRef>
          </c:val>
          <c:smooth val="0"/>
          <c:extLst xmlns:c16r2="http://schemas.microsoft.com/office/drawing/2015/06/chart">
            <c:ext xmlns:c16="http://schemas.microsoft.com/office/drawing/2014/chart" uri="{C3380CC4-5D6E-409C-BE32-E72D297353CC}">
              <c16:uniqueId val="{00000005-F83B-4012-8D30-52965B7763B3}"/>
            </c:ext>
          </c:extLst>
        </c:ser>
        <c:dLbls>
          <c:showLegendKey val="0"/>
          <c:showVal val="0"/>
          <c:showCatName val="0"/>
          <c:showSerName val="0"/>
          <c:showPercent val="0"/>
          <c:showBubbleSize val="0"/>
        </c:dLbls>
        <c:smooth val="0"/>
        <c:axId val="237268776"/>
        <c:axId val="237269168"/>
      </c:lineChart>
      <c:catAx>
        <c:axId val="237268776"/>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37269168"/>
        <c:crosses val="autoZero"/>
        <c:auto val="1"/>
        <c:lblAlgn val="ctr"/>
        <c:lblOffset val="100"/>
        <c:noMultiLvlLbl val="0"/>
      </c:catAx>
      <c:valAx>
        <c:axId val="237269168"/>
        <c:scaling>
          <c:orientation val="minMax"/>
          <c:min val="8"/>
        </c:scaling>
        <c:delete val="0"/>
        <c:axPos val="l"/>
        <c:numFmt formatCode="0" sourceLinked="0"/>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37268776"/>
        <c:crosses val="autoZero"/>
        <c:crossBetween val="between"/>
      </c:valAx>
      <c:spPr>
        <a:noFill/>
        <a:ln>
          <a:noFill/>
        </a:ln>
        <a:effectLst/>
      </c:spPr>
    </c:plotArea>
    <c:legend>
      <c:legendPos val="t"/>
      <c:layout>
        <c:manualLayout>
          <c:xMode val="edge"/>
          <c:yMode val="edge"/>
          <c:x val="0.23447501924450256"/>
          <c:y val="0.59487179487179487"/>
          <c:w val="0.74306409578661325"/>
          <c:h val="0.1944529241537115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40648140631902E-2"/>
          <c:y val="4.8208191482695971E-2"/>
          <c:w val="0.91649899432674009"/>
          <c:h val="0.85751415025376465"/>
        </c:manualLayout>
      </c:layout>
      <c:barChart>
        <c:barDir val="col"/>
        <c:grouping val="clustered"/>
        <c:varyColors val="0"/>
        <c:ser>
          <c:idx val="0"/>
          <c:order val="0"/>
          <c:tx>
            <c:strRef>
              <c:f>'Graf 30+31'!$A$54</c:f>
              <c:strCache>
                <c:ptCount val="1"/>
                <c:pt idx="0">
                  <c:v>Daňová medzera podľa EK</c:v>
                </c:pt>
              </c:strCache>
            </c:strRef>
          </c:tx>
          <c:spPr>
            <a:solidFill>
              <a:schemeClr val="accent1"/>
            </a:solidFill>
            <a:ln>
              <a:noFill/>
            </a:ln>
            <a:effectLst/>
          </c:spPr>
          <c:invertIfNegative val="0"/>
          <c:dPt>
            <c:idx val="2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0E04-4160-9757-15D0A943BC87}"/>
              </c:ext>
            </c:extLst>
          </c:dPt>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 30+31'!$B$56:$B$83</c:f>
              <c:strCache>
                <c:ptCount val="28"/>
                <c:pt idx="0">
                  <c:v>CY</c:v>
                </c:pt>
                <c:pt idx="1">
                  <c:v>LU</c:v>
                </c:pt>
                <c:pt idx="2">
                  <c:v>SE</c:v>
                </c:pt>
                <c:pt idx="3">
                  <c:v>MT</c:v>
                </c:pt>
                <c:pt idx="4">
                  <c:v>ES</c:v>
                </c:pt>
                <c:pt idx="5">
                  <c:v>SI</c:v>
                </c:pt>
                <c:pt idx="6">
                  <c:v>NL</c:v>
                </c:pt>
                <c:pt idx="7">
                  <c:v>EE</c:v>
                </c:pt>
                <c:pt idx="8">
                  <c:v>HR</c:v>
                </c:pt>
                <c:pt idx="9">
                  <c:v>FR</c:v>
                </c:pt>
                <c:pt idx="10">
                  <c:v>FI</c:v>
                </c:pt>
                <c:pt idx="11">
                  <c:v>DK</c:v>
                </c:pt>
                <c:pt idx="12">
                  <c:v>AT</c:v>
                </c:pt>
                <c:pt idx="13">
                  <c:v>DE</c:v>
                </c:pt>
                <c:pt idx="14">
                  <c:v>PT</c:v>
                </c:pt>
                <c:pt idx="15">
                  <c:v>UK</c:v>
                </c:pt>
                <c:pt idx="16">
                  <c:v>BE</c:v>
                </c:pt>
                <c:pt idx="17">
                  <c:v>BG</c:v>
                </c:pt>
                <c:pt idx="18">
                  <c:v>CZ</c:v>
                </c:pt>
                <c:pt idx="19">
                  <c:v>IE</c:v>
                </c:pt>
                <c:pt idx="20">
                  <c:v>PL</c:v>
                </c:pt>
                <c:pt idx="21">
                  <c:v>HU</c:v>
                </c:pt>
                <c:pt idx="22">
                  <c:v>LV</c:v>
                </c:pt>
                <c:pt idx="23">
                  <c:v>SK</c:v>
                </c:pt>
                <c:pt idx="24">
                  <c:v>IT</c:v>
                </c:pt>
                <c:pt idx="25">
                  <c:v>LT</c:v>
                </c:pt>
                <c:pt idx="26">
                  <c:v>EL</c:v>
                </c:pt>
                <c:pt idx="27">
                  <c:v>RO</c:v>
                </c:pt>
              </c:strCache>
            </c:strRef>
          </c:cat>
          <c:val>
            <c:numRef>
              <c:f>'Graf 30+31'!$C$56:$C$83</c:f>
              <c:numCache>
                <c:formatCode>General</c:formatCode>
                <c:ptCount val="28"/>
                <c:pt idx="0">
                  <c:v>0.6</c:v>
                </c:pt>
                <c:pt idx="1">
                  <c:v>0.7</c:v>
                </c:pt>
                <c:pt idx="2">
                  <c:v>1.5</c:v>
                </c:pt>
                <c:pt idx="3">
                  <c:v>1.6</c:v>
                </c:pt>
                <c:pt idx="4">
                  <c:v>2.4</c:v>
                </c:pt>
                <c:pt idx="5">
                  <c:v>3.5</c:v>
                </c:pt>
                <c:pt idx="6">
                  <c:v>5.2</c:v>
                </c:pt>
                <c:pt idx="7">
                  <c:v>5.4</c:v>
                </c:pt>
                <c:pt idx="8">
                  <c:v>6.6</c:v>
                </c:pt>
                <c:pt idx="9">
                  <c:v>6.9</c:v>
                </c:pt>
                <c:pt idx="10">
                  <c:v>7.4</c:v>
                </c:pt>
                <c:pt idx="11">
                  <c:v>7.4</c:v>
                </c:pt>
                <c:pt idx="12">
                  <c:v>7.9</c:v>
                </c:pt>
                <c:pt idx="13">
                  <c:v>9.9</c:v>
                </c:pt>
                <c:pt idx="14">
                  <c:v>10.3</c:v>
                </c:pt>
                <c:pt idx="15">
                  <c:v>10.6</c:v>
                </c:pt>
                <c:pt idx="16">
                  <c:v>11.8</c:v>
                </c:pt>
                <c:pt idx="17">
                  <c:v>11.8</c:v>
                </c:pt>
                <c:pt idx="18">
                  <c:v>12.4</c:v>
                </c:pt>
                <c:pt idx="19">
                  <c:v>12.7</c:v>
                </c:pt>
                <c:pt idx="20">
                  <c:v>13.7</c:v>
                </c:pt>
                <c:pt idx="21">
                  <c:v>13.9</c:v>
                </c:pt>
                <c:pt idx="22">
                  <c:v>14.6</c:v>
                </c:pt>
                <c:pt idx="23">
                  <c:v>23.2</c:v>
                </c:pt>
                <c:pt idx="24">
                  <c:v>23.8</c:v>
                </c:pt>
                <c:pt idx="25">
                  <c:v>25.3</c:v>
                </c:pt>
                <c:pt idx="26">
                  <c:v>33.6</c:v>
                </c:pt>
                <c:pt idx="27">
                  <c:v>35.5</c:v>
                </c:pt>
              </c:numCache>
            </c:numRef>
          </c:val>
          <c:extLst xmlns:c16r2="http://schemas.microsoft.com/office/drawing/2015/06/chart">
            <c:ext xmlns:c16="http://schemas.microsoft.com/office/drawing/2014/chart" uri="{C3380CC4-5D6E-409C-BE32-E72D297353CC}">
              <c16:uniqueId val="{00000002-0E04-4160-9757-15D0A943BC87}"/>
            </c:ext>
          </c:extLst>
        </c:ser>
        <c:dLbls>
          <c:showLegendKey val="0"/>
          <c:showVal val="0"/>
          <c:showCatName val="0"/>
          <c:showSerName val="0"/>
          <c:showPercent val="0"/>
          <c:showBubbleSize val="0"/>
        </c:dLbls>
        <c:gapWidth val="219"/>
        <c:overlap val="-27"/>
        <c:axId val="237269952"/>
        <c:axId val="237270344"/>
      </c:barChart>
      <c:lineChart>
        <c:grouping val="standard"/>
        <c:varyColors val="0"/>
        <c:ser>
          <c:idx val="1"/>
          <c:order val="1"/>
          <c:tx>
            <c:strRef>
              <c:f>'Graf 30+31'!$D$55</c:f>
              <c:strCache>
                <c:ptCount val="1"/>
                <c:pt idx="0">
                  <c:v>EU medián</c:v>
                </c:pt>
              </c:strCache>
            </c:strRef>
          </c:tx>
          <c:spPr>
            <a:ln w="25400" cap="rnd" cmpd="sng">
              <a:solidFill>
                <a:srgbClr val="00B050"/>
              </a:solidFill>
              <a:prstDash val="sysDash"/>
              <a:round/>
            </a:ln>
            <a:effectLst/>
          </c:spPr>
          <c:marker>
            <c:symbol val="none"/>
          </c:marker>
          <c:val>
            <c:numRef>
              <c:f>'Graf 30+31'!$D$56:$D$83</c:f>
              <c:numCache>
                <c:formatCode>General</c:formatCode>
                <c:ptCount val="28"/>
                <c:pt idx="0">
                  <c:v>10.100000000000001</c:v>
                </c:pt>
                <c:pt idx="1">
                  <c:v>10.100000000000001</c:v>
                </c:pt>
                <c:pt idx="2">
                  <c:v>10.100000000000001</c:v>
                </c:pt>
                <c:pt idx="3">
                  <c:v>10.100000000000001</c:v>
                </c:pt>
                <c:pt idx="4">
                  <c:v>10.100000000000001</c:v>
                </c:pt>
                <c:pt idx="5">
                  <c:v>10.100000000000001</c:v>
                </c:pt>
                <c:pt idx="6">
                  <c:v>10.100000000000001</c:v>
                </c:pt>
                <c:pt idx="7">
                  <c:v>10.100000000000001</c:v>
                </c:pt>
                <c:pt idx="8">
                  <c:v>10.100000000000001</c:v>
                </c:pt>
                <c:pt idx="9">
                  <c:v>10.100000000000001</c:v>
                </c:pt>
                <c:pt idx="10">
                  <c:v>10.100000000000001</c:v>
                </c:pt>
                <c:pt idx="11">
                  <c:v>10.100000000000001</c:v>
                </c:pt>
                <c:pt idx="12">
                  <c:v>10.100000000000001</c:v>
                </c:pt>
                <c:pt idx="13">
                  <c:v>10.100000000000001</c:v>
                </c:pt>
                <c:pt idx="14">
                  <c:v>10.100000000000001</c:v>
                </c:pt>
                <c:pt idx="15">
                  <c:v>10.100000000000001</c:v>
                </c:pt>
                <c:pt idx="16">
                  <c:v>10.100000000000001</c:v>
                </c:pt>
                <c:pt idx="17">
                  <c:v>10.100000000000001</c:v>
                </c:pt>
                <c:pt idx="18">
                  <c:v>10.100000000000001</c:v>
                </c:pt>
                <c:pt idx="19">
                  <c:v>10.100000000000001</c:v>
                </c:pt>
                <c:pt idx="20">
                  <c:v>10.100000000000001</c:v>
                </c:pt>
                <c:pt idx="21">
                  <c:v>10.100000000000001</c:v>
                </c:pt>
                <c:pt idx="22">
                  <c:v>10.100000000000001</c:v>
                </c:pt>
                <c:pt idx="23">
                  <c:v>10.100000000000001</c:v>
                </c:pt>
                <c:pt idx="24">
                  <c:v>10.100000000000001</c:v>
                </c:pt>
                <c:pt idx="25">
                  <c:v>10.100000000000001</c:v>
                </c:pt>
                <c:pt idx="26">
                  <c:v>10.100000000000001</c:v>
                </c:pt>
                <c:pt idx="27">
                  <c:v>10.100000000000001</c:v>
                </c:pt>
              </c:numCache>
            </c:numRef>
          </c:val>
          <c:smooth val="0"/>
          <c:extLst xmlns:c16r2="http://schemas.microsoft.com/office/drawing/2015/06/chart">
            <c:ext xmlns:c16="http://schemas.microsoft.com/office/drawing/2014/chart" uri="{C3380CC4-5D6E-409C-BE32-E72D297353CC}">
              <c16:uniqueId val="{00000002-7C85-4209-8427-35789F6F00A2}"/>
            </c:ext>
          </c:extLst>
        </c:ser>
        <c:dLbls>
          <c:showLegendKey val="0"/>
          <c:showVal val="0"/>
          <c:showCatName val="0"/>
          <c:showSerName val="0"/>
          <c:showPercent val="0"/>
          <c:showBubbleSize val="0"/>
        </c:dLbls>
        <c:marker val="1"/>
        <c:smooth val="0"/>
        <c:axId val="237269952"/>
        <c:axId val="237270344"/>
      </c:lineChart>
      <c:catAx>
        <c:axId val="23726995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Arial Narrow" panose="020B0606020202030204" pitchFamily="34" charset="0"/>
                <a:ea typeface="+mn-ea"/>
                <a:cs typeface="+mn-cs"/>
              </a:defRPr>
            </a:pPr>
            <a:endParaRPr lang="sk-SK"/>
          </a:p>
        </c:txPr>
        <c:crossAx val="237270344"/>
        <c:crosses val="autoZero"/>
        <c:auto val="1"/>
        <c:lblAlgn val="ctr"/>
        <c:lblOffset val="100"/>
        <c:noMultiLvlLbl val="0"/>
      </c:catAx>
      <c:valAx>
        <c:axId val="237270344"/>
        <c:scaling>
          <c:orientation val="minMax"/>
          <c:max val="4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37269952"/>
        <c:crosses val="autoZero"/>
        <c:crossBetween val="between"/>
      </c:valAx>
      <c:spPr>
        <a:noFill/>
        <a:ln>
          <a:noFill/>
        </a:ln>
        <a:effectLst/>
      </c:spPr>
    </c:plotArea>
    <c:legend>
      <c:legendPos val="t"/>
      <c:layout>
        <c:manualLayout>
          <c:xMode val="edge"/>
          <c:yMode val="edge"/>
          <c:x val="9.6772684752104765E-2"/>
          <c:y val="5.2083333333333336E-2"/>
          <c:w val="0.77371375116931707"/>
          <c:h val="0.13729238435039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679777191692E-2"/>
          <c:y val="4.8823828544190706E-2"/>
          <c:w val="0.89093095636884034"/>
          <c:h val="0.85748137319626516"/>
        </c:manualLayout>
      </c:layout>
      <c:barChart>
        <c:barDir val="col"/>
        <c:grouping val="stacked"/>
        <c:varyColors val="0"/>
        <c:ser>
          <c:idx val="5"/>
          <c:order val="0"/>
          <c:tx>
            <c:strRef>
              <c:f>A_LM!$C$61</c:f>
              <c:strCache>
                <c:ptCount val="1"/>
                <c:pt idx="0">
                  <c:v>Poľnohospodárstvo</c:v>
                </c:pt>
              </c:strCache>
            </c:strRef>
          </c:tx>
          <c:spPr>
            <a:solidFill>
              <a:srgbClr val="2C9ADC"/>
            </a:solidFill>
          </c:spPr>
          <c:invertIfNegative val="0"/>
          <c:cat>
            <c:strRef>
              <c:f>A_LM!$X$59:$AE$59</c:f>
              <c:strCache>
                <c:ptCount val="8"/>
                <c:pt idx="0">
                  <c:v>2016</c:v>
                </c:pt>
                <c:pt idx="1">
                  <c:v>2017</c:v>
                </c:pt>
                <c:pt idx="2">
                  <c:v>2018</c:v>
                </c:pt>
                <c:pt idx="3">
                  <c:v>2019</c:v>
                </c:pt>
                <c:pt idx="4">
                  <c:v>2020F</c:v>
                </c:pt>
                <c:pt idx="5">
                  <c:v>2021F</c:v>
                </c:pt>
                <c:pt idx="6">
                  <c:v>2022F</c:v>
                </c:pt>
                <c:pt idx="7">
                  <c:v>2023F</c:v>
                </c:pt>
              </c:strCache>
            </c:strRef>
          </c:cat>
          <c:val>
            <c:numRef>
              <c:f>A_LM!$X$61:$AE$61</c:f>
              <c:numCache>
                <c:formatCode>0.0</c:formatCode>
                <c:ptCount val="8"/>
                <c:pt idx="0">
                  <c:v>-3.7051789138268169E-2</c:v>
                </c:pt>
                <c:pt idx="1">
                  <c:v>-9.1768851066907197E-3</c:v>
                </c:pt>
                <c:pt idx="2">
                  <c:v>-5.4800156475521807E-3</c:v>
                </c:pt>
                <c:pt idx="3">
                  <c:v>4.8225093412873808E-2</c:v>
                </c:pt>
                <c:pt idx="4">
                  <c:v>6.1365343172467363E-2</c:v>
                </c:pt>
                <c:pt idx="5">
                  <c:v>9.4038086293184928E-2</c:v>
                </c:pt>
                <c:pt idx="6">
                  <c:v>1.3219110132388294E-2</c:v>
                </c:pt>
                <c:pt idx="7">
                  <c:v>0</c:v>
                </c:pt>
              </c:numCache>
            </c:numRef>
          </c:val>
          <c:extLst xmlns:c16r2="http://schemas.microsoft.com/office/drawing/2015/06/chart">
            <c:ext xmlns:c16="http://schemas.microsoft.com/office/drawing/2014/chart" uri="{C3380CC4-5D6E-409C-BE32-E72D297353CC}">
              <c16:uniqueId val="{00000000-66BF-475A-ABAA-30A8834F0F2D}"/>
            </c:ext>
          </c:extLst>
        </c:ser>
        <c:ser>
          <c:idx val="8"/>
          <c:order val="1"/>
          <c:tx>
            <c:strRef>
              <c:f>A_LM!$C$62</c:f>
              <c:strCache>
                <c:ptCount val="1"/>
                <c:pt idx="0">
                  <c:v>Priemysel</c:v>
                </c:pt>
              </c:strCache>
            </c:strRef>
          </c:tx>
          <c:spPr>
            <a:solidFill>
              <a:schemeClr val="tx2">
                <a:lumMod val="20000"/>
                <a:lumOff val="80000"/>
              </a:schemeClr>
            </a:solidFill>
            <a:ln>
              <a:noFill/>
            </a:ln>
          </c:spPr>
          <c:invertIfNegative val="0"/>
          <c:cat>
            <c:strRef>
              <c:f>A_LM!$X$59:$AE$59</c:f>
              <c:strCache>
                <c:ptCount val="8"/>
                <c:pt idx="0">
                  <c:v>2016</c:v>
                </c:pt>
                <c:pt idx="1">
                  <c:v>2017</c:v>
                </c:pt>
                <c:pt idx="2">
                  <c:v>2018</c:v>
                </c:pt>
                <c:pt idx="3">
                  <c:v>2019</c:v>
                </c:pt>
                <c:pt idx="4">
                  <c:v>2020F</c:v>
                </c:pt>
                <c:pt idx="5">
                  <c:v>2021F</c:v>
                </c:pt>
                <c:pt idx="6">
                  <c:v>2022F</c:v>
                </c:pt>
                <c:pt idx="7">
                  <c:v>2023F</c:v>
                </c:pt>
              </c:strCache>
            </c:strRef>
          </c:cat>
          <c:val>
            <c:numRef>
              <c:f>A_LM!$X$62:$AE$62</c:f>
              <c:numCache>
                <c:formatCode>0.0</c:formatCode>
                <c:ptCount val="8"/>
                <c:pt idx="0">
                  <c:v>0.80353862229979012</c:v>
                </c:pt>
                <c:pt idx="1">
                  <c:v>0.86900362723923852</c:v>
                </c:pt>
                <c:pt idx="2">
                  <c:v>0.42567075391526343</c:v>
                </c:pt>
                <c:pt idx="3">
                  <c:v>-8.1821495250634868E-2</c:v>
                </c:pt>
                <c:pt idx="4" formatCode="0.00">
                  <c:v>-1.5184334956793843</c:v>
                </c:pt>
                <c:pt idx="5">
                  <c:v>0.74281609531543169</c:v>
                </c:pt>
                <c:pt idx="6">
                  <c:v>0.1420933684564343</c:v>
                </c:pt>
                <c:pt idx="7">
                  <c:v>8.2523415149100998E-2</c:v>
                </c:pt>
              </c:numCache>
            </c:numRef>
          </c:val>
          <c:extLst xmlns:c16r2="http://schemas.microsoft.com/office/drawing/2015/06/chart">
            <c:ext xmlns:c16="http://schemas.microsoft.com/office/drawing/2014/chart" uri="{C3380CC4-5D6E-409C-BE32-E72D297353CC}">
              <c16:uniqueId val="{00000001-66BF-475A-ABAA-30A8834F0F2D}"/>
            </c:ext>
          </c:extLst>
        </c:ser>
        <c:ser>
          <c:idx val="0"/>
          <c:order val="2"/>
          <c:tx>
            <c:strRef>
              <c:f>A_LM!$C$63</c:f>
              <c:strCache>
                <c:ptCount val="1"/>
                <c:pt idx="0">
                  <c:v>Stavebníctvo</c:v>
                </c:pt>
              </c:strCache>
            </c:strRef>
          </c:tx>
          <c:spPr>
            <a:solidFill>
              <a:srgbClr val="1F497D"/>
            </a:solidFill>
          </c:spPr>
          <c:invertIfNegative val="0"/>
          <c:cat>
            <c:strRef>
              <c:f>A_LM!$X$59:$AE$59</c:f>
              <c:strCache>
                <c:ptCount val="8"/>
                <c:pt idx="0">
                  <c:v>2016</c:v>
                </c:pt>
                <c:pt idx="1">
                  <c:v>2017</c:v>
                </c:pt>
                <c:pt idx="2">
                  <c:v>2018</c:v>
                </c:pt>
                <c:pt idx="3">
                  <c:v>2019</c:v>
                </c:pt>
                <c:pt idx="4">
                  <c:v>2020F</c:v>
                </c:pt>
                <c:pt idx="5">
                  <c:v>2021F</c:v>
                </c:pt>
                <c:pt idx="6">
                  <c:v>2022F</c:v>
                </c:pt>
                <c:pt idx="7">
                  <c:v>2023F</c:v>
                </c:pt>
              </c:strCache>
            </c:strRef>
          </c:cat>
          <c:val>
            <c:numRef>
              <c:f>A_LM!$X$63:$AE$63</c:f>
              <c:numCache>
                <c:formatCode>0.0</c:formatCode>
                <c:ptCount val="8"/>
                <c:pt idx="0">
                  <c:v>0.11834517887854157</c:v>
                </c:pt>
                <c:pt idx="1">
                  <c:v>0.16682112269064486</c:v>
                </c:pt>
                <c:pt idx="2">
                  <c:v>0.16638170585299286</c:v>
                </c:pt>
                <c:pt idx="3">
                  <c:v>0.33538548255260098</c:v>
                </c:pt>
                <c:pt idx="4" formatCode="0.00">
                  <c:v>-0.56022192736127663</c:v>
                </c:pt>
                <c:pt idx="5">
                  <c:v>0.38394492382451484</c:v>
                </c:pt>
                <c:pt idx="6">
                  <c:v>7.3444864579578703E-2</c:v>
                </c:pt>
                <c:pt idx="7">
                  <c:v>4.2654496238001528E-2</c:v>
                </c:pt>
              </c:numCache>
            </c:numRef>
          </c:val>
          <c:extLst xmlns:c16r2="http://schemas.microsoft.com/office/drawing/2015/06/chart">
            <c:ext xmlns:c16="http://schemas.microsoft.com/office/drawing/2014/chart" uri="{C3380CC4-5D6E-409C-BE32-E72D297353CC}">
              <c16:uniqueId val="{00000002-66BF-475A-ABAA-30A8834F0F2D}"/>
            </c:ext>
          </c:extLst>
        </c:ser>
        <c:ser>
          <c:idx val="1"/>
          <c:order val="3"/>
          <c:tx>
            <c:strRef>
              <c:f>A_LM!$C$64</c:f>
              <c:strCache>
                <c:ptCount val="1"/>
                <c:pt idx="0">
                  <c:v>Verejná správa</c:v>
                </c:pt>
              </c:strCache>
            </c:strRef>
          </c:tx>
          <c:invertIfNegative val="0"/>
          <c:cat>
            <c:strRef>
              <c:f>A_LM!$X$59:$AE$59</c:f>
              <c:strCache>
                <c:ptCount val="8"/>
                <c:pt idx="0">
                  <c:v>2016</c:v>
                </c:pt>
                <c:pt idx="1">
                  <c:v>2017</c:v>
                </c:pt>
                <c:pt idx="2">
                  <c:v>2018</c:v>
                </c:pt>
                <c:pt idx="3">
                  <c:v>2019</c:v>
                </c:pt>
                <c:pt idx="4">
                  <c:v>2020F</c:v>
                </c:pt>
                <c:pt idx="5">
                  <c:v>2021F</c:v>
                </c:pt>
                <c:pt idx="6">
                  <c:v>2022F</c:v>
                </c:pt>
                <c:pt idx="7">
                  <c:v>2023F</c:v>
                </c:pt>
              </c:strCache>
            </c:strRef>
          </c:cat>
          <c:val>
            <c:numRef>
              <c:f>A_LM!$X$64:$AE$64</c:f>
              <c:numCache>
                <c:formatCode>0.0</c:formatCode>
                <c:ptCount val="8"/>
                <c:pt idx="0">
                  <c:v>0.23492598684573368</c:v>
                </c:pt>
                <c:pt idx="1">
                  <c:v>0.23674640216557277</c:v>
                </c:pt>
                <c:pt idx="2">
                  <c:v>0.17894358787584497</c:v>
                </c:pt>
                <c:pt idx="3">
                  <c:v>0.32212048256499476</c:v>
                </c:pt>
                <c:pt idx="4" formatCode="0.00">
                  <c:v>2.1541069275245392E-4</c:v>
                </c:pt>
                <c:pt idx="5">
                  <c:v>2.1953176495361045E-2</c:v>
                </c:pt>
                <c:pt idx="6">
                  <c:v>9.2962804097539795E-3</c:v>
                </c:pt>
                <c:pt idx="7">
                  <c:v>1.0382311461082025E-2</c:v>
                </c:pt>
              </c:numCache>
            </c:numRef>
          </c:val>
          <c:extLst xmlns:c16r2="http://schemas.microsoft.com/office/drawing/2015/06/chart">
            <c:ext xmlns:c16="http://schemas.microsoft.com/office/drawing/2014/chart" uri="{C3380CC4-5D6E-409C-BE32-E72D297353CC}">
              <c16:uniqueId val="{00000003-66BF-475A-ABAA-30A8834F0F2D}"/>
            </c:ext>
          </c:extLst>
        </c:ser>
        <c:ser>
          <c:idx val="2"/>
          <c:order val="4"/>
          <c:tx>
            <c:strRef>
              <c:f>A_LM!$C$65</c:f>
              <c:strCache>
                <c:ptCount val="1"/>
                <c:pt idx="0">
                  <c:v>Služby</c:v>
                </c:pt>
              </c:strCache>
            </c:strRef>
          </c:tx>
          <c:invertIfNegative val="0"/>
          <c:cat>
            <c:strRef>
              <c:f>A_LM!$X$59:$AE$59</c:f>
              <c:strCache>
                <c:ptCount val="8"/>
                <c:pt idx="0">
                  <c:v>2016</c:v>
                </c:pt>
                <c:pt idx="1">
                  <c:v>2017</c:v>
                </c:pt>
                <c:pt idx="2">
                  <c:v>2018</c:v>
                </c:pt>
                <c:pt idx="3">
                  <c:v>2019</c:v>
                </c:pt>
                <c:pt idx="4">
                  <c:v>2020F</c:v>
                </c:pt>
                <c:pt idx="5">
                  <c:v>2021F</c:v>
                </c:pt>
                <c:pt idx="6">
                  <c:v>2022F</c:v>
                </c:pt>
                <c:pt idx="7">
                  <c:v>2023F</c:v>
                </c:pt>
              </c:strCache>
            </c:strRef>
          </c:cat>
          <c:val>
            <c:numRef>
              <c:f>A_LM!$X$65:$AE$65</c:f>
              <c:numCache>
                <c:formatCode>0.0</c:formatCode>
                <c:ptCount val="8"/>
                <c:pt idx="0">
                  <c:v>1.2600254863378058</c:v>
                </c:pt>
                <c:pt idx="1">
                  <c:v>0.94280646380148858</c:v>
                </c:pt>
                <c:pt idx="2">
                  <c:v>1.2429518567979216</c:v>
                </c:pt>
                <c:pt idx="3">
                  <c:v>0.62316573150482646</c:v>
                </c:pt>
                <c:pt idx="4">
                  <c:v>-1.5874493670295777</c:v>
                </c:pt>
                <c:pt idx="5">
                  <c:v>0.40411167068975734</c:v>
                </c:pt>
                <c:pt idx="6">
                  <c:v>0.74963921285795276</c:v>
                </c:pt>
                <c:pt idx="7">
                  <c:v>0.13676366166990389</c:v>
                </c:pt>
              </c:numCache>
            </c:numRef>
          </c:val>
          <c:extLst xmlns:c16r2="http://schemas.microsoft.com/office/drawing/2015/06/chart">
            <c:ext xmlns:c16="http://schemas.microsoft.com/office/drawing/2014/chart" uri="{C3380CC4-5D6E-409C-BE32-E72D297353CC}">
              <c16:uniqueId val="{00000004-66BF-475A-ABAA-30A8834F0F2D}"/>
            </c:ext>
          </c:extLst>
        </c:ser>
        <c:dLbls>
          <c:showLegendKey val="0"/>
          <c:showVal val="0"/>
          <c:showCatName val="0"/>
          <c:showSerName val="0"/>
          <c:showPercent val="0"/>
          <c:showBubbleSize val="0"/>
        </c:dLbls>
        <c:gapWidth val="150"/>
        <c:overlap val="100"/>
        <c:axId val="112428920"/>
        <c:axId val="111105488"/>
      </c:barChart>
      <c:lineChart>
        <c:grouping val="standard"/>
        <c:varyColors val="0"/>
        <c:ser>
          <c:idx val="3"/>
          <c:order val="5"/>
          <c:tx>
            <c:strRef>
              <c:f>A_LM!$C$60</c:f>
              <c:strCache>
                <c:ptCount val="1"/>
                <c:pt idx="0">
                  <c:v>Zamestnanosť</c:v>
                </c:pt>
              </c:strCache>
            </c:strRef>
          </c:tx>
          <c:spPr>
            <a:ln w="19050">
              <a:solidFill>
                <a:sysClr val="windowText" lastClr="000000"/>
              </a:solidFill>
            </a:ln>
          </c:spPr>
          <c:marker>
            <c:symbol val="none"/>
          </c:marker>
          <c:cat>
            <c:strRef>
              <c:f>A_LM!$X$59:$AE$59</c:f>
              <c:strCache>
                <c:ptCount val="8"/>
                <c:pt idx="0">
                  <c:v>2016</c:v>
                </c:pt>
                <c:pt idx="1">
                  <c:v>2017</c:v>
                </c:pt>
                <c:pt idx="2">
                  <c:v>2018</c:v>
                </c:pt>
                <c:pt idx="3">
                  <c:v>2019</c:v>
                </c:pt>
                <c:pt idx="4">
                  <c:v>2020F</c:v>
                </c:pt>
                <c:pt idx="5">
                  <c:v>2021F</c:v>
                </c:pt>
                <c:pt idx="6">
                  <c:v>2022F</c:v>
                </c:pt>
                <c:pt idx="7">
                  <c:v>2023F</c:v>
                </c:pt>
              </c:strCache>
            </c:strRef>
          </c:cat>
          <c:val>
            <c:numRef>
              <c:f>A_LM!$X$60:$AE$60</c:f>
              <c:numCache>
                <c:formatCode>0.0</c:formatCode>
                <c:ptCount val="8"/>
                <c:pt idx="0">
                  <c:v>2.3797834852236246</c:v>
                </c:pt>
                <c:pt idx="1">
                  <c:v>2.206200730790254</c:v>
                </c:pt>
                <c:pt idx="2">
                  <c:v>2.0084678887944718</c:v>
                </c:pt>
                <c:pt idx="3">
                  <c:v>1.2470752947846599</c:v>
                </c:pt>
                <c:pt idx="4">
                  <c:v>-3.6045240362050182</c:v>
                </c:pt>
                <c:pt idx="5">
                  <c:v>1.6256933564942728</c:v>
                </c:pt>
                <c:pt idx="6">
                  <c:v>1.0085247692128854</c:v>
                </c:pt>
                <c:pt idx="7">
                  <c:v>0.25376234276512966</c:v>
                </c:pt>
              </c:numCache>
            </c:numRef>
          </c:val>
          <c:smooth val="0"/>
          <c:extLst xmlns:c16r2="http://schemas.microsoft.com/office/drawing/2015/06/chart">
            <c:ext xmlns:c16="http://schemas.microsoft.com/office/drawing/2014/chart" uri="{C3380CC4-5D6E-409C-BE32-E72D297353CC}">
              <c16:uniqueId val="{00000005-66BF-475A-ABAA-30A8834F0F2D}"/>
            </c:ext>
          </c:extLst>
        </c:ser>
        <c:dLbls>
          <c:showLegendKey val="0"/>
          <c:showVal val="0"/>
          <c:showCatName val="0"/>
          <c:showSerName val="0"/>
          <c:showPercent val="0"/>
          <c:showBubbleSize val="0"/>
        </c:dLbls>
        <c:marker val="1"/>
        <c:smooth val="0"/>
        <c:axId val="112428920"/>
        <c:axId val="111105488"/>
      </c:lineChart>
      <c:catAx>
        <c:axId val="112428920"/>
        <c:scaling>
          <c:orientation val="minMax"/>
        </c:scaling>
        <c:delete val="0"/>
        <c:axPos val="b"/>
        <c:numFmt formatCode="General" sourceLinked="1"/>
        <c:majorTickMark val="out"/>
        <c:minorTickMark val="none"/>
        <c:tickLblPos val="low"/>
        <c:crossAx val="111105488"/>
        <c:crosses val="autoZero"/>
        <c:auto val="1"/>
        <c:lblAlgn val="ctr"/>
        <c:lblOffset val="100"/>
        <c:noMultiLvlLbl val="0"/>
      </c:catAx>
      <c:valAx>
        <c:axId val="111105488"/>
        <c:scaling>
          <c:orientation val="minMax"/>
        </c:scaling>
        <c:delete val="0"/>
        <c:axPos val="l"/>
        <c:majorGridlines>
          <c:spPr>
            <a:ln>
              <a:solidFill>
                <a:schemeClr val="bg1">
                  <a:lumMod val="75000"/>
                </a:schemeClr>
              </a:solidFill>
              <a:prstDash val="dash"/>
            </a:ln>
          </c:spPr>
        </c:majorGridlines>
        <c:numFmt formatCode="#,##0" sourceLinked="0"/>
        <c:majorTickMark val="out"/>
        <c:minorTickMark val="none"/>
        <c:tickLblPos val="nextTo"/>
        <c:crossAx val="112428920"/>
        <c:crosses val="autoZero"/>
        <c:crossBetween val="between"/>
      </c:valAx>
    </c:plotArea>
    <c:legend>
      <c:legendPos val="r"/>
      <c:layout>
        <c:manualLayout>
          <c:xMode val="edge"/>
          <c:yMode val="edge"/>
          <c:x val="8.10813126712603E-2"/>
          <c:y val="0.45312147358825655"/>
          <c:w val="0.39160216754310961"/>
          <c:h val="0.40506788326731807"/>
        </c:manualLayout>
      </c:layout>
      <c:overlay val="0"/>
    </c:legend>
    <c:plotVisOnly val="1"/>
    <c:dispBlanksAs val="gap"/>
    <c:showDLblsOverMax val="0"/>
  </c:chart>
  <c:spPr>
    <a:ln>
      <a:noFill/>
    </a:ln>
  </c:spPr>
  <c:txPr>
    <a:bodyPr/>
    <a:lstStyle/>
    <a:p>
      <a:pPr>
        <a:defRPr sz="800">
          <a:latin typeface="Arial Narrow" panose="020B0606020202030204" pitchFamily="34"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679777191692E-2"/>
          <c:y val="8.5242482034935022E-2"/>
          <c:w val="0.89093095636884034"/>
          <c:h val="0.75584386814033566"/>
        </c:manualLayout>
      </c:layout>
      <c:barChart>
        <c:barDir val="col"/>
        <c:grouping val="stacked"/>
        <c:varyColors val="0"/>
        <c:ser>
          <c:idx val="5"/>
          <c:order val="0"/>
          <c:tx>
            <c:strRef>
              <c:f>'Graf 3+4'!$I$5</c:f>
              <c:strCache>
                <c:ptCount val="1"/>
                <c:pt idx="0">
                  <c:v>Tovary</c:v>
                </c:pt>
              </c:strCache>
            </c:strRef>
          </c:tx>
          <c:spPr>
            <a:solidFill>
              <a:srgbClr val="2C9ADC"/>
            </a:solidFill>
          </c:spPr>
          <c:invertIfNegative val="0"/>
          <c:cat>
            <c:strRef>
              <c:f>'Graf 3+4'!$S$4:$X$4</c:f>
              <c:strCache>
                <c:ptCount val="6"/>
                <c:pt idx="0">
                  <c:v>2018</c:v>
                </c:pt>
                <c:pt idx="1">
                  <c:v>2019F</c:v>
                </c:pt>
                <c:pt idx="2">
                  <c:v>2020F</c:v>
                </c:pt>
                <c:pt idx="3">
                  <c:v>2021F</c:v>
                </c:pt>
                <c:pt idx="4">
                  <c:v>2022F</c:v>
                </c:pt>
                <c:pt idx="5">
                  <c:v>2023F</c:v>
                </c:pt>
              </c:strCache>
            </c:strRef>
          </c:cat>
          <c:val>
            <c:numRef>
              <c:f>'Graf 3+4'!$S$5:$X$5</c:f>
              <c:numCache>
                <c:formatCode>0.0</c:formatCode>
                <c:ptCount val="6"/>
                <c:pt idx="0">
                  <c:v>-0.24526685241367555</c:v>
                </c:pt>
                <c:pt idx="1">
                  <c:v>-0.77735903444328813</c:v>
                </c:pt>
                <c:pt idx="2">
                  <c:v>3.6055517126811258</c:v>
                </c:pt>
                <c:pt idx="3">
                  <c:v>2.6700133703974571</c:v>
                </c:pt>
                <c:pt idx="4">
                  <c:v>2.8914714527693657</c:v>
                </c:pt>
                <c:pt idx="5">
                  <c:v>2.3112956272920071</c:v>
                </c:pt>
              </c:numCache>
            </c:numRef>
          </c:val>
          <c:extLst xmlns:c16r2="http://schemas.microsoft.com/office/drawing/2015/06/chart">
            <c:ext xmlns:c16="http://schemas.microsoft.com/office/drawing/2014/chart" uri="{C3380CC4-5D6E-409C-BE32-E72D297353CC}">
              <c16:uniqueId val="{00000000-49C5-4097-9BEB-240D97A3F50F}"/>
            </c:ext>
          </c:extLst>
        </c:ser>
        <c:ser>
          <c:idx val="8"/>
          <c:order val="1"/>
          <c:tx>
            <c:strRef>
              <c:f>'Graf 3+4'!$I$6</c:f>
              <c:strCache>
                <c:ptCount val="1"/>
                <c:pt idx="0">
                  <c:v>Služby</c:v>
                </c:pt>
              </c:strCache>
            </c:strRef>
          </c:tx>
          <c:spPr>
            <a:solidFill>
              <a:schemeClr val="tx2">
                <a:lumMod val="20000"/>
                <a:lumOff val="80000"/>
              </a:schemeClr>
            </a:solidFill>
            <a:ln>
              <a:noFill/>
            </a:ln>
          </c:spPr>
          <c:invertIfNegative val="0"/>
          <c:cat>
            <c:strRef>
              <c:f>'Graf 3+4'!$S$4:$X$4</c:f>
              <c:strCache>
                <c:ptCount val="6"/>
                <c:pt idx="0">
                  <c:v>2018</c:v>
                </c:pt>
                <c:pt idx="1">
                  <c:v>2019F</c:v>
                </c:pt>
                <c:pt idx="2">
                  <c:v>2020F</c:v>
                </c:pt>
                <c:pt idx="3">
                  <c:v>2021F</c:v>
                </c:pt>
                <c:pt idx="4">
                  <c:v>2022F</c:v>
                </c:pt>
                <c:pt idx="5">
                  <c:v>2023F</c:v>
                </c:pt>
              </c:strCache>
            </c:strRef>
          </c:cat>
          <c:val>
            <c:numRef>
              <c:f>'Graf 3+4'!$S$6:$X$6</c:f>
              <c:numCache>
                <c:formatCode>0.0</c:formatCode>
                <c:ptCount val="6"/>
                <c:pt idx="0">
                  <c:v>1.0307710591731194</c:v>
                </c:pt>
                <c:pt idx="1">
                  <c:v>1.081395861972654</c:v>
                </c:pt>
                <c:pt idx="2">
                  <c:v>1.2183644547744257</c:v>
                </c:pt>
                <c:pt idx="3">
                  <c:v>1.1726716064589062</c:v>
                </c:pt>
                <c:pt idx="4">
                  <c:v>1.217789074620347</c:v>
                </c:pt>
                <c:pt idx="5">
                  <c:v>1.1440786172100041</c:v>
                </c:pt>
              </c:numCache>
            </c:numRef>
          </c:val>
          <c:extLst xmlns:c16r2="http://schemas.microsoft.com/office/drawing/2015/06/chart">
            <c:ext xmlns:c16="http://schemas.microsoft.com/office/drawing/2014/chart" uri="{C3380CC4-5D6E-409C-BE32-E72D297353CC}">
              <c16:uniqueId val="{00000001-49C5-4097-9BEB-240D97A3F50F}"/>
            </c:ext>
          </c:extLst>
        </c:ser>
        <c:ser>
          <c:idx val="0"/>
          <c:order val="2"/>
          <c:tx>
            <c:strRef>
              <c:f>'Graf 3+4'!$I$7</c:f>
              <c:strCache>
                <c:ptCount val="1"/>
                <c:pt idx="0">
                  <c:v>Primárne výnosy</c:v>
                </c:pt>
              </c:strCache>
            </c:strRef>
          </c:tx>
          <c:invertIfNegative val="0"/>
          <c:cat>
            <c:strRef>
              <c:f>'Graf 3+4'!$S$4:$X$4</c:f>
              <c:strCache>
                <c:ptCount val="6"/>
                <c:pt idx="0">
                  <c:v>2018</c:v>
                </c:pt>
                <c:pt idx="1">
                  <c:v>2019F</c:v>
                </c:pt>
                <c:pt idx="2">
                  <c:v>2020F</c:v>
                </c:pt>
                <c:pt idx="3">
                  <c:v>2021F</c:v>
                </c:pt>
                <c:pt idx="4">
                  <c:v>2022F</c:v>
                </c:pt>
                <c:pt idx="5">
                  <c:v>2023F</c:v>
                </c:pt>
              </c:strCache>
            </c:strRef>
          </c:cat>
          <c:val>
            <c:numRef>
              <c:f>'Graf 3+4'!$S$7:$X$7</c:f>
              <c:numCache>
                <c:formatCode>0.0</c:formatCode>
                <c:ptCount val="6"/>
                <c:pt idx="0">
                  <c:v>-2.0449268259621083</c:v>
                </c:pt>
                <c:pt idx="1">
                  <c:v>-2.1375962007218581</c:v>
                </c:pt>
                <c:pt idx="2">
                  <c:v>-1</c:v>
                </c:pt>
                <c:pt idx="3">
                  <c:v>-2</c:v>
                </c:pt>
                <c:pt idx="4">
                  <c:v>-2.2999999999999998</c:v>
                </c:pt>
                <c:pt idx="5">
                  <c:v>-2.5</c:v>
                </c:pt>
              </c:numCache>
            </c:numRef>
          </c:val>
          <c:extLst xmlns:c16r2="http://schemas.microsoft.com/office/drawing/2015/06/chart">
            <c:ext xmlns:c16="http://schemas.microsoft.com/office/drawing/2014/chart" uri="{C3380CC4-5D6E-409C-BE32-E72D297353CC}">
              <c16:uniqueId val="{00000002-49C5-4097-9BEB-240D97A3F50F}"/>
            </c:ext>
          </c:extLst>
        </c:ser>
        <c:ser>
          <c:idx val="1"/>
          <c:order val="3"/>
          <c:tx>
            <c:strRef>
              <c:f>'Graf 3+4'!$I$8</c:f>
              <c:strCache>
                <c:ptCount val="1"/>
                <c:pt idx="0">
                  <c:v>Sekundárne výnosy</c:v>
                </c:pt>
              </c:strCache>
            </c:strRef>
          </c:tx>
          <c:invertIfNegative val="0"/>
          <c:cat>
            <c:strRef>
              <c:f>'Graf 3+4'!$S$4:$X$4</c:f>
              <c:strCache>
                <c:ptCount val="6"/>
                <c:pt idx="0">
                  <c:v>2018</c:v>
                </c:pt>
                <c:pt idx="1">
                  <c:v>2019F</c:v>
                </c:pt>
                <c:pt idx="2">
                  <c:v>2020F</c:v>
                </c:pt>
                <c:pt idx="3">
                  <c:v>2021F</c:v>
                </c:pt>
                <c:pt idx="4">
                  <c:v>2022F</c:v>
                </c:pt>
                <c:pt idx="5">
                  <c:v>2023F</c:v>
                </c:pt>
              </c:strCache>
            </c:strRef>
          </c:cat>
          <c:val>
            <c:numRef>
              <c:f>'Graf 3+4'!$S$8:$X$8</c:f>
              <c:numCache>
                <c:formatCode>0.0</c:formatCode>
                <c:ptCount val="6"/>
                <c:pt idx="0">
                  <c:v>-1.3826200546380685</c:v>
                </c:pt>
                <c:pt idx="1">
                  <c:v>-1.1120543935503269</c:v>
                </c:pt>
                <c:pt idx="2">
                  <c:v>-1.5</c:v>
                </c:pt>
                <c:pt idx="3">
                  <c:v>-1.5</c:v>
                </c:pt>
                <c:pt idx="4">
                  <c:v>-1.5</c:v>
                </c:pt>
                <c:pt idx="5">
                  <c:v>-1.5</c:v>
                </c:pt>
              </c:numCache>
            </c:numRef>
          </c:val>
          <c:extLst xmlns:c16r2="http://schemas.microsoft.com/office/drawing/2015/06/chart">
            <c:ext xmlns:c16="http://schemas.microsoft.com/office/drawing/2014/chart" uri="{C3380CC4-5D6E-409C-BE32-E72D297353CC}">
              <c16:uniqueId val="{00000003-49C5-4097-9BEB-240D97A3F50F}"/>
            </c:ext>
          </c:extLst>
        </c:ser>
        <c:dLbls>
          <c:showLegendKey val="0"/>
          <c:showVal val="0"/>
          <c:showCatName val="0"/>
          <c:showSerName val="0"/>
          <c:showPercent val="0"/>
          <c:showBubbleSize val="0"/>
        </c:dLbls>
        <c:gapWidth val="150"/>
        <c:overlap val="100"/>
        <c:axId val="112294320"/>
        <c:axId val="112294712"/>
      </c:barChart>
      <c:lineChart>
        <c:grouping val="standard"/>
        <c:varyColors val="0"/>
        <c:ser>
          <c:idx val="3"/>
          <c:order val="4"/>
          <c:tx>
            <c:strRef>
              <c:f>'Graf 3+4'!$I$9</c:f>
              <c:strCache>
                <c:ptCount val="1"/>
                <c:pt idx="0">
                  <c:v>BÚ PB</c:v>
                </c:pt>
              </c:strCache>
            </c:strRef>
          </c:tx>
          <c:spPr>
            <a:ln w="19050">
              <a:solidFill>
                <a:sysClr val="windowText" lastClr="000000"/>
              </a:solidFill>
            </a:ln>
          </c:spPr>
          <c:marker>
            <c:symbol val="none"/>
          </c:marker>
          <c:cat>
            <c:strRef>
              <c:f>'Graf 3+4'!$S$4:$X$4</c:f>
              <c:strCache>
                <c:ptCount val="6"/>
                <c:pt idx="0">
                  <c:v>2018</c:v>
                </c:pt>
                <c:pt idx="1">
                  <c:v>2019F</c:v>
                </c:pt>
                <c:pt idx="2">
                  <c:v>2020F</c:v>
                </c:pt>
                <c:pt idx="3">
                  <c:v>2021F</c:v>
                </c:pt>
                <c:pt idx="4">
                  <c:v>2022F</c:v>
                </c:pt>
                <c:pt idx="5">
                  <c:v>2023F</c:v>
                </c:pt>
              </c:strCache>
            </c:strRef>
          </c:cat>
          <c:val>
            <c:numRef>
              <c:f>'Graf 3+4'!$S$9:$X$9</c:f>
              <c:numCache>
                <c:formatCode>0.0</c:formatCode>
                <c:ptCount val="6"/>
                <c:pt idx="0">
                  <c:v>-2.642042673840733</c:v>
                </c:pt>
                <c:pt idx="1">
                  <c:v>-2.9456137667428193</c:v>
                </c:pt>
                <c:pt idx="2">
                  <c:v>2.3239161674555517</c:v>
                </c:pt>
                <c:pt idx="3">
                  <c:v>0.34268497685636329</c:v>
                </c:pt>
                <c:pt idx="4">
                  <c:v>0.3092605273897126</c:v>
                </c:pt>
                <c:pt idx="5">
                  <c:v>-0.54462575549798875</c:v>
                </c:pt>
              </c:numCache>
            </c:numRef>
          </c:val>
          <c:smooth val="0"/>
          <c:extLst xmlns:c16r2="http://schemas.microsoft.com/office/drawing/2015/06/chart">
            <c:ext xmlns:c16="http://schemas.microsoft.com/office/drawing/2014/chart" uri="{C3380CC4-5D6E-409C-BE32-E72D297353CC}">
              <c16:uniqueId val="{00000004-49C5-4097-9BEB-240D97A3F50F}"/>
            </c:ext>
          </c:extLst>
        </c:ser>
        <c:dLbls>
          <c:showLegendKey val="0"/>
          <c:showVal val="0"/>
          <c:showCatName val="0"/>
          <c:showSerName val="0"/>
          <c:showPercent val="0"/>
          <c:showBubbleSize val="0"/>
        </c:dLbls>
        <c:marker val="1"/>
        <c:smooth val="0"/>
        <c:axId val="112294320"/>
        <c:axId val="112294712"/>
      </c:lineChart>
      <c:catAx>
        <c:axId val="112294320"/>
        <c:scaling>
          <c:orientation val="minMax"/>
        </c:scaling>
        <c:delete val="0"/>
        <c:axPos val="b"/>
        <c:numFmt formatCode="General" sourceLinked="1"/>
        <c:majorTickMark val="out"/>
        <c:minorTickMark val="none"/>
        <c:tickLblPos val="low"/>
        <c:txPr>
          <a:bodyPr/>
          <a:lstStyle/>
          <a:p>
            <a:pPr>
              <a:defRPr sz="800"/>
            </a:pPr>
            <a:endParaRPr lang="sk-SK"/>
          </a:p>
        </c:txPr>
        <c:crossAx val="112294712"/>
        <c:crosses val="autoZero"/>
        <c:auto val="1"/>
        <c:lblAlgn val="ctr"/>
        <c:lblOffset val="100"/>
        <c:noMultiLvlLbl val="0"/>
      </c:catAx>
      <c:valAx>
        <c:axId val="112294712"/>
        <c:scaling>
          <c:orientation val="minMax"/>
          <c:max val="6"/>
          <c:min val="-5"/>
        </c:scaling>
        <c:delete val="0"/>
        <c:axPos val="l"/>
        <c:majorGridlines>
          <c:spPr>
            <a:ln>
              <a:solidFill>
                <a:schemeClr val="bg1">
                  <a:lumMod val="75000"/>
                </a:schemeClr>
              </a:solidFill>
              <a:prstDash val="dash"/>
            </a:ln>
          </c:spPr>
        </c:majorGridlines>
        <c:numFmt formatCode="0.0" sourceLinked="0"/>
        <c:majorTickMark val="out"/>
        <c:minorTickMark val="none"/>
        <c:tickLblPos val="nextTo"/>
        <c:txPr>
          <a:bodyPr/>
          <a:lstStyle/>
          <a:p>
            <a:pPr>
              <a:defRPr sz="800"/>
            </a:pPr>
            <a:endParaRPr lang="sk-SK"/>
          </a:p>
        </c:txPr>
        <c:crossAx val="112294320"/>
        <c:crosses val="autoZero"/>
        <c:crossBetween val="between"/>
        <c:majorUnit val="1"/>
      </c:valAx>
    </c:plotArea>
    <c:legend>
      <c:legendPos val="b"/>
      <c:layout>
        <c:manualLayout>
          <c:xMode val="edge"/>
          <c:yMode val="edge"/>
          <c:x val="7.2660898376296121E-2"/>
          <c:y val="1.1594789183462156E-2"/>
          <c:w val="0.9104445974671419"/>
          <c:h val="0.2116468010306051"/>
        </c:manualLayout>
      </c:layout>
      <c:overlay val="0"/>
      <c:txPr>
        <a:bodyPr/>
        <a:lstStyle/>
        <a:p>
          <a:pPr>
            <a:defRPr sz="600"/>
          </a:pPr>
          <a:endParaRPr lang="sk-SK"/>
        </a:p>
      </c:txPr>
    </c:legend>
    <c:plotVisOnly val="1"/>
    <c:dispBlanksAs val="gap"/>
    <c:showDLblsOverMax val="0"/>
  </c:chart>
  <c:spPr>
    <a:ln>
      <a:noFill/>
    </a:ln>
  </c:spPr>
  <c:txPr>
    <a:bodyPr/>
    <a:lstStyle/>
    <a:p>
      <a:pPr>
        <a:defRPr>
          <a:latin typeface="Arial Narrow" pitchFamily="34" charset="0"/>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98591299275993E-2"/>
          <c:y val="5.9986353855937424E-2"/>
          <c:w val="0.8809365133706113"/>
          <c:h val="0.83395502440461289"/>
        </c:manualLayout>
      </c:layout>
      <c:barChart>
        <c:barDir val="col"/>
        <c:grouping val="stacked"/>
        <c:varyColors val="0"/>
        <c:ser>
          <c:idx val="1"/>
          <c:order val="1"/>
          <c:tx>
            <c:strRef>
              <c:f>'Graf 3+4'!$I$15</c:f>
              <c:strCache>
                <c:ptCount val="1"/>
                <c:pt idx="0">
                  <c:v>Čistá inflácia</c:v>
                </c:pt>
              </c:strCache>
            </c:strRef>
          </c:tx>
          <c:spPr>
            <a:solidFill>
              <a:srgbClr val="2C9ADC"/>
            </a:solidFill>
            <a:ln>
              <a:noFill/>
            </a:ln>
            <a:effectLst/>
          </c:spPr>
          <c:invertIfNegative val="0"/>
          <c:cat>
            <c:strRef>
              <c:f>'Graf 3+4'!$M$13:$R$13</c:f>
              <c:strCache>
                <c:ptCount val="6"/>
                <c:pt idx="0">
                  <c:v>2018</c:v>
                </c:pt>
                <c:pt idx="1">
                  <c:v>2019F</c:v>
                </c:pt>
                <c:pt idx="2">
                  <c:v>2020F</c:v>
                </c:pt>
                <c:pt idx="3">
                  <c:v>2021F</c:v>
                </c:pt>
                <c:pt idx="4">
                  <c:v>2022F</c:v>
                </c:pt>
                <c:pt idx="5">
                  <c:v>2023F</c:v>
                </c:pt>
              </c:strCache>
            </c:strRef>
          </c:cat>
          <c:val>
            <c:numRef>
              <c:f>'Graf 3+4'!$M$15:$R$15</c:f>
              <c:numCache>
                <c:formatCode>0.0</c:formatCode>
                <c:ptCount val="6"/>
                <c:pt idx="0">
                  <c:v>1.5497173777771458</c:v>
                </c:pt>
                <c:pt idx="1">
                  <c:v>1.2185254175451707</c:v>
                </c:pt>
                <c:pt idx="2">
                  <c:v>0.79011048738409773</c:v>
                </c:pt>
                <c:pt idx="3">
                  <c:v>0.64672439851462082</c:v>
                </c:pt>
                <c:pt idx="4">
                  <c:v>1.1292353440020058</c:v>
                </c:pt>
                <c:pt idx="5">
                  <c:v>1.5077644720562815</c:v>
                </c:pt>
              </c:numCache>
            </c:numRef>
          </c:val>
          <c:extLst xmlns:c16r2="http://schemas.microsoft.com/office/drawing/2015/06/chart">
            <c:ext xmlns:c16="http://schemas.microsoft.com/office/drawing/2014/chart" uri="{C3380CC4-5D6E-409C-BE32-E72D297353CC}">
              <c16:uniqueId val="{00000000-F78A-4BC1-B3EA-139BB76CDBD5}"/>
            </c:ext>
          </c:extLst>
        </c:ser>
        <c:ser>
          <c:idx val="2"/>
          <c:order val="2"/>
          <c:tx>
            <c:strRef>
              <c:f>'Graf 3+4'!$I$16</c:f>
              <c:strCache>
                <c:ptCount val="1"/>
                <c:pt idx="0">
                  <c:v>Ceny potravín</c:v>
                </c:pt>
              </c:strCache>
            </c:strRef>
          </c:tx>
          <c:spPr>
            <a:solidFill>
              <a:srgbClr val="555555"/>
            </a:solidFill>
            <a:ln>
              <a:noFill/>
            </a:ln>
            <a:effectLst/>
          </c:spPr>
          <c:invertIfNegative val="0"/>
          <c:cat>
            <c:strRef>
              <c:f>'Graf 3+4'!$M$13:$R$13</c:f>
              <c:strCache>
                <c:ptCount val="6"/>
                <c:pt idx="0">
                  <c:v>2018</c:v>
                </c:pt>
                <c:pt idx="1">
                  <c:v>2019F</c:v>
                </c:pt>
                <c:pt idx="2">
                  <c:v>2020F</c:v>
                </c:pt>
                <c:pt idx="3">
                  <c:v>2021F</c:v>
                </c:pt>
                <c:pt idx="4">
                  <c:v>2022F</c:v>
                </c:pt>
                <c:pt idx="5">
                  <c:v>2023F</c:v>
                </c:pt>
              </c:strCache>
            </c:strRef>
          </c:cat>
          <c:val>
            <c:numRef>
              <c:f>'Graf 3+4'!$M$16:$R$16</c:f>
              <c:numCache>
                <c:formatCode>0.0</c:formatCode>
                <c:ptCount val="6"/>
                <c:pt idx="0">
                  <c:v>0.67025021973269472</c:v>
                </c:pt>
                <c:pt idx="1">
                  <c:v>0.61927822466342519</c:v>
                </c:pt>
                <c:pt idx="2">
                  <c:v>0.51607710537289775</c:v>
                </c:pt>
                <c:pt idx="3">
                  <c:v>0.14773854514445611</c:v>
                </c:pt>
                <c:pt idx="4">
                  <c:v>0.36009949242178535</c:v>
                </c:pt>
                <c:pt idx="5">
                  <c:v>0.34317842079012839</c:v>
                </c:pt>
              </c:numCache>
            </c:numRef>
          </c:val>
          <c:extLst xmlns:c16r2="http://schemas.microsoft.com/office/drawing/2015/06/chart">
            <c:ext xmlns:c16="http://schemas.microsoft.com/office/drawing/2014/chart" uri="{C3380CC4-5D6E-409C-BE32-E72D297353CC}">
              <c16:uniqueId val="{00000001-F78A-4BC1-B3EA-139BB76CDBD5}"/>
            </c:ext>
          </c:extLst>
        </c:ser>
        <c:ser>
          <c:idx val="3"/>
          <c:order val="3"/>
          <c:tx>
            <c:strRef>
              <c:f>'Graf 3+4'!$I$17</c:f>
              <c:strCache>
                <c:ptCount val="1"/>
                <c:pt idx="0">
                  <c:v>Regulované ceny</c:v>
                </c:pt>
              </c:strCache>
            </c:strRef>
          </c:tx>
          <c:spPr>
            <a:solidFill>
              <a:srgbClr val="BDD7EE"/>
            </a:solidFill>
            <a:ln>
              <a:noFill/>
            </a:ln>
            <a:effectLst/>
          </c:spPr>
          <c:invertIfNegative val="0"/>
          <c:cat>
            <c:strRef>
              <c:f>'Graf 3+4'!$M$13:$R$13</c:f>
              <c:strCache>
                <c:ptCount val="6"/>
                <c:pt idx="0">
                  <c:v>2018</c:v>
                </c:pt>
                <c:pt idx="1">
                  <c:v>2019F</c:v>
                </c:pt>
                <c:pt idx="2">
                  <c:v>2020F</c:v>
                </c:pt>
                <c:pt idx="3">
                  <c:v>2021F</c:v>
                </c:pt>
                <c:pt idx="4">
                  <c:v>2022F</c:v>
                </c:pt>
                <c:pt idx="5">
                  <c:v>2023F</c:v>
                </c:pt>
              </c:strCache>
            </c:strRef>
          </c:cat>
          <c:val>
            <c:numRef>
              <c:f>'Graf 3+4'!$M$17:$R$17</c:f>
              <c:numCache>
                <c:formatCode>0.0</c:formatCode>
                <c:ptCount val="6"/>
                <c:pt idx="0">
                  <c:v>0.24111304014093335</c:v>
                </c:pt>
                <c:pt idx="1">
                  <c:v>0.7519161674717586</c:v>
                </c:pt>
                <c:pt idx="2">
                  <c:v>0.55493608995389854</c:v>
                </c:pt>
                <c:pt idx="3">
                  <c:v>-0.58110455819837237</c:v>
                </c:pt>
                <c:pt idx="4">
                  <c:v>0.45290057373941855</c:v>
                </c:pt>
                <c:pt idx="5">
                  <c:v>0.16665843247266129</c:v>
                </c:pt>
              </c:numCache>
            </c:numRef>
          </c:val>
          <c:extLst xmlns:c16r2="http://schemas.microsoft.com/office/drawing/2015/06/chart">
            <c:ext xmlns:c16="http://schemas.microsoft.com/office/drawing/2014/chart" uri="{C3380CC4-5D6E-409C-BE32-E72D297353CC}">
              <c16:uniqueId val="{00000002-F78A-4BC1-B3EA-139BB76CDBD5}"/>
            </c:ext>
          </c:extLst>
        </c:ser>
        <c:ser>
          <c:idx val="4"/>
          <c:order val="4"/>
          <c:tx>
            <c:strRef>
              <c:f>'Graf 3+4'!$I$18</c:f>
              <c:strCache>
                <c:ptCount val="1"/>
                <c:pt idx="0">
                  <c:v>Zmena nepriamych daní</c:v>
                </c:pt>
              </c:strCache>
            </c:strRef>
          </c:tx>
          <c:spPr>
            <a:solidFill>
              <a:srgbClr val="9E9E9E"/>
            </a:solidFill>
            <a:ln>
              <a:noFill/>
            </a:ln>
            <a:effectLst/>
          </c:spPr>
          <c:invertIfNegative val="0"/>
          <c:cat>
            <c:strRef>
              <c:f>'Graf 3+4'!$M$13:$R$13</c:f>
              <c:strCache>
                <c:ptCount val="6"/>
                <c:pt idx="0">
                  <c:v>2018</c:v>
                </c:pt>
                <c:pt idx="1">
                  <c:v>2019F</c:v>
                </c:pt>
                <c:pt idx="2">
                  <c:v>2020F</c:v>
                </c:pt>
                <c:pt idx="3">
                  <c:v>2021F</c:v>
                </c:pt>
                <c:pt idx="4">
                  <c:v>2022F</c:v>
                </c:pt>
                <c:pt idx="5">
                  <c:v>2023F</c:v>
                </c:pt>
              </c:strCache>
            </c:strRef>
          </c:cat>
          <c:val>
            <c:numRef>
              <c:f>'Graf 3+4'!$M$18:$R$18</c:f>
              <c:numCache>
                <c:formatCode>0.0</c:formatCode>
                <c:ptCount val="6"/>
                <c:pt idx="0">
                  <c:v>0</c:v>
                </c:pt>
                <c:pt idx="1">
                  <c:v>9.1765246584191357E-2</c:v>
                </c:pt>
                <c:pt idx="2">
                  <c:v>-0.19</c:v>
                </c:pt>
                <c:pt idx="3">
                  <c:v>0</c:v>
                </c:pt>
                <c:pt idx="4">
                  <c:v>0</c:v>
                </c:pt>
                <c:pt idx="5">
                  <c:v>0</c:v>
                </c:pt>
              </c:numCache>
            </c:numRef>
          </c:val>
          <c:extLst xmlns:c16r2="http://schemas.microsoft.com/office/drawing/2015/06/chart">
            <c:ext xmlns:c16="http://schemas.microsoft.com/office/drawing/2014/chart" uri="{C3380CC4-5D6E-409C-BE32-E72D297353CC}">
              <c16:uniqueId val="{00000000-B63D-461F-B7AE-EC2B06FD5989}"/>
            </c:ext>
          </c:extLst>
        </c:ser>
        <c:dLbls>
          <c:showLegendKey val="0"/>
          <c:showVal val="0"/>
          <c:showCatName val="0"/>
          <c:showSerName val="0"/>
          <c:showPercent val="0"/>
          <c:showBubbleSize val="0"/>
        </c:dLbls>
        <c:gapWidth val="150"/>
        <c:overlap val="100"/>
        <c:axId val="112295888"/>
        <c:axId val="112296280"/>
      </c:barChart>
      <c:lineChart>
        <c:grouping val="standard"/>
        <c:varyColors val="0"/>
        <c:ser>
          <c:idx val="0"/>
          <c:order val="0"/>
          <c:tx>
            <c:strRef>
              <c:f>'Graf 3+4'!$I$14</c:f>
              <c:strCache>
                <c:ptCount val="1"/>
                <c:pt idx="0">
                  <c:v>Celková inflácia</c:v>
                </c:pt>
              </c:strCache>
            </c:strRef>
          </c:tx>
          <c:spPr>
            <a:ln w="19050" cap="rnd">
              <a:solidFill>
                <a:schemeClr val="tx1"/>
              </a:solidFill>
              <a:round/>
            </a:ln>
            <a:effectLst/>
          </c:spPr>
          <c:marker>
            <c:symbol val="none"/>
          </c:marker>
          <c:cat>
            <c:strRef>
              <c:f>'Graf 3+4'!$M$13:$R$13</c:f>
              <c:strCache>
                <c:ptCount val="6"/>
                <c:pt idx="0">
                  <c:v>2018</c:v>
                </c:pt>
                <c:pt idx="1">
                  <c:v>2019F</c:v>
                </c:pt>
                <c:pt idx="2">
                  <c:v>2020F</c:v>
                </c:pt>
                <c:pt idx="3">
                  <c:v>2021F</c:v>
                </c:pt>
                <c:pt idx="4">
                  <c:v>2022F</c:v>
                </c:pt>
                <c:pt idx="5">
                  <c:v>2023F</c:v>
                </c:pt>
              </c:strCache>
            </c:strRef>
          </c:cat>
          <c:val>
            <c:numRef>
              <c:f>'Graf 3+4'!$M$14:$R$14</c:f>
              <c:numCache>
                <c:formatCode>0.0</c:formatCode>
                <c:ptCount val="6"/>
                <c:pt idx="0">
                  <c:v>2.4610806376507735</c:v>
                </c:pt>
                <c:pt idx="1">
                  <c:v>2.6814850562645458</c:v>
                </c:pt>
                <c:pt idx="2">
                  <c:v>1.6911236827108942</c:v>
                </c:pt>
                <c:pt idx="3">
                  <c:v>0.21335838546070451</c:v>
                </c:pt>
                <c:pt idx="4">
                  <c:v>1.9422354101632096</c:v>
                </c:pt>
                <c:pt idx="5">
                  <c:v>2.0176013253190712</c:v>
                </c:pt>
              </c:numCache>
            </c:numRef>
          </c:val>
          <c:smooth val="0"/>
          <c:extLst xmlns:c16r2="http://schemas.microsoft.com/office/drawing/2015/06/chart">
            <c:ext xmlns:c16="http://schemas.microsoft.com/office/drawing/2014/chart" uri="{C3380CC4-5D6E-409C-BE32-E72D297353CC}">
              <c16:uniqueId val="{00000003-F78A-4BC1-B3EA-139BB76CDBD5}"/>
            </c:ext>
          </c:extLst>
        </c:ser>
        <c:dLbls>
          <c:showLegendKey val="0"/>
          <c:showVal val="0"/>
          <c:showCatName val="0"/>
          <c:showSerName val="0"/>
          <c:showPercent val="0"/>
          <c:showBubbleSize val="0"/>
        </c:dLbls>
        <c:marker val="1"/>
        <c:smooth val="0"/>
        <c:axId val="112295888"/>
        <c:axId val="112296280"/>
      </c:lineChart>
      <c:catAx>
        <c:axId val="112295888"/>
        <c:scaling>
          <c:orientation val="minMax"/>
        </c:scaling>
        <c:delete val="0"/>
        <c:axPos val="b"/>
        <c:numFmt formatCode="General" sourceLinked="1"/>
        <c:majorTickMark val="none"/>
        <c:minorTickMark val="none"/>
        <c:tickLblPos val="low"/>
        <c:spPr>
          <a:noFill/>
          <a:ln w="63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12296280"/>
        <c:crosses val="autoZero"/>
        <c:auto val="1"/>
        <c:lblAlgn val="ctr"/>
        <c:lblOffset val="100"/>
        <c:noMultiLvlLbl val="0"/>
      </c:catAx>
      <c:valAx>
        <c:axId val="112296280"/>
        <c:scaling>
          <c:orientation val="minMax"/>
        </c:scaling>
        <c:delete val="0"/>
        <c:axPos val="l"/>
        <c:majorGridlines>
          <c:spPr>
            <a:ln w="6350" cap="flat" cmpd="sng" algn="ctr">
              <a:solidFill>
                <a:schemeClr val="bg1">
                  <a:lumMod val="95000"/>
                </a:schemeClr>
              </a:solidFill>
              <a:prstDash val="sysDot"/>
              <a:round/>
            </a:ln>
            <a:effectLst/>
          </c:spPr>
        </c:majorGridlines>
        <c:numFmt formatCode="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12295888"/>
        <c:crosses val="autoZero"/>
        <c:crossBetween val="between"/>
      </c:valAx>
      <c:spPr>
        <a:noFill/>
        <a:ln>
          <a:noFill/>
        </a:ln>
        <a:effectLst/>
      </c:spPr>
    </c:plotArea>
    <c:legend>
      <c:legendPos val="b"/>
      <c:layout>
        <c:manualLayout>
          <c:xMode val="edge"/>
          <c:yMode val="edge"/>
          <c:x val="0.29469126047825339"/>
          <c:y val="1.1656857436225196E-2"/>
          <c:w val="0.70019816727061379"/>
          <c:h val="0.25117725560516885"/>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latin typeface="Arial Narrow" panose="020B060602020203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91819511922711794"/>
          <c:h val="0.83145069444444442"/>
        </c:manualLayout>
      </c:layout>
      <c:barChart>
        <c:barDir val="col"/>
        <c:grouping val="clustered"/>
        <c:varyColors val="0"/>
        <c:ser>
          <c:idx val="5"/>
          <c:order val="1"/>
          <c:tx>
            <c:strRef>
              <c:f>Output!$F$3</c:f>
              <c:strCache>
                <c:ptCount val="1"/>
                <c:pt idx="0">
                  <c:v>mom (% vľavo, SA)</c:v>
                </c:pt>
              </c:strCache>
            </c:strRef>
          </c:tx>
          <c:spPr>
            <a:solidFill>
              <a:sysClr val="windowText" lastClr="000000"/>
            </a:solidFill>
            <a:ln w="19050">
              <a:solidFill>
                <a:sysClr val="windowText" lastClr="000000"/>
              </a:solidFill>
              <a:prstDash val="solid"/>
            </a:ln>
          </c:spPr>
          <c:invertIfNegative val="0"/>
          <c:cat>
            <c:numRef>
              <c:f>Output!$A$16:$A$161</c:f>
              <c:numCache>
                <c:formatCode>mmm\-yy</c:formatCode>
                <c:ptCount val="146"/>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pt idx="133">
                  <c:v>43497</c:v>
                </c:pt>
                <c:pt idx="134">
                  <c:v>43525</c:v>
                </c:pt>
                <c:pt idx="135">
                  <c:v>43556</c:v>
                </c:pt>
                <c:pt idx="136">
                  <c:v>43586</c:v>
                </c:pt>
                <c:pt idx="137">
                  <c:v>43617</c:v>
                </c:pt>
                <c:pt idx="138">
                  <c:v>43647</c:v>
                </c:pt>
                <c:pt idx="139">
                  <c:v>43678</c:v>
                </c:pt>
                <c:pt idx="140">
                  <c:v>43709</c:v>
                </c:pt>
                <c:pt idx="141">
                  <c:v>43739</c:v>
                </c:pt>
                <c:pt idx="142">
                  <c:v>43770</c:v>
                </c:pt>
                <c:pt idx="143">
                  <c:v>43800</c:v>
                </c:pt>
                <c:pt idx="144">
                  <c:v>43831</c:v>
                </c:pt>
                <c:pt idx="145">
                  <c:v>43862</c:v>
                </c:pt>
              </c:numCache>
            </c:numRef>
          </c:cat>
          <c:val>
            <c:numRef>
              <c:f>Output!$F$16:$F$161</c:f>
              <c:numCache>
                <c:formatCode>General</c:formatCode>
                <c:ptCount val="146"/>
                <c:pt idx="0">
                  <c:v>0.12269938650307211</c:v>
                </c:pt>
                <c:pt idx="1">
                  <c:v>1.470588235294116</c:v>
                </c:pt>
                <c:pt idx="2">
                  <c:v>0.24154589371980251</c:v>
                </c:pt>
                <c:pt idx="3">
                  <c:v>-0.12048192771084132</c:v>
                </c:pt>
                <c:pt idx="4">
                  <c:v>-0.8443908323281164</c:v>
                </c:pt>
                <c:pt idx="5">
                  <c:v>0.36496350364963348</c:v>
                </c:pt>
                <c:pt idx="6">
                  <c:v>-0.60606060606060908</c:v>
                </c:pt>
                <c:pt idx="7">
                  <c:v>0.36585365853657947</c:v>
                </c:pt>
                <c:pt idx="8">
                  <c:v>-0.85054678007290363</c:v>
                </c:pt>
                <c:pt idx="9">
                  <c:v>0.61274509803921262</c:v>
                </c:pt>
                <c:pt idx="10">
                  <c:v>-4.8721071863580931</c:v>
                </c:pt>
                <c:pt idx="11">
                  <c:v>-4.2253521126760489</c:v>
                </c:pt>
                <c:pt idx="12">
                  <c:v>-9.3582887700534769</c:v>
                </c:pt>
                <c:pt idx="13">
                  <c:v>7.9646017699115106</c:v>
                </c:pt>
                <c:pt idx="14">
                  <c:v>-1.3661202185792405</c:v>
                </c:pt>
                <c:pt idx="15">
                  <c:v>-3.1855955678670256</c:v>
                </c:pt>
                <c:pt idx="16">
                  <c:v>1.1444921316165875</c:v>
                </c:pt>
                <c:pt idx="17">
                  <c:v>0.28288543140028821</c:v>
                </c:pt>
                <c:pt idx="18">
                  <c:v>0.70521861777150718</c:v>
                </c:pt>
                <c:pt idx="19">
                  <c:v>1.5406162464985869</c:v>
                </c:pt>
                <c:pt idx="20">
                  <c:v>2.3448275862069039</c:v>
                </c:pt>
                <c:pt idx="21">
                  <c:v>2.0215633423180606</c:v>
                </c:pt>
                <c:pt idx="22">
                  <c:v>1.4531043593130732</c:v>
                </c:pt>
                <c:pt idx="23">
                  <c:v>2.8645833333333428</c:v>
                </c:pt>
                <c:pt idx="24">
                  <c:v>1.0126582278481067</c:v>
                </c:pt>
                <c:pt idx="25">
                  <c:v>4.0100250626566378</c:v>
                </c:pt>
                <c:pt idx="26">
                  <c:v>-1.5662650602409514</c:v>
                </c:pt>
                <c:pt idx="27">
                  <c:v>1.1015911872704862</c:v>
                </c:pt>
                <c:pt idx="28">
                  <c:v>1.3317191283292971</c:v>
                </c:pt>
                <c:pt idx="29">
                  <c:v>1.0752688172043037</c:v>
                </c:pt>
                <c:pt idx="30">
                  <c:v>0.94562647754139562</c:v>
                </c:pt>
                <c:pt idx="31">
                  <c:v>1.2880562060889815</c:v>
                </c:pt>
                <c:pt idx="32">
                  <c:v>-1.9653179190751473</c:v>
                </c:pt>
                <c:pt idx="33">
                  <c:v>-0.35377358490565314</c:v>
                </c:pt>
                <c:pt idx="34">
                  <c:v>3.1952662721893574</c:v>
                </c:pt>
                <c:pt idx="35">
                  <c:v>-1.2614678899082605</c:v>
                </c:pt>
                <c:pt idx="36">
                  <c:v>2.7874564459930298</c:v>
                </c:pt>
                <c:pt idx="37">
                  <c:v>-0.56497175141242906</c:v>
                </c:pt>
                <c:pt idx="38">
                  <c:v>0</c:v>
                </c:pt>
                <c:pt idx="39">
                  <c:v>2.2727272727272663</c:v>
                </c:pt>
                <c:pt idx="40">
                  <c:v>0.33333333333334281</c:v>
                </c:pt>
                <c:pt idx="41">
                  <c:v>-0.44296788482833449</c:v>
                </c:pt>
                <c:pt idx="42">
                  <c:v>1.2235817575083416</c:v>
                </c:pt>
                <c:pt idx="43">
                  <c:v>-0.54945054945054039</c:v>
                </c:pt>
                <c:pt idx="44">
                  <c:v>0.66298342541435318</c:v>
                </c:pt>
                <c:pt idx="45">
                  <c:v>0.65861690450054766</c:v>
                </c:pt>
                <c:pt idx="46">
                  <c:v>-1.962922573609589</c:v>
                </c:pt>
                <c:pt idx="47">
                  <c:v>3.3370411568409253</c:v>
                </c:pt>
                <c:pt idx="48">
                  <c:v>-2.1528525296017165</c:v>
                </c:pt>
                <c:pt idx="49">
                  <c:v>1.7601760176017507</c:v>
                </c:pt>
                <c:pt idx="50">
                  <c:v>0.64864864864864558</c:v>
                </c:pt>
                <c:pt idx="51">
                  <c:v>-0.21482277121374693</c:v>
                </c:pt>
                <c:pt idx="52">
                  <c:v>1.0764262648008724</c:v>
                </c:pt>
                <c:pt idx="53">
                  <c:v>-0.63897763578275146</c:v>
                </c:pt>
                <c:pt idx="54">
                  <c:v>-0.32154340836012807</c:v>
                </c:pt>
                <c:pt idx="55">
                  <c:v>-0.75268817204300831</c:v>
                </c:pt>
                <c:pt idx="56">
                  <c:v>5.6338028169014081</c:v>
                </c:pt>
                <c:pt idx="57">
                  <c:v>-4.2051282051281902</c:v>
                </c:pt>
                <c:pt idx="58">
                  <c:v>0.32119914346895939</c:v>
                </c:pt>
                <c:pt idx="59">
                  <c:v>1.3874066168623216</c:v>
                </c:pt>
                <c:pt idx="60">
                  <c:v>1.3684210526315752</c:v>
                </c:pt>
                <c:pt idx="61">
                  <c:v>-2.2845275181723821</c:v>
                </c:pt>
                <c:pt idx="62">
                  <c:v>0.85015940488844421</c:v>
                </c:pt>
                <c:pt idx="63">
                  <c:v>-0.10537407797683329</c:v>
                </c:pt>
                <c:pt idx="64">
                  <c:v>0.42194092827006102</c:v>
                </c:pt>
                <c:pt idx="65">
                  <c:v>-0.10504201680673475</c:v>
                </c:pt>
                <c:pt idx="66">
                  <c:v>0.52576235541535254</c:v>
                </c:pt>
                <c:pt idx="67">
                  <c:v>0.73221757322174597</c:v>
                </c:pt>
                <c:pt idx="68">
                  <c:v>0.31152647975076775</c:v>
                </c:pt>
                <c:pt idx="69">
                  <c:v>-0.51759834368529312</c:v>
                </c:pt>
                <c:pt idx="70">
                  <c:v>0.52029136316336633</c:v>
                </c:pt>
                <c:pt idx="71">
                  <c:v>0</c:v>
                </c:pt>
                <c:pt idx="72">
                  <c:v>0.72463768115942173</c:v>
                </c:pt>
                <c:pt idx="73">
                  <c:v>0.41109969167523275</c:v>
                </c:pt>
                <c:pt idx="74">
                  <c:v>1.1258955987717485</c:v>
                </c:pt>
                <c:pt idx="75">
                  <c:v>1.41700404858301</c:v>
                </c:pt>
                <c:pt idx="76">
                  <c:v>-0.9980039920159669</c:v>
                </c:pt>
                <c:pt idx="77">
                  <c:v>0.90725806451612812</c:v>
                </c:pt>
                <c:pt idx="78">
                  <c:v>-0.2997002997003051</c:v>
                </c:pt>
                <c:pt idx="79">
                  <c:v>1.1022044088176557</c:v>
                </c:pt>
                <c:pt idx="80">
                  <c:v>9.9108027750233418E-2</c:v>
                </c:pt>
                <c:pt idx="81">
                  <c:v>1.1881188118811963</c:v>
                </c:pt>
                <c:pt idx="82">
                  <c:v>-1.07632093933465</c:v>
                </c:pt>
                <c:pt idx="83">
                  <c:v>-0.79129574678535164</c:v>
                </c:pt>
                <c:pt idx="84">
                  <c:v>0.39880358923230119</c:v>
                </c:pt>
                <c:pt idx="85">
                  <c:v>0.69513406156902136</c:v>
                </c:pt>
                <c:pt idx="86">
                  <c:v>-0.19723865877712399</c:v>
                </c:pt>
                <c:pt idx="87">
                  <c:v>-0.69169960474309278</c:v>
                </c:pt>
                <c:pt idx="88">
                  <c:v>-0.59701492537313072</c:v>
                </c:pt>
                <c:pt idx="89">
                  <c:v>0</c:v>
                </c:pt>
                <c:pt idx="90">
                  <c:v>-0.10010010010010717</c:v>
                </c:pt>
                <c:pt idx="91">
                  <c:v>-0.30060120240480614</c:v>
                </c:pt>
                <c:pt idx="92">
                  <c:v>-0.50251256281407564</c:v>
                </c:pt>
                <c:pt idx="93">
                  <c:v>0.40404040404040131</c:v>
                </c:pt>
                <c:pt idx="94">
                  <c:v>-0.10060362173038584</c:v>
                </c:pt>
                <c:pt idx="95">
                  <c:v>0.20140986908359082</c:v>
                </c:pt>
                <c:pt idx="96">
                  <c:v>0.40201005025126335</c:v>
                </c:pt>
                <c:pt idx="97">
                  <c:v>-0.70070070070070756</c:v>
                </c:pt>
                <c:pt idx="98">
                  <c:v>0.30241935483870463</c:v>
                </c:pt>
                <c:pt idx="99">
                  <c:v>1.1055276381909351</c:v>
                </c:pt>
                <c:pt idx="100">
                  <c:v>0.29821073558649402</c:v>
                </c:pt>
                <c:pt idx="101">
                  <c:v>0.59464816650147156</c:v>
                </c:pt>
                <c:pt idx="102">
                  <c:v>-0.29556650246304628</c:v>
                </c:pt>
                <c:pt idx="103">
                  <c:v>0.29644268774701743</c:v>
                </c:pt>
                <c:pt idx="104">
                  <c:v>0.39408866995074732</c:v>
                </c:pt>
                <c:pt idx="105">
                  <c:v>0.68694798822373571</c:v>
                </c:pt>
                <c:pt idx="106">
                  <c:v>1.5594541910331401</c:v>
                </c:pt>
                <c:pt idx="107">
                  <c:v>0.95969289827255011</c:v>
                </c:pt>
                <c:pt idx="108">
                  <c:v>-0.66539923954373137</c:v>
                </c:pt>
                <c:pt idx="109">
                  <c:v>1.2440191387559878</c:v>
                </c:pt>
                <c:pt idx="110">
                  <c:v>1.5122873345935943</c:v>
                </c:pt>
                <c:pt idx="111">
                  <c:v>0.1862197392923548</c:v>
                </c:pt>
                <c:pt idx="112">
                  <c:v>0.37174721189592219</c:v>
                </c:pt>
                <c:pt idx="113">
                  <c:v>0.3703703703703809</c:v>
                </c:pt>
                <c:pt idx="114">
                  <c:v>9.2250922509222733E-2</c:v>
                </c:pt>
                <c:pt idx="115">
                  <c:v>0.92165898617511743</c:v>
                </c:pt>
                <c:pt idx="116">
                  <c:v>1.0045662100456525</c:v>
                </c:pt>
                <c:pt idx="117">
                  <c:v>-0.6329113924050489</c:v>
                </c:pt>
                <c:pt idx="118">
                  <c:v>0.90991810737033063</c:v>
                </c:pt>
                <c:pt idx="119">
                  <c:v>0</c:v>
                </c:pt>
                <c:pt idx="120">
                  <c:v>1.0820559062218109</c:v>
                </c:pt>
                <c:pt idx="121">
                  <c:v>0.53523639607493578</c:v>
                </c:pt>
                <c:pt idx="122">
                  <c:v>-2.3957409050576786</c:v>
                </c:pt>
                <c:pt idx="123">
                  <c:v>0.90909090909090651</c:v>
                </c:pt>
                <c:pt idx="124">
                  <c:v>2.9729729729729684</c:v>
                </c:pt>
                <c:pt idx="125">
                  <c:v>-1.6622922134733074</c:v>
                </c:pt>
                <c:pt idx="126">
                  <c:v>0.80071174377222576</c:v>
                </c:pt>
                <c:pt idx="127">
                  <c:v>-8.8261253309795507E-2</c:v>
                </c:pt>
                <c:pt idx="128">
                  <c:v>-8.8339222614848723E-2</c:v>
                </c:pt>
                <c:pt idx="129">
                  <c:v>2.210433244916004</c:v>
                </c:pt>
                <c:pt idx="130">
                  <c:v>-1.2110726643598611</c:v>
                </c:pt>
                <c:pt idx="131">
                  <c:v>1.0507880910683127</c:v>
                </c:pt>
                <c:pt idx="132">
                  <c:v>1.0398613518197521</c:v>
                </c:pt>
                <c:pt idx="133">
                  <c:v>-4.0308747855917488</c:v>
                </c:pt>
                <c:pt idx="134">
                  <c:v>2.8596961572832811</c:v>
                </c:pt>
                <c:pt idx="135">
                  <c:v>0</c:v>
                </c:pt>
                <c:pt idx="136">
                  <c:v>8.6880973066911338E-2</c:v>
                </c:pt>
                <c:pt idx="137">
                  <c:v>0.34722222222221433</c:v>
                </c:pt>
                <c:pt idx="138">
                  <c:v>0.86505190311419256</c:v>
                </c:pt>
                <c:pt idx="139">
                  <c:v>-0.25728987993139185</c:v>
                </c:pt>
                <c:pt idx="140">
                  <c:v>8.5984522785892636E-2</c:v>
                </c:pt>
                <c:pt idx="141">
                  <c:v>-8.5910652920972552E-2</c:v>
                </c:pt>
                <c:pt idx="142">
                  <c:v>-1.4617368873602743</c:v>
                </c:pt>
                <c:pt idx="143">
                  <c:v>-1.6579406631762623</c:v>
                </c:pt>
                <c:pt idx="144">
                  <c:v>0.62111801242237163</c:v>
                </c:pt>
                <c:pt idx="145">
                  <c:v>-9.6119929453262927</c:v>
                </c:pt>
              </c:numCache>
            </c:numRef>
          </c:val>
          <c:extLst xmlns:c16r2="http://schemas.microsoft.com/office/drawing/2015/06/chart">
            <c:ext xmlns:c16="http://schemas.microsoft.com/office/drawing/2014/chart" uri="{C3380CC4-5D6E-409C-BE32-E72D297353CC}">
              <c16:uniqueId val="{00000000-AC21-4DD3-AB5E-211B1E8F21E6}"/>
            </c:ext>
          </c:extLst>
        </c:ser>
        <c:dLbls>
          <c:showLegendKey val="0"/>
          <c:showVal val="0"/>
          <c:showCatName val="0"/>
          <c:showSerName val="0"/>
          <c:showPercent val="0"/>
          <c:showBubbleSize val="0"/>
        </c:dLbls>
        <c:gapWidth val="150"/>
        <c:axId val="111300192"/>
        <c:axId val="111299800"/>
      </c:barChart>
      <c:lineChart>
        <c:grouping val="standard"/>
        <c:varyColors val="0"/>
        <c:ser>
          <c:idx val="3"/>
          <c:order val="0"/>
          <c:tx>
            <c:strRef>
              <c:f>Output!$C$2</c:f>
              <c:strCache>
                <c:ptCount val="1"/>
                <c:pt idx="0">
                  <c:v>očistené o sezónu a pracovné dni (index 2015=100)</c:v>
                </c:pt>
              </c:strCache>
            </c:strRef>
          </c:tx>
          <c:spPr>
            <a:ln w="19050">
              <a:solidFill>
                <a:srgbClr val="2C9ADC"/>
              </a:solidFill>
              <a:prstDash val="solid"/>
            </a:ln>
          </c:spPr>
          <c:marker>
            <c:symbol val="none"/>
          </c:marker>
          <c:cat>
            <c:numRef>
              <c:f>Output!$A$16:$A$161</c:f>
              <c:numCache>
                <c:formatCode>mmm\-yy</c:formatCode>
                <c:ptCount val="146"/>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pt idx="133">
                  <c:v>43497</c:v>
                </c:pt>
                <c:pt idx="134">
                  <c:v>43525</c:v>
                </c:pt>
                <c:pt idx="135">
                  <c:v>43556</c:v>
                </c:pt>
                <c:pt idx="136">
                  <c:v>43586</c:v>
                </c:pt>
                <c:pt idx="137">
                  <c:v>43617</c:v>
                </c:pt>
                <c:pt idx="138">
                  <c:v>43647</c:v>
                </c:pt>
                <c:pt idx="139">
                  <c:v>43678</c:v>
                </c:pt>
                <c:pt idx="140">
                  <c:v>43709</c:v>
                </c:pt>
                <c:pt idx="141">
                  <c:v>43739</c:v>
                </c:pt>
                <c:pt idx="142">
                  <c:v>43770</c:v>
                </c:pt>
                <c:pt idx="143">
                  <c:v>43800</c:v>
                </c:pt>
                <c:pt idx="144">
                  <c:v>43831</c:v>
                </c:pt>
                <c:pt idx="145">
                  <c:v>43862</c:v>
                </c:pt>
              </c:numCache>
            </c:numRef>
          </c:cat>
          <c:val>
            <c:numRef>
              <c:f>Output!$C$16:$C$161</c:f>
              <c:numCache>
                <c:formatCode>0.0</c:formatCode>
                <c:ptCount val="146"/>
                <c:pt idx="0">
                  <c:v>81.599999999999994</c:v>
                </c:pt>
                <c:pt idx="1">
                  <c:v>82.8</c:v>
                </c:pt>
                <c:pt idx="2">
                  <c:v>83</c:v>
                </c:pt>
                <c:pt idx="3">
                  <c:v>82.9</c:v>
                </c:pt>
                <c:pt idx="4">
                  <c:v>82.2</c:v>
                </c:pt>
                <c:pt idx="5">
                  <c:v>82.5</c:v>
                </c:pt>
                <c:pt idx="6">
                  <c:v>82</c:v>
                </c:pt>
                <c:pt idx="7">
                  <c:v>82.3</c:v>
                </c:pt>
                <c:pt idx="8">
                  <c:v>81.599999999999994</c:v>
                </c:pt>
                <c:pt idx="9">
                  <c:v>82.1</c:v>
                </c:pt>
                <c:pt idx="10">
                  <c:v>78.099999999999994</c:v>
                </c:pt>
                <c:pt idx="11">
                  <c:v>74.8</c:v>
                </c:pt>
                <c:pt idx="12">
                  <c:v>67.8</c:v>
                </c:pt>
                <c:pt idx="13">
                  <c:v>73.2</c:v>
                </c:pt>
                <c:pt idx="14">
                  <c:v>72.2</c:v>
                </c:pt>
                <c:pt idx="15">
                  <c:v>69.900000000000006</c:v>
                </c:pt>
                <c:pt idx="16">
                  <c:v>70.7</c:v>
                </c:pt>
                <c:pt idx="17">
                  <c:v>70.900000000000006</c:v>
                </c:pt>
                <c:pt idx="18">
                  <c:v>71.400000000000006</c:v>
                </c:pt>
                <c:pt idx="19">
                  <c:v>72.5</c:v>
                </c:pt>
                <c:pt idx="20">
                  <c:v>74.2</c:v>
                </c:pt>
                <c:pt idx="21">
                  <c:v>75.7</c:v>
                </c:pt>
                <c:pt idx="22">
                  <c:v>76.8</c:v>
                </c:pt>
                <c:pt idx="23">
                  <c:v>79</c:v>
                </c:pt>
                <c:pt idx="24">
                  <c:v>79.8</c:v>
                </c:pt>
                <c:pt idx="25">
                  <c:v>83</c:v>
                </c:pt>
                <c:pt idx="26">
                  <c:v>81.7</c:v>
                </c:pt>
                <c:pt idx="27">
                  <c:v>82.6</c:v>
                </c:pt>
                <c:pt idx="28">
                  <c:v>83.7</c:v>
                </c:pt>
                <c:pt idx="29">
                  <c:v>84.6</c:v>
                </c:pt>
                <c:pt idx="30">
                  <c:v>85.4</c:v>
                </c:pt>
                <c:pt idx="31">
                  <c:v>86.5</c:v>
                </c:pt>
                <c:pt idx="32">
                  <c:v>84.8</c:v>
                </c:pt>
                <c:pt idx="33">
                  <c:v>84.5</c:v>
                </c:pt>
                <c:pt idx="34">
                  <c:v>87.2</c:v>
                </c:pt>
                <c:pt idx="35">
                  <c:v>86.1</c:v>
                </c:pt>
                <c:pt idx="36">
                  <c:v>88.5</c:v>
                </c:pt>
                <c:pt idx="37">
                  <c:v>88</c:v>
                </c:pt>
                <c:pt idx="38">
                  <c:v>88</c:v>
                </c:pt>
                <c:pt idx="39">
                  <c:v>90</c:v>
                </c:pt>
                <c:pt idx="40">
                  <c:v>90.3</c:v>
                </c:pt>
                <c:pt idx="41">
                  <c:v>89.9</c:v>
                </c:pt>
                <c:pt idx="42">
                  <c:v>91</c:v>
                </c:pt>
                <c:pt idx="43">
                  <c:v>90.5</c:v>
                </c:pt>
                <c:pt idx="44">
                  <c:v>91.1</c:v>
                </c:pt>
                <c:pt idx="45">
                  <c:v>91.7</c:v>
                </c:pt>
                <c:pt idx="46">
                  <c:v>89.9</c:v>
                </c:pt>
                <c:pt idx="47">
                  <c:v>92.9</c:v>
                </c:pt>
                <c:pt idx="48">
                  <c:v>90.9</c:v>
                </c:pt>
                <c:pt idx="49">
                  <c:v>92.5</c:v>
                </c:pt>
                <c:pt idx="50">
                  <c:v>93.1</c:v>
                </c:pt>
                <c:pt idx="51">
                  <c:v>92.9</c:v>
                </c:pt>
                <c:pt idx="52">
                  <c:v>93.9</c:v>
                </c:pt>
                <c:pt idx="53">
                  <c:v>93.3</c:v>
                </c:pt>
                <c:pt idx="54">
                  <c:v>93</c:v>
                </c:pt>
                <c:pt idx="55">
                  <c:v>92.3</c:v>
                </c:pt>
                <c:pt idx="56">
                  <c:v>97.5</c:v>
                </c:pt>
                <c:pt idx="57">
                  <c:v>93.4</c:v>
                </c:pt>
                <c:pt idx="58">
                  <c:v>93.7</c:v>
                </c:pt>
                <c:pt idx="59">
                  <c:v>95</c:v>
                </c:pt>
                <c:pt idx="60">
                  <c:v>96.3</c:v>
                </c:pt>
                <c:pt idx="61">
                  <c:v>94.1</c:v>
                </c:pt>
                <c:pt idx="62">
                  <c:v>94.9</c:v>
                </c:pt>
                <c:pt idx="63">
                  <c:v>94.8</c:v>
                </c:pt>
                <c:pt idx="64">
                  <c:v>95.2</c:v>
                </c:pt>
                <c:pt idx="65">
                  <c:v>95.1</c:v>
                </c:pt>
                <c:pt idx="66">
                  <c:v>95.6</c:v>
                </c:pt>
                <c:pt idx="67">
                  <c:v>96.3</c:v>
                </c:pt>
                <c:pt idx="68">
                  <c:v>96.6</c:v>
                </c:pt>
                <c:pt idx="69">
                  <c:v>96.1</c:v>
                </c:pt>
                <c:pt idx="70">
                  <c:v>96.6</c:v>
                </c:pt>
                <c:pt idx="71">
                  <c:v>96.6</c:v>
                </c:pt>
                <c:pt idx="72">
                  <c:v>97.3</c:v>
                </c:pt>
                <c:pt idx="73">
                  <c:v>97.7</c:v>
                </c:pt>
                <c:pt idx="74">
                  <c:v>98.8</c:v>
                </c:pt>
                <c:pt idx="75">
                  <c:v>100.2</c:v>
                </c:pt>
                <c:pt idx="76">
                  <c:v>99.2</c:v>
                </c:pt>
                <c:pt idx="77">
                  <c:v>100.1</c:v>
                </c:pt>
                <c:pt idx="78">
                  <c:v>99.8</c:v>
                </c:pt>
                <c:pt idx="79">
                  <c:v>100.9</c:v>
                </c:pt>
                <c:pt idx="80">
                  <c:v>101</c:v>
                </c:pt>
                <c:pt idx="81">
                  <c:v>102.2</c:v>
                </c:pt>
                <c:pt idx="82">
                  <c:v>101.1</c:v>
                </c:pt>
                <c:pt idx="83">
                  <c:v>100.3</c:v>
                </c:pt>
                <c:pt idx="84">
                  <c:v>100.7</c:v>
                </c:pt>
                <c:pt idx="85">
                  <c:v>101.4</c:v>
                </c:pt>
                <c:pt idx="86">
                  <c:v>101.2</c:v>
                </c:pt>
                <c:pt idx="87">
                  <c:v>100.5</c:v>
                </c:pt>
                <c:pt idx="88">
                  <c:v>99.9</c:v>
                </c:pt>
                <c:pt idx="89">
                  <c:v>99.9</c:v>
                </c:pt>
                <c:pt idx="90">
                  <c:v>99.8</c:v>
                </c:pt>
                <c:pt idx="91">
                  <c:v>99.5</c:v>
                </c:pt>
                <c:pt idx="92">
                  <c:v>99</c:v>
                </c:pt>
                <c:pt idx="93">
                  <c:v>99.4</c:v>
                </c:pt>
                <c:pt idx="94">
                  <c:v>99.3</c:v>
                </c:pt>
                <c:pt idx="95">
                  <c:v>99.5</c:v>
                </c:pt>
                <c:pt idx="96">
                  <c:v>99.9</c:v>
                </c:pt>
                <c:pt idx="97">
                  <c:v>99.2</c:v>
                </c:pt>
                <c:pt idx="98">
                  <c:v>99.5</c:v>
                </c:pt>
                <c:pt idx="99">
                  <c:v>100.6</c:v>
                </c:pt>
                <c:pt idx="100">
                  <c:v>100.9</c:v>
                </c:pt>
                <c:pt idx="101">
                  <c:v>101.5</c:v>
                </c:pt>
                <c:pt idx="102">
                  <c:v>101.2</c:v>
                </c:pt>
                <c:pt idx="103">
                  <c:v>101.5</c:v>
                </c:pt>
                <c:pt idx="104">
                  <c:v>101.9</c:v>
                </c:pt>
                <c:pt idx="105">
                  <c:v>102.6</c:v>
                </c:pt>
                <c:pt idx="106">
                  <c:v>104.2</c:v>
                </c:pt>
                <c:pt idx="107">
                  <c:v>105.2</c:v>
                </c:pt>
                <c:pt idx="108">
                  <c:v>104.5</c:v>
                </c:pt>
                <c:pt idx="109">
                  <c:v>105.8</c:v>
                </c:pt>
                <c:pt idx="110">
                  <c:v>107.4</c:v>
                </c:pt>
                <c:pt idx="111">
                  <c:v>107.6</c:v>
                </c:pt>
                <c:pt idx="112">
                  <c:v>108</c:v>
                </c:pt>
                <c:pt idx="113">
                  <c:v>108.4</c:v>
                </c:pt>
                <c:pt idx="114">
                  <c:v>108.5</c:v>
                </c:pt>
                <c:pt idx="115">
                  <c:v>109.5</c:v>
                </c:pt>
                <c:pt idx="116">
                  <c:v>110.6</c:v>
                </c:pt>
                <c:pt idx="117">
                  <c:v>109.9</c:v>
                </c:pt>
                <c:pt idx="118">
                  <c:v>110.9</c:v>
                </c:pt>
                <c:pt idx="119">
                  <c:v>110.9</c:v>
                </c:pt>
                <c:pt idx="120">
                  <c:v>112.1</c:v>
                </c:pt>
                <c:pt idx="121">
                  <c:v>112.7</c:v>
                </c:pt>
                <c:pt idx="122">
                  <c:v>110</c:v>
                </c:pt>
                <c:pt idx="123">
                  <c:v>111</c:v>
                </c:pt>
                <c:pt idx="124">
                  <c:v>114.3</c:v>
                </c:pt>
                <c:pt idx="125">
                  <c:v>112.4</c:v>
                </c:pt>
                <c:pt idx="126">
                  <c:v>113.3</c:v>
                </c:pt>
                <c:pt idx="127">
                  <c:v>113.2</c:v>
                </c:pt>
                <c:pt idx="128">
                  <c:v>113.1</c:v>
                </c:pt>
                <c:pt idx="129">
                  <c:v>115.6</c:v>
                </c:pt>
                <c:pt idx="130">
                  <c:v>114.2</c:v>
                </c:pt>
                <c:pt idx="131">
                  <c:v>115.4</c:v>
                </c:pt>
                <c:pt idx="132">
                  <c:v>116.6</c:v>
                </c:pt>
                <c:pt idx="133">
                  <c:v>111.9</c:v>
                </c:pt>
                <c:pt idx="134">
                  <c:v>115.1</c:v>
                </c:pt>
                <c:pt idx="135">
                  <c:v>115.1</c:v>
                </c:pt>
                <c:pt idx="136">
                  <c:v>115.2</c:v>
                </c:pt>
                <c:pt idx="137">
                  <c:v>115.6</c:v>
                </c:pt>
                <c:pt idx="138">
                  <c:v>116.6</c:v>
                </c:pt>
                <c:pt idx="139">
                  <c:v>116.3</c:v>
                </c:pt>
                <c:pt idx="140">
                  <c:v>116.4</c:v>
                </c:pt>
                <c:pt idx="141">
                  <c:v>116.3</c:v>
                </c:pt>
                <c:pt idx="142">
                  <c:v>114.6</c:v>
                </c:pt>
                <c:pt idx="143">
                  <c:v>112.7</c:v>
                </c:pt>
                <c:pt idx="144">
                  <c:v>113.4</c:v>
                </c:pt>
                <c:pt idx="145">
                  <c:v>102.5</c:v>
                </c:pt>
              </c:numCache>
            </c:numRef>
          </c:val>
          <c:smooth val="0"/>
          <c:extLst xmlns:c16r2="http://schemas.microsoft.com/office/drawing/2015/06/chart">
            <c:ext xmlns:c16="http://schemas.microsoft.com/office/drawing/2014/chart" uri="{C3380CC4-5D6E-409C-BE32-E72D297353CC}">
              <c16:uniqueId val="{00000001-AC21-4DD3-AB5E-211B1E8F21E6}"/>
            </c:ext>
          </c:extLst>
        </c:ser>
        <c:dLbls>
          <c:showLegendKey val="0"/>
          <c:showVal val="0"/>
          <c:showCatName val="0"/>
          <c:showSerName val="0"/>
          <c:showPercent val="0"/>
          <c:showBubbleSize val="0"/>
        </c:dLbls>
        <c:marker val="1"/>
        <c:smooth val="0"/>
        <c:axId val="236332248"/>
        <c:axId val="236331856"/>
      </c:lineChart>
      <c:dateAx>
        <c:axId val="111300192"/>
        <c:scaling>
          <c:orientation val="minMax"/>
          <c:max val="43891"/>
          <c:min val="39508"/>
        </c:scaling>
        <c:delete val="0"/>
        <c:axPos val="b"/>
        <c:numFmt formatCode="m/d/yyyy" sourceLinked="0"/>
        <c:majorTickMark val="out"/>
        <c:minorTickMark val="none"/>
        <c:tickLblPos val="low"/>
        <c:txPr>
          <a:bodyPr rot="-5400000" vert="horz"/>
          <a:lstStyle/>
          <a:p>
            <a:pPr>
              <a:defRPr/>
            </a:pPr>
            <a:endParaRPr lang="sk-SK"/>
          </a:p>
        </c:txPr>
        <c:crossAx val="111299800"/>
        <c:crosses val="autoZero"/>
        <c:auto val="1"/>
        <c:lblOffset val="100"/>
        <c:baseTimeUnit val="months"/>
        <c:majorUnit val="12"/>
        <c:majorTimeUnit val="months"/>
      </c:dateAx>
      <c:valAx>
        <c:axId val="111299800"/>
        <c:scaling>
          <c:orientation val="minMax"/>
        </c:scaling>
        <c:delete val="0"/>
        <c:axPos val="l"/>
        <c:majorGridlines>
          <c:spPr>
            <a:ln>
              <a:solidFill>
                <a:schemeClr val="bg1">
                  <a:lumMod val="75000"/>
                </a:schemeClr>
              </a:solidFill>
              <a:prstDash val="sysDash"/>
            </a:ln>
          </c:spPr>
        </c:majorGridlines>
        <c:numFmt formatCode="#,##0" sourceLinked="0"/>
        <c:majorTickMark val="out"/>
        <c:minorTickMark val="none"/>
        <c:tickLblPos val="nextTo"/>
        <c:txPr>
          <a:bodyPr rot="0" vert="horz"/>
          <a:lstStyle/>
          <a:p>
            <a:pPr>
              <a:defRPr/>
            </a:pPr>
            <a:endParaRPr lang="sk-SK"/>
          </a:p>
        </c:txPr>
        <c:crossAx val="111300192"/>
        <c:crosses val="autoZero"/>
        <c:crossBetween val="between"/>
      </c:valAx>
      <c:valAx>
        <c:axId val="236331856"/>
        <c:scaling>
          <c:orientation val="minMax"/>
          <c:min val="60"/>
        </c:scaling>
        <c:delete val="0"/>
        <c:axPos val="r"/>
        <c:numFmt formatCode="0" sourceLinked="0"/>
        <c:majorTickMark val="out"/>
        <c:minorTickMark val="none"/>
        <c:tickLblPos val="nextTo"/>
        <c:crossAx val="236332248"/>
        <c:crosses val="max"/>
        <c:crossBetween val="between"/>
      </c:valAx>
      <c:dateAx>
        <c:axId val="236332248"/>
        <c:scaling>
          <c:orientation val="minMax"/>
        </c:scaling>
        <c:delete val="1"/>
        <c:axPos val="b"/>
        <c:numFmt formatCode="mmm\-yy" sourceLinked="1"/>
        <c:majorTickMark val="out"/>
        <c:minorTickMark val="none"/>
        <c:tickLblPos val="nextTo"/>
        <c:crossAx val="236331856"/>
        <c:crosses val="autoZero"/>
        <c:auto val="1"/>
        <c:lblOffset val="100"/>
        <c:baseTimeUnit val="months"/>
        <c:majorUnit val="1"/>
        <c:minorUnit val="1"/>
      </c:dateAx>
      <c:spPr>
        <a:noFill/>
      </c:spPr>
    </c:plotArea>
    <c:legend>
      <c:legendPos val="l"/>
      <c:layout>
        <c:manualLayout>
          <c:xMode val="edge"/>
          <c:yMode val="edge"/>
          <c:x val="0.21812855714735202"/>
          <c:y val="0.57268164221947171"/>
          <c:w val="0.65800246137669816"/>
          <c:h val="0.21219129381402577"/>
        </c:manualLayout>
      </c:layout>
      <c:overlay val="1"/>
    </c:legend>
    <c:plotVisOnly val="1"/>
    <c:dispBlanksAs val="gap"/>
    <c:showDLblsOverMax val="0"/>
  </c:chart>
  <c:spPr>
    <a:noFill/>
    <a:ln>
      <a:noFill/>
    </a:ln>
  </c:spPr>
  <c:txPr>
    <a:bodyPr/>
    <a:lstStyle/>
    <a:p>
      <a:pPr>
        <a:defRPr sz="800" b="0" i="0" u="none" strike="noStrike" baseline="0">
          <a:solidFill>
            <a:srgbClr val="000000"/>
          </a:solidFill>
          <a:latin typeface="Arial Narrow" panose="020B0606020202030204" pitchFamily="34" charset="0"/>
          <a:ea typeface="Calibri"/>
          <a:cs typeface="Calibri"/>
        </a:defRPr>
      </a:pPr>
      <a:endParaRPr lang="sk-S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46082526315239E-2"/>
          <c:y val="0.1473913186076343"/>
          <c:w val="0.85349130952028351"/>
          <c:h val="0.72043200482292657"/>
        </c:manualLayout>
      </c:layout>
      <c:barChart>
        <c:barDir val="col"/>
        <c:grouping val="clustered"/>
        <c:varyColors val="0"/>
        <c:ser>
          <c:idx val="0"/>
          <c:order val="0"/>
          <c:tx>
            <c:strRef>
              <c:f>'PMI charts'!$K$30</c:f>
              <c:strCache>
                <c:ptCount val="1"/>
                <c:pt idx="0">
                  <c:v>Reálny rast HDP Eurozóny (qoq, vľavo)</c:v>
                </c:pt>
              </c:strCache>
            </c:strRef>
          </c:tx>
          <c:spPr>
            <a:solidFill>
              <a:srgbClr val="2C9ADC"/>
            </a:solidFill>
            <a:ln w="3175" cap="sq">
              <a:solidFill>
                <a:srgbClr val="2C9ADC"/>
              </a:solidFill>
              <a:miter lim="800000"/>
            </a:ln>
            <a:effectLst/>
          </c:spPr>
          <c:invertIfNegative val="0"/>
          <c:dPt>
            <c:idx val="81"/>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1-645D-4084-A016-F925E08AECC7}"/>
              </c:ext>
            </c:extLst>
          </c:dPt>
          <c:dPt>
            <c:idx val="83"/>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3-645D-4084-A016-F925E08AECC7}"/>
              </c:ext>
            </c:extLst>
          </c:dPt>
          <c:dPt>
            <c:idx val="86"/>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5-645D-4084-A016-F925E08AECC7}"/>
              </c:ext>
            </c:extLst>
          </c:dPt>
          <c:dPt>
            <c:idx val="93"/>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7-645D-4084-A016-F925E08AECC7}"/>
              </c:ext>
            </c:extLst>
          </c:dPt>
          <c:dPt>
            <c:idx val="99"/>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9-645D-4084-A016-F925E08AECC7}"/>
              </c:ext>
            </c:extLst>
          </c:dPt>
          <c:dPt>
            <c:idx val="105"/>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B-645D-4084-A016-F925E08AECC7}"/>
              </c:ext>
            </c:extLst>
          </c:dPt>
          <c:dPt>
            <c:idx val="108"/>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D-645D-4084-A016-F925E08AECC7}"/>
              </c:ext>
            </c:extLst>
          </c:dPt>
          <c:dPt>
            <c:idx val="111"/>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0F-645D-4084-A016-F925E08AECC7}"/>
              </c:ext>
            </c:extLst>
          </c:dPt>
          <c:dPt>
            <c:idx val="114"/>
            <c:invertIfNegative val="0"/>
            <c:bubble3D val="0"/>
            <c:spPr>
              <a:solidFill>
                <a:srgbClr val="2C9ADC"/>
              </a:solidFill>
              <a:ln w="3175" cap="sq">
                <a:solidFill>
                  <a:srgbClr val="2C9ADC"/>
                </a:solidFill>
                <a:miter lim="800000"/>
              </a:ln>
              <a:effectLst/>
            </c:spPr>
            <c:extLst xmlns:c16r2="http://schemas.microsoft.com/office/drawing/2015/06/chart">
              <c:ext xmlns:c16="http://schemas.microsoft.com/office/drawing/2014/chart" uri="{C3380CC4-5D6E-409C-BE32-E72D297353CC}">
                <c16:uniqueId val="{00000011-645D-4084-A016-F925E08AECC7}"/>
              </c:ext>
            </c:extLst>
          </c:dPt>
          <c:cat>
            <c:numRef>
              <c:f>'PMI data'!$A$4:$A$245</c:f>
              <c:numCache>
                <c:formatCode>m\-yyyy</c:formatCode>
                <c:ptCount val="242"/>
                <c:pt idx="0">
                  <c:v>36585</c:v>
                </c:pt>
                <c:pt idx="1">
                  <c:v>36616</c:v>
                </c:pt>
                <c:pt idx="2">
                  <c:v>36646</c:v>
                </c:pt>
                <c:pt idx="3">
                  <c:v>36677</c:v>
                </c:pt>
                <c:pt idx="4">
                  <c:v>36707</c:v>
                </c:pt>
                <c:pt idx="5">
                  <c:v>36738</c:v>
                </c:pt>
                <c:pt idx="6">
                  <c:v>36769</c:v>
                </c:pt>
                <c:pt idx="7">
                  <c:v>36799</c:v>
                </c:pt>
                <c:pt idx="8">
                  <c:v>36830</c:v>
                </c:pt>
                <c:pt idx="9">
                  <c:v>36860</c:v>
                </c:pt>
                <c:pt idx="10">
                  <c:v>36891</c:v>
                </c:pt>
                <c:pt idx="11">
                  <c:v>36922</c:v>
                </c:pt>
                <c:pt idx="12">
                  <c:v>36950</c:v>
                </c:pt>
                <c:pt idx="13">
                  <c:v>36981</c:v>
                </c:pt>
                <c:pt idx="14">
                  <c:v>37011</c:v>
                </c:pt>
                <c:pt idx="15">
                  <c:v>37042</c:v>
                </c:pt>
                <c:pt idx="16">
                  <c:v>37072</c:v>
                </c:pt>
                <c:pt idx="17">
                  <c:v>37103</c:v>
                </c:pt>
                <c:pt idx="18">
                  <c:v>37134</c:v>
                </c:pt>
                <c:pt idx="19">
                  <c:v>37164</c:v>
                </c:pt>
                <c:pt idx="20">
                  <c:v>37195</c:v>
                </c:pt>
                <c:pt idx="21">
                  <c:v>37225</c:v>
                </c:pt>
                <c:pt idx="22">
                  <c:v>37256</c:v>
                </c:pt>
                <c:pt idx="23">
                  <c:v>37287</c:v>
                </c:pt>
                <c:pt idx="24">
                  <c:v>37315</c:v>
                </c:pt>
                <c:pt idx="25">
                  <c:v>37346</c:v>
                </c:pt>
                <c:pt idx="26">
                  <c:v>37376</c:v>
                </c:pt>
                <c:pt idx="27">
                  <c:v>37407</c:v>
                </c:pt>
                <c:pt idx="28">
                  <c:v>37437</c:v>
                </c:pt>
                <c:pt idx="29">
                  <c:v>37468</c:v>
                </c:pt>
                <c:pt idx="30">
                  <c:v>37499</c:v>
                </c:pt>
                <c:pt idx="31">
                  <c:v>37529</c:v>
                </c:pt>
                <c:pt idx="32">
                  <c:v>37560</c:v>
                </c:pt>
                <c:pt idx="33">
                  <c:v>37590</c:v>
                </c:pt>
                <c:pt idx="34">
                  <c:v>37621</c:v>
                </c:pt>
                <c:pt idx="35">
                  <c:v>37652</c:v>
                </c:pt>
                <c:pt idx="36">
                  <c:v>37680</c:v>
                </c:pt>
                <c:pt idx="37">
                  <c:v>37711</c:v>
                </c:pt>
                <c:pt idx="38">
                  <c:v>37741</c:v>
                </c:pt>
                <c:pt idx="39">
                  <c:v>37772</c:v>
                </c:pt>
                <c:pt idx="40">
                  <c:v>37802</c:v>
                </c:pt>
                <c:pt idx="41">
                  <c:v>37833</c:v>
                </c:pt>
                <c:pt idx="42">
                  <c:v>37864</c:v>
                </c:pt>
                <c:pt idx="43">
                  <c:v>37894</c:v>
                </c:pt>
                <c:pt idx="44">
                  <c:v>37925</c:v>
                </c:pt>
                <c:pt idx="45">
                  <c:v>37955</c:v>
                </c:pt>
                <c:pt idx="46">
                  <c:v>37986</c:v>
                </c:pt>
                <c:pt idx="47">
                  <c:v>38017</c:v>
                </c:pt>
                <c:pt idx="48">
                  <c:v>38046</c:v>
                </c:pt>
                <c:pt idx="49">
                  <c:v>38077</c:v>
                </c:pt>
                <c:pt idx="50">
                  <c:v>38107</c:v>
                </c:pt>
                <c:pt idx="51">
                  <c:v>38138</c:v>
                </c:pt>
                <c:pt idx="52">
                  <c:v>38168</c:v>
                </c:pt>
                <c:pt idx="53">
                  <c:v>38199</c:v>
                </c:pt>
                <c:pt idx="54">
                  <c:v>38230</c:v>
                </c:pt>
                <c:pt idx="55">
                  <c:v>38260</c:v>
                </c:pt>
                <c:pt idx="56">
                  <c:v>38291</c:v>
                </c:pt>
                <c:pt idx="57">
                  <c:v>38321</c:v>
                </c:pt>
                <c:pt idx="58">
                  <c:v>38352</c:v>
                </c:pt>
                <c:pt idx="59">
                  <c:v>38383</c:v>
                </c:pt>
                <c:pt idx="60">
                  <c:v>38411</c:v>
                </c:pt>
                <c:pt idx="61">
                  <c:v>38442</c:v>
                </c:pt>
                <c:pt idx="62">
                  <c:v>38472</c:v>
                </c:pt>
                <c:pt idx="63">
                  <c:v>38503</c:v>
                </c:pt>
                <c:pt idx="64">
                  <c:v>38533</c:v>
                </c:pt>
                <c:pt idx="65">
                  <c:v>38564</c:v>
                </c:pt>
                <c:pt idx="66">
                  <c:v>38595</c:v>
                </c:pt>
                <c:pt idx="67">
                  <c:v>38625</c:v>
                </c:pt>
                <c:pt idx="68">
                  <c:v>38656</c:v>
                </c:pt>
                <c:pt idx="69">
                  <c:v>38686</c:v>
                </c:pt>
                <c:pt idx="70">
                  <c:v>38717</c:v>
                </c:pt>
                <c:pt idx="71">
                  <c:v>38748</c:v>
                </c:pt>
                <c:pt idx="72">
                  <c:v>38776</c:v>
                </c:pt>
                <c:pt idx="73">
                  <c:v>38807</c:v>
                </c:pt>
                <c:pt idx="74">
                  <c:v>38837</c:v>
                </c:pt>
                <c:pt idx="75">
                  <c:v>38868</c:v>
                </c:pt>
                <c:pt idx="76">
                  <c:v>38898</c:v>
                </c:pt>
                <c:pt idx="77">
                  <c:v>38929</c:v>
                </c:pt>
                <c:pt idx="78">
                  <c:v>38960</c:v>
                </c:pt>
                <c:pt idx="79">
                  <c:v>38990</c:v>
                </c:pt>
                <c:pt idx="80">
                  <c:v>39021</c:v>
                </c:pt>
                <c:pt idx="81">
                  <c:v>39051</c:v>
                </c:pt>
                <c:pt idx="82">
                  <c:v>39082</c:v>
                </c:pt>
                <c:pt idx="83">
                  <c:v>39113</c:v>
                </c:pt>
                <c:pt idx="84">
                  <c:v>39141</c:v>
                </c:pt>
                <c:pt idx="85">
                  <c:v>39172</c:v>
                </c:pt>
                <c:pt idx="86">
                  <c:v>39202</c:v>
                </c:pt>
                <c:pt idx="87">
                  <c:v>39233</c:v>
                </c:pt>
                <c:pt idx="88">
                  <c:v>39263</c:v>
                </c:pt>
                <c:pt idx="89">
                  <c:v>39294</c:v>
                </c:pt>
                <c:pt idx="90">
                  <c:v>39325</c:v>
                </c:pt>
                <c:pt idx="91">
                  <c:v>39355</c:v>
                </c:pt>
                <c:pt idx="92">
                  <c:v>39386</c:v>
                </c:pt>
                <c:pt idx="93">
                  <c:v>39416</c:v>
                </c:pt>
                <c:pt idx="94">
                  <c:v>39447</c:v>
                </c:pt>
                <c:pt idx="95">
                  <c:v>39478</c:v>
                </c:pt>
                <c:pt idx="96">
                  <c:v>39507</c:v>
                </c:pt>
                <c:pt idx="97">
                  <c:v>39538</c:v>
                </c:pt>
                <c:pt idx="98">
                  <c:v>39568</c:v>
                </c:pt>
                <c:pt idx="99">
                  <c:v>39599</c:v>
                </c:pt>
                <c:pt idx="100">
                  <c:v>39629</c:v>
                </c:pt>
                <c:pt idx="101">
                  <c:v>39660</c:v>
                </c:pt>
                <c:pt idx="102">
                  <c:v>39691</c:v>
                </c:pt>
                <c:pt idx="103">
                  <c:v>39721</c:v>
                </c:pt>
                <c:pt idx="104">
                  <c:v>39752</c:v>
                </c:pt>
                <c:pt idx="105">
                  <c:v>39782</c:v>
                </c:pt>
                <c:pt idx="106">
                  <c:v>39813</c:v>
                </c:pt>
                <c:pt idx="107">
                  <c:v>39844</c:v>
                </c:pt>
                <c:pt idx="108">
                  <c:v>39872</c:v>
                </c:pt>
                <c:pt idx="109">
                  <c:v>39903</c:v>
                </c:pt>
                <c:pt idx="110">
                  <c:v>39933</c:v>
                </c:pt>
                <c:pt idx="111">
                  <c:v>39964</c:v>
                </c:pt>
                <c:pt idx="112">
                  <c:v>39994</c:v>
                </c:pt>
                <c:pt idx="113">
                  <c:v>40025</c:v>
                </c:pt>
                <c:pt idx="114">
                  <c:v>40056</c:v>
                </c:pt>
                <c:pt idx="115">
                  <c:v>40086</c:v>
                </c:pt>
                <c:pt idx="116">
                  <c:v>40117</c:v>
                </c:pt>
                <c:pt idx="117">
                  <c:v>40147</c:v>
                </c:pt>
                <c:pt idx="118">
                  <c:v>40178</c:v>
                </c:pt>
                <c:pt idx="119">
                  <c:v>40209</c:v>
                </c:pt>
                <c:pt idx="120">
                  <c:v>40237</c:v>
                </c:pt>
                <c:pt idx="121">
                  <c:v>40268</c:v>
                </c:pt>
                <c:pt idx="122">
                  <c:v>40298</c:v>
                </c:pt>
                <c:pt idx="123">
                  <c:v>40329</c:v>
                </c:pt>
                <c:pt idx="124">
                  <c:v>40359</c:v>
                </c:pt>
                <c:pt idx="125">
                  <c:v>40390</c:v>
                </c:pt>
                <c:pt idx="126">
                  <c:v>40421</c:v>
                </c:pt>
                <c:pt idx="127">
                  <c:v>40451</c:v>
                </c:pt>
                <c:pt idx="128">
                  <c:v>40482</c:v>
                </c:pt>
                <c:pt idx="129">
                  <c:v>40512</c:v>
                </c:pt>
                <c:pt idx="130">
                  <c:v>40543</c:v>
                </c:pt>
                <c:pt idx="131">
                  <c:v>40574</c:v>
                </c:pt>
                <c:pt idx="132">
                  <c:v>40602</c:v>
                </c:pt>
                <c:pt idx="133">
                  <c:v>40633</c:v>
                </c:pt>
                <c:pt idx="134">
                  <c:v>40663</c:v>
                </c:pt>
                <c:pt idx="135">
                  <c:v>40694</c:v>
                </c:pt>
                <c:pt idx="136">
                  <c:v>40724</c:v>
                </c:pt>
                <c:pt idx="137">
                  <c:v>40755</c:v>
                </c:pt>
                <c:pt idx="138">
                  <c:v>40786</c:v>
                </c:pt>
                <c:pt idx="139">
                  <c:v>40816</c:v>
                </c:pt>
                <c:pt idx="140">
                  <c:v>40847</c:v>
                </c:pt>
                <c:pt idx="141">
                  <c:v>40877</c:v>
                </c:pt>
                <c:pt idx="142">
                  <c:v>40908</c:v>
                </c:pt>
                <c:pt idx="143">
                  <c:v>40939</c:v>
                </c:pt>
                <c:pt idx="144">
                  <c:v>40968</c:v>
                </c:pt>
                <c:pt idx="145">
                  <c:v>40999</c:v>
                </c:pt>
                <c:pt idx="146">
                  <c:v>41029</c:v>
                </c:pt>
                <c:pt idx="147">
                  <c:v>41060</c:v>
                </c:pt>
                <c:pt idx="148">
                  <c:v>41090</c:v>
                </c:pt>
                <c:pt idx="149">
                  <c:v>41121</c:v>
                </c:pt>
                <c:pt idx="150">
                  <c:v>41152</c:v>
                </c:pt>
                <c:pt idx="151">
                  <c:v>41182</c:v>
                </c:pt>
                <c:pt idx="152">
                  <c:v>41213</c:v>
                </c:pt>
                <c:pt idx="153">
                  <c:v>41243</c:v>
                </c:pt>
                <c:pt idx="154">
                  <c:v>41274</c:v>
                </c:pt>
                <c:pt idx="155">
                  <c:v>41305</c:v>
                </c:pt>
                <c:pt idx="156">
                  <c:v>41333</c:v>
                </c:pt>
                <c:pt idx="157">
                  <c:v>41364</c:v>
                </c:pt>
                <c:pt idx="158">
                  <c:v>41394</c:v>
                </c:pt>
                <c:pt idx="159">
                  <c:v>41425</c:v>
                </c:pt>
                <c:pt idx="160">
                  <c:v>41455</c:v>
                </c:pt>
                <c:pt idx="161">
                  <c:v>41486</c:v>
                </c:pt>
                <c:pt idx="162">
                  <c:v>41517</c:v>
                </c:pt>
                <c:pt idx="163">
                  <c:v>41547</c:v>
                </c:pt>
                <c:pt idx="164">
                  <c:v>41578</c:v>
                </c:pt>
                <c:pt idx="165">
                  <c:v>41608</c:v>
                </c:pt>
                <c:pt idx="166">
                  <c:v>41639</c:v>
                </c:pt>
                <c:pt idx="167">
                  <c:v>41670</c:v>
                </c:pt>
                <c:pt idx="168">
                  <c:v>41698</c:v>
                </c:pt>
                <c:pt idx="169">
                  <c:v>41729</c:v>
                </c:pt>
                <c:pt idx="170">
                  <c:v>41759</c:v>
                </c:pt>
                <c:pt idx="171">
                  <c:v>41790</c:v>
                </c:pt>
                <c:pt idx="172">
                  <c:v>41820</c:v>
                </c:pt>
                <c:pt idx="173">
                  <c:v>41851</c:v>
                </c:pt>
                <c:pt idx="174">
                  <c:v>41882</c:v>
                </c:pt>
                <c:pt idx="175">
                  <c:v>41912</c:v>
                </c:pt>
                <c:pt idx="176">
                  <c:v>41943</c:v>
                </c:pt>
                <c:pt idx="177">
                  <c:v>41973</c:v>
                </c:pt>
                <c:pt idx="178">
                  <c:v>42004</c:v>
                </c:pt>
                <c:pt idx="179">
                  <c:v>42035</c:v>
                </c:pt>
                <c:pt idx="180">
                  <c:v>42063</c:v>
                </c:pt>
                <c:pt idx="181">
                  <c:v>42094</c:v>
                </c:pt>
                <c:pt idx="182">
                  <c:v>42124</c:v>
                </c:pt>
                <c:pt idx="183">
                  <c:v>42155</c:v>
                </c:pt>
                <c:pt idx="184">
                  <c:v>42185</c:v>
                </c:pt>
                <c:pt idx="185">
                  <c:v>42216</c:v>
                </c:pt>
                <c:pt idx="186">
                  <c:v>42247</c:v>
                </c:pt>
                <c:pt idx="187">
                  <c:v>42277</c:v>
                </c:pt>
                <c:pt idx="188">
                  <c:v>42308</c:v>
                </c:pt>
                <c:pt idx="189">
                  <c:v>42338</c:v>
                </c:pt>
                <c:pt idx="190">
                  <c:v>42369</c:v>
                </c:pt>
                <c:pt idx="191">
                  <c:v>42400</c:v>
                </c:pt>
                <c:pt idx="192">
                  <c:v>42429</c:v>
                </c:pt>
                <c:pt idx="193">
                  <c:v>42460</c:v>
                </c:pt>
                <c:pt idx="194">
                  <c:v>42490</c:v>
                </c:pt>
                <c:pt idx="195">
                  <c:v>42521</c:v>
                </c:pt>
                <c:pt idx="196">
                  <c:v>42551</c:v>
                </c:pt>
                <c:pt idx="197">
                  <c:v>42582</c:v>
                </c:pt>
                <c:pt idx="198">
                  <c:v>42613</c:v>
                </c:pt>
                <c:pt idx="199">
                  <c:v>42643</c:v>
                </c:pt>
                <c:pt idx="200">
                  <c:v>42674</c:v>
                </c:pt>
                <c:pt idx="201">
                  <c:v>42704</c:v>
                </c:pt>
                <c:pt idx="202">
                  <c:v>42735</c:v>
                </c:pt>
                <c:pt idx="203">
                  <c:v>42736</c:v>
                </c:pt>
                <c:pt idx="204">
                  <c:v>42767</c:v>
                </c:pt>
                <c:pt idx="205">
                  <c:v>42795</c:v>
                </c:pt>
                <c:pt idx="206">
                  <c:v>42827</c:v>
                </c:pt>
                <c:pt idx="207">
                  <c:v>42858</c:v>
                </c:pt>
                <c:pt idx="208">
                  <c:v>42887</c:v>
                </c:pt>
                <c:pt idx="209">
                  <c:v>42946</c:v>
                </c:pt>
                <c:pt idx="210">
                  <c:v>42948</c:v>
                </c:pt>
                <c:pt idx="211">
                  <c:v>42980</c:v>
                </c:pt>
                <c:pt idx="212">
                  <c:v>43011</c:v>
                </c:pt>
                <c:pt idx="213">
                  <c:v>43040</c:v>
                </c:pt>
                <c:pt idx="214">
                  <c:v>43099</c:v>
                </c:pt>
                <c:pt idx="215">
                  <c:v>43101</c:v>
                </c:pt>
                <c:pt idx="216">
                  <c:v>43132</c:v>
                </c:pt>
                <c:pt idx="217">
                  <c:v>43160</c:v>
                </c:pt>
                <c:pt idx="218">
                  <c:v>43191</c:v>
                </c:pt>
                <c:pt idx="219">
                  <c:v>43221</c:v>
                </c:pt>
                <c:pt idx="220">
                  <c:v>43252</c:v>
                </c:pt>
                <c:pt idx="221">
                  <c:v>43282</c:v>
                </c:pt>
                <c:pt idx="222">
                  <c:v>43313</c:v>
                </c:pt>
                <c:pt idx="223">
                  <c:v>43344</c:v>
                </c:pt>
                <c:pt idx="224">
                  <c:v>43374</c:v>
                </c:pt>
                <c:pt idx="225">
                  <c:v>43405</c:v>
                </c:pt>
                <c:pt idx="226">
                  <c:v>43435</c:v>
                </c:pt>
                <c:pt idx="227">
                  <c:v>43466</c:v>
                </c:pt>
                <c:pt idx="228">
                  <c:v>43497</c:v>
                </c:pt>
                <c:pt idx="229">
                  <c:v>43525</c:v>
                </c:pt>
                <c:pt idx="230">
                  <c:v>43556</c:v>
                </c:pt>
                <c:pt idx="231">
                  <c:v>43586</c:v>
                </c:pt>
                <c:pt idx="232">
                  <c:v>43617</c:v>
                </c:pt>
                <c:pt idx="233">
                  <c:v>43647</c:v>
                </c:pt>
                <c:pt idx="234">
                  <c:v>43678</c:v>
                </c:pt>
                <c:pt idx="235">
                  <c:v>43709</c:v>
                </c:pt>
                <c:pt idx="236">
                  <c:v>43739</c:v>
                </c:pt>
                <c:pt idx="237">
                  <c:v>43770</c:v>
                </c:pt>
                <c:pt idx="238">
                  <c:v>43800</c:v>
                </c:pt>
                <c:pt idx="239">
                  <c:v>43831</c:v>
                </c:pt>
                <c:pt idx="240">
                  <c:v>43862</c:v>
                </c:pt>
                <c:pt idx="241">
                  <c:v>43891</c:v>
                </c:pt>
              </c:numCache>
            </c:numRef>
          </c:cat>
          <c:val>
            <c:numRef>
              <c:f>'PMI data'!$D$4:$D$245</c:f>
              <c:numCache>
                <c:formatCode>General</c:formatCode>
                <c:ptCount val="242"/>
                <c:pt idx="3" formatCode="0.0">
                  <c:v>0.86759151693205361</c:v>
                </c:pt>
                <c:pt idx="6" formatCode="0.0">
                  <c:v>0.57585344807529193</c:v>
                </c:pt>
                <c:pt idx="9" formatCode="0.0">
                  <c:v>0.66005428305977443</c:v>
                </c:pt>
                <c:pt idx="12" formatCode="0.0">
                  <c:v>0.99682767517974558</c:v>
                </c:pt>
                <c:pt idx="15" formatCode="0.0">
                  <c:v>9.5120963765937816E-2</c:v>
                </c:pt>
                <c:pt idx="18" formatCode="0.0">
                  <c:v>0.14111786384269909</c:v>
                </c:pt>
                <c:pt idx="21" formatCode="0.0">
                  <c:v>0.13063475113004319</c:v>
                </c:pt>
                <c:pt idx="24" formatCode="0.0">
                  <c:v>4.0762235050184614E-2</c:v>
                </c:pt>
                <c:pt idx="27" formatCode="0.0">
                  <c:v>0.56811695172767074</c:v>
                </c:pt>
                <c:pt idx="30" formatCode="0.0">
                  <c:v>0.41204438016104739</c:v>
                </c:pt>
                <c:pt idx="33" formatCode="0.0">
                  <c:v>0.17417760221538625</c:v>
                </c:pt>
                <c:pt idx="36" formatCode="0.0">
                  <c:v>-0.36282519946966296</c:v>
                </c:pt>
                <c:pt idx="39" formatCode="0.0">
                  <c:v>9.9011149815053656E-2</c:v>
                </c:pt>
                <c:pt idx="42" formatCode="0.0">
                  <c:v>0.56258726040234741</c:v>
                </c:pt>
                <c:pt idx="45" formatCode="0.0">
                  <c:v>0.74704565927647959</c:v>
                </c:pt>
                <c:pt idx="48" formatCode="0.0">
                  <c:v>0.5077831242680908</c:v>
                </c:pt>
                <c:pt idx="51" formatCode="0.0">
                  <c:v>0.59565818525084691</c:v>
                </c:pt>
                <c:pt idx="54" formatCode="0.0">
                  <c:v>0.25426726901052188</c:v>
                </c:pt>
                <c:pt idx="57" formatCode="0.0">
                  <c:v>0.36333520216602633</c:v>
                </c:pt>
                <c:pt idx="60" formatCode="0.0">
                  <c:v>0.22283824148183751</c:v>
                </c:pt>
                <c:pt idx="63" formatCode="0.0">
                  <c:v>0.61249037835462428</c:v>
                </c:pt>
                <c:pt idx="66" formatCode="0.0">
                  <c:v>0.7302433499619454</c:v>
                </c:pt>
                <c:pt idx="69" formatCode="0.0">
                  <c:v>0.62178686393632443</c:v>
                </c:pt>
                <c:pt idx="72" formatCode="0.0">
                  <c:v>0.89014784351937326</c:v>
                </c:pt>
                <c:pt idx="75" formatCode="0.0">
                  <c:v>1.0892130137010625</c:v>
                </c:pt>
                <c:pt idx="78" formatCode="0.0">
                  <c:v>0.58570362068441906</c:v>
                </c:pt>
                <c:pt idx="81" formatCode="0.0">
                  <c:v>1.1884401633593944</c:v>
                </c:pt>
                <c:pt idx="84" formatCode="0.0">
                  <c:v>0.61499229447692372</c:v>
                </c:pt>
                <c:pt idx="87" formatCode="0.0">
                  <c:v>0.69686431436093432</c:v>
                </c:pt>
                <c:pt idx="90" formatCode="0.0">
                  <c:v>0.43972804163123769</c:v>
                </c:pt>
                <c:pt idx="93" formatCode="0.0">
                  <c:v>0.56415306921704378</c:v>
                </c:pt>
                <c:pt idx="96" formatCode="0.0">
                  <c:v>0.45019076653505241</c:v>
                </c:pt>
                <c:pt idx="99" formatCode="0.0">
                  <c:v>-0.34811135844461383</c:v>
                </c:pt>
                <c:pt idx="102" formatCode="0.0">
                  <c:v>-0.54491664314753052</c:v>
                </c:pt>
                <c:pt idx="105" formatCode="0.0">
                  <c:v>-1.7102166350991932</c:v>
                </c:pt>
                <c:pt idx="108" formatCode="0.0">
                  <c:v>-3.1558385015964863</c:v>
                </c:pt>
                <c:pt idx="111" formatCode="0.0">
                  <c:v>-2.3217889639570721E-2</c:v>
                </c:pt>
                <c:pt idx="114" formatCode="0.0">
                  <c:v>0.36723002639131863</c:v>
                </c:pt>
                <c:pt idx="117" formatCode="0.0">
                  <c:v>0.51374758506430585</c:v>
                </c:pt>
                <c:pt idx="120" formatCode="0.0">
                  <c:v>0.3635439664245288</c:v>
                </c:pt>
                <c:pt idx="123" formatCode="0.0">
                  <c:v>0.98909429473155175</c:v>
                </c:pt>
                <c:pt idx="126" formatCode="0.0">
                  <c:v>0.45037140777661744</c:v>
                </c:pt>
                <c:pt idx="129" formatCode="0.0">
                  <c:v>0.61760582385947949</c:v>
                </c:pt>
                <c:pt idx="132" formatCode="0.0">
                  <c:v>0.83887614670574706</c:v>
                </c:pt>
                <c:pt idx="135" formatCode="0.0">
                  <c:v>5.4716022926726282E-3</c:v>
                </c:pt>
                <c:pt idx="138" formatCode="0.0">
                  <c:v>9.370433062654282E-2</c:v>
                </c:pt>
                <c:pt idx="141" formatCode="0.0">
                  <c:v>-0.35798664613022613</c:v>
                </c:pt>
                <c:pt idx="144" formatCode="0.0">
                  <c:v>-0.22149922262834076</c:v>
                </c:pt>
                <c:pt idx="147" formatCode="0.0">
                  <c:v>-0.3251348790288433</c:v>
                </c:pt>
                <c:pt idx="150" formatCode="0.0">
                  <c:v>-9.2712133209882364E-2</c:v>
                </c:pt>
                <c:pt idx="153" formatCode="0.0">
                  <c:v>-0.41902934305527717</c:v>
                </c:pt>
                <c:pt idx="156" formatCode="0.0">
                  <c:v>-0.38213913699770563</c:v>
                </c:pt>
                <c:pt idx="159" formatCode="0.0">
                  <c:v>0.52904987470308029</c:v>
                </c:pt>
                <c:pt idx="162" formatCode="0.0">
                  <c:v>0.31048928275807519</c:v>
                </c:pt>
                <c:pt idx="165" formatCode="0.0">
                  <c:v>0.23609663320989238</c:v>
                </c:pt>
                <c:pt idx="168" formatCode="0.0">
                  <c:v>0.46686277769814044</c:v>
                </c:pt>
                <c:pt idx="171" formatCode="0.0">
                  <c:v>0.18845148062462957</c:v>
                </c:pt>
                <c:pt idx="174" formatCode="0.0">
                  <c:v>0.47437300886770117</c:v>
                </c:pt>
                <c:pt idx="177" formatCode="0.0">
                  <c:v>0.42906130259410258</c:v>
                </c:pt>
                <c:pt idx="180" formatCode="0.0">
                  <c:v>0.73482893445357966</c:v>
                </c:pt>
                <c:pt idx="183" formatCode="0.0">
                  <c:v>0.40682954472888166</c:v>
                </c:pt>
                <c:pt idx="186" formatCode="0.0">
                  <c:v>0.4593988259448345</c:v>
                </c:pt>
                <c:pt idx="189" formatCode="0.0">
                  <c:v>0.43018603075388739</c:v>
                </c:pt>
                <c:pt idx="192" formatCode="0.0">
                  <c:v>0.60311817643874388</c:v>
                </c:pt>
                <c:pt idx="195" formatCode="0.0">
                  <c:v>0.27643173735469873</c:v>
                </c:pt>
                <c:pt idx="198" formatCode="0.0">
                  <c:v>0.45206163638147334</c:v>
                </c:pt>
                <c:pt idx="201" formatCode="0.0">
                  <c:v>0.7731933406667002</c:v>
                </c:pt>
                <c:pt idx="204" formatCode="0.0">
                  <c:v>0.64805834887209368</c:v>
                </c:pt>
                <c:pt idx="207" formatCode="0.0">
                  <c:v>0.7200058480020477</c:v>
                </c:pt>
                <c:pt idx="210" formatCode="0.0">
                  <c:v>0.77656462896142919</c:v>
                </c:pt>
                <c:pt idx="213" formatCode="0.0">
                  <c:v>0.7853680579377631</c:v>
                </c:pt>
                <c:pt idx="216" formatCode="0.0">
                  <c:v>0.26441387805515859</c:v>
                </c:pt>
                <c:pt idx="219" formatCode="0.0">
                  <c:v>0.36027671835525688</c:v>
                </c:pt>
                <c:pt idx="222" formatCode="0.0">
                  <c:v>0.2064742366976402</c:v>
                </c:pt>
                <c:pt idx="225" formatCode="0.0">
                  <c:v>0.34469293009180557</c:v>
                </c:pt>
                <c:pt idx="228" formatCode="0.0">
                  <c:v>0.44665113562942782</c:v>
                </c:pt>
                <c:pt idx="231" formatCode="0.0">
                  <c:v>0.15857864493245</c:v>
                </c:pt>
                <c:pt idx="234" formatCode="0.0">
                  <c:v>0.2738479472430555</c:v>
                </c:pt>
                <c:pt idx="237" formatCode="0.0">
                  <c:v>5.8764751098272505E-2</c:v>
                </c:pt>
              </c:numCache>
            </c:numRef>
          </c:val>
          <c:extLst xmlns:c16r2="http://schemas.microsoft.com/office/drawing/2015/06/chart">
            <c:ext xmlns:c16="http://schemas.microsoft.com/office/drawing/2014/chart" uri="{C3380CC4-5D6E-409C-BE32-E72D297353CC}">
              <c16:uniqueId val="{00000012-645D-4084-A016-F925E08AECC7}"/>
            </c:ext>
          </c:extLst>
        </c:ser>
        <c:dLbls>
          <c:showLegendKey val="0"/>
          <c:showVal val="0"/>
          <c:showCatName val="0"/>
          <c:showSerName val="0"/>
          <c:showPercent val="0"/>
          <c:showBubbleSize val="0"/>
        </c:dLbls>
        <c:gapWidth val="0"/>
        <c:axId val="236333032"/>
        <c:axId val="236333424"/>
      </c:barChart>
      <c:lineChart>
        <c:grouping val="standard"/>
        <c:varyColors val="0"/>
        <c:ser>
          <c:idx val="1"/>
          <c:order val="1"/>
          <c:tx>
            <c:strRef>
              <c:f>'PMI charts'!$K$27</c:f>
              <c:strCache>
                <c:ptCount val="1"/>
                <c:pt idx="0">
                  <c:v>Kompozitný PMI indikátor (vpravo)</c:v>
                </c:pt>
              </c:strCache>
            </c:strRef>
          </c:tx>
          <c:spPr>
            <a:ln w="19050" cap="rnd">
              <a:solidFill>
                <a:schemeClr val="tx1"/>
              </a:solidFill>
              <a:round/>
            </a:ln>
            <a:effectLst/>
          </c:spPr>
          <c:marker>
            <c:symbol val="none"/>
          </c:marker>
          <c:cat>
            <c:strRef>
              <c:f>'PMI data'!$B$4:$B$245</c:f>
              <c:strCache>
                <c:ptCount val="241"/>
                <c:pt idx="0">
                  <c:v>2000
Q1</c:v>
                </c:pt>
                <c:pt idx="3">
                  <c:v>Q2</c:v>
                </c:pt>
                <c:pt idx="6">
                  <c:v>Q3</c:v>
                </c:pt>
                <c:pt idx="9">
                  <c:v>Q4</c:v>
                </c:pt>
                <c:pt idx="12">
                  <c:v>2001
Q1</c:v>
                </c:pt>
                <c:pt idx="15">
                  <c:v>Q2</c:v>
                </c:pt>
                <c:pt idx="18">
                  <c:v>Q3</c:v>
                </c:pt>
                <c:pt idx="21">
                  <c:v>Q4</c:v>
                </c:pt>
                <c:pt idx="24">
                  <c:v>2002
Q1</c:v>
                </c:pt>
                <c:pt idx="27">
                  <c:v>Q2</c:v>
                </c:pt>
                <c:pt idx="30">
                  <c:v>Q3</c:v>
                </c:pt>
                <c:pt idx="33">
                  <c:v>Q4</c:v>
                </c:pt>
                <c:pt idx="36">
                  <c:v>2003
Q1</c:v>
                </c:pt>
                <c:pt idx="39">
                  <c:v>Q2</c:v>
                </c:pt>
                <c:pt idx="42">
                  <c:v>Q3</c:v>
                </c:pt>
                <c:pt idx="45">
                  <c:v>Q4</c:v>
                </c:pt>
                <c:pt idx="48">
                  <c:v>2004
Q1</c:v>
                </c:pt>
                <c:pt idx="51">
                  <c:v>Q2</c:v>
                </c:pt>
                <c:pt idx="54">
                  <c:v>Q3</c:v>
                </c:pt>
                <c:pt idx="57">
                  <c:v>Q4</c:v>
                </c:pt>
                <c:pt idx="60">
                  <c:v>2005
Q1</c:v>
                </c:pt>
                <c:pt idx="63">
                  <c:v>Q2</c:v>
                </c:pt>
                <c:pt idx="66">
                  <c:v>Q3</c:v>
                </c:pt>
                <c:pt idx="69">
                  <c:v>Q4</c:v>
                </c:pt>
                <c:pt idx="72">
                  <c:v>2006
Q1</c:v>
                </c:pt>
                <c:pt idx="75">
                  <c:v>Q2</c:v>
                </c:pt>
                <c:pt idx="78">
                  <c:v>Q3</c:v>
                </c:pt>
                <c:pt idx="81">
                  <c:v>Q4</c:v>
                </c:pt>
                <c:pt idx="84">
                  <c:v>2007
Q1</c:v>
                </c:pt>
                <c:pt idx="87">
                  <c:v>Q2</c:v>
                </c:pt>
                <c:pt idx="90">
                  <c:v>Q3</c:v>
                </c:pt>
                <c:pt idx="93">
                  <c:v>Q4</c:v>
                </c:pt>
                <c:pt idx="96">
                  <c:v>2008
Q1</c:v>
                </c:pt>
                <c:pt idx="99">
                  <c:v>Q2</c:v>
                </c:pt>
                <c:pt idx="102">
                  <c:v>Q3</c:v>
                </c:pt>
                <c:pt idx="105">
                  <c:v>Q4</c:v>
                </c:pt>
                <c:pt idx="108">
                  <c:v>2009
Q1</c:v>
                </c:pt>
                <c:pt idx="111">
                  <c:v>Q2</c:v>
                </c:pt>
                <c:pt idx="114">
                  <c:v>Q3</c:v>
                </c:pt>
                <c:pt idx="117">
                  <c:v>Q4</c:v>
                </c:pt>
                <c:pt idx="120">
                  <c:v>2010
Q1</c:v>
                </c:pt>
                <c:pt idx="123">
                  <c:v>Q2</c:v>
                </c:pt>
                <c:pt idx="126">
                  <c:v>Q3</c:v>
                </c:pt>
                <c:pt idx="129">
                  <c:v>Q4</c:v>
                </c:pt>
                <c:pt idx="132">
                  <c:v>2011
Q1</c:v>
                </c:pt>
                <c:pt idx="135">
                  <c:v>Q2</c:v>
                </c:pt>
                <c:pt idx="138">
                  <c:v>Q3</c:v>
                </c:pt>
                <c:pt idx="141">
                  <c:v>Q4</c:v>
                </c:pt>
                <c:pt idx="144">
                  <c:v>2012
Q1</c:v>
                </c:pt>
                <c:pt idx="147">
                  <c:v>Q2</c:v>
                </c:pt>
                <c:pt idx="150">
                  <c:v>Q3</c:v>
                </c:pt>
                <c:pt idx="153">
                  <c:v>Q4</c:v>
                </c:pt>
                <c:pt idx="156">
                  <c:v>2013
Q1</c:v>
                </c:pt>
                <c:pt idx="159">
                  <c:v>Q2</c:v>
                </c:pt>
                <c:pt idx="162">
                  <c:v>Q3</c:v>
                </c:pt>
                <c:pt idx="165">
                  <c:v>Q4</c:v>
                </c:pt>
                <c:pt idx="168">
                  <c:v>2014
Q1</c:v>
                </c:pt>
                <c:pt idx="171">
                  <c:v>Q2</c:v>
                </c:pt>
                <c:pt idx="174">
                  <c:v>Q3</c:v>
                </c:pt>
                <c:pt idx="177">
                  <c:v>Q4</c:v>
                </c:pt>
                <c:pt idx="180">
                  <c:v>2015
Q1</c:v>
                </c:pt>
                <c:pt idx="183">
                  <c:v>Q2</c:v>
                </c:pt>
                <c:pt idx="186">
                  <c:v>Q3</c:v>
                </c:pt>
                <c:pt idx="189">
                  <c:v>Q4</c:v>
                </c:pt>
                <c:pt idx="192">
                  <c:v>2016
Q1</c:v>
                </c:pt>
                <c:pt idx="195">
                  <c:v>Q2</c:v>
                </c:pt>
                <c:pt idx="198">
                  <c:v>Q3</c:v>
                </c:pt>
                <c:pt idx="201">
                  <c:v>Q4</c:v>
                </c:pt>
                <c:pt idx="204">
                  <c:v>2017
Q1</c:v>
                </c:pt>
                <c:pt idx="207">
                  <c:v>Q2</c:v>
                </c:pt>
                <c:pt idx="210">
                  <c:v>Q3</c:v>
                </c:pt>
                <c:pt idx="213">
                  <c:v>Q4</c:v>
                </c:pt>
                <c:pt idx="216">
                  <c:v>2018
Q1</c:v>
                </c:pt>
                <c:pt idx="219">
                  <c:v>Q2</c:v>
                </c:pt>
                <c:pt idx="222">
                  <c:v>Q3</c:v>
                </c:pt>
                <c:pt idx="225">
                  <c:v>Q4</c:v>
                </c:pt>
                <c:pt idx="228">
                  <c:v>2019
Q1</c:v>
                </c:pt>
                <c:pt idx="231">
                  <c:v>Q2</c:v>
                </c:pt>
                <c:pt idx="234">
                  <c:v>Q3</c:v>
                </c:pt>
                <c:pt idx="237">
                  <c:v>Q4</c:v>
                </c:pt>
                <c:pt idx="240">
                  <c:v>2020
Q1</c:v>
                </c:pt>
              </c:strCache>
            </c:strRef>
          </c:cat>
          <c:val>
            <c:numRef>
              <c:f>'PMI data'!$I$4:$I$245</c:f>
              <c:numCache>
                <c:formatCode>0.0</c:formatCode>
                <c:ptCount val="242"/>
                <c:pt idx="0">
                  <c:v>59.252899999999997</c:v>
                </c:pt>
                <c:pt idx="1">
                  <c:v>60.875599999999999</c:v>
                </c:pt>
                <c:pt idx="2">
                  <c:v>62.5488</c:v>
                </c:pt>
                <c:pt idx="3">
                  <c:v>61.609400000000001</c:v>
                </c:pt>
                <c:pt idx="4">
                  <c:v>61.152200000000001</c:v>
                </c:pt>
                <c:pt idx="5">
                  <c:v>60.560099999999998</c:v>
                </c:pt>
                <c:pt idx="6">
                  <c:v>60.0518</c:v>
                </c:pt>
                <c:pt idx="7">
                  <c:v>59.356999999999999</c:v>
                </c:pt>
                <c:pt idx="8">
                  <c:v>57.384900000000002</c:v>
                </c:pt>
                <c:pt idx="9">
                  <c:v>56.405700000000003</c:v>
                </c:pt>
                <c:pt idx="10">
                  <c:v>56.028500000000001</c:v>
                </c:pt>
                <c:pt idx="11">
                  <c:v>55.337000000000003</c:v>
                </c:pt>
                <c:pt idx="12">
                  <c:v>54.283900000000003</c:v>
                </c:pt>
                <c:pt idx="13">
                  <c:v>52.948999999999998</c:v>
                </c:pt>
                <c:pt idx="14">
                  <c:v>52.039400000000001</c:v>
                </c:pt>
                <c:pt idx="15">
                  <c:v>51.281999999999996</c:v>
                </c:pt>
                <c:pt idx="16">
                  <c:v>51.530500000000004</c:v>
                </c:pt>
                <c:pt idx="17">
                  <c:v>50.959299999999999</c:v>
                </c:pt>
                <c:pt idx="18">
                  <c:v>50.3157</c:v>
                </c:pt>
                <c:pt idx="19">
                  <c:v>48.076900000000002</c:v>
                </c:pt>
                <c:pt idx="20">
                  <c:v>45.200600000000001</c:v>
                </c:pt>
                <c:pt idx="21">
                  <c:v>46.088900000000002</c:v>
                </c:pt>
                <c:pt idx="22">
                  <c:v>47.991799999999998</c:v>
                </c:pt>
                <c:pt idx="23">
                  <c:v>49.970999999999997</c:v>
                </c:pt>
                <c:pt idx="24">
                  <c:v>51.550800000000002</c:v>
                </c:pt>
                <c:pt idx="25">
                  <c:v>52.7789</c:v>
                </c:pt>
                <c:pt idx="26">
                  <c:v>53.322699999999998</c:v>
                </c:pt>
                <c:pt idx="27">
                  <c:v>52.779800000000002</c:v>
                </c:pt>
                <c:pt idx="28">
                  <c:v>53.206800000000001</c:v>
                </c:pt>
                <c:pt idx="29">
                  <c:v>52.763599999999997</c:v>
                </c:pt>
                <c:pt idx="30">
                  <c:v>51.597999999999999</c:v>
                </c:pt>
                <c:pt idx="31">
                  <c:v>49.244799999999998</c:v>
                </c:pt>
                <c:pt idx="32">
                  <c:v>50.746899999999997</c:v>
                </c:pt>
                <c:pt idx="33">
                  <c:v>51.146099999999997</c:v>
                </c:pt>
                <c:pt idx="34">
                  <c:v>50.3352</c:v>
                </c:pt>
                <c:pt idx="35">
                  <c:v>50.391300000000001</c:v>
                </c:pt>
                <c:pt idx="36">
                  <c:v>49.991300000000003</c:v>
                </c:pt>
                <c:pt idx="37">
                  <c:v>48.828699999999998</c:v>
                </c:pt>
                <c:pt idx="38">
                  <c:v>48.356000000000002</c:v>
                </c:pt>
                <c:pt idx="39">
                  <c:v>48.186799999999998</c:v>
                </c:pt>
                <c:pt idx="40">
                  <c:v>48.155299999999997</c:v>
                </c:pt>
                <c:pt idx="41">
                  <c:v>49.847499999999997</c:v>
                </c:pt>
                <c:pt idx="42">
                  <c:v>51.201099999999997</c:v>
                </c:pt>
                <c:pt idx="43">
                  <c:v>52.847499999999997</c:v>
                </c:pt>
                <c:pt idx="44">
                  <c:v>54.877699999999997</c:v>
                </c:pt>
                <c:pt idx="45">
                  <c:v>56.245600000000003</c:v>
                </c:pt>
                <c:pt idx="46">
                  <c:v>55.793599999999998</c:v>
                </c:pt>
                <c:pt idx="47">
                  <c:v>56.185499999999998</c:v>
                </c:pt>
                <c:pt idx="48">
                  <c:v>55.4343</c:v>
                </c:pt>
                <c:pt idx="49">
                  <c:v>54.536000000000001</c:v>
                </c:pt>
                <c:pt idx="50">
                  <c:v>54.926299999999998</c:v>
                </c:pt>
                <c:pt idx="51">
                  <c:v>56.042700000000004</c:v>
                </c:pt>
                <c:pt idx="52">
                  <c:v>55.571800000000003</c:v>
                </c:pt>
                <c:pt idx="53">
                  <c:v>56.0212</c:v>
                </c:pt>
                <c:pt idx="54">
                  <c:v>54.955399999999997</c:v>
                </c:pt>
                <c:pt idx="55">
                  <c:v>53.917499999999997</c:v>
                </c:pt>
                <c:pt idx="56">
                  <c:v>53.738900000000001</c:v>
                </c:pt>
                <c:pt idx="57">
                  <c:v>51.729500000000002</c:v>
                </c:pt>
                <c:pt idx="58">
                  <c:v>52.526899999999998</c:v>
                </c:pt>
                <c:pt idx="59">
                  <c:v>53.355800000000002</c:v>
                </c:pt>
                <c:pt idx="60">
                  <c:v>53.145699999999998</c:v>
                </c:pt>
                <c:pt idx="61">
                  <c:v>52.4527</c:v>
                </c:pt>
                <c:pt idx="62">
                  <c:v>51.765000000000001</c:v>
                </c:pt>
                <c:pt idx="63">
                  <c:v>52.106400000000001</c:v>
                </c:pt>
                <c:pt idx="64">
                  <c:v>52.282400000000003</c:v>
                </c:pt>
                <c:pt idx="65">
                  <c:v>53.183</c:v>
                </c:pt>
                <c:pt idx="66">
                  <c:v>52.762799999999999</c:v>
                </c:pt>
                <c:pt idx="67">
                  <c:v>54.295999999999999</c:v>
                </c:pt>
                <c:pt idx="68">
                  <c:v>54.664999999999999</c:v>
                </c:pt>
                <c:pt idx="69">
                  <c:v>55.054099999999998</c:v>
                </c:pt>
                <c:pt idx="70">
                  <c:v>56.378300000000003</c:v>
                </c:pt>
                <c:pt idx="71">
                  <c:v>56.555599999999998</c:v>
                </c:pt>
                <c:pt idx="72">
                  <c:v>57.732799999999997</c:v>
                </c:pt>
                <c:pt idx="73">
                  <c:v>58.502099999999999</c:v>
                </c:pt>
                <c:pt idx="74">
                  <c:v>58.734499999999997</c:v>
                </c:pt>
                <c:pt idx="75">
                  <c:v>59.005800000000001</c:v>
                </c:pt>
                <c:pt idx="76">
                  <c:v>60.416499999999999</c:v>
                </c:pt>
                <c:pt idx="77">
                  <c:v>58.462299999999999</c:v>
                </c:pt>
                <c:pt idx="78">
                  <c:v>57.811999999999998</c:v>
                </c:pt>
                <c:pt idx="79">
                  <c:v>57.259399999999999</c:v>
                </c:pt>
                <c:pt idx="80">
                  <c:v>57.3474</c:v>
                </c:pt>
                <c:pt idx="81">
                  <c:v>57.639200000000002</c:v>
                </c:pt>
                <c:pt idx="82">
                  <c:v>57.4998</c:v>
                </c:pt>
                <c:pt idx="83">
                  <c:v>57.508899999999997</c:v>
                </c:pt>
                <c:pt idx="84">
                  <c:v>57.709099999999999</c:v>
                </c:pt>
                <c:pt idx="85">
                  <c:v>57.392299999999999</c:v>
                </c:pt>
                <c:pt idx="86">
                  <c:v>56.943899999999999</c:v>
                </c:pt>
                <c:pt idx="87">
                  <c:v>56.840200000000003</c:v>
                </c:pt>
                <c:pt idx="88">
                  <c:v>57.774099999999997</c:v>
                </c:pt>
                <c:pt idx="89">
                  <c:v>57.515099999999997</c:v>
                </c:pt>
                <c:pt idx="90">
                  <c:v>57.360399999999998</c:v>
                </c:pt>
                <c:pt idx="91">
                  <c:v>54.694299999999998</c:v>
                </c:pt>
                <c:pt idx="92">
                  <c:v>54.651499999999999</c:v>
                </c:pt>
                <c:pt idx="93">
                  <c:v>54.123399999999997</c:v>
                </c:pt>
                <c:pt idx="94">
                  <c:v>53.284700000000001</c:v>
                </c:pt>
                <c:pt idx="95">
                  <c:v>51.789099999999998</c:v>
                </c:pt>
                <c:pt idx="96">
                  <c:v>52.7776</c:v>
                </c:pt>
                <c:pt idx="97">
                  <c:v>51.797899999999998</c:v>
                </c:pt>
                <c:pt idx="98">
                  <c:v>51.942300000000003</c:v>
                </c:pt>
                <c:pt idx="99">
                  <c:v>51.0503</c:v>
                </c:pt>
                <c:pt idx="100">
                  <c:v>49.303100000000001</c:v>
                </c:pt>
                <c:pt idx="101">
                  <c:v>47.754600000000003</c:v>
                </c:pt>
                <c:pt idx="102">
                  <c:v>48.166400000000003</c:v>
                </c:pt>
                <c:pt idx="103">
                  <c:v>46.878300000000003</c:v>
                </c:pt>
                <c:pt idx="104">
                  <c:v>43.614400000000003</c:v>
                </c:pt>
                <c:pt idx="105">
                  <c:v>38.923099999999998</c:v>
                </c:pt>
                <c:pt idx="106">
                  <c:v>38.179699999999997</c:v>
                </c:pt>
                <c:pt idx="107">
                  <c:v>38.291200000000003</c:v>
                </c:pt>
                <c:pt idx="108">
                  <c:v>36.2166</c:v>
                </c:pt>
                <c:pt idx="109">
                  <c:v>38.251800000000003</c:v>
                </c:pt>
                <c:pt idx="110">
                  <c:v>41.0625</c:v>
                </c:pt>
                <c:pt idx="111">
                  <c:v>44</c:v>
                </c:pt>
                <c:pt idx="112">
                  <c:v>44.6</c:v>
                </c:pt>
                <c:pt idx="113">
                  <c:v>47</c:v>
                </c:pt>
                <c:pt idx="114">
                  <c:v>50.4</c:v>
                </c:pt>
                <c:pt idx="115">
                  <c:v>51.1</c:v>
                </c:pt>
                <c:pt idx="116">
                  <c:v>53</c:v>
                </c:pt>
                <c:pt idx="117">
                  <c:v>53.7</c:v>
                </c:pt>
                <c:pt idx="118">
                  <c:v>54.2</c:v>
                </c:pt>
                <c:pt idx="119">
                  <c:v>53.7</c:v>
                </c:pt>
                <c:pt idx="120">
                  <c:v>53.7</c:v>
                </c:pt>
                <c:pt idx="121">
                  <c:v>55.9</c:v>
                </c:pt>
                <c:pt idx="122">
                  <c:v>57.3</c:v>
                </c:pt>
                <c:pt idx="123">
                  <c:v>56.4</c:v>
                </c:pt>
                <c:pt idx="124">
                  <c:v>56</c:v>
                </c:pt>
                <c:pt idx="125">
                  <c:v>56.7</c:v>
                </c:pt>
                <c:pt idx="126">
                  <c:v>56.2</c:v>
                </c:pt>
                <c:pt idx="127">
                  <c:v>54.1</c:v>
                </c:pt>
                <c:pt idx="128">
                  <c:v>53.8</c:v>
                </c:pt>
                <c:pt idx="129">
                  <c:v>55.5</c:v>
                </c:pt>
                <c:pt idx="130">
                  <c:v>55.5</c:v>
                </c:pt>
                <c:pt idx="131">
                  <c:v>57</c:v>
                </c:pt>
                <c:pt idx="132">
                  <c:v>58.2</c:v>
                </c:pt>
                <c:pt idx="133">
                  <c:v>57.6</c:v>
                </c:pt>
                <c:pt idx="134">
                  <c:v>57.8</c:v>
                </c:pt>
                <c:pt idx="135">
                  <c:v>55.8</c:v>
                </c:pt>
                <c:pt idx="136">
                  <c:v>53.3</c:v>
                </c:pt>
                <c:pt idx="137">
                  <c:v>51.1</c:v>
                </c:pt>
                <c:pt idx="138">
                  <c:v>50.7</c:v>
                </c:pt>
                <c:pt idx="139">
                  <c:v>49.1</c:v>
                </c:pt>
                <c:pt idx="140">
                  <c:v>46.5</c:v>
                </c:pt>
                <c:pt idx="141">
                  <c:v>47</c:v>
                </c:pt>
                <c:pt idx="142">
                  <c:v>48.3</c:v>
                </c:pt>
                <c:pt idx="143">
                  <c:v>50.4</c:v>
                </c:pt>
                <c:pt idx="144">
                  <c:v>49.3</c:v>
                </c:pt>
                <c:pt idx="145">
                  <c:v>49.1</c:v>
                </c:pt>
                <c:pt idx="146">
                  <c:v>46.7</c:v>
                </c:pt>
                <c:pt idx="147">
                  <c:v>46</c:v>
                </c:pt>
                <c:pt idx="148">
                  <c:v>46.4</c:v>
                </c:pt>
                <c:pt idx="149">
                  <c:v>46.5</c:v>
                </c:pt>
                <c:pt idx="150">
                  <c:v>46.3</c:v>
                </c:pt>
                <c:pt idx="151">
                  <c:v>46.1</c:v>
                </c:pt>
                <c:pt idx="152">
                  <c:v>45.7</c:v>
                </c:pt>
                <c:pt idx="153">
                  <c:v>46.5</c:v>
                </c:pt>
                <c:pt idx="154">
                  <c:v>47.2</c:v>
                </c:pt>
                <c:pt idx="155">
                  <c:v>48.6</c:v>
                </c:pt>
                <c:pt idx="156">
                  <c:v>47.9</c:v>
                </c:pt>
                <c:pt idx="157">
                  <c:v>46.5</c:v>
                </c:pt>
                <c:pt idx="158">
                  <c:v>46.9</c:v>
                </c:pt>
                <c:pt idx="159">
                  <c:v>47.7</c:v>
                </c:pt>
                <c:pt idx="160">
                  <c:v>48.7</c:v>
                </c:pt>
                <c:pt idx="161">
                  <c:v>50.5</c:v>
                </c:pt>
                <c:pt idx="162">
                  <c:v>51.5</c:v>
                </c:pt>
                <c:pt idx="163">
                  <c:v>52.2</c:v>
                </c:pt>
                <c:pt idx="164">
                  <c:v>51.9</c:v>
                </c:pt>
                <c:pt idx="165">
                  <c:v>51.7</c:v>
                </c:pt>
                <c:pt idx="166">
                  <c:v>52.1</c:v>
                </c:pt>
                <c:pt idx="167">
                  <c:v>52.9</c:v>
                </c:pt>
                <c:pt idx="168">
                  <c:v>53.3</c:v>
                </c:pt>
                <c:pt idx="169">
                  <c:v>53.1</c:v>
                </c:pt>
                <c:pt idx="170">
                  <c:v>54</c:v>
                </c:pt>
                <c:pt idx="171">
                  <c:v>53.5</c:v>
                </c:pt>
                <c:pt idx="172">
                  <c:v>52.8</c:v>
                </c:pt>
                <c:pt idx="173">
                  <c:v>53.8</c:v>
                </c:pt>
                <c:pt idx="174">
                  <c:v>52.5</c:v>
                </c:pt>
                <c:pt idx="175">
                  <c:v>52</c:v>
                </c:pt>
                <c:pt idx="176">
                  <c:v>52.1</c:v>
                </c:pt>
                <c:pt idx="177">
                  <c:v>51.1</c:v>
                </c:pt>
                <c:pt idx="178">
                  <c:v>51.4</c:v>
                </c:pt>
                <c:pt idx="179">
                  <c:v>52.6</c:v>
                </c:pt>
                <c:pt idx="180">
                  <c:v>53.3</c:v>
                </c:pt>
                <c:pt idx="181">
                  <c:v>54</c:v>
                </c:pt>
                <c:pt idx="182">
                  <c:v>53.9</c:v>
                </c:pt>
                <c:pt idx="183">
                  <c:v>53.6</c:v>
                </c:pt>
                <c:pt idx="184">
                  <c:v>54.2</c:v>
                </c:pt>
                <c:pt idx="185">
                  <c:v>53.7</c:v>
                </c:pt>
                <c:pt idx="186">
                  <c:v>54.3</c:v>
                </c:pt>
                <c:pt idx="187">
                  <c:v>53.6</c:v>
                </c:pt>
                <c:pt idx="188">
                  <c:v>53.9</c:v>
                </c:pt>
                <c:pt idx="189">
                  <c:v>54.2</c:v>
                </c:pt>
                <c:pt idx="190">
                  <c:v>54.3</c:v>
                </c:pt>
                <c:pt idx="191">
                  <c:v>53.6</c:v>
                </c:pt>
                <c:pt idx="192">
                  <c:v>53</c:v>
                </c:pt>
                <c:pt idx="193">
                  <c:v>53.1</c:v>
                </c:pt>
                <c:pt idx="194">
                  <c:v>53</c:v>
                </c:pt>
                <c:pt idx="195">
                  <c:v>53.1</c:v>
                </c:pt>
                <c:pt idx="196">
                  <c:v>53.1</c:v>
                </c:pt>
                <c:pt idx="197">
                  <c:v>53.2</c:v>
                </c:pt>
                <c:pt idx="198">
                  <c:v>53.3</c:v>
                </c:pt>
                <c:pt idx="199">
                  <c:v>52.6</c:v>
                </c:pt>
                <c:pt idx="200">
                  <c:v>53.3</c:v>
                </c:pt>
                <c:pt idx="201">
                  <c:v>53.9</c:v>
                </c:pt>
                <c:pt idx="202">
                  <c:v>54.4</c:v>
                </c:pt>
                <c:pt idx="203">
                  <c:v>54.4</c:v>
                </c:pt>
                <c:pt idx="204">
                  <c:v>56</c:v>
                </c:pt>
                <c:pt idx="205">
                  <c:v>56.4</c:v>
                </c:pt>
                <c:pt idx="206">
                  <c:v>56.8</c:v>
                </c:pt>
                <c:pt idx="207">
                  <c:v>56.8</c:v>
                </c:pt>
                <c:pt idx="208">
                  <c:v>56.3</c:v>
                </c:pt>
                <c:pt idx="209">
                  <c:v>55.7</c:v>
                </c:pt>
                <c:pt idx="210">
                  <c:v>55.7</c:v>
                </c:pt>
                <c:pt idx="211">
                  <c:v>56.7</c:v>
                </c:pt>
                <c:pt idx="212">
                  <c:v>56</c:v>
                </c:pt>
                <c:pt idx="213">
                  <c:v>57.5</c:v>
                </c:pt>
                <c:pt idx="214">
                  <c:v>58.1</c:v>
                </c:pt>
                <c:pt idx="215">
                  <c:v>58.8</c:v>
                </c:pt>
                <c:pt idx="216">
                  <c:v>57.1</c:v>
                </c:pt>
                <c:pt idx="217">
                  <c:v>55.2</c:v>
                </c:pt>
                <c:pt idx="218">
                  <c:v>55.1</c:v>
                </c:pt>
                <c:pt idx="219">
                  <c:v>54.1</c:v>
                </c:pt>
                <c:pt idx="220">
                  <c:v>54.9</c:v>
                </c:pt>
                <c:pt idx="221">
                  <c:v>54.3</c:v>
                </c:pt>
                <c:pt idx="222">
                  <c:v>54.5</c:v>
                </c:pt>
                <c:pt idx="223">
                  <c:v>54.1</c:v>
                </c:pt>
                <c:pt idx="224">
                  <c:v>53.1</c:v>
                </c:pt>
                <c:pt idx="225">
                  <c:v>52.7</c:v>
                </c:pt>
                <c:pt idx="226">
                  <c:v>51.1</c:v>
                </c:pt>
                <c:pt idx="227">
                  <c:v>51</c:v>
                </c:pt>
                <c:pt idx="228">
                  <c:v>51.9</c:v>
                </c:pt>
                <c:pt idx="229">
                  <c:v>51.6</c:v>
                </c:pt>
                <c:pt idx="230">
                  <c:v>51.5</c:v>
                </c:pt>
                <c:pt idx="231">
                  <c:v>51.8</c:v>
                </c:pt>
                <c:pt idx="232">
                  <c:v>52.2</c:v>
                </c:pt>
                <c:pt idx="233">
                  <c:v>51.5</c:v>
                </c:pt>
                <c:pt idx="234">
                  <c:v>51.9</c:v>
                </c:pt>
                <c:pt idx="235">
                  <c:v>50.1</c:v>
                </c:pt>
                <c:pt idx="236">
                  <c:v>50.6</c:v>
                </c:pt>
                <c:pt idx="237">
                  <c:v>50.6</c:v>
                </c:pt>
                <c:pt idx="238">
                  <c:v>50.9</c:v>
                </c:pt>
                <c:pt idx="239">
                  <c:v>51.3</c:v>
                </c:pt>
                <c:pt idx="240">
                  <c:v>51.6</c:v>
                </c:pt>
                <c:pt idx="241">
                  <c:v>29.7</c:v>
                </c:pt>
              </c:numCache>
            </c:numRef>
          </c:val>
          <c:smooth val="1"/>
          <c:extLst xmlns:c16r2="http://schemas.microsoft.com/office/drawing/2015/06/chart">
            <c:ext xmlns:c16="http://schemas.microsoft.com/office/drawing/2014/chart" uri="{C3380CC4-5D6E-409C-BE32-E72D297353CC}">
              <c16:uniqueId val="{00000013-645D-4084-A016-F925E08AECC7}"/>
            </c:ext>
          </c:extLst>
        </c:ser>
        <c:ser>
          <c:idx val="2"/>
          <c:order val="2"/>
          <c:tx>
            <c:strRef>
              <c:f>'PMI charts'!$K$29</c:f>
              <c:strCache>
                <c:ptCount val="1"/>
                <c:pt idx="0">
                  <c:v>PMI hranica rastu/poklesu ekonomiky</c:v>
                </c:pt>
              </c:strCache>
            </c:strRef>
          </c:tx>
          <c:spPr>
            <a:ln w="22225" cap="rnd">
              <a:solidFill>
                <a:srgbClr val="C00000"/>
              </a:solidFill>
              <a:round/>
            </a:ln>
            <a:effectLst/>
          </c:spPr>
          <c:marker>
            <c:symbol val="none"/>
          </c:marker>
          <c:cat>
            <c:strRef>
              <c:f>'PMI data'!$B$4:$B$245</c:f>
              <c:strCache>
                <c:ptCount val="241"/>
                <c:pt idx="0">
                  <c:v>2000
Q1</c:v>
                </c:pt>
                <c:pt idx="3">
                  <c:v>Q2</c:v>
                </c:pt>
                <c:pt idx="6">
                  <c:v>Q3</c:v>
                </c:pt>
                <c:pt idx="9">
                  <c:v>Q4</c:v>
                </c:pt>
                <c:pt idx="12">
                  <c:v>2001
Q1</c:v>
                </c:pt>
                <c:pt idx="15">
                  <c:v>Q2</c:v>
                </c:pt>
                <c:pt idx="18">
                  <c:v>Q3</c:v>
                </c:pt>
                <c:pt idx="21">
                  <c:v>Q4</c:v>
                </c:pt>
                <c:pt idx="24">
                  <c:v>2002
Q1</c:v>
                </c:pt>
                <c:pt idx="27">
                  <c:v>Q2</c:v>
                </c:pt>
                <c:pt idx="30">
                  <c:v>Q3</c:v>
                </c:pt>
                <c:pt idx="33">
                  <c:v>Q4</c:v>
                </c:pt>
                <c:pt idx="36">
                  <c:v>2003
Q1</c:v>
                </c:pt>
                <c:pt idx="39">
                  <c:v>Q2</c:v>
                </c:pt>
                <c:pt idx="42">
                  <c:v>Q3</c:v>
                </c:pt>
                <c:pt idx="45">
                  <c:v>Q4</c:v>
                </c:pt>
                <c:pt idx="48">
                  <c:v>2004
Q1</c:v>
                </c:pt>
                <c:pt idx="51">
                  <c:v>Q2</c:v>
                </c:pt>
                <c:pt idx="54">
                  <c:v>Q3</c:v>
                </c:pt>
                <c:pt idx="57">
                  <c:v>Q4</c:v>
                </c:pt>
                <c:pt idx="60">
                  <c:v>2005
Q1</c:v>
                </c:pt>
                <c:pt idx="63">
                  <c:v>Q2</c:v>
                </c:pt>
                <c:pt idx="66">
                  <c:v>Q3</c:v>
                </c:pt>
                <c:pt idx="69">
                  <c:v>Q4</c:v>
                </c:pt>
                <c:pt idx="72">
                  <c:v>2006
Q1</c:v>
                </c:pt>
                <c:pt idx="75">
                  <c:v>Q2</c:v>
                </c:pt>
                <c:pt idx="78">
                  <c:v>Q3</c:v>
                </c:pt>
                <c:pt idx="81">
                  <c:v>Q4</c:v>
                </c:pt>
                <c:pt idx="84">
                  <c:v>2007
Q1</c:v>
                </c:pt>
                <c:pt idx="87">
                  <c:v>Q2</c:v>
                </c:pt>
                <c:pt idx="90">
                  <c:v>Q3</c:v>
                </c:pt>
                <c:pt idx="93">
                  <c:v>Q4</c:v>
                </c:pt>
                <c:pt idx="96">
                  <c:v>2008
Q1</c:v>
                </c:pt>
                <c:pt idx="99">
                  <c:v>Q2</c:v>
                </c:pt>
                <c:pt idx="102">
                  <c:v>Q3</c:v>
                </c:pt>
                <c:pt idx="105">
                  <c:v>Q4</c:v>
                </c:pt>
                <c:pt idx="108">
                  <c:v>2009
Q1</c:v>
                </c:pt>
                <c:pt idx="111">
                  <c:v>Q2</c:v>
                </c:pt>
                <c:pt idx="114">
                  <c:v>Q3</c:v>
                </c:pt>
                <c:pt idx="117">
                  <c:v>Q4</c:v>
                </c:pt>
                <c:pt idx="120">
                  <c:v>2010
Q1</c:v>
                </c:pt>
                <c:pt idx="123">
                  <c:v>Q2</c:v>
                </c:pt>
                <c:pt idx="126">
                  <c:v>Q3</c:v>
                </c:pt>
                <c:pt idx="129">
                  <c:v>Q4</c:v>
                </c:pt>
                <c:pt idx="132">
                  <c:v>2011
Q1</c:v>
                </c:pt>
                <c:pt idx="135">
                  <c:v>Q2</c:v>
                </c:pt>
                <c:pt idx="138">
                  <c:v>Q3</c:v>
                </c:pt>
                <c:pt idx="141">
                  <c:v>Q4</c:v>
                </c:pt>
                <c:pt idx="144">
                  <c:v>2012
Q1</c:v>
                </c:pt>
                <c:pt idx="147">
                  <c:v>Q2</c:v>
                </c:pt>
                <c:pt idx="150">
                  <c:v>Q3</c:v>
                </c:pt>
                <c:pt idx="153">
                  <c:v>Q4</c:v>
                </c:pt>
                <c:pt idx="156">
                  <c:v>2013
Q1</c:v>
                </c:pt>
                <c:pt idx="159">
                  <c:v>Q2</c:v>
                </c:pt>
                <c:pt idx="162">
                  <c:v>Q3</c:v>
                </c:pt>
                <c:pt idx="165">
                  <c:v>Q4</c:v>
                </c:pt>
                <c:pt idx="168">
                  <c:v>2014
Q1</c:v>
                </c:pt>
                <c:pt idx="171">
                  <c:v>Q2</c:v>
                </c:pt>
                <c:pt idx="174">
                  <c:v>Q3</c:v>
                </c:pt>
                <c:pt idx="177">
                  <c:v>Q4</c:v>
                </c:pt>
                <c:pt idx="180">
                  <c:v>2015
Q1</c:v>
                </c:pt>
                <c:pt idx="183">
                  <c:v>Q2</c:v>
                </c:pt>
                <c:pt idx="186">
                  <c:v>Q3</c:v>
                </c:pt>
                <c:pt idx="189">
                  <c:v>Q4</c:v>
                </c:pt>
                <c:pt idx="192">
                  <c:v>2016
Q1</c:v>
                </c:pt>
                <c:pt idx="195">
                  <c:v>Q2</c:v>
                </c:pt>
                <c:pt idx="198">
                  <c:v>Q3</c:v>
                </c:pt>
                <c:pt idx="201">
                  <c:v>Q4</c:v>
                </c:pt>
                <c:pt idx="204">
                  <c:v>2017
Q1</c:v>
                </c:pt>
                <c:pt idx="207">
                  <c:v>Q2</c:v>
                </c:pt>
                <c:pt idx="210">
                  <c:v>Q3</c:v>
                </c:pt>
                <c:pt idx="213">
                  <c:v>Q4</c:v>
                </c:pt>
                <c:pt idx="216">
                  <c:v>2018
Q1</c:v>
                </c:pt>
                <c:pt idx="219">
                  <c:v>Q2</c:v>
                </c:pt>
                <c:pt idx="222">
                  <c:v>Q3</c:v>
                </c:pt>
                <c:pt idx="225">
                  <c:v>Q4</c:v>
                </c:pt>
                <c:pt idx="228">
                  <c:v>2019
Q1</c:v>
                </c:pt>
                <c:pt idx="231">
                  <c:v>Q2</c:v>
                </c:pt>
                <c:pt idx="234">
                  <c:v>Q3</c:v>
                </c:pt>
                <c:pt idx="237">
                  <c:v>Q4</c:v>
                </c:pt>
                <c:pt idx="240">
                  <c:v>2020
Q1</c:v>
                </c:pt>
              </c:strCache>
            </c:strRef>
          </c:cat>
          <c:val>
            <c:numRef>
              <c:f>'PMI data'!$L$4:$L$245</c:f>
              <c:numCache>
                <c:formatCode>General</c:formatCode>
                <c:ptCount val="242"/>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numCache>
            </c:numRef>
          </c:val>
          <c:smooth val="0"/>
          <c:extLst xmlns:c16r2="http://schemas.microsoft.com/office/drawing/2015/06/chart">
            <c:ext xmlns:c16="http://schemas.microsoft.com/office/drawing/2014/chart" uri="{C3380CC4-5D6E-409C-BE32-E72D297353CC}">
              <c16:uniqueId val="{00000014-645D-4084-A016-F925E08AECC7}"/>
            </c:ext>
          </c:extLst>
        </c:ser>
        <c:ser>
          <c:idx val="4"/>
          <c:order val="3"/>
          <c:tx>
            <c:v>ESI eurozóna (body - 50)</c:v>
          </c:tx>
          <c:spPr>
            <a:ln w="19050" cap="rnd">
              <a:solidFill>
                <a:schemeClr val="bg1">
                  <a:lumMod val="50000"/>
                </a:schemeClr>
              </a:solidFill>
              <a:round/>
            </a:ln>
            <a:effectLst/>
          </c:spPr>
          <c:marker>
            <c:symbol val="none"/>
          </c:marker>
          <c:val>
            <c:numRef>
              <c:f>'PMI data'!$N$4:$N$245</c:f>
              <c:numCache>
                <c:formatCode>0.0</c:formatCode>
                <c:ptCount val="242"/>
                <c:pt idx="0">
                  <c:v>66.099999999999994</c:v>
                </c:pt>
                <c:pt idx="1">
                  <c:v>67.400000000000006</c:v>
                </c:pt>
                <c:pt idx="2">
                  <c:v>67.7</c:v>
                </c:pt>
                <c:pt idx="3">
                  <c:v>68.599999999999994</c:v>
                </c:pt>
                <c:pt idx="4">
                  <c:v>66.5</c:v>
                </c:pt>
                <c:pt idx="5">
                  <c:v>67.2</c:v>
                </c:pt>
                <c:pt idx="6">
                  <c:v>67.599999999999994</c:v>
                </c:pt>
                <c:pt idx="7">
                  <c:v>65.099999999999994</c:v>
                </c:pt>
                <c:pt idx="8">
                  <c:v>65.5</c:v>
                </c:pt>
                <c:pt idx="9">
                  <c:v>63.7</c:v>
                </c:pt>
                <c:pt idx="10">
                  <c:v>63.2</c:v>
                </c:pt>
                <c:pt idx="11">
                  <c:v>63.8</c:v>
                </c:pt>
                <c:pt idx="12">
                  <c:v>60.2</c:v>
                </c:pt>
                <c:pt idx="13">
                  <c:v>58.400000000000006</c:v>
                </c:pt>
                <c:pt idx="14">
                  <c:v>57.7</c:v>
                </c:pt>
                <c:pt idx="15">
                  <c:v>54.599999999999994</c:v>
                </c:pt>
                <c:pt idx="16">
                  <c:v>53.8</c:v>
                </c:pt>
                <c:pt idx="17">
                  <c:v>52.8</c:v>
                </c:pt>
                <c:pt idx="18">
                  <c:v>50.099999999999994</c:v>
                </c:pt>
                <c:pt idx="19">
                  <c:v>46.400000000000006</c:v>
                </c:pt>
                <c:pt idx="20">
                  <c:v>41.7</c:v>
                </c:pt>
                <c:pt idx="21">
                  <c:v>38.099999999999994</c:v>
                </c:pt>
                <c:pt idx="22">
                  <c:v>40</c:v>
                </c:pt>
                <c:pt idx="23">
                  <c:v>43.599999999999994</c:v>
                </c:pt>
                <c:pt idx="24">
                  <c:v>43.8</c:v>
                </c:pt>
                <c:pt idx="25">
                  <c:v>45.599999999999994</c:v>
                </c:pt>
                <c:pt idx="26">
                  <c:v>47.3</c:v>
                </c:pt>
                <c:pt idx="27">
                  <c:v>47.5</c:v>
                </c:pt>
                <c:pt idx="28">
                  <c:v>45.900000000000006</c:v>
                </c:pt>
                <c:pt idx="29">
                  <c:v>44.5</c:v>
                </c:pt>
                <c:pt idx="30">
                  <c:v>42.2</c:v>
                </c:pt>
                <c:pt idx="31">
                  <c:v>44.599999999999994</c:v>
                </c:pt>
                <c:pt idx="32">
                  <c:v>42.7</c:v>
                </c:pt>
                <c:pt idx="33">
                  <c:v>42</c:v>
                </c:pt>
                <c:pt idx="34">
                  <c:v>40.099999999999994</c:v>
                </c:pt>
                <c:pt idx="35">
                  <c:v>41</c:v>
                </c:pt>
                <c:pt idx="36">
                  <c:v>40.700000000000003</c:v>
                </c:pt>
                <c:pt idx="37">
                  <c:v>38.599999999999994</c:v>
                </c:pt>
                <c:pt idx="38">
                  <c:v>41.400000000000006</c:v>
                </c:pt>
                <c:pt idx="39">
                  <c:v>40.599999999999994</c:v>
                </c:pt>
                <c:pt idx="40">
                  <c:v>41.8</c:v>
                </c:pt>
                <c:pt idx="41">
                  <c:v>42.3</c:v>
                </c:pt>
                <c:pt idx="42">
                  <c:v>44.400000000000006</c:v>
                </c:pt>
                <c:pt idx="43">
                  <c:v>45.900000000000006</c:v>
                </c:pt>
                <c:pt idx="44">
                  <c:v>47.599999999999994</c:v>
                </c:pt>
                <c:pt idx="45">
                  <c:v>49</c:v>
                </c:pt>
                <c:pt idx="46">
                  <c:v>48.099999999999994</c:v>
                </c:pt>
                <c:pt idx="47">
                  <c:v>47.599999999999994</c:v>
                </c:pt>
                <c:pt idx="48">
                  <c:v>48.599999999999994</c:v>
                </c:pt>
                <c:pt idx="49">
                  <c:v>47.900000000000006</c:v>
                </c:pt>
                <c:pt idx="50">
                  <c:v>50</c:v>
                </c:pt>
                <c:pt idx="51">
                  <c:v>50.2</c:v>
                </c:pt>
                <c:pt idx="52">
                  <c:v>50.8</c:v>
                </c:pt>
                <c:pt idx="53">
                  <c:v>51</c:v>
                </c:pt>
                <c:pt idx="54">
                  <c:v>50.2</c:v>
                </c:pt>
                <c:pt idx="55">
                  <c:v>51.7</c:v>
                </c:pt>
                <c:pt idx="56">
                  <c:v>52.400000000000006</c:v>
                </c:pt>
                <c:pt idx="57">
                  <c:v>51</c:v>
                </c:pt>
                <c:pt idx="58">
                  <c:v>50.099999999999994</c:v>
                </c:pt>
                <c:pt idx="59">
                  <c:v>50.7</c:v>
                </c:pt>
                <c:pt idx="60">
                  <c:v>48.7</c:v>
                </c:pt>
                <c:pt idx="61">
                  <c:v>48</c:v>
                </c:pt>
                <c:pt idx="62">
                  <c:v>48.099999999999994</c:v>
                </c:pt>
                <c:pt idx="63">
                  <c:v>47</c:v>
                </c:pt>
                <c:pt idx="64">
                  <c:v>47.099999999999994</c:v>
                </c:pt>
                <c:pt idx="65">
                  <c:v>48</c:v>
                </c:pt>
                <c:pt idx="66">
                  <c:v>48.900000000000006</c:v>
                </c:pt>
                <c:pt idx="67">
                  <c:v>49.400000000000006</c:v>
                </c:pt>
                <c:pt idx="68">
                  <c:v>51.3</c:v>
                </c:pt>
                <c:pt idx="69">
                  <c:v>51.3</c:v>
                </c:pt>
                <c:pt idx="70">
                  <c:v>52</c:v>
                </c:pt>
                <c:pt idx="71">
                  <c:v>53.599999999999994</c:v>
                </c:pt>
                <c:pt idx="72">
                  <c:v>53.400000000000006</c:v>
                </c:pt>
                <c:pt idx="73">
                  <c:v>55.099999999999994</c:v>
                </c:pt>
                <c:pt idx="74">
                  <c:v>57.400000000000006</c:v>
                </c:pt>
                <c:pt idx="75">
                  <c:v>58.2</c:v>
                </c:pt>
                <c:pt idx="76">
                  <c:v>58.7</c:v>
                </c:pt>
                <c:pt idx="77">
                  <c:v>59.099999999999994</c:v>
                </c:pt>
                <c:pt idx="78">
                  <c:v>59.599999999999994</c:v>
                </c:pt>
                <c:pt idx="79">
                  <c:v>60.099999999999994</c:v>
                </c:pt>
                <c:pt idx="80">
                  <c:v>60.599999999999994</c:v>
                </c:pt>
                <c:pt idx="81">
                  <c:v>60.7</c:v>
                </c:pt>
                <c:pt idx="82">
                  <c:v>61.7</c:v>
                </c:pt>
                <c:pt idx="83">
                  <c:v>60.3</c:v>
                </c:pt>
                <c:pt idx="84">
                  <c:v>60.5</c:v>
                </c:pt>
                <c:pt idx="85">
                  <c:v>61.7</c:v>
                </c:pt>
                <c:pt idx="86">
                  <c:v>62</c:v>
                </c:pt>
                <c:pt idx="87">
                  <c:v>62.3</c:v>
                </c:pt>
                <c:pt idx="88">
                  <c:v>62.3</c:v>
                </c:pt>
                <c:pt idx="89">
                  <c:v>61.7</c:v>
                </c:pt>
                <c:pt idx="90">
                  <c:v>60.599999999999994</c:v>
                </c:pt>
                <c:pt idx="91">
                  <c:v>58.5</c:v>
                </c:pt>
                <c:pt idx="92">
                  <c:v>57.2</c:v>
                </c:pt>
                <c:pt idx="93">
                  <c:v>56.099999999999994</c:v>
                </c:pt>
                <c:pt idx="94">
                  <c:v>54.599999999999994</c:v>
                </c:pt>
                <c:pt idx="95">
                  <c:v>53.3</c:v>
                </c:pt>
                <c:pt idx="96">
                  <c:v>51.900000000000006</c:v>
                </c:pt>
                <c:pt idx="97">
                  <c:v>51.599999999999994</c:v>
                </c:pt>
                <c:pt idx="98">
                  <c:v>49</c:v>
                </c:pt>
                <c:pt idx="99">
                  <c:v>48.900000000000006</c:v>
                </c:pt>
                <c:pt idx="100">
                  <c:v>45.5</c:v>
                </c:pt>
                <c:pt idx="101">
                  <c:v>42.2</c:v>
                </c:pt>
                <c:pt idx="102">
                  <c:v>40.200000000000003</c:v>
                </c:pt>
                <c:pt idx="103">
                  <c:v>39.200000000000003</c:v>
                </c:pt>
                <c:pt idx="104">
                  <c:v>32.599999999999994</c:v>
                </c:pt>
                <c:pt idx="105">
                  <c:v>27.5</c:v>
                </c:pt>
                <c:pt idx="106">
                  <c:v>20.299999999999997</c:v>
                </c:pt>
                <c:pt idx="107">
                  <c:v>19.5</c:v>
                </c:pt>
                <c:pt idx="108">
                  <c:v>17.299999999999997</c:v>
                </c:pt>
                <c:pt idx="109">
                  <c:v>15.5</c:v>
                </c:pt>
                <c:pt idx="110">
                  <c:v>17.200000000000003</c:v>
                </c:pt>
                <c:pt idx="111">
                  <c:v>20.200000000000003</c:v>
                </c:pt>
                <c:pt idx="112">
                  <c:v>23</c:v>
                </c:pt>
                <c:pt idx="113">
                  <c:v>25.900000000000006</c:v>
                </c:pt>
                <c:pt idx="114">
                  <c:v>30.5</c:v>
                </c:pt>
                <c:pt idx="115">
                  <c:v>33.299999999999997</c:v>
                </c:pt>
                <c:pt idx="116">
                  <c:v>36.299999999999997</c:v>
                </c:pt>
                <c:pt idx="117">
                  <c:v>38.599999999999994</c:v>
                </c:pt>
                <c:pt idx="118">
                  <c:v>41.3</c:v>
                </c:pt>
                <c:pt idx="119">
                  <c:v>43.099999999999994</c:v>
                </c:pt>
                <c:pt idx="120">
                  <c:v>44</c:v>
                </c:pt>
                <c:pt idx="121">
                  <c:v>46</c:v>
                </c:pt>
                <c:pt idx="122">
                  <c:v>49.2</c:v>
                </c:pt>
                <c:pt idx="123">
                  <c:v>47</c:v>
                </c:pt>
                <c:pt idx="124">
                  <c:v>47.7</c:v>
                </c:pt>
                <c:pt idx="125">
                  <c:v>49.5</c:v>
                </c:pt>
                <c:pt idx="126">
                  <c:v>50.3</c:v>
                </c:pt>
                <c:pt idx="127">
                  <c:v>51</c:v>
                </c:pt>
                <c:pt idx="128">
                  <c:v>52.2</c:v>
                </c:pt>
                <c:pt idx="129">
                  <c:v>54.099999999999994</c:v>
                </c:pt>
                <c:pt idx="130">
                  <c:v>55.5</c:v>
                </c:pt>
                <c:pt idx="131">
                  <c:v>55.7</c:v>
                </c:pt>
                <c:pt idx="132">
                  <c:v>57.099999999999994</c:v>
                </c:pt>
                <c:pt idx="133">
                  <c:v>56.400000000000006</c:v>
                </c:pt>
                <c:pt idx="134">
                  <c:v>54.8</c:v>
                </c:pt>
                <c:pt idx="135">
                  <c:v>53.5</c:v>
                </c:pt>
                <c:pt idx="136">
                  <c:v>53.3</c:v>
                </c:pt>
                <c:pt idx="137">
                  <c:v>51.099999999999994</c:v>
                </c:pt>
                <c:pt idx="138">
                  <c:v>46.7</c:v>
                </c:pt>
                <c:pt idx="139">
                  <c:v>43.2</c:v>
                </c:pt>
                <c:pt idx="140">
                  <c:v>42.7</c:v>
                </c:pt>
                <c:pt idx="141">
                  <c:v>42.599999999999994</c:v>
                </c:pt>
                <c:pt idx="142">
                  <c:v>41.900000000000006</c:v>
                </c:pt>
                <c:pt idx="143">
                  <c:v>42.099999999999994</c:v>
                </c:pt>
                <c:pt idx="144">
                  <c:v>43.099999999999994</c:v>
                </c:pt>
                <c:pt idx="145">
                  <c:v>43.5</c:v>
                </c:pt>
                <c:pt idx="146">
                  <c:v>41.599999999999994</c:v>
                </c:pt>
                <c:pt idx="147">
                  <c:v>39.200000000000003</c:v>
                </c:pt>
                <c:pt idx="148">
                  <c:v>38.799999999999997</c:v>
                </c:pt>
                <c:pt idx="149">
                  <c:v>36.700000000000003</c:v>
                </c:pt>
                <c:pt idx="150">
                  <c:v>35.200000000000003</c:v>
                </c:pt>
                <c:pt idx="151">
                  <c:v>33.700000000000003</c:v>
                </c:pt>
                <c:pt idx="152">
                  <c:v>33.099999999999994</c:v>
                </c:pt>
                <c:pt idx="153">
                  <c:v>34.599999999999994</c:v>
                </c:pt>
                <c:pt idx="154">
                  <c:v>35.599999999999994</c:v>
                </c:pt>
                <c:pt idx="155">
                  <c:v>37.200000000000003</c:v>
                </c:pt>
                <c:pt idx="156">
                  <c:v>37.700000000000003</c:v>
                </c:pt>
                <c:pt idx="157">
                  <c:v>37.700000000000003</c:v>
                </c:pt>
                <c:pt idx="158">
                  <c:v>35.900000000000006</c:v>
                </c:pt>
                <c:pt idx="159">
                  <c:v>36.900000000000006</c:v>
                </c:pt>
                <c:pt idx="160">
                  <c:v>38.299999999999997</c:v>
                </c:pt>
                <c:pt idx="161">
                  <c:v>39.5</c:v>
                </c:pt>
                <c:pt idx="162">
                  <c:v>41.7</c:v>
                </c:pt>
                <c:pt idx="163">
                  <c:v>44.599999999999994</c:v>
                </c:pt>
                <c:pt idx="164">
                  <c:v>45.3</c:v>
                </c:pt>
                <c:pt idx="165">
                  <c:v>46.599999999999994</c:v>
                </c:pt>
                <c:pt idx="166">
                  <c:v>48.099999999999994</c:v>
                </c:pt>
                <c:pt idx="167">
                  <c:v>48.900000000000006</c:v>
                </c:pt>
                <c:pt idx="168">
                  <c:v>49.2</c:v>
                </c:pt>
                <c:pt idx="169">
                  <c:v>50.400000000000006</c:v>
                </c:pt>
                <c:pt idx="170">
                  <c:v>50</c:v>
                </c:pt>
                <c:pt idx="171">
                  <c:v>50.5</c:v>
                </c:pt>
                <c:pt idx="172">
                  <c:v>50.099999999999994</c:v>
                </c:pt>
                <c:pt idx="173">
                  <c:v>50.3</c:v>
                </c:pt>
                <c:pt idx="174">
                  <c:v>48.900000000000006</c:v>
                </c:pt>
                <c:pt idx="175">
                  <c:v>48.3</c:v>
                </c:pt>
                <c:pt idx="176">
                  <c:v>48.900000000000006</c:v>
                </c:pt>
                <c:pt idx="177">
                  <c:v>48.8</c:v>
                </c:pt>
                <c:pt idx="178">
                  <c:v>49</c:v>
                </c:pt>
                <c:pt idx="179">
                  <c:v>49.5</c:v>
                </c:pt>
                <c:pt idx="180">
                  <c:v>50.5</c:v>
                </c:pt>
                <c:pt idx="181">
                  <c:v>51.900000000000006</c:v>
                </c:pt>
                <c:pt idx="182">
                  <c:v>52.2</c:v>
                </c:pt>
                <c:pt idx="183">
                  <c:v>52.3</c:v>
                </c:pt>
                <c:pt idx="184">
                  <c:v>52.400000000000006</c:v>
                </c:pt>
                <c:pt idx="185">
                  <c:v>52.900000000000006</c:v>
                </c:pt>
                <c:pt idx="186">
                  <c:v>53.2</c:v>
                </c:pt>
                <c:pt idx="187">
                  <c:v>54.400000000000006</c:v>
                </c:pt>
                <c:pt idx="188">
                  <c:v>55.099999999999994</c:v>
                </c:pt>
                <c:pt idx="189">
                  <c:v>55.099999999999994</c:v>
                </c:pt>
                <c:pt idx="190">
                  <c:v>55.5</c:v>
                </c:pt>
                <c:pt idx="191">
                  <c:v>54.5</c:v>
                </c:pt>
                <c:pt idx="192">
                  <c:v>53.2</c:v>
                </c:pt>
                <c:pt idx="193">
                  <c:v>52</c:v>
                </c:pt>
                <c:pt idx="194">
                  <c:v>53</c:v>
                </c:pt>
                <c:pt idx="195">
                  <c:v>53.5</c:v>
                </c:pt>
                <c:pt idx="196">
                  <c:v>53.5</c:v>
                </c:pt>
                <c:pt idx="197">
                  <c:v>53.5</c:v>
                </c:pt>
                <c:pt idx="198">
                  <c:v>53.099999999999994</c:v>
                </c:pt>
                <c:pt idx="199">
                  <c:v>53.7</c:v>
                </c:pt>
                <c:pt idx="200">
                  <c:v>55.400000000000006</c:v>
                </c:pt>
                <c:pt idx="201">
                  <c:v>55.5</c:v>
                </c:pt>
                <c:pt idx="202">
                  <c:v>56.900000000000006</c:v>
                </c:pt>
                <c:pt idx="203">
                  <c:v>56.900000000000006</c:v>
                </c:pt>
                <c:pt idx="204">
                  <c:v>56.900000000000006</c:v>
                </c:pt>
                <c:pt idx="205">
                  <c:v>56.7</c:v>
                </c:pt>
                <c:pt idx="206">
                  <c:v>58.2</c:v>
                </c:pt>
                <c:pt idx="207">
                  <c:v>58.400000000000006</c:v>
                </c:pt>
                <c:pt idx="208">
                  <c:v>59.900000000000006</c:v>
                </c:pt>
                <c:pt idx="209">
                  <c:v>61.2</c:v>
                </c:pt>
                <c:pt idx="210">
                  <c:v>61.400000000000006</c:v>
                </c:pt>
                <c:pt idx="211">
                  <c:v>62.3</c:v>
                </c:pt>
                <c:pt idx="212">
                  <c:v>63.5</c:v>
                </c:pt>
                <c:pt idx="213">
                  <c:v>63.900000000000006</c:v>
                </c:pt>
                <c:pt idx="214">
                  <c:v>65</c:v>
                </c:pt>
                <c:pt idx="215">
                  <c:v>64.400000000000006</c:v>
                </c:pt>
                <c:pt idx="216">
                  <c:v>64.099999999999994</c:v>
                </c:pt>
                <c:pt idx="217">
                  <c:v>62.400000000000006</c:v>
                </c:pt>
                <c:pt idx="218">
                  <c:v>62.599999999999994</c:v>
                </c:pt>
                <c:pt idx="219">
                  <c:v>61.8</c:v>
                </c:pt>
                <c:pt idx="220">
                  <c:v>62.099999999999994</c:v>
                </c:pt>
                <c:pt idx="221">
                  <c:v>61.5</c:v>
                </c:pt>
                <c:pt idx="222">
                  <c:v>61.3</c:v>
                </c:pt>
                <c:pt idx="223">
                  <c:v>60.7</c:v>
                </c:pt>
                <c:pt idx="224">
                  <c:v>59.8</c:v>
                </c:pt>
                <c:pt idx="225">
                  <c:v>59.599999999999994</c:v>
                </c:pt>
                <c:pt idx="226">
                  <c:v>57.599999999999994</c:v>
                </c:pt>
                <c:pt idx="227">
                  <c:v>56.099999999999994</c:v>
                </c:pt>
                <c:pt idx="228">
                  <c:v>56</c:v>
                </c:pt>
                <c:pt idx="229">
                  <c:v>55.400000000000006</c:v>
                </c:pt>
                <c:pt idx="230">
                  <c:v>53.599999999999994</c:v>
                </c:pt>
                <c:pt idx="231">
                  <c:v>55</c:v>
                </c:pt>
                <c:pt idx="232">
                  <c:v>52.900000000000006</c:v>
                </c:pt>
                <c:pt idx="233">
                  <c:v>52.3</c:v>
                </c:pt>
                <c:pt idx="234">
                  <c:v>52.599999999999994</c:v>
                </c:pt>
                <c:pt idx="235">
                  <c:v>51.099999999999994</c:v>
                </c:pt>
                <c:pt idx="236">
                  <c:v>50.2</c:v>
                </c:pt>
                <c:pt idx="237">
                  <c:v>50.7</c:v>
                </c:pt>
                <c:pt idx="238">
                  <c:v>50.900000000000006</c:v>
                </c:pt>
                <c:pt idx="239">
                  <c:v>52.599999999999994</c:v>
                </c:pt>
                <c:pt idx="240">
                  <c:v>53.400000000000006</c:v>
                </c:pt>
                <c:pt idx="241">
                  <c:v>44.2</c:v>
                </c:pt>
              </c:numCache>
            </c:numRef>
          </c:val>
          <c:smooth val="0"/>
          <c:extLst xmlns:c16r2="http://schemas.microsoft.com/office/drawing/2015/06/chart">
            <c:ext xmlns:c16="http://schemas.microsoft.com/office/drawing/2014/chart" uri="{C3380CC4-5D6E-409C-BE32-E72D297353CC}">
              <c16:uniqueId val="{00000015-645D-4084-A016-F925E08AECC7}"/>
            </c:ext>
          </c:extLst>
        </c:ser>
        <c:dLbls>
          <c:showLegendKey val="0"/>
          <c:showVal val="0"/>
          <c:showCatName val="0"/>
          <c:showSerName val="0"/>
          <c:showPercent val="0"/>
          <c:showBubbleSize val="0"/>
        </c:dLbls>
        <c:marker val="1"/>
        <c:smooth val="0"/>
        <c:axId val="236334208"/>
        <c:axId val="236333816"/>
      </c:lineChart>
      <c:dateAx>
        <c:axId val="236333032"/>
        <c:scaling>
          <c:orientation val="minMax"/>
          <c:min val="36586"/>
        </c:scaling>
        <c:delete val="0"/>
        <c:axPos val="b"/>
        <c:numFmt formatCode="mm\-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36333424"/>
        <c:crosses val="autoZero"/>
        <c:auto val="0"/>
        <c:lblOffset val="100"/>
        <c:baseTimeUnit val="days"/>
        <c:majorUnit val="5"/>
        <c:minorUnit val="4"/>
      </c:dateAx>
      <c:valAx>
        <c:axId val="236333424"/>
        <c:scaling>
          <c:orientation val="minMax"/>
          <c:max val="2.5"/>
          <c:min val="-3.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36333032"/>
        <c:crosses val="autoZero"/>
        <c:crossBetween val="between"/>
        <c:majorUnit val="1"/>
      </c:valAx>
      <c:valAx>
        <c:axId val="236333816"/>
        <c:scaling>
          <c:orientation val="minMax"/>
          <c:max val="75"/>
          <c:min val="1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36334208"/>
        <c:crosses val="max"/>
        <c:crossBetween val="between"/>
        <c:majorUnit val="5"/>
      </c:valAx>
      <c:dateAx>
        <c:axId val="236334208"/>
        <c:scaling>
          <c:orientation val="minMax"/>
        </c:scaling>
        <c:delete val="1"/>
        <c:axPos val="b"/>
        <c:numFmt formatCode="General" sourceLinked="1"/>
        <c:majorTickMark val="out"/>
        <c:minorTickMark val="none"/>
        <c:tickLblPos val="nextTo"/>
        <c:crossAx val="236333816"/>
        <c:crosses val="autoZero"/>
        <c:auto val="0"/>
        <c:lblOffset val="100"/>
        <c:baseTimeUnit val="days"/>
      </c:dateAx>
      <c:spPr>
        <a:noFill/>
        <a:ln w="25400">
          <a:noFill/>
        </a:ln>
        <a:effectLst/>
      </c:spPr>
    </c:plotArea>
    <c:legend>
      <c:legendPos val="t"/>
      <c:legendEntry>
        <c:idx val="2"/>
        <c:delete val="1"/>
      </c:legendEntry>
      <c:layout>
        <c:manualLayout>
          <c:xMode val="edge"/>
          <c:yMode val="edge"/>
          <c:x val="8.1799972371874571E-2"/>
          <c:y val="1.8672008104250128E-3"/>
          <c:w val="0.81164586134050321"/>
          <c:h val="0.2324216234184447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b="0">
          <a:solidFill>
            <a:sysClr val="windowText" lastClr="000000"/>
          </a:solidFill>
          <a:latin typeface="Arial Narrow" panose="020B0606020202030204"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'Graf 7+Tab 2'!$K$6</c:f>
              <c:strCache>
                <c:ptCount val="1"/>
                <c:pt idx="0">
                  <c:v>Zamestnanosť</c:v>
                </c:pt>
              </c:strCache>
            </c:strRef>
          </c:tx>
          <c:spPr>
            <a:solidFill>
              <a:srgbClr val="2C9ADC"/>
            </a:solidFill>
          </c:spPr>
          <c:invertIfNegative val="0"/>
          <c:cat>
            <c:strRef>
              <c:f>'Graf 7+Tab 2'!$L$5:$Y$5</c:f>
              <c:strCache>
                <c:ptCount val="14"/>
                <c:pt idx="0">
                  <c:v>2010</c:v>
                </c:pt>
                <c:pt idx="1">
                  <c:v>2011</c:v>
                </c:pt>
                <c:pt idx="2">
                  <c:v>2012</c:v>
                </c:pt>
                <c:pt idx="3">
                  <c:v>2013</c:v>
                </c:pt>
                <c:pt idx="4">
                  <c:v>2014</c:v>
                </c:pt>
                <c:pt idx="5">
                  <c:v>2015</c:v>
                </c:pt>
                <c:pt idx="6">
                  <c:v>2016</c:v>
                </c:pt>
                <c:pt idx="7">
                  <c:v>2017</c:v>
                </c:pt>
                <c:pt idx="8">
                  <c:v>2018</c:v>
                </c:pt>
                <c:pt idx="9">
                  <c:v>2019</c:v>
                </c:pt>
                <c:pt idx="10">
                  <c:v>2020F</c:v>
                </c:pt>
                <c:pt idx="11">
                  <c:v>2021F</c:v>
                </c:pt>
                <c:pt idx="12">
                  <c:v>2022F</c:v>
                </c:pt>
                <c:pt idx="13">
                  <c:v>2023F</c:v>
                </c:pt>
              </c:strCache>
            </c:strRef>
          </c:cat>
          <c:val>
            <c:numRef>
              <c:f>'Graf 7+Tab 2'!$L$6:$Y$6</c:f>
              <c:numCache>
                <c:formatCode>0.0</c:formatCode>
                <c:ptCount val="14"/>
                <c:pt idx="0">
                  <c:v>7.7998003988410114E-2</c:v>
                </c:pt>
                <c:pt idx="1">
                  <c:v>0.40474512657007317</c:v>
                </c:pt>
                <c:pt idx="2">
                  <c:v>0.22942265242942134</c:v>
                </c:pt>
                <c:pt idx="3">
                  <c:v>0.21610721222987558</c:v>
                </c:pt>
                <c:pt idx="4">
                  <c:v>0.3980381966074667</c:v>
                </c:pt>
                <c:pt idx="5">
                  <c:v>0.53501032707054608</c:v>
                </c:pt>
                <c:pt idx="6">
                  <c:v>0.59387918356327785</c:v>
                </c:pt>
                <c:pt idx="7">
                  <c:v>0.55156773325215624</c:v>
                </c:pt>
                <c:pt idx="8">
                  <c:v>0.47392436337397659</c:v>
                </c:pt>
                <c:pt idx="9">
                  <c:v>0.25921350418387779</c:v>
                </c:pt>
                <c:pt idx="10">
                  <c:v>-0.21279357989606557</c:v>
                </c:pt>
                <c:pt idx="11">
                  <c:v>0.45697135292688568</c:v>
                </c:pt>
                <c:pt idx="12">
                  <c:v>0.33066727935513185</c:v>
                </c:pt>
                <c:pt idx="13">
                  <c:v>8.2888692020114008E-2</c:v>
                </c:pt>
              </c:numCache>
            </c:numRef>
          </c:val>
          <c:extLst xmlns:c16r2="http://schemas.microsoft.com/office/drawing/2015/06/chart">
            <c:ext xmlns:c16="http://schemas.microsoft.com/office/drawing/2014/chart" uri="{C3380CC4-5D6E-409C-BE32-E72D297353CC}">
              <c16:uniqueId val="{00000000-AB53-43D6-AD88-259B96262364}"/>
            </c:ext>
          </c:extLst>
        </c:ser>
        <c:ser>
          <c:idx val="2"/>
          <c:order val="1"/>
          <c:tx>
            <c:strRef>
              <c:f>'Graf 7+Tab 2'!$K$7</c:f>
              <c:strCache>
                <c:ptCount val="1"/>
                <c:pt idx="0">
                  <c:v>Zásoba kapitálu</c:v>
                </c:pt>
              </c:strCache>
            </c:strRef>
          </c:tx>
          <c:spPr>
            <a:solidFill>
              <a:srgbClr val="D6DCE5"/>
            </a:solidFill>
          </c:spPr>
          <c:invertIfNegative val="0"/>
          <c:cat>
            <c:strRef>
              <c:f>'Graf 7+Tab 2'!$L$5:$Y$5</c:f>
              <c:strCache>
                <c:ptCount val="14"/>
                <c:pt idx="0">
                  <c:v>2010</c:v>
                </c:pt>
                <c:pt idx="1">
                  <c:v>2011</c:v>
                </c:pt>
                <c:pt idx="2">
                  <c:v>2012</c:v>
                </c:pt>
                <c:pt idx="3">
                  <c:v>2013</c:v>
                </c:pt>
                <c:pt idx="4">
                  <c:v>2014</c:v>
                </c:pt>
                <c:pt idx="5">
                  <c:v>2015</c:v>
                </c:pt>
                <c:pt idx="6">
                  <c:v>2016</c:v>
                </c:pt>
                <c:pt idx="7">
                  <c:v>2017</c:v>
                </c:pt>
                <c:pt idx="8">
                  <c:v>2018</c:v>
                </c:pt>
                <c:pt idx="9">
                  <c:v>2019</c:v>
                </c:pt>
                <c:pt idx="10">
                  <c:v>2020F</c:v>
                </c:pt>
                <c:pt idx="11">
                  <c:v>2021F</c:v>
                </c:pt>
                <c:pt idx="12">
                  <c:v>2022F</c:v>
                </c:pt>
                <c:pt idx="13">
                  <c:v>2023F</c:v>
                </c:pt>
              </c:strCache>
            </c:strRef>
          </c:cat>
          <c:val>
            <c:numRef>
              <c:f>'Graf 7+Tab 2'!$L$7:$Y$7</c:f>
              <c:numCache>
                <c:formatCode>0.0</c:formatCode>
                <c:ptCount val="14"/>
                <c:pt idx="0">
                  <c:v>0.16489268192300624</c:v>
                </c:pt>
                <c:pt idx="1">
                  <c:v>0.37716038566040644</c:v>
                </c:pt>
                <c:pt idx="2">
                  <c:v>0.46502988478008656</c:v>
                </c:pt>
                <c:pt idx="3">
                  <c:v>0.25011135841729848</c:v>
                </c:pt>
                <c:pt idx="4">
                  <c:v>0.29305103546209044</c:v>
                </c:pt>
                <c:pt idx="5">
                  <c:v>0.50064583320542888</c:v>
                </c:pt>
                <c:pt idx="6">
                  <c:v>0.82283312693140553</c:v>
                </c:pt>
                <c:pt idx="7">
                  <c:v>0.54173030984823178</c:v>
                </c:pt>
                <c:pt idx="8">
                  <c:v>0.68884864968618309</c:v>
                </c:pt>
                <c:pt idx="9">
                  <c:v>0.74331006108276299</c:v>
                </c:pt>
                <c:pt idx="10">
                  <c:v>0.62677488330402753</c:v>
                </c:pt>
                <c:pt idx="11">
                  <c:v>0.31519711374454695</c:v>
                </c:pt>
                <c:pt idx="12">
                  <c:v>0.65401431441170699</c:v>
                </c:pt>
                <c:pt idx="13">
                  <c:v>0.76909710907297846</c:v>
                </c:pt>
              </c:numCache>
            </c:numRef>
          </c:val>
          <c:extLst xmlns:c16r2="http://schemas.microsoft.com/office/drawing/2015/06/chart">
            <c:ext xmlns:c16="http://schemas.microsoft.com/office/drawing/2014/chart" uri="{C3380CC4-5D6E-409C-BE32-E72D297353CC}">
              <c16:uniqueId val="{00000001-AB53-43D6-AD88-259B96262364}"/>
            </c:ext>
          </c:extLst>
        </c:ser>
        <c:ser>
          <c:idx val="3"/>
          <c:order val="2"/>
          <c:tx>
            <c:strRef>
              <c:f>'Graf 7+Tab 2'!$K$8</c:f>
              <c:strCache>
                <c:ptCount val="1"/>
                <c:pt idx="0">
                  <c:v>TFP</c:v>
                </c:pt>
              </c:strCache>
            </c:strRef>
          </c:tx>
          <c:spPr>
            <a:solidFill>
              <a:srgbClr val="555555"/>
            </a:solidFill>
          </c:spPr>
          <c:invertIfNegative val="0"/>
          <c:cat>
            <c:strRef>
              <c:f>'Graf 7+Tab 2'!$L$5:$Y$5</c:f>
              <c:strCache>
                <c:ptCount val="14"/>
                <c:pt idx="0">
                  <c:v>2010</c:v>
                </c:pt>
                <c:pt idx="1">
                  <c:v>2011</c:v>
                </c:pt>
                <c:pt idx="2">
                  <c:v>2012</c:v>
                </c:pt>
                <c:pt idx="3">
                  <c:v>2013</c:v>
                </c:pt>
                <c:pt idx="4">
                  <c:v>2014</c:v>
                </c:pt>
                <c:pt idx="5">
                  <c:v>2015</c:v>
                </c:pt>
                <c:pt idx="6">
                  <c:v>2016</c:v>
                </c:pt>
                <c:pt idx="7">
                  <c:v>2017</c:v>
                </c:pt>
                <c:pt idx="8">
                  <c:v>2018</c:v>
                </c:pt>
                <c:pt idx="9">
                  <c:v>2019</c:v>
                </c:pt>
                <c:pt idx="10">
                  <c:v>2020F</c:v>
                </c:pt>
                <c:pt idx="11">
                  <c:v>2021F</c:v>
                </c:pt>
                <c:pt idx="12">
                  <c:v>2022F</c:v>
                </c:pt>
                <c:pt idx="13">
                  <c:v>2023F</c:v>
                </c:pt>
              </c:strCache>
            </c:strRef>
          </c:cat>
          <c:val>
            <c:numRef>
              <c:f>'Graf 7+Tab 2'!$L$8:$Y$8</c:f>
              <c:numCache>
                <c:formatCode>0.0</c:formatCode>
                <c:ptCount val="14"/>
                <c:pt idx="0">
                  <c:v>1.3004028615216878</c:v>
                </c:pt>
                <c:pt idx="1">
                  <c:v>1.7422781794846909</c:v>
                </c:pt>
                <c:pt idx="2">
                  <c:v>1.8273029476293168</c:v>
                </c:pt>
                <c:pt idx="3">
                  <c:v>1.3378063120242034</c:v>
                </c:pt>
                <c:pt idx="4">
                  <c:v>1.1934320678733901</c:v>
                </c:pt>
                <c:pt idx="5">
                  <c:v>2.0033550807744716</c:v>
                </c:pt>
                <c:pt idx="6">
                  <c:v>1.1108970607370594</c:v>
                </c:pt>
                <c:pt idx="7">
                  <c:v>1.1511446889952426</c:v>
                </c:pt>
                <c:pt idx="8">
                  <c:v>1.4903585805817743</c:v>
                </c:pt>
                <c:pt idx="9">
                  <c:v>1.3865701693763999</c:v>
                </c:pt>
                <c:pt idx="10">
                  <c:v>1.1638789168866071</c:v>
                </c:pt>
                <c:pt idx="11">
                  <c:v>1.4333319842508407</c:v>
                </c:pt>
                <c:pt idx="12">
                  <c:v>1.3364978929966576</c:v>
                </c:pt>
                <c:pt idx="13">
                  <c:v>1.4174431236306129</c:v>
                </c:pt>
              </c:numCache>
            </c:numRef>
          </c:val>
          <c:extLst xmlns:c16r2="http://schemas.microsoft.com/office/drawing/2015/06/chart">
            <c:ext xmlns:c16="http://schemas.microsoft.com/office/drawing/2014/chart" uri="{C3380CC4-5D6E-409C-BE32-E72D297353CC}">
              <c16:uniqueId val="{00000002-AB53-43D6-AD88-259B96262364}"/>
            </c:ext>
          </c:extLst>
        </c:ser>
        <c:dLbls>
          <c:showLegendKey val="0"/>
          <c:showVal val="0"/>
          <c:showCatName val="0"/>
          <c:showSerName val="0"/>
          <c:showPercent val="0"/>
          <c:showBubbleSize val="0"/>
        </c:dLbls>
        <c:gapWidth val="150"/>
        <c:overlap val="100"/>
        <c:axId val="236334992"/>
        <c:axId val="236335384"/>
      </c:barChart>
      <c:lineChart>
        <c:grouping val="standard"/>
        <c:varyColors val="0"/>
        <c:ser>
          <c:idx val="0"/>
          <c:order val="3"/>
          <c:tx>
            <c:strRef>
              <c:f>'Graf 7+Tab 2'!$K$9</c:f>
              <c:strCache>
                <c:ptCount val="1"/>
                <c:pt idx="0">
                  <c:v>Pot. produkt</c:v>
                </c:pt>
              </c:strCache>
            </c:strRef>
          </c:tx>
          <c:spPr>
            <a:ln w="19050">
              <a:solidFill>
                <a:schemeClr val="tx1"/>
              </a:solidFill>
            </a:ln>
          </c:spPr>
          <c:marker>
            <c:symbol val="none"/>
          </c:marker>
          <c:cat>
            <c:strRef>
              <c:f>'Graf 7+Tab 2'!$L$5:$Y$5</c:f>
              <c:strCache>
                <c:ptCount val="14"/>
                <c:pt idx="0">
                  <c:v>2010</c:v>
                </c:pt>
                <c:pt idx="1">
                  <c:v>2011</c:v>
                </c:pt>
                <c:pt idx="2">
                  <c:v>2012</c:v>
                </c:pt>
                <c:pt idx="3">
                  <c:v>2013</c:v>
                </c:pt>
                <c:pt idx="4">
                  <c:v>2014</c:v>
                </c:pt>
                <c:pt idx="5">
                  <c:v>2015</c:v>
                </c:pt>
                <c:pt idx="6">
                  <c:v>2016</c:v>
                </c:pt>
                <c:pt idx="7">
                  <c:v>2017</c:v>
                </c:pt>
                <c:pt idx="8">
                  <c:v>2018</c:v>
                </c:pt>
                <c:pt idx="9">
                  <c:v>2019</c:v>
                </c:pt>
                <c:pt idx="10">
                  <c:v>2020F</c:v>
                </c:pt>
                <c:pt idx="11">
                  <c:v>2021F</c:v>
                </c:pt>
                <c:pt idx="12">
                  <c:v>2022F</c:v>
                </c:pt>
                <c:pt idx="13">
                  <c:v>2023F</c:v>
                </c:pt>
              </c:strCache>
            </c:strRef>
          </c:cat>
          <c:val>
            <c:numRef>
              <c:f>'Graf 7+Tab 2'!$L$9:$Y$9</c:f>
              <c:numCache>
                <c:formatCode>0.0</c:formatCode>
                <c:ptCount val="14"/>
                <c:pt idx="0">
                  <c:v>1.5464353130012043</c:v>
                </c:pt>
                <c:pt idx="1">
                  <c:v>2.5377289845297746</c:v>
                </c:pt>
                <c:pt idx="2">
                  <c:v>2.5343285670425653</c:v>
                </c:pt>
                <c:pt idx="3">
                  <c:v>1.8102592834358555</c:v>
                </c:pt>
                <c:pt idx="4">
                  <c:v>1.8925859741158124</c:v>
                </c:pt>
                <c:pt idx="5">
                  <c:v>3.059626445569319</c:v>
                </c:pt>
                <c:pt idx="6">
                  <c:v>2.5433318107580316</c:v>
                </c:pt>
                <c:pt idx="7">
                  <c:v>2.2569237067505021</c:v>
                </c:pt>
                <c:pt idx="8">
                  <c:v>2.6704340649890801</c:v>
                </c:pt>
                <c:pt idx="9">
                  <c:v>2.4023278669728754</c:v>
                </c:pt>
                <c:pt idx="10">
                  <c:v>1.5794910429852482</c:v>
                </c:pt>
                <c:pt idx="11">
                  <c:v>2.2162834207973381</c:v>
                </c:pt>
                <c:pt idx="12">
                  <c:v>2.3341297290955909</c:v>
                </c:pt>
                <c:pt idx="13">
                  <c:v>2.2797741687014428</c:v>
                </c:pt>
              </c:numCache>
            </c:numRef>
          </c:val>
          <c:smooth val="0"/>
          <c:extLst xmlns:c16r2="http://schemas.microsoft.com/office/drawing/2015/06/chart">
            <c:ext xmlns:c16="http://schemas.microsoft.com/office/drawing/2014/chart" uri="{C3380CC4-5D6E-409C-BE32-E72D297353CC}">
              <c16:uniqueId val="{00000003-AB53-43D6-AD88-259B96262364}"/>
            </c:ext>
          </c:extLst>
        </c:ser>
        <c:dLbls>
          <c:showLegendKey val="0"/>
          <c:showVal val="0"/>
          <c:showCatName val="0"/>
          <c:showSerName val="0"/>
          <c:showPercent val="0"/>
          <c:showBubbleSize val="0"/>
        </c:dLbls>
        <c:marker val="1"/>
        <c:smooth val="0"/>
        <c:axId val="236334992"/>
        <c:axId val="236335384"/>
      </c:lineChart>
      <c:catAx>
        <c:axId val="236334992"/>
        <c:scaling>
          <c:orientation val="minMax"/>
        </c:scaling>
        <c:delete val="0"/>
        <c:axPos val="b"/>
        <c:numFmt formatCode="General" sourceLinked="1"/>
        <c:majorTickMark val="none"/>
        <c:minorTickMark val="none"/>
        <c:tickLblPos val="low"/>
        <c:spPr>
          <a:ln w="6350">
            <a:solidFill>
              <a:schemeClr val="tx1"/>
            </a:solidFill>
          </a:ln>
        </c:spPr>
        <c:crossAx val="236335384"/>
        <c:crosses val="autoZero"/>
        <c:auto val="1"/>
        <c:lblAlgn val="ctr"/>
        <c:lblOffset val="100"/>
        <c:noMultiLvlLbl val="0"/>
      </c:catAx>
      <c:valAx>
        <c:axId val="236335384"/>
        <c:scaling>
          <c:orientation val="minMax"/>
        </c:scaling>
        <c:delete val="0"/>
        <c:axPos val="l"/>
        <c:majorGridlines>
          <c:spPr>
            <a:ln w="6350">
              <a:solidFill>
                <a:schemeClr val="bg1">
                  <a:lumMod val="95000"/>
                </a:schemeClr>
              </a:solidFill>
              <a:prstDash val="sysDot"/>
            </a:ln>
          </c:spPr>
        </c:majorGridlines>
        <c:numFmt formatCode="0.0" sourceLinked="1"/>
        <c:majorTickMark val="out"/>
        <c:minorTickMark val="none"/>
        <c:tickLblPos val="nextTo"/>
        <c:spPr>
          <a:ln w="6350">
            <a:solidFill>
              <a:schemeClr val="tx1"/>
            </a:solidFill>
          </a:ln>
        </c:spPr>
        <c:crossAx val="236334992"/>
        <c:crosses val="autoZero"/>
        <c:crossBetween val="between"/>
      </c:valAx>
      <c:spPr>
        <a:noFill/>
      </c:spPr>
    </c:plotArea>
    <c:legend>
      <c:legendPos val="r"/>
      <c:layout>
        <c:manualLayout>
          <c:xMode val="edge"/>
          <c:yMode val="edge"/>
          <c:x val="0.15229458320277359"/>
          <c:y val="1.8786157475221679E-2"/>
          <c:w val="0.80132089393832195"/>
          <c:h val="0.11766267483356938"/>
        </c:manualLayout>
      </c:layout>
      <c:overlay val="1"/>
    </c:legend>
    <c:plotVisOnly val="1"/>
    <c:dispBlanksAs val="gap"/>
    <c:showDLblsOverMax val="0"/>
  </c:chart>
  <c:spPr>
    <a:noFill/>
    <a:ln>
      <a:noFill/>
    </a:ln>
  </c:spPr>
  <c:txPr>
    <a:bodyPr/>
    <a:lstStyle/>
    <a:p>
      <a:pPr>
        <a:defRPr sz="800">
          <a:solidFill>
            <a:sysClr val="windowText" lastClr="000000"/>
          </a:solidFill>
          <a:latin typeface="Arial Narrow" panose="020B0606020202030204" pitchFamily="34" charset="0"/>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0.03184</cdr:x>
      <cdr:y>0.35723</cdr:y>
    </cdr:from>
    <cdr:to>
      <cdr:x>0.985</cdr:x>
      <cdr:y>0.36517</cdr:y>
    </cdr:to>
    <cdr:cxnSp macro="">
      <cdr:nvCxnSpPr>
        <cdr:cNvPr id="3" name="Rovná spojnica 2"/>
        <cdr:cNvCxnSpPr/>
      </cdr:nvCxnSpPr>
      <cdr:spPr>
        <a:xfrm xmlns:a="http://schemas.openxmlformats.org/drawingml/2006/main" flipV="1">
          <a:off x="224596" y="1257301"/>
          <a:ext cx="6723499" cy="2794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0.60744</cdr:x>
      <cdr:y>0.42649</cdr:y>
    </cdr:from>
    <cdr:to>
      <cdr:x>0.86051</cdr:x>
      <cdr:y>0.52895</cdr:y>
    </cdr:to>
    <cdr:sp macro="" textlink="">
      <cdr:nvSpPr>
        <cdr:cNvPr id="6" name="BlokTextu 5"/>
        <cdr:cNvSpPr txBox="1"/>
      </cdr:nvSpPr>
      <cdr:spPr>
        <a:xfrm xmlns:a="http://schemas.openxmlformats.org/drawingml/2006/main">
          <a:off x="4287867" y="1515534"/>
          <a:ext cx="1786467" cy="364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050">
              <a:latin typeface="Arial Narrow" panose="020B0606020202030204" pitchFamily="34" charset="0"/>
            </a:rPr>
            <a:t>vývoj mimo COVID 19</a:t>
          </a:r>
        </a:p>
      </cdr:txBody>
    </cdr:sp>
  </cdr:relSizeAnchor>
</c:userShapes>
</file>

<file path=word/drawings/drawing2.xml><?xml version="1.0" encoding="utf-8"?>
<c:userShapes xmlns:c="http://schemas.openxmlformats.org/drawingml/2006/chart">
  <cdr:relSizeAnchor xmlns:cdr="http://schemas.openxmlformats.org/drawingml/2006/chartDrawing">
    <cdr:from>
      <cdr:x>0.06602</cdr:x>
      <cdr:y>0.3915</cdr:y>
    </cdr:from>
    <cdr:to>
      <cdr:x>0.93576</cdr:x>
      <cdr:y>0.39391</cdr:y>
    </cdr:to>
    <cdr:cxnSp macro="">
      <cdr:nvCxnSpPr>
        <cdr:cNvPr id="2" name="Rovná spojnica 1"/>
        <cdr:cNvCxnSpPr/>
      </cdr:nvCxnSpPr>
      <cdr:spPr>
        <a:xfrm xmlns:a="http://schemas.openxmlformats.org/drawingml/2006/main" flipV="1">
          <a:off x="378460" y="824865"/>
          <a:ext cx="4986020" cy="508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0.05937</cdr:x>
      <cdr:y>0.41832</cdr:y>
    </cdr:from>
    <cdr:to>
      <cdr:x>0.44661</cdr:x>
      <cdr:y>0.55335</cdr:y>
    </cdr:to>
    <cdr:sp macro="" textlink="">
      <cdr:nvSpPr>
        <cdr:cNvPr id="5" name="Textové pole 1"/>
        <cdr:cNvSpPr txBox="1"/>
      </cdr:nvSpPr>
      <cdr:spPr bwMode="auto">
        <a:xfrm xmlns:a="http://schemas.openxmlformats.org/drawingml/2006/main">
          <a:off x="340360" y="881380"/>
          <a:ext cx="2219960" cy="2844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rtlCol="0" anchor="t" anchorCtr="0" upright="1">
          <a:noAutofit/>
        </a:bodyPr>
        <a:lstStyle xmlns:a="http://schemas.openxmlformats.org/drawingml/2006/main"/>
        <a:p xmlns:a="http://schemas.openxmlformats.org/drawingml/2006/main">
          <a:r>
            <a:rPr lang="sk-SK" sz="900">
              <a:solidFill>
                <a:srgbClr val="FF0000"/>
              </a:solidFill>
              <a:latin typeface="Arial Narrow" panose="020B0606020202030204" pitchFamily="34" charset="0"/>
            </a:rPr>
            <a:t>Hranica nadmerného deficitu (3 % HDP)</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0.01887</cdr:y>
    </cdr:from>
    <cdr:to>
      <cdr:x>0.21658</cdr:x>
      <cdr:y>0.18735</cdr:y>
    </cdr:to>
    <cdr:sp macro="" textlink="">
      <cdr:nvSpPr>
        <cdr:cNvPr id="39938" name="Rectangle 2"/>
        <cdr:cNvSpPr>
          <a:spLocks xmlns:a="http://schemas.openxmlformats.org/drawingml/2006/main" noChangeArrowheads="1"/>
        </cdr:cNvSpPr>
      </cdr:nvSpPr>
      <cdr:spPr bwMode="auto">
        <a:xfrm xmlns:a="http://schemas.openxmlformats.org/drawingml/2006/main">
          <a:off x="0" y="103064"/>
          <a:ext cx="1232901" cy="919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1">
            <a:defRPr sz="1000"/>
          </a:pPr>
          <a:r>
            <a:rPr lang="sk-SK" sz="800" b="1" i="0" strike="noStrike">
              <a:solidFill>
                <a:sysClr val="windowText" lastClr="000000"/>
              </a:solidFill>
              <a:latin typeface="Arial Narrow"/>
            </a:rPr>
            <a:t>Pro-cyklická </a:t>
          </a:r>
        </a:p>
        <a:p xmlns:a="http://schemas.openxmlformats.org/drawingml/2006/main">
          <a:pPr algn="l" rtl="1">
            <a:defRPr sz="1000"/>
          </a:pPr>
          <a:r>
            <a:rPr lang="sk-SK" sz="800" b="1" i="0" strike="noStrike">
              <a:solidFill>
                <a:sysClr val="windowText" lastClr="000000"/>
              </a:solidFill>
              <a:latin typeface="Arial Narrow"/>
            </a:rPr>
            <a:t>fiškálna reštrikcia</a:t>
          </a:r>
        </a:p>
      </cdr:txBody>
    </cdr:sp>
  </cdr:relSizeAnchor>
  <cdr:relSizeAnchor xmlns:cdr="http://schemas.openxmlformats.org/drawingml/2006/chartDrawing">
    <cdr:from>
      <cdr:x>0.00169</cdr:x>
      <cdr:y>0.8433</cdr:y>
    </cdr:from>
    <cdr:to>
      <cdr:x>0.22125</cdr:x>
      <cdr:y>0.9648</cdr:y>
    </cdr:to>
    <cdr:sp macro="" textlink="">
      <cdr:nvSpPr>
        <cdr:cNvPr id="270339" name="Rectangle 4"/>
        <cdr:cNvSpPr>
          <a:spLocks xmlns:a="http://schemas.openxmlformats.org/drawingml/2006/main" noChangeArrowheads="1"/>
        </cdr:cNvSpPr>
      </cdr:nvSpPr>
      <cdr:spPr bwMode="auto">
        <a:xfrm xmlns:a="http://schemas.openxmlformats.org/drawingml/2006/main">
          <a:off x="9516" y="2254443"/>
          <a:ext cx="1234988" cy="3248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1">
            <a:defRPr sz="1000"/>
          </a:pPr>
          <a:r>
            <a:rPr lang="cs-CZ" sz="800" b="1" i="0" strike="noStrike">
              <a:solidFill>
                <a:sysClr val="windowText" lastClr="000000"/>
              </a:solidFill>
              <a:latin typeface="Arial Narrow"/>
            </a:rPr>
            <a:t>Proti-cyklická</a:t>
          </a:r>
        </a:p>
        <a:p xmlns:a="http://schemas.openxmlformats.org/drawingml/2006/main">
          <a:pPr algn="l" rtl="1">
            <a:defRPr sz="1000"/>
          </a:pPr>
          <a:r>
            <a:rPr lang="cs-CZ" sz="800" b="1" i="0" strike="noStrike">
              <a:solidFill>
                <a:sysClr val="windowText" lastClr="000000"/>
              </a:solidFill>
              <a:latin typeface="Arial Narrow"/>
            </a:rPr>
            <a:t>fiškálna expanzia</a:t>
          </a:r>
        </a:p>
      </cdr:txBody>
    </cdr:sp>
  </cdr:relSizeAnchor>
  <cdr:relSizeAnchor xmlns:cdr="http://schemas.openxmlformats.org/drawingml/2006/chartDrawing">
    <cdr:from>
      <cdr:x>0.75713</cdr:x>
      <cdr:y>0.03677</cdr:y>
    </cdr:from>
    <cdr:to>
      <cdr:x>0.98639</cdr:x>
      <cdr:y>0.1581</cdr:y>
    </cdr:to>
    <cdr:sp macro="" textlink="">
      <cdr:nvSpPr>
        <cdr:cNvPr id="8" name="Rectangle 2"/>
        <cdr:cNvSpPr>
          <a:spLocks xmlns:a="http://schemas.openxmlformats.org/drawingml/2006/main" noChangeArrowheads="1"/>
        </cdr:cNvSpPr>
      </cdr:nvSpPr>
      <cdr:spPr bwMode="auto">
        <a:xfrm xmlns:a="http://schemas.openxmlformats.org/drawingml/2006/main">
          <a:off x="2967078" y="162158"/>
          <a:ext cx="898442" cy="5350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sk-SK" sz="800" b="1" i="0" strike="noStrike">
              <a:solidFill>
                <a:sysClr val="windowText" lastClr="000000"/>
              </a:solidFill>
              <a:latin typeface="Arial Narrow"/>
            </a:rPr>
            <a:t>Proti-cyklická </a:t>
          </a:r>
        </a:p>
        <a:p xmlns:a="http://schemas.openxmlformats.org/drawingml/2006/main">
          <a:pPr algn="r" rtl="1">
            <a:defRPr sz="1000"/>
          </a:pPr>
          <a:r>
            <a:rPr lang="sk-SK" sz="800" b="1" i="0" strike="noStrike">
              <a:solidFill>
                <a:sysClr val="windowText" lastClr="000000"/>
              </a:solidFill>
              <a:latin typeface="Arial Narrow"/>
            </a:rPr>
            <a:t>fiškálna reštrikcia</a:t>
          </a:r>
        </a:p>
      </cdr:txBody>
    </cdr:sp>
  </cdr:relSizeAnchor>
  <cdr:relSizeAnchor xmlns:cdr="http://schemas.openxmlformats.org/drawingml/2006/chartDrawing">
    <cdr:from>
      <cdr:x>0.73892</cdr:x>
      <cdr:y>0.84084</cdr:y>
    </cdr:from>
    <cdr:to>
      <cdr:x>0.97976</cdr:x>
      <cdr:y>0.96778</cdr:y>
    </cdr:to>
    <cdr:sp macro="" textlink="">
      <cdr:nvSpPr>
        <cdr:cNvPr id="7" name="Rectangle 4"/>
        <cdr:cNvSpPr>
          <a:spLocks xmlns:a="http://schemas.openxmlformats.org/drawingml/2006/main" noChangeArrowheads="1"/>
        </cdr:cNvSpPr>
      </cdr:nvSpPr>
      <cdr:spPr bwMode="auto">
        <a:xfrm xmlns:a="http://schemas.openxmlformats.org/drawingml/2006/main">
          <a:off x="4206366" y="4591476"/>
          <a:ext cx="1371003" cy="6931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cs-CZ" sz="800" b="1" i="0" strike="noStrike">
              <a:solidFill>
                <a:srgbClr val="7030A0"/>
              </a:solidFill>
              <a:latin typeface="Arial Narrow"/>
            </a:rPr>
            <a:t> </a:t>
          </a:r>
          <a:r>
            <a:rPr lang="cs-CZ" sz="800" b="1" i="0" strike="noStrike">
              <a:solidFill>
                <a:sysClr val="windowText" lastClr="000000"/>
              </a:solidFill>
              <a:latin typeface="Arial Narrow"/>
            </a:rPr>
            <a:t>Pro-cyklická</a:t>
          </a:r>
        </a:p>
        <a:p xmlns:a="http://schemas.openxmlformats.org/drawingml/2006/main">
          <a:pPr algn="r" rtl="1">
            <a:defRPr sz="1000"/>
          </a:pPr>
          <a:r>
            <a:rPr lang="cs-CZ" sz="800" b="1" i="0" strike="noStrike">
              <a:solidFill>
                <a:sysClr val="windowText" lastClr="000000"/>
              </a:solidFill>
              <a:latin typeface="Arial Narrow"/>
            </a:rPr>
            <a:t>fiškálna expanzia</a:t>
          </a:r>
        </a:p>
      </cdr:txBody>
    </cdr:sp>
  </cdr:relSizeAnchor>
  <cdr:relSizeAnchor xmlns:cdr="http://schemas.openxmlformats.org/drawingml/2006/chartDrawing">
    <cdr:from>
      <cdr:x>0.52605</cdr:x>
      <cdr:y>3.74063E-7</cdr:y>
    </cdr:from>
    <cdr:to>
      <cdr:x>0.6435</cdr:x>
      <cdr:y>0.61354</cdr:y>
    </cdr:to>
    <cdr:sp macro="" textlink="">
      <cdr:nvSpPr>
        <cdr:cNvPr id="5" name="Text Box 7"/>
        <cdr:cNvSpPr txBox="1">
          <a:spLocks xmlns:a="http://schemas.openxmlformats.org/drawingml/2006/main" noChangeArrowheads="1"/>
        </cdr:cNvSpPr>
      </cdr:nvSpPr>
      <cdr:spPr bwMode="auto">
        <a:xfrm xmlns:a="http://schemas.openxmlformats.org/drawingml/2006/main" rot="16200000">
          <a:off x="2469183" y="489787"/>
          <a:ext cx="1640207" cy="660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7432" rIns="0" bIns="0" anchor="ctr" anchorCtr="1" upright="1"/>
        <a:lstStyle xmlns:a="http://schemas.openxmlformats.org/drawingml/2006/main"/>
        <a:p xmlns:a="http://schemas.openxmlformats.org/drawingml/2006/main">
          <a:pPr algn="ctr" rtl="0">
            <a:defRPr sz="1000"/>
          </a:pPr>
          <a:r>
            <a:rPr lang="sk-SK" sz="800" b="1" i="0" u="none" strike="noStrike" baseline="0">
              <a:solidFill>
                <a:srgbClr val="000000"/>
              </a:solidFill>
              <a:latin typeface="Arial Narrow"/>
            </a:rPr>
            <a:t>∆ prim. štrukturálneho salda (% HDP) -</a:t>
          </a:r>
        </a:p>
      </cdr:txBody>
    </cdr:sp>
  </cdr:relSizeAnchor>
  <cdr:relSizeAnchor xmlns:cdr="http://schemas.openxmlformats.org/drawingml/2006/chartDrawing">
    <cdr:from>
      <cdr:x>0.00985</cdr:x>
      <cdr:y>0.45513</cdr:y>
    </cdr:from>
    <cdr:to>
      <cdr:x>0.72754</cdr:x>
      <cdr:y>0.53379</cdr:y>
    </cdr:to>
    <cdr:sp macro="" textlink="">
      <cdr:nvSpPr>
        <cdr:cNvPr id="10" name="BlokTextu 1"/>
        <cdr:cNvSpPr txBox="1"/>
      </cdr:nvSpPr>
      <cdr:spPr>
        <a:xfrm xmlns:a="http://schemas.openxmlformats.org/drawingml/2006/main">
          <a:off x="55419" y="1216712"/>
          <a:ext cx="4036884" cy="210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800" b="1">
              <a:latin typeface="Arial Narrow" panose="020B0606020202030204" pitchFamily="34" charset="0"/>
            </a:rPr>
            <a:t>Produčná medzera (% HDP)</a:t>
          </a:r>
        </a:p>
      </cdr:txBody>
    </cdr:sp>
  </cdr:relSizeAnchor>
</c:userShapes>
</file>

<file path=word/drawings/drawing4.xml><?xml version="1.0" encoding="utf-8"?>
<c:userShapes xmlns:c="http://schemas.openxmlformats.org/drawingml/2006/chart">
  <cdr:relSizeAnchor xmlns:cdr="http://schemas.openxmlformats.org/drawingml/2006/chartDrawing">
    <cdr:from>
      <cdr:x>0.33549</cdr:x>
      <cdr:y>0.16511</cdr:y>
    </cdr:from>
    <cdr:to>
      <cdr:x>0.33708</cdr:x>
      <cdr:y>0.80669</cdr:y>
    </cdr:to>
    <cdr:cxnSp macro="">
      <cdr:nvCxnSpPr>
        <cdr:cNvPr id="4" name="Rovná spojnica 3"/>
        <cdr:cNvCxnSpPr/>
      </cdr:nvCxnSpPr>
      <cdr:spPr>
        <a:xfrm xmlns:a="http://schemas.openxmlformats.org/drawingml/2006/main" flipH="1" flipV="1">
          <a:off x="1971675" y="504825"/>
          <a:ext cx="9323" cy="1961648"/>
        </a:xfrm>
        <a:prstGeom xmlns:a="http://schemas.openxmlformats.org/drawingml/2006/main" prst="line">
          <a:avLst/>
        </a:prstGeom>
        <a:ln xmlns:a="http://schemas.openxmlformats.org/drawingml/2006/main" w="38100">
          <a:solidFill>
            <a:schemeClr val="bg1">
              <a:lumMod val="50000"/>
              <a:alpha val="50000"/>
            </a:schemeClr>
          </a:solidFill>
          <a:headEnd type="arrow" w="sm" len="med"/>
          <a:tailEnd type="non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0.63749</cdr:x>
      <cdr:y>0.02804</cdr:y>
    </cdr:from>
    <cdr:to>
      <cdr:x>0.92599</cdr:x>
      <cdr:y>0.10592</cdr:y>
    </cdr:to>
    <cdr:sp macro="" textlink="">
      <cdr:nvSpPr>
        <cdr:cNvPr id="6" name="Textové pole 3"/>
        <cdr:cNvSpPr txBox="1"/>
      </cdr:nvSpPr>
      <cdr:spPr bwMode="auto">
        <a:xfrm xmlns:a="http://schemas.openxmlformats.org/drawingml/2006/main">
          <a:off x="3746500" y="85725"/>
          <a:ext cx="1695450" cy="238125"/>
        </a:xfrm>
        <a:prstGeom xmlns:a="http://schemas.openxmlformats.org/drawingml/2006/main" prst="rect">
          <a:avLst/>
        </a:prstGeom>
        <a:noFill xmlns:a="http://schemas.openxmlformats.org/drawingml/2006/main"/>
        <a:ln xmlns:a="http://schemas.openxmlformats.org/drawingml/2006/main" w="25400">
          <a:solidFill>
            <a:schemeClr val="bg1">
              <a:lumMod val="50000"/>
              <a:alpha val="50000"/>
            </a:schemeClr>
          </a:solidFill>
          <a:miter lim="800000"/>
          <a:headEnd/>
          <a:tailEnd/>
        </a:ln>
      </cdr:spPr>
      <cdr:txBody>
        <a:bodyPr xmlns:a="http://schemas.openxmlformats.org/drawingml/2006/main" rot="0" spcFirstLastPara="0" vert="horz" wrap="square" lIns="91440" tIns="45720" rIns="91440" bIns="45720" numCol="1" spcCol="0" rtlCol="0" fromWordArt="0" anchor="t" anchorCtr="0" forceAA="0" upright="1" compatLnSpc="1">
          <a:prstTxWarp prst="textNoShape">
            <a:avLst/>
          </a:prstTxWarp>
          <a:noAutofit/>
        </a:bodyPr>
        <a:lstStyle xmlns:a="http://schemas.openxmlformats.org/drawingml/2006/main"/>
        <a:p xmlns:a="http://schemas.openxmlformats.org/drawingml/2006/main">
          <a:pPr algn="ctr"/>
          <a:r>
            <a:rPr lang="sk-SK" b="1">
              <a:latin typeface="Arial Narrow" panose="020B0606020202030204" pitchFamily="34" charset="0"/>
            </a:rPr>
            <a:t>Pandémia</a:t>
          </a:r>
          <a:r>
            <a:rPr lang="sk-SK" b="1" baseline="0"/>
            <a:t> COVID19</a:t>
          </a:r>
        </a:p>
      </cdr:txBody>
    </cdr:sp>
  </cdr:relSizeAnchor>
  <cdr:relSizeAnchor xmlns:cdr="http://schemas.openxmlformats.org/drawingml/2006/chartDrawing">
    <cdr:from>
      <cdr:x>0.7812</cdr:x>
      <cdr:y>0.10903</cdr:y>
    </cdr:from>
    <cdr:to>
      <cdr:x>0.78495</cdr:x>
      <cdr:y>0.81084</cdr:y>
    </cdr:to>
    <cdr:cxnSp macro="">
      <cdr:nvCxnSpPr>
        <cdr:cNvPr id="7" name="Rovná spojnica 6"/>
        <cdr:cNvCxnSpPr/>
      </cdr:nvCxnSpPr>
      <cdr:spPr>
        <a:xfrm xmlns:a="http://schemas.openxmlformats.org/drawingml/2006/main" flipH="1" flipV="1">
          <a:off x="4591050" y="333375"/>
          <a:ext cx="22024" cy="2145798"/>
        </a:xfrm>
        <a:prstGeom xmlns:a="http://schemas.openxmlformats.org/drawingml/2006/main" prst="line">
          <a:avLst/>
        </a:prstGeom>
        <a:ln xmlns:a="http://schemas.openxmlformats.org/drawingml/2006/main" w="38100">
          <a:solidFill>
            <a:schemeClr val="bg1">
              <a:lumMod val="50000"/>
              <a:alpha val="50000"/>
            </a:schemeClr>
          </a:solidFill>
          <a:headEnd type="arrow" w="sm" len="med"/>
          <a:tailEnd type="non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0.18909</cdr:x>
      <cdr:y>0.08723</cdr:y>
    </cdr:from>
    <cdr:to>
      <cdr:x>0.47758</cdr:x>
      <cdr:y>0.16511</cdr:y>
    </cdr:to>
    <cdr:sp macro="" textlink="">
      <cdr:nvSpPr>
        <cdr:cNvPr id="8" name="Textové pole 3"/>
        <cdr:cNvSpPr txBox="1"/>
      </cdr:nvSpPr>
      <cdr:spPr bwMode="auto">
        <a:xfrm xmlns:a="http://schemas.openxmlformats.org/drawingml/2006/main">
          <a:off x="1111250" y="266700"/>
          <a:ext cx="1695450" cy="238125"/>
        </a:xfrm>
        <a:prstGeom xmlns:a="http://schemas.openxmlformats.org/drawingml/2006/main" prst="rect">
          <a:avLst/>
        </a:prstGeom>
        <a:noFill xmlns:a="http://schemas.openxmlformats.org/drawingml/2006/main"/>
        <a:ln xmlns:a="http://schemas.openxmlformats.org/drawingml/2006/main" w="25400">
          <a:solidFill>
            <a:schemeClr val="bg1">
              <a:lumMod val="50000"/>
              <a:alpha val="50000"/>
            </a:schemeClr>
          </a:solidFill>
          <a:miter lim="800000"/>
          <a:headEnd/>
          <a:tailEnd/>
        </a:ln>
      </cdr:spPr>
      <cdr:txBody>
        <a:bodyPr xmlns:a="http://schemas.openxmlformats.org/drawingml/2006/main" rot="0" spcFirstLastPara="0" vert="horz" wrap="square" lIns="91440" tIns="45720" rIns="91440" bIns="45720" numCol="1" spcCol="0" rtlCol="0" fromWordArt="0" anchor="t" anchorCtr="0" forceAA="0" upright="1" compatLnSpc="1">
          <a:prstTxWarp prst="textNoShape">
            <a:avLst/>
          </a:prstTxWarp>
          <a:noAutofit/>
        </a:bodyPr>
        <a:lstStyle xmlns:a="http://schemas.openxmlformats.org/drawingml/2006/main"/>
        <a:p xmlns:a="http://schemas.openxmlformats.org/drawingml/2006/main">
          <a:pPr algn="ctr"/>
          <a:r>
            <a:rPr lang="sk-SK" b="1">
              <a:latin typeface="Arial Narrow" panose="020B0606020202030204" pitchFamily="34" charset="0"/>
            </a:rPr>
            <a:t>Globálna</a:t>
          </a:r>
          <a:r>
            <a:rPr lang="sk-SK" b="1" baseline="0">
              <a:latin typeface="Arial Narrow" panose="020B0606020202030204" pitchFamily="34" charset="0"/>
            </a:rPr>
            <a:t> finančná kríza</a:t>
          </a:r>
          <a:endParaRPr lang="sk-SK" b="1">
            <a:latin typeface="Arial Narrow" panose="020B0606020202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0.42688</cdr:x>
      <cdr:y>0.4675</cdr:y>
    </cdr:from>
    <cdr:to>
      <cdr:x>0.75591</cdr:x>
      <cdr:y>0.55418</cdr:y>
    </cdr:to>
    <cdr:sp macro="" textlink="">
      <cdr:nvSpPr>
        <cdr:cNvPr id="2" name="BlokTextu 3"/>
        <cdr:cNvSpPr txBox="1"/>
      </cdr:nvSpPr>
      <cdr:spPr>
        <a:xfrm xmlns:a="http://schemas.openxmlformats.org/drawingml/2006/main">
          <a:off x="1248281" y="923250"/>
          <a:ext cx="962141" cy="1711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Stredné riziko</a:t>
          </a:r>
        </a:p>
      </cdr:txBody>
    </cdr:sp>
  </cdr:relSizeAnchor>
  <cdr:relSizeAnchor xmlns:cdr="http://schemas.openxmlformats.org/drawingml/2006/chartDrawing">
    <cdr:from>
      <cdr:x>0.14733</cdr:x>
      <cdr:y>0.67384</cdr:y>
    </cdr:from>
    <cdr:to>
      <cdr:x>0.41728</cdr:x>
      <cdr:y>0.79466</cdr:y>
    </cdr:to>
    <cdr:sp macro="" textlink="">
      <cdr:nvSpPr>
        <cdr:cNvPr id="3" name="BlokTextu 3"/>
        <cdr:cNvSpPr txBox="1"/>
      </cdr:nvSpPr>
      <cdr:spPr>
        <a:xfrm xmlns:a="http://schemas.openxmlformats.org/drawingml/2006/main">
          <a:off x="430822" y="1330727"/>
          <a:ext cx="789370" cy="2386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Nízke riziko</a:t>
          </a:r>
        </a:p>
      </cdr:txBody>
    </cdr:sp>
  </cdr:relSizeAnchor>
  <cdr:relSizeAnchor xmlns:cdr="http://schemas.openxmlformats.org/drawingml/2006/chartDrawing">
    <cdr:from>
      <cdr:x>0.43208</cdr:x>
      <cdr:y>0.28637</cdr:y>
    </cdr:from>
    <cdr:to>
      <cdr:x>0.74557</cdr:x>
      <cdr:y>0.3975</cdr:y>
    </cdr:to>
    <cdr:sp macro="" textlink="">
      <cdr:nvSpPr>
        <cdr:cNvPr id="4" name="BlokTextu 3"/>
        <cdr:cNvSpPr txBox="1"/>
      </cdr:nvSpPr>
      <cdr:spPr>
        <a:xfrm xmlns:a="http://schemas.openxmlformats.org/drawingml/2006/main">
          <a:off x="1263469" y="565542"/>
          <a:ext cx="916713" cy="21946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Výsoké riziko</a:t>
          </a:r>
        </a:p>
      </cdr:txBody>
    </cdr:sp>
  </cdr:relSizeAnchor>
</c:userShapes>
</file>

<file path=word/drawings/drawing6.xml><?xml version="1.0" encoding="utf-8"?>
<c:userShapes xmlns:c="http://schemas.openxmlformats.org/drawingml/2006/chart">
  <cdr:relSizeAnchor xmlns:cdr="http://schemas.openxmlformats.org/drawingml/2006/chartDrawing">
    <cdr:from>
      <cdr:x>0.42625</cdr:x>
      <cdr:y>0.20409</cdr:y>
    </cdr:from>
    <cdr:to>
      <cdr:x>0.7089</cdr:x>
      <cdr:y>0.32451</cdr:y>
    </cdr:to>
    <cdr:sp macro="" textlink="">
      <cdr:nvSpPr>
        <cdr:cNvPr id="3" name="BlokTextu 3"/>
        <cdr:cNvSpPr txBox="1"/>
      </cdr:nvSpPr>
      <cdr:spPr>
        <a:xfrm xmlns:a="http://schemas.openxmlformats.org/drawingml/2006/main">
          <a:off x="1301904" y="396058"/>
          <a:ext cx="863326" cy="2336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Výsoké riziko</a:t>
          </a:r>
        </a:p>
      </cdr:txBody>
    </cdr:sp>
  </cdr:relSizeAnchor>
  <cdr:relSizeAnchor xmlns:cdr="http://schemas.openxmlformats.org/drawingml/2006/chartDrawing">
    <cdr:from>
      <cdr:x>0.42292</cdr:x>
      <cdr:y>0.42082</cdr:y>
    </cdr:from>
    <cdr:to>
      <cdr:x>0.76539</cdr:x>
      <cdr:y>0.50677</cdr:y>
    </cdr:to>
    <cdr:sp macro="" textlink="">
      <cdr:nvSpPr>
        <cdr:cNvPr id="4" name="BlokTextu 3"/>
        <cdr:cNvSpPr txBox="1"/>
      </cdr:nvSpPr>
      <cdr:spPr>
        <a:xfrm xmlns:a="http://schemas.openxmlformats.org/drawingml/2006/main">
          <a:off x="1291731" y="816619"/>
          <a:ext cx="1046026" cy="1667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Stredné riziko</a:t>
          </a:r>
        </a:p>
      </cdr:txBody>
    </cdr:sp>
  </cdr:relSizeAnchor>
  <cdr:relSizeAnchor xmlns:cdr="http://schemas.openxmlformats.org/drawingml/2006/chartDrawing">
    <cdr:from>
      <cdr:x>0.04338</cdr:x>
      <cdr:y>0.7025</cdr:y>
    </cdr:from>
    <cdr:to>
      <cdr:x>0.37564</cdr:x>
      <cdr:y>0.80905</cdr:y>
    </cdr:to>
    <cdr:sp macro="" textlink="">
      <cdr:nvSpPr>
        <cdr:cNvPr id="5" name="BlokTextu 3"/>
        <cdr:cNvSpPr txBox="1"/>
      </cdr:nvSpPr>
      <cdr:spPr>
        <a:xfrm xmlns:a="http://schemas.openxmlformats.org/drawingml/2006/main">
          <a:off x="132484" y="1363241"/>
          <a:ext cx="1014839" cy="206767"/>
        </a:xfrm>
        <a:prstGeom xmlns:a="http://schemas.openxmlformats.org/drawingml/2006/main" prst="rect">
          <a:avLst/>
        </a:prstGeom>
        <a:solidFill xmlns:a="http://schemas.openxmlformats.org/drawingml/2006/main">
          <a:schemeClr val="accent3">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Nízke   </a:t>
          </a:r>
          <a:r>
            <a:rPr lang="sk-SK" sz="1000" b="1" baseline="0">
              <a:latin typeface="Arial Narrow" panose="020B0606020202030204" pitchFamily="34" charset="0"/>
            </a:rPr>
            <a:t> </a:t>
          </a:r>
          <a:r>
            <a:rPr lang="sk-SK" sz="1000" b="1">
              <a:latin typeface="Arial Narrow" panose="020B0606020202030204" pitchFamily="34" charset="0"/>
            </a:rPr>
            <a:t>riziko</a:t>
          </a:r>
        </a:p>
      </cdr:txBody>
    </cdr:sp>
  </cdr:relSizeAnchor>
</c:userShapes>
</file>

<file path=word/theme/theme1.xml><?xml version="1.0" encoding="utf-8"?>
<a:theme xmlns:a="http://schemas.openxmlformats.org/drawingml/2006/main" name="Office Theme">
  <a:themeElements>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75000"/>
          </a:schemeClr>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FP farby">
    <a:dk1>
      <a:sysClr val="windowText" lastClr="000000"/>
    </a:dk1>
    <a:lt1>
      <a:sysClr val="window" lastClr="FFFFFF"/>
    </a:lt1>
    <a:dk2>
      <a:srgbClr val="44546A"/>
    </a:dk2>
    <a:lt2>
      <a:srgbClr val="E7E6E6"/>
    </a:lt2>
    <a:accent1>
      <a:srgbClr val="2C9ADC"/>
    </a:accent1>
    <a:accent2>
      <a:srgbClr val="B0D6AF"/>
    </a:accent2>
    <a:accent3>
      <a:srgbClr val="D3BEDE"/>
    </a:accent3>
    <a:accent4>
      <a:srgbClr val="D9D3AB"/>
    </a:accent4>
    <a:accent5>
      <a:srgbClr val="AAD3F2"/>
    </a:accent5>
    <a:accent6>
      <a:srgbClr val="F9C9BA"/>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Vlastné 2">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2D5F6-0F52-48B7-8382-14FB133409F0}">
  <ds:schemaRefs>
    <ds:schemaRef ds:uri="http://schemas.openxmlformats.org/officeDocument/2006/bibliography"/>
  </ds:schemaRefs>
</ds:datastoreItem>
</file>

<file path=customXml/itemProps2.xml><?xml version="1.0" encoding="utf-8"?>
<ds:datastoreItem xmlns:ds="http://schemas.openxmlformats.org/officeDocument/2006/customXml" ds:itemID="{236E18DE-0CEE-4FF5-AB71-971C6839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51</Pages>
  <Words>20264</Words>
  <Characters>121404</Characters>
  <Application>Microsoft Office Word</Application>
  <DocSecurity>0</DocSecurity>
  <Lines>1011</Lines>
  <Paragraphs>282</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Ministerstvo financií</Company>
  <LinksUpToDate>false</LinksUpToDate>
  <CharactersWithSpaces>141386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Suchta Juraj</dc:creator>
  <cp:keywords/>
  <dc:description/>
  <cp:lastModifiedBy>Jakub Peter</cp:lastModifiedBy>
  <cp:revision>139</cp:revision>
  <cp:lastPrinted>2020-05-18T10:20:00Z</cp:lastPrinted>
  <dcterms:created xsi:type="dcterms:W3CDTF">2020-05-13T16:36:00Z</dcterms:created>
  <dcterms:modified xsi:type="dcterms:W3CDTF">2020-05-18T10:21:00Z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980647295</vt:i4>
  </property>
</Properties>
</file>