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color w:val="auto"/>
          <w:sz w:val="22"/>
          <w:szCs w:val="22"/>
          <w:lang w:eastAsia="en-US"/>
        </w:rPr>
        <w:id w:val="-744263839"/>
        <w:docPartObj>
          <w:docPartGallery w:val="Table of Contents"/>
          <w:docPartUnique/>
        </w:docPartObj>
      </w:sdtPr>
      <w:sdtEndPr>
        <w:rPr>
          <w:rFonts w:cstheme="minorBidi"/>
          <w:b/>
          <w:bCs/>
        </w:rPr>
      </w:sdtEndPr>
      <w:sdtContent>
        <w:p w14:paraId="7E7F9E85" w14:textId="43F9B2DC" w:rsidR="008A0537" w:rsidRPr="00F508CB" w:rsidRDefault="008A0537" w:rsidP="00A50A25">
          <w:pPr>
            <w:pStyle w:val="Hlavikaobsahu"/>
            <w:jc w:val="center"/>
            <w:rPr>
              <w:rFonts w:ascii="Times New Roman" w:hAnsi="Times New Roman" w:cs="Times New Roman"/>
              <w:b/>
              <w:color w:val="auto"/>
              <w:sz w:val="26"/>
              <w:szCs w:val="26"/>
            </w:rPr>
          </w:pPr>
          <w:r w:rsidRPr="00F508CB">
            <w:rPr>
              <w:rFonts w:ascii="Times New Roman" w:hAnsi="Times New Roman" w:cs="Times New Roman"/>
              <w:b/>
              <w:color w:val="auto"/>
              <w:sz w:val="26"/>
              <w:szCs w:val="26"/>
            </w:rPr>
            <w:t>Obsah</w:t>
          </w:r>
        </w:p>
        <w:p w14:paraId="53D31F6B" w14:textId="77777777" w:rsidR="001F7763" w:rsidRPr="001F7763" w:rsidRDefault="008A0537">
          <w:pPr>
            <w:pStyle w:val="Obsah1"/>
            <w:rPr>
              <w:rFonts w:eastAsiaTheme="minorEastAsia" w:cs="Times New Roman"/>
              <w:b w:val="0"/>
              <w:bCs w:val="0"/>
              <w:sz w:val="22"/>
              <w:lang w:eastAsia="sk-SK"/>
            </w:rPr>
          </w:pPr>
          <w:r w:rsidRPr="001F7763">
            <w:rPr>
              <w:rFonts w:eastAsiaTheme="majorEastAsia" w:cs="Times New Roman"/>
              <w:b w:val="0"/>
              <w:bCs w:val="0"/>
              <w:color w:val="2E74B5" w:themeColor="accent1" w:themeShade="BF"/>
              <w:sz w:val="22"/>
              <w:lang w:eastAsia="sk-SK"/>
            </w:rPr>
            <w:fldChar w:fldCharType="begin"/>
          </w:r>
          <w:r w:rsidRPr="001F7763">
            <w:rPr>
              <w:rFonts w:cs="Times New Roman"/>
              <w:sz w:val="22"/>
            </w:rPr>
            <w:instrText xml:space="preserve"> TOC \o "1-3" \h \z \u </w:instrText>
          </w:r>
          <w:r w:rsidRPr="001F7763">
            <w:rPr>
              <w:rFonts w:eastAsiaTheme="majorEastAsia" w:cs="Times New Roman"/>
              <w:b w:val="0"/>
              <w:bCs w:val="0"/>
              <w:color w:val="2E74B5" w:themeColor="accent1" w:themeShade="BF"/>
              <w:sz w:val="22"/>
              <w:lang w:eastAsia="sk-SK"/>
            </w:rPr>
            <w:fldChar w:fldCharType="separate"/>
          </w:r>
          <w:hyperlink w:anchor="_Toc39095156" w:history="1">
            <w:r w:rsidR="001F7763" w:rsidRPr="001F7763">
              <w:rPr>
                <w:rStyle w:val="Hypertextovprepojenie"/>
                <w:rFonts w:cs="Times New Roman"/>
                <w:sz w:val="22"/>
              </w:rPr>
              <w:t>Zhrnutie</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_Toc39095156 \h </w:instrText>
            </w:r>
            <w:r w:rsidR="001F7763" w:rsidRPr="001F7763">
              <w:rPr>
                <w:rFonts w:cs="Times New Roman"/>
                <w:webHidden/>
                <w:sz w:val="22"/>
              </w:rPr>
            </w:r>
            <w:r w:rsidR="001F7763" w:rsidRPr="001F7763">
              <w:rPr>
                <w:rFonts w:cs="Times New Roman"/>
                <w:webHidden/>
                <w:sz w:val="22"/>
              </w:rPr>
              <w:fldChar w:fldCharType="separate"/>
            </w:r>
            <w:r w:rsidR="00C01F52">
              <w:rPr>
                <w:rFonts w:cs="Times New Roman"/>
                <w:webHidden/>
                <w:sz w:val="22"/>
              </w:rPr>
              <w:t>2</w:t>
            </w:r>
            <w:r w:rsidR="001F7763" w:rsidRPr="001F7763">
              <w:rPr>
                <w:rFonts w:cs="Times New Roman"/>
                <w:webHidden/>
                <w:sz w:val="22"/>
              </w:rPr>
              <w:fldChar w:fldCharType="end"/>
            </w:r>
          </w:hyperlink>
        </w:p>
        <w:p w14:paraId="6569354B" w14:textId="77777777" w:rsidR="001F7763" w:rsidRPr="001F7763" w:rsidRDefault="00C01F52">
          <w:pPr>
            <w:pStyle w:val="Obsah1"/>
            <w:rPr>
              <w:rFonts w:eastAsiaTheme="minorEastAsia" w:cs="Times New Roman"/>
              <w:b w:val="0"/>
              <w:bCs w:val="0"/>
              <w:sz w:val="22"/>
              <w:lang w:eastAsia="sk-SK"/>
            </w:rPr>
          </w:pPr>
          <w:hyperlink w:anchor="_Toc39095157" w:history="1">
            <w:r w:rsidR="001F7763" w:rsidRPr="001F7763">
              <w:rPr>
                <w:rStyle w:val="Hypertextovprepojenie"/>
                <w:rFonts w:cs="Times New Roman"/>
                <w:sz w:val="22"/>
              </w:rPr>
              <w:t>1</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Ekonomický rámec rozpočtového hospodárenia Slovenskej republiky</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_Toc39095157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3</w:t>
            </w:r>
            <w:r w:rsidR="001F7763" w:rsidRPr="001F7763">
              <w:rPr>
                <w:rFonts w:cs="Times New Roman"/>
                <w:webHidden/>
                <w:sz w:val="22"/>
              </w:rPr>
              <w:fldChar w:fldCharType="end"/>
            </w:r>
          </w:hyperlink>
        </w:p>
        <w:p w14:paraId="102E6DE4" w14:textId="77777777" w:rsidR="001F7763" w:rsidRPr="001F7763" w:rsidRDefault="00C01F52">
          <w:pPr>
            <w:pStyle w:val="Obsah2"/>
            <w:rPr>
              <w:rFonts w:eastAsiaTheme="minorEastAsia" w:cs="Times New Roman"/>
              <w:b w:val="0"/>
              <w:bCs w:val="0"/>
              <w:sz w:val="22"/>
              <w:lang w:eastAsia="sk-SK"/>
            </w:rPr>
          </w:pPr>
          <w:hyperlink w:anchor="_Toc39095158" w:history="1">
            <w:r w:rsidR="001F7763" w:rsidRPr="001F7763">
              <w:rPr>
                <w:rStyle w:val="Hypertextovprepojenie"/>
                <w:rFonts w:cs="Times New Roman"/>
                <w:sz w:val="22"/>
              </w:rPr>
              <w:t>1.1</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Vonkajšie ekonomické prostredie</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_Toc39095158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3</w:t>
            </w:r>
            <w:r w:rsidR="001F7763" w:rsidRPr="001F7763">
              <w:rPr>
                <w:rFonts w:cs="Times New Roman"/>
                <w:webHidden/>
                <w:sz w:val="22"/>
              </w:rPr>
              <w:fldChar w:fldCharType="end"/>
            </w:r>
          </w:hyperlink>
        </w:p>
        <w:p w14:paraId="603A9007" w14:textId="77777777" w:rsidR="001F7763" w:rsidRPr="001F7763" w:rsidRDefault="00C01F52">
          <w:pPr>
            <w:pStyle w:val="Obsah2"/>
            <w:rPr>
              <w:rFonts w:eastAsiaTheme="minorEastAsia" w:cs="Times New Roman"/>
              <w:b w:val="0"/>
              <w:bCs w:val="0"/>
              <w:sz w:val="22"/>
              <w:lang w:eastAsia="sk-SK"/>
            </w:rPr>
          </w:pPr>
          <w:hyperlink w:anchor="_Toc39095159" w:history="1">
            <w:r w:rsidR="001F7763" w:rsidRPr="001F7763">
              <w:rPr>
                <w:rStyle w:val="Hypertextovprepojenie"/>
                <w:rFonts w:cs="Times New Roman"/>
                <w:sz w:val="22"/>
              </w:rPr>
              <w:t>1.2</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Makroekonomický vývoj SR</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_Toc39095159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4</w:t>
            </w:r>
            <w:r w:rsidR="001F7763" w:rsidRPr="001F7763">
              <w:rPr>
                <w:rFonts w:cs="Times New Roman"/>
                <w:webHidden/>
                <w:sz w:val="22"/>
              </w:rPr>
              <w:fldChar w:fldCharType="end"/>
            </w:r>
          </w:hyperlink>
        </w:p>
        <w:p w14:paraId="41B45255"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0" w:history="1">
            <w:r w:rsidR="001F7763" w:rsidRPr="001F7763">
              <w:rPr>
                <w:rStyle w:val="Hypertextovprepojenie"/>
                <w:rFonts w:ascii="Times New Roman" w:hAnsi="Times New Roman" w:cs="Times New Roman"/>
                <w:smallCaps w:val="0"/>
                <w:noProof/>
              </w:rPr>
              <w:t>1.2.1</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Hrubý domáci produkt</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_Toc39095160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4</w:t>
            </w:r>
            <w:r w:rsidR="001F7763" w:rsidRPr="001F7763">
              <w:rPr>
                <w:rFonts w:ascii="Times New Roman" w:hAnsi="Times New Roman" w:cs="Times New Roman"/>
                <w:smallCaps w:val="0"/>
                <w:noProof/>
                <w:webHidden/>
              </w:rPr>
              <w:fldChar w:fldCharType="end"/>
            </w:r>
          </w:hyperlink>
        </w:p>
        <w:p w14:paraId="3DC74F09"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1" w:history="1">
            <w:r w:rsidR="001F7763" w:rsidRPr="001F7763">
              <w:rPr>
                <w:rStyle w:val="Hypertextovprepojenie"/>
                <w:rFonts w:ascii="Times New Roman" w:hAnsi="Times New Roman" w:cs="Times New Roman"/>
                <w:smallCaps w:val="0"/>
                <w:noProof/>
              </w:rPr>
              <w:t>1.2.2</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Trh práce</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_Toc39095161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5</w:t>
            </w:r>
            <w:r w:rsidR="001F7763" w:rsidRPr="001F7763">
              <w:rPr>
                <w:rFonts w:ascii="Times New Roman" w:hAnsi="Times New Roman" w:cs="Times New Roman"/>
                <w:smallCaps w:val="0"/>
                <w:noProof/>
                <w:webHidden/>
              </w:rPr>
              <w:fldChar w:fldCharType="end"/>
            </w:r>
          </w:hyperlink>
        </w:p>
        <w:p w14:paraId="222FE30A"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2" w:history="1">
            <w:r w:rsidR="001F7763" w:rsidRPr="001F7763">
              <w:rPr>
                <w:rStyle w:val="Hypertextovprepojenie"/>
                <w:rFonts w:ascii="Times New Roman" w:hAnsi="Times New Roman" w:cs="Times New Roman"/>
                <w:smallCaps w:val="0"/>
                <w:noProof/>
              </w:rPr>
              <w:t>1.2.3</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Vývoj cien</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_Toc39095162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6</w:t>
            </w:r>
            <w:r w:rsidR="001F7763" w:rsidRPr="001F7763">
              <w:rPr>
                <w:rFonts w:ascii="Times New Roman" w:hAnsi="Times New Roman" w:cs="Times New Roman"/>
                <w:smallCaps w:val="0"/>
                <w:noProof/>
                <w:webHidden/>
              </w:rPr>
              <w:fldChar w:fldCharType="end"/>
            </w:r>
          </w:hyperlink>
        </w:p>
        <w:p w14:paraId="2225B726"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3" w:history="1">
            <w:r w:rsidR="001F7763" w:rsidRPr="001F7763">
              <w:rPr>
                <w:rStyle w:val="Hypertextovprepojenie"/>
                <w:rFonts w:ascii="Times New Roman" w:hAnsi="Times New Roman" w:cs="Times New Roman"/>
                <w:smallCaps w:val="0"/>
                <w:noProof/>
              </w:rPr>
              <w:t>1.2.4</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Platobná bilancia</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_Toc39095163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6</w:t>
            </w:r>
            <w:r w:rsidR="001F7763" w:rsidRPr="001F7763">
              <w:rPr>
                <w:rFonts w:ascii="Times New Roman" w:hAnsi="Times New Roman" w:cs="Times New Roman"/>
                <w:smallCaps w:val="0"/>
                <w:noProof/>
                <w:webHidden/>
              </w:rPr>
              <w:fldChar w:fldCharType="end"/>
            </w:r>
          </w:hyperlink>
        </w:p>
        <w:p w14:paraId="1BEFEF58"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4" w:history="1">
            <w:r w:rsidR="001F7763" w:rsidRPr="001F7763">
              <w:rPr>
                <w:rStyle w:val="Hypertextovprepojenie"/>
                <w:rFonts w:ascii="Times New Roman" w:hAnsi="Times New Roman" w:cs="Times New Roman"/>
                <w:smallCaps w:val="0"/>
                <w:noProof/>
              </w:rPr>
              <w:t>1.2.5</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Porovnanie makroekonomických predpokladov rozpočtu a skutočnosti</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_Toc39095164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7</w:t>
            </w:r>
            <w:r w:rsidR="001F7763" w:rsidRPr="001F7763">
              <w:rPr>
                <w:rFonts w:ascii="Times New Roman" w:hAnsi="Times New Roman" w:cs="Times New Roman"/>
                <w:smallCaps w:val="0"/>
                <w:noProof/>
                <w:webHidden/>
              </w:rPr>
              <w:fldChar w:fldCharType="end"/>
            </w:r>
          </w:hyperlink>
        </w:p>
        <w:p w14:paraId="5EBDC1D5" w14:textId="77777777" w:rsidR="001F7763" w:rsidRPr="001F7763" w:rsidRDefault="00C01F52">
          <w:pPr>
            <w:pStyle w:val="Obsah1"/>
            <w:rPr>
              <w:rFonts w:eastAsiaTheme="minorEastAsia" w:cs="Times New Roman"/>
              <w:b w:val="0"/>
              <w:bCs w:val="0"/>
              <w:sz w:val="22"/>
              <w:lang w:eastAsia="sk-SK"/>
            </w:rPr>
          </w:pPr>
          <w:hyperlink w:anchor="_Toc39095165" w:history="1">
            <w:r w:rsidR="001F7763" w:rsidRPr="001F7763">
              <w:rPr>
                <w:rStyle w:val="Hypertextovprepojenie"/>
                <w:rFonts w:cs="Times New Roman"/>
                <w:sz w:val="22"/>
              </w:rPr>
              <w:t>2</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Hospodárenie verejnej správy v metodike ESA 2010</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_Toc39095165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8</w:t>
            </w:r>
            <w:r w:rsidR="001F7763" w:rsidRPr="001F7763">
              <w:rPr>
                <w:rFonts w:cs="Times New Roman"/>
                <w:webHidden/>
                <w:sz w:val="22"/>
              </w:rPr>
              <w:fldChar w:fldCharType="end"/>
            </w:r>
          </w:hyperlink>
        </w:p>
        <w:p w14:paraId="30C1F16E" w14:textId="77777777" w:rsidR="001F7763" w:rsidRPr="001F7763" w:rsidRDefault="00C01F52">
          <w:pPr>
            <w:pStyle w:val="Obsah2"/>
            <w:rPr>
              <w:rFonts w:eastAsiaTheme="minorEastAsia" w:cs="Times New Roman"/>
              <w:b w:val="0"/>
              <w:bCs w:val="0"/>
              <w:sz w:val="22"/>
              <w:lang w:eastAsia="sk-SK"/>
            </w:rPr>
          </w:pPr>
          <w:hyperlink w:anchor="_Toc39095166" w:history="1">
            <w:r w:rsidR="001F7763" w:rsidRPr="001F7763">
              <w:rPr>
                <w:rStyle w:val="Hypertextovprepojenie"/>
                <w:rFonts w:cs="Times New Roman"/>
                <w:sz w:val="22"/>
              </w:rPr>
              <w:t>2.1</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Saldo verejnej správy</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_Toc39095166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10</w:t>
            </w:r>
            <w:r w:rsidR="001F7763" w:rsidRPr="001F7763">
              <w:rPr>
                <w:rFonts w:cs="Times New Roman"/>
                <w:webHidden/>
                <w:sz w:val="22"/>
              </w:rPr>
              <w:fldChar w:fldCharType="end"/>
            </w:r>
          </w:hyperlink>
        </w:p>
        <w:p w14:paraId="1B57D5C4" w14:textId="77777777" w:rsidR="001F7763" w:rsidRPr="001F7763" w:rsidRDefault="00C01F52">
          <w:pPr>
            <w:pStyle w:val="Obsah2"/>
            <w:rPr>
              <w:rFonts w:eastAsiaTheme="minorEastAsia" w:cs="Times New Roman"/>
              <w:b w:val="0"/>
              <w:bCs w:val="0"/>
              <w:sz w:val="22"/>
              <w:lang w:eastAsia="sk-SK"/>
            </w:rPr>
          </w:pPr>
          <w:hyperlink w:anchor="_Toc39095167" w:history="1">
            <w:r w:rsidR="001F7763" w:rsidRPr="001F7763">
              <w:rPr>
                <w:rStyle w:val="Hypertextovprepojenie"/>
                <w:rFonts w:cs="Times New Roman"/>
                <w:sz w:val="22"/>
              </w:rPr>
              <w:t>2.2</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Dlh verejnej správy</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_Toc39095167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26</w:t>
            </w:r>
            <w:r w:rsidR="001F7763" w:rsidRPr="001F7763">
              <w:rPr>
                <w:rFonts w:cs="Times New Roman"/>
                <w:webHidden/>
                <w:sz w:val="22"/>
              </w:rPr>
              <w:fldChar w:fldCharType="end"/>
            </w:r>
          </w:hyperlink>
        </w:p>
        <w:p w14:paraId="13B07AA6"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8" w:history="1">
            <w:r w:rsidR="001F7763" w:rsidRPr="001F7763">
              <w:rPr>
                <w:rStyle w:val="Hypertextovprepojenie"/>
                <w:rFonts w:ascii="Times New Roman" w:hAnsi="Times New Roman" w:cs="Times New Roman"/>
                <w:smallCaps w:val="0"/>
                <w:noProof/>
              </w:rPr>
              <w:t>2.2.1</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Maastrichtský dlh štátnych rozpočtových organizácií</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_Toc39095168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29</w:t>
            </w:r>
            <w:r w:rsidR="001F7763" w:rsidRPr="001F7763">
              <w:rPr>
                <w:rFonts w:ascii="Times New Roman" w:hAnsi="Times New Roman" w:cs="Times New Roman"/>
                <w:smallCaps w:val="0"/>
                <w:noProof/>
                <w:webHidden/>
              </w:rPr>
              <w:fldChar w:fldCharType="end"/>
            </w:r>
          </w:hyperlink>
        </w:p>
        <w:p w14:paraId="745DFFDA"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69" w:history="1">
            <w:r w:rsidR="001F7763" w:rsidRPr="001F7763">
              <w:rPr>
                <w:rStyle w:val="Hypertextovprepojenie"/>
                <w:rFonts w:ascii="Times New Roman" w:hAnsi="Times New Roman" w:cs="Times New Roman"/>
                <w:smallCaps w:val="0"/>
                <w:noProof/>
              </w:rPr>
              <w:t>2.2.2</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Maastrichtský dlh ostatných subjektov verejnej správy</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_Toc39095169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30</w:t>
            </w:r>
            <w:r w:rsidR="001F7763" w:rsidRPr="001F7763">
              <w:rPr>
                <w:rFonts w:ascii="Times New Roman" w:hAnsi="Times New Roman" w:cs="Times New Roman"/>
                <w:smallCaps w:val="0"/>
                <w:noProof/>
                <w:webHidden/>
              </w:rPr>
              <w:fldChar w:fldCharType="end"/>
            </w:r>
          </w:hyperlink>
        </w:p>
        <w:p w14:paraId="552D4E52" w14:textId="77777777" w:rsidR="001F7763" w:rsidRPr="001F7763" w:rsidRDefault="00C01F52">
          <w:pPr>
            <w:pStyle w:val="Obsah2"/>
            <w:rPr>
              <w:rFonts w:eastAsiaTheme="minorEastAsia" w:cs="Times New Roman"/>
              <w:b w:val="0"/>
              <w:bCs w:val="0"/>
              <w:sz w:val="22"/>
              <w:lang w:eastAsia="sk-SK"/>
            </w:rPr>
          </w:pPr>
          <w:hyperlink w:anchor="_Toc39095170" w:history="1">
            <w:r w:rsidR="001F7763" w:rsidRPr="001F7763">
              <w:rPr>
                <w:rStyle w:val="Hypertextovprepojenie"/>
                <w:rFonts w:cs="Times New Roman"/>
                <w:sz w:val="22"/>
              </w:rPr>
              <w:t>2.3</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Porovnanie salda a dlhu verejnej správy v Európskej únii</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_Toc39095170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35</w:t>
            </w:r>
            <w:r w:rsidR="001F7763" w:rsidRPr="001F7763">
              <w:rPr>
                <w:rFonts w:cs="Times New Roman"/>
                <w:webHidden/>
                <w:sz w:val="22"/>
              </w:rPr>
              <w:fldChar w:fldCharType="end"/>
            </w:r>
          </w:hyperlink>
        </w:p>
        <w:p w14:paraId="46229101" w14:textId="77777777" w:rsidR="001F7763" w:rsidRPr="001F7763" w:rsidRDefault="00C01F52">
          <w:pPr>
            <w:pStyle w:val="Obsah1"/>
            <w:rPr>
              <w:rFonts w:eastAsiaTheme="minorEastAsia" w:cs="Times New Roman"/>
              <w:b w:val="0"/>
              <w:bCs w:val="0"/>
              <w:sz w:val="22"/>
              <w:lang w:eastAsia="sk-SK"/>
            </w:rPr>
          </w:pPr>
          <w:hyperlink w:anchor="_Toc39095171" w:history="1">
            <w:r w:rsidR="001F7763" w:rsidRPr="001F7763">
              <w:rPr>
                <w:rStyle w:val="Hypertextovprepojenie"/>
                <w:rFonts w:cs="Times New Roman"/>
                <w:sz w:val="22"/>
              </w:rPr>
              <w:t>3</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Hospodárenie štátneho rozpočtu na hotovostnej báze</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_Toc39095171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36</w:t>
            </w:r>
            <w:r w:rsidR="001F7763" w:rsidRPr="001F7763">
              <w:rPr>
                <w:rFonts w:cs="Times New Roman"/>
                <w:webHidden/>
                <w:sz w:val="22"/>
              </w:rPr>
              <w:fldChar w:fldCharType="end"/>
            </w:r>
          </w:hyperlink>
        </w:p>
        <w:p w14:paraId="3721BED0" w14:textId="77777777" w:rsidR="001F7763" w:rsidRPr="001F7763" w:rsidRDefault="00C01F52">
          <w:pPr>
            <w:pStyle w:val="Obsah2"/>
            <w:rPr>
              <w:rFonts w:eastAsiaTheme="minorEastAsia" w:cs="Times New Roman"/>
              <w:b w:val="0"/>
              <w:bCs w:val="0"/>
              <w:sz w:val="22"/>
              <w:lang w:eastAsia="sk-SK"/>
            </w:rPr>
          </w:pPr>
          <w:hyperlink w:anchor="_Toc39095172" w:history="1">
            <w:r w:rsidR="001F7763" w:rsidRPr="001F7763">
              <w:rPr>
                <w:rStyle w:val="Hypertextovprepojenie"/>
                <w:rFonts w:cs="Times New Roman"/>
                <w:sz w:val="22"/>
              </w:rPr>
              <w:t>3.1</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Príjmy štátneho rozpočtu</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_Toc39095172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39</w:t>
            </w:r>
            <w:r w:rsidR="001F7763" w:rsidRPr="001F7763">
              <w:rPr>
                <w:rFonts w:cs="Times New Roman"/>
                <w:webHidden/>
                <w:sz w:val="22"/>
              </w:rPr>
              <w:fldChar w:fldCharType="end"/>
            </w:r>
          </w:hyperlink>
        </w:p>
        <w:p w14:paraId="24A1F72C"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73" w:history="1">
            <w:r w:rsidR="001F7763" w:rsidRPr="001F7763">
              <w:rPr>
                <w:rStyle w:val="Hypertextovprepojenie"/>
                <w:rFonts w:ascii="Times New Roman" w:hAnsi="Times New Roman" w:cs="Times New Roman"/>
                <w:smallCaps w:val="0"/>
                <w:noProof/>
              </w:rPr>
              <w:t>3.1.1</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Daňové príjmy</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_Toc39095173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39</w:t>
            </w:r>
            <w:r w:rsidR="001F7763" w:rsidRPr="001F7763">
              <w:rPr>
                <w:rFonts w:ascii="Times New Roman" w:hAnsi="Times New Roman" w:cs="Times New Roman"/>
                <w:smallCaps w:val="0"/>
                <w:noProof/>
                <w:webHidden/>
              </w:rPr>
              <w:fldChar w:fldCharType="end"/>
            </w:r>
          </w:hyperlink>
        </w:p>
        <w:p w14:paraId="74942301"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74" w:history="1">
            <w:r w:rsidR="001F7763" w:rsidRPr="001F7763">
              <w:rPr>
                <w:rStyle w:val="Hypertextovprepojenie"/>
                <w:rFonts w:ascii="Times New Roman" w:hAnsi="Times New Roman" w:cs="Times New Roman"/>
                <w:smallCaps w:val="0"/>
                <w:noProof/>
              </w:rPr>
              <w:t>3.1.2</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Nedaňové príjmy</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_Toc39095174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44</w:t>
            </w:r>
            <w:r w:rsidR="001F7763" w:rsidRPr="001F7763">
              <w:rPr>
                <w:rFonts w:ascii="Times New Roman" w:hAnsi="Times New Roman" w:cs="Times New Roman"/>
                <w:smallCaps w:val="0"/>
                <w:noProof/>
                <w:webHidden/>
              </w:rPr>
              <w:fldChar w:fldCharType="end"/>
            </w:r>
          </w:hyperlink>
        </w:p>
        <w:p w14:paraId="720FDD43"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75" w:history="1">
            <w:r w:rsidR="001F7763" w:rsidRPr="001F7763">
              <w:rPr>
                <w:rStyle w:val="Hypertextovprepojenie"/>
                <w:rFonts w:ascii="Times New Roman" w:hAnsi="Times New Roman" w:cs="Times New Roman"/>
                <w:smallCaps w:val="0"/>
                <w:noProof/>
              </w:rPr>
              <w:t>3.1.3</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Granty a transfery</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_Toc39095175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50</w:t>
            </w:r>
            <w:r w:rsidR="001F7763" w:rsidRPr="001F7763">
              <w:rPr>
                <w:rFonts w:ascii="Times New Roman" w:hAnsi="Times New Roman" w:cs="Times New Roman"/>
                <w:smallCaps w:val="0"/>
                <w:noProof/>
                <w:webHidden/>
              </w:rPr>
              <w:fldChar w:fldCharType="end"/>
            </w:r>
          </w:hyperlink>
        </w:p>
        <w:p w14:paraId="65A855F0" w14:textId="77777777" w:rsidR="001F7763" w:rsidRPr="001F7763" w:rsidRDefault="00C01F52">
          <w:pPr>
            <w:pStyle w:val="Obsah2"/>
            <w:rPr>
              <w:rFonts w:eastAsiaTheme="minorEastAsia" w:cs="Times New Roman"/>
              <w:b w:val="0"/>
              <w:bCs w:val="0"/>
              <w:sz w:val="22"/>
              <w:lang w:eastAsia="sk-SK"/>
            </w:rPr>
          </w:pPr>
          <w:hyperlink w:anchor="_Toc39095176" w:history="1">
            <w:r w:rsidR="001F7763" w:rsidRPr="001F7763">
              <w:rPr>
                <w:rStyle w:val="Hypertextovprepojenie"/>
                <w:rFonts w:cs="Times New Roman"/>
                <w:sz w:val="22"/>
              </w:rPr>
              <w:t>3.2</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Výdavky štátneho rozpočtu</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_Toc39095176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53</w:t>
            </w:r>
            <w:r w:rsidR="001F7763" w:rsidRPr="001F7763">
              <w:rPr>
                <w:rFonts w:cs="Times New Roman"/>
                <w:webHidden/>
                <w:sz w:val="22"/>
              </w:rPr>
              <w:fldChar w:fldCharType="end"/>
            </w:r>
          </w:hyperlink>
        </w:p>
        <w:p w14:paraId="05F5C91C"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77" w:history="1">
            <w:r w:rsidR="001F7763" w:rsidRPr="001F7763">
              <w:rPr>
                <w:rStyle w:val="Hypertextovprepojenie"/>
                <w:rFonts w:ascii="Times New Roman" w:hAnsi="Times New Roman" w:cs="Times New Roman"/>
                <w:smallCaps w:val="0"/>
                <w:noProof/>
              </w:rPr>
              <w:t>3.2.1</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Výdavky štátneho rozpočtu podľa ekonomickej klasifikácie</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_Toc39095177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53</w:t>
            </w:r>
            <w:r w:rsidR="001F7763" w:rsidRPr="001F7763">
              <w:rPr>
                <w:rFonts w:ascii="Times New Roman" w:hAnsi="Times New Roman" w:cs="Times New Roman"/>
                <w:smallCaps w:val="0"/>
                <w:noProof/>
                <w:webHidden/>
              </w:rPr>
              <w:fldChar w:fldCharType="end"/>
            </w:r>
          </w:hyperlink>
        </w:p>
        <w:p w14:paraId="4130E062"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78" w:history="1">
            <w:r w:rsidR="001F7763" w:rsidRPr="001F7763">
              <w:rPr>
                <w:rStyle w:val="Hypertextovprepojenie"/>
                <w:rFonts w:ascii="Times New Roman" w:hAnsi="Times New Roman" w:cs="Times New Roman"/>
                <w:smallCaps w:val="0"/>
                <w:noProof/>
              </w:rPr>
              <w:t>3.2.2</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Výdavky podľa funkčnej klasifikácie</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_Toc39095178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83</w:t>
            </w:r>
            <w:r w:rsidR="001F7763" w:rsidRPr="001F7763">
              <w:rPr>
                <w:rFonts w:ascii="Times New Roman" w:hAnsi="Times New Roman" w:cs="Times New Roman"/>
                <w:smallCaps w:val="0"/>
                <w:noProof/>
                <w:webHidden/>
              </w:rPr>
              <w:fldChar w:fldCharType="end"/>
            </w:r>
          </w:hyperlink>
        </w:p>
        <w:p w14:paraId="0B1CE5B3"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79" w:history="1">
            <w:r w:rsidR="001F7763" w:rsidRPr="001F7763">
              <w:rPr>
                <w:rStyle w:val="Hypertextovprepojenie"/>
                <w:rFonts w:ascii="Times New Roman" w:hAnsi="Times New Roman" w:cs="Times New Roman"/>
                <w:smallCaps w:val="0"/>
                <w:noProof/>
              </w:rPr>
              <w:t>3.2.3</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Vzťahy štátneho rozpočtu k obciam</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_Toc39095179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86</w:t>
            </w:r>
            <w:r w:rsidR="001F7763" w:rsidRPr="001F7763">
              <w:rPr>
                <w:rFonts w:ascii="Times New Roman" w:hAnsi="Times New Roman" w:cs="Times New Roman"/>
                <w:smallCaps w:val="0"/>
                <w:noProof/>
                <w:webHidden/>
              </w:rPr>
              <w:fldChar w:fldCharType="end"/>
            </w:r>
          </w:hyperlink>
        </w:p>
        <w:p w14:paraId="6EA4AC30"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80" w:history="1">
            <w:r w:rsidR="001F7763" w:rsidRPr="001F7763">
              <w:rPr>
                <w:rStyle w:val="Hypertextovprepojenie"/>
                <w:rFonts w:ascii="Times New Roman" w:hAnsi="Times New Roman" w:cs="Times New Roman"/>
                <w:smallCaps w:val="0"/>
                <w:noProof/>
              </w:rPr>
              <w:t>3.2.4</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Vzťahy štátneho rozpočtu k vyšším územným celkom</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_Toc39095180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91</w:t>
            </w:r>
            <w:r w:rsidR="001F7763" w:rsidRPr="001F7763">
              <w:rPr>
                <w:rFonts w:ascii="Times New Roman" w:hAnsi="Times New Roman" w:cs="Times New Roman"/>
                <w:smallCaps w:val="0"/>
                <w:noProof/>
                <w:webHidden/>
              </w:rPr>
              <w:fldChar w:fldCharType="end"/>
            </w:r>
          </w:hyperlink>
        </w:p>
        <w:p w14:paraId="3E6E9510"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81" w:history="1">
            <w:r w:rsidR="001F7763" w:rsidRPr="001F7763">
              <w:rPr>
                <w:rStyle w:val="Hypertextovprepojenie"/>
                <w:rFonts w:ascii="Times New Roman" w:hAnsi="Times New Roman" w:cs="Times New Roman"/>
                <w:smallCaps w:val="0"/>
                <w:noProof/>
              </w:rPr>
              <w:t>3.2.5</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Čerpanie rezerv štátneho rozpočtu</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_Toc39095181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94</w:t>
            </w:r>
            <w:r w:rsidR="001F7763" w:rsidRPr="001F7763">
              <w:rPr>
                <w:rFonts w:ascii="Times New Roman" w:hAnsi="Times New Roman" w:cs="Times New Roman"/>
                <w:smallCaps w:val="0"/>
                <w:noProof/>
                <w:webHidden/>
              </w:rPr>
              <w:fldChar w:fldCharType="end"/>
            </w:r>
          </w:hyperlink>
        </w:p>
        <w:p w14:paraId="335968BF" w14:textId="77777777" w:rsidR="001F7763" w:rsidRPr="001F7763" w:rsidRDefault="00C01F52">
          <w:pPr>
            <w:pStyle w:val="Obsah2"/>
            <w:rPr>
              <w:rFonts w:eastAsiaTheme="minorEastAsia" w:cs="Times New Roman"/>
              <w:b w:val="0"/>
              <w:bCs w:val="0"/>
              <w:sz w:val="22"/>
              <w:lang w:eastAsia="sk-SK"/>
            </w:rPr>
          </w:pPr>
          <w:hyperlink w:anchor="_Toc39095182" w:history="1">
            <w:r w:rsidR="001F7763" w:rsidRPr="001F7763">
              <w:rPr>
                <w:rStyle w:val="Hypertextovprepojenie"/>
                <w:rFonts w:cs="Times New Roman"/>
                <w:sz w:val="22"/>
              </w:rPr>
              <w:t>3.3</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Štátne finančné aktíva</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_Toc39095182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96</w:t>
            </w:r>
            <w:r w:rsidR="001F7763" w:rsidRPr="001F7763">
              <w:rPr>
                <w:rFonts w:cs="Times New Roman"/>
                <w:webHidden/>
                <w:sz w:val="22"/>
              </w:rPr>
              <w:fldChar w:fldCharType="end"/>
            </w:r>
          </w:hyperlink>
        </w:p>
        <w:p w14:paraId="08142A60" w14:textId="77777777" w:rsidR="001F7763" w:rsidRPr="001F7763" w:rsidRDefault="00C01F52">
          <w:pPr>
            <w:pStyle w:val="Obsah2"/>
            <w:rPr>
              <w:rFonts w:eastAsiaTheme="minorEastAsia" w:cs="Times New Roman"/>
              <w:b w:val="0"/>
              <w:bCs w:val="0"/>
              <w:sz w:val="22"/>
              <w:lang w:eastAsia="sk-SK"/>
            </w:rPr>
          </w:pPr>
          <w:hyperlink w:anchor="_Toc39095183" w:history="1">
            <w:r w:rsidR="001F7763" w:rsidRPr="001F7763">
              <w:rPr>
                <w:rStyle w:val="Hypertextovprepojenie"/>
                <w:rFonts w:cs="Times New Roman"/>
                <w:sz w:val="22"/>
              </w:rPr>
              <w:t>3.4</w:t>
            </w:r>
            <w:r w:rsidR="001F7763" w:rsidRPr="001F7763">
              <w:rPr>
                <w:rFonts w:eastAsiaTheme="minorEastAsia" w:cs="Times New Roman"/>
                <w:b w:val="0"/>
                <w:bCs w:val="0"/>
                <w:sz w:val="22"/>
                <w:lang w:eastAsia="sk-SK"/>
              </w:rPr>
              <w:tab/>
            </w:r>
            <w:r w:rsidR="001F7763" w:rsidRPr="001F7763">
              <w:rPr>
                <w:rStyle w:val="Hypertextovprepojenie"/>
                <w:rFonts w:cs="Times New Roman"/>
                <w:sz w:val="22"/>
              </w:rPr>
              <w:t>Vzťahy štátneho rozpočtu k Európskej únii</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_Toc39095183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100</w:t>
            </w:r>
            <w:r w:rsidR="001F7763" w:rsidRPr="001F7763">
              <w:rPr>
                <w:rFonts w:cs="Times New Roman"/>
                <w:webHidden/>
                <w:sz w:val="22"/>
              </w:rPr>
              <w:fldChar w:fldCharType="end"/>
            </w:r>
          </w:hyperlink>
        </w:p>
        <w:p w14:paraId="08AA6731"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84" w:history="1">
            <w:r w:rsidR="001F7763" w:rsidRPr="001F7763">
              <w:rPr>
                <w:rStyle w:val="Hypertextovprepojenie"/>
                <w:rFonts w:ascii="Times New Roman" w:hAnsi="Times New Roman" w:cs="Times New Roman"/>
                <w:smallCaps w:val="0"/>
                <w:noProof/>
              </w:rPr>
              <w:t>3.4.1</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Príjmy z rozpočtu Európskej únie</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_Toc39095184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102</w:t>
            </w:r>
            <w:r w:rsidR="001F7763" w:rsidRPr="001F7763">
              <w:rPr>
                <w:rFonts w:ascii="Times New Roman" w:hAnsi="Times New Roman" w:cs="Times New Roman"/>
                <w:smallCaps w:val="0"/>
                <w:noProof/>
                <w:webHidden/>
              </w:rPr>
              <w:fldChar w:fldCharType="end"/>
            </w:r>
          </w:hyperlink>
        </w:p>
        <w:p w14:paraId="0C456CC4"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85" w:history="1">
            <w:r w:rsidR="001F7763" w:rsidRPr="001F7763">
              <w:rPr>
                <w:rStyle w:val="Hypertextovprepojenie"/>
                <w:rFonts w:ascii="Times New Roman" w:hAnsi="Times New Roman" w:cs="Times New Roman"/>
                <w:smallCaps w:val="0"/>
                <w:noProof/>
              </w:rPr>
              <w:t>3.4.2</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Výdavky štátneho rozpočtu rozpočtované vo väzbe na príjmy z Európskej únie</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_Toc39095185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104</w:t>
            </w:r>
            <w:r w:rsidR="001F7763" w:rsidRPr="001F7763">
              <w:rPr>
                <w:rFonts w:ascii="Times New Roman" w:hAnsi="Times New Roman" w:cs="Times New Roman"/>
                <w:smallCaps w:val="0"/>
                <w:noProof/>
                <w:webHidden/>
              </w:rPr>
              <w:fldChar w:fldCharType="end"/>
            </w:r>
          </w:hyperlink>
        </w:p>
        <w:p w14:paraId="5E6A43E3"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86" w:history="1">
            <w:r w:rsidR="001F7763" w:rsidRPr="001F7763">
              <w:rPr>
                <w:rStyle w:val="Hypertextovprepojenie"/>
                <w:rFonts w:ascii="Times New Roman" w:hAnsi="Times New Roman" w:cs="Times New Roman"/>
                <w:smallCaps w:val="0"/>
                <w:noProof/>
              </w:rPr>
              <w:t>3.4.3</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Prostriedky poskytnuté SR používané prostredníctvom samostatných účtov</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_Toc39095186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108</w:t>
            </w:r>
            <w:r w:rsidR="001F7763" w:rsidRPr="001F7763">
              <w:rPr>
                <w:rFonts w:ascii="Times New Roman" w:hAnsi="Times New Roman" w:cs="Times New Roman"/>
                <w:smallCaps w:val="0"/>
                <w:noProof/>
                <w:webHidden/>
              </w:rPr>
              <w:fldChar w:fldCharType="end"/>
            </w:r>
          </w:hyperlink>
        </w:p>
        <w:p w14:paraId="2DBB4D82" w14:textId="77777777" w:rsidR="001F7763" w:rsidRPr="001F7763" w:rsidRDefault="00C01F52">
          <w:pPr>
            <w:pStyle w:val="Obsah3"/>
            <w:tabs>
              <w:tab w:val="left" w:pos="666"/>
              <w:tab w:val="right" w:pos="8493"/>
            </w:tabs>
            <w:rPr>
              <w:rFonts w:ascii="Times New Roman" w:eastAsiaTheme="minorEastAsia" w:hAnsi="Times New Roman" w:cs="Times New Roman"/>
              <w:smallCaps w:val="0"/>
              <w:noProof/>
              <w:lang w:eastAsia="sk-SK"/>
            </w:rPr>
          </w:pPr>
          <w:hyperlink w:anchor="_Toc39095187" w:history="1">
            <w:r w:rsidR="001F7763" w:rsidRPr="001F7763">
              <w:rPr>
                <w:rStyle w:val="Hypertextovprepojenie"/>
                <w:rFonts w:ascii="Times New Roman" w:hAnsi="Times New Roman" w:cs="Times New Roman"/>
                <w:smallCaps w:val="0"/>
                <w:noProof/>
              </w:rPr>
              <w:t>3.4.4</w:t>
            </w:r>
            <w:r w:rsidR="001F7763" w:rsidRPr="001F7763">
              <w:rPr>
                <w:rFonts w:ascii="Times New Roman" w:eastAsiaTheme="minorEastAsia" w:hAnsi="Times New Roman" w:cs="Times New Roman"/>
                <w:smallCaps w:val="0"/>
                <w:noProof/>
                <w:lang w:eastAsia="sk-SK"/>
              </w:rPr>
              <w:tab/>
            </w:r>
            <w:r w:rsidR="001F7763" w:rsidRPr="001F7763">
              <w:rPr>
                <w:rStyle w:val="Hypertextovprepojenie"/>
                <w:rFonts w:ascii="Times New Roman" w:hAnsi="Times New Roman" w:cs="Times New Roman"/>
                <w:smallCaps w:val="0"/>
                <w:noProof/>
              </w:rPr>
              <w:t>Zhrnutie čerpania záväzkov programových období po vstupe SR do EÚ</w:t>
            </w:r>
            <w:r w:rsidR="001F7763" w:rsidRPr="001F7763">
              <w:rPr>
                <w:rFonts w:ascii="Times New Roman" w:hAnsi="Times New Roman" w:cs="Times New Roman"/>
                <w:smallCaps w:val="0"/>
                <w:noProof/>
                <w:webHidden/>
              </w:rPr>
              <w:tab/>
            </w:r>
            <w:r w:rsidR="001F7763" w:rsidRPr="001F7763">
              <w:rPr>
                <w:rFonts w:ascii="Times New Roman" w:hAnsi="Times New Roman" w:cs="Times New Roman"/>
                <w:smallCaps w:val="0"/>
                <w:noProof/>
                <w:webHidden/>
              </w:rPr>
              <w:fldChar w:fldCharType="begin"/>
            </w:r>
            <w:r w:rsidR="001F7763" w:rsidRPr="001F7763">
              <w:rPr>
                <w:rFonts w:ascii="Times New Roman" w:hAnsi="Times New Roman" w:cs="Times New Roman"/>
                <w:smallCaps w:val="0"/>
                <w:noProof/>
                <w:webHidden/>
              </w:rPr>
              <w:instrText xml:space="preserve"> PAGEREF _Toc39095187 \h </w:instrText>
            </w:r>
            <w:r w:rsidR="001F7763" w:rsidRPr="001F7763">
              <w:rPr>
                <w:rFonts w:ascii="Times New Roman" w:hAnsi="Times New Roman" w:cs="Times New Roman"/>
                <w:smallCaps w:val="0"/>
                <w:noProof/>
                <w:webHidden/>
              </w:rPr>
            </w:r>
            <w:r w:rsidR="001F7763" w:rsidRPr="001F7763">
              <w:rPr>
                <w:rFonts w:ascii="Times New Roman" w:hAnsi="Times New Roman" w:cs="Times New Roman"/>
                <w:smallCaps w:val="0"/>
                <w:noProof/>
                <w:webHidden/>
              </w:rPr>
              <w:fldChar w:fldCharType="separate"/>
            </w:r>
            <w:r>
              <w:rPr>
                <w:rFonts w:ascii="Times New Roman" w:hAnsi="Times New Roman" w:cs="Times New Roman"/>
                <w:smallCaps w:val="0"/>
                <w:noProof/>
                <w:webHidden/>
              </w:rPr>
              <w:t>109</w:t>
            </w:r>
            <w:r w:rsidR="001F7763" w:rsidRPr="001F7763">
              <w:rPr>
                <w:rFonts w:ascii="Times New Roman" w:hAnsi="Times New Roman" w:cs="Times New Roman"/>
                <w:smallCaps w:val="0"/>
                <w:noProof/>
                <w:webHidden/>
              </w:rPr>
              <w:fldChar w:fldCharType="end"/>
            </w:r>
          </w:hyperlink>
        </w:p>
        <w:p w14:paraId="0599393D" w14:textId="77777777" w:rsidR="001F7763" w:rsidRPr="001F7763" w:rsidRDefault="00C01F52">
          <w:pPr>
            <w:pStyle w:val="Obsah1"/>
            <w:rPr>
              <w:rFonts w:eastAsiaTheme="minorEastAsia" w:cs="Times New Roman"/>
              <w:b w:val="0"/>
              <w:bCs w:val="0"/>
              <w:sz w:val="22"/>
              <w:lang w:eastAsia="sk-SK"/>
            </w:rPr>
          </w:pPr>
          <w:hyperlink w:anchor="_Toc39095188" w:history="1">
            <w:r w:rsidR="001F7763" w:rsidRPr="001F7763">
              <w:rPr>
                <w:rStyle w:val="Hypertextovprepojenie"/>
                <w:rFonts w:cs="Times New Roman"/>
                <w:sz w:val="22"/>
              </w:rPr>
              <w:t>Tabuľková príloha k hotovostnému plneniu ŠR</w:t>
            </w:r>
            <w:r w:rsidR="001F7763" w:rsidRPr="001F7763">
              <w:rPr>
                <w:rFonts w:cs="Times New Roman"/>
                <w:webHidden/>
                <w:sz w:val="22"/>
              </w:rPr>
              <w:tab/>
            </w:r>
            <w:r w:rsidR="001F7763" w:rsidRPr="001F7763">
              <w:rPr>
                <w:rFonts w:cs="Times New Roman"/>
                <w:webHidden/>
                <w:sz w:val="22"/>
              </w:rPr>
              <w:fldChar w:fldCharType="begin"/>
            </w:r>
            <w:r w:rsidR="001F7763" w:rsidRPr="001F7763">
              <w:rPr>
                <w:rFonts w:cs="Times New Roman"/>
                <w:webHidden/>
                <w:sz w:val="22"/>
              </w:rPr>
              <w:instrText xml:space="preserve"> PAGEREF _Toc39095188 \h </w:instrText>
            </w:r>
            <w:r w:rsidR="001F7763" w:rsidRPr="001F7763">
              <w:rPr>
                <w:rFonts w:cs="Times New Roman"/>
                <w:webHidden/>
                <w:sz w:val="22"/>
              </w:rPr>
            </w:r>
            <w:r w:rsidR="001F7763" w:rsidRPr="001F7763">
              <w:rPr>
                <w:rFonts w:cs="Times New Roman"/>
                <w:webHidden/>
                <w:sz w:val="22"/>
              </w:rPr>
              <w:fldChar w:fldCharType="separate"/>
            </w:r>
            <w:r>
              <w:rPr>
                <w:rFonts w:cs="Times New Roman"/>
                <w:webHidden/>
                <w:sz w:val="22"/>
              </w:rPr>
              <w:t>110</w:t>
            </w:r>
            <w:r w:rsidR="001F7763" w:rsidRPr="001F7763">
              <w:rPr>
                <w:rFonts w:cs="Times New Roman"/>
                <w:webHidden/>
                <w:sz w:val="22"/>
              </w:rPr>
              <w:fldChar w:fldCharType="end"/>
            </w:r>
          </w:hyperlink>
        </w:p>
        <w:p w14:paraId="00AA119E" w14:textId="165D8D0C" w:rsidR="008A0537" w:rsidRDefault="008A0537">
          <w:r w:rsidRPr="001F7763">
            <w:rPr>
              <w:rFonts w:cs="Times New Roman"/>
              <w:b/>
              <w:bCs/>
            </w:rPr>
            <w:fldChar w:fldCharType="end"/>
          </w:r>
        </w:p>
      </w:sdtContent>
    </w:sdt>
    <w:p w14:paraId="325150F2" w14:textId="77777777" w:rsidR="008A0537" w:rsidRPr="008A0537" w:rsidRDefault="008A0537" w:rsidP="008A0537"/>
    <w:p w14:paraId="07600D8C" w14:textId="77777777" w:rsidR="005E427F" w:rsidRDefault="005E427F" w:rsidP="005E427F">
      <w:pPr>
        <w:pStyle w:val="Nadpis1"/>
        <w:numPr>
          <w:ilvl w:val="0"/>
          <w:numId w:val="0"/>
        </w:numPr>
      </w:pPr>
      <w:bookmarkStart w:id="0" w:name="_Toc39095156"/>
      <w:r w:rsidRPr="00344297">
        <w:lastRenderedPageBreak/>
        <w:t>Zhrnutie</w:t>
      </w:r>
      <w:bookmarkEnd w:id="0"/>
      <w:r>
        <w:t xml:space="preserve"> </w:t>
      </w:r>
    </w:p>
    <w:p w14:paraId="0AF4670A" w14:textId="43F9F7FD" w:rsidR="005E427F" w:rsidRPr="00403301" w:rsidRDefault="005E427F" w:rsidP="00F45B6E">
      <w:pPr>
        <w:numPr>
          <w:ilvl w:val="0"/>
          <w:numId w:val="28"/>
        </w:numPr>
        <w:ind w:right="-286"/>
      </w:pPr>
      <w:r w:rsidRPr="00C93493">
        <w:rPr>
          <w:b/>
        </w:rPr>
        <w:t>Schodok verejnej správy</w:t>
      </w:r>
      <w:r w:rsidRPr="00C93493">
        <w:t xml:space="preserve"> </w:t>
      </w:r>
      <w:r>
        <w:t>v</w:t>
      </w:r>
      <w:r w:rsidR="00B60E36">
        <w:t> </w:t>
      </w:r>
      <w:r>
        <w:t>roku</w:t>
      </w:r>
      <w:r w:rsidR="00B60E36">
        <w:t> </w:t>
      </w:r>
      <w:r>
        <w:t>201</w:t>
      </w:r>
      <w:r w:rsidR="00F45B6E">
        <w:t xml:space="preserve">9 </w:t>
      </w:r>
      <w:r>
        <w:t xml:space="preserve">na základe </w:t>
      </w:r>
      <w:r w:rsidR="00403301">
        <w:t>prvej notifikácie</w:t>
      </w:r>
      <w:r>
        <w:t xml:space="preserve"> výsledkov </w:t>
      </w:r>
      <w:r w:rsidR="00174B01">
        <w:t>v</w:t>
      </w:r>
      <w:r w:rsidR="00174B01" w:rsidRPr="00C93493">
        <w:t xml:space="preserve"> metodik</w:t>
      </w:r>
      <w:r w:rsidR="00174B01">
        <w:t>e</w:t>
      </w:r>
      <w:r w:rsidR="00174B01" w:rsidRPr="00C93493">
        <w:t xml:space="preserve"> ESA</w:t>
      </w:r>
      <w:r w:rsidR="00174B01">
        <w:t> </w:t>
      </w:r>
      <w:r w:rsidR="00174B01" w:rsidRPr="00C93493">
        <w:t xml:space="preserve">2010 </w:t>
      </w:r>
      <w:r w:rsidRPr="00F45B6E">
        <w:rPr>
          <w:b/>
        </w:rPr>
        <w:t xml:space="preserve">dosiahol </w:t>
      </w:r>
      <w:r w:rsidRPr="00403301">
        <w:rPr>
          <w:b/>
        </w:rPr>
        <w:t xml:space="preserve">hodnotu </w:t>
      </w:r>
      <w:r w:rsidR="00D84981" w:rsidRPr="00403301">
        <w:rPr>
          <w:rFonts w:eastAsia="Times New Roman" w:cs="Times New Roman"/>
          <w:b/>
          <w:bCs/>
          <w:lang w:eastAsia="sk-SK"/>
        </w:rPr>
        <w:t>1 2</w:t>
      </w:r>
      <w:r w:rsidR="00FD14C0" w:rsidRPr="00403301">
        <w:rPr>
          <w:rFonts w:eastAsia="Times New Roman" w:cs="Times New Roman"/>
          <w:b/>
          <w:bCs/>
          <w:lang w:eastAsia="sk-SK"/>
        </w:rPr>
        <w:t>19</w:t>
      </w:r>
      <w:r w:rsidR="00D84981" w:rsidRPr="00403301">
        <w:rPr>
          <w:rFonts w:eastAsia="Times New Roman" w:cs="Times New Roman"/>
          <w:b/>
          <w:bCs/>
          <w:lang w:eastAsia="sk-SK"/>
        </w:rPr>
        <w:t xml:space="preserve"> </w:t>
      </w:r>
      <w:r w:rsidR="00FD14C0" w:rsidRPr="00403301">
        <w:rPr>
          <w:rFonts w:eastAsia="Times New Roman" w:cs="Times New Roman"/>
          <w:b/>
          <w:bCs/>
          <w:lang w:eastAsia="sk-SK"/>
        </w:rPr>
        <w:t>730</w:t>
      </w:r>
      <w:r w:rsidRPr="00403301">
        <w:rPr>
          <w:b/>
        </w:rPr>
        <w:t xml:space="preserve"> tis. eur a v pomere k HDP </w:t>
      </w:r>
      <w:r w:rsidR="007F4B05" w:rsidRPr="00403301">
        <w:rPr>
          <w:rFonts w:eastAsia="Times New Roman" w:cs="Times New Roman"/>
          <w:color w:val="000000"/>
          <w:lang w:eastAsia="sk-SK"/>
        </w:rPr>
        <w:t>je na úrovni</w:t>
      </w:r>
      <w:r w:rsidRPr="00403301">
        <w:rPr>
          <w:b/>
        </w:rPr>
        <w:t xml:space="preserve"> </w:t>
      </w:r>
      <w:r w:rsidR="007F4B05" w:rsidRPr="00403301">
        <w:rPr>
          <w:b/>
        </w:rPr>
        <w:t>1</w:t>
      </w:r>
      <w:r w:rsidRPr="00403301">
        <w:rPr>
          <w:b/>
        </w:rPr>
        <w:t>,</w:t>
      </w:r>
      <w:r w:rsidR="00FD14C0" w:rsidRPr="00403301">
        <w:rPr>
          <w:b/>
        </w:rPr>
        <w:t>3</w:t>
      </w:r>
      <w:r w:rsidR="007F4B05" w:rsidRPr="00403301">
        <w:rPr>
          <w:b/>
        </w:rPr>
        <w:t> </w:t>
      </w:r>
      <w:r w:rsidRPr="00403301">
        <w:rPr>
          <w:b/>
        </w:rPr>
        <w:t xml:space="preserve">%. </w:t>
      </w:r>
      <w:r w:rsidR="007F4B05" w:rsidRPr="00403301">
        <w:t>Rozpočet verejnej správy predpokladal vyrovnané hospodárenie</w:t>
      </w:r>
      <w:r w:rsidR="00DB2BA0" w:rsidRPr="00403301">
        <w:t>.</w:t>
      </w:r>
      <w:r w:rsidR="007F4B05" w:rsidRPr="00403301">
        <w:t xml:space="preserve"> </w:t>
      </w:r>
      <w:r w:rsidRPr="00403301">
        <w:t xml:space="preserve">Schodok v pomere k HDP </w:t>
      </w:r>
      <w:r w:rsidR="00DB2BA0" w:rsidRPr="00403301">
        <w:t xml:space="preserve">bol </w:t>
      </w:r>
      <w:r w:rsidRPr="00403301">
        <w:rPr>
          <w:b/>
        </w:rPr>
        <w:t xml:space="preserve">oproti </w:t>
      </w:r>
      <w:r w:rsidR="00125DC5">
        <w:rPr>
          <w:b/>
        </w:rPr>
        <w:t xml:space="preserve">predošlému roku </w:t>
      </w:r>
      <w:r w:rsidR="0089687F" w:rsidRPr="00403301">
        <w:rPr>
          <w:b/>
        </w:rPr>
        <w:t>vyšší</w:t>
      </w:r>
      <w:r w:rsidR="00B60E36" w:rsidRPr="00403301">
        <w:rPr>
          <w:b/>
        </w:rPr>
        <w:t> </w:t>
      </w:r>
      <w:r w:rsidRPr="00403301">
        <w:rPr>
          <w:b/>
        </w:rPr>
        <w:t>o 0,</w:t>
      </w:r>
      <w:r w:rsidR="0089687F" w:rsidRPr="00403301">
        <w:rPr>
          <w:b/>
        </w:rPr>
        <w:t>2</w:t>
      </w:r>
      <w:r w:rsidR="0043572E" w:rsidRPr="00403301">
        <w:rPr>
          <w:b/>
        </w:rPr>
        <w:t> </w:t>
      </w:r>
      <w:r w:rsidRPr="00403301">
        <w:rPr>
          <w:b/>
        </w:rPr>
        <w:t>p.</w:t>
      </w:r>
      <w:r w:rsidR="0043572E" w:rsidRPr="00403301">
        <w:rPr>
          <w:b/>
        </w:rPr>
        <w:t> </w:t>
      </w:r>
      <w:r w:rsidRPr="00403301">
        <w:rPr>
          <w:b/>
        </w:rPr>
        <w:t>b.</w:t>
      </w:r>
      <w:r w:rsidRPr="00403301">
        <w:t xml:space="preserve"> </w:t>
      </w:r>
    </w:p>
    <w:p w14:paraId="06876828" w14:textId="3E61C350" w:rsidR="0019171E" w:rsidRDefault="0019171E" w:rsidP="0019171E">
      <w:pPr>
        <w:numPr>
          <w:ilvl w:val="0"/>
          <w:numId w:val="28"/>
        </w:numPr>
        <w:ind w:right="-286"/>
      </w:pPr>
      <w:r w:rsidRPr="00403301">
        <w:rPr>
          <w:b/>
        </w:rPr>
        <w:t>Dlh verejnej správy</w:t>
      </w:r>
      <w:r w:rsidRPr="00403301">
        <w:t xml:space="preserve"> </w:t>
      </w:r>
      <w:r w:rsidRPr="00403301">
        <w:rPr>
          <w:b/>
        </w:rPr>
        <w:t xml:space="preserve">k 31. 12. 2019 </w:t>
      </w:r>
      <w:r w:rsidRPr="00403301">
        <w:t xml:space="preserve">na základe </w:t>
      </w:r>
      <w:r w:rsidR="00403301">
        <w:t xml:space="preserve">prvej notifikácie </w:t>
      </w:r>
      <w:r w:rsidRPr="00403301">
        <w:t xml:space="preserve">výsledkov v metodike ESA 2010 </w:t>
      </w:r>
      <w:r w:rsidRPr="00403301">
        <w:rPr>
          <w:b/>
        </w:rPr>
        <w:t xml:space="preserve">dosiahol výšku 45 201 758 tis. eur a v pomere k predbežne vyčíslenému HDP </w:t>
      </w:r>
      <w:r w:rsidR="004D751D" w:rsidRPr="00403301">
        <w:rPr>
          <w:b/>
        </w:rPr>
        <w:t>dosiahol</w:t>
      </w:r>
      <w:r w:rsidR="00403301">
        <w:rPr>
          <w:b/>
        </w:rPr>
        <w:t xml:space="preserve"> </w:t>
      </w:r>
      <w:r w:rsidRPr="00403301">
        <w:rPr>
          <w:b/>
        </w:rPr>
        <w:t>48 %.</w:t>
      </w:r>
      <w:r w:rsidRPr="00403301">
        <w:t xml:space="preserve"> Rozpočet verejnej správy predpokladal hodnotu dlhu na úrovni 47,3 % resp. 45 719 494 tis. eur. </w:t>
      </w:r>
      <w:r w:rsidRPr="00403301">
        <w:rPr>
          <w:b/>
        </w:rPr>
        <w:t>Oproti predchádzajúcemu roku sa</w:t>
      </w:r>
      <w:r w:rsidR="00143CA3" w:rsidRPr="00403301">
        <w:rPr>
          <w:b/>
        </w:rPr>
        <w:t xml:space="preserve"> pomer </w:t>
      </w:r>
      <w:r w:rsidRPr="00403301">
        <w:rPr>
          <w:b/>
        </w:rPr>
        <w:t>dlh</w:t>
      </w:r>
      <w:r w:rsidR="00143CA3" w:rsidRPr="00403301">
        <w:rPr>
          <w:b/>
        </w:rPr>
        <w:t>u k HDP</w:t>
      </w:r>
      <w:r w:rsidRPr="00403301">
        <w:rPr>
          <w:b/>
        </w:rPr>
        <w:t xml:space="preserve"> znížil o 1,4 p. b</w:t>
      </w:r>
      <w:r w:rsidRPr="00A265D6">
        <w:rPr>
          <w:b/>
        </w:rPr>
        <w:t>.</w:t>
      </w:r>
      <w:r w:rsidRPr="00A265D6">
        <w:t xml:space="preserve"> </w:t>
      </w:r>
    </w:p>
    <w:p w14:paraId="4BCCCEE2" w14:textId="5ECBD7D1" w:rsidR="00AC7DD3" w:rsidRDefault="00AC7DD3" w:rsidP="00D263E3">
      <w:pPr>
        <w:numPr>
          <w:ilvl w:val="0"/>
          <w:numId w:val="28"/>
        </w:numPr>
        <w:ind w:right="-286"/>
      </w:pPr>
      <w:r>
        <w:t>Rast HDP</w:t>
      </w:r>
      <w:r w:rsidR="00DE6802">
        <w:t xml:space="preserve"> v stálych cenách</w:t>
      </w:r>
      <w:r w:rsidR="00D263E3">
        <w:t xml:space="preserve"> dosiahol podľa predbežných údajov 2</w:t>
      </w:r>
      <w:r w:rsidR="0048413F">
        <w:t>,3</w:t>
      </w:r>
      <w:r w:rsidR="00DE6802">
        <w:t xml:space="preserve"> </w:t>
      </w:r>
      <w:r>
        <w:t>%, čo</w:t>
      </w:r>
      <w:r w:rsidR="00DE6802">
        <w:t xml:space="preserve"> je oproti predpokladom v návrhu rozpočtu na rok 2019 menej o</w:t>
      </w:r>
      <w:r w:rsidR="00D263E3">
        <w:t> 2,</w:t>
      </w:r>
      <w:r w:rsidR="0048413F">
        <w:t>2</w:t>
      </w:r>
      <w:r w:rsidR="00D263E3">
        <w:t xml:space="preserve"> p. b. </w:t>
      </w:r>
      <w:r w:rsidR="00070082">
        <w:t>Tvorba</w:t>
      </w:r>
      <w:r w:rsidR="00D263E3" w:rsidRPr="00D263E3">
        <w:t xml:space="preserve"> HDP </w:t>
      </w:r>
      <w:r w:rsidR="000A4AFB">
        <w:t>v roku 2019 dosiahla</w:t>
      </w:r>
      <w:r w:rsidR="000A4AFB">
        <w:br/>
      </w:r>
      <w:r w:rsidR="00070082">
        <w:t>94</w:t>
      </w:r>
      <w:r w:rsidR="003C77D5">
        <w:t> </w:t>
      </w:r>
      <w:r w:rsidR="00070082">
        <w:t>177</w:t>
      </w:r>
      <w:r w:rsidR="003C77D5">
        <w:t> 048 tis.</w:t>
      </w:r>
      <w:r w:rsidR="00070082">
        <w:t xml:space="preserve"> eur</w:t>
      </w:r>
      <w:r w:rsidR="00FB2B46">
        <w:t>.</w:t>
      </w:r>
      <w:r>
        <w:t xml:space="preserve"> </w:t>
      </w:r>
    </w:p>
    <w:p w14:paraId="0BD4D14C" w14:textId="11FA37D6" w:rsidR="003A6C49" w:rsidRPr="00D34BA8" w:rsidRDefault="005E427F" w:rsidP="005E427F">
      <w:pPr>
        <w:numPr>
          <w:ilvl w:val="0"/>
          <w:numId w:val="28"/>
        </w:numPr>
        <w:ind w:right="-286"/>
      </w:pPr>
      <w:r w:rsidRPr="0043572E">
        <w:t>Plnenie rozpočtu verejnej správy v</w:t>
      </w:r>
      <w:r w:rsidR="00B60E36">
        <w:t> </w:t>
      </w:r>
      <w:r w:rsidRPr="0043572E">
        <w:t>roku</w:t>
      </w:r>
      <w:r w:rsidR="00B60E36">
        <w:t> </w:t>
      </w:r>
      <w:r w:rsidRPr="0043572E">
        <w:t>201</w:t>
      </w:r>
      <w:r w:rsidR="00F45B6E" w:rsidRPr="0043572E">
        <w:t>9</w:t>
      </w:r>
      <w:r w:rsidRPr="0043572E">
        <w:t xml:space="preserve"> </w:t>
      </w:r>
      <w:r w:rsidR="00542A45">
        <w:t xml:space="preserve">v porovnaní s plánovaným hospodárením celej verejnej správy </w:t>
      </w:r>
      <w:r w:rsidRPr="0043572E">
        <w:t>bolo ovplyvnené viacerými faktormi</w:t>
      </w:r>
      <w:r w:rsidR="00814B7F" w:rsidRPr="0043572E">
        <w:t xml:space="preserve">. </w:t>
      </w:r>
      <w:r w:rsidR="0061694F">
        <w:t>Na jednej strane s</w:t>
      </w:r>
      <w:r w:rsidR="00814B7F" w:rsidRPr="0043572E">
        <w:t>pomalen</w:t>
      </w:r>
      <w:r w:rsidR="000D3F48" w:rsidRPr="0043572E">
        <w:t>ím</w:t>
      </w:r>
      <w:r w:rsidR="00814B7F" w:rsidRPr="0043572E">
        <w:t xml:space="preserve"> r</w:t>
      </w:r>
      <w:r w:rsidR="00A22275" w:rsidRPr="0043572E">
        <w:t>ast</w:t>
      </w:r>
      <w:r w:rsidR="00814B7F" w:rsidRPr="0043572E">
        <w:t>u</w:t>
      </w:r>
      <w:r w:rsidR="00A22275" w:rsidRPr="0043572E">
        <w:t xml:space="preserve"> slovenskej ekonomiky najmä vplyvom nižšieho výkonu eurozóny</w:t>
      </w:r>
      <w:r w:rsidR="00814B7F" w:rsidRPr="0043572E">
        <w:t xml:space="preserve">, </w:t>
      </w:r>
      <w:r w:rsidR="000D3F48" w:rsidRPr="0043572E">
        <w:t>legislatívnymi zmenami</w:t>
      </w:r>
      <w:r w:rsidR="0043572E" w:rsidRPr="0043572E">
        <w:t>, ktoré neboli zahrnuté v</w:t>
      </w:r>
      <w:r w:rsidR="00542A45">
        <w:t xml:space="preserve"> čase tvorby </w:t>
      </w:r>
      <w:r w:rsidR="0043572E" w:rsidRPr="0043572E">
        <w:t>rozpočt</w:t>
      </w:r>
      <w:r w:rsidR="00682E40">
        <w:t>u</w:t>
      </w:r>
      <w:r w:rsidR="0043572E" w:rsidRPr="0043572E">
        <w:t xml:space="preserve"> na rok 2019</w:t>
      </w:r>
      <w:r w:rsidR="0061694F">
        <w:t>, ako aj</w:t>
      </w:r>
      <w:r w:rsidR="00814B7F" w:rsidRPr="0043572E">
        <w:t xml:space="preserve"> </w:t>
      </w:r>
      <w:r w:rsidR="003A6C49">
        <w:t>metodick</w:t>
      </w:r>
      <w:r w:rsidR="0061694F">
        <w:t>ými</w:t>
      </w:r>
      <w:r w:rsidR="003A6C49">
        <w:t xml:space="preserve"> zmen</w:t>
      </w:r>
      <w:r w:rsidR="0061694F">
        <w:t>ami</w:t>
      </w:r>
      <w:r w:rsidR="003A6C49">
        <w:t>, ktoré vyplynuli z benchmarkovej revízie národných účtov, realizovanej na jeseň 2019, ktoré z objektívnych dôvodov nebolo možné spätne preniesť do rozpočtu na príslušný rok (reálne schválen</w:t>
      </w:r>
      <w:r w:rsidR="005128F7">
        <w:t>ého</w:t>
      </w:r>
      <w:r w:rsidR="003A6C49">
        <w:t xml:space="preserve"> v decembri </w:t>
      </w:r>
      <w:r w:rsidR="005128F7">
        <w:t>2018). Na úrovni celej verejnej správy</w:t>
      </w:r>
      <w:r w:rsidR="003B7DEF">
        <w:t xml:space="preserve"> znamenali negatívnu odchýlku </w:t>
      </w:r>
      <w:r w:rsidR="003459D0">
        <w:t>schodok</w:t>
      </w:r>
      <w:r w:rsidR="003B7DEF">
        <w:t xml:space="preserve"> hotovostného rozpočtu</w:t>
      </w:r>
      <w:r w:rsidR="0061694F">
        <w:t>,</w:t>
      </w:r>
      <w:r w:rsidR="003B7DEF">
        <w:t xml:space="preserve"> </w:t>
      </w:r>
      <w:r w:rsidR="003459D0">
        <w:t>nenaplnenie niektorých akruálnych príjmov štátneho rozpočtu (dane, dividendy) a menší prebytok niektorých ostatných zložiek verejnej správy (</w:t>
      </w:r>
      <w:r w:rsidR="0061694F">
        <w:t>obce, VÚC, Národný jadrov</w:t>
      </w:r>
      <w:r w:rsidR="00C23982">
        <w:t>ý</w:t>
      </w:r>
      <w:r w:rsidR="0061694F">
        <w:t xml:space="preserve"> fond a </w:t>
      </w:r>
      <w:r w:rsidR="00465D8E">
        <w:t>Environmentálny</w:t>
      </w:r>
      <w:r w:rsidR="0061694F">
        <w:t xml:space="preserve"> fond).</w:t>
      </w:r>
      <w:r w:rsidR="003459D0">
        <w:t xml:space="preserve"> Pozitívne vplývali na saldo verejnej správy prebytky napr. Sociálnej poisťovne, </w:t>
      </w:r>
      <w:r w:rsidR="00C53E67">
        <w:t xml:space="preserve">verejného zdravotného poistenia, </w:t>
      </w:r>
      <w:r w:rsidR="003459D0">
        <w:t xml:space="preserve">Štátneho fondu rozvoja </w:t>
      </w:r>
      <w:r w:rsidR="003459D0" w:rsidRPr="00D34BA8">
        <w:t xml:space="preserve">bývania, dopravných podnikov, príspevkových organizácií. </w:t>
      </w:r>
    </w:p>
    <w:p w14:paraId="6E1485D5" w14:textId="1BF8B43E" w:rsidR="005E427F" w:rsidRPr="00D34BA8" w:rsidRDefault="00D612F7" w:rsidP="005E427F">
      <w:pPr>
        <w:numPr>
          <w:ilvl w:val="0"/>
          <w:numId w:val="28"/>
        </w:numPr>
        <w:ind w:right="-286"/>
      </w:pPr>
      <w:r w:rsidRPr="00D34BA8">
        <w:t>V rámci Európskej únie (2</w:t>
      </w:r>
      <w:r w:rsidR="002C534E" w:rsidRPr="00D34BA8">
        <w:t>7</w:t>
      </w:r>
      <w:r w:rsidR="005E427F" w:rsidRPr="00D34BA8">
        <w:t xml:space="preserve"> krajín</w:t>
      </w:r>
      <w:r w:rsidRPr="00D34BA8">
        <w:rPr>
          <w:rStyle w:val="Odkaznapoznmkupodiarou"/>
        </w:rPr>
        <w:footnoteReference w:id="1"/>
      </w:r>
      <w:r w:rsidR="005E427F" w:rsidRPr="00D34BA8">
        <w:t>) v roku 201</w:t>
      </w:r>
      <w:r w:rsidR="00403301" w:rsidRPr="00D34BA8">
        <w:t>9</w:t>
      </w:r>
      <w:r w:rsidR="005E427F" w:rsidRPr="00D34BA8">
        <w:t xml:space="preserve"> dosiahlo </w:t>
      </w:r>
      <w:r w:rsidRPr="00D34BA8">
        <w:t>7</w:t>
      </w:r>
      <w:r w:rsidR="005E427F" w:rsidRPr="00D34BA8">
        <w:t xml:space="preserve"> krajín vyšší schodok a </w:t>
      </w:r>
      <w:r w:rsidRPr="00D34BA8">
        <w:t>16</w:t>
      </w:r>
      <w:r w:rsidR="005E427F" w:rsidRPr="00D34BA8">
        <w:t xml:space="preserve"> krajín dosiahlo vyšší dlh verejnej správy ako Slovenská republika. Za rok 201</w:t>
      </w:r>
      <w:r w:rsidR="00403301" w:rsidRPr="00D34BA8">
        <w:t>9</w:t>
      </w:r>
      <w:r w:rsidR="005E427F" w:rsidRPr="00D34BA8">
        <w:t xml:space="preserve"> bol </w:t>
      </w:r>
      <w:r w:rsidR="005E427F" w:rsidRPr="00D34BA8">
        <w:rPr>
          <w:b/>
        </w:rPr>
        <w:t xml:space="preserve">priemerný schodok </w:t>
      </w:r>
      <w:r w:rsidR="005B185B">
        <w:rPr>
          <w:b/>
        </w:rPr>
        <w:t xml:space="preserve">krajín </w:t>
      </w:r>
      <w:r w:rsidR="005E427F" w:rsidRPr="00D34BA8">
        <w:rPr>
          <w:b/>
        </w:rPr>
        <w:t>EÚ</w:t>
      </w:r>
      <w:r w:rsidR="002A21EC" w:rsidRPr="00D34BA8">
        <w:rPr>
          <w:b/>
        </w:rPr>
        <w:t> </w:t>
      </w:r>
      <w:r w:rsidR="005E427F" w:rsidRPr="00D34BA8">
        <w:rPr>
          <w:b/>
        </w:rPr>
        <w:t>2</w:t>
      </w:r>
      <w:r w:rsidR="002C534E" w:rsidRPr="00D34BA8">
        <w:rPr>
          <w:b/>
        </w:rPr>
        <w:t>7</w:t>
      </w:r>
      <w:r w:rsidR="005E427F" w:rsidRPr="00D34BA8">
        <w:rPr>
          <w:b/>
        </w:rPr>
        <w:t xml:space="preserve"> </w:t>
      </w:r>
      <w:r w:rsidR="005B185B">
        <w:rPr>
          <w:b/>
        </w:rPr>
        <w:t>aj eurozóny na rovnakej úrovni</w:t>
      </w:r>
      <w:r w:rsidR="005E427F" w:rsidRPr="00D34BA8">
        <w:rPr>
          <w:b/>
        </w:rPr>
        <w:t xml:space="preserve"> </w:t>
      </w:r>
      <w:r w:rsidRPr="00D34BA8">
        <w:rPr>
          <w:b/>
        </w:rPr>
        <w:t>0,6</w:t>
      </w:r>
      <w:r w:rsidR="005E427F" w:rsidRPr="00D34BA8">
        <w:rPr>
          <w:b/>
        </w:rPr>
        <w:t> % HDP</w:t>
      </w:r>
      <w:r w:rsidR="005B185B">
        <w:rPr>
          <w:b/>
        </w:rPr>
        <w:t>.</w:t>
      </w:r>
      <w:r w:rsidR="005E427F" w:rsidRPr="00D34BA8">
        <w:t xml:space="preserve"> </w:t>
      </w:r>
      <w:r w:rsidR="005B185B">
        <w:rPr>
          <w:b/>
        </w:rPr>
        <w:t>P</w:t>
      </w:r>
      <w:r w:rsidR="005E427F" w:rsidRPr="00D34BA8">
        <w:rPr>
          <w:b/>
        </w:rPr>
        <w:t xml:space="preserve">riemerný dlh verejnej správy </w:t>
      </w:r>
      <w:r w:rsidR="005B185B">
        <w:rPr>
          <w:b/>
        </w:rPr>
        <w:t xml:space="preserve">krajín </w:t>
      </w:r>
      <w:r w:rsidR="005E427F" w:rsidRPr="00D34BA8">
        <w:rPr>
          <w:b/>
        </w:rPr>
        <w:t>EÚ 2</w:t>
      </w:r>
      <w:r w:rsidR="002C534E" w:rsidRPr="00D34BA8">
        <w:rPr>
          <w:b/>
        </w:rPr>
        <w:t>7</w:t>
      </w:r>
      <w:r w:rsidR="005E427F" w:rsidRPr="00D34BA8">
        <w:rPr>
          <w:b/>
        </w:rPr>
        <w:t xml:space="preserve"> dosiahol </w:t>
      </w:r>
      <w:r w:rsidR="00D34BA8">
        <w:rPr>
          <w:b/>
        </w:rPr>
        <w:t>77,8</w:t>
      </w:r>
      <w:r w:rsidR="005E427F" w:rsidRPr="00D34BA8">
        <w:rPr>
          <w:b/>
        </w:rPr>
        <w:t> </w:t>
      </w:r>
      <w:r w:rsidR="005B185B" w:rsidRPr="00D34BA8">
        <w:rPr>
          <w:b/>
        </w:rPr>
        <w:t>%</w:t>
      </w:r>
      <w:r w:rsidR="005B185B">
        <w:rPr>
          <w:b/>
        </w:rPr>
        <w:t xml:space="preserve"> a krajín eurozóny 84,1 % </w:t>
      </w:r>
      <w:r w:rsidR="005E427F" w:rsidRPr="00D34BA8">
        <w:rPr>
          <w:b/>
        </w:rPr>
        <w:t>HDP</w:t>
      </w:r>
      <w:r w:rsidR="005E427F" w:rsidRPr="00D34BA8">
        <w:t xml:space="preserve">. </w:t>
      </w:r>
    </w:p>
    <w:p w14:paraId="563DB617" w14:textId="78C18DC5" w:rsidR="0061694F" w:rsidRDefault="00050148" w:rsidP="000911E5">
      <w:pPr>
        <w:numPr>
          <w:ilvl w:val="0"/>
          <w:numId w:val="28"/>
        </w:numPr>
        <w:ind w:left="357" w:right="-286" w:hanging="357"/>
      </w:pPr>
      <w:r w:rsidRPr="00D34BA8">
        <w:rPr>
          <w:b/>
        </w:rPr>
        <w:t xml:space="preserve">Hotovostný schodok štátneho rozpočtu </w:t>
      </w:r>
      <w:r w:rsidR="008E439E" w:rsidRPr="00D34BA8">
        <w:rPr>
          <w:b/>
        </w:rPr>
        <w:t>dosiahol 2 201 4</w:t>
      </w:r>
      <w:r w:rsidR="00471D97">
        <w:rPr>
          <w:b/>
        </w:rPr>
        <w:t>81</w:t>
      </w:r>
      <w:r w:rsidR="008E439E" w:rsidRPr="00D34BA8">
        <w:rPr>
          <w:b/>
        </w:rPr>
        <w:t xml:space="preserve"> tis. eur a oproti </w:t>
      </w:r>
      <w:r w:rsidRPr="00D34BA8">
        <w:rPr>
          <w:b/>
        </w:rPr>
        <w:t>rozpočtu</w:t>
      </w:r>
      <w:r w:rsidRPr="00D34BA8">
        <w:t xml:space="preserve"> </w:t>
      </w:r>
      <w:r w:rsidR="008E439E" w:rsidRPr="00D34BA8">
        <w:t xml:space="preserve">bol </w:t>
      </w:r>
      <w:r w:rsidR="00E63664" w:rsidRPr="00D34BA8">
        <w:t>vyšš</w:t>
      </w:r>
      <w:r w:rsidRPr="00D34BA8">
        <w:t>í o </w:t>
      </w:r>
      <w:r w:rsidR="000D1FAF" w:rsidRPr="00D34BA8">
        <w:t>160 234</w:t>
      </w:r>
      <w:r w:rsidR="000D1FAF" w:rsidRPr="00D34BA8">
        <w:rPr>
          <w:b/>
        </w:rPr>
        <w:t> </w:t>
      </w:r>
      <w:r w:rsidRPr="00D34BA8">
        <w:t>tis. eur</w:t>
      </w:r>
      <w:r w:rsidR="008E439E" w:rsidRPr="00D34BA8">
        <w:t>.</w:t>
      </w:r>
      <w:r w:rsidR="0061694F" w:rsidRPr="00D34BA8">
        <w:t xml:space="preserve"> </w:t>
      </w:r>
      <w:r w:rsidR="004265B0" w:rsidRPr="00D34BA8">
        <w:rPr>
          <w:b/>
          <w:bCs/>
        </w:rPr>
        <w:t>Hotovostné príjmy štátneho rozpočtu</w:t>
      </w:r>
      <w:r w:rsidR="004265B0" w:rsidRPr="0061694F">
        <w:t xml:space="preserve"> dosiahli v roku 2019 výšku 15 825 535 tis. eur, čo znamená</w:t>
      </w:r>
      <w:r w:rsidR="004265B0" w:rsidRPr="0061694F">
        <w:rPr>
          <w:b/>
          <w:bCs/>
        </w:rPr>
        <w:t xml:space="preserve"> medziročný rast o 2,9 %</w:t>
      </w:r>
      <w:r w:rsidR="004265B0" w:rsidRPr="0061694F">
        <w:t xml:space="preserve">. </w:t>
      </w:r>
      <w:r w:rsidR="004265B0" w:rsidRPr="0061694F">
        <w:rPr>
          <w:b/>
          <w:bCs/>
        </w:rPr>
        <w:t>Hotovostné výdavky</w:t>
      </w:r>
      <w:r w:rsidR="004265B0" w:rsidRPr="0061694F">
        <w:t xml:space="preserve"> boli vo výške 18 027 016 tis. eur, čo predstavuje medziročný </w:t>
      </w:r>
      <w:r w:rsidR="004265B0" w:rsidRPr="0061694F">
        <w:rPr>
          <w:b/>
          <w:bCs/>
        </w:rPr>
        <w:t>rast o 8,8 %.</w:t>
      </w:r>
    </w:p>
    <w:p w14:paraId="488FCE19" w14:textId="65CB5A23" w:rsidR="004265B0" w:rsidRPr="0061694F" w:rsidRDefault="004265B0" w:rsidP="000911E5">
      <w:pPr>
        <w:numPr>
          <w:ilvl w:val="0"/>
          <w:numId w:val="28"/>
        </w:numPr>
        <w:ind w:left="357" w:right="-286" w:hanging="357"/>
      </w:pPr>
      <w:r w:rsidRPr="0061694F">
        <w:rPr>
          <w:b/>
          <w:bCs/>
        </w:rPr>
        <w:t xml:space="preserve">Hotovostný schodok </w:t>
      </w:r>
      <w:r w:rsidR="00957B2D" w:rsidRPr="0061694F">
        <w:rPr>
          <w:bCs/>
        </w:rPr>
        <w:t xml:space="preserve">bol krytý štátnymi dlhopismi v sume </w:t>
      </w:r>
      <w:r w:rsidR="0059070B" w:rsidRPr="0061694F">
        <w:rPr>
          <w:bCs/>
        </w:rPr>
        <w:t>1 900 481 tis. eur</w:t>
      </w:r>
      <w:r w:rsidR="00957B2D" w:rsidRPr="0061694F">
        <w:rPr>
          <w:bCs/>
        </w:rPr>
        <w:t xml:space="preserve"> a prijatými zahraničnými bankovými úvermi v</w:t>
      </w:r>
      <w:r w:rsidR="0061694F">
        <w:rPr>
          <w:bCs/>
        </w:rPr>
        <w:t xml:space="preserve"> hodnote </w:t>
      </w:r>
      <w:r w:rsidR="0059070B" w:rsidRPr="0061694F">
        <w:rPr>
          <w:bCs/>
        </w:rPr>
        <w:t>301 000 ti</w:t>
      </w:r>
      <w:r w:rsidR="005A17A9" w:rsidRPr="0061694F">
        <w:rPr>
          <w:bCs/>
        </w:rPr>
        <w:t xml:space="preserve">s. </w:t>
      </w:r>
      <w:r w:rsidR="00957B2D" w:rsidRPr="0061694F">
        <w:rPr>
          <w:bCs/>
        </w:rPr>
        <w:t>eur</w:t>
      </w:r>
    </w:p>
    <w:p w14:paraId="4A0AC6D2" w14:textId="77777777" w:rsidR="0059070B" w:rsidRPr="004265B0" w:rsidRDefault="0059070B" w:rsidP="0059070B">
      <w:pPr>
        <w:pStyle w:val="Odsekzoznamu"/>
        <w:spacing w:after="120" w:line="336" w:lineRule="auto"/>
        <w:ind w:left="357" w:right="-286"/>
        <w:jc w:val="both"/>
        <w:rPr>
          <w:rFonts w:ascii="Times New Roman" w:hAnsi="Times New Roman"/>
        </w:rPr>
      </w:pPr>
    </w:p>
    <w:p w14:paraId="2F8BA07E" w14:textId="77777777" w:rsidR="005F5B88" w:rsidRPr="001A1586" w:rsidRDefault="005F5B88" w:rsidP="00AF7C97">
      <w:pPr>
        <w:pStyle w:val="Nadpis1"/>
        <w:ind w:left="567" w:hanging="567"/>
      </w:pPr>
      <w:bookmarkStart w:id="1" w:name="_Toc6415626"/>
      <w:bookmarkStart w:id="2" w:name="_Toc39095157"/>
      <w:r w:rsidRPr="001A1586">
        <w:lastRenderedPageBreak/>
        <w:t>Ekonomick</w:t>
      </w:r>
      <w:r w:rsidR="0021355F" w:rsidRPr="001A1586">
        <w:t>ý</w:t>
      </w:r>
      <w:r w:rsidRPr="001A1586">
        <w:t xml:space="preserve"> rámec rozpočtového hospodárenia Slovenskej republiky</w:t>
      </w:r>
      <w:bookmarkEnd w:id="1"/>
      <w:bookmarkEnd w:id="2"/>
    </w:p>
    <w:p w14:paraId="76BD09FD" w14:textId="77777777" w:rsidR="001A1586" w:rsidRPr="001A1586" w:rsidRDefault="001A1586" w:rsidP="001A1586">
      <w:r w:rsidRPr="001A1586">
        <w:t>Slovenská ekonomika v roku 2019 vzrástla o 2,3 %. Nepriaznivý vývoj zahraničného dopytu sa premietol predovšetkým do slovenského exportne orientovaného priemyslu. Trh práce však tlaku odolal a pri historicky nízkej nezamestnanosti si zamestnanci na mzdách polepšili najviac od roku 2008. V míňaní však domácnosti ostali opatrné a dodatočné príjmy sa pretavili do rekordných úspor. Celková vládna spotreba sa zvýšila najmä vďaka zvyšovaniu tarifných platov zamestnancov vo verejnom sektore. Z pohľadu makroekonomických základní pre daňové a odvodové príjmy makroekonomický vývoj v roku 2019 nedosiahol očakávania rozpočtovej prognózy MF SR.</w:t>
      </w:r>
    </w:p>
    <w:p w14:paraId="1A98C117" w14:textId="77777777" w:rsidR="005F5B88" w:rsidRDefault="005F5B88" w:rsidP="00AF7C97">
      <w:pPr>
        <w:pStyle w:val="Nadpis2"/>
      </w:pPr>
      <w:bookmarkStart w:id="3" w:name="_Toc6415627"/>
      <w:bookmarkStart w:id="4" w:name="_Toc39095158"/>
      <w:r w:rsidRPr="0042635A">
        <w:t>Vonkajšie ekonomické prostredie</w:t>
      </w:r>
      <w:bookmarkEnd w:id="3"/>
      <w:bookmarkEnd w:id="4"/>
    </w:p>
    <w:p w14:paraId="3CC73FCB" w14:textId="77777777" w:rsidR="000956A5" w:rsidRPr="000956A5" w:rsidRDefault="000956A5" w:rsidP="000956A5">
      <w:r w:rsidRPr="000956A5">
        <w:t xml:space="preserve">Svetový obchod v závere roka 2019 pokračoval v stagnácii. Ekonomika eurozóny vzrástla o 1,2%, čo reflektuje postupné ochladzovanie ekonomiky prameniace z viacerých príčin. Externým faktorom spomalenia boli pretrvávajúce obchodné spory medzi Čínou a USA, ktoré vytvárali veľkú mieru neistoty pre medzinárodný obchod. Domácim spomaľujúcim faktorom bol predovšetkým výpadok v nemeckom automobilovom priemysle, ktorý mal vzhľadom na svoju </w:t>
      </w:r>
      <w:proofErr w:type="spellStart"/>
      <w:r w:rsidRPr="000956A5">
        <w:t>perzistentnosť</w:t>
      </w:r>
      <w:proofErr w:type="spellEnd"/>
      <w:r w:rsidRPr="000956A5">
        <w:t xml:space="preserve"> nie len cyklický, ale zrejme aj štrukturálny charakter. Riziká v súvislosti s tzv. tvrdým </w:t>
      </w:r>
      <w:proofErr w:type="spellStart"/>
      <w:r w:rsidRPr="000956A5">
        <w:t>Brexitom</w:t>
      </w:r>
      <w:proofErr w:type="spellEnd"/>
      <w:r w:rsidRPr="000956A5">
        <w:t xml:space="preserve"> sa v druhej polovici roka upokojili. Za ostatný rok sa v eurozóne prejavil nový fenomén dvojrýchlostnej ekonomiky, keď priemysel postupne strácal na sile, kým sektor služieb zostal odolný. Stimulačne naďalej pôsobili pevný trh práce a naďalej uvoľnená monetárna politika. Miera nezamestnanosti v eurozóne dosiahla v roku 2019 cyklické minimum 7,5%. Koncom roka prispelo k upokojeniu situáciu uzavretie 1. fázy obchodnej dohody medzi Čínou a USA.</w:t>
      </w:r>
    </w:p>
    <w:p w14:paraId="42E7334D" w14:textId="77777777" w:rsidR="000956A5" w:rsidRPr="000956A5" w:rsidRDefault="000956A5" w:rsidP="000956A5">
      <w:r w:rsidRPr="000956A5">
        <w:t>Rast eurozóny tlmili predovšetkým veľké európske krajiny, z ktorých Nemecko sa v treťom štvrťroku len tesne vyhlo technickej recesii. Spomalenie nemeckého automobilového priemyslu sa postupne prelievalo do iných sektorov priemyslu a aj do ostatných európskych krajín. Spomedzi ostatných veľkých krajín rástlo pomalým tempom aj Taliansko, ktorého ekonomika spomaľovala pod vplyvom slabnúceho zahraničného aj domáceho dopytu. Ekonomiky regionálnych partnerov Slovenska vo V3 dosiahli v porovnaní s predchádzajúcimi rokmi o čosi pomalší, ale naďalej dynamický rast. Rastovú bázu tvorili predovšetkým domáce faktory, keď z pozitívneho príspevku zo zahraničia ťažilo záverom roka len Poľsko.</w:t>
      </w:r>
    </w:p>
    <w:p w14:paraId="3AA7E1AC" w14:textId="08744846" w:rsidR="000956A5" w:rsidRPr="000956A5" w:rsidRDefault="000956A5" w:rsidP="000956A5">
      <w:r w:rsidRPr="000956A5">
        <w:t xml:space="preserve">Globálne finančné trhy ocenili pozitívnejší výhľad vo svetovom obchode a predídenie „tvrdému“ </w:t>
      </w:r>
      <w:proofErr w:type="spellStart"/>
      <w:r w:rsidRPr="000956A5">
        <w:t>Brexitu</w:t>
      </w:r>
      <w:proofErr w:type="spellEnd"/>
      <w:r w:rsidRPr="000956A5">
        <w:t>, čo sa prejavilo v solídnom raste akciových indexov. Pokles rizikovo averzného správania po upokojení situácie medzi USA a Čínou sa prejavil aj na trhoch s dlhopismi, ktorých výnosy sa odrazili od historických miním. Pozitívny impulz sa premietol aj na trhu s ropou, ktorej cena sa v závere roka vyšplhala naspäť k 65 USD za barel. Príčinou rastu boli očakávania vyššieho dopytu po komodite, ktoré sa vytvorili v dôsledku optimistickej</w:t>
      </w:r>
      <w:r w:rsidR="003A0393">
        <w:t>ších nálad na globálnej úrovni.</w:t>
      </w:r>
      <w:r w:rsidR="003A0393">
        <w:br/>
      </w:r>
      <w:r w:rsidRPr="000956A5">
        <w:t>Kurz eura voči americkému doláru ostal stabilný na úrovni 1,1 EUR/USD.</w:t>
      </w:r>
    </w:p>
    <w:p w14:paraId="55894F03" w14:textId="3E22488E" w:rsidR="000956A5" w:rsidRDefault="000956A5" w:rsidP="000956A5">
      <w:r w:rsidRPr="000956A5">
        <w:lastRenderedPageBreak/>
        <w:t xml:space="preserve">Uvoľnená menová politika podporila trhy s cieľom trafiť inflačný cieľ. Americký </w:t>
      </w:r>
      <w:proofErr w:type="spellStart"/>
      <w:r w:rsidRPr="000956A5">
        <w:t>Fed</w:t>
      </w:r>
      <w:proofErr w:type="spellEnd"/>
      <w:r w:rsidRPr="000956A5">
        <w:t xml:space="preserve"> znížil v roku 2019 kľúčovú úrokovú sadzbu celkom trikrát na úroveň 1,5 – 1,75</w:t>
      </w:r>
      <w:r w:rsidR="00AF7C97">
        <w:t xml:space="preserve"> </w:t>
      </w:r>
      <w:r w:rsidRPr="000956A5">
        <w:t>%. Trhy koncom roka očakávali ďalšie dve až tri zníženia v priebehu roka 2020. Americká centrálna banka zároveň naliala do systému značný objem likvidity. Úroková sadzba ECB na hlavné refinančné operácie ostala naďalej na 0</w:t>
      </w:r>
      <w:r w:rsidR="00AF7C97">
        <w:t xml:space="preserve"> </w:t>
      </w:r>
      <w:r w:rsidRPr="000956A5">
        <w:t>%, pričom prvé očakávané zvýšenie sa opäť posunulo až na rok 2021. Na svojom septembrovom zasadaní ECB oznámila zníženie sadzieb na depozitá z -0,4</w:t>
      </w:r>
      <w:r w:rsidR="00AF7C97">
        <w:t xml:space="preserve"> </w:t>
      </w:r>
      <w:r w:rsidRPr="000956A5">
        <w:t>% na -0,5</w:t>
      </w:r>
      <w:r w:rsidR="00AF7C97">
        <w:t xml:space="preserve"> </w:t>
      </w:r>
      <w:r w:rsidRPr="000956A5">
        <w:t>% a zároveň spustila kvantitatívne uvoľňovanie v objeme 20 mld. EUR mesačne s cieľom poskytnúť ekonomike a inflácii dodatočný stimul.</w:t>
      </w:r>
    </w:p>
    <w:tbl>
      <w:tblPr>
        <w:tblW w:w="8505" w:type="dxa"/>
        <w:jc w:val="center"/>
        <w:tblCellMar>
          <w:left w:w="70" w:type="dxa"/>
          <w:right w:w="70" w:type="dxa"/>
        </w:tblCellMar>
        <w:tblLook w:val="04A0" w:firstRow="1" w:lastRow="0" w:firstColumn="1" w:lastColumn="0" w:noHBand="0" w:noVBand="1"/>
      </w:tblPr>
      <w:tblGrid>
        <w:gridCol w:w="5103"/>
        <w:gridCol w:w="1134"/>
        <w:gridCol w:w="1276"/>
        <w:gridCol w:w="992"/>
      </w:tblGrid>
      <w:tr w:rsidR="00854B34" w:rsidRPr="00854B34" w14:paraId="5F6EA38D" w14:textId="77777777" w:rsidTr="00854B34">
        <w:trPr>
          <w:trHeight w:val="300"/>
          <w:jc w:val="center"/>
        </w:trPr>
        <w:tc>
          <w:tcPr>
            <w:tcW w:w="8505" w:type="dxa"/>
            <w:gridSpan w:val="4"/>
            <w:tcBorders>
              <w:top w:val="nil"/>
              <w:left w:val="nil"/>
              <w:bottom w:val="nil"/>
              <w:right w:val="nil"/>
            </w:tcBorders>
            <w:shd w:val="clear" w:color="000000" w:fill="000000"/>
            <w:noWrap/>
            <w:vAlign w:val="center"/>
            <w:hideMark/>
          </w:tcPr>
          <w:p w14:paraId="49085340" w14:textId="3AF7AAC4" w:rsidR="00854B34" w:rsidRPr="00854B34" w:rsidRDefault="00854B34" w:rsidP="00140B5A">
            <w:pPr>
              <w:spacing w:before="120"/>
              <w:rPr>
                <w:b/>
                <w:bCs/>
                <w:color w:val="FFFFFF"/>
                <w:sz w:val="20"/>
                <w:szCs w:val="20"/>
              </w:rPr>
            </w:pPr>
            <w:r w:rsidRPr="00854B34">
              <w:rPr>
                <w:b/>
                <w:bCs/>
                <w:color w:val="FFFFFF"/>
                <w:sz w:val="20"/>
                <w:szCs w:val="20"/>
              </w:rPr>
              <w:t>Vývoj vybraných ukazovateľov eurozóny</w:t>
            </w:r>
          </w:p>
        </w:tc>
      </w:tr>
      <w:tr w:rsidR="00854B34" w:rsidRPr="00854B34" w14:paraId="6A2FA2FC" w14:textId="77777777" w:rsidTr="00854B34">
        <w:trPr>
          <w:trHeight w:val="80"/>
          <w:jc w:val="center"/>
        </w:trPr>
        <w:tc>
          <w:tcPr>
            <w:tcW w:w="5103" w:type="dxa"/>
            <w:tcBorders>
              <w:top w:val="nil"/>
              <w:left w:val="nil"/>
              <w:bottom w:val="single" w:sz="8" w:space="0" w:color="auto"/>
              <w:right w:val="nil"/>
            </w:tcBorders>
            <w:shd w:val="clear" w:color="000000" w:fill="C0C0C0"/>
            <w:vAlign w:val="bottom"/>
            <w:hideMark/>
          </w:tcPr>
          <w:p w14:paraId="3285483E" w14:textId="19A1B3CB" w:rsidR="00854B34" w:rsidRPr="00854B34" w:rsidRDefault="00854B34" w:rsidP="00976AAC">
            <w:pPr>
              <w:rPr>
                <w:rFonts w:cs="Times New Roman"/>
                <w:b/>
                <w:bCs/>
                <w:color w:val="000000"/>
                <w:sz w:val="20"/>
                <w:szCs w:val="20"/>
              </w:rPr>
            </w:pPr>
          </w:p>
        </w:tc>
        <w:tc>
          <w:tcPr>
            <w:tcW w:w="1134" w:type="dxa"/>
            <w:tcBorders>
              <w:top w:val="nil"/>
              <w:left w:val="nil"/>
              <w:bottom w:val="single" w:sz="8" w:space="0" w:color="auto"/>
              <w:right w:val="nil"/>
            </w:tcBorders>
            <w:shd w:val="clear" w:color="000000" w:fill="C0C0C0"/>
            <w:vAlign w:val="bottom"/>
            <w:hideMark/>
          </w:tcPr>
          <w:p w14:paraId="3E313B34" w14:textId="16525F95" w:rsidR="00854B34" w:rsidRPr="00854B34" w:rsidRDefault="00854B34" w:rsidP="00976AAC">
            <w:pPr>
              <w:jc w:val="center"/>
              <w:rPr>
                <w:rFonts w:cs="Times New Roman"/>
                <w:b/>
                <w:bCs/>
                <w:color w:val="000000"/>
                <w:sz w:val="20"/>
                <w:szCs w:val="20"/>
              </w:rPr>
            </w:pPr>
            <w:r w:rsidRPr="00854B34">
              <w:rPr>
                <w:rFonts w:cs="Times New Roman"/>
                <w:b/>
                <w:bCs/>
                <w:color w:val="000000"/>
                <w:sz w:val="20"/>
                <w:szCs w:val="20"/>
              </w:rPr>
              <w:t>2017</w:t>
            </w:r>
          </w:p>
        </w:tc>
        <w:tc>
          <w:tcPr>
            <w:tcW w:w="1276" w:type="dxa"/>
            <w:tcBorders>
              <w:top w:val="nil"/>
              <w:left w:val="nil"/>
              <w:bottom w:val="single" w:sz="8" w:space="0" w:color="auto"/>
              <w:right w:val="nil"/>
            </w:tcBorders>
            <w:shd w:val="clear" w:color="000000" w:fill="C0C0C0"/>
            <w:vAlign w:val="bottom"/>
            <w:hideMark/>
          </w:tcPr>
          <w:p w14:paraId="01B91B14" w14:textId="6130140F" w:rsidR="00854B34" w:rsidRPr="00854B34" w:rsidRDefault="00854B34" w:rsidP="00976AAC">
            <w:pPr>
              <w:jc w:val="center"/>
              <w:rPr>
                <w:rFonts w:cs="Times New Roman"/>
                <w:b/>
                <w:bCs/>
                <w:color w:val="000000"/>
                <w:sz w:val="20"/>
                <w:szCs w:val="20"/>
              </w:rPr>
            </w:pPr>
            <w:r w:rsidRPr="00854B34">
              <w:rPr>
                <w:rFonts w:cs="Times New Roman"/>
                <w:b/>
                <w:bCs/>
                <w:color w:val="000000"/>
                <w:sz w:val="20"/>
                <w:szCs w:val="20"/>
              </w:rPr>
              <w:t>2018</w:t>
            </w:r>
          </w:p>
        </w:tc>
        <w:tc>
          <w:tcPr>
            <w:tcW w:w="992" w:type="dxa"/>
            <w:tcBorders>
              <w:top w:val="nil"/>
              <w:left w:val="nil"/>
              <w:bottom w:val="single" w:sz="8" w:space="0" w:color="auto"/>
              <w:right w:val="nil"/>
            </w:tcBorders>
            <w:shd w:val="clear" w:color="000000" w:fill="C0C0C0"/>
            <w:vAlign w:val="bottom"/>
            <w:hideMark/>
          </w:tcPr>
          <w:p w14:paraId="355071EF" w14:textId="67072EF7" w:rsidR="00854B34" w:rsidRPr="00854B34" w:rsidRDefault="00854B34" w:rsidP="00976AAC">
            <w:pPr>
              <w:jc w:val="center"/>
              <w:rPr>
                <w:rFonts w:cs="Times New Roman"/>
                <w:b/>
                <w:bCs/>
                <w:color w:val="000000"/>
                <w:sz w:val="20"/>
                <w:szCs w:val="20"/>
              </w:rPr>
            </w:pPr>
            <w:r w:rsidRPr="00854B34">
              <w:rPr>
                <w:rFonts w:cs="Times New Roman"/>
                <w:b/>
                <w:bCs/>
                <w:color w:val="000000"/>
                <w:sz w:val="20"/>
                <w:szCs w:val="20"/>
              </w:rPr>
              <w:t>2019</w:t>
            </w:r>
          </w:p>
        </w:tc>
      </w:tr>
      <w:tr w:rsidR="00854B34" w:rsidRPr="00854B34" w14:paraId="1A97F97E" w14:textId="77777777" w:rsidTr="000227C0">
        <w:trPr>
          <w:trHeight w:val="268"/>
          <w:jc w:val="center"/>
        </w:trPr>
        <w:tc>
          <w:tcPr>
            <w:tcW w:w="5103" w:type="dxa"/>
            <w:tcBorders>
              <w:top w:val="nil"/>
              <w:left w:val="nil"/>
              <w:bottom w:val="nil"/>
              <w:right w:val="nil"/>
            </w:tcBorders>
            <w:shd w:val="clear" w:color="auto" w:fill="auto"/>
            <w:vAlign w:val="center"/>
            <w:hideMark/>
          </w:tcPr>
          <w:p w14:paraId="408C8120" w14:textId="757BFA3D" w:rsidR="00854B34" w:rsidRPr="00854B34" w:rsidRDefault="00854B34" w:rsidP="00854B34">
            <w:pPr>
              <w:spacing w:after="0" w:line="360" w:lineRule="auto"/>
              <w:rPr>
                <w:rFonts w:cs="Times New Roman"/>
                <w:color w:val="000000"/>
                <w:sz w:val="20"/>
                <w:szCs w:val="20"/>
              </w:rPr>
            </w:pPr>
            <w:r w:rsidRPr="00854B34">
              <w:rPr>
                <w:color w:val="000000"/>
                <w:sz w:val="20"/>
                <w:szCs w:val="20"/>
              </w:rPr>
              <w:t>Hrubý domáci produkt (% rast)</w:t>
            </w:r>
          </w:p>
        </w:tc>
        <w:tc>
          <w:tcPr>
            <w:tcW w:w="1134" w:type="dxa"/>
            <w:tcBorders>
              <w:top w:val="nil"/>
              <w:left w:val="nil"/>
              <w:bottom w:val="nil"/>
              <w:right w:val="nil"/>
            </w:tcBorders>
            <w:shd w:val="clear" w:color="auto" w:fill="auto"/>
            <w:vAlign w:val="center"/>
            <w:hideMark/>
          </w:tcPr>
          <w:p w14:paraId="694291D2" w14:textId="08D42F30"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2,5</w:t>
            </w:r>
          </w:p>
        </w:tc>
        <w:tc>
          <w:tcPr>
            <w:tcW w:w="1276" w:type="dxa"/>
            <w:tcBorders>
              <w:top w:val="nil"/>
              <w:left w:val="nil"/>
              <w:bottom w:val="nil"/>
              <w:right w:val="nil"/>
            </w:tcBorders>
            <w:shd w:val="clear" w:color="auto" w:fill="auto"/>
            <w:vAlign w:val="center"/>
            <w:hideMark/>
          </w:tcPr>
          <w:p w14:paraId="39E12664" w14:textId="09E150F4"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1,9</w:t>
            </w:r>
          </w:p>
        </w:tc>
        <w:tc>
          <w:tcPr>
            <w:tcW w:w="992" w:type="dxa"/>
            <w:tcBorders>
              <w:top w:val="nil"/>
              <w:left w:val="nil"/>
              <w:bottom w:val="nil"/>
              <w:right w:val="nil"/>
            </w:tcBorders>
            <w:shd w:val="clear" w:color="auto" w:fill="BFBFBF" w:themeFill="background1" w:themeFillShade="BF"/>
            <w:vAlign w:val="center"/>
            <w:hideMark/>
          </w:tcPr>
          <w:p w14:paraId="0D8AA2E6" w14:textId="15FE34F6"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1,2</w:t>
            </w:r>
          </w:p>
        </w:tc>
      </w:tr>
      <w:tr w:rsidR="00854B34" w:rsidRPr="00854B34" w14:paraId="05B63DD3" w14:textId="77777777" w:rsidTr="000227C0">
        <w:trPr>
          <w:trHeight w:val="268"/>
          <w:jc w:val="center"/>
        </w:trPr>
        <w:tc>
          <w:tcPr>
            <w:tcW w:w="5103" w:type="dxa"/>
            <w:tcBorders>
              <w:top w:val="nil"/>
              <w:left w:val="nil"/>
              <w:bottom w:val="nil"/>
              <w:right w:val="nil"/>
            </w:tcBorders>
            <w:shd w:val="clear" w:color="auto" w:fill="auto"/>
            <w:vAlign w:val="center"/>
            <w:hideMark/>
          </w:tcPr>
          <w:p w14:paraId="534B297E" w14:textId="0BFA7E6A" w:rsidR="00854B34" w:rsidRPr="00854B34" w:rsidRDefault="00854B34" w:rsidP="00854B34">
            <w:pPr>
              <w:spacing w:after="0" w:line="360" w:lineRule="auto"/>
              <w:rPr>
                <w:rFonts w:cs="Times New Roman"/>
                <w:color w:val="000000"/>
                <w:sz w:val="20"/>
                <w:szCs w:val="20"/>
              </w:rPr>
            </w:pPr>
            <w:r w:rsidRPr="00854B34">
              <w:rPr>
                <w:color w:val="000000"/>
                <w:sz w:val="20"/>
                <w:szCs w:val="20"/>
              </w:rPr>
              <w:t>Zamestnanosť (ESA, % rast)</w:t>
            </w:r>
          </w:p>
        </w:tc>
        <w:tc>
          <w:tcPr>
            <w:tcW w:w="1134" w:type="dxa"/>
            <w:tcBorders>
              <w:top w:val="nil"/>
              <w:left w:val="nil"/>
              <w:bottom w:val="nil"/>
              <w:right w:val="nil"/>
            </w:tcBorders>
            <w:shd w:val="clear" w:color="auto" w:fill="auto"/>
            <w:vAlign w:val="center"/>
            <w:hideMark/>
          </w:tcPr>
          <w:p w14:paraId="0583B4FF" w14:textId="0EC11D8E"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1,6</w:t>
            </w:r>
          </w:p>
        </w:tc>
        <w:tc>
          <w:tcPr>
            <w:tcW w:w="1276" w:type="dxa"/>
            <w:tcBorders>
              <w:top w:val="nil"/>
              <w:left w:val="nil"/>
              <w:bottom w:val="nil"/>
              <w:right w:val="nil"/>
            </w:tcBorders>
            <w:shd w:val="clear" w:color="auto" w:fill="auto"/>
            <w:noWrap/>
            <w:vAlign w:val="center"/>
            <w:hideMark/>
          </w:tcPr>
          <w:p w14:paraId="28C35588" w14:textId="4BF19426"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1,5</w:t>
            </w:r>
          </w:p>
        </w:tc>
        <w:tc>
          <w:tcPr>
            <w:tcW w:w="992" w:type="dxa"/>
            <w:tcBorders>
              <w:top w:val="nil"/>
              <w:left w:val="nil"/>
              <w:bottom w:val="nil"/>
              <w:right w:val="nil"/>
            </w:tcBorders>
            <w:shd w:val="clear" w:color="auto" w:fill="BFBFBF" w:themeFill="background1" w:themeFillShade="BF"/>
            <w:vAlign w:val="center"/>
            <w:hideMark/>
          </w:tcPr>
          <w:p w14:paraId="68B51367" w14:textId="19865254"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1,2</w:t>
            </w:r>
          </w:p>
        </w:tc>
      </w:tr>
      <w:tr w:rsidR="00854B34" w:rsidRPr="00854B34" w14:paraId="31A0682C" w14:textId="77777777" w:rsidTr="000227C0">
        <w:trPr>
          <w:trHeight w:val="268"/>
          <w:jc w:val="center"/>
        </w:trPr>
        <w:tc>
          <w:tcPr>
            <w:tcW w:w="5103" w:type="dxa"/>
            <w:tcBorders>
              <w:top w:val="nil"/>
              <w:left w:val="nil"/>
              <w:bottom w:val="nil"/>
              <w:right w:val="nil"/>
            </w:tcBorders>
            <w:shd w:val="clear" w:color="auto" w:fill="auto"/>
            <w:vAlign w:val="center"/>
            <w:hideMark/>
          </w:tcPr>
          <w:p w14:paraId="3B6E6E3E" w14:textId="091D0007" w:rsidR="00854B34" w:rsidRPr="00854B34" w:rsidRDefault="00854B34" w:rsidP="00854B34">
            <w:pPr>
              <w:spacing w:after="0" w:line="360" w:lineRule="auto"/>
              <w:rPr>
                <w:rFonts w:cs="Times New Roman"/>
                <w:color w:val="000000"/>
                <w:sz w:val="20"/>
                <w:szCs w:val="20"/>
              </w:rPr>
            </w:pPr>
            <w:r w:rsidRPr="00854B34">
              <w:rPr>
                <w:color w:val="000000"/>
                <w:sz w:val="20"/>
                <w:szCs w:val="20"/>
              </w:rPr>
              <w:t>Miera nezamestnanosti (VZPS, %)</w:t>
            </w:r>
          </w:p>
        </w:tc>
        <w:tc>
          <w:tcPr>
            <w:tcW w:w="1134" w:type="dxa"/>
            <w:tcBorders>
              <w:top w:val="nil"/>
              <w:left w:val="nil"/>
              <w:bottom w:val="nil"/>
              <w:right w:val="nil"/>
            </w:tcBorders>
            <w:shd w:val="clear" w:color="auto" w:fill="auto"/>
            <w:vAlign w:val="center"/>
            <w:hideMark/>
          </w:tcPr>
          <w:p w14:paraId="168808E8" w14:textId="0B79642C"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9,0</w:t>
            </w:r>
          </w:p>
        </w:tc>
        <w:tc>
          <w:tcPr>
            <w:tcW w:w="1276" w:type="dxa"/>
            <w:tcBorders>
              <w:top w:val="nil"/>
              <w:left w:val="nil"/>
              <w:bottom w:val="nil"/>
              <w:right w:val="nil"/>
            </w:tcBorders>
            <w:shd w:val="clear" w:color="auto" w:fill="auto"/>
            <w:vAlign w:val="center"/>
            <w:hideMark/>
          </w:tcPr>
          <w:p w14:paraId="7BCA7196" w14:textId="0AF62896"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8,1</w:t>
            </w:r>
          </w:p>
        </w:tc>
        <w:tc>
          <w:tcPr>
            <w:tcW w:w="992" w:type="dxa"/>
            <w:tcBorders>
              <w:top w:val="nil"/>
              <w:left w:val="nil"/>
              <w:bottom w:val="nil"/>
              <w:right w:val="nil"/>
            </w:tcBorders>
            <w:shd w:val="clear" w:color="auto" w:fill="BFBFBF" w:themeFill="background1" w:themeFillShade="BF"/>
            <w:vAlign w:val="center"/>
            <w:hideMark/>
          </w:tcPr>
          <w:p w14:paraId="2074885F" w14:textId="5F7A50FF"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7,5</w:t>
            </w:r>
          </w:p>
        </w:tc>
      </w:tr>
      <w:tr w:rsidR="00854B34" w:rsidRPr="00854B34" w14:paraId="1EF013E9" w14:textId="77777777" w:rsidTr="000227C0">
        <w:trPr>
          <w:trHeight w:val="268"/>
          <w:jc w:val="center"/>
        </w:trPr>
        <w:tc>
          <w:tcPr>
            <w:tcW w:w="5103" w:type="dxa"/>
            <w:tcBorders>
              <w:top w:val="nil"/>
              <w:left w:val="nil"/>
              <w:bottom w:val="nil"/>
              <w:right w:val="nil"/>
            </w:tcBorders>
            <w:shd w:val="clear" w:color="auto" w:fill="auto"/>
            <w:vAlign w:val="center"/>
            <w:hideMark/>
          </w:tcPr>
          <w:p w14:paraId="71C93AA5" w14:textId="5FF808EE" w:rsidR="00854B34" w:rsidRPr="00854B34" w:rsidRDefault="00854B34" w:rsidP="00854B34">
            <w:pPr>
              <w:spacing w:after="0" w:line="360" w:lineRule="auto"/>
              <w:rPr>
                <w:rFonts w:cs="Times New Roman"/>
                <w:color w:val="000000"/>
                <w:sz w:val="20"/>
                <w:szCs w:val="20"/>
              </w:rPr>
            </w:pPr>
            <w:r w:rsidRPr="00854B34">
              <w:rPr>
                <w:color w:val="000000"/>
                <w:sz w:val="20"/>
                <w:szCs w:val="20"/>
              </w:rPr>
              <w:t>Kompenzácie na zamestnanca</w:t>
            </w:r>
            <w:r w:rsidRPr="00854B34">
              <w:rPr>
                <w:color w:val="000000"/>
                <w:sz w:val="20"/>
                <w:szCs w:val="20"/>
                <w:vertAlign w:val="superscript"/>
              </w:rPr>
              <w:t>*</w:t>
            </w:r>
            <w:r w:rsidRPr="00854B34">
              <w:rPr>
                <w:color w:val="000000"/>
                <w:sz w:val="20"/>
                <w:szCs w:val="20"/>
              </w:rPr>
              <w:t xml:space="preserve"> (% rast)</w:t>
            </w:r>
          </w:p>
        </w:tc>
        <w:tc>
          <w:tcPr>
            <w:tcW w:w="1134" w:type="dxa"/>
            <w:tcBorders>
              <w:top w:val="nil"/>
              <w:left w:val="nil"/>
              <w:bottom w:val="nil"/>
              <w:right w:val="nil"/>
            </w:tcBorders>
            <w:shd w:val="clear" w:color="auto" w:fill="auto"/>
            <w:vAlign w:val="center"/>
            <w:hideMark/>
          </w:tcPr>
          <w:p w14:paraId="4FDBC3E7" w14:textId="22189391"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1,7</w:t>
            </w:r>
          </w:p>
        </w:tc>
        <w:tc>
          <w:tcPr>
            <w:tcW w:w="1276" w:type="dxa"/>
            <w:tcBorders>
              <w:top w:val="nil"/>
              <w:left w:val="nil"/>
              <w:bottom w:val="nil"/>
              <w:right w:val="nil"/>
            </w:tcBorders>
            <w:shd w:val="clear" w:color="auto" w:fill="auto"/>
            <w:vAlign w:val="center"/>
            <w:hideMark/>
          </w:tcPr>
          <w:p w14:paraId="3CF7476A" w14:textId="29D4E9AD"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2,2</w:t>
            </w:r>
          </w:p>
        </w:tc>
        <w:tc>
          <w:tcPr>
            <w:tcW w:w="992" w:type="dxa"/>
            <w:tcBorders>
              <w:top w:val="nil"/>
              <w:left w:val="nil"/>
              <w:bottom w:val="nil"/>
              <w:right w:val="nil"/>
            </w:tcBorders>
            <w:shd w:val="clear" w:color="auto" w:fill="BFBFBF" w:themeFill="background1" w:themeFillShade="BF"/>
            <w:vAlign w:val="center"/>
            <w:hideMark/>
          </w:tcPr>
          <w:p w14:paraId="757B86D2" w14:textId="18F0AF31"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2,0</w:t>
            </w:r>
          </w:p>
        </w:tc>
      </w:tr>
      <w:tr w:rsidR="00854B34" w:rsidRPr="00854B34" w14:paraId="45B4FA28" w14:textId="77777777" w:rsidTr="000227C0">
        <w:trPr>
          <w:trHeight w:val="268"/>
          <w:jc w:val="center"/>
        </w:trPr>
        <w:tc>
          <w:tcPr>
            <w:tcW w:w="5103" w:type="dxa"/>
            <w:tcBorders>
              <w:top w:val="nil"/>
              <w:left w:val="nil"/>
              <w:bottom w:val="nil"/>
              <w:right w:val="nil"/>
            </w:tcBorders>
            <w:shd w:val="clear" w:color="auto" w:fill="auto"/>
            <w:vAlign w:val="center"/>
            <w:hideMark/>
          </w:tcPr>
          <w:p w14:paraId="7B38A197" w14:textId="6C2C5633" w:rsidR="00854B34" w:rsidRPr="00854B34" w:rsidRDefault="00854B34" w:rsidP="00854B34">
            <w:pPr>
              <w:spacing w:after="0" w:line="360" w:lineRule="auto"/>
              <w:rPr>
                <w:rFonts w:cs="Times New Roman"/>
                <w:color w:val="000000"/>
                <w:sz w:val="20"/>
                <w:szCs w:val="20"/>
              </w:rPr>
            </w:pPr>
            <w:r w:rsidRPr="00854B34">
              <w:rPr>
                <w:color w:val="000000"/>
                <w:sz w:val="20"/>
                <w:szCs w:val="20"/>
              </w:rPr>
              <w:t>Miera inflácie (HICP, %)</w:t>
            </w:r>
          </w:p>
        </w:tc>
        <w:tc>
          <w:tcPr>
            <w:tcW w:w="1134" w:type="dxa"/>
            <w:tcBorders>
              <w:top w:val="nil"/>
              <w:left w:val="nil"/>
              <w:bottom w:val="nil"/>
              <w:right w:val="nil"/>
            </w:tcBorders>
            <w:shd w:val="clear" w:color="auto" w:fill="auto"/>
            <w:vAlign w:val="center"/>
            <w:hideMark/>
          </w:tcPr>
          <w:p w14:paraId="469C16CA" w14:textId="55DDD6A6"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1,5</w:t>
            </w:r>
          </w:p>
        </w:tc>
        <w:tc>
          <w:tcPr>
            <w:tcW w:w="1276" w:type="dxa"/>
            <w:tcBorders>
              <w:top w:val="nil"/>
              <w:left w:val="nil"/>
              <w:bottom w:val="nil"/>
              <w:right w:val="nil"/>
            </w:tcBorders>
            <w:shd w:val="clear" w:color="auto" w:fill="auto"/>
            <w:vAlign w:val="center"/>
            <w:hideMark/>
          </w:tcPr>
          <w:p w14:paraId="6D2323D0" w14:textId="6E966936"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1,7</w:t>
            </w:r>
          </w:p>
        </w:tc>
        <w:tc>
          <w:tcPr>
            <w:tcW w:w="992" w:type="dxa"/>
            <w:tcBorders>
              <w:top w:val="nil"/>
              <w:left w:val="nil"/>
              <w:bottom w:val="nil"/>
              <w:right w:val="nil"/>
            </w:tcBorders>
            <w:shd w:val="clear" w:color="auto" w:fill="BFBFBF" w:themeFill="background1" w:themeFillShade="BF"/>
            <w:vAlign w:val="center"/>
            <w:hideMark/>
          </w:tcPr>
          <w:p w14:paraId="7821D9FF" w14:textId="4A784F0D"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1,2</w:t>
            </w:r>
          </w:p>
        </w:tc>
      </w:tr>
      <w:tr w:rsidR="00854B34" w:rsidRPr="00854B34" w14:paraId="4626F87F" w14:textId="77777777" w:rsidTr="000227C0">
        <w:trPr>
          <w:trHeight w:val="268"/>
          <w:jc w:val="center"/>
        </w:trPr>
        <w:tc>
          <w:tcPr>
            <w:tcW w:w="5103" w:type="dxa"/>
            <w:tcBorders>
              <w:top w:val="nil"/>
              <w:left w:val="nil"/>
              <w:bottom w:val="nil"/>
              <w:right w:val="nil"/>
            </w:tcBorders>
            <w:shd w:val="clear" w:color="auto" w:fill="auto"/>
            <w:vAlign w:val="center"/>
            <w:hideMark/>
          </w:tcPr>
          <w:p w14:paraId="4AEDA75F" w14:textId="431D8C54" w:rsidR="00854B34" w:rsidRPr="00854B34" w:rsidRDefault="00854B34" w:rsidP="00854B34">
            <w:pPr>
              <w:spacing w:after="0" w:line="360" w:lineRule="auto"/>
              <w:rPr>
                <w:rFonts w:cs="Times New Roman"/>
                <w:color w:val="000000"/>
                <w:sz w:val="20"/>
                <w:szCs w:val="20"/>
              </w:rPr>
            </w:pPr>
            <w:r w:rsidRPr="00854B34">
              <w:rPr>
                <w:color w:val="000000"/>
                <w:sz w:val="20"/>
                <w:szCs w:val="20"/>
              </w:rPr>
              <w:t>10-ročný nemecký dlhopis (% výnos)</w:t>
            </w:r>
          </w:p>
        </w:tc>
        <w:tc>
          <w:tcPr>
            <w:tcW w:w="1134" w:type="dxa"/>
            <w:tcBorders>
              <w:top w:val="nil"/>
              <w:left w:val="nil"/>
              <w:bottom w:val="nil"/>
              <w:right w:val="nil"/>
            </w:tcBorders>
            <w:shd w:val="clear" w:color="auto" w:fill="auto"/>
            <w:vAlign w:val="center"/>
            <w:hideMark/>
          </w:tcPr>
          <w:p w14:paraId="1A3AD55C" w14:textId="32CBB69C"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0,39</w:t>
            </w:r>
          </w:p>
        </w:tc>
        <w:tc>
          <w:tcPr>
            <w:tcW w:w="1276" w:type="dxa"/>
            <w:tcBorders>
              <w:top w:val="nil"/>
              <w:left w:val="nil"/>
              <w:bottom w:val="nil"/>
              <w:right w:val="nil"/>
            </w:tcBorders>
            <w:shd w:val="clear" w:color="auto" w:fill="auto"/>
            <w:vAlign w:val="center"/>
            <w:hideMark/>
          </w:tcPr>
          <w:p w14:paraId="5E17E8D6" w14:textId="651F1A56"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0,48</w:t>
            </w:r>
          </w:p>
        </w:tc>
        <w:tc>
          <w:tcPr>
            <w:tcW w:w="992" w:type="dxa"/>
            <w:tcBorders>
              <w:top w:val="nil"/>
              <w:left w:val="nil"/>
              <w:bottom w:val="nil"/>
              <w:right w:val="nil"/>
            </w:tcBorders>
            <w:shd w:val="clear" w:color="auto" w:fill="BFBFBF" w:themeFill="background1" w:themeFillShade="BF"/>
            <w:vAlign w:val="center"/>
            <w:hideMark/>
          </w:tcPr>
          <w:p w14:paraId="564C3F58" w14:textId="0799445B"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-0,22</w:t>
            </w:r>
          </w:p>
        </w:tc>
      </w:tr>
      <w:tr w:rsidR="00854B34" w:rsidRPr="00854B34" w14:paraId="074FFA0D" w14:textId="77777777" w:rsidTr="000227C0">
        <w:trPr>
          <w:trHeight w:val="268"/>
          <w:jc w:val="center"/>
        </w:trPr>
        <w:tc>
          <w:tcPr>
            <w:tcW w:w="5103" w:type="dxa"/>
            <w:tcBorders>
              <w:top w:val="nil"/>
              <w:left w:val="nil"/>
              <w:bottom w:val="nil"/>
              <w:right w:val="nil"/>
            </w:tcBorders>
            <w:shd w:val="clear" w:color="auto" w:fill="auto"/>
            <w:vAlign w:val="center"/>
            <w:hideMark/>
          </w:tcPr>
          <w:p w14:paraId="6017FEB2" w14:textId="0F0393C6" w:rsidR="00854B34" w:rsidRPr="00854B34" w:rsidRDefault="00854B34" w:rsidP="00854B34">
            <w:pPr>
              <w:spacing w:after="0" w:line="360" w:lineRule="auto"/>
              <w:rPr>
                <w:rFonts w:cs="Times New Roman"/>
                <w:color w:val="000000"/>
                <w:sz w:val="20"/>
                <w:szCs w:val="20"/>
              </w:rPr>
            </w:pPr>
            <w:r w:rsidRPr="00854B34">
              <w:rPr>
                <w:color w:val="000000"/>
                <w:sz w:val="20"/>
                <w:szCs w:val="20"/>
              </w:rPr>
              <w:t>Kurz USD/EUR (priemer roka)</w:t>
            </w:r>
          </w:p>
        </w:tc>
        <w:tc>
          <w:tcPr>
            <w:tcW w:w="1134" w:type="dxa"/>
            <w:tcBorders>
              <w:top w:val="nil"/>
              <w:left w:val="nil"/>
              <w:bottom w:val="nil"/>
              <w:right w:val="nil"/>
            </w:tcBorders>
            <w:shd w:val="clear" w:color="auto" w:fill="auto"/>
            <w:vAlign w:val="center"/>
            <w:hideMark/>
          </w:tcPr>
          <w:p w14:paraId="1392D559" w14:textId="5C0A8B4F"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1,13</w:t>
            </w:r>
          </w:p>
        </w:tc>
        <w:tc>
          <w:tcPr>
            <w:tcW w:w="1276" w:type="dxa"/>
            <w:tcBorders>
              <w:top w:val="nil"/>
              <w:left w:val="nil"/>
              <w:bottom w:val="nil"/>
              <w:right w:val="nil"/>
            </w:tcBorders>
            <w:shd w:val="clear" w:color="auto" w:fill="auto"/>
            <w:vAlign w:val="center"/>
            <w:hideMark/>
          </w:tcPr>
          <w:p w14:paraId="030F7347" w14:textId="5FF1695D"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1,18</w:t>
            </w:r>
          </w:p>
        </w:tc>
        <w:tc>
          <w:tcPr>
            <w:tcW w:w="992" w:type="dxa"/>
            <w:tcBorders>
              <w:top w:val="nil"/>
              <w:left w:val="nil"/>
              <w:bottom w:val="nil"/>
              <w:right w:val="nil"/>
            </w:tcBorders>
            <w:shd w:val="clear" w:color="auto" w:fill="BFBFBF" w:themeFill="background1" w:themeFillShade="BF"/>
            <w:vAlign w:val="center"/>
            <w:hideMark/>
          </w:tcPr>
          <w:p w14:paraId="02C62A43" w14:textId="549DD819"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1,12</w:t>
            </w:r>
          </w:p>
        </w:tc>
      </w:tr>
      <w:tr w:rsidR="00854B34" w:rsidRPr="00854B34" w14:paraId="1BB368EE" w14:textId="77777777" w:rsidTr="000227C0">
        <w:trPr>
          <w:trHeight w:val="268"/>
          <w:jc w:val="center"/>
        </w:trPr>
        <w:tc>
          <w:tcPr>
            <w:tcW w:w="5103" w:type="dxa"/>
            <w:tcBorders>
              <w:top w:val="nil"/>
              <w:left w:val="nil"/>
              <w:bottom w:val="nil"/>
              <w:right w:val="nil"/>
            </w:tcBorders>
            <w:shd w:val="clear" w:color="auto" w:fill="auto"/>
            <w:vAlign w:val="center"/>
          </w:tcPr>
          <w:p w14:paraId="2238878E" w14:textId="7BE4D847" w:rsidR="00854B34" w:rsidRPr="00854B34" w:rsidRDefault="00854B34" w:rsidP="00854B34">
            <w:pPr>
              <w:spacing w:after="0" w:line="360" w:lineRule="auto"/>
              <w:rPr>
                <w:rFonts w:cs="Times New Roman"/>
                <w:color w:val="000000"/>
                <w:sz w:val="20"/>
                <w:szCs w:val="20"/>
              </w:rPr>
            </w:pPr>
            <w:r w:rsidRPr="00854B34">
              <w:rPr>
                <w:color w:val="000000"/>
                <w:sz w:val="20"/>
                <w:szCs w:val="20"/>
              </w:rPr>
              <w:t xml:space="preserve">Cena ropy </w:t>
            </w:r>
            <w:proofErr w:type="spellStart"/>
            <w:r w:rsidRPr="00854B34">
              <w:rPr>
                <w:color w:val="000000"/>
                <w:sz w:val="20"/>
                <w:szCs w:val="20"/>
              </w:rPr>
              <w:t>Brent</w:t>
            </w:r>
            <w:proofErr w:type="spellEnd"/>
            <w:r w:rsidRPr="00854B34">
              <w:rPr>
                <w:color w:val="000000"/>
                <w:sz w:val="20"/>
                <w:szCs w:val="20"/>
              </w:rPr>
              <w:t xml:space="preserve"> (USD/</w:t>
            </w:r>
            <w:proofErr w:type="spellStart"/>
            <w:r w:rsidRPr="00854B34">
              <w:rPr>
                <w:color w:val="000000"/>
                <w:sz w:val="20"/>
                <w:szCs w:val="20"/>
              </w:rPr>
              <w:t>bl</w:t>
            </w:r>
            <w:proofErr w:type="spellEnd"/>
            <w:r w:rsidRPr="00854B34">
              <w:rPr>
                <w:color w:val="000000"/>
                <w:sz w:val="20"/>
                <w:szCs w:val="20"/>
              </w:rPr>
              <w:t>)</w:t>
            </w:r>
          </w:p>
        </w:tc>
        <w:tc>
          <w:tcPr>
            <w:tcW w:w="1134" w:type="dxa"/>
            <w:tcBorders>
              <w:top w:val="nil"/>
              <w:left w:val="nil"/>
              <w:bottom w:val="nil"/>
              <w:right w:val="nil"/>
            </w:tcBorders>
            <w:shd w:val="clear" w:color="auto" w:fill="auto"/>
            <w:vAlign w:val="center"/>
          </w:tcPr>
          <w:p w14:paraId="6DB525B3" w14:textId="5377C18B"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54,8</w:t>
            </w:r>
          </w:p>
        </w:tc>
        <w:tc>
          <w:tcPr>
            <w:tcW w:w="1276" w:type="dxa"/>
            <w:tcBorders>
              <w:top w:val="nil"/>
              <w:left w:val="nil"/>
              <w:bottom w:val="nil"/>
              <w:right w:val="nil"/>
            </w:tcBorders>
            <w:shd w:val="clear" w:color="auto" w:fill="auto"/>
            <w:vAlign w:val="center"/>
          </w:tcPr>
          <w:p w14:paraId="597426DB" w14:textId="68C4475E"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71,5</w:t>
            </w:r>
          </w:p>
        </w:tc>
        <w:tc>
          <w:tcPr>
            <w:tcW w:w="992" w:type="dxa"/>
            <w:tcBorders>
              <w:top w:val="nil"/>
              <w:left w:val="nil"/>
              <w:bottom w:val="nil"/>
              <w:right w:val="nil"/>
            </w:tcBorders>
            <w:shd w:val="clear" w:color="auto" w:fill="BFBFBF" w:themeFill="background1" w:themeFillShade="BF"/>
            <w:vAlign w:val="center"/>
          </w:tcPr>
          <w:p w14:paraId="58038FE0" w14:textId="1A40C7F3" w:rsidR="00854B34" w:rsidRPr="00854B34" w:rsidRDefault="00854B34" w:rsidP="00854B34">
            <w:pPr>
              <w:spacing w:after="0" w:line="360" w:lineRule="auto"/>
              <w:jc w:val="center"/>
              <w:rPr>
                <w:rFonts w:cs="Times New Roman"/>
                <w:color w:val="000000"/>
                <w:sz w:val="20"/>
                <w:szCs w:val="20"/>
              </w:rPr>
            </w:pPr>
            <w:r w:rsidRPr="00854B34">
              <w:rPr>
                <w:color w:val="000000"/>
                <w:sz w:val="20"/>
                <w:szCs w:val="20"/>
              </w:rPr>
              <w:t>61,2</w:t>
            </w:r>
          </w:p>
        </w:tc>
      </w:tr>
      <w:tr w:rsidR="00854B34" w:rsidRPr="00854B34" w14:paraId="135E4672" w14:textId="77777777" w:rsidTr="00854B34">
        <w:trPr>
          <w:trHeight w:val="268"/>
          <w:jc w:val="center"/>
        </w:trPr>
        <w:tc>
          <w:tcPr>
            <w:tcW w:w="8505" w:type="dxa"/>
            <w:gridSpan w:val="4"/>
            <w:tcBorders>
              <w:top w:val="single" w:sz="8" w:space="0" w:color="auto"/>
              <w:left w:val="nil"/>
              <w:bottom w:val="nil"/>
              <w:right w:val="nil"/>
            </w:tcBorders>
            <w:shd w:val="clear" w:color="auto" w:fill="auto"/>
            <w:vAlign w:val="bottom"/>
            <w:hideMark/>
          </w:tcPr>
          <w:p w14:paraId="3193EFAB" w14:textId="77777777" w:rsidR="00854B34" w:rsidRPr="00854B34" w:rsidRDefault="00854B34" w:rsidP="00976AAC">
            <w:pPr>
              <w:jc w:val="right"/>
              <w:rPr>
                <w:rFonts w:cs="Times New Roman"/>
                <w:iCs/>
                <w:color w:val="000000"/>
                <w:sz w:val="18"/>
                <w:szCs w:val="18"/>
              </w:rPr>
            </w:pPr>
            <w:r w:rsidRPr="00854B34">
              <w:rPr>
                <w:rFonts w:cs="Times New Roman"/>
                <w:iCs/>
                <w:color w:val="000000"/>
                <w:sz w:val="18"/>
                <w:szCs w:val="18"/>
                <w:lang w:val="de-DE"/>
              </w:rPr>
              <w:t xml:space="preserve">  </w:t>
            </w:r>
            <w:proofErr w:type="spellStart"/>
            <w:r w:rsidRPr="00854B34">
              <w:rPr>
                <w:rFonts w:cs="Times New Roman"/>
                <w:iCs/>
                <w:color w:val="000000"/>
                <w:sz w:val="18"/>
                <w:szCs w:val="18"/>
                <w:lang w:val="de-DE"/>
              </w:rPr>
              <w:t>Zdroj</w:t>
            </w:r>
            <w:proofErr w:type="spellEnd"/>
            <w:r w:rsidRPr="00854B34">
              <w:rPr>
                <w:rFonts w:cs="Times New Roman"/>
                <w:iCs/>
                <w:color w:val="000000"/>
                <w:sz w:val="18"/>
                <w:szCs w:val="18"/>
                <w:lang w:val="de-DE"/>
              </w:rPr>
              <w:t>: MF SR, ŠÚ SR</w:t>
            </w:r>
          </w:p>
        </w:tc>
      </w:tr>
    </w:tbl>
    <w:p w14:paraId="48D97EFB" w14:textId="77777777" w:rsidR="001A1586" w:rsidRPr="001A1586" w:rsidRDefault="001A1586" w:rsidP="001A1586"/>
    <w:p w14:paraId="7134557C" w14:textId="77777777" w:rsidR="005F5B88" w:rsidRDefault="005F5B88" w:rsidP="00AF7C97">
      <w:pPr>
        <w:pStyle w:val="Nadpis2"/>
      </w:pPr>
      <w:bookmarkStart w:id="5" w:name="_Toc6415628"/>
      <w:bookmarkStart w:id="6" w:name="_Toc39095159"/>
      <w:r>
        <w:t>Makroekonomický vývoj SR</w:t>
      </w:r>
      <w:bookmarkEnd w:id="5"/>
      <w:bookmarkEnd w:id="6"/>
    </w:p>
    <w:p w14:paraId="7FC076D8" w14:textId="77777777" w:rsidR="005F5B88" w:rsidRDefault="005F5B88" w:rsidP="00AF7C97">
      <w:pPr>
        <w:pStyle w:val="Nadpis3"/>
      </w:pPr>
      <w:bookmarkStart w:id="7" w:name="_Toc6415629"/>
      <w:bookmarkStart w:id="8" w:name="_Toc39095160"/>
      <w:r>
        <w:t xml:space="preserve">Hrubý domáci </w:t>
      </w:r>
      <w:r w:rsidRPr="0042635A">
        <w:t>produkt</w:t>
      </w:r>
      <w:bookmarkEnd w:id="7"/>
      <w:bookmarkEnd w:id="8"/>
    </w:p>
    <w:p w14:paraId="59525184" w14:textId="77777777" w:rsidR="00415AB8" w:rsidRPr="00415AB8" w:rsidRDefault="00415AB8" w:rsidP="00415AB8">
      <w:r w:rsidRPr="00415AB8">
        <w:t>Po dosiahnutí vrcholu hospodárskeho cyklu v roku 2018 slovenská ekonomika v minulom roku výrazne zvoľnila rast na 2,3 %. Nepriaznivý vývoj zahraničného dopytu sa premietol predovšetkým do slovenského exportne orientovaného priemyslu. Trh práce však tlaku odolal a pri historicky nízkej nezamestnanosti si zamestnanci na mzdách polepšili najviac od roku 2008. V míňaní však domácnosti ostali opatrné a dodatočné príjmy sa pretavili do rekordných úspor. Celková vládna spotreba sa zvýšila najmä vďaka zvyšovaniu tarifných platov zamestnancov vo verejnom sektore.</w:t>
      </w:r>
    </w:p>
    <w:p w14:paraId="25A7C46B" w14:textId="3C678E2E" w:rsidR="00AF7C97" w:rsidRDefault="00415AB8" w:rsidP="00415AB8">
      <w:r w:rsidRPr="00415AB8">
        <w:t>Zo sektorového pohľadu k reálnemu rastu HDP v roku 2019 najviac prispela pridaná hodnota v službách s rastom o 2,8 % (príspevok k rastu HDP 1,6 p.</w:t>
      </w:r>
      <w:r>
        <w:t xml:space="preserve"> </w:t>
      </w:r>
      <w:r w:rsidRPr="00415AB8">
        <w:t>b.). Pridaná hodnota v priemysle stagnovala, mierne kladne prispeli k rastu poľnohospodárstvo s rastom 4,3% (0,1 p.</w:t>
      </w:r>
      <w:r w:rsidR="003A0393">
        <w:t xml:space="preserve"> </w:t>
      </w:r>
      <w:r w:rsidRPr="00415AB8">
        <w:t>b. k rastu HDP) a stavebníctvo (rast 1,2%, 0,1 p.</w:t>
      </w:r>
      <w:r w:rsidR="003A0393">
        <w:t xml:space="preserve"> </w:t>
      </w:r>
      <w:r w:rsidRPr="00415AB8">
        <w:t>b. k rastu HDP).</w:t>
      </w:r>
    </w:p>
    <w:p w14:paraId="6BC645C9" w14:textId="77777777" w:rsidR="00AF7C97" w:rsidRDefault="00AF7C97">
      <w:pPr>
        <w:spacing w:after="160" w:line="259" w:lineRule="auto"/>
        <w:jc w:val="left"/>
      </w:pPr>
      <w:r>
        <w:br w:type="page"/>
      </w:r>
    </w:p>
    <w:tbl>
      <w:tblPr>
        <w:tblW w:w="8700" w:type="dxa"/>
        <w:tblInd w:w="-142" w:type="dxa"/>
        <w:tblCellMar>
          <w:left w:w="70" w:type="dxa"/>
          <w:right w:w="70" w:type="dxa"/>
        </w:tblCellMar>
        <w:tblLook w:val="04A0" w:firstRow="1" w:lastRow="0" w:firstColumn="1" w:lastColumn="0" w:noHBand="0" w:noVBand="1"/>
      </w:tblPr>
      <w:tblGrid>
        <w:gridCol w:w="1557"/>
        <w:gridCol w:w="761"/>
        <w:gridCol w:w="554"/>
        <w:gridCol w:w="554"/>
        <w:gridCol w:w="537"/>
        <w:gridCol w:w="4737"/>
      </w:tblGrid>
      <w:tr w:rsidR="00415AB8" w:rsidRPr="00415AB8" w14:paraId="4183A63B" w14:textId="77777777" w:rsidTr="003A0393">
        <w:trPr>
          <w:trHeight w:val="291"/>
        </w:trPr>
        <w:tc>
          <w:tcPr>
            <w:tcW w:w="8700" w:type="dxa"/>
            <w:gridSpan w:val="6"/>
            <w:tcBorders>
              <w:top w:val="nil"/>
              <w:left w:val="nil"/>
              <w:bottom w:val="nil"/>
              <w:right w:val="nil"/>
            </w:tcBorders>
            <w:shd w:val="clear" w:color="000000" w:fill="000000"/>
            <w:vAlign w:val="center"/>
            <w:hideMark/>
          </w:tcPr>
          <w:p w14:paraId="63E77516" w14:textId="77777777" w:rsidR="00415AB8" w:rsidRPr="003A0393" w:rsidRDefault="00415AB8" w:rsidP="00140B5A">
            <w:pPr>
              <w:spacing w:before="120"/>
              <w:rPr>
                <w:rFonts w:cs="Times New Roman"/>
                <w:b/>
                <w:bCs/>
                <w:color w:val="FFFFFF"/>
                <w:sz w:val="18"/>
                <w:szCs w:val="18"/>
              </w:rPr>
            </w:pPr>
            <w:r w:rsidRPr="003A0393">
              <w:rPr>
                <w:rFonts w:cs="Times New Roman"/>
                <w:b/>
                <w:bCs/>
                <w:color w:val="FFFFFF"/>
                <w:sz w:val="18"/>
                <w:szCs w:val="18"/>
              </w:rPr>
              <w:lastRenderedPageBreak/>
              <w:t xml:space="preserve">Vývoj HDP a jeho hlavných  zložiek </w:t>
            </w:r>
          </w:p>
        </w:tc>
      </w:tr>
      <w:tr w:rsidR="00415AB8" w:rsidRPr="00415AB8" w14:paraId="1C8AB204" w14:textId="77777777" w:rsidTr="003A0393">
        <w:trPr>
          <w:trHeight w:val="291"/>
        </w:trPr>
        <w:tc>
          <w:tcPr>
            <w:tcW w:w="2318" w:type="dxa"/>
            <w:gridSpan w:val="2"/>
            <w:tcBorders>
              <w:top w:val="nil"/>
              <w:left w:val="nil"/>
              <w:bottom w:val="single" w:sz="4" w:space="0" w:color="auto"/>
              <w:right w:val="nil"/>
            </w:tcBorders>
            <w:shd w:val="clear" w:color="auto" w:fill="BFBFBF"/>
            <w:vAlign w:val="center"/>
            <w:hideMark/>
          </w:tcPr>
          <w:p w14:paraId="728D0C15" w14:textId="77777777" w:rsidR="00415AB8" w:rsidRPr="003A0393" w:rsidRDefault="00415AB8" w:rsidP="009A0CAF">
            <w:pPr>
              <w:spacing w:before="120"/>
              <w:jc w:val="center"/>
              <w:rPr>
                <w:rFonts w:cs="Times New Roman"/>
                <w:b/>
                <w:bCs/>
                <w:color w:val="000000"/>
                <w:sz w:val="18"/>
                <w:szCs w:val="18"/>
              </w:rPr>
            </w:pPr>
            <w:r w:rsidRPr="003A0393">
              <w:rPr>
                <w:rFonts w:cs="Times New Roman"/>
                <w:b/>
                <w:bCs/>
                <w:color w:val="000000"/>
                <w:sz w:val="18"/>
                <w:szCs w:val="18"/>
              </w:rPr>
              <w:t>reálny rast v %</w:t>
            </w:r>
          </w:p>
        </w:tc>
        <w:tc>
          <w:tcPr>
            <w:tcW w:w="554" w:type="dxa"/>
            <w:tcBorders>
              <w:top w:val="nil"/>
              <w:left w:val="nil"/>
              <w:bottom w:val="single" w:sz="4" w:space="0" w:color="auto"/>
              <w:right w:val="nil"/>
            </w:tcBorders>
            <w:shd w:val="clear" w:color="auto" w:fill="BFBFBF"/>
            <w:vAlign w:val="center"/>
            <w:hideMark/>
          </w:tcPr>
          <w:p w14:paraId="28157BFD" w14:textId="77777777" w:rsidR="00415AB8" w:rsidRPr="003A0393" w:rsidRDefault="00415AB8" w:rsidP="009A0CAF">
            <w:pPr>
              <w:spacing w:before="120"/>
              <w:jc w:val="center"/>
              <w:rPr>
                <w:rFonts w:cs="Times New Roman"/>
                <w:b/>
                <w:bCs/>
                <w:color w:val="000000"/>
                <w:sz w:val="18"/>
                <w:szCs w:val="18"/>
              </w:rPr>
            </w:pPr>
            <w:r w:rsidRPr="003A0393">
              <w:rPr>
                <w:rFonts w:cs="Times New Roman"/>
                <w:b/>
                <w:bCs/>
                <w:color w:val="000000"/>
                <w:sz w:val="18"/>
                <w:szCs w:val="18"/>
              </w:rPr>
              <w:t>2017</w:t>
            </w:r>
          </w:p>
        </w:tc>
        <w:tc>
          <w:tcPr>
            <w:tcW w:w="554" w:type="dxa"/>
            <w:tcBorders>
              <w:top w:val="nil"/>
              <w:left w:val="nil"/>
              <w:bottom w:val="single" w:sz="4" w:space="0" w:color="auto"/>
              <w:right w:val="nil"/>
            </w:tcBorders>
            <w:shd w:val="clear" w:color="auto" w:fill="BFBFBF"/>
            <w:vAlign w:val="center"/>
            <w:hideMark/>
          </w:tcPr>
          <w:p w14:paraId="5B426436" w14:textId="77777777" w:rsidR="00415AB8" w:rsidRPr="003A0393" w:rsidRDefault="00415AB8" w:rsidP="009A0CAF">
            <w:pPr>
              <w:spacing w:before="120"/>
              <w:jc w:val="center"/>
              <w:rPr>
                <w:rFonts w:cs="Times New Roman"/>
                <w:b/>
                <w:bCs/>
                <w:color w:val="000000"/>
                <w:sz w:val="18"/>
                <w:szCs w:val="18"/>
              </w:rPr>
            </w:pPr>
            <w:r w:rsidRPr="003A0393">
              <w:rPr>
                <w:rFonts w:cs="Times New Roman"/>
                <w:b/>
                <w:bCs/>
                <w:color w:val="000000"/>
                <w:sz w:val="18"/>
                <w:szCs w:val="18"/>
              </w:rPr>
              <w:t>2018</w:t>
            </w:r>
          </w:p>
        </w:tc>
        <w:tc>
          <w:tcPr>
            <w:tcW w:w="537" w:type="dxa"/>
            <w:tcBorders>
              <w:top w:val="nil"/>
              <w:left w:val="nil"/>
              <w:bottom w:val="single" w:sz="4" w:space="0" w:color="auto"/>
              <w:right w:val="nil"/>
            </w:tcBorders>
            <w:shd w:val="clear" w:color="auto" w:fill="BFBFBF"/>
            <w:vAlign w:val="center"/>
            <w:hideMark/>
          </w:tcPr>
          <w:p w14:paraId="1D0B5A83" w14:textId="77777777" w:rsidR="00415AB8" w:rsidRPr="003A0393" w:rsidRDefault="00415AB8" w:rsidP="009A0CAF">
            <w:pPr>
              <w:spacing w:before="120"/>
              <w:jc w:val="center"/>
              <w:rPr>
                <w:rFonts w:cs="Times New Roman"/>
                <w:b/>
                <w:bCs/>
                <w:color w:val="000000"/>
                <w:sz w:val="18"/>
                <w:szCs w:val="18"/>
              </w:rPr>
            </w:pPr>
            <w:r w:rsidRPr="003A0393">
              <w:rPr>
                <w:rFonts w:cs="Times New Roman"/>
                <w:b/>
                <w:bCs/>
                <w:color w:val="000000"/>
                <w:sz w:val="18"/>
                <w:szCs w:val="18"/>
              </w:rPr>
              <w:t>2019</w:t>
            </w:r>
          </w:p>
        </w:tc>
        <w:tc>
          <w:tcPr>
            <w:tcW w:w="4737" w:type="dxa"/>
            <w:vMerge w:val="restart"/>
            <w:tcBorders>
              <w:top w:val="nil"/>
              <w:left w:val="nil"/>
              <w:bottom w:val="single" w:sz="4" w:space="0" w:color="auto"/>
              <w:right w:val="nil"/>
            </w:tcBorders>
            <w:shd w:val="clear" w:color="auto" w:fill="auto"/>
            <w:hideMark/>
          </w:tcPr>
          <w:p w14:paraId="579C26D6" w14:textId="77777777" w:rsidR="00415AB8" w:rsidRPr="003A0393" w:rsidRDefault="00415AB8" w:rsidP="003A0393">
            <w:pPr>
              <w:jc w:val="center"/>
              <w:rPr>
                <w:rFonts w:cs="Times New Roman"/>
                <w:b/>
                <w:bCs/>
                <w:color w:val="000000"/>
                <w:sz w:val="18"/>
                <w:szCs w:val="18"/>
              </w:rPr>
            </w:pPr>
            <w:r w:rsidRPr="003A0393">
              <w:rPr>
                <w:rFonts w:cs="Times New Roman"/>
                <w:noProof/>
                <w:sz w:val="18"/>
                <w:szCs w:val="18"/>
                <w:lang w:eastAsia="sk-SK"/>
              </w:rPr>
              <w:drawing>
                <wp:inline distT="0" distB="0" distL="0" distR="0" wp14:anchorId="5FD1B94A" wp14:editId="0A7EFA38">
                  <wp:extent cx="2865120" cy="25527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415AB8" w:rsidRPr="00415AB8" w14:paraId="43616832" w14:textId="77777777" w:rsidTr="003A0393">
        <w:trPr>
          <w:trHeight w:val="291"/>
        </w:trPr>
        <w:tc>
          <w:tcPr>
            <w:tcW w:w="2318" w:type="dxa"/>
            <w:gridSpan w:val="2"/>
            <w:tcBorders>
              <w:top w:val="nil"/>
              <w:left w:val="nil"/>
              <w:bottom w:val="nil"/>
              <w:right w:val="nil"/>
            </w:tcBorders>
            <w:shd w:val="clear" w:color="auto" w:fill="auto"/>
            <w:vAlign w:val="center"/>
            <w:hideMark/>
          </w:tcPr>
          <w:p w14:paraId="0FDC07DE" w14:textId="77777777" w:rsidR="00415AB8" w:rsidRPr="003A0393" w:rsidRDefault="00415AB8" w:rsidP="003A0393">
            <w:pPr>
              <w:rPr>
                <w:rFonts w:cs="Times New Roman"/>
                <w:b/>
                <w:bCs/>
                <w:color w:val="000000"/>
                <w:sz w:val="18"/>
                <w:szCs w:val="18"/>
              </w:rPr>
            </w:pPr>
            <w:r w:rsidRPr="003A0393">
              <w:rPr>
                <w:rFonts w:cs="Times New Roman"/>
                <w:b/>
                <w:bCs/>
                <w:color w:val="000000"/>
                <w:sz w:val="18"/>
                <w:szCs w:val="18"/>
              </w:rPr>
              <w:t xml:space="preserve">HDP </w:t>
            </w:r>
          </w:p>
        </w:tc>
        <w:tc>
          <w:tcPr>
            <w:tcW w:w="554" w:type="dxa"/>
            <w:tcBorders>
              <w:top w:val="nil"/>
              <w:left w:val="nil"/>
              <w:bottom w:val="nil"/>
              <w:right w:val="nil"/>
            </w:tcBorders>
            <w:shd w:val="clear" w:color="auto" w:fill="auto"/>
            <w:vAlign w:val="center"/>
            <w:hideMark/>
          </w:tcPr>
          <w:p w14:paraId="07267CE9"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3,0</w:t>
            </w:r>
          </w:p>
        </w:tc>
        <w:tc>
          <w:tcPr>
            <w:tcW w:w="554" w:type="dxa"/>
            <w:tcBorders>
              <w:top w:val="nil"/>
              <w:left w:val="nil"/>
              <w:bottom w:val="nil"/>
              <w:right w:val="nil"/>
            </w:tcBorders>
            <w:shd w:val="clear" w:color="auto" w:fill="auto"/>
            <w:vAlign w:val="center"/>
            <w:hideMark/>
          </w:tcPr>
          <w:p w14:paraId="6A929F07"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4,0</w:t>
            </w:r>
          </w:p>
        </w:tc>
        <w:tc>
          <w:tcPr>
            <w:tcW w:w="537" w:type="dxa"/>
            <w:tcBorders>
              <w:top w:val="nil"/>
              <w:left w:val="nil"/>
              <w:bottom w:val="nil"/>
              <w:right w:val="nil"/>
            </w:tcBorders>
            <w:shd w:val="clear" w:color="auto" w:fill="auto"/>
            <w:vAlign w:val="center"/>
            <w:hideMark/>
          </w:tcPr>
          <w:p w14:paraId="15EBCC14"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2,3</w:t>
            </w:r>
          </w:p>
        </w:tc>
        <w:tc>
          <w:tcPr>
            <w:tcW w:w="4737" w:type="dxa"/>
            <w:vMerge/>
            <w:tcBorders>
              <w:top w:val="nil"/>
              <w:left w:val="nil"/>
              <w:bottom w:val="single" w:sz="4" w:space="0" w:color="auto"/>
              <w:right w:val="nil"/>
            </w:tcBorders>
            <w:vAlign w:val="center"/>
            <w:hideMark/>
          </w:tcPr>
          <w:p w14:paraId="1200CA66" w14:textId="77777777" w:rsidR="00415AB8" w:rsidRPr="003A0393" w:rsidRDefault="00415AB8" w:rsidP="003A0393">
            <w:pPr>
              <w:rPr>
                <w:rFonts w:cs="Times New Roman"/>
                <w:b/>
                <w:bCs/>
                <w:color w:val="000000"/>
                <w:sz w:val="18"/>
                <w:szCs w:val="18"/>
              </w:rPr>
            </w:pPr>
          </w:p>
        </w:tc>
      </w:tr>
      <w:tr w:rsidR="00415AB8" w:rsidRPr="00415AB8" w14:paraId="5F409786" w14:textId="77777777" w:rsidTr="003A0393">
        <w:trPr>
          <w:trHeight w:val="291"/>
        </w:trPr>
        <w:tc>
          <w:tcPr>
            <w:tcW w:w="1557" w:type="dxa"/>
            <w:tcBorders>
              <w:top w:val="nil"/>
              <w:left w:val="nil"/>
              <w:bottom w:val="nil"/>
              <w:right w:val="nil"/>
            </w:tcBorders>
            <w:shd w:val="clear" w:color="auto" w:fill="auto"/>
            <w:vAlign w:val="center"/>
            <w:hideMark/>
          </w:tcPr>
          <w:p w14:paraId="0AE72866" w14:textId="77777777" w:rsidR="00415AB8" w:rsidRPr="003A0393" w:rsidRDefault="00415AB8" w:rsidP="003A0393">
            <w:pPr>
              <w:rPr>
                <w:rFonts w:cs="Times New Roman"/>
                <w:color w:val="000000"/>
                <w:sz w:val="18"/>
                <w:szCs w:val="18"/>
              </w:rPr>
            </w:pPr>
            <w:r w:rsidRPr="003A0393">
              <w:rPr>
                <w:rFonts w:cs="Times New Roman"/>
                <w:color w:val="000000"/>
                <w:sz w:val="18"/>
                <w:szCs w:val="18"/>
              </w:rPr>
              <w:t>z toho:</w:t>
            </w:r>
          </w:p>
        </w:tc>
        <w:tc>
          <w:tcPr>
            <w:tcW w:w="1315" w:type="dxa"/>
            <w:gridSpan w:val="2"/>
            <w:tcBorders>
              <w:top w:val="nil"/>
              <w:left w:val="nil"/>
              <w:bottom w:val="nil"/>
              <w:right w:val="nil"/>
            </w:tcBorders>
            <w:shd w:val="clear" w:color="auto" w:fill="auto"/>
            <w:vAlign w:val="center"/>
            <w:hideMark/>
          </w:tcPr>
          <w:p w14:paraId="6105898D" w14:textId="77777777" w:rsidR="00415AB8" w:rsidRPr="003A0393" w:rsidRDefault="00415AB8" w:rsidP="003A0393">
            <w:pPr>
              <w:jc w:val="center"/>
              <w:rPr>
                <w:rFonts w:cs="Times New Roman"/>
                <w:sz w:val="18"/>
                <w:szCs w:val="18"/>
              </w:rPr>
            </w:pPr>
          </w:p>
        </w:tc>
        <w:tc>
          <w:tcPr>
            <w:tcW w:w="554" w:type="dxa"/>
            <w:tcBorders>
              <w:top w:val="nil"/>
              <w:left w:val="nil"/>
              <w:bottom w:val="nil"/>
              <w:right w:val="nil"/>
            </w:tcBorders>
            <w:shd w:val="clear" w:color="auto" w:fill="auto"/>
            <w:vAlign w:val="center"/>
            <w:hideMark/>
          </w:tcPr>
          <w:p w14:paraId="2C7ABE6A" w14:textId="77777777" w:rsidR="00415AB8" w:rsidRPr="003A0393" w:rsidRDefault="00415AB8" w:rsidP="003A0393">
            <w:pPr>
              <w:jc w:val="center"/>
              <w:rPr>
                <w:rFonts w:cs="Times New Roman"/>
                <w:sz w:val="18"/>
                <w:szCs w:val="18"/>
              </w:rPr>
            </w:pPr>
          </w:p>
        </w:tc>
        <w:tc>
          <w:tcPr>
            <w:tcW w:w="537" w:type="dxa"/>
            <w:tcBorders>
              <w:top w:val="nil"/>
              <w:left w:val="nil"/>
              <w:bottom w:val="nil"/>
              <w:right w:val="nil"/>
            </w:tcBorders>
            <w:shd w:val="clear" w:color="auto" w:fill="auto"/>
            <w:vAlign w:val="center"/>
            <w:hideMark/>
          </w:tcPr>
          <w:p w14:paraId="7BE7BA54" w14:textId="77777777" w:rsidR="00415AB8" w:rsidRPr="003A0393" w:rsidRDefault="00415AB8" w:rsidP="003A0393">
            <w:pPr>
              <w:jc w:val="center"/>
              <w:rPr>
                <w:rFonts w:cs="Times New Roman"/>
                <w:b/>
                <w:bCs/>
                <w:color w:val="000000"/>
                <w:sz w:val="18"/>
                <w:szCs w:val="18"/>
              </w:rPr>
            </w:pPr>
          </w:p>
        </w:tc>
        <w:tc>
          <w:tcPr>
            <w:tcW w:w="4737" w:type="dxa"/>
            <w:vMerge/>
            <w:tcBorders>
              <w:top w:val="nil"/>
              <w:left w:val="nil"/>
              <w:bottom w:val="single" w:sz="4" w:space="0" w:color="auto"/>
              <w:right w:val="nil"/>
            </w:tcBorders>
            <w:vAlign w:val="center"/>
            <w:hideMark/>
          </w:tcPr>
          <w:p w14:paraId="03E40FD9" w14:textId="77777777" w:rsidR="00415AB8" w:rsidRPr="003A0393" w:rsidRDefault="00415AB8" w:rsidP="003A0393">
            <w:pPr>
              <w:rPr>
                <w:rFonts w:cs="Times New Roman"/>
                <w:b/>
                <w:bCs/>
                <w:color w:val="000000"/>
                <w:sz w:val="18"/>
                <w:szCs w:val="18"/>
              </w:rPr>
            </w:pPr>
          </w:p>
        </w:tc>
      </w:tr>
      <w:tr w:rsidR="00415AB8" w:rsidRPr="00415AB8" w14:paraId="0D20B15B" w14:textId="77777777" w:rsidTr="003A0393">
        <w:trPr>
          <w:trHeight w:val="291"/>
        </w:trPr>
        <w:tc>
          <w:tcPr>
            <w:tcW w:w="2318" w:type="dxa"/>
            <w:gridSpan w:val="2"/>
            <w:tcBorders>
              <w:top w:val="nil"/>
              <w:left w:val="nil"/>
              <w:bottom w:val="nil"/>
              <w:right w:val="nil"/>
            </w:tcBorders>
            <w:shd w:val="clear" w:color="auto" w:fill="auto"/>
            <w:vAlign w:val="center"/>
            <w:hideMark/>
          </w:tcPr>
          <w:p w14:paraId="4C01E983" w14:textId="6A830999" w:rsidR="00415AB8" w:rsidRPr="003A0393" w:rsidRDefault="00415AB8" w:rsidP="003A0393">
            <w:pPr>
              <w:ind w:left="72" w:hanging="72"/>
              <w:jc w:val="left"/>
              <w:rPr>
                <w:rFonts w:cs="Times New Roman"/>
                <w:color w:val="000000"/>
                <w:sz w:val="18"/>
                <w:szCs w:val="18"/>
              </w:rPr>
            </w:pPr>
            <w:r w:rsidRPr="003A0393">
              <w:rPr>
                <w:rFonts w:cs="Times New Roman"/>
                <w:bCs/>
                <w:color w:val="000000"/>
                <w:sz w:val="18"/>
                <w:szCs w:val="18"/>
              </w:rPr>
              <w:t xml:space="preserve">  Konečná spotreba </w:t>
            </w:r>
            <w:r w:rsidR="003A0393">
              <w:rPr>
                <w:rFonts w:cs="Times New Roman"/>
                <w:bCs/>
                <w:color w:val="000000"/>
                <w:sz w:val="18"/>
                <w:szCs w:val="18"/>
              </w:rPr>
              <w:t xml:space="preserve">  </w:t>
            </w:r>
            <w:r w:rsidRPr="003A0393">
              <w:rPr>
                <w:rFonts w:cs="Times New Roman"/>
                <w:bCs/>
                <w:color w:val="000000"/>
                <w:sz w:val="18"/>
                <w:szCs w:val="18"/>
              </w:rPr>
              <w:t>domácností</w:t>
            </w:r>
          </w:p>
        </w:tc>
        <w:tc>
          <w:tcPr>
            <w:tcW w:w="554" w:type="dxa"/>
            <w:tcBorders>
              <w:top w:val="nil"/>
              <w:left w:val="nil"/>
              <w:bottom w:val="nil"/>
              <w:right w:val="nil"/>
            </w:tcBorders>
            <w:shd w:val="clear" w:color="auto" w:fill="auto"/>
            <w:vAlign w:val="center"/>
            <w:hideMark/>
          </w:tcPr>
          <w:p w14:paraId="00682DC5"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4,3</w:t>
            </w:r>
          </w:p>
        </w:tc>
        <w:tc>
          <w:tcPr>
            <w:tcW w:w="554" w:type="dxa"/>
            <w:tcBorders>
              <w:top w:val="nil"/>
              <w:left w:val="nil"/>
              <w:bottom w:val="nil"/>
              <w:right w:val="nil"/>
            </w:tcBorders>
            <w:shd w:val="clear" w:color="auto" w:fill="auto"/>
            <w:vAlign w:val="center"/>
            <w:hideMark/>
          </w:tcPr>
          <w:p w14:paraId="37B0969D"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3,9</w:t>
            </w:r>
          </w:p>
        </w:tc>
        <w:tc>
          <w:tcPr>
            <w:tcW w:w="537" w:type="dxa"/>
            <w:tcBorders>
              <w:top w:val="nil"/>
              <w:left w:val="nil"/>
              <w:bottom w:val="nil"/>
              <w:right w:val="nil"/>
            </w:tcBorders>
            <w:shd w:val="clear" w:color="auto" w:fill="auto"/>
            <w:vAlign w:val="center"/>
            <w:hideMark/>
          </w:tcPr>
          <w:p w14:paraId="0C8ED9C9"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2,2</w:t>
            </w:r>
          </w:p>
        </w:tc>
        <w:tc>
          <w:tcPr>
            <w:tcW w:w="4737" w:type="dxa"/>
            <w:vMerge/>
            <w:tcBorders>
              <w:top w:val="nil"/>
              <w:left w:val="nil"/>
              <w:bottom w:val="single" w:sz="4" w:space="0" w:color="auto"/>
              <w:right w:val="nil"/>
            </w:tcBorders>
            <w:vAlign w:val="center"/>
            <w:hideMark/>
          </w:tcPr>
          <w:p w14:paraId="5F45A03A" w14:textId="77777777" w:rsidR="00415AB8" w:rsidRPr="003A0393" w:rsidRDefault="00415AB8" w:rsidP="003A0393">
            <w:pPr>
              <w:rPr>
                <w:rFonts w:cs="Times New Roman"/>
                <w:b/>
                <w:bCs/>
                <w:color w:val="000000"/>
                <w:sz w:val="18"/>
                <w:szCs w:val="18"/>
              </w:rPr>
            </w:pPr>
          </w:p>
        </w:tc>
      </w:tr>
      <w:tr w:rsidR="00415AB8" w:rsidRPr="00415AB8" w14:paraId="4EE6AD49" w14:textId="77777777" w:rsidTr="003A0393">
        <w:trPr>
          <w:trHeight w:val="291"/>
        </w:trPr>
        <w:tc>
          <w:tcPr>
            <w:tcW w:w="2318" w:type="dxa"/>
            <w:gridSpan w:val="2"/>
            <w:tcBorders>
              <w:top w:val="nil"/>
              <w:left w:val="nil"/>
              <w:bottom w:val="nil"/>
              <w:right w:val="nil"/>
            </w:tcBorders>
            <w:shd w:val="clear" w:color="auto" w:fill="auto"/>
            <w:vAlign w:val="center"/>
            <w:hideMark/>
          </w:tcPr>
          <w:p w14:paraId="3A40B332" w14:textId="081E9744" w:rsidR="00415AB8" w:rsidRPr="003A0393" w:rsidRDefault="00415AB8" w:rsidP="003A0393">
            <w:pPr>
              <w:rPr>
                <w:rFonts w:cs="Times New Roman"/>
                <w:color w:val="000000"/>
                <w:sz w:val="18"/>
                <w:szCs w:val="18"/>
              </w:rPr>
            </w:pPr>
            <w:r w:rsidRPr="003A0393">
              <w:rPr>
                <w:rFonts w:cs="Times New Roman"/>
                <w:bCs/>
                <w:color w:val="000000"/>
                <w:sz w:val="18"/>
                <w:szCs w:val="18"/>
              </w:rPr>
              <w:t xml:space="preserve">  Konečná spotreba </w:t>
            </w:r>
            <w:r w:rsidR="003A0393">
              <w:rPr>
                <w:rFonts w:cs="Times New Roman"/>
                <w:bCs/>
                <w:color w:val="000000"/>
                <w:sz w:val="18"/>
                <w:szCs w:val="18"/>
              </w:rPr>
              <w:t>VS</w:t>
            </w:r>
          </w:p>
        </w:tc>
        <w:tc>
          <w:tcPr>
            <w:tcW w:w="554" w:type="dxa"/>
            <w:tcBorders>
              <w:top w:val="nil"/>
              <w:left w:val="nil"/>
              <w:bottom w:val="nil"/>
              <w:right w:val="nil"/>
            </w:tcBorders>
            <w:shd w:val="clear" w:color="auto" w:fill="auto"/>
            <w:vAlign w:val="center"/>
            <w:hideMark/>
          </w:tcPr>
          <w:p w14:paraId="5F275569"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1,0</w:t>
            </w:r>
          </w:p>
        </w:tc>
        <w:tc>
          <w:tcPr>
            <w:tcW w:w="554" w:type="dxa"/>
            <w:tcBorders>
              <w:top w:val="nil"/>
              <w:left w:val="nil"/>
              <w:bottom w:val="nil"/>
              <w:right w:val="nil"/>
            </w:tcBorders>
            <w:shd w:val="clear" w:color="auto" w:fill="auto"/>
            <w:vAlign w:val="center"/>
            <w:hideMark/>
          </w:tcPr>
          <w:p w14:paraId="03048B98"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0,2</w:t>
            </w:r>
          </w:p>
        </w:tc>
        <w:tc>
          <w:tcPr>
            <w:tcW w:w="537" w:type="dxa"/>
            <w:tcBorders>
              <w:top w:val="nil"/>
              <w:left w:val="nil"/>
              <w:bottom w:val="nil"/>
              <w:right w:val="nil"/>
            </w:tcBorders>
            <w:shd w:val="clear" w:color="auto" w:fill="auto"/>
            <w:vAlign w:val="center"/>
            <w:hideMark/>
          </w:tcPr>
          <w:p w14:paraId="606BEFA7"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3,8</w:t>
            </w:r>
          </w:p>
        </w:tc>
        <w:tc>
          <w:tcPr>
            <w:tcW w:w="4737" w:type="dxa"/>
            <w:vMerge/>
            <w:tcBorders>
              <w:top w:val="nil"/>
              <w:left w:val="nil"/>
              <w:bottom w:val="single" w:sz="4" w:space="0" w:color="auto"/>
              <w:right w:val="nil"/>
            </w:tcBorders>
            <w:vAlign w:val="center"/>
            <w:hideMark/>
          </w:tcPr>
          <w:p w14:paraId="27D5C4AB" w14:textId="77777777" w:rsidR="00415AB8" w:rsidRPr="003A0393" w:rsidRDefault="00415AB8" w:rsidP="003A0393">
            <w:pPr>
              <w:rPr>
                <w:rFonts w:cs="Times New Roman"/>
                <w:b/>
                <w:bCs/>
                <w:color w:val="000000"/>
                <w:sz w:val="18"/>
                <w:szCs w:val="18"/>
              </w:rPr>
            </w:pPr>
          </w:p>
        </w:tc>
      </w:tr>
      <w:tr w:rsidR="00415AB8" w:rsidRPr="00415AB8" w14:paraId="21362051" w14:textId="77777777" w:rsidTr="003A0393">
        <w:trPr>
          <w:trHeight w:val="291"/>
        </w:trPr>
        <w:tc>
          <w:tcPr>
            <w:tcW w:w="2318" w:type="dxa"/>
            <w:gridSpan w:val="2"/>
            <w:tcBorders>
              <w:top w:val="nil"/>
              <w:left w:val="nil"/>
              <w:bottom w:val="nil"/>
              <w:right w:val="nil"/>
            </w:tcBorders>
            <w:shd w:val="clear" w:color="auto" w:fill="auto"/>
            <w:vAlign w:val="center"/>
            <w:hideMark/>
          </w:tcPr>
          <w:p w14:paraId="0292A935" w14:textId="77777777" w:rsidR="00415AB8" w:rsidRPr="003A0393" w:rsidRDefault="00415AB8" w:rsidP="003A0393">
            <w:pPr>
              <w:ind w:left="72" w:hanging="72"/>
              <w:jc w:val="left"/>
              <w:rPr>
                <w:rFonts w:cs="Times New Roman"/>
                <w:color w:val="000000"/>
                <w:sz w:val="18"/>
                <w:szCs w:val="18"/>
              </w:rPr>
            </w:pPr>
            <w:r w:rsidRPr="003A0393">
              <w:rPr>
                <w:rFonts w:cs="Times New Roman"/>
                <w:color w:val="000000"/>
                <w:sz w:val="18"/>
                <w:szCs w:val="18"/>
              </w:rPr>
              <w:t xml:space="preserve">  Tvorba hrubého fixného kapitálu</w:t>
            </w:r>
          </w:p>
        </w:tc>
        <w:tc>
          <w:tcPr>
            <w:tcW w:w="554" w:type="dxa"/>
            <w:tcBorders>
              <w:top w:val="nil"/>
              <w:left w:val="nil"/>
              <w:bottom w:val="nil"/>
              <w:right w:val="nil"/>
            </w:tcBorders>
            <w:shd w:val="clear" w:color="auto" w:fill="auto"/>
            <w:vAlign w:val="center"/>
            <w:hideMark/>
          </w:tcPr>
          <w:p w14:paraId="4F720801"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3,9</w:t>
            </w:r>
          </w:p>
        </w:tc>
        <w:tc>
          <w:tcPr>
            <w:tcW w:w="554" w:type="dxa"/>
            <w:tcBorders>
              <w:top w:val="nil"/>
              <w:left w:val="nil"/>
              <w:bottom w:val="nil"/>
              <w:right w:val="nil"/>
            </w:tcBorders>
            <w:shd w:val="clear" w:color="auto" w:fill="auto"/>
            <w:vAlign w:val="center"/>
            <w:hideMark/>
          </w:tcPr>
          <w:p w14:paraId="64A9FF95"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3,7</w:t>
            </w:r>
          </w:p>
        </w:tc>
        <w:tc>
          <w:tcPr>
            <w:tcW w:w="537" w:type="dxa"/>
            <w:tcBorders>
              <w:top w:val="nil"/>
              <w:left w:val="nil"/>
              <w:bottom w:val="nil"/>
              <w:right w:val="nil"/>
            </w:tcBorders>
            <w:shd w:val="clear" w:color="auto" w:fill="auto"/>
            <w:vAlign w:val="center"/>
            <w:hideMark/>
          </w:tcPr>
          <w:p w14:paraId="68BED337"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4,4</w:t>
            </w:r>
          </w:p>
        </w:tc>
        <w:tc>
          <w:tcPr>
            <w:tcW w:w="4737" w:type="dxa"/>
            <w:vMerge/>
            <w:tcBorders>
              <w:top w:val="nil"/>
              <w:left w:val="nil"/>
              <w:bottom w:val="single" w:sz="4" w:space="0" w:color="auto"/>
              <w:right w:val="nil"/>
            </w:tcBorders>
            <w:vAlign w:val="center"/>
            <w:hideMark/>
          </w:tcPr>
          <w:p w14:paraId="7BB9C7E2" w14:textId="77777777" w:rsidR="00415AB8" w:rsidRPr="003A0393" w:rsidRDefault="00415AB8" w:rsidP="003A0393">
            <w:pPr>
              <w:rPr>
                <w:rFonts w:cs="Times New Roman"/>
                <w:b/>
                <w:bCs/>
                <w:color w:val="000000"/>
                <w:sz w:val="18"/>
                <w:szCs w:val="18"/>
              </w:rPr>
            </w:pPr>
          </w:p>
        </w:tc>
      </w:tr>
      <w:tr w:rsidR="00415AB8" w:rsidRPr="00415AB8" w14:paraId="1FDEA13D" w14:textId="77777777" w:rsidTr="003A0393">
        <w:trPr>
          <w:trHeight w:val="291"/>
        </w:trPr>
        <w:tc>
          <w:tcPr>
            <w:tcW w:w="2318" w:type="dxa"/>
            <w:gridSpan w:val="2"/>
            <w:tcBorders>
              <w:top w:val="nil"/>
              <w:left w:val="nil"/>
              <w:bottom w:val="nil"/>
              <w:right w:val="nil"/>
            </w:tcBorders>
            <w:shd w:val="clear" w:color="auto" w:fill="auto"/>
            <w:vAlign w:val="center"/>
            <w:hideMark/>
          </w:tcPr>
          <w:p w14:paraId="3482769A" w14:textId="77777777" w:rsidR="00415AB8" w:rsidRPr="003A0393" w:rsidRDefault="00415AB8" w:rsidP="003A0393">
            <w:pPr>
              <w:rPr>
                <w:rFonts w:cs="Times New Roman"/>
                <w:color w:val="000000"/>
                <w:sz w:val="18"/>
                <w:szCs w:val="18"/>
              </w:rPr>
            </w:pPr>
            <w:r w:rsidRPr="003A0393">
              <w:rPr>
                <w:rFonts w:cs="Times New Roman"/>
                <w:bCs/>
                <w:color w:val="000000"/>
                <w:sz w:val="18"/>
                <w:szCs w:val="18"/>
              </w:rPr>
              <w:t xml:space="preserve">  Vývoz výrobkov a služieb</w:t>
            </w:r>
          </w:p>
        </w:tc>
        <w:tc>
          <w:tcPr>
            <w:tcW w:w="554" w:type="dxa"/>
            <w:tcBorders>
              <w:top w:val="nil"/>
              <w:left w:val="nil"/>
              <w:bottom w:val="nil"/>
              <w:right w:val="nil"/>
            </w:tcBorders>
            <w:shd w:val="clear" w:color="auto" w:fill="auto"/>
            <w:vAlign w:val="center"/>
            <w:hideMark/>
          </w:tcPr>
          <w:p w14:paraId="0C0CCE1C"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3,5</w:t>
            </w:r>
          </w:p>
        </w:tc>
        <w:tc>
          <w:tcPr>
            <w:tcW w:w="554" w:type="dxa"/>
            <w:tcBorders>
              <w:top w:val="nil"/>
              <w:left w:val="nil"/>
              <w:bottom w:val="nil"/>
              <w:right w:val="nil"/>
            </w:tcBorders>
            <w:shd w:val="clear" w:color="auto" w:fill="auto"/>
            <w:vAlign w:val="center"/>
            <w:hideMark/>
          </w:tcPr>
          <w:p w14:paraId="624BCBAE"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5,4</w:t>
            </w:r>
          </w:p>
        </w:tc>
        <w:tc>
          <w:tcPr>
            <w:tcW w:w="537" w:type="dxa"/>
            <w:tcBorders>
              <w:top w:val="nil"/>
              <w:left w:val="nil"/>
              <w:bottom w:val="nil"/>
              <w:right w:val="nil"/>
            </w:tcBorders>
            <w:shd w:val="clear" w:color="auto" w:fill="auto"/>
            <w:vAlign w:val="center"/>
            <w:hideMark/>
          </w:tcPr>
          <w:p w14:paraId="10D1C54E"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1,7</w:t>
            </w:r>
          </w:p>
        </w:tc>
        <w:tc>
          <w:tcPr>
            <w:tcW w:w="4737" w:type="dxa"/>
            <w:vMerge/>
            <w:tcBorders>
              <w:top w:val="nil"/>
              <w:left w:val="nil"/>
              <w:bottom w:val="single" w:sz="4" w:space="0" w:color="auto"/>
              <w:right w:val="nil"/>
            </w:tcBorders>
            <w:vAlign w:val="center"/>
            <w:hideMark/>
          </w:tcPr>
          <w:p w14:paraId="5A8AF4CF" w14:textId="77777777" w:rsidR="00415AB8" w:rsidRPr="003A0393" w:rsidRDefault="00415AB8" w:rsidP="003A0393">
            <w:pPr>
              <w:rPr>
                <w:rFonts w:cs="Times New Roman"/>
                <w:b/>
                <w:bCs/>
                <w:color w:val="000000"/>
                <w:sz w:val="18"/>
                <w:szCs w:val="18"/>
              </w:rPr>
            </w:pPr>
          </w:p>
        </w:tc>
      </w:tr>
      <w:tr w:rsidR="00415AB8" w:rsidRPr="00415AB8" w14:paraId="60E83248" w14:textId="77777777" w:rsidTr="003A0393">
        <w:trPr>
          <w:trHeight w:val="291"/>
        </w:trPr>
        <w:tc>
          <w:tcPr>
            <w:tcW w:w="2318" w:type="dxa"/>
            <w:gridSpan w:val="2"/>
            <w:tcBorders>
              <w:top w:val="nil"/>
              <w:left w:val="nil"/>
              <w:bottom w:val="single" w:sz="4" w:space="0" w:color="auto"/>
              <w:right w:val="nil"/>
            </w:tcBorders>
            <w:shd w:val="clear" w:color="auto" w:fill="auto"/>
            <w:vAlign w:val="center"/>
            <w:hideMark/>
          </w:tcPr>
          <w:p w14:paraId="3ADC5430" w14:textId="77777777" w:rsidR="00415AB8" w:rsidRPr="003A0393" w:rsidRDefault="00415AB8" w:rsidP="003A0393">
            <w:pPr>
              <w:rPr>
                <w:rFonts w:cs="Times New Roman"/>
                <w:color w:val="000000"/>
                <w:sz w:val="18"/>
                <w:szCs w:val="18"/>
              </w:rPr>
            </w:pPr>
            <w:r w:rsidRPr="003A0393">
              <w:rPr>
                <w:rFonts w:cs="Times New Roman"/>
                <w:bCs/>
                <w:color w:val="000000"/>
                <w:sz w:val="18"/>
                <w:szCs w:val="18"/>
              </w:rPr>
              <w:t xml:space="preserve">  Dovoz výrobkov a služieb</w:t>
            </w:r>
          </w:p>
        </w:tc>
        <w:tc>
          <w:tcPr>
            <w:tcW w:w="554" w:type="dxa"/>
            <w:tcBorders>
              <w:top w:val="nil"/>
              <w:left w:val="nil"/>
              <w:bottom w:val="single" w:sz="4" w:space="0" w:color="auto"/>
              <w:right w:val="nil"/>
            </w:tcBorders>
            <w:shd w:val="clear" w:color="auto" w:fill="auto"/>
            <w:vAlign w:val="center"/>
            <w:hideMark/>
          </w:tcPr>
          <w:p w14:paraId="319683AA"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3,9</w:t>
            </w:r>
          </w:p>
        </w:tc>
        <w:tc>
          <w:tcPr>
            <w:tcW w:w="554" w:type="dxa"/>
            <w:tcBorders>
              <w:top w:val="nil"/>
              <w:left w:val="nil"/>
              <w:bottom w:val="single" w:sz="4" w:space="0" w:color="auto"/>
              <w:right w:val="nil"/>
            </w:tcBorders>
            <w:shd w:val="clear" w:color="auto" w:fill="auto"/>
            <w:vAlign w:val="center"/>
            <w:hideMark/>
          </w:tcPr>
          <w:p w14:paraId="7645DC82" w14:textId="77777777" w:rsidR="00415AB8" w:rsidRPr="003A0393" w:rsidRDefault="00415AB8" w:rsidP="003A0393">
            <w:pPr>
              <w:jc w:val="center"/>
              <w:rPr>
                <w:rFonts w:cs="Times New Roman"/>
                <w:color w:val="000000"/>
                <w:sz w:val="18"/>
                <w:szCs w:val="18"/>
              </w:rPr>
            </w:pPr>
            <w:r w:rsidRPr="003A0393">
              <w:rPr>
                <w:rFonts w:cs="Times New Roman"/>
                <w:bCs/>
                <w:color w:val="000000"/>
                <w:sz w:val="18"/>
                <w:szCs w:val="18"/>
              </w:rPr>
              <w:t>5,0</w:t>
            </w:r>
          </w:p>
        </w:tc>
        <w:tc>
          <w:tcPr>
            <w:tcW w:w="537" w:type="dxa"/>
            <w:tcBorders>
              <w:top w:val="nil"/>
              <w:left w:val="nil"/>
              <w:bottom w:val="single" w:sz="4" w:space="0" w:color="auto"/>
              <w:right w:val="nil"/>
            </w:tcBorders>
            <w:shd w:val="clear" w:color="auto" w:fill="auto"/>
            <w:vAlign w:val="center"/>
            <w:hideMark/>
          </w:tcPr>
          <w:p w14:paraId="71295991" w14:textId="77777777" w:rsidR="00415AB8" w:rsidRPr="003A0393" w:rsidRDefault="00415AB8" w:rsidP="003A0393">
            <w:pPr>
              <w:jc w:val="center"/>
              <w:rPr>
                <w:rFonts w:cs="Times New Roman"/>
                <w:b/>
                <w:bCs/>
                <w:color w:val="000000"/>
                <w:sz w:val="18"/>
                <w:szCs w:val="18"/>
              </w:rPr>
            </w:pPr>
            <w:r w:rsidRPr="003A0393">
              <w:rPr>
                <w:rFonts w:cs="Times New Roman"/>
                <w:b/>
                <w:bCs/>
                <w:color w:val="000000"/>
                <w:sz w:val="18"/>
                <w:szCs w:val="18"/>
              </w:rPr>
              <w:t>2,6</w:t>
            </w:r>
          </w:p>
        </w:tc>
        <w:tc>
          <w:tcPr>
            <w:tcW w:w="4737" w:type="dxa"/>
            <w:vMerge/>
            <w:tcBorders>
              <w:top w:val="nil"/>
              <w:left w:val="nil"/>
              <w:bottom w:val="single" w:sz="4" w:space="0" w:color="auto"/>
              <w:right w:val="nil"/>
            </w:tcBorders>
            <w:vAlign w:val="center"/>
            <w:hideMark/>
          </w:tcPr>
          <w:p w14:paraId="5A5DF0B5" w14:textId="77777777" w:rsidR="00415AB8" w:rsidRPr="003A0393" w:rsidRDefault="00415AB8" w:rsidP="003A0393">
            <w:pPr>
              <w:rPr>
                <w:rFonts w:cs="Times New Roman"/>
                <w:b/>
                <w:bCs/>
                <w:color w:val="000000"/>
                <w:sz w:val="18"/>
                <w:szCs w:val="18"/>
              </w:rPr>
            </w:pPr>
          </w:p>
        </w:tc>
      </w:tr>
      <w:tr w:rsidR="00415AB8" w:rsidRPr="003A0393" w14:paraId="02112318" w14:textId="77777777" w:rsidTr="003A0393">
        <w:trPr>
          <w:trHeight w:val="291"/>
        </w:trPr>
        <w:tc>
          <w:tcPr>
            <w:tcW w:w="3963" w:type="dxa"/>
            <w:gridSpan w:val="5"/>
            <w:tcBorders>
              <w:top w:val="nil"/>
              <w:left w:val="nil"/>
              <w:bottom w:val="nil"/>
              <w:right w:val="nil"/>
            </w:tcBorders>
            <w:shd w:val="clear" w:color="auto" w:fill="auto"/>
            <w:vAlign w:val="center"/>
            <w:hideMark/>
          </w:tcPr>
          <w:p w14:paraId="46DDEEE4" w14:textId="77777777" w:rsidR="00415AB8" w:rsidRPr="003A0393" w:rsidRDefault="00415AB8" w:rsidP="003A0393">
            <w:pPr>
              <w:jc w:val="right"/>
              <w:rPr>
                <w:rFonts w:cs="Times New Roman"/>
                <w:iCs/>
                <w:color w:val="000000"/>
                <w:sz w:val="18"/>
                <w:szCs w:val="18"/>
              </w:rPr>
            </w:pPr>
            <w:r w:rsidRPr="003A0393">
              <w:rPr>
                <w:rFonts w:cs="Times New Roman"/>
                <w:iCs/>
                <w:color w:val="000000"/>
                <w:sz w:val="18"/>
                <w:szCs w:val="18"/>
              </w:rPr>
              <w:t>Zdroj: ŠÚ SR</w:t>
            </w:r>
          </w:p>
        </w:tc>
        <w:tc>
          <w:tcPr>
            <w:tcW w:w="4737" w:type="dxa"/>
            <w:tcBorders>
              <w:top w:val="single" w:sz="4" w:space="0" w:color="auto"/>
              <w:left w:val="nil"/>
              <w:bottom w:val="nil"/>
              <w:right w:val="nil"/>
            </w:tcBorders>
            <w:shd w:val="clear" w:color="auto" w:fill="auto"/>
            <w:vAlign w:val="center"/>
            <w:hideMark/>
          </w:tcPr>
          <w:p w14:paraId="4B226889" w14:textId="77777777" w:rsidR="00415AB8" w:rsidRPr="003A0393" w:rsidRDefault="00415AB8" w:rsidP="003A0393">
            <w:pPr>
              <w:jc w:val="right"/>
              <w:rPr>
                <w:rFonts w:cs="Times New Roman"/>
                <w:color w:val="000000"/>
                <w:sz w:val="18"/>
                <w:szCs w:val="18"/>
              </w:rPr>
            </w:pPr>
            <w:r w:rsidRPr="003A0393">
              <w:rPr>
                <w:rFonts w:cs="Times New Roman"/>
                <w:color w:val="000000"/>
                <w:sz w:val="18"/>
                <w:szCs w:val="18"/>
              </w:rPr>
              <w:t xml:space="preserve"> </w:t>
            </w:r>
            <w:r w:rsidRPr="003A0393">
              <w:rPr>
                <w:rFonts w:cs="Times New Roman"/>
                <w:iCs/>
                <w:color w:val="000000"/>
                <w:sz w:val="18"/>
                <w:szCs w:val="18"/>
              </w:rPr>
              <w:t>Zdroj: ŠÚ SR</w:t>
            </w:r>
          </w:p>
        </w:tc>
      </w:tr>
    </w:tbl>
    <w:p w14:paraId="667C0298" w14:textId="77777777" w:rsidR="00415AB8" w:rsidRDefault="00415AB8" w:rsidP="00415AB8">
      <w:pPr>
        <w:pStyle w:val="Pta"/>
        <w:tabs>
          <w:tab w:val="clear" w:pos="4536"/>
          <w:tab w:val="clear" w:pos="9072"/>
        </w:tabs>
        <w:rPr>
          <w:rFonts w:ascii="Arial Narrow" w:hAnsi="Arial Narrow"/>
          <w:highlight w:val="yellow"/>
        </w:rPr>
      </w:pPr>
    </w:p>
    <w:p w14:paraId="159C45F7" w14:textId="77777777" w:rsidR="005F5B88" w:rsidRDefault="005F5B88" w:rsidP="00AF7C97">
      <w:pPr>
        <w:pStyle w:val="Nadpis3"/>
      </w:pPr>
      <w:bookmarkStart w:id="9" w:name="_Toc6415630"/>
      <w:bookmarkStart w:id="10" w:name="_Toc39095161"/>
      <w:r>
        <w:t>Trh práce</w:t>
      </w:r>
      <w:bookmarkEnd w:id="9"/>
      <w:bookmarkEnd w:id="10"/>
    </w:p>
    <w:p w14:paraId="79002A0F" w14:textId="518C90E0" w:rsidR="00415AB8" w:rsidRPr="00415AB8" w:rsidRDefault="00415AB8" w:rsidP="00415AB8">
      <w:r w:rsidRPr="00415AB8">
        <w:t>Dynamika trhu práce ku koncu roka 2019 spomalila. Zamestnanosť sa oproti roku 2018 zvýšila o 1,2 %. Tvorba pracovných miest však už bola v poslednom štvrťroku roka 2019 najpomalšia za posledných 5 rokov. Zatiaľ čo si služby, stavebníctvo a verejná správa udržali kladné prírastky, v priemysle došlo v druhom polroku k výraznému zníženiu zamestnanosti o</w:t>
      </w:r>
      <w:r w:rsidR="00972545">
        <w:t> </w:t>
      </w:r>
      <w:r w:rsidRPr="00415AB8">
        <w:t>1</w:t>
      </w:r>
      <w:r w:rsidR="00972545">
        <w:t>,2</w:t>
      </w:r>
      <w:r w:rsidRPr="00415AB8">
        <w:t xml:space="preserve"> %. Vyhliadky priemyseln</w:t>
      </w:r>
      <w:r w:rsidR="00AF7C97">
        <w:t>ých podnikov</w:t>
      </w:r>
      <w:r w:rsidRPr="00415AB8">
        <w:t xml:space="preserve"> boli dlhodobo pesimistické, ochladenie v Nemecku sa odrážalo v prieskumoch nálady a očakávania o budúcej zamestnanosti boli na niekoľkoročných minimách. Rok 2019 bol historický z hľadiska zamestnávania cudzincov. Ku koncu roka na Slovensku pracovalo vyše 78 tisíc nerezidentov, čo predstavuje od roku 2014 nárast na šesťnásobok. Aj pri spomalení dynamiky zamestnanosti a rekordnom zamestnávaní nerezidentov dosiahla miera nezamestnanosti historické minimum na úrovni 5,8 %</w:t>
      </w:r>
      <w:r w:rsidR="00DC4FC8">
        <w:rPr>
          <w:rStyle w:val="Odkaznapoznmkupodiarou"/>
        </w:rPr>
        <w:footnoteReference w:id="2"/>
      </w:r>
      <w:r w:rsidRPr="00415AB8">
        <w:t>.</w:t>
      </w:r>
    </w:p>
    <w:p w14:paraId="2AA5448D" w14:textId="164F6221" w:rsidR="003A0393" w:rsidRDefault="00415AB8" w:rsidP="00415AB8">
      <w:r w:rsidRPr="00415AB8">
        <w:t>Nominálna priemerná mzda zamestnanca hospodárstva SR za rok 2019 dosiahla 1 092 eur</w:t>
      </w:r>
      <w:r w:rsidR="00087077">
        <w:br/>
      </w:r>
      <w:r w:rsidR="00D57D15">
        <w:t>(2018: 1 013 eur)</w:t>
      </w:r>
      <w:r w:rsidRPr="00415AB8">
        <w:t>. Mzdy stúpli takmer o 8 %, čo je najviac od krízy v roku 2009. Zrýchlenie inflácie nezastavilo akceleráciu reálnej mzdy. Tá sa vlani zvýšila o </w:t>
      </w:r>
      <w:r w:rsidR="00972545">
        <w:t>5</w:t>
      </w:r>
      <w:r w:rsidRPr="00415AB8">
        <w:t xml:space="preserve"> % a opäť predbehla rast produktivity práce. Nožnice medzi mzdami a produktivitou tak zostali otvorené od roku 2014.</w:t>
      </w:r>
    </w:p>
    <w:p w14:paraId="3A80C778" w14:textId="77777777" w:rsidR="003A0393" w:rsidRDefault="003A0393">
      <w:pPr>
        <w:spacing w:after="160" w:line="259" w:lineRule="auto"/>
        <w:jc w:val="left"/>
      </w:pPr>
      <w:r>
        <w:br w:type="page"/>
      </w:r>
    </w:p>
    <w:tbl>
      <w:tblPr>
        <w:tblW w:w="5000" w:type="pct"/>
        <w:tblLayout w:type="fixed"/>
        <w:tblCellMar>
          <w:left w:w="70" w:type="dxa"/>
          <w:right w:w="70" w:type="dxa"/>
        </w:tblCellMar>
        <w:tblLook w:val="0000" w:firstRow="0" w:lastRow="0" w:firstColumn="0" w:lastColumn="0" w:noHBand="0" w:noVBand="0"/>
      </w:tblPr>
      <w:tblGrid>
        <w:gridCol w:w="4384"/>
        <w:gridCol w:w="4119"/>
      </w:tblGrid>
      <w:tr w:rsidR="00415AB8" w:rsidRPr="00C01CB7" w14:paraId="602F3B99" w14:textId="77777777" w:rsidTr="003A0393">
        <w:trPr>
          <w:trHeight w:val="562"/>
        </w:trPr>
        <w:tc>
          <w:tcPr>
            <w:tcW w:w="2578" w:type="pct"/>
            <w:tcBorders>
              <w:top w:val="nil"/>
              <w:left w:val="nil"/>
              <w:bottom w:val="nil"/>
              <w:right w:val="nil"/>
            </w:tcBorders>
            <w:shd w:val="clear" w:color="auto" w:fill="000000"/>
            <w:vAlign w:val="center"/>
          </w:tcPr>
          <w:p w14:paraId="3D33CAB8" w14:textId="06F4C8C4" w:rsidR="00140B5A" w:rsidRDefault="00415AB8" w:rsidP="00140B5A">
            <w:pPr>
              <w:spacing w:after="0" w:line="240" w:lineRule="auto"/>
              <w:rPr>
                <w:rFonts w:cs="Times New Roman"/>
                <w:b/>
                <w:color w:val="FFFFFF"/>
                <w:sz w:val="20"/>
              </w:rPr>
            </w:pPr>
            <w:r w:rsidRPr="00140B5A">
              <w:rPr>
                <w:rFonts w:cs="Times New Roman"/>
                <w:b/>
                <w:color w:val="FFFFFF"/>
                <w:sz w:val="20"/>
              </w:rPr>
              <w:lastRenderedPageBreak/>
              <w:t xml:space="preserve">Príspevky </w:t>
            </w:r>
            <w:r w:rsidR="00140B5A">
              <w:rPr>
                <w:rFonts w:cs="Times New Roman"/>
                <w:b/>
                <w:color w:val="FFFFFF"/>
                <w:sz w:val="20"/>
              </w:rPr>
              <w:t>sektorov k vývoju zamestnanosti</w:t>
            </w:r>
          </w:p>
          <w:p w14:paraId="65A92EC8" w14:textId="14E20057" w:rsidR="00415AB8" w:rsidRPr="00140B5A" w:rsidRDefault="00415AB8" w:rsidP="00140B5A">
            <w:pPr>
              <w:spacing w:after="0" w:line="240" w:lineRule="auto"/>
              <w:rPr>
                <w:rFonts w:cs="Times New Roman"/>
                <w:b/>
                <w:bCs/>
                <w:color w:val="FFFFFF"/>
                <w:sz w:val="20"/>
              </w:rPr>
            </w:pPr>
            <w:r w:rsidRPr="00140B5A">
              <w:rPr>
                <w:rFonts w:cs="Times New Roman"/>
                <w:b/>
                <w:color w:val="FFFFFF"/>
                <w:sz w:val="20"/>
              </w:rPr>
              <w:t>(ESA, v p. b.)</w:t>
            </w:r>
          </w:p>
        </w:tc>
        <w:tc>
          <w:tcPr>
            <w:tcW w:w="2422" w:type="pct"/>
            <w:tcBorders>
              <w:top w:val="nil"/>
              <w:left w:val="nil"/>
              <w:bottom w:val="nil"/>
              <w:right w:val="nil"/>
            </w:tcBorders>
            <w:shd w:val="clear" w:color="auto" w:fill="000000"/>
            <w:vAlign w:val="center"/>
          </w:tcPr>
          <w:p w14:paraId="04F400AA" w14:textId="29B6FEB2" w:rsidR="00140B5A" w:rsidRDefault="00415AB8" w:rsidP="00140B5A">
            <w:pPr>
              <w:spacing w:after="0" w:line="240" w:lineRule="auto"/>
              <w:rPr>
                <w:rFonts w:cs="Times New Roman"/>
                <w:b/>
                <w:color w:val="FFFFFF"/>
                <w:sz w:val="20"/>
              </w:rPr>
            </w:pPr>
            <w:r w:rsidRPr="00140B5A">
              <w:rPr>
                <w:rFonts w:cs="Times New Roman"/>
                <w:b/>
                <w:color w:val="FFFFFF"/>
                <w:sz w:val="20"/>
              </w:rPr>
              <w:t>Rast nomin</w:t>
            </w:r>
            <w:r w:rsidR="00140B5A">
              <w:rPr>
                <w:rFonts w:cs="Times New Roman"/>
                <w:b/>
                <w:color w:val="FFFFFF"/>
                <w:sz w:val="20"/>
              </w:rPr>
              <w:t>álnej produktivity práce a mzdy</w:t>
            </w:r>
          </w:p>
          <w:p w14:paraId="26748C18" w14:textId="0B9241D3" w:rsidR="00415AB8" w:rsidRPr="00140B5A" w:rsidRDefault="00415AB8" w:rsidP="00140B5A">
            <w:pPr>
              <w:spacing w:after="0" w:line="240" w:lineRule="auto"/>
              <w:rPr>
                <w:rFonts w:cs="Times New Roman"/>
                <w:b/>
                <w:bCs/>
                <w:color w:val="FFFFFF"/>
                <w:sz w:val="20"/>
              </w:rPr>
            </w:pPr>
            <w:r w:rsidRPr="00140B5A">
              <w:rPr>
                <w:rFonts w:cs="Times New Roman"/>
                <w:b/>
                <w:color w:val="FFFFFF"/>
                <w:sz w:val="20"/>
              </w:rPr>
              <w:t>(v %)</w:t>
            </w:r>
          </w:p>
        </w:tc>
      </w:tr>
      <w:tr w:rsidR="00415AB8" w:rsidRPr="00C01CB7" w14:paraId="5DEB3917" w14:textId="77777777" w:rsidTr="003A0393">
        <w:trPr>
          <w:trHeight w:val="3118"/>
        </w:trPr>
        <w:tc>
          <w:tcPr>
            <w:tcW w:w="2578" w:type="pct"/>
            <w:tcBorders>
              <w:top w:val="nil"/>
              <w:left w:val="nil"/>
              <w:bottom w:val="single" w:sz="8" w:space="0" w:color="auto"/>
              <w:right w:val="nil"/>
            </w:tcBorders>
          </w:tcPr>
          <w:p w14:paraId="0F0E5658" w14:textId="1FCA3866" w:rsidR="00415AB8" w:rsidRPr="00C01CB7" w:rsidRDefault="00415AB8" w:rsidP="003A0393">
            <w:pPr>
              <w:rPr>
                <w:rFonts w:ascii="NeueHaasGroteskText W02" w:hAnsi="NeueHaasGroteskText W02" w:cs="Garamond"/>
                <w:b/>
                <w:bCs/>
                <w:sz w:val="16"/>
                <w:szCs w:val="16"/>
                <w:highlight w:val="yellow"/>
              </w:rPr>
            </w:pPr>
            <w:r>
              <w:rPr>
                <w:noProof/>
                <w:lang w:eastAsia="sk-SK"/>
              </w:rPr>
              <w:drawing>
                <wp:inline distT="0" distB="0" distL="0" distR="0" wp14:anchorId="5711DA97" wp14:editId="62FBB981">
                  <wp:extent cx="2880360" cy="1984075"/>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422" w:type="pct"/>
            <w:tcBorders>
              <w:top w:val="nil"/>
              <w:left w:val="nil"/>
              <w:bottom w:val="single" w:sz="8" w:space="0" w:color="auto"/>
              <w:right w:val="nil"/>
            </w:tcBorders>
          </w:tcPr>
          <w:p w14:paraId="341327D0" w14:textId="77777777" w:rsidR="00415AB8" w:rsidRPr="00C01CB7" w:rsidRDefault="00415AB8" w:rsidP="003A0393">
            <w:pPr>
              <w:spacing w:after="100" w:afterAutospacing="1"/>
              <w:rPr>
                <w:rFonts w:ascii="NeueHaasGroteskText W02" w:hAnsi="NeueHaasGroteskText W02" w:cs="Garamond"/>
                <w:b/>
                <w:bCs/>
                <w:sz w:val="16"/>
                <w:szCs w:val="16"/>
                <w:highlight w:val="yellow"/>
              </w:rPr>
            </w:pPr>
            <w:r>
              <w:rPr>
                <w:noProof/>
                <w:lang w:eastAsia="sk-SK"/>
              </w:rPr>
              <w:drawing>
                <wp:inline distT="0" distB="0" distL="0" distR="0" wp14:anchorId="6E088438" wp14:editId="57C549EF">
                  <wp:extent cx="2701290" cy="2026285"/>
                  <wp:effectExtent l="0" t="0" r="3810" b="1206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15AB8" w:rsidRPr="003A0393" w14:paraId="210EFD23" w14:textId="77777777" w:rsidTr="003A0393">
        <w:trPr>
          <w:trHeight w:val="113"/>
        </w:trPr>
        <w:tc>
          <w:tcPr>
            <w:tcW w:w="2578" w:type="pct"/>
            <w:tcBorders>
              <w:top w:val="nil"/>
              <w:left w:val="nil"/>
              <w:bottom w:val="nil"/>
              <w:right w:val="nil"/>
            </w:tcBorders>
          </w:tcPr>
          <w:p w14:paraId="23FA2217" w14:textId="77777777" w:rsidR="00415AB8" w:rsidRPr="003A0393" w:rsidRDefault="00415AB8" w:rsidP="003A0393">
            <w:pPr>
              <w:jc w:val="right"/>
              <w:rPr>
                <w:rFonts w:ascii="Arial Narrow" w:hAnsi="Arial Narrow" w:cs="Arial Narrow"/>
                <w:iCs/>
                <w:sz w:val="16"/>
                <w:szCs w:val="16"/>
              </w:rPr>
            </w:pPr>
            <w:r w:rsidRPr="003A0393">
              <w:rPr>
                <w:rFonts w:ascii="Arial Narrow" w:hAnsi="Arial Narrow" w:cs="Arial Narrow"/>
                <w:iCs/>
                <w:sz w:val="16"/>
                <w:szCs w:val="16"/>
              </w:rPr>
              <w:t xml:space="preserve">Zdroj: ŠÚ SR, MF SR   </w:t>
            </w:r>
          </w:p>
        </w:tc>
        <w:tc>
          <w:tcPr>
            <w:tcW w:w="2422" w:type="pct"/>
            <w:tcBorders>
              <w:top w:val="nil"/>
              <w:left w:val="nil"/>
              <w:bottom w:val="nil"/>
              <w:right w:val="nil"/>
            </w:tcBorders>
          </w:tcPr>
          <w:p w14:paraId="4DFA9410" w14:textId="77777777" w:rsidR="00415AB8" w:rsidRPr="003A0393" w:rsidRDefault="00415AB8" w:rsidP="003A0393">
            <w:pPr>
              <w:jc w:val="right"/>
              <w:rPr>
                <w:rFonts w:ascii="Arial Narrow" w:hAnsi="Arial Narrow" w:cs="Arial Narrow"/>
                <w:iCs/>
                <w:sz w:val="16"/>
                <w:szCs w:val="16"/>
              </w:rPr>
            </w:pPr>
            <w:r w:rsidRPr="003A0393">
              <w:rPr>
                <w:rFonts w:ascii="Arial Narrow" w:hAnsi="Arial Narrow" w:cs="Arial Narrow"/>
                <w:iCs/>
                <w:sz w:val="16"/>
                <w:szCs w:val="16"/>
              </w:rPr>
              <w:t xml:space="preserve">Zdroj: ŠÚ SR, MF SR </w:t>
            </w:r>
          </w:p>
        </w:tc>
      </w:tr>
    </w:tbl>
    <w:p w14:paraId="63198ED4" w14:textId="77777777" w:rsidR="001A1586" w:rsidRPr="001A1586" w:rsidRDefault="001A1586" w:rsidP="001A1586"/>
    <w:p w14:paraId="2734D432" w14:textId="77777777" w:rsidR="005F5B88" w:rsidRDefault="005F5B88" w:rsidP="00AF7C97">
      <w:pPr>
        <w:pStyle w:val="Nadpis3"/>
      </w:pPr>
      <w:bookmarkStart w:id="11" w:name="_Toc6415631"/>
      <w:bookmarkStart w:id="12" w:name="_Toc39095162"/>
      <w:r>
        <w:t>Vývoj cien</w:t>
      </w:r>
      <w:bookmarkEnd w:id="11"/>
      <w:bookmarkEnd w:id="12"/>
    </w:p>
    <w:p w14:paraId="13F77630" w14:textId="77777777" w:rsidR="00415AB8" w:rsidRPr="00415AB8" w:rsidRDefault="00415AB8" w:rsidP="00415AB8">
      <w:r w:rsidRPr="00415AB8">
        <w:t>Inflácia v roku 2019 zrýchlila najmä kvôli vyšším cenám potravín, energií a služieb. Celoročne stúpli ceny merané indexom CPI o 2,7 % (2,8 % podľa HICP</w:t>
      </w:r>
      <w:r w:rsidRPr="00DC4FC8">
        <w:rPr>
          <w:vertAlign w:val="superscript"/>
        </w:rPr>
        <w:footnoteReference w:id="3"/>
      </w:r>
      <w:r w:rsidRPr="00415AB8">
        <w:t>). V minulom roku pokračoval rast cien služieb ťahaný aj rýchlym rastom miezd. Výrazne stúpli aj ceny potravín a k rastu prispelo aj zvýšenie regulovaných cien energií od začiatku roka. Ceny obchodovateľných tovarov sa zvýšili len mierne, odrážajúc nízku infláciu v eurozóne, kým ceny pohonných látok klesali v reakcii na pokles cien ropy.</w:t>
      </w:r>
    </w:p>
    <w:p w14:paraId="177DC9BC" w14:textId="77777777" w:rsidR="00415AB8" w:rsidRDefault="00415AB8" w:rsidP="00415AB8">
      <w:pPr>
        <w:pStyle w:val="Zkladntext0"/>
        <w:rPr>
          <w:rFonts w:ascii="Arial Narrow" w:hAnsi="Arial Narrow"/>
          <w:highlight w:val="yellow"/>
        </w:rPr>
      </w:pPr>
    </w:p>
    <w:p w14:paraId="30BD563C" w14:textId="77777777" w:rsidR="005F5B88" w:rsidRDefault="005F5B88" w:rsidP="00AF7C97">
      <w:pPr>
        <w:pStyle w:val="Nadpis3"/>
      </w:pPr>
      <w:bookmarkStart w:id="13" w:name="_Toc6415632"/>
      <w:bookmarkStart w:id="14" w:name="_Toc39095163"/>
      <w:r>
        <w:t>Platobná bilancia</w:t>
      </w:r>
      <w:bookmarkEnd w:id="13"/>
      <w:bookmarkEnd w:id="14"/>
    </w:p>
    <w:p w14:paraId="275A881B" w14:textId="10A23026" w:rsidR="003A0393" w:rsidRDefault="00F73AF0" w:rsidP="00F73AF0">
      <w:r w:rsidRPr="00F73AF0">
        <w:t>Deficit bežného účtu platobnej bilancie sa v roku 2019 prehĺbil na -2,9 % HDP z -2,6 % HDP v predchádzajúcom roku. Spomalenie exportu tovarov viedlo k prehĺbeniu deficitu bilancie tovarov na -0,8 % HDP. Prebytok bilancie služieb sa naopak mierne zvýšil na 1,1 % HDP. Deficit bilancie primárnych výnosov sa mierne zhoršil a deficit sekundárnych výnosov bol nižší ako v roku 2018. História platobnej bilancie bola zároveň ovplyvnená aj revíziou údajov NBS ako aj revíziou menovateľa (HDP).</w:t>
      </w:r>
    </w:p>
    <w:p w14:paraId="73E7819A" w14:textId="77777777" w:rsidR="001C4E82" w:rsidRDefault="003A0393">
      <w:pPr>
        <w:spacing w:after="160" w:line="259" w:lineRule="auto"/>
        <w:jc w:val="left"/>
      </w:pPr>
      <w:r>
        <w:br w:type="page"/>
      </w:r>
    </w:p>
    <w:tbl>
      <w:tblPr>
        <w:tblW w:w="4891" w:type="pct"/>
        <w:tblLayout w:type="fixed"/>
        <w:tblCellMar>
          <w:left w:w="70" w:type="dxa"/>
          <w:right w:w="70" w:type="dxa"/>
        </w:tblCellMar>
        <w:tblLook w:val="0000" w:firstRow="0" w:lastRow="0" w:firstColumn="0" w:lastColumn="0" w:noHBand="0" w:noVBand="0"/>
      </w:tblPr>
      <w:tblGrid>
        <w:gridCol w:w="4289"/>
        <w:gridCol w:w="4029"/>
      </w:tblGrid>
      <w:tr w:rsidR="001C4E82" w:rsidRPr="001D52D8" w14:paraId="2F851DBD" w14:textId="77777777" w:rsidTr="0044781D">
        <w:trPr>
          <w:trHeight w:val="516"/>
        </w:trPr>
        <w:tc>
          <w:tcPr>
            <w:tcW w:w="2578" w:type="pct"/>
            <w:tcBorders>
              <w:top w:val="nil"/>
              <w:left w:val="nil"/>
              <w:bottom w:val="nil"/>
              <w:right w:val="nil"/>
            </w:tcBorders>
            <w:shd w:val="clear" w:color="auto" w:fill="000000"/>
            <w:vAlign w:val="center"/>
          </w:tcPr>
          <w:p w14:paraId="1363DC65" w14:textId="77777777" w:rsidR="001C4E82" w:rsidRPr="000C7E91" w:rsidRDefault="001C4E82" w:rsidP="000C7E91">
            <w:pPr>
              <w:spacing w:before="120" w:line="240" w:lineRule="auto"/>
              <w:jc w:val="left"/>
              <w:rPr>
                <w:rFonts w:cs="Times New Roman"/>
                <w:b/>
                <w:bCs/>
                <w:color w:val="FFFFFF"/>
                <w:sz w:val="20"/>
                <w:highlight w:val="yellow"/>
              </w:rPr>
            </w:pPr>
            <w:r w:rsidRPr="000C7E91">
              <w:rPr>
                <w:rFonts w:cs="Times New Roman"/>
                <w:b/>
                <w:color w:val="FFFFFF"/>
                <w:sz w:val="20"/>
              </w:rPr>
              <w:t xml:space="preserve">Štruktúra spotrebiteľskej inflácie – medziročné príspevky zložiek CPI (p. b.) </w:t>
            </w:r>
          </w:p>
        </w:tc>
        <w:tc>
          <w:tcPr>
            <w:tcW w:w="2422" w:type="pct"/>
            <w:tcBorders>
              <w:top w:val="nil"/>
              <w:left w:val="nil"/>
              <w:bottom w:val="nil"/>
              <w:right w:val="nil"/>
            </w:tcBorders>
            <w:shd w:val="clear" w:color="auto" w:fill="000000"/>
            <w:vAlign w:val="center"/>
          </w:tcPr>
          <w:p w14:paraId="790AD472" w14:textId="77777777" w:rsidR="001C4E82" w:rsidRPr="000C7E91" w:rsidRDefault="001C4E82" w:rsidP="000C7E91">
            <w:pPr>
              <w:spacing w:before="120" w:line="240" w:lineRule="auto"/>
              <w:rPr>
                <w:rFonts w:cs="Times New Roman"/>
                <w:b/>
                <w:bCs/>
                <w:color w:val="FFFFFF"/>
                <w:sz w:val="20"/>
                <w:highlight w:val="yellow"/>
              </w:rPr>
            </w:pPr>
            <w:r w:rsidRPr="000C7E91">
              <w:rPr>
                <w:rFonts w:cs="Times New Roman"/>
                <w:b/>
                <w:bCs/>
                <w:color w:val="FFFFFF"/>
                <w:sz w:val="20"/>
              </w:rPr>
              <w:t>Vývoj bežného účtu platobnej bilancie podľa jeho zložiek (% HDP)</w:t>
            </w:r>
          </w:p>
        </w:tc>
      </w:tr>
      <w:tr w:rsidR="001C4E82" w:rsidRPr="001D52D8" w14:paraId="56F63A9E" w14:textId="77777777" w:rsidTr="0044781D">
        <w:trPr>
          <w:trHeight w:val="2867"/>
        </w:trPr>
        <w:tc>
          <w:tcPr>
            <w:tcW w:w="2578" w:type="pct"/>
            <w:tcBorders>
              <w:top w:val="nil"/>
              <w:left w:val="nil"/>
              <w:bottom w:val="single" w:sz="8" w:space="0" w:color="auto"/>
              <w:right w:val="nil"/>
            </w:tcBorders>
          </w:tcPr>
          <w:p w14:paraId="20D2AD1C" w14:textId="77777777" w:rsidR="001C4E82" w:rsidRPr="001D52D8" w:rsidRDefault="001C4E82" w:rsidP="0044781D">
            <w:pPr>
              <w:rPr>
                <w:rFonts w:ascii="NeueHaasGroteskText W02" w:hAnsi="NeueHaasGroteskText W02" w:cs="Garamond"/>
                <w:b/>
                <w:bCs/>
                <w:sz w:val="16"/>
                <w:szCs w:val="16"/>
                <w:highlight w:val="yellow"/>
              </w:rPr>
            </w:pPr>
            <w:r>
              <w:rPr>
                <w:noProof/>
                <w:lang w:eastAsia="sk-SK"/>
              </w:rPr>
              <w:drawing>
                <wp:inline distT="0" distB="0" distL="0" distR="0" wp14:anchorId="064AB073" wp14:editId="7A5FE984">
                  <wp:extent cx="2621280" cy="1914525"/>
                  <wp:effectExtent l="0" t="0" r="762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22" w:type="pct"/>
            <w:tcBorders>
              <w:top w:val="nil"/>
              <w:left w:val="nil"/>
              <w:bottom w:val="single" w:sz="8" w:space="0" w:color="auto"/>
              <w:right w:val="nil"/>
            </w:tcBorders>
          </w:tcPr>
          <w:p w14:paraId="4D47CFA8" w14:textId="77777777" w:rsidR="001C4E82" w:rsidRPr="001D52D8" w:rsidRDefault="001C4E82" w:rsidP="0044781D">
            <w:pPr>
              <w:spacing w:after="100" w:afterAutospacing="1"/>
              <w:rPr>
                <w:rFonts w:ascii="NeueHaasGroteskText W02" w:hAnsi="NeueHaasGroteskText W02" w:cs="Garamond"/>
                <w:b/>
                <w:bCs/>
                <w:sz w:val="16"/>
                <w:szCs w:val="16"/>
                <w:highlight w:val="yellow"/>
              </w:rPr>
            </w:pPr>
            <w:r>
              <w:rPr>
                <w:noProof/>
                <w:lang w:eastAsia="sk-SK"/>
              </w:rPr>
              <w:drawing>
                <wp:inline distT="0" distB="0" distL="0" distR="0" wp14:anchorId="4C8E6091" wp14:editId="0D1B7F02">
                  <wp:extent cx="2377440" cy="1981200"/>
                  <wp:effectExtent l="0" t="0" r="381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C4E82" w:rsidRPr="003A0393" w14:paraId="2DFAB6FC" w14:textId="77777777" w:rsidTr="0044781D">
        <w:trPr>
          <w:trHeight w:val="102"/>
        </w:trPr>
        <w:tc>
          <w:tcPr>
            <w:tcW w:w="2578" w:type="pct"/>
            <w:tcBorders>
              <w:top w:val="nil"/>
              <w:left w:val="nil"/>
              <w:bottom w:val="nil"/>
              <w:right w:val="nil"/>
            </w:tcBorders>
          </w:tcPr>
          <w:p w14:paraId="3F33B064" w14:textId="77777777" w:rsidR="001C4E82" w:rsidRPr="003A0393" w:rsidRDefault="001C4E82" w:rsidP="0044781D">
            <w:pPr>
              <w:jc w:val="right"/>
              <w:rPr>
                <w:rFonts w:ascii="Arial Narrow" w:hAnsi="Arial Narrow" w:cs="Arial Narrow"/>
                <w:iCs/>
                <w:sz w:val="16"/>
                <w:szCs w:val="16"/>
              </w:rPr>
            </w:pPr>
            <w:r w:rsidRPr="003A0393">
              <w:rPr>
                <w:rFonts w:ascii="Arial Narrow" w:hAnsi="Arial Narrow" w:cs="Arial Narrow"/>
                <w:iCs/>
                <w:sz w:val="16"/>
                <w:szCs w:val="16"/>
              </w:rPr>
              <w:t xml:space="preserve">Zdroj: ŠÚ SR, MF SR   </w:t>
            </w:r>
          </w:p>
        </w:tc>
        <w:tc>
          <w:tcPr>
            <w:tcW w:w="2422" w:type="pct"/>
            <w:tcBorders>
              <w:top w:val="nil"/>
              <w:left w:val="nil"/>
              <w:bottom w:val="nil"/>
              <w:right w:val="nil"/>
            </w:tcBorders>
          </w:tcPr>
          <w:p w14:paraId="3D02C2DF" w14:textId="77777777" w:rsidR="001C4E82" w:rsidRPr="003A0393" w:rsidRDefault="001C4E82" w:rsidP="0044781D">
            <w:pPr>
              <w:jc w:val="right"/>
              <w:rPr>
                <w:rFonts w:ascii="Arial Narrow" w:hAnsi="Arial Narrow" w:cs="Arial Narrow"/>
                <w:iCs/>
                <w:sz w:val="16"/>
                <w:szCs w:val="16"/>
              </w:rPr>
            </w:pPr>
            <w:r w:rsidRPr="003A0393">
              <w:rPr>
                <w:rFonts w:ascii="Arial Narrow" w:hAnsi="Arial Narrow" w:cs="Arial Narrow"/>
                <w:iCs/>
                <w:sz w:val="16"/>
                <w:szCs w:val="16"/>
              </w:rPr>
              <w:t xml:space="preserve">Zdroj: NBS, MF SR </w:t>
            </w:r>
          </w:p>
        </w:tc>
      </w:tr>
    </w:tbl>
    <w:p w14:paraId="391DD12A" w14:textId="37D4A5C0" w:rsidR="003A0393" w:rsidRDefault="003A0393" w:rsidP="00453217">
      <w:pPr>
        <w:spacing w:after="0" w:line="259" w:lineRule="auto"/>
        <w:jc w:val="left"/>
      </w:pPr>
    </w:p>
    <w:p w14:paraId="6AA20DFE" w14:textId="62F2EA7F" w:rsidR="005F5B88" w:rsidRDefault="005F5B88" w:rsidP="00453217">
      <w:pPr>
        <w:pStyle w:val="Nadpis3"/>
        <w:spacing w:before="0"/>
      </w:pPr>
      <w:bookmarkStart w:id="15" w:name="_Toc6415633"/>
      <w:bookmarkStart w:id="16" w:name="_Toc39095164"/>
      <w:r>
        <w:t>Porovnanie makroekonomických predpokladov rozpočtu a</w:t>
      </w:r>
      <w:r w:rsidR="004B21D2">
        <w:t> </w:t>
      </w:r>
      <w:r>
        <w:t>skutočnosti</w:t>
      </w:r>
      <w:bookmarkEnd w:id="15"/>
      <w:bookmarkEnd w:id="16"/>
    </w:p>
    <w:p w14:paraId="72BA7748" w14:textId="3FCF3742" w:rsidR="00F73AF0" w:rsidRPr="00F73AF0" w:rsidRDefault="00F73AF0" w:rsidP="00F73AF0">
      <w:r w:rsidRPr="00F73AF0">
        <w:t>Reálny rast ekonomiky bol nižší ako prognóza MF SR použitá pri zostavovaní rozpočtu verejnej správy pre rok 2018. Rýchlejšie oproti prognóze rástli vládna spotreb</w:t>
      </w:r>
      <w:r w:rsidR="007F6FCC">
        <w:t>a a</w:t>
      </w:r>
      <w:r w:rsidRPr="00F73AF0">
        <w:t xml:space="preserve"> investície. Očakávania prognózy nedosiahla súkromná spotreba. Rast HDP smerom nadol výrazne ovplyvnil aj zahraničný obchod. Export aj import rástli pomalšie ako čakala prognóza, export však spomalil výraznejšie. Nominálnemu HDP mierne pomohol vyšší rast cien. Trh práce sa vyvíjal nad očakávania, keď rýchlejšia rástla nielen zamestnanosť, ale najmä priemerná mzda.</w:t>
      </w:r>
    </w:p>
    <w:p w14:paraId="03257EED" w14:textId="77777777" w:rsidR="00F73AF0" w:rsidRPr="00F73AF0" w:rsidRDefault="00F73AF0" w:rsidP="00F73AF0">
      <w:r w:rsidRPr="00F73AF0">
        <w:t xml:space="preserve">Rok 2019 skončil z pohľadu makroekonomických základní pre dane a odvody neutrálne. Napriek mzdovej báze, ktorá je najvýznamnejšou základňou pre daň z príjmu fyzických osôb a odvodov, a ktorá prekonala očakávania najmä pre vyšší rast miezd, ostatné </w:t>
      </w:r>
      <w:proofErr w:type="spellStart"/>
      <w:r w:rsidRPr="00F73AF0">
        <w:t>makrozákladne</w:t>
      </w:r>
      <w:proofErr w:type="spellEnd"/>
      <w:r w:rsidRPr="00F73AF0">
        <w:t xml:space="preserve"> rástli pomalšie ako očakávala prognóza. Vyšší rast mzdovej bázy sa tak nepremietol do rýchlejšieho rastu spotreby domácností ani celého HDP. Celkovo tak makroekonomický vývoj vytvoril neutrálne riziká pre rozpočtované príjmy verejnej správy v roku 2019. </w:t>
      </w:r>
    </w:p>
    <w:tbl>
      <w:tblPr>
        <w:tblW w:w="8503" w:type="dxa"/>
        <w:jc w:val="center"/>
        <w:tblLayout w:type="fixed"/>
        <w:tblCellMar>
          <w:left w:w="70" w:type="dxa"/>
          <w:right w:w="70" w:type="dxa"/>
        </w:tblCellMar>
        <w:tblLook w:val="04A0" w:firstRow="1" w:lastRow="0" w:firstColumn="1" w:lastColumn="0" w:noHBand="0" w:noVBand="1"/>
      </w:tblPr>
      <w:tblGrid>
        <w:gridCol w:w="5103"/>
        <w:gridCol w:w="1134"/>
        <w:gridCol w:w="1276"/>
        <w:gridCol w:w="990"/>
      </w:tblGrid>
      <w:tr w:rsidR="00F73AF0" w:rsidRPr="003A0393" w14:paraId="12457B1E" w14:textId="77777777" w:rsidTr="00A3774E">
        <w:trPr>
          <w:trHeight w:val="343"/>
          <w:jc w:val="center"/>
        </w:trPr>
        <w:tc>
          <w:tcPr>
            <w:tcW w:w="8503" w:type="dxa"/>
            <w:gridSpan w:val="4"/>
            <w:tcBorders>
              <w:top w:val="nil"/>
              <w:left w:val="nil"/>
              <w:bottom w:val="nil"/>
              <w:right w:val="nil"/>
            </w:tcBorders>
            <w:shd w:val="clear" w:color="000000" w:fill="000000"/>
            <w:vAlign w:val="bottom"/>
            <w:hideMark/>
          </w:tcPr>
          <w:p w14:paraId="4DF02EF0" w14:textId="6301E249" w:rsidR="00F73AF0" w:rsidRPr="003A0393" w:rsidRDefault="00F73AF0" w:rsidP="000C7E91">
            <w:pPr>
              <w:spacing w:before="120"/>
              <w:rPr>
                <w:rFonts w:cs="Times New Roman"/>
                <w:b/>
                <w:bCs/>
                <w:color w:val="FFFFFF"/>
                <w:sz w:val="18"/>
                <w:szCs w:val="18"/>
              </w:rPr>
            </w:pPr>
            <w:r w:rsidRPr="003A0393">
              <w:rPr>
                <w:rFonts w:cs="Times New Roman"/>
                <w:b/>
                <w:bCs/>
                <w:color w:val="FFFFFF"/>
                <w:sz w:val="18"/>
                <w:szCs w:val="18"/>
              </w:rPr>
              <w:t>Porovnanie skutočnosti za rok 201</w:t>
            </w:r>
            <w:r w:rsidR="00191E3C">
              <w:rPr>
                <w:rFonts w:cs="Times New Roman"/>
                <w:b/>
                <w:bCs/>
                <w:color w:val="FFFFFF"/>
                <w:sz w:val="18"/>
                <w:szCs w:val="18"/>
              </w:rPr>
              <w:t>9</w:t>
            </w:r>
            <w:r w:rsidRPr="003A0393">
              <w:rPr>
                <w:rFonts w:cs="Times New Roman"/>
                <w:b/>
                <w:bCs/>
                <w:color w:val="FFFFFF"/>
                <w:sz w:val="18"/>
                <w:szCs w:val="18"/>
              </w:rPr>
              <w:t xml:space="preserve"> s predpokladmi pre tvorbu rozpočtu na roky 2019-2022</w:t>
            </w:r>
          </w:p>
        </w:tc>
      </w:tr>
      <w:tr w:rsidR="00F73AF0" w:rsidRPr="003A0393" w14:paraId="6D218C5C" w14:textId="77777777" w:rsidTr="00A3774E">
        <w:trPr>
          <w:trHeight w:val="424"/>
          <w:jc w:val="center"/>
        </w:trPr>
        <w:tc>
          <w:tcPr>
            <w:tcW w:w="5103" w:type="dxa"/>
            <w:tcBorders>
              <w:top w:val="nil"/>
              <w:left w:val="nil"/>
              <w:bottom w:val="single" w:sz="8" w:space="0" w:color="auto"/>
              <w:right w:val="nil"/>
            </w:tcBorders>
            <w:shd w:val="clear" w:color="000000" w:fill="C0C0C0"/>
            <w:vAlign w:val="bottom"/>
            <w:hideMark/>
          </w:tcPr>
          <w:p w14:paraId="0E90DDC8" w14:textId="77777777" w:rsidR="00F73AF0" w:rsidRPr="003A0393" w:rsidRDefault="00F73AF0" w:rsidP="00A3774E">
            <w:pPr>
              <w:spacing w:line="240" w:lineRule="auto"/>
              <w:rPr>
                <w:rFonts w:cs="Times New Roman"/>
                <w:b/>
                <w:bCs/>
                <w:color w:val="000000"/>
                <w:sz w:val="18"/>
                <w:szCs w:val="18"/>
              </w:rPr>
            </w:pPr>
            <w:r w:rsidRPr="003A0393">
              <w:rPr>
                <w:rFonts w:cs="Times New Roman"/>
                <w:b/>
                <w:bCs/>
                <w:color w:val="000000"/>
                <w:sz w:val="18"/>
                <w:szCs w:val="18"/>
              </w:rPr>
              <w:t>v %, ak nie je uvedené inak</w:t>
            </w:r>
          </w:p>
        </w:tc>
        <w:tc>
          <w:tcPr>
            <w:tcW w:w="1134" w:type="dxa"/>
            <w:tcBorders>
              <w:top w:val="nil"/>
              <w:left w:val="nil"/>
              <w:bottom w:val="single" w:sz="8" w:space="0" w:color="auto"/>
              <w:right w:val="nil"/>
            </w:tcBorders>
            <w:shd w:val="clear" w:color="000000" w:fill="C0C0C0"/>
            <w:vAlign w:val="bottom"/>
            <w:hideMark/>
          </w:tcPr>
          <w:p w14:paraId="6698F7C1" w14:textId="77777777" w:rsidR="00F73AF0" w:rsidRPr="003A0393" w:rsidRDefault="00F73AF0" w:rsidP="00A3774E">
            <w:pPr>
              <w:spacing w:line="240" w:lineRule="auto"/>
              <w:jc w:val="center"/>
              <w:rPr>
                <w:rFonts w:cs="Times New Roman"/>
                <w:b/>
                <w:bCs/>
                <w:color w:val="000000"/>
                <w:sz w:val="18"/>
                <w:szCs w:val="18"/>
              </w:rPr>
            </w:pPr>
            <w:r w:rsidRPr="003A0393">
              <w:rPr>
                <w:rFonts w:cs="Times New Roman"/>
                <w:b/>
                <w:bCs/>
                <w:color w:val="000000"/>
                <w:sz w:val="18"/>
                <w:szCs w:val="18"/>
              </w:rPr>
              <w:t>Rozpočet 2019</w:t>
            </w:r>
          </w:p>
        </w:tc>
        <w:tc>
          <w:tcPr>
            <w:tcW w:w="1276" w:type="dxa"/>
            <w:tcBorders>
              <w:top w:val="nil"/>
              <w:left w:val="nil"/>
              <w:bottom w:val="single" w:sz="8" w:space="0" w:color="auto"/>
              <w:right w:val="nil"/>
            </w:tcBorders>
            <w:shd w:val="clear" w:color="000000" w:fill="C0C0C0"/>
            <w:vAlign w:val="bottom"/>
            <w:hideMark/>
          </w:tcPr>
          <w:p w14:paraId="15658680" w14:textId="77777777" w:rsidR="00F73AF0" w:rsidRPr="003A0393" w:rsidRDefault="00F73AF0" w:rsidP="00A3774E">
            <w:pPr>
              <w:spacing w:line="240" w:lineRule="auto"/>
              <w:jc w:val="center"/>
              <w:rPr>
                <w:rFonts w:cs="Times New Roman"/>
                <w:b/>
                <w:bCs/>
                <w:color w:val="000000"/>
                <w:sz w:val="18"/>
                <w:szCs w:val="18"/>
              </w:rPr>
            </w:pPr>
            <w:r w:rsidRPr="003A0393">
              <w:rPr>
                <w:rFonts w:cs="Times New Roman"/>
                <w:b/>
                <w:bCs/>
                <w:color w:val="000000"/>
                <w:sz w:val="18"/>
                <w:szCs w:val="18"/>
              </w:rPr>
              <w:t>Skutočnosť</w:t>
            </w:r>
          </w:p>
        </w:tc>
        <w:tc>
          <w:tcPr>
            <w:tcW w:w="990" w:type="dxa"/>
            <w:tcBorders>
              <w:top w:val="nil"/>
              <w:left w:val="nil"/>
              <w:bottom w:val="single" w:sz="8" w:space="0" w:color="auto"/>
              <w:right w:val="nil"/>
            </w:tcBorders>
            <w:shd w:val="clear" w:color="000000" w:fill="C0C0C0"/>
            <w:vAlign w:val="bottom"/>
            <w:hideMark/>
          </w:tcPr>
          <w:p w14:paraId="72E598BD" w14:textId="23547F14" w:rsidR="00F73AF0" w:rsidRPr="003A0393" w:rsidRDefault="00F73AF0" w:rsidP="00A3774E">
            <w:pPr>
              <w:spacing w:line="240" w:lineRule="auto"/>
              <w:jc w:val="center"/>
              <w:rPr>
                <w:rFonts w:cs="Times New Roman"/>
                <w:b/>
                <w:bCs/>
                <w:color w:val="000000"/>
                <w:sz w:val="18"/>
                <w:szCs w:val="18"/>
              </w:rPr>
            </w:pPr>
            <w:r w:rsidRPr="003A0393">
              <w:rPr>
                <w:rFonts w:cs="Times New Roman"/>
                <w:b/>
                <w:bCs/>
                <w:color w:val="000000"/>
                <w:sz w:val="18"/>
                <w:szCs w:val="18"/>
              </w:rPr>
              <w:t>Rozdiel v p.</w:t>
            </w:r>
            <w:r w:rsidR="00854B34">
              <w:rPr>
                <w:rFonts w:cs="Times New Roman"/>
                <w:b/>
                <w:bCs/>
                <w:color w:val="000000"/>
                <w:sz w:val="18"/>
                <w:szCs w:val="18"/>
              </w:rPr>
              <w:t xml:space="preserve"> </w:t>
            </w:r>
            <w:r w:rsidRPr="003A0393">
              <w:rPr>
                <w:rFonts w:cs="Times New Roman"/>
                <w:b/>
                <w:bCs/>
                <w:color w:val="000000"/>
                <w:sz w:val="18"/>
                <w:szCs w:val="18"/>
              </w:rPr>
              <w:t>b.</w:t>
            </w:r>
          </w:p>
        </w:tc>
      </w:tr>
      <w:tr w:rsidR="00F73AF0" w:rsidRPr="003A0393" w14:paraId="3884314E" w14:textId="77777777" w:rsidTr="000227C0">
        <w:trPr>
          <w:trHeight w:val="268"/>
          <w:jc w:val="center"/>
        </w:trPr>
        <w:tc>
          <w:tcPr>
            <w:tcW w:w="5103" w:type="dxa"/>
            <w:tcBorders>
              <w:top w:val="nil"/>
              <w:left w:val="nil"/>
              <w:bottom w:val="nil"/>
              <w:right w:val="nil"/>
            </w:tcBorders>
            <w:shd w:val="clear" w:color="auto" w:fill="auto"/>
            <w:vAlign w:val="bottom"/>
            <w:hideMark/>
          </w:tcPr>
          <w:p w14:paraId="3B128F72"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Hrubý domáci produkt,  reálny rast</w:t>
            </w:r>
          </w:p>
        </w:tc>
        <w:tc>
          <w:tcPr>
            <w:tcW w:w="1134" w:type="dxa"/>
            <w:tcBorders>
              <w:top w:val="nil"/>
              <w:left w:val="nil"/>
              <w:bottom w:val="nil"/>
              <w:right w:val="nil"/>
            </w:tcBorders>
            <w:shd w:val="clear" w:color="auto" w:fill="auto"/>
            <w:vAlign w:val="bottom"/>
            <w:hideMark/>
          </w:tcPr>
          <w:p w14:paraId="5215E327"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4,5</w:t>
            </w:r>
          </w:p>
        </w:tc>
        <w:tc>
          <w:tcPr>
            <w:tcW w:w="1276" w:type="dxa"/>
            <w:tcBorders>
              <w:top w:val="nil"/>
              <w:left w:val="nil"/>
              <w:bottom w:val="nil"/>
              <w:right w:val="nil"/>
            </w:tcBorders>
            <w:shd w:val="clear" w:color="auto" w:fill="BFBFBF" w:themeFill="background1" w:themeFillShade="BF"/>
            <w:vAlign w:val="bottom"/>
            <w:hideMark/>
          </w:tcPr>
          <w:p w14:paraId="2CB827BC"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2,3</w:t>
            </w:r>
          </w:p>
        </w:tc>
        <w:tc>
          <w:tcPr>
            <w:tcW w:w="990" w:type="dxa"/>
            <w:tcBorders>
              <w:top w:val="nil"/>
              <w:left w:val="nil"/>
              <w:bottom w:val="nil"/>
              <w:right w:val="nil"/>
            </w:tcBorders>
            <w:shd w:val="clear" w:color="auto" w:fill="auto"/>
            <w:vAlign w:val="bottom"/>
            <w:hideMark/>
          </w:tcPr>
          <w:p w14:paraId="2FD92599"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-2,2</w:t>
            </w:r>
          </w:p>
        </w:tc>
      </w:tr>
      <w:tr w:rsidR="00F73AF0" w:rsidRPr="003A0393" w14:paraId="30A8ACE1" w14:textId="77777777" w:rsidTr="000227C0">
        <w:trPr>
          <w:trHeight w:val="268"/>
          <w:jc w:val="center"/>
        </w:trPr>
        <w:tc>
          <w:tcPr>
            <w:tcW w:w="5103" w:type="dxa"/>
            <w:tcBorders>
              <w:top w:val="nil"/>
              <w:left w:val="nil"/>
              <w:bottom w:val="nil"/>
              <w:right w:val="nil"/>
            </w:tcBorders>
            <w:shd w:val="clear" w:color="auto" w:fill="auto"/>
            <w:vAlign w:val="bottom"/>
            <w:hideMark/>
          </w:tcPr>
          <w:p w14:paraId="42644531"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Hrubý domáci produkt v bežných cenách mld. Eur</w:t>
            </w:r>
          </w:p>
        </w:tc>
        <w:tc>
          <w:tcPr>
            <w:tcW w:w="1134" w:type="dxa"/>
            <w:tcBorders>
              <w:top w:val="nil"/>
              <w:left w:val="nil"/>
              <w:bottom w:val="nil"/>
              <w:right w:val="nil"/>
            </w:tcBorders>
            <w:shd w:val="clear" w:color="auto" w:fill="auto"/>
            <w:vAlign w:val="bottom"/>
            <w:hideMark/>
          </w:tcPr>
          <w:p w14:paraId="1BBF4A0F"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96,9</w:t>
            </w:r>
          </w:p>
        </w:tc>
        <w:tc>
          <w:tcPr>
            <w:tcW w:w="1276" w:type="dxa"/>
            <w:tcBorders>
              <w:top w:val="nil"/>
              <w:left w:val="nil"/>
              <w:bottom w:val="nil"/>
              <w:right w:val="nil"/>
            </w:tcBorders>
            <w:shd w:val="clear" w:color="auto" w:fill="BFBFBF" w:themeFill="background1" w:themeFillShade="BF"/>
            <w:noWrap/>
            <w:vAlign w:val="bottom"/>
            <w:hideMark/>
          </w:tcPr>
          <w:p w14:paraId="1488F273"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94,2</w:t>
            </w:r>
          </w:p>
        </w:tc>
        <w:tc>
          <w:tcPr>
            <w:tcW w:w="990" w:type="dxa"/>
            <w:tcBorders>
              <w:top w:val="nil"/>
              <w:left w:val="nil"/>
              <w:bottom w:val="nil"/>
              <w:right w:val="nil"/>
            </w:tcBorders>
            <w:shd w:val="clear" w:color="auto" w:fill="auto"/>
            <w:vAlign w:val="bottom"/>
            <w:hideMark/>
          </w:tcPr>
          <w:p w14:paraId="64C9E6D0"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-2,7</w:t>
            </w:r>
          </w:p>
        </w:tc>
      </w:tr>
      <w:tr w:rsidR="00F73AF0" w:rsidRPr="003A0393" w14:paraId="347EEB8D" w14:textId="77777777" w:rsidTr="000227C0">
        <w:trPr>
          <w:trHeight w:val="268"/>
          <w:jc w:val="center"/>
        </w:trPr>
        <w:tc>
          <w:tcPr>
            <w:tcW w:w="5103" w:type="dxa"/>
            <w:tcBorders>
              <w:top w:val="nil"/>
              <w:left w:val="nil"/>
              <w:bottom w:val="nil"/>
              <w:right w:val="nil"/>
            </w:tcBorders>
            <w:shd w:val="clear" w:color="auto" w:fill="auto"/>
            <w:vAlign w:val="bottom"/>
            <w:hideMark/>
          </w:tcPr>
          <w:p w14:paraId="51FCFC1E"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Konečná spotreba domácností a NISD,  reálny rast</w:t>
            </w:r>
          </w:p>
        </w:tc>
        <w:tc>
          <w:tcPr>
            <w:tcW w:w="1134" w:type="dxa"/>
            <w:tcBorders>
              <w:top w:val="nil"/>
              <w:left w:val="nil"/>
              <w:bottom w:val="nil"/>
              <w:right w:val="nil"/>
            </w:tcBorders>
            <w:shd w:val="clear" w:color="auto" w:fill="auto"/>
            <w:vAlign w:val="bottom"/>
            <w:hideMark/>
          </w:tcPr>
          <w:p w14:paraId="7160F691"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3,2</w:t>
            </w:r>
          </w:p>
        </w:tc>
        <w:tc>
          <w:tcPr>
            <w:tcW w:w="1276" w:type="dxa"/>
            <w:tcBorders>
              <w:top w:val="nil"/>
              <w:left w:val="nil"/>
              <w:bottom w:val="nil"/>
              <w:right w:val="nil"/>
            </w:tcBorders>
            <w:shd w:val="clear" w:color="auto" w:fill="BFBFBF" w:themeFill="background1" w:themeFillShade="BF"/>
            <w:vAlign w:val="bottom"/>
            <w:hideMark/>
          </w:tcPr>
          <w:p w14:paraId="2FE0198E"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2,2</w:t>
            </w:r>
          </w:p>
        </w:tc>
        <w:tc>
          <w:tcPr>
            <w:tcW w:w="990" w:type="dxa"/>
            <w:tcBorders>
              <w:top w:val="nil"/>
              <w:left w:val="nil"/>
              <w:bottom w:val="nil"/>
              <w:right w:val="nil"/>
            </w:tcBorders>
            <w:shd w:val="clear" w:color="auto" w:fill="auto"/>
            <w:vAlign w:val="bottom"/>
            <w:hideMark/>
          </w:tcPr>
          <w:p w14:paraId="4341203F"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-1,0</w:t>
            </w:r>
          </w:p>
        </w:tc>
      </w:tr>
      <w:tr w:rsidR="00F73AF0" w:rsidRPr="003A0393" w14:paraId="0C0CBB2D" w14:textId="77777777" w:rsidTr="000227C0">
        <w:trPr>
          <w:trHeight w:val="268"/>
          <w:jc w:val="center"/>
        </w:trPr>
        <w:tc>
          <w:tcPr>
            <w:tcW w:w="5103" w:type="dxa"/>
            <w:tcBorders>
              <w:top w:val="nil"/>
              <w:left w:val="nil"/>
              <w:bottom w:val="nil"/>
              <w:right w:val="nil"/>
            </w:tcBorders>
            <w:shd w:val="clear" w:color="auto" w:fill="auto"/>
            <w:vAlign w:val="bottom"/>
            <w:hideMark/>
          </w:tcPr>
          <w:p w14:paraId="041F51D3"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Konečná spotreba domácností a NISD,  nominálny rast</w:t>
            </w:r>
          </w:p>
        </w:tc>
        <w:tc>
          <w:tcPr>
            <w:tcW w:w="1134" w:type="dxa"/>
            <w:tcBorders>
              <w:top w:val="nil"/>
              <w:left w:val="nil"/>
              <w:bottom w:val="nil"/>
              <w:right w:val="nil"/>
            </w:tcBorders>
            <w:shd w:val="clear" w:color="auto" w:fill="auto"/>
            <w:vAlign w:val="bottom"/>
            <w:hideMark/>
          </w:tcPr>
          <w:p w14:paraId="4092B7B6"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5,8</w:t>
            </w:r>
          </w:p>
        </w:tc>
        <w:tc>
          <w:tcPr>
            <w:tcW w:w="1276" w:type="dxa"/>
            <w:tcBorders>
              <w:top w:val="nil"/>
              <w:left w:val="nil"/>
              <w:bottom w:val="nil"/>
              <w:right w:val="nil"/>
            </w:tcBorders>
            <w:shd w:val="clear" w:color="auto" w:fill="BFBFBF" w:themeFill="background1" w:themeFillShade="BF"/>
            <w:vAlign w:val="bottom"/>
            <w:hideMark/>
          </w:tcPr>
          <w:p w14:paraId="579E9376"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5,0</w:t>
            </w:r>
          </w:p>
        </w:tc>
        <w:tc>
          <w:tcPr>
            <w:tcW w:w="990" w:type="dxa"/>
            <w:tcBorders>
              <w:top w:val="nil"/>
              <w:left w:val="nil"/>
              <w:bottom w:val="nil"/>
              <w:right w:val="nil"/>
            </w:tcBorders>
            <w:shd w:val="clear" w:color="auto" w:fill="auto"/>
            <w:vAlign w:val="bottom"/>
            <w:hideMark/>
          </w:tcPr>
          <w:p w14:paraId="798C079B"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-0,8</w:t>
            </w:r>
          </w:p>
        </w:tc>
      </w:tr>
      <w:tr w:rsidR="00F73AF0" w:rsidRPr="003A0393" w14:paraId="67C5C98F" w14:textId="77777777" w:rsidTr="000227C0">
        <w:trPr>
          <w:trHeight w:val="268"/>
          <w:jc w:val="center"/>
        </w:trPr>
        <w:tc>
          <w:tcPr>
            <w:tcW w:w="5103" w:type="dxa"/>
            <w:tcBorders>
              <w:top w:val="nil"/>
              <w:left w:val="nil"/>
              <w:bottom w:val="nil"/>
              <w:right w:val="nil"/>
            </w:tcBorders>
            <w:shd w:val="clear" w:color="auto" w:fill="auto"/>
            <w:vAlign w:val="bottom"/>
            <w:hideMark/>
          </w:tcPr>
          <w:p w14:paraId="5F75562F"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Priemerná mesačná mzda,  reálny rast</w:t>
            </w:r>
          </w:p>
        </w:tc>
        <w:tc>
          <w:tcPr>
            <w:tcW w:w="1134" w:type="dxa"/>
            <w:tcBorders>
              <w:top w:val="nil"/>
              <w:left w:val="nil"/>
              <w:bottom w:val="nil"/>
              <w:right w:val="nil"/>
            </w:tcBorders>
            <w:shd w:val="clear" w:color="auto" w:fill="auto"/>
            <w:vAlign w:val="bottom"/>
            <w:hideMark/>
          </w:tcPr>
          <w:p w14:paraId="337822B1"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3,7</w:t>
            </w:r>
          </w:p>
        </w:tc>
        <w:tc>
          <w:tcPr>
            <w:tcW w:w="1276" w:type="dxa"/>
            <w:tcBorders>
              <w:top w:val="nil"/>
              <w:left w:val="nil"/>
              <w:bottom w:val="nil"/>
              <w:right w:val="nil"/>
            </w:tcBorders>
            <w:shd w:val="clear" w:color="auto" w:fill="BFBFBF" w:themeFill="background1" w:themeFillShade="BF"/>
            <w:vAlign w:val="bottom"/>
            <w:hideMark/>
          </w:tcPr>
          <w:p w14:paraId="22D79D12"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5,0</w:t>
            </w:r>
          </w:p>
        </w:tc>
        <w:tc>
          <w:tcPr>
            <w:tcW w:w="990" w:type="dxa"/>
            <w:tcBorders>
              <w:top w:val="nil"/>
              <w:left w:val="nil"/>
              <w:bottom w:val="nil"/>
              <w:right w:val="nil"/>
            </w:tcBorders>
            <w:shd w:val="clear" w:color="auto" w:fill="auto"/>
            <w:vAlign w:val="bottom"/>
            <w:hideMark/>
          </w:tcPr>
          <w:p w14:paraId="44B17AEE"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+1,3</w:t>
            </w:r>
          </w:p>
        </w:tc>
      </w:tr>
      <w:tr w:rsidR="00F73AF0" w:rsidRPr="003A0393" w14:paraId="5A517845" w14:textId="77777777" w:rsidTr="000227C0">
        <w:trPr>
          <w:trHeight w:val="268"/>
          <w:jc w:val="center"/>
        </w:trPr>
        <w:tc>
          <w:tcPr>
            <w:tcW w:w="5103" w:type="dxa"/>
            <w:tcBorders>
              <w:top w:val="nil"/>
              <w:left w:val="nil"/>
              <w:bottom w:val="nil"/>
              <w:right w:val="nil"/>
            </w:tcBorders>
            <w:shd w:val="clear" w:color="auto" w:fill="auto"/>
            <w:vAlign w:val="bottom"/>
            <w:hideMark/>
          </w:tcPr>
          <w:p w14:paraId="29D26FA2"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Priemerná mesačná mzda,  nominálny rast</w:t>
            </w:r>
          </w:p>
        </w:tc>
        <w:tc>
          <w:tcPr>
            <w:tcW w:w="1134" w:type="dxa"/>
            <w:tcBorders>
              <w:top w:val="nil"/>
              <w:left w:val="nil"/>
              <w:bottom w:val="nil"/>
              <w:right w:val="nil"/>
            </w:tcBorders>
            <w:shd w:val="clear" w:color="auto" w:fill="auto"/>
            <w:vAlign w:val="bottom"/>
            <w:hideMark/>
          </w:tcPr>
          <w:p w14:paraId="091156EC"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6,3</w:t>
            </w:r>
          </w:p>
        </w:tc>
        <w:tc>
          <w:tcPr>
            <w:tcW w:w="1276" w:type="dxa"/>
            <w:tcBorders>
              <w:top w:val="nil"/>
              <w:left w:val="nil"/>
              <w:bottom w:val="nil"/>
              <w:right w:val="nil"/>
            </w:tcBorders>
            <w:shd w:val="clear" w:color="auto" w:fill="BFBFBF" w:themeFill="background1" w:themeFillShade="BF"/>
            <w:vAlign w:val="bottom"/>
            <w:hideMark/>
          </w:tcPr>
          <w:p w14:paraId="794050A1"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7,8</w:t>
            </w:r>
          </w:p>
        </w:tc>
        <w:tc>
          <w:tcPr>
            <w:tcW w:w="990" w:type="dxa"/>
            <w:tcBorders>
              <w:top w:val="nil"/>
              <w:left w:val="nil"/>
              <w:bottom w:val="nil"/>
              <w:right w:val="nil"/>
            </w:tcBorders>
            <w:shd w:val="clear" w:color="auto" w:fill="auto"/>
            <w:vAlign w:val="bottom"/>
            <w:hideMark/>
          </w:tcPr>
          <w:p w14:paraId="336239D5"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+1,5</w:t>
            </w:r>
          </w:p>
        </w:tc>
      </w:tr>
      <w:tr w:rsidR="00F73AF0" w:rsidRPr="003A0393" w14:paraId="43ADC773" w14:textId="77777777" w:rsidTr="000227C0">
        <w:trPr>
          <w:trHeight w:val="268"/>
          <w:jc w:val="center"/>
        </w:trPr>
        <w:tc>
          <w:tcPr>
            <w:tcW w:w="5103" w:type="dxa"/>
            <w:tcBorders>
              <w:top w:val="nil"/>
              <w:left w:val="nil"/>
              <w:bottom w:val="nil"/>
              <w:right w:val="nil"/>
            </w:tcBorders>
            <w:shd w:val="clear" w:color="auto" w:fill="auto"/>
            <w:vAlign w:val="bottom"/>
            <w:hideMark/>
          </w:tcPr>
          <w:p w14:paraId="027FCB62"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Zamestnanosť (ESA)</w:t>
            </w:r>
          </w:p>
        </w:tc>
        <w:tc>
          <w:tcPr>
            <w:tcW w:w="1134" w:type="dxa"/>
            <w:tcBorders>
              <w:top w:val="nil"/>
              <w:left w:val="nil"/>
              <w:bottom w:val="nil"/>
              <w:right w:val="nil"/>
            </w:tcBorders>
            <w:shd w:val="clear" w:color="auto" w:fill="auto"/>
            <w:vAlign w:val="bottom"/>
            <w:hideMark/>
          </w:tcPr>
          <w:p w14:paraId="7BAA19AF"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1,1</w:t>
            </w:r>
          </w:p>
        </w:tc>
        <w:tc>
          <w:tcPr>
            <w:tcW w:w="1276" w:type="dxa"/>
            <w:tcBorders>
              <w:top w:val="nil"/>
              <w:left w:val="nil"/>
              <w:bottom w:val="nil"/>
              <w:right w:val="nil"/>
            </w:tcBorders>
            <w:shd w:val="clear" w:color="auto" w:fill="BFBFBF" w:themeFill="background1" w:themeFillShade="BF"/>
            <w:vAlign w:val="bottom"/>
            <w:hideMark/>
          </w:tcPr>
          <w:p w14:paraId="47A8396D"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1,2</w:t>
            </w:r>
          </w:p>
        </w:tc>
        <w:tc>
          <w:tcPr>
            <w:tcW w:w="990" w:type="dxa"/>
            <w:tcBorders>
              <w:top w:val="nil"/>
              <w:left w:val="nil"/>
              <w:bottom w:val="nil"/>
              <w:right w:val="nil"/>
            </w:tcBorders>
            <w:shd w:val="clear" w:color="auto" w:fill="auto"/>
            <w:vAlign w:val="bottom"/>
            <w:hideMark/>
          </w:tcPr>
          <w:p w14:paraId="1BAFD5E7"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+0,1</w:t>
            </w:r>
          </w:p>
        </w:tc>
      </w:tr>
      <w:tr w:rsidR="00F73AF0" w:rsidRPr="003A0393" w14:paraId="4E9E8D00" w14:textId="77777777" w:rsidTr="000227C0">
        <w:trPr>
          <w:trHeight w:val="268"/>
          <w:jc w:val="center"/>
        </w:trPr>
        <w:tc>
          <w:tcPr>
            <w:tcW w:w="5103" w:type="dxa"/>
            <w:tcBorders>
              <w:top w:val="nil"/>
              <w:left w:val="nil"/>
              <w:bottom w:val="nil"/>
              <w:right w:val="nil"/>
            </w:tcBorders>
            <w:shd w:val="clear" w:color="auto" w:fill="auto"/>
            <w:vAlign w:val="bottom"/>
          </w:tcPr>
          <w:p w14:paraId="7CC95A05"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Miera nezamestnanosti (VZPS)</w:t>
            </w:r>
          </w:p>
        </w:tc>
        <w:tc>
          <w:tcPr>
            <w:tcW w:w="1134" w:type="dxa"/>
            <w:tcBorders>
              <w:top w:val="nil"/>
              <w:left w:val="nil"/>
              <w:bottom w:val="nil"/>
              <w:right w:val="nil"/>
            </w:tcBorders>
            <w:shd w:val="clear" w:color="auto" w:fill="auto"/>
            <w:vAlign w:val="bottom"/>
          </w:tcPr>
          <w:p w14:paraId="538F6A73"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6,4</w:t>
            </w:r>
          </w:p>
        </w:tc>
        <w:tc>
          <w:tcPr>
            <w:tcW w:w="1276" w:type="dxa"/>
            <w:tcBorders>
              <w:top w:val="nil"/>
              <w:left w:val="nil"/>
              <w:bottom w:val="nil"/>
              <w:right w:val="nil"/>
            </w:tcBorders>
            <w:shd w:val="clear" w:color="auto" w:fill="BFBFBF" w:themeFill="background1" w:themeFillShade="BF"/>
            <w:vAlign w:val="bottom"/>
          </w:tcPr>
          <w:p w14:paraId="3FF3A8B3"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5,8</w:t>
            </w:r>
          </w:p>
        </w:tc>
        <w:tc>
          <w:tcPr>
            <w:tcW w:w="990" w:type="dxa"/>
            <w:tcBorders>
              <w:top w:val="nil"/>
              <w:left w:val="nil"/>
              <w:bottom w:val="nil"/>
              <w:right w:val="nil"/>
            </w:tcBorders>
            <w:shd w:val="clear" w:color="auto" w:fill="auto"/>
            <w:vAlign w:val="bottom"/>
          </w:tcPr>
          <w:p w14:paraId="019BBC97"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-0,6</w:t>
            </w:r>
          </w:p>
        </w:tc>
      </w:tr>
      <w:tr w:rsidR="00F73AF0" w:rsidRPr="003A0393" w14:paraId="344750DC" w14:textId="77777777" w:rsidTr="000227C0">
        <w:trPr>
          <w:trHeight w:val="268"/>
          <w:jc w:val="center"/>
        </w:trPr>
        <w:tc>
          <w:tcPr>
            <w:tcW w:w="5103" w:type="dxa"/>
            <w:tcBorders>
              <w:top w:val="nil"/>
              <w:left w:val="nil"/>
              <w:bottom w:val="nil"/>
              <w:right w:val="nil"/>
            </w:tcBorders>
            <w:shd w:val="clear" w:color="auto" w:fill="auto"/>
            <w:vAlign w:val="bottom"/>
            <w:hideMark/>
          </w:tcPr>
          <w:p w14:paraId="33940FEB"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Index spotrebiteľských cien,  priemerný rast</w:t>
            </w:r>
          </w:p>
        </w:tc>
        <w:tc>
          <w:tcPr>
            <w:tcW w:w="1134" w:type="dxa"/>
            <w:tcBorders>
              <w:top w:val="nil"/>
              <w:left w:val="nil"/>
              <w:bottom w:val="nil"/>
              <w:right w:val="nil"/>
            </w:tcBorders>
            <w:shd w:val="clear" w:color="auto" w:fill="auto"/>
            <w:vAlign w:val="bottom"/>
            <w:hideMark/>
          </w:tcPr>
          <w:p w14:paraId="52338449"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2,5</w:t>
            </w:r>
          </w:p>
        </w:tc>
        <w:tc>
          <w:tcPr>
            <w:tcW w:w="1276" w:type="dxa"/>
            <w:tcBorders>
              <w:top w:val="nil"/>
              <w:left w:val="nil"/>
              <w:bottom w:val="nil"/>
              <w:right w:val="nil"/>
            </w:tcBorders>
            <w:shd w:val="clear" w:color="auto" w:fill="BFBFBF" w:themeFill="background1" w:themeFillShade="BF"/>
            <w:vAlign w:val="bottom"/>
            <w:hideMark/>
          </w:tcPr>
          <w:p w14:paraId="1D66BD2A"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2,7</w:t>
            </w:r>
          </w:p>
        </w:tc>
        <w:tc>
          <w:tcPr>
            <w:tcW w:w="990" w:type="dxa"/>
            <w:tcBorders>
              <w:top w:val="nil"/>
              <w:left w:val="nil"/>
              <w:bottom w:val="nil"/>
              <w:right w:val="nil"/>
            </w:tcBorders>
            <w:shd w:val="clear" w:color="auto" w:fill="auto"/>
            <w:vAlign w:val="bottom"/>
            <w:hideMark/>
          </w:tcPr>
          <w:p w14:paraId="0973A32B"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+0,2</w:t>
            </w:r>
          </w:p>
        </w:tc>
      </w:tr>
      <w:tr w:rsidR="00F73AF0" w:rsidRPr="003A0393" w14:paraId="3121602F" w14:textId="77777777" w:rsidTr="000227C0">
        <w:trPr>
          <w:trHeight w:val="268"/>
          <w:jc w:val="center"/>
        </w:trPr>
        <w:tc>
          <w:tcPr>
            <w:tcW w:w="5103" w:type="dxa"/>
            <w:tcBorders>
              <w:top w:val="nil"/>
              <w:left w:val="nil"/>
              <w:bottom w:val="nil"/>
              <w:right w:val="nil"/>
            </w:tcBorders>
            <w:shd w:val="clear" w:color="auto" w:fill="auto"/>
            <w:vAlign w:val="bottom"/>
          </w:tcPr>
          <w:p w14:paraId="2EF5D027" w14:textId="77777777" w:rsidR="00F73AF0" w:rsidRPr="003A0393" w:rsidRDefault="00F73AF0" w:rsidP="005E3558">
            <w:pPr>
              <w:spacing w:after="0" w:line="240" w:lineRule="auto"/>
              <w:rPr>
                <w:rFonts w:cs="Times New Roman"/>
                <w:color w:val="000000"/>
                <w:sz w:val="18"/>
                <w:szCs w:val="18"/>
              </w:rPr>
            </w:pPr>
            <w:r w:rsidRPr="003A0393">
              <w:rPr>
                <w:rFonts w:cs="Times New Roman"/>
                <w:color w:val="000000"/>
                <w:sz w:val="18"/>
                <w:szCs w:val="18"/>
              </w:rPr>
              <w:t>Saldo bežného účtu platobnej bilancie (% HDP)</w:t>
            </w:r>
          </w:p>
        </w:tc>
        <w:tc>
          <w:tcPr>
            <w:tcW w:w="1134" w:type="dxa"/>
            <w:tcBorders>
              <w:top w:val="nil"/>
              <w:left w:val="nil"/>
              <w:bottom w:val="nil"/>
              <w:right w:val="nil"/>
            </w:tcBorders>
            <w:shd w:val="clear" w:color="auto" w:fill="auto"/>
            <w:vAlign w:val="bottom"/>
          </w:tcPr>
          <w:p w14:paraId="273F45E8"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-1,5</w:t>
            </w:r>
          </w:p>
        </w:tc>
        <w:tc>
          <w:tcPr>
            <w:tcW w:w="1276" w:type="dxa"/>
            <w:tcBorders>
              <w:top w:val="nil"/>
              <w:left w:val="nil"/>
              <w:bottom w:val="nil"/>
              <w:right w:val="nil"/>
            </w:tcBorders>
            <w:shd w:val="clear" w:color="auto" w:fill="BFBFBF" w:themeFill="background1" w:themeFillShade="BF"/>
            <w:vAlign w:val="bottom"/>
          </w:tcPr>
          <w:p w14:paraId="416991AC"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-2,9</w:t>
            </w:r>
          </w:p>
        </w:tc>
        <w:tc>
          <w:tcPr>
            <w:tcW w:w="990" w:type="dxa"/>
            <w:tcBorders>
              <w:top w:val="nil"/>
              <w:left w:val="nil"/>
              <w:bottom w:val="nil"/>
              <w:right w:val="nil"/>
            </w:tcBorders>
            <w:shd w:val="clear" w:color="auto" w:fill="auto"/>
            <w:vAlign w:val="bottom"/>
          </w:tcPr>
          <w:p w14:paraId="0A065CC3" w14:textId="77777777" w:rsidR="00F73AF0" w:rsidRPr="003A0393" w:rsidRDefault="00F73AF0" w:rsidP="005E3558">
            <w:pPr>
              <w:spacing w:after="0" w:line="240" w:lineRule="auto"/>
              <w:jc w:val="center"/>
              <w:rPr>
                <w:rFonts w:cs="Times New Roman"/>
                <w:color w:val="000000"/>
                <w:sz w:val="18"/>
                <w:szCs w:val="18"/>
              </w:rPr>
            </w:pPr>
            <w:r w:rsidRPr="003A0393">
              <w:rPr>
                <w:rFonts w:cs="Times New Roman"/>
                <w:color w:val="000000"/>
                <w:sz w:val="18"/>
                <w:szCs w:val="18"/>
              </w:rPr>
              <w:t>-1,4</w:t>
            </w:r>
          </w:p>
        </w:tc>
      </w:tr>
      <w:tr w:rsidR="00F73AF0" w:rsidRPr="003A0393" w14:paraId="3B871FFE" w14:textId="77777777" w:rsidTr="003A0393">
        <w:trPr>
          <w:trHeight w:val="268"/>
          <w:jc w:val="center"/>
        </w:trPr>
        <w:tc>
          <w:tcPr>
            <w:tcW w:w="8503" w:type="dxa"/>
            <w:gridSpan w:val="4"/>
            <w:tcBorders>
              <w:top w:val="single" w:sz="8" w:space="0" w:color="auto"/>
              <w:left w:val="nil"/>
              <w:bottom w:val="nil"/>
              <w:right w:val="nil"/>
            </w:tcBorders>
            <w:shd w:val="clear" w:color="auto" w:fill="auto"/>
            <w:vAlign w:val="bottom"/>
            <w:hideMark/>
          </w:tcPr>
          <w:p w14:paraId="6873BF84" w14:textId="77777777" w:rsidR="00F73AF0" w:rsidRPr="003A0393" w:rsidRDefault="00F73AF0" w:rsidP="003A0393">
            <w:pPr>
              <w:jc w:val="right"/>
              <w:rPr>
                <w:rFonts w:cs="Times New Roman"/>
                <w:iCs/>
                <w:color w:val="000000"/>
                <w:sz w:val="18"/>
                <w:szCs w:val="18"/>
              </w:rPr>
            </w:pPr>
            <w:r w:rsidRPr="003A0393">
              <w:rPr>
                <w:rFonts w:cs="Times New Roman"/>
                <w:iCs/>
                <w:color w:val="000000"/>
                <w:sz w:val="18"/>
                <w:szCs w:val="18"/>
                <w:lang w:val="de-DE"/>
              </w:rPr>
              <w:t xml:space="preserve">  </w:t>
            </w:r>
            <w:proofErr w:type="spellStart"/>
            <w:r w:rsidRPr="003A0393">
              <w:rPr>
                <w:rFonts w:cs="Times New Roman"/>
                <w:iCs/>
                <w:color w:val="000000"/>
                <w:sz w:val="18"/>
                <w:szCs w:val="18"/>
                <w:lang w:val="de-DE"/>
              </w:rPr>
              <w:t>Zdroj</w:t>
            </w:r>
            <w:proofErr w:type="spellEnd"/>
            <w:r w:rsidRPr="003A0393">
              <w:rPr>
                <w:rFonts w:cs="Times New Roman"/>
                <w:iCs/>
                <w:color w:val="000000"/>
                <w:sz w:val="18"/>
                <w:szCs w:val="18"/>
                <w:lang w:val="de-DE"/>
              </w:rPr>
              <w:t>: MF SR, ŠÚ SR</w:t>
            </w:r>
          </w:p>
        </w:tc>
      </w:tr>
    </w:tbl>
    <w:p w14:paraId="1C9FB002" w14:textId="4DACBBD0" w:rsidR="005F5B88" w:rsidRPr="00344297" w:rsidRDefault="005F5B88" w:rsidP="00387B36">
      <w:pPr>
        <w:pStyle w:val="Nadpis1"/>
        <w:ind w:left="426"/>
      </w:pPr>
      <w:bookmarkStart w:id="17" w:name="_Toc6415634"/>
      <w:bookmarkStart w:id="18" w:name="_Toc39095165"/>
      <w:r w:rsidRPr="00344297">
        <w:t>Hospodárenie verejnej správy v metodike ESA 2010</w:t>
      </w:r>
      <w:bookmarkEnd w:id="17"/>
      <w:bookmarkEnd w:id="18"/>
    </w:p>
    <w:p w14:paraId="1729D65E" w14:textId="1179F09E" w:rsidR="00C74456" w:rsidRPr="000633AA" w:rsidRDefault="00C74456" w:rsidP="00C74456">
      <w:r w:rsidRPr="000633AA">
        <w:t>Rozpočet verejnej správy na roky 2019 bol vypracovaný v intenciách Programového vyhlásenia vlády SR, kde medzi hlavné priority vlády SR patrilo ozdravenie verejných financií s cieľom dosiahnuť ich dlhodobú udržateľnosť. Stratégia rozpočtovej politiky pri zostavovaní rozpočtu verejnej správy na roky 2019 až 2021, ako aj pre nasledujúce rozpočtové roky, bola zameraná na ďalšie zlepšovanie rozpočtovej pozície verejnej správy, pričom základným cieľom rozpočtovej politiky bolo dosiahnutie dlhodobej udržateľnosti verejných financií. Strednodobým rozpočtovým cieľom verejných financií bolo dosiahnutie vyrovnaného štrukturálneho salda.</w:t>
      </w:r>
    </w:p>
    <w:p w14:paraId="3B119F01" w14:textId="77777777" w:rsidR="00C74456" w:rsidRPr="000633AA" w:rsidRDefault="00C74456" w:rsidP="00C74456">
      <w:r w:rsidRPr="000633AA">
        <w:t xml:space="preserve">Rozpočet verejnej správy na roky 2019 až 2021 vychádzal z aktuálnej prognózy makroekonomického vývoja a prognózy daňových a odvodových príjmov do roku 2021. Zároveň zohľadňoval aj aktuálny predpoklad vývoja rozpočtu verejnej správy v priebehu roku 2018.  </w:t>
      </w:r>
    </w:p>
    <w:p w14:paraId="5DEA3762" w14:textId="2BF1C5CB" w:rsidR="00C74456" w:rsidRPr="000633AA" w:rsidRDefault="00C74456" w:rsidP="00C74456">
      <w:r w:rsidRPr="000633AA">
        <w:t>Hlavným rozpočtovým</w:t>
      </w:r>
      <w:r w:rsidRPr="000633AA">
        <w:rPr>
          <w:bCs/>
        </w:rPr>
        <w:t xml:space="preserve"> cieľom vlády SR v rámci schváleného rozpočtu verejnej správy na roky 2019 až 2021 bolo dosiahnutie vyrovnaného hospodárenia verejnej správy v roku 2019, čím by bolo zabezpečené dosiahnutie strednodobého rozpočtového cieľa. </w:t>
      </w:r>
      <w:r w:rsidRPr="000633AA">
        <w:t xml:space="preserve">Stanovený cieľ pre rok 2019, ako aj ciele prebytkového hospodárenia v ďalších rokoch, mali prispievať ku každoročnému znižovaniu dlhu verejnej správy, čo v konečnom dôsledku malo viesť k upevneniu dôveryhodnosti Slovenska na finančných trhoch. </w:t>
      </w:r>
    </w:p>
    <w:p w14:paraId="5CD602D6" w14:textId="77777777" w:rsidR="00C74456" w:rsidRPr="000633AA" w:rsidRDefault="00C74456" w:rsidP="00C74456">
      <w:r w:rsidRPr="000633AA">
        <w:t xml:space="preserve">Súčasťou rozpočtu verejnej správy na roky 2019 až 2021 boli viaceré tituly vyplývajúce jednak z legislatívnych zmien, na druhej strane z prijatých opatrení a zámerov vlády SR. Uvedené opatrenia boli zapracované tak na strane príjmov ako aj na strane výdavkov. Opatrenia na príjmovej strane sa týkali v prevažnej miere daňových príjmov, a to s cieľom efektívnejšieho výberu daní a zníženia počtu daňových únikov. Na príjmovej strane boli okrem iných opatrení zapracované zmeny pri domácom pálení pre fyzické osoby, zmeny pri poplatkoch za uloženie odpadu, či zmeny v zdaňovaní poistného. Rozpočet na rok 2019 predpokladal zavedenie osobitného odvodu z čistého obratu obchodných reťazcov, ako aj označovanie pohonných látok tzv. </w:t>
      </w:r>
      <w:proofErr w:type="spellStart"/>
      <w:r w:rsidRPr="000633AA">
        <w:t>nanomarkermi</w:t>
      </w:r>
      <w:proofErr w:type="spellEnd"/>
      <w:r w:rsidRPr="000633AA">
        <w:t xml:space="preserve"> a zavedenie online napojenia všetkých fiškálnych pokladníc na portál finančnej správy (</w:t>
      </w:r>
      <w:proofErr w:type="spellStart"/>
      <w:r w:rsidRPr="000633AA">
        <w:t>eKasa</w:t>
      </w:r>
      <w:proofErr w:type="spellEnd"/>
      <w:r w:rsidRPr="000633AA">
        <w:t>). Legislatívne zmeny a priority prijaté vládou SR sa odzrkadlili aj na strane výdavkov rozpočtu verejnej správy. Vláda SR sa vo výdavkoch zamerala okrem iného na podporu rezortných politík v oblastiach sociálnej inklúzie, vzdelávania, podpory poľnohospodárstva, modernizácie obrany či investícií do zdravotníctva na pokrytie rastu miezd sestier a zdravotníckeho personálu, ako aj na rekonštrukciu a vybavenie nemocníc. Zapracované boli aj sociálne opatrenia, týkajúce sa zabezpečenia bezplatného stravovania v materských a základných školách, navýšenie vianočného dôchodku, oslobodenie príspevku na rekreáciu.</w:t>
      </w:r>
    </w:p>
    <w:p w14:paraId="7D5BA0FC" w14:textId="1937B013" w:rsidR="00C74456" w:rsidRPr="000633AA" w:rsidRDefault="00C74456" w:rsidP="00C74456">
      <w:r w:rsidRPr="000633AA">
        <w:t xml:space="preserve">V rozpočte boli do výdavkov zapracované aj opatrenia v oblasti odmeňovania zamestnancov v štátnej službe a vo verejnej službe, ako aj finančné prostriedky pre pedagogických zamestnancov a odborných zamestnancov a učiteľov vysokých škôl na realizáciu zvýhodneného odmeňovania začínajúcich učiteľov. </w:t>
      </w:r>
    </w:p>
    <w:p w14:paraId="3F3BE373" w14:textId="77777777" w:rsidR="00C74456" w:rsidRPr="000633AA" w:rsidRDefault="00C74456" w:rsidP="00C74456">
      <w:pPr>
        <w:autoSpaceDE w:val="0"/>
        <w:autoSpaceDN w:val="0"/>
        <w:rPr>
          <w:highlight w:val="yellow"/>
        </w:rPr>
      </w:pPr>
      <w:r w:rsidRPr="000633AA">
        <w:t>V priebehu roku 2019 prebiehal pravidelný monitoring vývoja plnenia schváleného rozpočtu verejnej správy na mesačnej báze. Ministerstvo financií SR sledovalo vývoj v širšom rámci celých verejných financií formou pravidelnej analýzy očakávaných predpokladov hospodárenia kapitol štátneho rozpočtu a ostatných subjektov verejnej správy na hotovostnej báze a v metodike ESA 2010. Na základe aktuálne dostupných údajov o dosiahnutej skutočnosti a predpokladanom vývoji príjmov a výdavkov rozpočtu verejnej správy ku koncu rozpočtového roka sa kvantifikovali očakávané zmeny a riziká v hospodárení jednotlivých subjektov rozpočtu verejnej správy oproti schválenému rozpočtu na rok 2019. V prípade odchýlenia sa vývoja verejných financií od schváleného rozpočtového cieľa sa pristupovalo k prijatiu opatrení, ktoré mali zvrátiť negatívny vývoj a zabezpečiť dosiahnutie rozpočtovaného cieľa.</w:t>
      </w:r>
    </w:p>
    <w:p w14:paraId="262856EF" w14:textId="7A0F90C1" w:rsidR="00C74456" w:rsidRPr="000633AA" w:rsidRDefault="00C74456" w:rsidP="00C74456">
      <w:pPr>
        <w:autoSpaceDE w:val="0"/>
        <w:autoSpaceDN w:val="0"/>
        <w:rPr>
          <w:highlight w:val="yellow"/>
        </w:rPr>
      </w:pPr>
      <w:r w:rsidRPr="000633AA">
        <w:t xml:space="preserve">Vplyv na posudzovanie vývoja verejných financií v priebehu roka 2019 mala aj v rámci jesennej notifikácie </w:t>
      </w:r>
      <w:proofErr w:type="spellStart"/>
      <w:r w:rsidRPr="000633AA">
        <w:t>Eurostatu</w:t>
      </w:r>
      <w:proofErr w:type="spellEnd"/>
      <w:r w:rsidRPr="000633AA">
        <w:t xml:space="preserve"> rozsiahla </w:t>
      </w:r>
      <w:proofErr w:type="spellStart"/>
      <w:r w:rsidRPr="000633AA">
        <w:t>benchmarková</w:t>
      </w:r>
      <w:proofErr w:type="spellEnd"/>
      <w:r w:rsidRPr="000633AA">
        <w:t xml:space="preserve"> revízia národných účtov podľa metodiky ESA 2010, ktorá mala negatívny vplyv na saldo aj dlh verejnej správy. K položkám s hlavným vplyvom na saldo verejnej správy patrilo vyradenie poplatkov do Národného jadrového fondu z príjmov verejnej správy, dotovanie elektrickej energie z obnoviteľných zdrojov, rozloženie príjmov z predaja telekomunikačných licencií na dlhšie časové obdobie, zmena vykazovania pohľadávok a záväzkov vyplývajúci</w:t>
      </w:r>
      <w:r w:rsidR="00CE446E">
        <w:t>ch z daní a odvodov</w:t>
      </w:r>
      <w:r w:rsidRPr="000633AA">
        <w:t>.</w:t>
      </w:r>
    </w:p>
    <w:p w14:paraId="749BD794" w14:textId="2169C9DE" w:rsidR="00C74456" w:rsidRPr="000633AA" w:rsidRDefault="00C74456" w:rsidP="00C74456">
      <w:r w:rsidRPr="000633AA">
        <w:t>Analýza aktuálneho vývoja rozpočtu verejnej správy v roku 2019, ktorá definovala najvýznamnejšie vplyvy na saldo rozpočtu verejnej správy v porovnaní so schváleným rozpočtovým cieľom, bola súčasťou rozpočtu verejnej správy na roky 2020 až 2022</w:t>
      </w:r>
      <w:r w:rsidR="00646061">
        <w:rPr>
          <w:rStyle w:val="Odkaznapoznmkupodiarou"/>
        </w:rPr>
        <w:footnoteReference w:id="4"/>
      </w:r>
      <w:r w:rsidR="00E85E31" w:rsidRPr="000633AA">
        <w:t>.</w:t>
      </w:r>
    </w:p>
    <w:p w14:paraId="2B4D7218" w14:textId="07D94482" w:rsidR="008346C0" w:rsidRDefault="00614751" w:rsidP="00614751">
      <w:r w:rsidRPr="00344297">
        <w:t xml:space="preserve">Výsledky hospodárenia verejnej správy sa predkladajú </w:t>
      </w:r>
      <w:r w:rsidR="00211BE4" w:rsidRPr="00344297">
        <w:t>Európskemu štatistického úradu (</w:t>
      </w:r>
      <w:proofErr w:type="spellStart"/>
      <w:r w:rsidRPr="00344297">
        <w:t>Eurostatu</w:t>
      </w:r>
      <w:proofErr w:type="spellEnd"/>
      <w:r w:rsidR="00211BE4" w:rsidRPr="00344297">
        <w:t>)</w:t>
      </w:r>
      <w:r w:rsidRPr="00344297">
        <w:t xml:space="preserve"> dvakrát ročne na základe nariadenia</w:t>
      </w:r>
      <w:r w:rsidR="008978E7" w:rsidRPr="00344297">
        <w:rPr>
          <w:rStyle w:val="Odkaznapoznmkupodiarou"/>
        </w:rPr>
        <w:footnoteReference w:id="5"/>
      </w:r>
      <w:r w:rsidRPr="00344297">
        <w:t xml:space="preserve"> o nadmernom schodku</w:t>
      </w:r>
      <w:r w:rsidR="00403199">
        <w:t>,</w:t>
      </w:r>
      <w:r w:rsidRPr="00344297">
        <w:t xml:space="preserve"> prvýkrát do 1. apríla bežného roka a druhýkrát do 1. októbra bežného roka. Do 1. apríla bežného roka sa predkladá odhad schodku za predchádzajúci rozpočtový rok a do 1. októbra bežného roka sa predkladá aktualizovaný schodok za predchádzajúci rozpočtový rok. V zmysle uvedeného pravidla je potrebné údaje v</w:t>
      </w:r>
      <w:r w:rsidR="00244138" w:rsidRPr="00344297">
        <w:t xml:space="preserve"> kapitole 2 </w:t>
      </w:r>
      <w:r w:rsidRPr="00344297">
        <w:t>chápať ako predbežné, ktoré môžu byť v období do 1. o</w:t>
      </w:r>
      <w:r w:rsidR="008346C0">
        <w:t>któbra tohto roka revidované.</w:t>
      </w:r>
    </w:p>
    <w:p w14:paraId="186DFADE" w14:textId="533855D0" w:rsidR="00614751" w:rsidRPr="008346C0" w:rsidRDefault="00614751" w:rsidP="00614751">
      <w:pPr>
        <w:rPr>
          <w:b/>
        </w:rPr>
      </w:pPr>
      <w:r w:rsidRPr="00344297">
        <w:t xml:space="preserve">Základnou databázou o hospodárení </w:t>
      </w:r>
      <w:r w:rsidR="00111E27" w:rsidRPr="00344297">
        <w:t xml:space="preserve">verejnej správy </w:t>
      </w:r>
      <w:r w:rsidRPr="00344297">
        <w:t xml:space="preserve">sú údaje z finančných výkazov </w:t>
      </w:r>
      <w:r w:rsidR="00111E27" w:rsidRPr="00344297">
        <w:t xml:space="preserve">jednotlivých subjektov verejnej správy </w:t>
      </w:r>
      <w:r w:rsidRPr="00344297">
        <w:t>za rok 201</w:t>
      </w:r>
      <w:r w:rsidR="004F52DB" w:rsidRPr="00344297">
        <w:t>9</w:t>
      </w:r>
      <w:r w:rsidRPr="00344297">
        <w:t xml:space="preserve">, avšak nie všetky boli verifikované schvaľovacím procesom. Definitívne údaje o hospodárení verejnej správy za rok </w:t>
      </w:r>
      <w:r w:rsidR="004F52DB" w:rsidRPr="00344297">
        <w:t>2019</w:t>
      </w:r>
      <w:r w:rsidRPr="00344297">
        <w:t xml:space="preserve"> budú prezentované po skončení schvaľovacieho procesu, na základe vykonaných auditov </w:t>
      </w:r>
      <w:r w:rsidR="00F25438" w:rsidRPr="00344297">
        <w:t>účtovných</w:t>
      </w:r>
      <w:r w:rsidRPr="00344297">
        <w:t xml:space="preserve"> výkazov a po získaní definitívnych údajov pre časové rozlíšenie daní a poistného z Finančnej správy SR, Sociálnej poisťovne a zdravotných poisťovní. </w:t>
      </w:r>
      <w:r w:rsidRPr="008346C0">
        <w:rPr>
          <w:b/>
        </w:rPr>
        <w:t>Z hľadiska definitívnych výsledkov hospodárenia verejnej správy za rok 201</w:t>
      </w:r>
      <w:r w:rsidR="004F52DB" w:rsidRPr="008346C0">
        <w:rPr>
          <w:b/>
        </w:rPr>
        <w:t>9</w:t>
      </w:r>
      <w:r w:rsidRPr="008346C0">
        <w:rPr>
          <w:b/>
        </w:rPr>
        <w:t xml:space="preserve"> bude preto rozhodujúce </w:t>
      </w:r>
      <w:r w:rsidR="008346C0">
        <w:rPr>
          <w:b/>
        </w:rPr>
        <w:t>zverejnenie</w:t>
      </w:r>
      <w:r w:rsidRPr="008346C0">
        <w:rPr>
          <w:b/>
        </w:rPr>
        <w:t xml:space="preserve"> výsledkov predložených </w:t>
      </w:r>
      <w:proofErr w:type="spellStart"/>
      <w:r w:rsidR="00706725">
        <w:rPr>
          <w:b/>
        </w:rPr>
        <w:t>Eurostatu</w:t>
      </w:r>
      <w:proofErr w:type="spellEnd"/>
      <w:r w:rsidR="00706725">
        <w:rPr>
          <w:b/>
        </w:rPr>
        <w:t xml:space="preserve"> </w:t>
      </w:r>
      <w:r w:rsidRPr="008346C0">
        <w:rPr>
          <w:b/>
        </w:rPr>
        <w:t>do </w:t>
      </w:r>
      <w:r w:rsidR="004F52DB" w:rsidRPr="008346C0">
        <w:rPr>
          <w:b/>
        </w:rPr>
        <w:t>1. októbra 2020</w:t>
      </w:r>
      <w:r w:rsidRPr="008346C0">
        <w:rPr>
          <w:b/>
        </w:rPr>
        <w:t>.</w:t>
      </w:r>
    </w:p>
    <w:p w14:paraId="35300B1A" w14:textId="77777777" w:rsidR="005F5B88" w:rsidRDefault="005F5B88" w:rsidP="0042635A">
      <w:pPr>
        <w:pStyle w:val="Nadpis2"/>
      </w:pPr>
      <w:bookmarkStart w:id="19" w:name="_Toc6415635"/>
      <w:bookmarkStart w:id="20" w:name="_Toc39095166"/>
      <w:r>
        <w:t>Saldo verejnej správy</w:t>
      </w:r>
      <w:bookmarkEnd w:id="19"/>
      <w:bookmarkEnd w:id="20"/>
    </w:p>
    <w:p w14:paraId="796AD5BD" w14:textId="28E0EDF2" w:rsidR="00614751" w:rsidRDefault="00614751" w:rsidP="00614751">
      <w:r w:rsidRPr="00344297">
        <w:t xml:space="preserve">Rozpočet verejnej správy na rok </w:t>
      </w:r>
      <w:r w:rsidR="004F52DB" w:rsidRPr="00344297">
        <w:t>2019</w:t>
      </w:r>
      <w:r w:rsidRPr="00344297">
        <w:t>, ktorý bol schválený vládou SR uznesením č. </w:t>
      </w:r>
      <w:r w:rsidR="00DC79F8" w:rsidRPr="00344297">
        <w:t>453/2018</w:t>
      </w:r>
      <w:r w:rsidRPr="00344297">
        <w:t xml:space="preserve"> a </w:t>
      </w:r>
      <w:r w:rsidR="00C01921" w:rsidRPr="00344297">
        <w:t xml:space="preserve">vzatý na vedomie v </w:t>
      </w:r>
      <w:r w:rsidRPr="00344297">
        <w:t xml:space="preserve">NR SR </w:t>
      </w:r>
      <w:r w:rsidR="00C01921" w:rsidRPr="00344297">
        <w:t xml:space="preserve">uznesením </w:t>
      </w:r>
      <w:r w:rsidRPr="00344297">
        <w:t>č. </w:t>
      </w:r>
      <w:r w:rsidR="00DC79F8" w:rsidRPr="00344297">
        <w:t>1526/2018</w:t>
      </w:r>
      <w:r w:rsidRPr="00344297">
        <w:t xml:space="preserve">, predpokladal </w:t>
      </w:r>
      <w:r w:rsidR="004F52DB" w:rsidRPr="00344297">
        <w:t xml:space="preserve">vyrovnané hospodárenie (podiel </w:t>
      </w:r>
      <w:r w:rsidRPr="00344297">
        <w:t xml:space="preserve"> k HDP </w:t>
      </w:r>
      <w:r w:rsidRPr="00BC7993">
        <w:t xml:space="preserve">vo výške </w:t>
      </w:r>
      <w:r w:rsidR="004F52DB" w:rsidRPr="00BC7993">
        <w:t>0,0</w:t>
      </w:r>
      <w:r w:rsidRPr="00BC7993">
        <w:t> %</w:t>
      </w:r>
      <w:r w:rsidR="004F52DB" w:rsidRPr="00BC7993">
        <w:t>)</w:t>
      </w:r>
      <w:r w:rsidRPr="00BC7993">
        <w:t>.</w:t>
      </w:r>
      <w:r w:rsidRPr="00344297">
        <w:rPr>
          <w:b/>
        </w:rPr>
        <w:t xml:space="preserve"> </w:t>
      </w:r>
      <w:r w:rsidRPr="00A164E5">
        <w:rPr>
          <w:b/>
        </w:rPr>
        <w:t>Slovenská republika odoslala do </w:t>
      </w:r>
      <w:proofErr w:type="spellStart"/>
      <w:r w:rsidRPr="00A164E5">
        <w:rPr>
          <w:b/>
        </w:rPr>
        <w:t>Eurostatu</w:t>
      </w:r>
      <w:proofErr w:type="spellEnd"/>
      <w:r w:rsidRPr="00A164E5">
        <w:rPr>
          <w:b/>
        </w:rPr>
        <w:t xml:space="preserve"> </w:t>
      </w:r>
      <w:r w:rsidR="00711A8C" w:rsidRPr="00A164E5">
        <w:rPr>
          <w:b/>
        </w:rPr>
        <w:t>31</w:t>
      </w:r>
      <w:r w:rsidRPr="00A164E5">
        <w:rPr>
          <w:b/>
        </w:rPr>
        <w:t>. 3. 20</w:t>
      </w:r>
      <w:r w:rsidR="004F52DB" w:rsidRPr="00A164E5">
        <w:rPr>
          <w:b/>
        </w:rPr>
        <w:t>20</w:t>
      </w:r>
      <w:r w:rsidRPr="00A164E5">
        <w:rPr>
          <w:b/>
        </w:rPr>
        <w:t xml:space="preserve"> predbežné výsledky hospodárenia verejný</w:t>
      </w:r>
      <w:r w:rsidR="004F52DB" w:rsidRPr="00A164E5">
        <w:rPr>
          <w:b/>
        </w:rPr>
        <w:t>ch financií za rok 2019</w:t>
      </w:r>
      <w:r w:rsidR="00EF26E7" w:rsidRPr="00A164E5">
        <w:rPr>
          <w:b/>
        </w:rPr>
        <w:t>, pričom</w:t>
      </w:r>
      <w:r w:rsidR="00EF26E7" w:rsidRPr="00A164E5">
        <w:rPr>
          <w:b/>
        </w:rPr>
        <w:br/>
      </w:r>
      <w:r w:rsidRPr="00344297">
        <w:rPr>
          <w:b/>
        </w:rPr>
        <w:t>deficit bol deklarovaný vo </w:t>
      </w:r>
      <w:r w:rsidRPr="009F186B">
        <w:rPr>
          <w:b/>
        </w:rPr>
        <w:t xml:space="preserve">výške </w:t>
      </w:r>
      <w:r w:rsidR="004F52DB" w:rsidRPr="009F186B">
        <w:rPr>
          <w:b/>
        </w:rPr>
        <w:t>1,</w:t>
      </w:r>
      <w:r w:rsidR="00FD14C0" w:rsidRPr="009F186B">
        <w:rPr>
          <w:b/>
        </w:rPr>
        <w:t>3</w:t>
      </w:r>
      <w:r w:rsidRPr="009F186B">
        <w:rPr>
          <w:b/>
        </w:rPr>
        <w:t> % HDP.</w:t>
      </w:r>
      <w:r w:rsidRPr="00390337">
        <w:t xml:space="preserve"> </w:t>
      </w:r>
    </w:p>
    <w:tbl>
      <w:tblPr>
        <w:tblW w:w="8453" w:type="dxa"/>
        <w:tblCellMar>
          <w:left w:w="70" w:type="dxa"/>
          <w:right w:w="70" w:type="dxa"/>
        </w:tblCellMar>
        <w:tblLook w:val="04A0" w:firstRow="1" w:lastRow="0" w:firstColumn="1" w:lastColumn="0" w:noHBand="0" w:noVBand="1"/>
      </w:tblPr>
      <w:tblGrid>
        <w:gridCol w:w="2571"/>
        <w:gridCol w:w="1173"/>
        <w:gridCol w:w="1173"/>
        <w:gridCol w:w="1174"/>
        <w:gridCol w:w="1191"/>
        <w:gridCol w:w="1171"/>
      </w:tblGrid>
      <w:tr w:rsidR="00B60E36" w:rsidRPr="00B60E36" w14:paraId="4413977E" w14:textId="77777777" w:rsidTr="00B60E36">
        <w:trPr>
          <w:trHeight w:val="333"/>
        </w:trPr>
        <w:tc>
          <w:tcPr>
            <w:tcW w:w="6091" w:type="dxa"/>
            <w:gridSpan w:val="4"/>
            <w:tcBorders>
              <w:top w:val="nil"/>
              <w:left w:val="nil"/>
              <w:bottom w:val="single" w:sz="4" w:space="0" w:color="auto"/>
              <w:right w:val="nil"/>
            </w:tcBorders>
            <w:shd w:val="clear" w:color="000000" w:fill="000000"/>
            <w:noWrap/>
            <w:vAlign w:val="center"/>
            <w:hideMark/>
          </w:tcPr>
          <w:p w14:paraId="502D7301" w14:textId="45CC99F4" w:rsidR="00B60E36" w:rsidRPr="00B60E36" w:rsidRDefault="00D761CB" w:rsidP="00D761CB">
            <w:pPr>
              <w:spacing w:after="0" w:line="240" w:lineRule="auto"/>
              <w:jc w:val="left"/>
              <w:rPr>
                <w:rFonts w:eastAsia="Times New Roman" w:cs="Times New Roman"/>
                <w:b/>
                <w:bCs/>
                <w:color w:val="FFFFFF"/>
                <w:sz w:val="20"/>
                <w:szCs w:val="20"/>
                <w:lang w:eastAsia="sk-SK"/>
              </w:rPr>
            </w:pPr>
            <w:r>
              <w:rPr>
                <w:rFonts w:eastAsia="Times New Roman" w:cs="Times New Roman"/>
                <w:b/>
                <w:bCs/>
                <w:color w:val="FFFFFF"/>
                <w:sz w:val="20"/>
                <w:szCs w:val="20"/>
                <w:lang w:eastAsia="sk-SK"/>
              </w:rPr>
              <w:t>P</w:t>
            </w:r>
            <w:r w:rsidR="00B60E36" w:rsidRPr="00B60E36">
              <w:rPr>
                <w:rFonts w:eastAsia="Times New Roman" w:cs="Times New Roman"/>
                <w:b/>
                <w:bCs/>
                <w:color w:val="FFFFFF"/>
                <w:sz w:val="20"/>
                <w:szCs w:val="20"/>
                <w:lang w:eastAsia="sk-SK"/>
              </w:rPr>
              <w:t>ríjm</w:t>
            </w:r>
            <w:r>
              <w:rPr>
                <w:rFonts w:eastAsia="Times New Roman" w:cs="Times New Roman"/>
                <w:b/>
                <w:bCs/>
                <w:color w:val="FFFFFF"/>
                <w:sz w:val="20"/>
                <w:szCs w:val="20"/>
                <w:lang w:eastAsia="sk-SK"/>
              </w:rPr>
              <w:t>y</w:t>
            </w:r>
            <w:r w:rsidR="00B60E36" w:rsidRPr="00B60E36">
              <w:rPr>
                <w:rFonts w:eastAsia="Times New Roman" w:cs="Times New Roman"/>
                <w:b/>
                <w:bCs/>
                <w:color w:val="FFFFFF"/>
                <w:sz w:val="20"/>
                <w:szCs w:val="20"/>
                <w:lang w:eastAsia="sk-SK"/>
              </w:rPr>
              <w:t xml:space="preserve"> a výdavk</w:t>
            </w:r>
            <w:r>
              <w:rPr>
                <w:rFonts w:eastAsia="Times New Roman" w:cs="Times New Roman"/>
                <w:b/>
                <w:bCs/>
                <w:color w:val="FFFFFF"/>
                <w:sz w:val="20"/>
                <w:szCs w:val="20"/>
                <w:lang w:eastAsia="sk-SK"/>
              </w:rPr>
              <w:t>y</w:t>
            </w:r>
            <w:r w:rsidR="00B60E36" w:rsidRPr="00B60E36">
              <w:rPr>
                <w:rFonts w:eastAsia="Times New Roman" w:cs="Times New Roman"/>
                <w:b/>
                <w:bCs/>
                <w:color w:val="FFFFFF"/>
                <w:sz w:val="20"/>
                <w:szCs w:val="20"/>
                <w:lang w:eastAsia="sk-SK"/>
              </w:rPr>
              <w:t xml:space="preserve"> verejnej správy (na akruálnej báze)</w:t>
            </w:r>
          </w:p>
        </w:tc>
        <w:tc>
          <w:tcPr>
            <w:tcW w:w="1191" w:type="dxa"/>
            <w:tcBorders>
              <w:top w:val="nil"/>
              <w:left w:val="nil"/>
              <w:bottom w:val="single" w:sz="4" w:space="0" w:color="auto"/>
              <w:right w:val="nil"/>
            </w:tcBorders>
            <w:shd w:val="clear" w:color="000000" w:fill="000000"/>
            <w:noWrap/>
            <w:vAlign w:val="center"/>
            <w:hideMark/>
          </w:tcPr>
          <w:p w14:paraId="7AA1D5BC" w14:textId="77777777" w:rsidR="00B60E36" w:rsidRPr="00B60E36" w:rsidRDefault="00B60E36" w:rsidP="00B60E36">
            <w:pPr>
              <w:spacing w:after="0" w:line="240" w:lineRule="auto"/>
              <w:jc w:val="left"/>
              <w:rPr>
                <w:rFonts w:eastAsia="Times New Roman" w:cs="Times New Roman"/>
                <w:b/>
                <w:bCs/>
                <w:color w:val="FFFFFF"/>
                <w:sz w:val="20"/>
                <w:szCs w:val="20"/>
                <w:lang w:eastAsia="sk-SK"/>
              </w:rPr>
            </w:pPr>
            <w:r w:rsidRPr="00B60E36">
              <w:rPr>
                <w:rFonts w:eastAsia="Times New Roman" w:cs="Times New Roman"/>
                <w:b/>
                <w:bCs/>
                <w:color w:val="FFFFFF"/>
                <w:sz w:val="20"/>
                <w:szCs w:val="20"/>
                <w:lang w:eastAsia="sk-SK"/>
              </w:rPr>
              <w:t> </w:t>
            </w:r>
          </w:p>
        </w:tc>
        <w:tc>
          <w:tcPr>
            <w:tcW w:w="1171" w:type="dxa"/>
            <w:tcBorders>
              <w:top w:val="nil"/>
              <w:left w:val="nil"/>
              <w:bottom w:val="nil"/>
              <w:right w:val="nil"/>
            </w:tcBorders>
            <w:shd w:val="clear" w:color="000000" w:fill="000000"/>
            <w:noWrap/>
            <w:vAlign w:val="center"/>
            <w:hideMark/>
          </w:tcPr>
          <w:p w14:paraId="2D918E7A" w14:textId="77777777" w:rsidR="00B60E36" w:rsidRPr="00B60E36" w:rsidRDefault="00B60E36" w:rsidP="00B60E36">
            <w:pPr>
              <w:spacing w:after="0" w:line="240" w:lineRule="auto"/>
              <w:jc w:val="right"/>
              <w:rPr>
                <w:rFonts w:eastAsia="Times New Roman" w:cs="Times New Roman"/>
                <w:b/>
                <w:bCs/>
                <w:color w:val="FFFFFF"/>
                <w:sz w:val="20"/>
                <w:szCs w:val="20"/>
                <w:lang w:eastAsia="sk-SK"/>
              </w:rPr>
            </w:pPr>
            <w:r w:rsidRPr="00B60E36">
              <w:rPr>
                <w:rFonts w:eastAsia="Times New Roman" w:cs="Times New Roman"/>
                <w:b/>
                <w:bCs/>
                <w:color w:val="FFFFFF"/>
                <w:sz w:val="20"/>
                <w:szCs w:val="20"/>
                <w:lang w:eastAsia="sk-SK"/>
              </w:rPr>
              <w:t>v tis. eur</w:t>
            </w:r>
          </w:p>
        </w:tc>
      </w:tr>
      <w:tr w:rsidR="00B60E36" w:rsidRPr="00B60E36" w14:paraId="115710E9" w14:textId="77777777" w:rsidTr="0011109D">
        <w:trPr>
          <w:trHeight w:val="333"/>
        </w:trPr>
        <w:tc>
          <w:tcPr>
            <w:tcW w:w="2571" w:type="dxa"/>
            <w:tcBorders>
              <w:top w:val="single" w:sz="4" w:space="0" w:color="auto"/>
              <w:left w:val="nil"/>
              <w:bottom w:val="nil"/>
              <w:right w:val="nil"/>
            </w:tcBorders>
            <w:shd w:val="clear" w:color="000000" w:fill="BFBFBF"/>
            <w:noWrap/>
            <w:vAlign w:val="center"/>
            <w:hideMark/>
          </w:tcPr>
          <w:p w14:paraId="3EA786F4" w14:textId="77777777" w:rsidR="00B60E36" w:rsidRPr="00B60E36" w:rsidRDefault="00B60E36" w:rsidP="00B60E36">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 </w:t>
            </w:r>
          </w:p>
        </w:tc>
        <w:tc>
          <w:tcPr>
            <w:tcW w:w="2346" w:type="dxa"/>
            <w:gridSpan w:val="2"/>
            <w:tcBorders>
              <w:top w:val="single" w:sz="4" w:space="0" w:color="auto"/>
              <w:left w:val="nil"/>
              <w:bottom w:val="nil"/>
              <w:right w:val="nil"/>
            </w:tcBorders>
            <w:shd w:val="clear" w:color="000000" w:fill="BFBFBF"/>
            <w:noWrap/>
            <w:vAlign w:val="center"/>
            <w:hideMark/>
          </w:tcPr>
          <w:p w14:paraId="3BF111BD"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Skutočnosť</w:t>
            </w:r>
          </w:p>
        </w:tc>
        <w:tc>
          <w:tcPr>
            <w:tcW w:w="1174" w:type="dxa"/>
            <w:tcBorders>
              <w:top w:val="single" w:sz="4" w:space="0" w:color="auto"/>
              <w:left w:val="nil"/>
              <w:bottom w:val="nil"/>
              <w:right w:val="nil"/>
            </w:tcBorders>
            <w:shd w:val="clear" w:color="000000" w:fill="BFBFBF"/>
            <w:noWrap/>
            <w:vAlign w:val="center"/>
            <w:hideMark/>
          </w:tcPr>
          <w:p w14:paraId="2A4243FF"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Rozpočet</w:t>
            </w:r>
          </w:p>
        </w:tc>
        <w:tc>
          <w:tcPr>
            <w:tcW w:w="1191" w:type="dxa"/>
            <w:tcBorders>
              <w:top w:val="single" w:sz="4" w:space="0" w:color="auto"/>
              <w:left w:val="nil"/>
              <w:bottom w:val="nil"/>
              <w:right w:val="nil"/>
            </w:tcBorders>
            <w:shd w:val="clear" w:color="000000" w:fill="BFBFBF"/>
            <w:noWrap/>
            <w:vAlign w:val="center"/>
            <w:hideMark/>
          </w:tcPr>
          <w:p w14:paraId="4B375A4A"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Skutočnosť</w:t>
            </w:r>
          </w:p>
        </w:tc>
        <w:tc>
          <w:tcPr>
            <w:tcW w:w="1171" w:type="dxa"/>
            <w:tcBorders>
              <w:top w:val="single" w:sz="4" w:space="0" w:color="auto"/>
              <w:left w:val="nil"/>
              <w:bottom w:val="nil"/>
              <w:right w:val="nil"/>
            </w:tcBorders>
            <w:shd w:val="clear" w:color="000000" w:fill="BFBFBF"/>
            <w:noWrap/>
            <w:vAlign w:val="center"/>
            <w:hideMark/>
          </w:tcPr>
          <w:p w14:paraId="258F9BC1"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Rozdiel</w:t>
            </w:r>
          </w:p>
        </w:tc>
      </w:tr>
      <w:tr w:rsidR="00B60E36" w:rsidRPr="00B60E36" w14:paraId="5E3DB793" w14:textId="77777777" w:rsidTr="005E3558">
        <w:trPr>
          <w:trHeight w:val="333"/>
        </w:trPr>
        <w:tc>
          <w:tcPr>
            <w:tcW w:w="2571" w:type="dxa"/>
            <w:tcBorders>
              <w:top w:val="nil"/>
              <w:left w:val="nil"/>
              <w:right w:val="nil"/>
            </w:tcBorders>
            <w:shd w:val="clear" w:color="000000" w:fill="BFBFBF"/>
            <w:noWrap/>
            <w:vAlign w:val="center"/>
            <w:hideMark/>
          </w:tcPr>
          <w:p w14:paraId="54306D4C" w14:textId="77777777" w:rsidR="00B60E36" w:rsidRPr="00B60E36" w:rsidRDefault="00B60E36" w:rsidP="00B60E36">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 </w:t>
            </w:r>
          </w:p>
        </w:tc>
        <w:tc>
          <w:tcPr>
            <w:tcW w:w="1173" w:type="dxa"/>
            <w:tcBorders>
              <w:top w:val="nil"/>
              <w:left w:val="nil"/>
              <w:right w:val="nil"/>
            </w:tcBorders>
            <w:shd w:val="clear" w:color="000000" w:fill="BFBFBF"/>
            <w:noWrap/>
            <w:vAlign w:val="center"/>
            <w:hideMark/>
          </w:tcPr>
          <w:p w14:paraId="60DDCE5B"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2017</w:t>
            </w:r>
          </w:p>
        </w:tc>
        <w:tc>
          <w:tcPr>
            <w:tcW w:w="1173" w:type="dxa"/>
            <w:tcBorders>
              <w:top w:val="nil"/>
              <w:left w:val="nil"/>
              <w:right w:val="nil"/>
            </w:tcBorders>
            <w:shd w:val="clear" w:color="000000" w:fill="BFBFBF"/>
            <w:noWrap/>
            <w:vAlign w:val="center"/>
            <w:hideMark/>
          </w:tcPr>
          <w:p w14:paraId="3842596B"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2018</w:t>
            </w:r>
          </w:p>
        </w:tc>
        <w:tc>
          <w:tcPr>
            <w:tcW w:w="1174" w:type="dxa"/>
            <w:tcBorders>
              <w:top w:val="nil"/>
              <w:left w:val="nil"/>
              <w:right w:val="nil"/>
            </w:tcBorders>
            <w:shd w:val="clear" w:color="000000" w:fill="BFBFBF"/>
            <w:noWrap/>
            <w:vAlign w:val="center"/>
            <w:hideMark/>
          </w:tcPr>
          <w:p w14:paraId="646D27F9"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2019</w:t>
            </w:r>
          </w:p>
        </w:tc>
        <w:tc>
          <w:tcPr>
            <w:tcW w:w="1191" w:type="dxa"/>
            <w:tcBorders>
              <w:top w:val="nil"/>
              <w:left w:val="nil"/>
              <w:right w:val="nil"/>
            </w:tcBorders>
            <w:shd w:val="clear" w:color="000000" w:fill="BFBFBF"/>
            <w:noWrap/>
            <w:vAlign w:val="center"/>
            <w:hideMark/>
          </w:tcPr>
          <w:p w14:paraId="4AA36DF2"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2019</w:t>
            </w:r>
          </w:p>
        </w:tc>
        <w:tc>
          <w:tcPr>
            <w:tcW w:w="1171" w:type="dxa"/>
            <w:tcBorders>
              <w:top w:val="nil"/>
              <w:left w:val="nil"/>
              <w:right w:val="nil"/>
            </w:tcBorders>
            <w:shd w:val="clear" w:color="000000" w:fill="BFBFBF"/>
            <w:noWrap/>
            <w:vAlign w:val="center"/>
            <w:hideMark/>
          </w:tcPr>
          <w:p w14:paraId="7ABDCBBB"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2019</w:t>
            </w:r>
          </w:p>
        </w:tc>
      </w:tr>
      <w:tr w:rsidR="00B60E36" w:rsidRPr="00B60E36" w14:paraId="2E075287" w14:textId="77777777" w:rsidTr="005E3558">
        <w:trPr>
          <w:trHeight w:val="333"/>
        </w:trPr>
        <w:tc>
          <w:tcPr>
            <w:tcW w:w="2571" w:type="dxa"/>
            <w:tcBorders>
              <w:top w:val="nil"/>
              <w:left w:val="nil"/>
              <w:bottom w:val="single" w:sz="4" w:space="0" w:color="auto"/>
              <w:right w:val="nil"/>
            </w:tcBorders>
            <w:shd w:val="clear" w:color="000000" w:fill="BFBFBF"/>
            <w:noWrap/>
            <w:vAlign w:val="center"/>
            <w:hideMark/>
          </w:tcPr>
          <w:p w14:paraId="00B858F3" w14:textId="77777777" w:rsidR="00B60E36" w:rsidRPr="00B60E36" w:rsidRDefault="00B60E36" w:rsidP="00B60E36">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 </w:t>
            </w:r>
          </w:p>
        </w:tc>
        <w:tc>
          <w:tcPr>
            <w:tcW w:w="1173" w:type="dxa"/>
            <w:tcBorders>
              <w:top w:val="nil"/>
              <w:left w:val="nil"/>
              <w:bottom w:val="single" w:sz="4" w:space="0" w:color="auto"/>
              <w:right w:val="nil"/>
            </w:tcBorders>
            <w:shd w:val="clear" w:color="000000" w:fill="BFBFBF"/>
            <w:noWrap/>
            <w:vAlign w:val="center"/>
            <w:hideMark/>
          </w:tcPr>
          <w:p w14:paraId="3B390DE3"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1</w:t>
            </w:r>
          </w:p>
        </w:tc>
        <w:tc>
          <w:tcPr>
            <w:tcW w:w="1173" w:type="dxa"/>
            <w:tcBorders>
              <w:top w:val="nil"/>
              <w:left w:val="nil"/>
              <w:bottom w:val="single" w:sz="4" w:space="0" w:color="auto"/>
              <w:right w:val="nil"/>
            </w:tcBorders>
            <w:shd w:val="clear" w:color="000000" w:fill="BFBFBF"/>
            <w:noWrap/>
            <w:vAlign w:val="center"/>
            <w:hideMark/>
          </w:tcPr>
          <w:p w14:paraId="16D68C5E"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2</w:t>
            </w:r>
          </w:p>
        </w:tc>
        <w:tc>
          <w:tcPr>
            <w:tcW w:w="1174" w:type="dxa"/>
            <w:tcBorders>
              <w:top w:val="nil"/>
              <w:left w:val="nil"/>
              <w:bottom w:val="single" w:sz="4" w:space="0" w:color="auto"/>
              <w:right w:val="nil"/>
            </w:tcBorders>
            <w:shd w:val="clear" w:color="000000" w:fill="BFBFBF"/>
            <w:noWrap/>
            <w:vAlign w:val="center"/>
            <w:hideMark/>
          </w:tcPr>
          <w:p w14:paraId="3FD3BB5B"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3</w:t>
            </w:r>
          </w:p>
        </w:tc>
        <w:tc>
          <w:tcPr>
            <w:tcW w:w="1191" w:type="dxa"/>
            <w:tcBorders>
              <w:top w:val="nil"/>
              <w:left w:val="nil"/>
              <w:bottom w:val="single" w:sz="4" w:space="0" w:color="auto"/>
              <w:right w:val="nil"/>
            </w:tcBorders>
            <w:shd w:val="clear" w:color="000000" w:fill="BFBFBF"/>
            <w:noWrap/>
            <w:vAlign w:val="center"/>
            <w:hideMark/>
          </w:tcPr>
          <w:p w14:paraId="38C7574B"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4</w:t>
            </w:r>
          </w:p>
        </w:tc>
        <w:tc>
          <w:tcPr>
            <w:tcW w:w="1171" w:type="dxa"/>
            <w:tcBorders>
              <w:top w:val="nil"/>
              <w:left w:val="nil"/>
              <w:bottom w:val="single" w:sz="4" w:space="0" w:color="auto"/>
              <w:right w:val="nil"/>
            </w:tcBorders>
            <w:shd w:val="clear" w:color="000000" w:fill="BFBFBF"/>
            <w:noWrap/>
            <w:vAlign w:val="center"/>
            <w:hideMark/>
          </w:tcPr>
          <w:p w14:paraId="526CABCA" w14:textId="77777777" w:rsidR="00B60E36" w:rsidRPr="00B60E36" w:rsidRDefault="00B60E36" w:rsidP="00B60E36">
            <w:pPr>
              <w:spacing w:after="0" w:line="240" w:lineRule="auto"/>
              <w:jc w:val="center"/>
              <w:rPr>
                <w:rFonts w:eastAsia="Times New Roman" w:cs="Times New Roman"/>
                <w:b/>
                <w:bCs/>
                <w:sz w:val="20"/>
                <w:szCs w:val="20"/>
                <w:lang w:eastAsia="sk-SK"/>
              </w:rPr>
            </w:pPr>
            <w:r w:rsidRPr="00B60E36">
              <w:rPr>
                <w:rFonts w:eastAsia="Times New Roman" w:cs="Times New Roman"/>
                <w:b/>
                <w:bCs/>
                <w:sz w:val="20"/>
                <w:szCs w:val="20"/>
                <w:lang w:eastAsia="sk-SK"/>
              </w:rPr>
              <w:t>5=4-3</w:t>
            </w:r>
          </w:p>
        </w:tc>
      </w:tr>
      <w:tr w:rsidR="0011109D" w:rsidRPr="00B60E36" w14:paraId="0FD3ED3F" w14:textId="77777777" w:rsidTr="005E3558">
        <w:trPr>
          <w:trHeight w:val="333"/>
        </w:trPr>
        <w:tc>
          <w:tcPr>
            <w:tcW w:w="2571" w:type="dxa"/>
            <w:tcBorders>
              <w:top w:val="single" w:sz="4" w:space="0" w:color="auto"/>
              <w:left w:val="nil"/>
              <w:bottom w:val="nil"/>
              <w:right w:val="nil"/>
            </w:tcBorders>
            <w:shd w:val="clear" w:color="000000" w:fill="FFFFFF"/>
            <w:noWrap/>
            <w:vAlign w:val="center"/>
            <w:hideMark/>
          </w:tcPr>
          <w:p w14:paraId="69F5DF54" w14:textId="77777777" w:rsidR="0011109D" w:rsidRPr="00B60E36" w:rsidRDefault="0011109D" w:rsidP="0011109D">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Príjmy spolu, v tom:</w:t>
            </w:r>
          </w:p>
        </w:tc>
        <w:tc>
          <w:tcPr>
            <w:tcW w:w="1173" w:type="dxa"/>
            <w:tcBorders>
              <w:top w:val="single" w:sz="4" w:space="0" w:color="auto"/>
              <w:left w:val="nil"/>
              <w:bottom w:val="nil"/>
              <w:right w:val="nil"/>
            </w:tcBorders>
            <w:shd w:val="clear" w:color="auto" w:fill="auto"/>
            <w:noWrap/>
            <w:vAlign w:val="center"/>
            <w:hideMark/>
          </w:tcPr>
          <w:p w14:paraId="18859500" w14:textId="4CD10FF1"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34 062 113</w:t>
            </w:r>
          </w:p>
        </w:tc>
        <w:tc>
          <w:tcPr>
            <w:tcW w:w="1173" w:type="dxa"/>
            <w:tcBorders>
              <w:top w:val="single" w:sz="4" w:space="0" w:color="auto"/>
              <w:left w:val="nil"/>
              <w:bottom w:val="nil"/>
              <w:right w:val="nil"/>
            </w:tcBorders>
            <w:shd w:val="clear" w:color="auto" w:fill="auto"/>
            <w:noWrap/>
            <w:vAlign w:val="center"/>
            <w:hideMark/>
          </w:tcPr>
          <w:p w14:paraId="57B1E1A9" w14:textId="18A4FD11"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36 419 372</w:t>
            </w:r>
          </w:p>
        </w:tc>
        <w:tc>
          <w:tcPr>
            <w:tcW w:w="1174" w:type="dxa"/>
            <w:tcBorders>
              <w:top w:val="single" w:sz="4" w:space="0" w:color="auto"/>
              <w:left w:val="nil"/>
              <w:bottom w:val="nil"/>
              <w:right w:val="nil"/>
            </w:tcBorders>
            <w:shd w:val="clear" w:color="auto" w:fill="auto"/>
            <w:noWrap/>
            <w:vAlign w:val="center"/>
            <w:hideMark/>
          </w:tcPr>
          <w:p w14:paraId="5E2B073B" w14:textId="1D6ECB14"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36 902 142</w:t>
            </w:r>
          </w:p>
        </w:tc>
        <w:tc>
          <w:tcPr>
            <w:tcW w:w="1191" w:type="dxa"/>
            <w:tcBorders>
              <w:top w:val="single" w:sz="4" w:space="0" w:color="auto"/>
              <w:left w:val="nil"/>
              <w:bottom w:val="nil"/>
              <w:right w:val="nil"/>
            </w:tcBorders>
            <w:shd w:val="clear" w:color="000000" w:fill="BFBFBF"/>
            <w:noWrap/>
            <w:vAlign w:val="center"/>
            <w:hideMark/>
          </w:tcPr>
          <w:p w14:paraId="33C13F6C" w14:textId="20987E09"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39 178 292</w:t>
            </w:r>
          </w:p>
        </w:tc>
        <w:tc>
          <w:tcPr>
            <w:tcW w:w="1171" w:type="dxa"/>
            <w:tcBorders>
              <w:top w:val="single" w:sz="4" w:space="0" w:color="auto"/>
              <w:left w:val="nil"/>
              <w:bottom w:val="nil"/>
              <w:right w:val="nil"/>
            </w:tcBorders>
            <w:shd w:val="clear" w:color="auto" w:fill="auto"/>
            <w:noWrap/>
            <w:vAlign w:val="center"/>
            <w:hideMark/>
          </w:tcPr>
          <w:p w14:paraId="17AAD5AC" w14:textId="353F8A60"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2 276 150</w:t>
            </w:r>
          </w:p>
        </w:tc>
      </w:tr>
      <w:tr w:rsidR="0011109D" w:rsidRPr="00B60E36" w14:paraId="72D3DED2" w14:textId="77777777" w:rsidTr="0011109D">
        <w:trPr>
          <w:trHeight w:val="333"/>
        </w:trPr>
        <w:tc>
          <w:tcPr>
            <w:tcW w:w="2571" w:type="dxa"/>
            <w:tcBorders>
              <w:top w:val="nil"/>
              <w:left w:val="nil"/>
              <w:bottom w:val="nil"/>
              <w:right w:val="nil"/>
            </w:tcBorders>
            <w:shd w:val="clear" w:color="000000" w:fill="FFFFFF"/>
            <w:noWrap/>
            <w:vAlign w:val="center"/>
            <w:hideMark/>
          </w:tcPr>
          <w:p w14:paraId="5041417C" w14:textId="77777777" w:rsidR="0011109D" w:rsidRPr="00B60E36" w:rsidRDefault="0011109D" w:rsidP="0011109D">
            <w:pPr>
              <w:spacing w:after="0" w:line="240" w:lineRule="auto"/>
              <w:jc w:val="left"/>
              <w:rPr>
                <w:rFonts w:eastAsia="Times New Roman" w:cs="Times New Roman"/>
                <w:color w:val="000000"/>
                <w:sz w:val="20"/>
                <w:szCs w:val="20"/>
                <w:lang w:eastAsia="sk-SK"/>
              </w:rPr>
            </w:pPr>
            <w:r w:rsidRPr="00B60E36">
              <w:rPr>
                <w:rFonts w:eastAsia="Times New Roman" w:cs="Times New Roman"/>
                <w:color w:val="000000"/>
                <w:sz w:val="20"/>
                <w:szCs w:val="20"/>
                <w:lang w:eastAsia="sk-SK"/>
              </w:rPr>
              <w:t>Daňové a poistné príjmy</w:t>
            </w:r>
          </w:p>
        </w:tc>
        <w:tc>
          <w:tcPr>
            <w:tcW w:w="1173" w:type="dxa"/>
            <w:tcBorders>
              <w:top w:val="nil"/>
              <w:left w:val="nil"/>
              <w:bottom w:val="nil"/>
              <w:right w:val="nil"/>
            </w:tcBorders>
            <w:shd w:val="clear" w:color="000000" w:fill="FFFFFF"/>
            <w:noWrap/>
            <w:vAlign w:val="center"/>
            <w:hideMark/>
          </w:tcPr>
          <w:p w14:paraId="727A0357" w14:textId="2D7AFB7D" w:rsidR="0011109D" w:rsidRPr="00B60E36" w:rsidRDefault="0011109D" w:rsidP="0011109D">
            <w:pPr>
              <w:spacing w:after="0" w:line="240" w:lineRule="auto"/>
              <w:jc w:val="right"/>
              <w:rPr>
                <w:rFonts w:eastAsia="Times New Roman" w:cs="Times New Roman"/>
                <w:sz w:val="20"/>
                <w:szCs w:val="20"/>
                <w:lang w:eastAsia="sk-SK"/>
              </w:rPr>
            </w:pPr>
            <w:r>
              <w:rPr>
                <w:sz w:val="20"/>
                <w:szCs w:val="20"/>
              </w:rPr>
              <w:t>28 573 761</w:t>
            </w:r>
          </w:p>
        </w:tc>
        <w:tc>
          <w:tcPr>
            <w:tcW w:w="1173" w:type="dxa"/>
            <w:tcBorders>
              <w:top w:val="nil"/>
              <w:left w:val="nil"/>
              <w:bottom w:val="nil"/>
              <w:right w:val="nil"/>
            </w:tcBorders>
            <w:shd w:val="clear" w:color="000000" w:fill="FFFFFF"/>
            <w:noWrap/>
            <w:vAlign w:val="center"/>
            <w:hideMark/>
          </w:tcPr>
          <w:p w14:paraId="4DDF23E1" w14:textId="6A580AC2" w:rsidR="0011109D" w:rsidRPr="00B60E36" w:rsidRDefault="0011109D" w:rsidP="0011109D">
            <w:pPr>
              <w:spacing w:after="0" w:line="240" w:lineRule="auto"/>
              <w:jc w:val="right"/>
              <w:rPr>
                <w:rFonts w:eastAsia="Times New Roman" w:cs="Times New Roman"/>
                <w:sz w:val="20"/>
                <w:szCs w:val="20"/>
                <w:lang w:eastAsia="sk-SK"/>
              </w:rPr>
            </w:pPr>
            <w:r>
              <w:rPr>
                <w:sz w:val="20"/>
                <w:szCs w:val="20"/>
              </w:rPr>
              <w:t>28 509 280</w:t>
            </w:r>
          </w:p>
        </w:tc>
        <w:tc>
          <w:tcPr>
            <w:tcW w:w="1174" w:type="dxa"/>
            <w:tcBorders>
              <w:top w:val="nil"/>
              <w:left w:val="nil"/>
              <w:bottom w:val="nil"/>
              <w:right w:val="nil"/>
            </w:tcBorders>
            <w:shd w:val="clear" w:color="000000" w:fill="FFFFFF"/>
            <w:noWrap/>
            <w:vAlign w:val="center"/>
            <w:hideMark/>
          </w:tcPr>
          <w:p w14:paraId="04705193" w14:textId="29A38B28"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31 151 197</w:t>
            </w:r>
          </w:p>
        </w:tc>
        <w:tc>
          <w:tcPr>
            <w:tcW w:w="1191" w:type="dxa"/>
            <w:tcBorders>
              <w:top w:val="nil"/>
              <w:left w:val="nil"/>
              <w:bottom w:val="nil"/>
              <w:right w:val="nil"/>
            </w:tcBorders>
            <w:shd w:val="clear" w:color="000000" w:fill="BFBFBF"/>
            <w:noWrap/>
            <w:vAlign w:val="center"/>
            <w:hideMark/>
          </w:tcPr>
          <w:p w14:paraId="63F617EB" w14:textId="5DE8AD44"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32 034 879</w:t>
            </w:r>
          </w:p>
        </w:tc>
        <w:tc>
          <w:tcPr>
            <w:tcW w:w="1171" w:type="dxa"/>
            <w:tcBorders>
              <w:top w:val="nil"/>
              <w:left w:val="nil"/>
              <w:bottom w:val="nil"/>
              <w:right w:val="nil"/>
            </w:tcBorders>
            <w:shd w:val="clear" w:color="000000" w:fill="FFFFFF"/>
            <w:noWrap/>
            <w:vAlign w:val="center"/>
            <w:hideMark/>
          </w:tcPr>
          <w:p w14:paraId="73006FF4" w14:textId="7428D6E2" w:rsidR="0011109D" w:rsidRPr="00B60E36" w:rsidRDefault="0011109D" w:rsidP="0011109D">
            <w:pPr>
              <w:spacing w:after="0" w:line="240" w:lineRule="auto"/>
              <w:jc w:val="right"/>
              <w:rPr>
                <w:rFonts w:eastAsia="Times New Roman" w:cs="Times New Roman"/>
                <w:sz w:val="20"/>
                <w:szCs w:val="20"/>
                <w:lang w:eastAsia="sk-SK"/>
              </w:rPr>
            </w:pPr>
            <w:r>
              <w:rPr>
                <w:sz w:val="20"/>
                <w:szCs w:val="20"/>
              </w:rPr>
              <w:t>883 682</w:t>
            </w:r>
          </w:p>
        </w:tc>
      </w:tr>
      <w:tr w:rsidR="0011109D" w:rsidRPr="00B60E36" w14:paraId="4FED872F" w14:textId="77777777" w:rsidTr="0011109D">
        <w:trPr>
          <w:trHeight w:val="333"/>
        </w:trPr>
        <w:tc>
          <w:tcPr>
            <w:tcW w:w="2571" w:type="dxa"/>
            <w:tcBorders>
              <w:top w:val="nil"/>
              <w:left w:val="nil"/>
              <w:bottom w:val="nil"/>
              <w:right w:val="nil"/>
            </w:tcBorders>
            <w:shd w:val="clear" w:color="000000" w:fill="FFFFFF"/>
            <w:noWrap/>
            <w:vAlign w:val="center"/>
            <w:hideMark/>
          </w:tcPr>
          <w:p w14:paraId="45180FCE" w14:textId="77777777" w:rsidR="0011109D" w:rsidRPr="00B60E36" w:rsidRDefault="0011109D" w:rsidP="0011109D">
            <w:pPr>
              <w:spacing w:after="0" w:line="240" w:lineRule="auto"/>
              <w:jc w:val="left"/>
              <w:rPr>
                <w:rFonts w:eastAsia="Times New Roman" w:cs="Times New Roman"/>
                <w:color w:val="000000"/>
                <w:sz w:val="20"/>
                <w:szCs w:val="20"/>
                <w:lang w:eastAsia="sk-SK"/>
              </w:rPr>
            </w:pPr>
            <w:r w:rsidRPr="00B60E36">
              <w:rPr>
                <w:rFonts w:eastAsia="Times New Roman" w:cs="Times New Roman"/>
                <w:color w:val="000000"/>
                <w:sz w:val="20"/>
                <w:szCs w:val="20"/>
                <w:lang w:eastAsia="sk-SK"/>
              </w:rPr>
              <w:t>Nedaňové príjmy</w:t>
            </w:r>
          </w:p>
        </w:tc>
        <w:tc>
          <w:tcPr>
            <w:tcW w:w="1173" w:type="dxa"/>
            <w:tcBorders>
              <w:top w:val="nil"/>
              <w:left w:val="nil"/>
              <w:bottom w:val="nil"/>
              <w:right w:val="nil"/>
            </w:tcBorders>
            <w:shd w:val="clear" w:color="000000" w:fill="FFFFFF"/>
            <w:noWrap/>
            <w:vAlign w:val="center"/>
            <w:hideMark/>
          </w:tcPr>
          <w:p w14:paraId="472332DE" w14:textId="742CAD90" w:rsidR="0011109D" w:rsidRPr="00B60E36" w:rsidRDefault="0011109D" w:rsidP="0011109D">
            <w:pPr>
              <w:spacing w:after="0" w:line="240" w:lineRule="auto"/>
              <w:jc w:val="right"/>
              <w:rPr>
                <w:rFonts w:eastAsia="Times New Roman" w:cs="Times New Roman"/>
                <w:sz w:val="20"/>
                <w:szCs w:val="20"/>
                <w:lang w:eastAsia="sk-SK"/>
              </w:rPr>
            </w:pPr>
            <w:r>
              <w:rPr>
                <w:sz w:val="20"/>
                <w:szCs w:val="20"/>
              </w:rPr>
              <w:t>4 693 780</w:t>
            </w:r>
          </w:p>
        </w:tc>
        <w:tc>
          <w:tcPr>
            <w:tcW w:w="1173" w:type="dxa"/>
            <w:tcBorders>
              <w:top w:val="nil"/>
              <w:left w:val="nil"/>
              <w:bottom w:val="nil"/>
              <w:right w:val="nil"/>
            </w:tcBorders>
            <w:shd w:val="clear" w:color="000000" w:fill="FFFFFF"/>
            <w:noWrap/>
            <w:vAlign w:val="center"/>
            <w:hideMark/>
          </w:tcPr>
          <w:p w14:paraId="2C63511B" w14:textId="5CF6E3F9" w:rsidR="0011109D" w:rsidRPr="00B60E36" w:rsidRDefault="0011109D" w:rsidP="0011109D">
            <w:pPr>
              <w:spacing w:after="0" w:line="240" w:lineRule="auto"/>
              <w:jc w:val="right"/>
              <w:rPr>
                <w:rFonts w:eastAsia="Times New Roman" w:cs="Times New Roman"/>
                <w:sz w:val="20"/>
                <w:szCs w:val="20"/>
                <w:lang w:eastAsia="sk-SK"/>
              </w:rPr>
            </w:pPr>
            <w:r>
              <w:rPr>
                <w:sz w:val="20"/>
                <w:szCs w:val="20"/>
              </w:rPr>
              <w:t>6 550 431</w:t>
            </w:r>
          </w:p>
        </w:tc>
        <w:tc>
          <w:tcPr>
            <w:tcW w:w="1174" w:type="dxa"/>
            <w:tcBorders>
              <w:top w:val="nil"/>
              <w:left w:val="nil"/>
              <w:bottom w:val="nil"/>
              <w:right w:val="nil"/>
            </w:tcBorders>
            <w:shd w:val="clear" w:color="000000" w:fill="FFFFFF"/>
            <w:noWrap/>
            <w:vAlign w:val="center"/>
            <w:hideMark/>
          </w:tcPr>
          <w:p w14:paraId="792B4635" w14:textId="12AB87DE" w:rsidR="0011109D" w:rsidRPr="00B60E36" w:rsidRDefault="0011109D" w:rsidP="0011109D">
            <w:pPr>
              <w:spacing w:after="0" w:line="240" w:lineRule="auto"/>
              <w:jc w:val="right"/>
              <w:rPr>
                <w:rFonts w:eastAsia="Times New Roman" w:cs="Times New Roman"/>
                <w:sz w:val="20"/>
                <w:szCs w:val="20"/>
                <w:lang w:eastAsia="sk-SK"/>
              </w:rPr>
            </w:pPr>
            <w:r>
              <w:rPr>
                <w:sz w:val="20"/>
                <w:szCs w:val="20"/>
              </w:rPr>
              <w:t>5 278 425</w:t>
            </w:r>
          </w:p>
        </w:tc>
        <w:tc>
          <w:tcPr>
            <w:tcW w:w="1191" w:type="dxa"/>
            <w:tcBorders>
              <w:top w:val="nil"/>
              <w:left w:val="nil"/>
              <w:bottom w:val="nil"/>
              <w:right w:val="nil"/>
            </w:tcBorders>
            <w:shd w:val="clear" w:color="000000" w:fill="BFBFBF"/>
            <w:noWrap/>
            <w:vAlign w:val="center"/>
            <w:hideMark/>
          </w:tcPr>
          <w:p w14:paraId="0C315173" w14:textId="50828497" w:rsidR="0011109D" w:rsidRPr="00B60E36" w:rsidRDefault="0011109D" w:rsidP="0011109D">
            <w:pPr>
              <w:spacing w:after="0" w:line="240" w:lineRule="auto"/>
              <w:jc w:val="right"/>
              <w:rPr>
                <w:rFonts w:eastAsia="Times New Roman" w:cs="Times New Roman"/>
                <w:sz w:val="20"/>
                <w:szCs w:val="20"/>
                <w:lang w:eastAsia="sk-SK"/>
              </w:rPr>
            </w:pPr>
            <w:r>
              <w:rPr>
                <w:sz w:val="20"/>
                <w:szCs w:val="20"/>
              </w:rPr>
              <w:t>5 634 371</w:t>
            </w:r>
          </w:p>
        </w:tc>
        <w:tc>
          <w:tcPr>
            <w:tcW w:w="1171" w:type="dxa"/>
            <w:tcBorders>
              <w:top w:val="nil"/>
              <w:left w:val="nil"/>
              <w:bottom w:val="nil"/>
              <w:right w:val="nil"/>
            </w:tcBorders>
            <w:shd w:val="clear" w:color="000000" w:fill="FFFFFF"/>
            <w:noWrap/>
            <w:vAlign w:val="center"/>
            <w:hideMark/>
          </w:tcPr>
          <w:p w14:paraId="5B0E555C" w14:textId="4C16D1AD"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355 946</w:t>
            </w:r>
          </w:p>
        </w:tc>
      </w:tr>
      <w:tr w:rsidR="0011109D" w:rsidRPr="00B60E36" w14:paraId="00200BE8" w14:textId="77777777" w:rsidTr="0011109D">
        <w:trPr>
          <w:trHeight w:val="333"/>
        </w:trPr>
        <w:tc>
          <w:tcPr>
            <w:tcW w:w="2571" w:type="dxa"/>
            <w:tcBorders>
              <w:top w:val="nil"/>
              <w:left w:val="nil"/>
              <w:bottom w:val="nil"/>
              <w:right w:val="nil"/>
            </w:tcBorders>
            <w:shd w:val="clear" w:color="000000" w:fill="FFFFFF"/>
            <w:noWrap/>
            <w:vAlign w:val="center"/>
            <w:hideMark/>
          </w:tcPr>
          <w:p w14:paraId="6667EAF7" w14:textId="77777777" w:rsidR="0011109D" w:rsidRPr="00B60E36" w:rsidRDefault="0011109D" w:rsidP="0011109D">
            <w:pPr>
              <w:spacing w:after="0" w:line="240" w:lineRule="auto"/>
              <w:jc w:val="left"/>
              <w:rPr>
                <w:rFonts w:eastAsia="Times New Roman" w:cs="Times New Roman"/>
                <w:color w:val="000000"/>
                <w:sz w:val="20"/>
                <w:szCs w:val="20"/>
                <w:lang w:eastAsia="sk-SK"/>
              </w:rPr>
            </w:pPr>
            <w:r w:rsidRPr="00B60E36">
              <w:rPr>
                <w:rFonts w:eastAsia="Times New Roman" w:cs="Times New Roman"/>
                <w:color w:val="000000"/>
                <w:sz w:val="20"/>
                <w:szCs w:val="20"/>
                <w:lang w:eastAsia="sk-SK"/>
              </w:rPr>
              <w:t>Granty a transfery</w:t>
            </w:r>
          </w:p>
        </w:tc>
        <w:tc>
          <w:tcPr>
            <w:tcW w:w="1173" w:type="dxa"/>
            <w:tcBorders>
              <w:top w:val="nil"/>
              <w:left w:val="nil"/>
              <w:bottom w:val="nil"/>
              <w:right w:val="nil"/>
            </w:tcBorders>
            <w:shd w:val="clear" w:color="000000" w:fill="FFFFFF"/>
            <w:noWrap/>
            <w:vAlign w:val="center"/>
            <w:hideMark/>
          </w:tcPr>
          <w:p w14:paraId="3BADFE37" w14:textId="3FFD6B6B" w:rsidR="0011109D" w:rsidRPr="00B60E36" w:rsidRDefault="0011109D" w:rsidP="0011109D">
            <w:pPr>
              <w:spacing w:after="0" w:line="240" w:lineRule="auto"/>
              <w:jc w:val="right"/>
              <w:rPr>
                <w:rFonts w:eastAsia="Times New Roman" w:cs="Times New Roman"/>
                <w:sz w:val="20"/>
                <w:szCs w:val="20"/>
                <w:lang w:eastAsia="sk-SK"/>
              </w:rPr>
            </w:pPr>
            <w:r>
              <w:rPr>
                <w:sz w:val="20"/>
                <w:szCs w:val="20"/>
              </w:rPr>
              <w:t>794 572</w:t>
            </w:r>
          </w:p>
        </w:tc>
        <w:tc>
          <w:tcPr>
            <w:tcW w:w="1173" w:type="dxa"/>
            <w:tcBorders>
              <w:top w:val="nil"/>
              <w:left w:val="nil"/>
              <w:bottom w:val="nil"/>
              <w:right w:val="nil"/>
            </w:tcBorders>
            <w:shd w:val="clear" w:color="000000" w:fill="FFFFFF"/>
            <w:noWrap/>
            <w:vAlign w:val="center"/>
            <w:hideMark/>
          </w:tcPr>
          <w:p w14:paraId="1CFE60D2" w14:textId="695832B8" w:rsidR="0011109D" w:rsidRPr="00B60E36" w:rsidRDefault="0011109D" w:rsidP="0011109D">
            <w:pPr>
              <w:spacing w:after="0" w:line="240" w:lineRule="auto"/>
              <w:jc w:val="right"/>
              <w:rPr>
                <w:rFonts w:eastAsia="Times New Roman" w:cs="Times New Roman"/>
                <w:sz w:val="20"/>
                <w:szCs w:val="20"/>
                <w:lang w:eastAsia="sk-SK"/>
              </w:rPr>
            </w:pPr>
            <w:r>
              <w:rPr>
                <w:sz w:val="20"/>
                <w:szCs w:val="20"/>
              </w:rPr>
              <w:t>1 359 661</w:t>
            </w:r>
          </w:p>
        </w:tc>
        <w:tc>
          <w:tcPr>
            <w:tcW w:w="1174" w:type="dxa"/>
            <w:tcBorders>
              <w:top w:val="nil"/>
              <w:left w:val="nil"/>
              <w:bottom w:val="nil"/>
              <w:right w:val="nil"/>
            </w:tcBorders>
            <w:shd w:val="clear" w:color="000000" w:fill="FFFFFF"/>
            <w:noWrap/>
            <w:vAlign w:val="center"/>
            <w:hideMark/>
          </w:tcPr>
          <w:p w14:paraId="65D50DC9" w14:textId="1B99F725" w:rsidR="0011109D" w:rsidRPr="00B60E36" w:rsidRDefault="0011109D" w:rsidP="0011109D">
            <w:pPr>
              <w:spacing w:after="0" w:line="240" w:lineRule="auto"/>
              <w:jc w:val="right"/>
              <w:rPr>
                <w:rFonts w:eastAsia="Times New Roman" w:cs="Times New Roman"/>
                <w:sz w:val="20"/>
                <w:szCs w:val="20"/>
                <w:lang w:eastAsia="sk-SK"/>
              </w:rPr>
            </w:pPr>
            <w:r>
              <w:rPr>
                <w:sz w:val="20"/>
                <w:szCs w:val="20"/>
              </w:rPr>
              <w:t>472 520</w:t>
            </w:r>
          </w:p>
        </w:tc>
        <w:tc>
          <w:tcPr>
            <w:tcW w:w="1191" w:type="dxa"/>
            <w:tcBorders>
              <w:top w:val="nil"/>
              <w:left w:val="nil"/>
              <w:bottom w:val="nil"/>
              <w:right w:val="nil"/>
            </w:tcBorders>
            <w:shd w:val="clear" w:color="000000" w:fill="BFBFBF"/>
            <w:noWrap/>
            <w:vAlign w:val="center"/>
            <w:hideMark/>
          </w:tcPr>
          <w:p w14:paraId="397ECC62" w14:textId="45FD8126" w:rsidR="0011109D" w:rsidRPr="00B60E36" w:rsidRDefault="0011109D" w:rsidP="0011109D">
            <w:pPr>
              <w:spacing w:after="0" w:line="240" w:lineRule="auto"/>
              <w:jc w:val="right"/>
              <w:rPr>
                <w:rFonts w:eastAsia="Times New Roman" w:cs="Times New Roman"/>
                <w:sz w:val="20"/>
                <w:szCs w:val="20"/>
                <w:lang w:eastAsia="sk-SK"/>
              </w:rPr>
            </w:pPr>
            <w:r>
              <w:rPr>
                <w:sz w:val="20"/>
                <w:szCs w:val="20"/>
              </w:rPr>
              <w:t>1 509 042</w:t>
            </w:r>
          </w:p>
        </w:tc>
        <w:tc>
          <w:tcPr>
            <w:tcW w:w="1171" w:type="dxa"/>
            <w:tcBorders>
              <w:top w:val="nil"/>
              <w:left w:val="nil"/>
              <w:bottom w:val="nil"/>
              <w:right w:val="nil"/>
            </w:tcBorders>
            <w:shd w:val="clear" w:color="000000" w:fill="FFFFFF"/>
            <w:noWrap/>
            <w:vAlign w:val="center"/>
            <w:hideMark/>
          </w:tcPr>
          <w:p w14:paraId="5073A8D0" w14:textId="0A52F012" w:rsidR="0011109D" w:rsidRPr="00B60E36" w:rsidRDefault="0011109D" w:rsidP="0011109D">
            <w:pPr>
              <w:spacing w:after="0" w:line="240" w:lineRule="auto"/>
              <w:jc w:val="right"/>
              <w:rPr>
                <w:rFonts w:eastAsia="Times New Roman" w:cs="Times New Roman"/>
                <w:sz w:val="20"/>
                <w:szCs w:val="20"/>
                <w:lang w:eastAsia="sk-SK"/>
              </w:rPr>
            </w:pPr>
            <w:r>
              <w:rPr>
                <w:sz w:val="20"/>
                <w:szCs w:val="20"/>
              </w:rPr>
              <w:t>1 036 522</w:t>
            </w:r>
          </w:p>
        </w:tc>
      </w:tr>
      <w:tr w:rsidR="0011109D" w:rsidRPr="00B60E36" w14:paraId="7CE27E21" w14:textId="77777777" w:rsidTr="0011109D">
        <w:trPr>
          <w:trHeight w:val="333"/>
        </w:trPr>
        <w:tc>
          <w:tcPr>
            <w:tcW w:w="2571" w:type="dxa"/>
            <w:tcBorders>
              <w:top w:val="nil"/>
              <w:left w:val="nil"/>
              <w:bottom w:val="nil"/>
              <w:right w:val="nil"/>
            </w:tcBorders>
            <w:shd w:val="clear" w:color="000000" w:fill="FFFFFF"/>
            <w:noWrap/>
            <w:vAlign w:val="center"/>
            <w:hideMark/>
          </w:tcPr>
          <w:p w14:paraId="68757CAD" w14:textId="77777777" w:rsidR="0011109D" w:rsidRPr="00B60E36" w:rsidRDefault="0011109D" w:rsidP="0011109D">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Výdavky spolu, v tom:</w:t>
            </w:r>
          </w:p>
        </w:tc>
        <w:tc>
          <w:tcPr>
            <w:tcW w:w="1173" w:type="dxa"/>
            <w:tcBorders>
              <w:top w:val="nil"/>
              <w:left w:val="nil"/>
              <w:bottom w:val="nil"/>
              <w:right w:val="nil"/>
            </w:tcBorders>
            <w:shd w:val="clear" w:color="auto" w:fill="auto"/>
            <w:noWrap/>
            <w:vAlign w:val="center"/>
            <w:hideMark/>
          </w:tcPr>
          <w:p w14:paraId="7E3CD7EE" w14:textId="1CEA4237"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34 867 074</w:t>
            </w:r>
          </w:p>
        </w:tc>
        <w:tc>
          <w:tcPr>
            <w:tcW w:w="1173" w:type="dxa"/>
            <w:tcBorders>
              <w:top w:val="nil"/>
              <w:left w:val="nil"/>
              <w:bottom w:val="nil"/>
              <w:right w:val="nil"/>
            </w:tcBorders>
            <w:shd w:val="clear" w:color="auto" w:fill="auto"/>
            <w:noWrap/>
            <w:vAlign w:val="center"/>
            <w:hideMark/>
          </w:tcPr>
          <w:p w14:paraId="7F34C0F0" w14:textId="76EA8257"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37 360 000</w:t>
            </w:r>
          </w:p>
        </w:tc>
        <w:tc>
          <w:tcPr>
            <w:tcW w:w="1174" w:type="dxa"/>
            <w:tcBorders>
              <w:top w:val="nil"/>
              <w:left w:val="nil"/>
              <w:bottom w:val="nil"/>
              <w:right w:val="nil"/>
            </w:tcBorders>
            <w:shd w:val="clear" w:color="auto" w:fill="auto"/>
            <w:noWrap/>
            <w:vAlign w:val="center"/>
            <w:hideMark/>
          </w:tcPr>
          <w:p w14:paraId="25DAC494" w14:textId="4BDB12EF"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36 902 142</w:t>
            </w:r>
          </w:p>
        </w:tc>
        <w:tc>
          <w:tcPr>
            <w:tcW w:w="1191" w:type="dxa"/>
            <w:tcBorders>
              <w:top w:val="nil"/>
              <w:left w:val="nil"/>
              <w:bottom w:val="nil"/>
              <w:right w:val="nil"/>
            </w:tcBorders>
            <w:shd w:val="clear" w:color="000000" w:fill="BFBFBF"/>
            <w:noWrap/>
            <w:vAlign w:val="center"/>
            <w:hideMark/>
          </w:tcPr>
          <w:p w14:paraId="54B43250" w14:textId="6DBD168A" w:rsidR="0011109D" w:rsidRPr="00344297" w:rsidRDefault="0011109D" w:rsidP="0011109D">
            <w:pPr>
              <w:spacing w:after="0" w:line="240" w:lineRule="auto"/>
              <w:jc w:val="right"/>
              <w:rPr>
                <w:rFonts w:eastAsia="Times New Roman" w:cs="Times New Roman"/>
                <w:b/>
                <w:bCs/>
                <w:sz w:val="20"/>
                <w:szCs w:val="20"/>
                <w:highlight w:val="yellow"/>
                <w:lang w:eastAsia="sk-SK"/>
              </w:rPr>
            </w:pPr>
            <w:r>
              <w:rPr>
                <w:b/>
                <w:bCs/>
                <w:sz w:val="20"/>
                <w:szCs w:val="20"/>
              </w:rPr>
              <w:t>40 398 022</w:t>
            </w:r>
          </w:p>
        </w:tc>
        <w:tc>
          <w:tcPr>
            <w:tcW w:w="1171" w:type="dxa"/>
            <w:tcBorders>
              <w:top w:val="nil"/>
              <w:left w:val="nil"/>
              <w:bottom w:val="nil"/>
              <w:right w:val="nil"/>
            </w:tcBorders>
            <w:shd w:val="clear" w:color="auto" w:fill="auto"/>
            <w:noWrap/>
            <w:vAlign w:val="center"/>
            <w:hideMark/>
          </w:tcPr>
          <w:p w14:paraId="1FFB0B05" w14:textId="2245D7EC" w:rsidR="0011109D" w:rsidRPr="00344297" w:rsidRDefault="0011109D" w:rsidP="0011109D">
            <w:pPr>
              <w:spacing w:after="0" w:line="240" w:lineRule="auto"/>
              <w:jc w:val="right"/>
              <w:rPr>
                <w:rFonts w:eastAsia="Times New Roman" w:cs="Times New Roman"/>
                <w:b/>
                <w:bCs/>
                <w:sz w:val="20"/>
                <w:szCs w:val="20"/>
                <w:highlight w:val="yellow"/>
                <w:lang w:eastAsia="sk-SK"/>
              </w:rPr>
            </w:pPr>
            <w:r>
              <w:rPr>
                <w:b/>
                <w:bCs/>
                <w:sz w:val="20"/>
                <w:szCs w:val="20"/>
              </w:rPr>
              <w:t>3 495 880</w:t>
            </w:r>
          </w:p>
        </w:tc>
      </w:tr>
      <w:tr w:rsidR="0011109D" w:rsidRPr="00B60E36" w14:paraId="643BD64C" w14:textId="77777777" w:rsidTr="0011109D">
        <w:trPr>
          <w:trHeight w:val="333"/>
        </w:trPr>
        <w:tc>
          <w:tcPr>
            <w:tcW w:w="2571" w:type="dxa"/>
            <w:tcBorders>
              <w:top w:val="nil"/>
              <w:left w:val="nil"/>
              <w:bottom w:val="nil"/>
              <w:right w:val="nil"/>
            </w:tcBorders>
            <w:shd w:val="clear" w:color="000000" w:fill="FFFFFF"/>
            <w:noWrap/>
            <w:vAlign w:val="center"/>
            <w:hideMark/>
          </w:tcPr>
          <w:p w14:paraId="180DA47D" w14:textId="77777777" w:rsidR="0011109D" w:rsidRPr="00B60E36" w:rsidRDefault="0011109D" w:rsidP="0011109D">
            <w:pPr>
              <w:spacing w:after="0" w:line="240" w:lineRule="auto"/>
              <w:jc w:val="left"/>
              <w:rPr>
                <w:rFonts w:eastAsia="Times New Roman" w:cs="Times New Roman"/>
                <w:color w:val="000000"/>
                <w:sz w:val="20"/>
                <w:szCs w:val="20"/>
                <w:lang w:eastAsia="sk-SK"/>
              </w:rPr>
            </w:pPr>
            <w:r w:rsidRPr="00B60E36">
              <w:rPr>
                <w:rFonts w:eastAsia="Times New Roman" w:cs="Times New Roman"/>
                <w:color w:val="000000"/>
                <w:sz w:val="20"/>
                <w:szCs w:val="20"/>
                <w:lang w:eastAsia="sk-SK"/>
              </w:rPr>
              <w:t>Bežné výdavky</w:t>
            </w:r>
          </w:p>
        </w:tc>
        <w:tc>
          <w:tcPr>
            <w:tcW w:w="1173" w:type="dxa"/>
            <w:tcBorders>
              <w:top w:val="nil"/>
              <w:left w:val="nil"/>
              <w:bottom w:val="nil"/>
              <w:right w:val="nil"/>
            </w:tcBorders>
            <w:shd w:val="clear" w:color="000000" w:fill="FFFFFF"/>
            <w:noWrap/>
            <w:vAlign w:val="center"/>
            <w:hideMark/>
          </w:tcPr>
          <w:p w14:paraId="5E6C037C" w14:textId="7FE40250"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32 182 422</w:t>
            </w:r>
          </w:p>
        </w:tc>
        <w:tc>
          <w:tcPr>
            <w:tcW w:w="1173" w:type="dxa"/>
            <w:tcBorders>
              <w:top w:val="nil"/>
              <w:left w:val="nil"/>
              <w:bottom w:val="nil"/>
              <w:right w:val="nil"/>
            </w:tcBorders>
            <w:shd w:val="clear" w:color="000000" w:fill="FFFFFF"/>
            <w:noWrap/>
            <w:vAlign w:val="center"/>
            <w:hideMark/>
          </w:tcPr>
          <w:p w14:paraId="70CE8F19" w14:textId="63755D43"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34 402 539</w:t>
            </w:r>
          </w:p>
        </w:tc>
        <w:tc>
          <w:tcPr>
            <w:tcW w:w="1174" w:type="dxa"/>
            <w:tcBorders>
              <w:top w:val="nil"/>
              <w:left w:val="nil"/>
              <w:bottom w:val="nil"/>
              <w:right w:val="nil"/>
            </w:tcBorders>
            <w:shd w:val="clear" w:color="000000" w:fill="FFFFFF"/>
            <w:noWrap/>
            <w:vAlign w:val="center"/>
            <w:hideMark/>
          </w:tcPr>
          <w:p w14:paraId="3F54B73B" w14:textId="7B7847EF"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34 735 228</w:t>
            </w:r>
          </w:p>
        </w:tc>
        <w:tc>
          <w:tcPr>
            <w:tcW w:w="1191" w:type="dxa"/>
            <w:tcBorders>
              <w:top w:val="nil"/>
              <w:left w:val="nil"/>
              <w:bottom w:val="nil"/>
              <w:right w:val="nil"/>
            </w:tcBorders>
            <w:shd w:val="clear" w:color="000000" w:fill="BFBFBF"/>
            <w:noWrap/>
            <w:vAlign w:val="center"/>
            <w:hideMark/>
          </w:tcPr>
          <w:p w14:paraId="300623BB" w14:textId="72F51B7D" w:rsidR="0011109D" w:rsidRPr="00B60E36" w:rsidRDefault="0011109D" w:rsidP="0011109D">
            <w:pPr>
              <w:spacing w:after="0" w:line="240" w:lineRule="auto"/>
              <w:jc w:val="right"/>
              <w:rPr>
                <w:rFonts w:eastAsia="Times New Roman" w:cs="Times New Roman"/>
                <w:sz w:val="20"/>
                <w:szCs w:val="20"/>
                <w:lang w:eastAsia="sk-SK"/>
              </w:rPr>
            </w:pPr>
            <w:r>
              <w:rPr>
                <w:sz w:val="20"/>
                <w:szCs w:val="20"/>
              </w:rPr>
              <w:t>36 858 864</w:t>
            </w:r>
          </w:p>
        </w:tc>
        <w:tc>
          <w:tcPr>
            <w:tcW w:w="1171" w:type="dxa"/>
            <w:tcBorders>
              <w:top w:val="nil"/>
              <w:left w:val="nil"/>
              <w:bottom w:val="nil"/>
              <w:right w:val="nil"/>
            </w:tcBorders>
            <w:shd w:val="clear" w:color="000000" w:fill="FFFFFF"/>
            <w:noWrap/>
            <w:vAlign w:val="center"/>
            <w:hideMark/>
          </w:tcPr>
          <w:p w14:paraId="769599D7" w14:textId="07CB9AFD" w:rsidR="0011109D" w:rsidRPr="00B60E36" w:rsidRDefault="0011109D" w:rsidP="0011109D">
            <w:pPr>
              <w:spacing w:after="0" w:line="240" w:lineRule="auto"/>
              <w:jc w:val="right"/>
              <w:rPr>
                <w:rFonts w:eastAsia="Times New Roman" w:cs="Times New Roman"/>
                <w:sz w:val="20"/>
                <w:szCs w:val="20"/>
                <w:lang w:eastAsia="sk-SK"/>
              </w:rPr>
            </w:pPr>
            <w:r>
              <w:rPr>
                <w:sz w:val="20"/>
                <w:szCs w:val="20"/>
              </w:rPr>
              <w:t>2 123 636</w:t>
            </w:r>
          </w:p>
        </w:tc>
      </w:tr>
      <w:tr w:rsidR="0011109D" w:rsidRPr="00B60E36" w14:paraId="002134D1" w14:textId="77777777" w:rsidTr="009A0CAF">
        <w:trPr>
          <w:trHeight w:val="333"/>
        </w:trPr>
        <w:tc>
          <w:tcPr>
            <w:tcW w:w="2571" w:type="dxa"/>
            <w:tcBorders>
              <w:top w:val="nil"/>
              <w:left w:val="nil"/>
              <w:bottom w:val="single" w:sz="4" w:space="0" w:color="auto"/>
              <w:right w:val="nil"/>
            </w:tcBorders>
            <w:shd w:val="clear" w:color="000000" w:fill="FFFFFF"/>
            <w:noWrap/>
            <w:vAlign w:val="center"/>
            <w:hideMark/>
          </w:tcPr>
          <w:p w14:paraId="669911ED" w14:textId="77777777" w:rsidR="0011109D" w:rsidRPr="00B60E36" w:rsidRDefault="0011109D" w:rsidP="0011109D">
            <w:pPr>
              <w:spacing w:after="0" w:line="240" w:lineRule="auto"/>
              <w:jc w:val="left"/>
              <w:rPr>
                <w:rFonts w:eastAsia="Times New Roman" w:cs="Times New Roman"/>
                <w:color w:val="000000"/>
                <w:sz w:val="20"/>
                <w:szCs w:val="20"/>
                <w:lang w:eastAsia="sk-SK"/>
              </w:rPr>
            </w:pPr>
            <w:r w:rsidRPr="00B60E36">
              <w:rPr>
                <w:rFonts w:eastAsia="Times New Roman" w:cs="Times New Roman"/>
                <w:color w:val="000000"/>
                <w:sz w:val="20"/>
                <w:szCs w:val="20"/>
                <w:lang w:eastAsia="sk-SK"/>
              </w:rPr>
              <w:t>Kapitálové výdavky</w:t>
            </w:r>
          </w:p>
        </w:tc>
        <w:tc>
          <w:tcPr>
            <w:tcW w:w="1173" w:type="dxa"/>
            <w:tcBorders>
              <w:top w:val="nil"/>
              <w:left w:val="nil"/>
              <w:bottom w:val="single" w:sz="4" w:space="0" w:color="auto"/>
              <w:right w:val="nil"/>
            </w:tcBorders>
            <w:shd w:val="clear" w:color="000000" w:fill="FFFFFF"/>
            <w:noWrap/>
            <w:vAlign w:val="center"/>
            <w:hideMark/>
          </w:tcPr>
          <w:p w14:paraId="195195A7" w14:textId="57FE1C3E" w:rsidR="0011109D" w:rsidRPr="00B60E36" w:rsidRDefault="0011109D" w:rsidP="0011109D">
            <w:pPr>
              <w:spacing w:after="0" w:line="240" w:lineRule="auto"/>
              <w:jc w:val="right"/>
              <w:rPr>
                <w:rFonts w:eastAsia="Times New Roman" w:cs="Times New Roman"/>
                <w:sz w:val="20"/>
                <w:szCs w:val="20"/>
                <w:lang w:eastAsia="sk-SK"/>
              </w:rPr>
            </w:pPr>
            <w:r>
              <w:rPr>
                <w:sz w:val="20"/>
                <w:szCs w:val="20"/>
              </w:rPr>
              <w:t>2 684 652</w:t>
            </w:r>
          </w:p>
        </w:tc>
        <w:tc>
          <w:tcPr>
            <w:tcW w:w="1173" w:type="dxa"/>
            <w:tcBorders>
              <w:top w:val="nil"/>
              <w:left w:val="nil"/>
              <w:bottom w:val="single" w:sz="4" w:space="0" w:color="auto"/>
              <w:right w:val="nil"/>
            </w:tcBorders>
            <w:shd w:val="clear" w:color="000000" w:fill="FFFFFF"/>
            <w:noWrap/>
            <w:vAlign w:val="center"/>
            <w:hideMark/>
          </w:tcPr>
          <w:p w14:paraId="69E6F85D" w14:textId="54F5002F" w:rsidR="0011109D" w:rsidRPr="00B60E36" w:rsidRDefault="0011109D" w:rsidP="0011109D">
            <w:pPr>
              <w:spacing w:after="0" w:line="240" w:lineRule="auto"/>
              <w:jc w:val="right"/>
              <w:rPr>
                <w:rFonts w:eastAsia="Times New Roman" w:cs="Times New Roman"/>
                <w:sz w:val="20"/>
                <w:szCs w:val="20"/>
                <w:lang w:eastAsia="sk-SK"/>
              </w:rPr>
            </w:pPr>
            <w:r>
              <w:rPr>
                <w:sz w:val="20"/>
                <w:szCs w:val="20"/>
              </w:rPr>
              <w:t>2 957 461</w:t>
            </w:r>
          </w:p>
        </w:tc>
        <w:tc>
          <w:tcPr>
            <w:tcW w:w="1174" w:type="dxa"/>
            <w:tcBorders>
              <w:top w:val="nil"/>
              <w:left w:val="nil"/>
              <w:bottom w:val="single" w:sz="4" w:space="0" w:color="auto"/>
              <w:right w:val="nil"/>
            </w:tcBorders>
            <w:shd w:val="clear" w:color="000000" w:fill="FFFFFF"/>
            <w:noWrap/>
            <w:vAlign w:val="center"/>
            <w:hideMark/>
          </w:tcPr>
          <w:p w14:paraId="5CD2F9AD" w14:textId="7AF7D2AB" w:rsidR="0011109D" w:rsidRPr="00B60E36" w:rsidRDefault="0011109D" w:rsidP="0011109D">
            <w:pPr>
              <w:spacing w:after="0" w:line="240" w:lineRule="auto"/>
              <w:jc w:val="right"/>
              <w:rPr>
                <w:rFonts w:eastAsia="Times New Roman" w:cs="Times New Roman"/>
                <w:sz w:val="20"/>
                <w:szCs w:val="20"/>
                <w:lang w:eastAsia="sk-SK"/>
              </w:rPr>
            </w:pPr>
            <w:r>
              <w:rPr>
                <w:sz w:val="20"/>
                <w:szCs w:val="20"/>
              </w:rPr>
              <w:t>2 166 914</w:t>
            </w:r>
          </w:p>
        </w:tc>
        <w:tc>
          <w:tcPr>
            <w:tcW w:w="1191" w:type="dxa"/>
            <w:tcBorders>
              <w:top w:val="nil"/>
              <w:left w:val="nil"/>
              <w:bottom w:val="single" w:sz="4" w:space="0" w:color="auto"/>
              <w:right w:val="nil"/>
            </w:tcBorders>
            <w:shd w:val="clear" w:color="000000" w:fill="BFBFBF"/>
            <w:noWrap/>
            <w:vAlign w:val="center"/>
            <w:hideMark/>
          </w:tcPr>
          <w:p w14:paraId="24C13F49" w14:textId="62883A74" w:rsidR="0011109D" w:rsidRPr="00344297" w:rsidRDefault="0011109D" w:rsidP="0011109D">
            <w:pPr>
              <w:spacing w:after="0" w:line="240" w:lineRule="auto"/>
              <w:jc w:val="right"/>
              <w:rPr>
                <w:rFonts w:eastAsia="Times New Roman" w:cs="Times New Roman"/>
                <w:sz w:val="20"/>
                <w:szCs w:val="20"/>
                <w:highlight w:val="yellow"/>
                <w:lang w:eastAsia="sk-SK"/>
              </w:rPr>
            </w:pPr>
            <w:r>
              <w:rPr>
                <w:sz w:val="20"/>
                <w:szCs w:val="20"/>
              </w:rPr>
              <w:t>3 539 158</w:t>
            </w:r>
          </w:p>
        </w:tc>
        <w:tc>
          <w:tcPr>
            <w:tcW w:w="1171" w:type="dxa"/>
            <w:tcBorders>
              <w:top w:val="nil"/>
              <w:left w:val="nil"/>
              <w:bottom w:val="single" w:sz="4" w:space="0" w:color="auto"/>
              <w:right w:val="nil"/>
            </w:tcBorders>
            <w:shd w:val="clear" w:color="000000" w:fill="FFFFFF"/>
            <w:noWrap/>
            <w:vAlign w:val="center"/>
            <w:hideMark/>
          </w:tcPr>
          <w:p w14:paraId="24A59A67" w14:textId="2C3DD3BD" w:rsidR="0011109D" w:rsidRPr="00344297" w:rsidRDefault="0011109D" w:rsidP="0011109D">
            <w:pPr>
              <w:spacing w:after="0" w:line="240" w:lineRule="auto"/>
              <w:jc w:val="right"/>
              <w:rPr>
                <w:rFonts w:eastAsia="Times New Roman" w:cs="Times New Roman"/>
                <w:sz w:val="20"/>
                <w:szCs w:val="20"/>
                <w:highlight w:val="yellow"/>
                <w:lang w:eastAsia="sk-SK"/>
              </w:rPr>
            </w:pPr>
            <w:r>
              <w:rPr>
                <w:sz w:val="20"/>
                <w:szCs w:val="20"/>
              </w:rPr>
              <w:t>1 372 244</w:t>
            </w:r>
          </w:p>
        </w:tc>
      </w:tr>
      <w:tr w:rsidR="0011109D" w:rsidRPr="00B60E36" w14:paraId="74C805B0" w14:textId="77777777" w:rsidTr="009A0CAF">
        <w:trPr>
          <w:trHeight w:val="333"/>
        </w:trPr>
        <w:tc>
          <w:tcPr>
            <w:tcW w:w="2571" w:type="dxa"/>
            <w:tcBorders>
              <w:top w:val="single" w:sz="4" w:space="0" w:color="auto"/>
              <w:left w:val="nil"/>
              <w:bottom w:val="single" w:sz="4" w:space="0" w:color="auto"/>
              <w:right w:val="nil"/>
            </w:tcBorders>
            <w:shd w:val="clear" w:color="000000" w:fill="FFFFFF"/>
            <w:noWrap/>
            <w:vAlign w:val="center"/>
            <w:hideMark/>
          </w:tcPr>
          <w:p w14:paraId="14F3EFC6" w14:textId="77777777" w:rsidR="0011109D" w:rsidRPr="00B60E36" w:rsidRDefault="0011109D" w:rsidP="0011109D">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Saldo podľa ESA 2010</w:t>
            </w:r>
          </w:p>
        </w:tc>
        <w:tc>
          <w:tcPr>
            <w:tcW w:w="1173" w:type="dxa"/>
            <w:tcBorders>
              <w:top w:val="single" w:sz="4" w:space="0" w:color="auto"/>
              <w:left w:val="nil"/>
              <w:bottom w:val="single" w:sz="4" w:space="0" w:color="auto"/>
              <w:right w:val="nil"/>
            </w:tcBorders>
            <w:shd w:val="clear" w:color="000000" w:fill="FFFFFF"/>
            <w:noWrap/>
            <w:vAlign w:val="center"/>
            <w:hideMark/>
          </w:tcPr>
          <w:p w14:paraId="6D423B19" w14:textId="62311B37"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-804 961</w:t>
            </w:r>
          </w:p>
        </w:tc>
        <w:tc>
          <w:tcPr>
            <w:tcW w:w="1173" w:type="dxa"/>
            <w:tcBorders>
              <w:top w:val="single" w:sz="4" w:space="0" w:color="auto"/>
              <w:left w:val="nil"/>
              <w:bottom w:val="single" w:sz="4" w:space="0" w:color="auto"/>
              <w:right w:val="nil"/>
            </w:tcBorders>
            <w:shd w:val="clear" w:color="000000" w:fill="FFFFFF"/>
            <w:noWrap/>
            <w:vAlign w:val="center"/>
            <w:hideMark/>
          </w:tcPr>
          <w:p w14:paraId="20E210D2" w14:textId="1568CDAD"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-940 628</w:t>
            </w:r>
          </w:p>
        </w:tc>
        <w:tc>
          <w:tcPr>
            <w:tcW w:w="1174" w:type="dxa"/>
            <w:tcBorders>
              <w:top w:val="single" w:sz="4" w:space="0" w:color="auto"/>
              <w:left w:val="nil"/>
              <w:bottom w:val="single" w:sz="4" w:space="0" w:color="auto"/>
              <w:right w:val="nil"/>
            </w:tcBorders>
            <w:shd w:val="clear" w:color="000000" w:fill="FFFFFF"/>
            <w:noWrap/>
            <w:vAlign w:val="center"/>
            <w:hideMark/>
          </w:tcPr>
          <w:p w14:paraId="1BAC1325" w14:textId="54B74001"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0</w:t>
            </w:r>
          </w:p>
        </w:tc>
        <w:tc>
          <w:tcPr>
            <w:tcW w:w="1191" w:type="dxa"/>
            <w:tcBorders>
              <w:top w:val="single" w:sz="4" w:space="0" w:color="auto"/>
              <w:left w:val="nil"/>
              <w:bottom w:val="single" w:sz="4" w:space="0" w:color="auto"/>
              <w:right w:val="nil"/>
            </w:tcBorders>
            <w:shd w:val="clear" w:color="000000" w:fill="BFBFBF"/>
            <w:noWrap/>
            <w:vAlign w:val="center"/>
            <w:hideMark/>
          </w:tcPr>
          <w:p w14:paraId="33673787" w14:textId="6E7B33B1" w:rsidR="0011109D" w:rsidRPr="00344297" w:rsidRDefault="0011109D" w:rsidP="0011109D">
            <w:pPr>
              <w:spacing w:after="0" w:line="240" w:lineRule="auto"/>
              <w:jc w:val="right"/>
              <w:rPr>
                <w:rFonts w:eastAsia="Times New Roman" w:cs="Times New Roman"/>
                <w:b/>
                <w:bCs/>
                <w:sz w:val="20"/>
                <w:szCs w:val="20"/>
                <w:highlight w:val="yellow"/>
                <w:lang w:eastAsia="sk-SK"/>
              </w:rPr>
            </w:pPr>
            <w:r>
              <w:rPr>
                <w:b/>
                <w:bCs/>
                <w:sz w:val="20"/>
                <w:szCs w:val="20"/>
              </w:rPr>
              <w:t>-1 219 730</w:t>
            </w:r>
          </w:p>
        </w:tc>
        <w:tc>
          <w:tcPr>
            <w:tcW w:w="1171" w:type="dxa"/>
            <w:tcBorders>
              <w:top w:val="single" w:sz="4" w:space="0" w:color="auto"/>
              <w:left w:val="nil"/>
              <w:bottom w:val="single" w:sz="4" w:space="0" w:color="auto"/>
              <w:right w:val="nil"/>
            </w:tcBorders>
            <w:shd w:val="clear" w:color="000000" w:fill="FFFFFF"/>
            <w:noWrap/>
            <w:vAlign w:val="center"/>
            <w:hideMark/>
          </w:tcPr>
          <w:p w14:paraId="19C9FBA7" w14:textId="17011CC5" w:rsidR="0011109D" w:rsidRPr="00344297" w:rsidRDefault="0011109D" w:rsidP="0011109D">
            <w:pPr>
              <w:spacing w:after="0" w:line="240" w:lineRule="auto"/>
              <w:jc w:val="right"/>
              <w:rPr>
                <w:rFonts w:eastAsia="Times New Roman" w:cs="Times New Roman"/>
                <w:b/>
                <w:bCs/>
                <w:sz w:val="20"/>
                <w:szCs w:val="20"/>
                <w:highlight w:val="yellow"/>
                <w:lang w:eastAsia="sk-SK"/>
              </w:rPr>
            </w:pPr>
            <w:r>
              <w:rPr>
                <w:b/>
                <w:bCs/>
                <w:sz w:val="20"/>
                <w:szCs w:val="20"/>
              </w:rPr>
              <w:t>-1 219 730</w:t>
            </w:r>
          </w:p>
        </w:tc>
      </w:tr>
      <w:tr w:rsidR="0011109D" w:rsidRPr="00B60E36" w14:paraId="1D83570D" w14:textId="77777777" w:rsidTr="009A0CAF">
        <w:trPr>
          <w:trHeight w:val="333"/>
        </w:trPr>
        <w:tc>
          <w:tcPr>
            <w:tcW w:w="2571" w:type="dxa"/>
            <w:tcBorders>
              <w:top w:val="single" w:sz="4" w:space="0" w:color="auto"/>
              <w:left w:val="nil"/>
              <w:bottom w:val="single" w:sz="4" w:space="0" w:color="auto"/>
              <w:right w:val="nil"/>
            </w:tcBorders>
            <w:shd w:val="clear" w:color="000000" w:fill="FFFFFF"/>
            <w:noWrap/>
            <w:vAlign w:val="center"/>
            <w:hideMark/>
          </w:tcPr>
          <w:p w14:paraId="388F30D7" w14:textId="5822EE15" w:rsidR="0011109D" w:rsidRPr="00B60E36" w:rsidRDefault="0011109D" w:rsidP="0011109D">
            <w:pPr>
              <w:spacing w:after="0" w:line="240" w:lineRule="auto"/>
              <w:jc w:val="left"/>
              <w:rPr>
                <w:rFonts w:eastAsia="Times New Roman" w:cs="Times New Roman"/>
                <w:b/>
                <w:bCs/>
                <w:sz w:val="20"/>
                <w:szCs w:val="20"/>
                <w:lang w:eastAsia="sk-SK"/>
              </w:rPr>
            </w:pPr>
            <w:r w:rsidRPr="00B60E36">
              <w:rPr>
                <w:rFonts w:eastAsia="Times New Roman" w:cs="Times New Roman"/>
                <w:b/>
                <w:bCs/>
                <w:sz w:val="20"/>
                <w:szCs w:val="20"/>
                <w:lang w:eastAsia="sk-SK"/>
              </w:rPr>
              <w:t>% z HDP</w:t>
            </w:r>
          </w:p>
        </w:tc>
        <w:tc>
          <w:tcPr>
            <w:tcW w:w="1173" w:type="dxa"/>
            <w:tcBorders>
              <w:top w:val="single" w:sz="4" w:space="0" w:color="auto"/>
              <w:left w:val="nil"/>
              <w:bottom w:val="single" w:sz="4" w:space="0" w:color="auto"/>
              <w:right w:val="nil"/>
            </w:tcBorders>
            <w:shd w:val="clear" w:color="000000" w:fill="FFFFFF"/>
            <w:noWrap/>
            <w:vAlign w:val="center"/>
            <w:hideMark/>
          </w:tcPr>
          <w:p w14:paraId="68518457" w14:textId="0249957A"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-0,95</w:t>
            </w:r>
          </w:p>
        </w:tc>
        <w:tc>
          <w:tcPr>
            <w:tcW w:w="1173" w:type="dxa"/>
            <w:tcBorders>
              <w:top w:val="single" w:sz="4" w:space="0" w:color="auto"/>
              <w:left w:val="nil"/>
              <w:bottom w:val="single" w:sz="4" w:space="0" w:color="auto"/>
              <w:right w:val="nil"/>
            </w:tcBorders>
            <w:shd w:val="clear" w:color="000000" w:fill="FFFFFF"/>
            <w:noWrap/>
            <w:vAlign w:val="center"/>
            <w:hideMark/>
          </w:tcPr>
          <w:p w14:paraId="1A4EEE73" w14:textId="564AC8BE"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-1,05</w:t>
            </w:r>
          </w:p>
        </w:tc>
        <w:tc>
          <w:tcPr>
            <w:tcW w:w="1174" w:type="dxa"/>
            <w:tcBorders>
              <w:top w:val="single" w:sz="4" w:space="0" w:color="auto"/>
              <w:left w:val="nil"/>
              <w:bottom w:val="single" w:sz="4" w:space="0" w:color="auto"/>
              <w:right w:val="nil"/>
            </w:tcBorders>
            <w:shd w:val="clear" w:color="000000" w:fill="FFFFFF"/>
            <w:noWrap/>
            <w:vAlign w:val="center"/>
            <w:hideMark/>
          </w:tcPr>
          <w:p w14:paraId="611E7A62" w14:textId="4B932CBF" w:rsidR="0011109D" w:rsidRPr="00B60E36" w:rsidRDefault="0011109D" w:rsidP="0011109D">
            <w:pPr>
              <w:spacing w:after="0" w:line="240" w:lineRule="auto"/>
              <w:jc w:val="right"/>
              <w:rPr>
                <w:rFonts w:eastAsia="Times New Roman" w:cs="Times New Roman"/>
                <w:b/>
                <w:bCs/>
                <w:sz w:val="20"/>
                <w:szCs w:val="20"/>
                <w:lang w:eastAsia="sk-SK"/>
              </w:rPr>
            </w:pPr>
            <w:r>
              <w:rPr>
                <w:b/>
                <w:bCs/>
                <w:sz w:val="20"/>
                <w:szCs w:val="20"/>
              </w:rPr>
              <w:t>0,00</w:t>
            </w:r>
          </w:p>
        </w:tc>
        <w:tc>
          <w:tcPr>
            <w:tcW w:w="1191" w:type="dxa"/>
            <w:tcBorders>
              <w:top w:val="single" w:sz="4" w:space="0" w:color="auto"/>
              <w:left w:val="nil"/>
              <w:bottom w:val="single" w:sz="4" w:space="0" w:color="auto"/>
              <w:right w:val="nil"/>
            </w:tcBorders>
            <w:shd w:val="clear" w:color="000000" w:fill="BFBFBF"/>
            <w:noWrap/>
            <w:vAlign w:val="center"/>
            <w:hideMark/>
          </w:tcPr>
          <w:p w14:paraId="6949DBD0" w14:textId="75482B2B" w:rsidR="0011109D" w:rsidRPr="00344297" w:rsidRDefault="0011109D" w:rsidP="0011109D">
            <w:pPr>
              <w:spacing w:after="0" w:line="240" w:lineRule="auto"/>
              <w:jc w:val="right"/>
              <w:rPr>
                <w:rFonts w:eastAsia="Times New Roman" w:cs="Times New Roman"/>
                <w:b/>
                <w:bCs/>
                <w:sz w:val="20"/>
                <w:szCs w:val="20"/>
                <w:highlight w:val="yellow"/>
                <w:lang w:eastAsia="sk-SK"/>
              </w:rPr>
            </w:pPr>
            <w:r>
              <w:rPr>
                <w:b/>
                <w:bCs/>
                <w:sz w:val="20"/>
                <w:szCs w:val="20"/>
              </w:rPr>
              <w:t>-1,30</w:t>
            </w:r>
          </w:p>
        </w:tc>
        <w:tc>
          <w:tcPr>
            <w:tcW w:w="1171" w:type="dxa"/>
            <w:tcBorders>
              <w:top w:val="single" w:sz="4" w:space="0" w:color="auto"/>
              <w:left w:val="nil"/>
              <w:bottom w:val="single" w:sz="4" w:space="0" w:color="auto"/>
              <w:right w:val="nil"/>
            </w:tcBorders>
            <w:shd w:val="clear" w:color="000000" w:fill="FFFFFF"/>
            <w:noWrap/>
            <w:vAlign w:val="center"/>
            <w:hideMark/>
          </w:tcPr>
          <w:p w14:paraId="5182AF13" w14:textId="43FE5C55" w:rsidR="0011109D" w:rsidRPr="00344297" w:rsidRDefault="0011109D" w:rsidP="0011109D">
            <w:pPr>
              <w:spacing w:after="0" w:line="240" w:lineRule="auto"/>
              <w:jc w:val="right"/>
              <w:rPr>
                <w:rFonts w:eastAsia="Times New Roman" w:cs="Times New Roman"/>
                <w:b/>
                <w:bCs/>
                <w:sz w:val="20"/>
                <w:szCs w:val="20"/>
                <w:highlight w:val="yellow"/>
                <w:lang w:eastAsia="sk-SK"/>
              </w:rPr>
            </w:pPr>
            <w:r>
              <w:rPr>
                <w:b/>
                <w:bCs/>
                <w:sz w:val="20"/>
                <w:szCs w:val="20"/>
              </w:rPr>
              <w:t>-1,30</w:t>
            </w:r>
          </w:p>
        </w:tc>
      </w:tr>
    </w:tbl>
    <w:p w14:paraId="5F9808F2" w14:textId="3B057598" w:rsidR="00FD499D" w:rsidRPr="00C22128" w:rsidRDefault="00FD499D" w:rsidP="003E6AA8">
      <w:pPr>
        <w:spacing w:line="240" w:lineRule="auto"/>
        <w:rPr>
          <w:rFonts w:eastAsia="Times New Roman" w:cs="Times New Roman"/>
          <w:sz w:val="16"/>
          <w:szCs w:val="16"/>
          <w:lang w:eastAsia="sk-SK"/>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sidR="00B60E36">
        <w:rPr>
          <w:color w:val="FF0000"/>
        </w:rPr>
        <w:t xml:space="preserve">   </w:t>
      </w:r>
      <w:r>
        <w:rPr>
          <w:color w:val="FF0000"/>
        </w:rPr>
        <w:t xml:space="preserve">  </w:t>
      </w:r>
      <w:r w:rsidRPr="00C22128">
        <w:rPr>
          <w:rFonts w:eastAsia="Times New Roman" w:cs="Times New Roman"/>
          <w:sz w:val="16"/>
          <w:szCs w:val="16"/>
          <w:lang w:eastAsia="sk-SK"/>
        </w:rPr>
        <w:t>Zdroj: MF SR</w:t>
      </w:r>
    </w:p>
    <w:p w14:paraId="1791B7E7" w14:textId="4814BE32" w:rsidR="00C23982" w:rsidRDefault="00614751" w:rsidP="003E6AA8">
      <w:r w:rsidRPr="00390337">
        <w:t>V roku 201</w:t>
      </w:r>
      <w:r w:rsidR="008C4679">
        <w:t>9</w:t>
      </w:r>
      <w:r w:rsidRPr="00390337">
        <w:t xml:space="preserve"> dosiahlo hospodárenie s verejnými financiami </w:t>
      </w:r>
      <w:r w:rsidR="00C23982">
        <w:t>v</w:t>
      </w:r>
      <w:r w:rsidRPr="00390337">
        <w:t xml:space="preserve"> metodik</w:t>
      </w:r>
      <w:r w:rsidR="00C23982">
        <w:t>e</w:t>
      </w:r>
      <w:r w:rsidRPr="00390337">
        <w:t xml:space="preserve"> ESA2010 schodok vo</w:t>
      </w:r>
      <w:r w:rsidR="0021385B">
        <w:t xml:space="preserve"> </w:t>
      </w:r>
      <w:r w:rsidRPr="00C23982">
        <w:t xml:space="preserve">výške </w:t>
      </w:r>
      <w:r w:rsidR="008C4679" w:rsidRPr="00C23982">
        <w:rPr>
          <w:rFonts w:eastAsia="Times New Roman" w:cs="Times New Roman"/>
          <w:bCs/>
          <w:lang w:eastAsia="sk-SK"/>
        </w:rPr>
        <w:t>1 2</w:t>
      </w:r>
      <w:r w:rsidR="00281281" w:rsidRPr="00C23982">
        <w:rPr>
          <w:rFonts w:eastAsia="Times New Roman" w:cs="Times New Roman"/>
          <w:bCs/>
          <w:lang w:eastAsia="sk-SK"/>
        </w:rPr>
        <w:t>19</w:t>
      </w:r>
      <w:r w:rsidR="008C4679" w:rsidRPr="00C23982">
        <w:rPr>
          <w:rFonts w:eastAsia="Times New Roman" w:cs="Times New Roman"/>
          <w:bCs/>
          <w:lang w:eastAsia="sk-SK"/>
        </w:rPr>
        <w:t> </w:t>
      </w:r>
      <w:r w:rsidR="00281281" w:rsidRPr="00C23982">
        <w:rPr>
          <w:rFonts w:eastAsia="Times New Roman" w:cs="Times New Roman"/>
          <w:bCs/>
          <w:lang w:eastAsia="sk-SK"/>
        </w:rPr>
        <w:t>730</w:t>
      </w:r>
      <w:r w:rsidR="008C4679" w:rsidRPr="00C23982">
        <w:t xml:space="preserve"> tis. eur </w:t>
      </w:r>
      <w:r w:rsidRPr="00C23982">
        <w:t>(</w:t>
      </w:r>
      <w:r w:rsidR="008C4679" w:rsidRPr="00C23982">
        <w:t>1,</w:t>
      </w:r>
      <w:r w:rsidR="00281281" w:rsidRPr="00C23982">
        <w:t>3</w:t>
      </w:r>
      <w:r w:rsidRPr="00C23982">
        <w:t> %</w:t>
      </w:r>
      <w:r w:rsidR="00654EBD" w:rsidRPr="00C23982">
        <w:t> </w:t>
      </w:r>
      <w:r w:rsidRPr="00C23982">
        <w:t>HDP).</w:t>
      </w:r>
      <w:r w:rsidR="006D66ED">
        <w:t xml:space="preserve"> </w:t>
      </w:r>
      <w:r w:rsidR="00C23982" w:rsidRPr="0043572E">
        <w:t>Plnenie rozpočtu verejnej správy v</w:t>
      </w:r>
      <w:r w:rsidR="00C23982">
        <w:t> </w:t>
      </w:r>
      <w:r w:rsidR="00C23982" w:rsidRPr="0043572E">
        <w:t>roku</w:t>
      </w:r>
      <w:r w:rsidR="00C23982">
        <w:t> </w:t>
      </w:r>
      <w:r w:rsidR="00C23982" w:rsidRPr="0043572E">
        <w:t xml:space="preserve">2019 </w:t>
      </w:r>
      <w:r w:rsidR="00C23982">
        <w:t xml:space="preserve">v porovnaní s plánovaným hospodárením celej verejnej správy </w:t>
      </w:r>
      <w:r w:rsidR="00C23982" w:rsidRPr="0043572E">
        <w:t xml:space="preserve">bolo ovplyvnené viacerými faktormi. </w:t>
      </w:r>
      <w:r w:rsidR="00C23982">
        <w:t>Na jednej strane s</w:t>
      </w:r>
      <w:r w:rsidR="00C23982" w:rsidRPr="0043572E">
        <w:t>pomalením rastu slovenskej ekonomiky</w:t>
      </w:r>
      <w:r w:rsidR="00C23982">
        <w:t xml:space="preserve"> (predpokladaný rast bol na úrovni 4,5 %, predbežne dosiahol 2,3 %)</w:t>
      </w:r>
      <w:r w:rsidR="00C23982" w:rsidRPr="0043572E">
        <w:t>, legislatívnymi zmenami, ktoré neboli zahrnuté v</w:t>
      </w:r>
      <w:r w:rsidR="00C23982">
        <w:t xml:space="preserve"> čase tvorby </w:t>
      </w:r>
      <w:r w:rsidR="00C23982" w:rsidRPr="0043572E">
        <w:t>rozpočt</w:t>
      </w:r>
      <w:r w:rsidR="00C23982">
        <w:t>u</w:t>
      </w:r>
      <w:r w:rsidR="00C23982" w:rsidRPr="0043572E">
        <w:t xml:space="preserve"> na rok 2019</w:t>
      </w:r>
      <w:r w:rsidR="00C23982">
        <w:t>, ako aj</w:t>
      </w:r>
      <w:r w:rsidR="00C23982" w:rsidRPr="0043572E">
        <w:t xml:space="preserve"> </w:t>
      </w:r>
      <w:r w:rsidR="00C23982">
        <w:t>metodickými zmenami, ktoré vyplynuli z benchmarkovej revízie národných účtov, realizovanej na jeseň 2019</w:t>
      </w:r>
      <w:r w:rsidR="00C23982">
        <w:rPr>
          <w:rStyle w:val="Odkaznapoznmkupodiarou"/>
        </w:rPr>
        <w:footnoteReference w:id="6"/>
      </w:r>
      <w:r w:rsidR="00C23982">
        <w:t>.</w:t>
      </w:r>
    </w:p>
    <w:p w14:paraId="2F0AB6EF" w14:textId="22E788D4" w:rsidR="005133ED" w:rsidRDefault="00C23982" w:rsidP="00AF7377">
      <w:pPr>
        <w:rPr>
          <w:b/>
        </w:rPr>
      </w:pPr>
      <w:r>
        <w:t xml:space="preserve">Na úrovni celej verejnej správy znamenali negatívnu odchýlku schodok hotovostného rozpočtu (opisovaný v 3. kapitole), nenaplnenie niektorých akruálnych príjmov štátneho rozpočtu a menší prebytok niektorých ostatných zložiek verejnej správy (obce, VÚC, Národný jadrový fond a Environmentálny fond). Pozitívne vplývali na saldo verejnej správy prebytky napr. Sociálnej poisťovne, verejného zdravotného poistenia, Štátneho fondu rozvoja bývania, dopravných podnikov, príspevkových organizácií. </w:t>
      </w:r>
    </w:p>
    <w:p w14:paraId="542207F1" w14:textId="5A451D18" w:rsidR="004E1DED" w:rsidRDefault="00381469" w:rsidP="00381469">
      <w:r w:rsidRPr="00A265D6">
        <w:rPr>
          <w:b/>
        </w:rPr>
        <w:t>Príjmy verejnej správy</w:t>
      </w:r>
      <w:r w:rsidRPr="00A265D6">
        <w:t xml:space="preserve"> boli </w:t>
      </w:r>
      <w:r w:rsidRPr="00C23982">
        <w:t xml:space="preserve">oproti rozpočtovanej hodnote úhrnom </w:t>
      </w:r>
      <w:r w:rsidR="00A77F29" w:rsidRPr="00C23982">
        <w:t xml:space="preserve">vyššie o </w:t>
      </w:r>
      <w:r w:rsidR="0089687F" w:rsidRPr="00C23982">
        <w:t>2</w:t>
      </w:r>
      <w:r w:rsidR="00C22128" w:rsidRPr="00C23982">
        <w:rPr>
          <w:rFonts w:eastAsia="Times New Roman" w:cs="Times New Roman"/>
          <w:bCs/>
          <w:lang w:eastAsia="sk-SK"/>
        </w:rPr>
        <w:t> </w:t>
      </w:r>
      <w:r w:rsidR="0089687F" w:rsidRPr="00C23982">
        <w:rPr>
          <w:rFonts w:eastAsia="Times New Roman" w:cs="Times New Roman"/>
          <w:bCs/>
          <w:lang w:eastAsia="sk-SK"/>
        </w:rPr>
        <w:t>276</w:t>
      </w:r>
      <w:r w:rsidR="00C22128" w:rsidRPr="00C23982">
        <w:rPr>
          <w:rFonts w:eastAsia="Times New Roman" w:cs="Times New Roman"/>
          <w:bCs/>
          <w:lang w:eastAsia="sk-SK"/>
        </w:rPr>
        <w:t> </w:t>
      </w:r>
      <w:r w:rsidR="0089687F" w:rsidRPr="00C23982">
        <w:rPr>
          <w:rFonts w:eastAsia="Times New Roman" w:cs="Times New Roman"/>
          <w:bCs/>
          <w:lang w:eastAsia="sk-SK"/>
        </w:rPr>
        <w:t>150</w:t>
      </w:r>
      <w:r w:rsidR="00C22128" w:rsidRPr="00C23982">
        <w:rPr>
          <w:rFonts w:eastAsia="Times New Roman" w:cs="Times New Roman"/>
          <w:bCs/>
          <w:lang w:eastAsia="sk-SK"/>
        </w:rPr>
        <w:t> </w:t>
      </w:r>
      <w:r w:rsidRPr="00C23982">
        <w:t xml:space="preserve">tis. eur, z toho najvyšší </w:t>
      </w:r>
      <w:r w:rsidR="00A77F29" w:rsidRPr="00C23982">
        <w:t>nárast</w:t>
      </w:r>
      <w:r w:rsidRPr="00C23982">
        <w:t xml:space="preserve"> o </w:t>
      </w:r>
      <w:r w:rsidR="00A77F29" w:rsidRPr="00C23982">
        <w:rPr>
          <w:rFonts w:eastAsia="Times New Roman" w:cs="Times New Roman"/>
          <w:lang w:eastAsia="sk-SK"/>
        </w:rPr>
        <w:t>1</w:t>
      </w:r>
      <w:r w:rsidR="00C22128" w:rsidRPr="00C23982">
        <w:rPr>
          <w:rFonts w:eastAsia="Times New Roman" w:cs="Times New Roman"/>
          <w:lang w:eastAsia="sk-SK"/>
        </w:rPr>
        <w:t> </w:t>
      </w:r>
      <w:r w:rsidR="00A77F29" w:rsidRPr="00C23982">
        <w:rPr>
          <w:rFonts w:eastAsia="Times New Roman" w:cs="Times New Roman"/>
          <w:lang w:eastAsia="sk-SK"/>
        </w:rPr>
        <w:t>0</w:t>
      </w:r>
      <w:r w:rsidR="0089687F" w:rsidRPr="00C23982">
        <w:rPr>
          <w:rFonts w:eastAsia="Times New Roman" w:cs="Times New Roman"/>
          <w:lang w:eastAsia="sk-SK"/>
        </w:rPr>
        <w:t>36</w:t>
      </w:r>
      <w:r w:rsidR="00C22128" w:rsidRPr="00C23982">
        <w:rPr>
          <w:rFonts w:eastAsia="Times New Roman" w:cs="Times New Roman"/>
          <w:lang w:eastAsia="sk-SK"/>
        </w:rPr>
        <w:t> </w:t>
      </w:r>
      <w:r w:rsidR="0089687F" w:rsidRPr="00C23982">
        <w:rPr>
          <w:rFonts w:eastAsia="Times New Roman" w:cs="Times New Roman"/>
          <w:lang w:eastAsia="sk-SK"/>
        </w:rPr>
        <w:t>52</w:t>
      </w:r>
      <w:r w:rsidR="00C22128" w:rsidRPr="00C23982">
        <w:rPr>
          <w:rFonts w:eastAsia="Times New Roman" w:cs="Times New Roman"/>
          <w:lang w:eastAsia="sk-SK"/>
        </w:rPr>
        <w:t>2 </w:t>
      </w:r>
      <w:r w:rsidRPr="00C23982">
        <w:t>tis. eur oproti rozpočtovaným</w:t>
      </w:r>
      <w:r w:rsidRPr="00A265D6">
        <w:t xml:space="preserve"> príjmom m</w:t>
      </w:r>
      <w:r w:rsidR="004E1DED">
        <w:t xml:space="preserve">ali granty a transfery. </w:t>
      </w:r>
      <w:r w:rsidR="004E1DED" w:rsidRPr="004E1DED">
        <w:rPr>
          <w:b/>
        </w:rPr>
        <w:t>V</w:t>
      </w:r>
      <w:r w:rsidR="004E1DED" w:rsidRPr="00700207">
        <w:rPr>
          <w:b/>
        </w:rPr>
        <w:t>ýdavky verejnej správy</w:t>
      </w:r>
      <w:r w:rsidR="004E1DED" w:rsidRPr="00700207">
        <w:t xml:space="preserve"> </w:t>
      </w:r>
      <w:r w:rsidR="004E1DED">
        <w:t xml:space="preserve">boli </w:t>
      </w:r>
      <w:r w:rsidR="004E1DED" w:rsidRPr="00700207">
        <w:t>vyššie oproti rozpočtovanej hodnote o </w:t>
      </w:r>
      <w:r w:rsidR="004E1DED" w:rsidRPr="00700207">
        <w:rPr>
          <w:rFonts w:eastAsia="Times New Roman" w:cs="Times New Roman"/>
          <w:bCs/>
          <w:lang w:eastAsia="sk-SK"/>
        </w:rPr>
        <w:t xml:space="preserve">3 495 880 </w:t>
      </w:r>
      <w:r w:rsidR="004E1DED" w:rsidRPr="00700207">
        <w:t>tis. eur, z toho bežné výdavky o 2 123 636 tis. </w:t>
      </w:r>
      <w:r w:rsidR="004E1DED">
        <w:t>eur a kapitálové výdavky o 1 372 244 tis. eur</w:t>
      </w:r>
      <w:r w:rsidR="004E1DED" w:rsidRPr="00A265D6">
        <w:t>.</w:t>
      </w:r>
    </w:p>
    <w:p w14:paraId="13D397EC" w14:textId="049ED035" w:rsidR="007367CC" w:rsidRDefault="000C6F8E" w:rsidP="00381469">
      <w:r w:rsidRPr="00700207">
        <w:rPr>
          <w:b/>
        </w:rPr>
        <w:t>Celkové d</w:t>
      </w:r>
      <w:r w:rsidR="00381469" w:rsidRPr="00700207">
        <w:rPr>
          <w:b/>
        </w:rPr>
        <w:t>aňové a odvodové príjmy verejnej správy</w:t>
      </w:r>
      <w:r w:rsidR="00381469" w:rsidRPr="00700207">
        <w:t xml:space="preserve"> boli oproti schválenému rozpočtu vyššie o</w:t>
      </w:r>
      <w:r w:rsidR="0089687F" w:rsidRPr="00700207">
        <w:t> 883 682 </w:t>
      </w:r>
      <w:r w:rsidR="00381469" w:rsidRPr="00700207">
        <w:t>tis. eur</w:t>
      </w:r>
      <w:r w:rsidR="007946CB" w:rsidRPr="00700207">
        <w:t xml:space="preserve">, pričom bez </w:t>
      </w:r>
      <w:r w:rsidRPr="00700207">
        <w:t xml:space="preserve">metodického </w:t>
      </w:r>
      <w:r w:rsidR="007946CB" w:rsidRPr="00700207">
        <w:t xml:space="preserve">vplyvu </w:t>
      </w:r>
      <w:r w:rsidRPr="00700207">
        <w:t>zohľadnenia</w:t>
      </w:r>
      <w:r w:rsidR="007946CB" w:rsidRPr="00700207">
        <w:t xml:space="preserve"> </w:t>
      </w:r>
      <w:r w:rsidR="00700207" w:rsidRPr="00700207">
        <w:t>príjmov dosahovaných z podpory obnoviteľných zdrojov energie a vysoko účinnej kombinovanej výroby energie</w:t>
      </w:r>
      <w:r w:rsidR="00700207" w:rsidRPr="00700207">
        <w:br/>
        <w:t>(tzv. ,,</w:t>
      </w:r>
      <w:r w:rsidRPr="00700207">
        <w:t xml:space="preserve"> </w:t>
      </w:r>
      <w:r w:rsidR="007946CB" w:rsidRPr="00700207">
        <w:t>zelen</w:t>
      </w:r>
      <w:r w:rsidR="00700207" w:rsidRPr="00700207">
        <w:t>á</w:t>
      </w:r>
      <w:r w:rsidR="007946CB" w:rsidRPr="00700207">
        <w:t xml:space="preserve"> energi</w:t>
      </w:r>
      <w:r w:rsidR="00700207" w:rsidRPr="00700207">
        <w:t>a“)</w:t>
      </w:r>
      <w:r w:rsidR="007946CB" w:rsidRPr="00700207">
        <w:t xml:space="preserve"> boli</w:t>
      </w:r>
      <w:r w:rsidR="00810578" w:rsidRPr="00700207">
        <w:t xml:space="preserve"> vyššie</w:t>
      </w:r>
      <w:r w:rsidR="007946CB" w:rsidRPr="00700207">
        <w:t xml:space="preserve"> o</w:t>
      </w:r>
      <w:r w:rsidR="00810578" w:rsidRPr="00700207">
        <w:t> 320 378 tis. eur</w:t>
      </w:r>
      <w:r w:rsidR="00381469" w:rsidRPr="00700207">
        <w:t xml:space="preserve">. </w:t>
      </w:r>
      <w:r w:rsidR="006B4C8A">
        <w:t xml:space="preserve">Vývoj v prípade daní a odvodov, ktoré boli rozpočtované </w:t>
      </w:r>
      <w:r w:rsidR="000F02FD">
        <w:t>resp. pri ktorých nedošlo k metodickým zmenám v ich zaznamenávaní, poskytuje nasledovná tabuľka (ide o rozhodujúce položky daní verejnej správy):</w:t>
      </w:r>
    </w:p>
    <w:tbl>
      <w:tblPr>
        <w:tblW w:w="8529" w:type="dxa"/>
        <w:tblCellMar>
          <w:left w:w="70" w:type="dxa"/>
          <w:right w:w="70" w:type="dxa"/>
        </w:tblCellMar>
        <w:tblLook w:val="04A0" w:firstRow="1" w:lastRow="0" w:firstColumn="1" w:lastColumn="0" w:noHBand="0" w:noVBand="1"/>
      </w:tblPr>
      <w:tblGrid>
        <w:gridCol w:w="5290"/>
        <w:gridCol w:w="1110"/>
        <w:gridCol w:w="1255"/>
        <w:gridCol w:w="874"/>
      </w:tblGrid>
      <w:tr w:rsidR="007D6731" w:rsidRPr="007D6731" w14:paraId="278E5AA4" w14:textId="77777777" w:rsidTr="00A164E5">
        <w:trPr>
          <w:trHeight w:val="451"/>
        </w:trPr>
        <w:tc>
          <w:tcPr>
            <w:tcW w:w="8529" w:type="dxa"/>
            <w:gridSpan w:val="4"/>
            <w:tcBorders>
              <w:top w:val="nil"/>
              <w:left w:val="nil"/>
              <w:bottom w:val="nil"/>
              <w:right w:val="nil"/>
            </w:tcBorders>
            <w:shd w:val="clear" w:color="000000" w:fill="000000"/>
            <w:noWrap/>
            <w:vAlign w:val="center"/>
            <w:hideMark/>
          </w:tcPr>
          <w:p w14:paraId="01D6C69E" w14:textId="554E6393" w:rsidR="007D6731" w:rsidRPr="007D6731" w:rsidRDefault="006516C3" w:rsidP="009D5B22">
            <w:pPr>
              <w:spacing w:after="0" w:line="240" w:lineRule="auto"/>
              <w:jc w:val="left"/>
              <w:rPr>
                <w:rFonts w:eastAsia="Times New Roman" w:cs="Times New Roman"/>
                <w:b/>
                <w:bCs/>
                <w:color w:val="FFFFFF"/>
                <w:sz w:val="20"/>
                <w:szCs w:val="20"/>
                <w:lang w:eastAsia="sk-SK"/>
              </w:rPr>
            </w:pPr>
            <w:r>
              <w:rPr>
                <w:rFonts w:eastAsia="Times New Roman" w:cs="Times New Roman"/>
                <w:b/>
                <w:bCs/>
                <w:color w:val="FFFFFF"/>
                <w:sz w:val="20"/>
                <w:szCs w:val="20"/>
                <w:lang w:eastAsia="sk-SK"/>
              </w:rPr>
              <w:t>Vybrané d</w:t>
            </w:r>
            <w:r w:rsidR="007D6731" w:rsidRPr="007D6731">
              <w:rPr>
                <w:rFonts w:eastAsia="Times New Roman" w:cs="Times New Roman"/>
                <w:b/>
                <w:bCs/>
                <w:color w:val="FFFFFF"/>
                <w:sz w:val="20"/>
                <w:szCs w:val="20"/>
                <w:lang w:eastAsia="sk-SK"/>
              </w:rPr>
              <w:t xml:space="preserve">aňové a odvodové príjmy </w:t>
            </w:r>
            <w:r w:rsidRPr="00F6147C">
              <w:rPr>
                <w:rFonts w:eastAsia="Times New Roman" w:cs="Times New Roman"/>
                <w:b/>
                <w:bCs/>
                <w:color w:val="FFFFFF"/>
                <w:sz w:val="20"/>
                <w:szCs w:val="20"/>
                <w:lang w:eastAsia="sk-SK"/>
              </w:rPr>
              <w:t xml:space="preserve">podľa ESA2010   </w:t>
            </w:r>
            <w:r w:rsidR="003E6AA8">
              <w:rPr>
                <w:rFonts w:eastAsia="Times New Roman" w:cs="Times New Roman"/>
                <w:b/>
                <w:bCs/>
                <w:color w:val="FFFFFF"/>
                <w:sz w:val="20"/>
                <w:szCs w:val="20"/>
                <w:lang w:eastAsia="sk-SK"/>
              </w:rPr>
              <w:t xml:space="preserve"> </w:t>
            </w:r>
            <w:r w:rsidRPr="00F6147C">
              <w:rPr>
                <w:rFonts w:eastAsia="Times New Roman" w:cs="Times New Roman"/>
                <w:b/>
                <w:bCs/>
                <w:color w:val="FFFFFF"/>
                <w:sz w:val="20"/>
                <w:szCs w:val="20"/>
                <w:lang w:eastAsia="sk-SK"/>
              </w:rPr>
              <w:t xml:space="preserve">                                   </w:t>
            </w:r>
            <w:r>
              <w:rPr>
                <w:rFonts w:eastAsia="Times New Roman" w:cs="Times New Roman"/>
                <w:b/>
                <w:bCs/>
                <w:color w:val="FFFFFF"/>
                <w:sz w:val="20"/>
                <w:szCs w:val="20"/>
                <w:lang w:eastAsia="sk-SK"/>
              </w:rPr>
              <w:t xml:space="preserve">     </w:t>
            </w:r>
            <w:r w:rsidRPr="00F6147C">
              <w:rPr>
                <w:rFonts w:eastAsia="Times New Roman" w:cs="Times New Roman"/>
                <w:b/>
                <w:bCs/>
                <w:color w:val="FFFFFF"/>
                <w:sz w:val="20"/>
                <w:szCs w:val="20"/>
                <w:lang w:eastAsia="sk-SK"/>
              </w:rPr>
              <w:t xml:space="preserve">    </w:t>
            </w:r>
            <w:r w:rsidR="009D5B22">
              <w:rPr>
                <w:rFonts w:eastAsia="Times New Roman" w:cs="Times New Roman"/>
                <w:b/>
                <w:bCs/>
                <w:color w:val="FFFFFF"/>
                <w:sz w:val="20"/>
                <w:szCs w:val="20"/>
                <w:lang w:eastAsia="sk-SK"/>
              </w:rPr>
              <w:t xml:space="preserve">            </w:t>
            </w:r>
            <w:r w:rsidR="007D6731" w:rsidRPr="007D6731">
              <w:rPr>
                <w:rFonts w:eastAsia="Times New Roman" w:cs="Times New Roman"/>
                <w:b/>
                <w:bCs/>
                <w:color w:val="FFFFFF"/>
                <w:sz w:val="20"/>
                <w:szCs w:val="20"/>
                <w:lang w:eastAsia="sk-SK"/>
              </w:rPr>
              <w:t xml:space="preserve">v tis. eur </w:t>
            </w:r>
          </w:p>
        </w:tc>
      </w:tr>
      <w:tr w:rsidR="007D6731" w:rsidRPr="007D6731" w14:paraId="5582B0F0" w14:textId="77777777" w:rsidTr="00C427F9">
        <w:trPr>
          <w:trHeight w:val="292"/>
        </w:trPr>
        <w:tc>
          <w:tcPr>
            <w:tcW w:w="5290" w:type="dxa"/>
            <w:tcBorders>
              <w:top w:val="nil"/>
              <w:left w:val="nil"/>
              <w:bottom w:val="nil"/>
              <w:right w:val="nil"/>
            </w:tcBorders>
            <w:shd w:val="clear" w:color="000000" w:fill="BFBFBF"/>
            <w:noWrap/>
            <w:vAlign w:val="bottom"/>
            <w:hideMark/>
          </w:tcPr>
          <w:p w14:paraId="1B3804BF"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w:t>
            </w:r>
          </w:p>
        </w:tc>
        <w:tc>
          <w:tcPr>
            <w:tcW w:w="1110" w:type="dxa"/>
            <w:tcBorders>
              <w:top w:val="nil"/>
              <w:left w:val="nil"/>
              <w:bottom w:val="nil"/>
              <w:right w:val="nil"/>
            </w:tcBorders>
            <w:shd w:val="clear" w:color="000000" w:fill="BFBFBF"/>
            <w:noWrap/>
            <w:vAlign w:val="center"/>
            <w:hideMark/>
          </w:tcPr>
          <w:p w14:paraId="4F1AE296"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Rozpočet</w:t>
            </w:r>
          </w:p>
        </w:tc>
        <w:tc>
          <w:tcPr>
            <w:tcW w:w="1255" w:type="dxa"/>
            <w:tcBorders>
              <w:top w:val="nil"/>
              <w:left w:val="nil"/>
              <w:bottom w:val="nil"/>
              <w:right w:val="nil"/>
            </w:tcBorders>
            <w:shd w:val="clear" w:color="000000" w:fill="BFBFBF"/>
            <w:noWrap/>
            <w:vAlign w:val="center"/>
            <w:hideMark/>
          </w:tcPr>
          <w:p w14:paraId="55736E1B"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Skutočnosť</w:t>
            </w:r>
          </w:p>
        </w:tc>
        <w:tc>
          <w:tcPr>
            <w:tcW w:w="874" w:type="dxa"/>
            <w:tcBorders>
              <w:top w:val="nil"/>
              <w:left w:val="nil"/>
              <w:bottom w:val="nil"/>
              <w:right w:val="nil"/>
            </w:tcBorders>
            <w:shd w:val="clear" w:color="000000" w:fill="BFBFBF"/>
            <w:noWrap/>
            <w:vAlign w:val="center"/>
            <w:hideMark/>
          </w:tcPr>
          <w:p w14:paraId="4853E4F0"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Rozdiel</w:t>
            </w:r>
          </w:p>
        </w:tc>
      </w:tr>
      <w:tr w:rsidR="007D6731" w:rsidRPr="007D6731" w14:paraId="61C56EC2" w14:textId="77777777" w:rsidTr="00A164E5">
        <w:trPr>
          <w:trHeight w:val="292"/>
        </w:trPr>
        <w:tc>
          <w:tcPr>
            <w:tcW w:w="5290" w:type="dxa"/>
            <w:tcBorders>
              <w:top w:val="nil"/>
              <w:left w:val="nil"/>
              <w:right w:val="nil"/>
            </w:tcBorders>
            <w:shd w:val="clear" w:color="000000" w:fill="BFBFBF"/>
            <w:noWrap/>
            <w:vAlign w:val="bottom"/>
            <w:hideMark/>
          </w:tcPr>
          <w:p w14:paraId="11CADAA8"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w:t>
            </w:r>
          </w:p>
        </w:tc>
        <w:tc>
          <w:tcPr>
            <w:tcW w:w="1110" w:type="dxa"/>
            <w:tcBorders>
              <w:top w:val="nil"/>
              <w:left w:val="nil"/>
              <w:right w:val="nil"/>
            </w:tcBorders>
            <w:shd w:val="clear" w:color="000000" w:fill="BFBFBF"/>
            <w:noWrap/>
            <w:hideMark/>
          </w:tcPr>
          <w:p w14:paraId="2E330EFD"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2019</w:t>
            </w:r>
          </w:p>
        </w:tc>
        <w:tc>
          <w:tcPr>
            <w:tcW w:w="1255" w:type="dxa"/>
            <w:tcBorders>
              <w:top w:val="nil"/>
              <w:left w:val="nil"/>
              <w:right w:val="nil"/>
            </w:tcBorders>
            <w:shd w:val="clear" w:color="000000" w:fill="BFBFBF"/>
            <w:noWrap/>
            <w:hideMark/>
          </w:tcPr>
          <w:p w14:paraId="77D2BCF9"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2019</w:t>
            </w:r>
          </w:p>
        </w:tc>
        <w:tc>
          <w:tcPr>
            <w:tcW w:w="874" w:type="dxa"/>
            <w:tcBorders>
              <w:top w:val="nil"/>
              <w:left w:val="nil"/>
              <w:right w:val="nil"/>
            </w:tcBorders>
            <w:shd w:val="clear" w:color="000000" w:fill="BFBFBF"/>
            <w:noWrap/>
            <w:hideMark/>
          </w:tcPr>
          <w:p w14:paraId="6AA89E15"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2019</w:t>
            </w:r>
          </w:p>
        </w:tc>
      </w:tr>
      <w:tr w:rsidR="007D6731" w:rsidRPr="007D6731" w14:paraId="46FDD763" w14:textId="77777777" w:rsidTr="00A164E5">
        <w:trPr>
          <w:trHeight w:val="292"/>
        </w:trPr>
        <w:tc>
          <w:tcPr>
            <w:tcW w:w="5290" w:type="dxa"/>
            <w:tcBorders>
              <w:top w:val="nil"/>
              <w:left w:val="nil"/>
              <w:bottom w:val="single" w:sz="4" w:space="0" w:color="auto"/>
              <w:right w:val="nil"/>
            </w:tcBorders>
            <w:shd w:val="clear" w:color="000000" w:fill="BFBFBF"/>
            <w:noWrap/>
            <w:vAlign w:val="bottom"/>
            <w:hideMark/>
          </w:tcPr>
          <w:p w14:paraId="6E36EE3A"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w:t>
            </w:r>
          </w:p>
        </w:tc>
        <w:tc>
          <w:tcPr>
            <w:tcW w:w="1110" w:type="dxa"/>
            <w:tcBorders>
              <w:top w:val="nil"/>
              <w:left w:val="nil"/>
              <w:bottom w:val="single" w:sz="4" w:space="0" w:color="auto"/>
              <w:right w:val="nil"/>
            </w:tcBorders>
            <w:shd w:val="clear" w:color="000000" w:fill="BFBFBF"/>
            <w:noWrap/>
            <w:vAlign w:val="bottom"/>
            <w:hideMark/>
          </w:tcPr>
          <w:p w14:paraId="4C5E1A89"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w:t>
            </w:r>
          </w:p>
        </w:tc>
        <w:tc>
          <w:tcPr>
            <w:tcW w:w="1255" w:type="dxa"/>
            <w:tcBorders>
              <w:top w:val="nil"/>
              <w:left w:val="nil"/>
              <w:bottom w:val="single" w:sz="4" w:space="0" w:color="auto"/>
              <w:right w:val="nil"/>
            </w:tcBorders>
            <w:shd w:val="clear" w:color="000000" w:fill="BFBFBF"/>
            <w:noWrap/>
            <w:vAlign w:val="bottom"/>
            <w:hideMark/>
          </w:tcPr>
          <w:p w14:paraId="512CD029"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2</w:t>
            </w:r>
          </w:p>
        </w:tc>
        <w:tc>
          <w:tcPr>
            <w:tcW w:w="874" w:type="dxa"/>
            <w:tcBorders>
              <w:top w:val="nil"/>
              <w:left w:val="nil"/>
              <w:bottom w:val="single" w:sz="4" w:space="0" w:color="auto"/>
              <w:right w:val="nil"/>
            </w:tcBorders>
            <w:shd w:val="clear" w:color="000000" w:fill="BFBFBF"/>
            <w:noWrap/>
            <w:vAlign w:val="bottom"/>
            <w:hideMark/>
          </w:tcPr>
          <w:p w14:paraId="3F3A9F4B" w14:textId="77777777" w:rsidR="007D6731" w:rsidRPr="007D6731" w:rsidRDefault="007D6731" w:rsidP="007D6731">
            <w:pPr>
              <w:spacing w:after="0" w:line="240" w:lineRule="auto"/>
              <w:jc w:val="center"/>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3=2-1</w:t>
            </w:r>
          </w:p>
        </w:tc>
      </w:tr>
      <w:tr w:rsidR="007D6731" w:rsidRPr="007D6731" w14:paraId="25199ABE" w14:textId="77777777" w:rsidTr="000227C0">
        <w:trPr>
          <w:trHeight w:val="292"/>
        </w:trPr>
        <w:tc>
          <w:tcPr>
            <w:tcW w:w="5290" w:type="dxa"/>
            <w:tcBorders>
              <w:top w:val="single" w:sz="4" w:space="0" w:color="auto"/>
              <w:left w:val="nil"/>
              <w:bottom w:val="nil"/>
              <w:right w:val="nil"/>
            </w:tcBorders>
            <w:shd w:val="clear" w:color="auto" w:fill="auto"/>
            <w:noWrap/>
            <w:vAlign w:val="center"/>
            <w:hideMark/>
          </w:tcPr>
          <w:p w14:paraId="133CD453"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Daň z príjmov fyzických osôb</w:t>
            </w:r>
          </w:p>
        </w:tc>
        <w:tc>
          <w:tcPr>
            <w:tcW w:w="1110" w:type="dxa"/>
            <w:tcBorders>
              <w:top w:val="single" w:sz="4" w:space="0" w:color="auto"/>
              <w:left w:val="nil"/>
              <w:bottom w:val="nil"/>
              <w:right w:val="nil"/>
            </w:tcBorders>
            <w:shd w:val="clear" w:color="auto" w:fill="auto"/>
            <w:noWrap/>
            <w:vAlign w:val="center"/>
            <w:hideMark/>
          </w:tcPr>
          <w:p w14:paraId="1FAA2216"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3 426 902</w:t>
            </w:r>
          </w:p>
        </w:tc>
        <w:tc>
          <w:tcPr>
            <w:tcW w:w="1255" w:type="dxa"/>
            <w:tcBorders>
              <w:top w:val="single" w:sz="4" w:space="0" w:color="auto"/>
              <w:left w:val="nil"/>
              <w:bottom w:val="nil"/>
              <w:right w:val="nil"/>
            </w:tcBorders>
            <w:shd w:val="clear" w:color="auto" w:fill="BFBFBF" w:themeFill="background1" w:themeFillShade="BF"/>
            <w:noWrap/>
            <w:vAlign w:val="center"/>
            <w:hideMark/>
          </w:tcPr>
          <w:p w14:paraId="5CEA66BB"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3 540 185</w:t>
            </w:r>
          </w:p>
        </w:tc>
        <w:tc>
          <w:tcPr>
            <w:tcW w:w="874" w:type="dxa"/>
            <w:tcBorders>
              <w:top w:val="single" w:sz="4" w:space="0" w:color="auto"/>
              <w:left w:val="nil"/>
              <w:bottom w:val="nil"/>
              <w:right w:val="nil"/>
            </w:tcBorders>
            <w:shd w:val="clear" w:color="auto" w:fill="auto"/>
            <w:noWrap/>
            <w:vAlign w:val="center"/>
            <w:hideMark/>
          </w:tcPr>
          <w:p w14:paraId="2773EB60"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113 283</w:t>
            </w:r>
          </w:p>
        </w:tc>
      </w:tr>
      <w:tr w:rsidR="007D6731" w:rsidRPr="007D6731" w14:paraId="249C1BA4" w14:textId="77777777" w:rsidTr="000227C0">
        <w:trPr>
          <w:trHeight w:val="292"/>
        </w:trPr>
        <w:tc>
          <w:tcPr>
            <w:tcW w:w="5290" w:type="dxa"/>
            <w:tcBorders>
              <w:top w:val="nil"/>
              <w:left w:val="nil"/>
              <w:bottom w:val="nil"/>
              <w:right w:val="nil"/>
            </w:tcBorders>
            <w:shd w:val="clear" w:color="auto" w:fill="auto"/>
            <w:noWrap/>
            <w:vAlign w:val="center"/>
            <w:hideMark/>
          </w:tcPr>
          <w:p w14:paraId="62522ED5"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závislá činnosť</w:t>
            </w:r>
          </w:p>
        </w:tc>
        <w:tc>
          <w:tcPr>
            <w:tcW w:w="1110" w:type="dxa"/>
            <w:tcBorders>
              <w:top w:val="nil"/>
              <w:left w:val="nil"/>
              <w:bottom w:val="nil"/>
              <w:right w:val="nil"/>
            </w:tcBorders>
            <w:shd w:val="clear" w:color="auto" w:fill="auto"/>
            <w:noWrap/>
            <w:vAlign w:val="center"/>
            <w:hideMark/>
          </w:tcPr>
          <w:p w14:paraId="05DB89FC"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3 307 288</w:t>
            </w:r>
          </w:p>
        </w:tc>
        <w:tc>
          <w:tcPr>
            <w:tcW w:w="1255" w:type="dxa"/>
            <w:tcBorders>
              <w:top w:val="nil"/>
              <w:left w:val="nil"/>
              <w:bottom w:val="nil"/>
              <w:right w:val="nil"/>
            </w:tcBorders>
            <w:shd w:val="clear" w:color="auto" w:fill="BFBFBF" w:themeFill="background1" w:themeFillShade="BF"/>
            <w:noWrap/>
            <w:vAlign w:val="center"/>
            <w:hideMark/>
          </w:tcPr>
          <w:p w14:paraId="52492B8A"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3 409 857</w:t>
            </w:r>
          </w:p>
        </w:tc>
        <w:tc>
          <w:tcPr>
            <w:tcW w:w="874" w:type="dxa"/>
            <w:tcBorders>
              <w:top w:val="nil"/>
              <w:left w:val="nil"/>
              <w:bottom w:val="nil"/>
              <w:right w:val="nil"/>
            </w:tcBorders>
            <w:shd w:val="clear" w:color="auto" w:fill="auto"/>
            <w:noWrap/>
            <w:vAlign w:val="center"/>
            <w:hideMark/>
          </w:tcPr>
          <w:p w14:paraId="5C18204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102 569</w:t>
            </w:r>
          </w:p>
        </w:tc>
      </w:tr>
      <w:tr w:rsidR="007D6731" w:rsidRPr="007D6731" w14:paraId="2AFF58E4" w14:textId="77777777" w:rsidTr="000227C0">
        <w:trPr>
          <w:trHeight w:val="292"/>
        </w:trPr>
        <w:tc>
          <w:tcPr>
            <w:tcW w:w="5290" w:type="dxa"/>
            <w:tcBorders>
              <w:top w:val="nil"/>
              <w:left w:val="nil"/>
              <w:bottom w:val="nil"/>
              <w:right w:val="nil"/>
            </w:tcBorders>
            <w:shd w:val="clear" w:color="auto" w:fill="auto"/>
            <w:noWrap/>
            <w:vAlign w:val="center"/>
            <w:hideMark/>
          </w:tcPr>
          <w:p w14:paraId="13DD2B1D"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podnikanie</w:t>
            </w:r>
          </w:p>
        </w:tc>
        <w:tc>
          <w:tcPr>
            <w:tcW w:w="1110" w:type="dxa"/>
            <w:tcBorders>
              <w:top w:val="nil"/>
              <w:left w:val="nil"/>
              <w:bottom w:val="nil"/>
              <w:right w:val="nil"/>
            </w:tcBorders>
            <w:shd w:val="clear" w:color="auto" w:fill="auto"/>
            <w:noWrap/>
            <w:vAlign w:val="center"/>
            <w:hideMark/>
          </w:tcPr>
          <w:p w14:paraId="26CBA46B"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119 614</w:t>
            </w:r>
          </w:p>
        </w:tc>
        <w:tc>
          <w:tcPr>
            <w:tcW w:w="1255" w:type="dxa"/>
            <w:tcBorders>
              <w:top w:val="nil"/>
              <w:left w:val="nil"/>
              <w:bottom w:val="nil"/>
              <w:right w:val="nil"/>
            </w:tcBorders>
            <w:shd w:val="clear" w:color="auto" w:fill="BFBFBF" w:themeFill="background1" w:themeFillShade="BF"/>
            <w:noWrap/>
            <w:vAlign w:val="center"/>
            <w:hideMark/>
          </w:tcPr>
          <w:p w14:paraId="6D6F6F24"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130 328</w:t>
            </w:r>
          </w:p>
        </w:tc>
        <w:tc>
          <w:tcPr>
            <w:tcW w:w="874" w:type="dxa"/>
            <w:tcBorders>
              <w:top w:val="nil"/>
              <w:left w:val="nil"/>
              <w:bottom w:val="nil"/>
              <w:right w:val="nil"/>
            </w:tcBorders>
            <w:shd w:val="clear" w:color="auto" w:fill="auto"/>
            <w:noWrap/>
            <w:vAlign w:val="center"/>
            <w:hideMark/>
          </w:tcPr>
          <w:p w14:paraId="6707A2D9"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10 714</w:t>
            </w:r>
          </w:p>
        </w:tc>
      </w:tr>
      <w:tr w:rsidR="007D6731" w:rsidRPr="007D6731" w14:paraId="65EE1E02" w14:textId="77777777" w:rsidTr="000227C0">
        <w:trPr>
          <w:trHeight w:val="292"/>
        </w:trPr>
        <w:tc>
          <w:tcPr>
            <w:tcW w:w="5290" w:type="dxa"/>
            <w:tcBorders>
              <w:top w:val="nil"/>
              <w:left w:val="nil"/>
              <w:bottom w:val="nil"/>
              <w:right w:val="nil"/>
            </w:tcBorders>
            <w:shd w:val="clear" w:color="auto" w:fill="auto"/>
            <w:noWrap/>
            <w:vAlign w:val="center"/>
            <w:hideMark/>
          </w:tcPr>
          <w:p w14:paraId="2101F88C"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Daň z príjmov právnických osôb</w:t>
            </w:r>
          </w:p>
        </w:tc>
        <w:tc>
          <w:tcPr>
            <w:tcW w:w="1110" w:type="dxa"/>
            <w:tcBorders>
              <w:top w:val="nil"/>
              <w:left w:val="nil"/>
              <w:bottom w:val="nil"/>
              <w:right w:val="nil"/>
            </w:tcBorders>
            <w:shd w:val="clear" w:color="auto" w:fill="auto"/>
            <w:noWrap/>
            <w:vAlign w:val="center"/>
            <w:hideMark/>
          </w:tcPr>
          <w:p w14:paraId="63A8E4E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2 868 647</w:t>
            </w:r>
          </w:p>
        </w:tc>
        <w:tc>
          <w:tcPr>
            <w:tcW w:w="1255" w:type="dxa"/>
            <w:tcBorders>
              <w:top w:val="nil"/>
              <w:left w:val="nil"/>
              <w:bottom w:val="nil"/>
              <w:right w:val="nil"/>
            </w:tcBorders>
            <w:shd w:val="clear" w:color="auto" w:fill="BFBFBF" w:themeFill="background1" w:themeFillShade="BF"/>
            <w:noWrap/>
            <w:vAlign w:val="center"/>
            <w:hideMark/>
          </w:tcPr>
          <w:p w14:paraId="61626E26"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2 747 360</w:t>
            </w:r>
          </w:p>
        </w:tc>
        <w:tc>
          <w:tcPr>
            <w:tcW w:w="874" w:type="dxa"/>
            <w:tcBorders>
              <w:top w:val="nil"/>
              <w:left w:val="nil"/>
              <w:bottom w:val="nil"/>
              <w:right w:val="nil"/>
            </w:tcBorders>
            <w:shd w:val="clear" w:color="auto" w:fill="auto"/>
            <w:noWrap/>
            <w:vAlign w:val="center"/>
            <w:hideMark/>
          </w:tcPr>
          <w:p w14:paraId="182887CA"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-121 287</w:t>
            </w:r>
          </w:p>
        </w:tc>
      </w:tr>
      <w:tr w:rsidR="007D6731" w:rsidRPr="007D6731" w14:paraId="110921CF" w14:textId="77777777" w:rsidTr="000227C0">
        <w:trPr>
          <w:trHeight w:val="292"/>
        </w:trPr>
        <w:tc>
          <w:tcPr>
            <w:tcW w:w="5290" w:type="dxa"/>
            <w:tcBorders>
              <w:top w:val="nil"/>
              <w:left w:val="nil"/>
              <w:bottom w:val="nil"/>
              <w:right w:val="nil"/>
            </w:tcBorders>
            <w:shd w:val="clear" w:color="auto" w:fill="auto"/>
            <w:noWrap/>
            <w:vAlign w:val="center"/>
            <w:hideMark/>
          </w:tcPr>
          <w:p w14:paraId="7B021375"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Daň z príjmov vyberaná zrážkou</w:t>
            </w:r>
          </w:p>
        </w:tc>
        <w:tc>
          <w:tcPr>
            <w:tcW w:w="1110" w:type="dxa"/>
            <w:tcBorders>
              <w:top w:val="nil"/>
              <w:left w:val="nil"/>
              <w:bottom w:val="nil"/>
              <w:right w:val="nil"/>
            </w:tcBorders>
            <w:shd w:val="clear" w:color="auto" w:fill="auto"/>
            <w:noWrap/>
            <w:vAlign w:val="center"/>
            <w:hideMark/>
          </w:tcPr>
          <w:p w14:paraId="19B15C74"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235 639</w:t>
            </w:r>
          </w:p>
        </w:tc>
        <w:tc>
          <w:tcPr>
            <w:tcW w:w="1255" w:type="dxa"/>
            <w:tcBorders>
              <w:top w:val="nil"/>
              <w:left w:val="nil"/>
              <w:bottom w:val="nil"/>
              <w:right w:val="nil"/>
            </w:tcBorders>
            <w:shd w:val="clear" w:color="auto" w:fill="BFBFBF" w:themeFill="background1" w:themeFillShade="BF"/>
            <w:noWrap/>
            <w:vAlign w:val="center"/>
            <w:hideMark/>
          </w:tcPr>
          <w:p w14:paraId="443485D0"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245 615</w:t>
            </w:r>
          </w:p>
        </w:tc>
        <w:tc>
          <w:tcPr>
            <w:tcW w:w="874" w:type="dxa"/>
            <w:tcBorders>
              <w:top w:val="nil"/>
              <w:left w:val="nil"/>
              <w:bottom w:val="nil"/>
              <w:right w:val="nil"/>
            </w:tcBorders>
            <w:shd w:val="clear" w:color="auto" w:fill="auto"/>
            <w:noWrap/>
            <w:vAlign w:val="center"/>
            <w:hideMark/>
          </w:tcPr>
          <w:p w14:paraId="2DFE54D4"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9 976</w:t>
            </w:r>
          </w:p>
        </w:tc>
      </w:tr>
      <w:tr w:rsidR="007D6731" w:rsidRPr="007D6731" w14:paraId="2EAC6510" w14:textId="77777777" w:rsidTr="000227C0">
        <w:trPr>
          <w:trHeight w:val="292"/>
        </w:trPr>
        <w:tc>
          <w:tcPr>
            <w:tcW w:w="5290" w:type="dxa"/>
            <w:tcBorders>
              <w:top w:val="nil"/>
              <w:left w:val="nil"/>
              <w:bottom w:val="nil"/>
              <w:right w:val="nil"/>
            </w:tcBorders>
            <w:shd w:val="clear" w:color="auto" w:fill="auto"/>
            <w:noWrap/>
            <w:vAlign w:val="center"/>
            <w:hideMark/>
          </w:tcPr>
          <w:p w14:paraId="2662BF0B"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Daň z pridanej hodnoty</w:t>
            </w:r>
          </w:p>
        </w:tc>
        <w:tc>
          <w:tcPr>
            <w:tcW w:w="1110" w:type="dxa"/>
            <w:tcBorders>
              <w:top w:val="nil"/>
              <w:left w:val="nil"/>
              <w:bottom w:val="nil"/>
              <w:right w:val="nil"/>
            </w:tcBorders>
            <w:shd w:val="clear" w:color="auto" w:fill="auto"/>
            <w:noWrap/>
            <w:vAlign w:val="center"/>
            <w:hideMark/>
          </w:tcPr>
          <w:p w14:paraId="3547CF5B"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6 663 664</w:t>
            </w:r>
          </w:p>
        </w:tc>
        <w:tc>
          <w:tcPr>
            <w:tcW w:w="1255" w:type="dxa"/>
            <w:tcBorders>
              <w:top w:val="nil"/>
              <w:left w:val="nil"/>
              <w:bottom w:val="nil"/>
              <w:right w:val="nil"/>
            </w:tcBorders>
            <w:shd w:val="clear" w:color="auto" w:fill="BFBFBF" w:themeFill="background1" w:themeFillShade="BF"/>
            <w:noWrap/>
            <w:vAlign w:val="center"/>
            <w:hideMark/>
          </w:tcPr>
          <w:p w14:paraId="1EEA9F0B"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6 825 663</w:t>
            </w:r>
          </w:p>
        </w:tc>
        <w:tc>
          <w:tcPr>
            <w:tcW w:w="874" w:type="dxa"/>
            <w:tcBorders>
              <w:top w:val="nil"/>
              <w:left w:val="nil"/>
              <w:bottom w:val="nil"/>
              <w:right w:val="nil"/>
            </w:tcBorders>
            <w:shd w:val="clear" w:color="auto" w:fill="auto"/>
            <w:noWrap/>
            <w:vAlign w:val="center"/>
            <w:hideMark/>
          </w:tcPr>
          <w:p w14:paraId="29E41954"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161 999</w:t>
            </w:r>
          </w:p>
        </w:tc>
      </w:tr>
      <w:tr w:rsidR="007D6731" w:rsidRPr="007D6731" w14:paraId="1FB47973" w14:textId="77777777" w:rsidTr="000227C0">
        <w:trPr>
          <w:trHeight w:val="292"/>
        </w:trPr>
        <w:tc>
          <w:tcPr>
            <w:tcW w:w="5290" w:type="dxa"/>
            <w:tcBorders>
              <w:top w:val="nil"/>
              <w:left w:val="nil"/>
              <w:bottom w:val="nil"/>
              <w:right w:val="nil"/>
            </w:tcBorders>
            <w:shd w:val="clear" w:color="auto" w:fill="auto"/>
            <w:noWrap/>
            <w:vAlign w:val="center"/>
            <w:hideMark/>
          </w:tcPr>
          <w:p w14:paraId="26ADDD79"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Spotrebné dane</w:t>
            </w:r>
          </w:p>
        </w:tc>
        <w:tc>
          <w:tcPr>
            <w:tcW w:w="1110" w:type="dxa"/>
            <w:tcBorders>
              <w:top w:val="nil"/>
              <w:left w:val="nil"/>
              <w:bottom w:val="nil"/>
              <w:right w:val="nil"/>
            </w:tcBorders>
            <w:shd w:val="clear" w:color="auto" w:fill="auto"/>
            <w:noWrap/>
            <w:vAlign w:val="center"/>
            <w:hideMark/>
          </w:tcPr>
          <w:p w14:paraId="77162972"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2 426 425</w:t>
            </w:r>
          </w:p>
        </w:tc>
        <w:tc>
          <w:tcPr>
            <w:tcW w:w="1255" w:type="dxa"/>
            <w:tcBorders>
              <w:top w:val="nil"/>
              <w:left w:val="nil"/>
              <w:bottom w:val="nil"/>
              <w:right w:val="nil"/>
            </w:tcBorders>
            <w:shd w:val="clear" w:color="auto" w:fill="BFBFBF" w:themeFill="background1" w:themeFillShade="BF"/>
            <w:noWrap/>
            <w:vAlign w:val="center"/>
            <w:hideMark/>
          </w:tcPr>
          <w:p w14:paraId="2840E6F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2 373 261</w:t>
            </w:r>
          </w:p>
        </w:tc>
        <w:tc>
          <w:tcPr>
            <w:tcW w:w="874" w:type="dxa"/>
            <w:tcBorders>
              <w:top w:val="nil"/>
              <w:left w:val="nil"/>
              <w:bottom w:val="nil"/>
              <w:right w:val="nil"/>
            </w:tcBorders>
            <w:shd w:val="clear" w:color="auto" w:fill="auto"/>
            <w:noWrap/>
            <w:vAlign w:val="center"/>
            <w:hideMark/>
          </w:tcPr>
          <w:p w14:paraId="5CEA330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-53 164</w:t>
            </w:r>
          </w:p>
        </w:tc>
      </w:tr>
      <w:tr w:rsidR="007D6731" w:rsidRPr="007D6731" w14:paraId="7AA544AA" w14:textId="77777777" w:rsidTr="000227C0">
        <w:trPr>
          <w:trHeight w:val="292"/>
        </w:trPr>
        <w:tc>
          <w:tcPr>
            <w:tcW w:w="5290" w:type="dxa"/>
            <w:tcBorders>
              <w:top w:val="nil"/>
              <w:left w:val="nil"/>
              <w:bottom w:val="nil"/>
              <w:right w:val="nil"/>
            </w:tcBorders>
            <w:shd w:val="clear" w:color="auto" w:fill="auto"/>
            <w:noWrap/>
            <w:vAlign w:val="center"/>
            <w:hideMark/>
          </w:tcPr>
          <w:p w14:paraId="69A3E573"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Minerálny olej</w:t>
            </w:r>
          </w:p>
        </w:tc>
        <w:tc>
          <w:tcPr>
            <w:tcW w:w="1110" w:type="dxa"/>
            <w:tcBorders>
              <w:top w:val="nil"/>
              <w:left w:val="nil"/>
              <w:bottom w:val="nil"/>
              <w:right w:val="nil"/>
            </w:tcBorders>
            <w:shd w:val="clear" w:color="auto" w:fill="auto"/>
            <w:noWrap/>
            <w:vAlign w:val="center"/>
            <w:hideMark/>
          </w:tcPr>
          <w:p w14:paraId="4FA6613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1 337 220</w:t>
            </w:r>
          </w:p>
        </w:tc>
        <w:tc>
          <w:tcPr>
            <w:tcW w:w="1255" w:type="dxa"/>
            <w:tcBorders>
              <w:top w:val="nil"/>
              <w:left w:val="nil"/>
              <w:bottom w:val="nil"/>
              <w:right w:val="nil"/>
            </w:tcBorders>
            <w:shd w:val="clear" w:color="auto" w:fill="BFBFBF" w:themeFill="background1" w:themeFillShade="BF"/>
            <w:noWrap/>
            <w:vAlign w:val="center"/>
            <w:hideMark/>
          </w:tcPr>
          <w:p w14:paraId="3CEC5F29"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1 288 894</w:t>
            </w:r>
          </w:p>
        </w:tc>
        <w:tc>
          <w:tcPr>
            <w:tcW w:w="874" w:type="dxa"/>
            <w:tcBorders>
              <w:top w:val="nil"/>
              <w:left w:val="nil"/>
              <w:bottom w:val="nil"/>
              <w:right w:val="nil"/>
            </w:tcBorders>
            <w:shd w:val="clear" w:color="auto" w:fill="auto"/>
            <w:noWrap/>
            <w:vAlign w:val="center"/>
            <w:hideMark/>
          </w:tcPr>
          <w:p w14:paraId="530B7C1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-48 326</w:t>
            </w:r>
          </w:p>
        </w:tc>
      </w:tr>
      <w:tr w:rsidR="007D6731" w:rsidRPr="007D6731" w14:paraId="4F8BC86D" w14:textId="77777777" w:rsidTr="000227C0">
        <w:trPr>
          <w:trHeight w:val="292"/>
        </w:trPr>
        <w:tc>
          <w:tcPr>
            <w:tcW w:w="5290" w:type="dxa"/>
            <w:tcBorders>
              <w:top w:val="nil"/>
              <w:left w:val="nil"/>
              <w:bottom w:val="nil"/>
              <w:right w:val="nil"/>
            </w:tcBorders>
            <w:shd w:val="clear" w:color="auto" w:fill="auto"/>
            <w:noWrap/>
            <w:vAlign w:val="center"/>
            <w:hideMark/>
          </w:tcPr>
          <w:p w14:paraId="31482FAF"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Tabak a tabakové výrobky</w:t>
            </w:r>
          </w:p>
        </w:tc>
        <w:tc>
          <w:tcPr>
            <w:tcW w:w="1110" w:type="dxa"/>
            <w:tcBorders>
              <w:top w:val="nil"/>
              <w:left w:val="nil"/>
              <w:bottom w:val="nil"/>
              <w:right w:val="nil"/>
            </w:tcBorders>
            <w:shd w:val="clear" w:color="auto" w:fill="auto"/>
            <w:noWrap/>
            <w:vAlign w:val="center"/>
            <w:hideMark/>
          </w:tcPr>
          <w:p w14:paraId="395A253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765 590</w:t>
            </w:r>
          </w:p>
        </w:tc>
        <w:tc>
          <w:tcPr>
            <w:tcW w:w="1255" w:type="dxa"/>
            <w:tcBorders>
              <w:top w:val="nil"/>
              <w:left w:val="nil"/>
              <w:bottom w:val="nil"/>
              <w:right w:val="nil"/>
            </w:tcBorders>
            <w:shd w:val="clear" w:color="auto" w:fill="BFBFBF" w:themeFill="background1" w:themeFillShade="BF"/>
            <w:noWrap/>
            <w:vAlign w:val="center"/>
            <w:hideMark/>
          </w:tcPr>
          <w:p w14:paraId="52528440"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766 577</w:t>
            </w:r>
          </w:p>
        </w:tc>
        <w:tc>
          <w:tcPr>
            <w:tcW w:w="874" w:type="dxa"/>
            <w:tcBorders>
              <w:top w:val="nil"/>
              <w:left w:val="nil"/>
              <w:bottom w:val="nil"/>
              <w:right w:val="nil"/>
            </w:tcBorders>
            <w:shd w:val="clear" w:color="auto" w:fill="auto"/>
            <w:noWrap/>
            <w:vAlign w:val="center"/>
            <w:hideMark/>
          </w:tcPr>
          <w:p w14:paraId="42A859DA"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987</w:t>
            </w:r>
          </w:p>
        </w:tc>
      </w:tr>
      <w:tr w:rsidR="007D6731" w:rsidRPr="007D6731" w14:paraId="3B320053" w14:textId="77777777" w:rsidTr="000227C0">
        <w:trPr>
          <w:trHeight w:val="292"/>
        </w:trPr>
        <w:tc>
          <w:tcPr>
            <w:tcW w:w="5290" w:type="dxa"/>
            <w:tcBorders>
              <w:top w:val="nil"/>
              <w:left w:val="nil"/>
              <w:bottom w:val="nil"/>
              <w:right w:val="nil"/>
            </w:tcBorders>
            <w:shd w:val="clear" w:color="auto" w:fill="auto"/>
            <w:noWrap/>
            <w:vAlign w:val="center"/>
            <w:hideMark/>
          </w:tcPr>
          <w:p w14:paraId="4094DB55"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Ostatné spotrebné dane</w:t>
            </w:r>
          </w:p>
        </w:tc>
        <w:tc>
          <w:tcPr>
            <w:tcW w:w="1110" w:type="dxa"/>
            <w:tcBorders>
              <w:top w:val="nil"/>
              <w:left w:val="nil"/>
              <w:bottom w:val="nil"/>
              <w:right w:val="nil"/>
            </w:tcBorders>
            <w:shd w:val="clear" w:color="auto" w:fill="auto"/>
            <w:noWrap/>
            <w:vAlign w:val="center"/>
            <w:hideMark/>
          </w:tcPr>
          <w:p w14:paraId="29AF2EA3"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323 615</w:t>
            </w:r>
          </w:p>
        </w:tc>
        <w:tc>
          <w:tcPr>
            <w:tcW w:w="1255" w:type="dxa"/>
            <w:tcBorders>
              <w:top w:val="nil"/>
              <w:left w:val="nil"/>
              <w:bottom w:val="nil"/>
              <w:right w:val="nil"/>
            </w:tcBorders>
            <w:shd w:val="clear" w:color="auto" w:fill="BFBFBF" w:themeFill="background1" w:themeFillShade="BF"/>
            <w:noWrap/>
            <w:vAlign w:val="center"/>
            <w:hideMark/>
          </w:tcPr>
          <w:p w14:paraId="409CE620"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317 789</w:t>
            </w:r>
          </w:p>
        </w:tc>
        <w:tc>
          <w:tcPr>
            <w:tcW w:w="874" w:type="dxa"/>
            <w:tcBorders>
              <w:top w:val="nil"/>
              <w:left w:val="nil"/>
              <w:bottom w:val="nil"/>
              <w:right w:val="nil"/>
            </w:tcBorders>
            <w:shd w:val="clear" w:color="auto" w:fill="auto"/>
            <w:noWrap/>
            <w:vAlign w:val="center"/>
            <w:hideMark/>
          </w:tcPr>
          <w:p w14:paraId="5E353B54"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-5 826</w:t>
            </w:r>
          </w:p>
        </w:tc>
      </w:tr>
      <w:tr w:rsidR="007D6731" w:rsidRPr="007D6731" w14:paraId="252B8F29" w14:textId="77777777" w:rsidTr="000227C0">
        <w:trPr>
          <w:trHeight w:val="292"/>
        </w:trPr>
        <w:tc>
          <w:tcPr>
            <w:tcW w:w="5290" w:type="dxa"/>
            <w:tcBorders>
              <w:top w:val="nil"/>
              <w:left w:val="nil"/>
              <w:bottom w:val="nil"/>
              <w:right w:val="nil"/>
            </w:tcBorders>
            <w:shd w:val="clear" w:color="auto" w:fill="auto"/>
            <w:noWrap/>
            <w:vAlign w:val="center"/>
            <w:hideMark/>
          </w:tcPr>
          <w:p w14:paraId="08433ED5"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Dane z majetku (nehnuteľnosti)</w:t>
            </w:r>
          </w:p>
        </w:tc>
        <w:tc>
          <w:tcPr>
            <w:tcW w:w="1110" w:type="dxa"/>
            <w:tcBorders>
              <w:top w:val="nil"/>
              <w:left w:val="nil"/>
              <w:bottom w:val="nil"/>
              <w:right w:val="nil"/>
            </w:tcBorders>
            <w:shd w:val="clear" w:color="auto" w:fill="auto"/>
            <w:noWrap/>
            <w:vAlign w:val="center"/>
            <w:hideMark/>
          </w:tcPr>
          <w:p w14:paraId="16CE1A38"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358 985</w:t>
            </w:r>
          </w:p>
        </w:tc>
        <w:tc>
          <w:tcPr>
            <w:tcW w:w="1255" w:type="dxa"/>
            <w:tcBorders>
              <w:top w:val="nil"/>
              <w:left w:val="nil"/>
              <w:bottom w:val="nil"/>
              <w:right w:val="nil"/>
            </w:tcBorders>
            <w:shd w:val="clear" w:color="auto" w:fill="BFBFBF" w:themeFill="background1" w:themeFillShade="BF"/>
            <w:noWrap/>
            <w:vAlign w:val="center"/>
            <w:hideMark/>
          </w:tcPr>
          <w:p w14:paraId="7BD0899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364 823</w:t>
            </w:r>
          </w:p>
        </w:tc>
        <w:tc>
          <w:tcPr>
            <w:tcW w:w="874" w:type="dxa"/>
            <w:tcBorders>
              <w:top w:val="nil"/>
              <w:left w:val="nil"/>
              <w:bottom w:val="nil"/>
              <w:right w:val="nil"/>
            </w:tcBorders>
            <w:shd w:val="clear" w:color="auto" w:fill="auto"/>
            <w:noWrap/>
            <w:vAlign w:val="center"/>
            <w:hideMark/>
          </w:tcPr>
          <w:p w14:paraId="0A3B6F5A"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5 838</w:t>
            </w:r>
          </w:p>
        </w:tc>
      </w:tr>
      <w:tr w:rsidR="007D6731" w:rsidRPr="007D6731" w14:paraId="4ECA85C5" w14:textId="77777777" w:rsidTr="000227C0">
        <w:trPr>
          <w:trHeight w:val="292"/>
        </w:trPr>
        <w:tc>
          <w:tcPr>
            <w:tcW w:w="5290" w:type="dxa"/>
            <w:tcBorders>
              <w:top w:val="nil"/>
              <w:left w:val="nil"/>
              <w:bottom w:val="nil"/>
              <w:right w:val="nil"/>
            </w:tcBorders>
            <w:shd w:val="clear" w:color="auto" w:fill="auto"/>
            <w:noWrap/>
            <w:vAlign w:val="center"/>
            <w:hideMark/>
          </w:tcPr>
          <w:p w14:paraId="131FEBF8"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Dane z medzinárodného obchodu</w:t>
            </w:r>
          </w:p>
        </w:tc>
        <w:tc>
          <w:tcPr>
            <w:tcW w:w="1110" w:type="dxa"/>
            <w:tcBorders>
              <w:top w:val="nil"/>
              <w:left w:val="nil"/>
              <w:bottom w:val="nil"/>
              <w:right w:val="nil"/>
            </w:tcBorders>
            <w:shd w:val="clear" w:color="auto" w:fill="auto"/>
            <w:noWrap/>
            <w:vAlign w:val="center"/>
            <w:hideMark/>
          </w:tcPr>
          <w:p w14:paraId="4AAC34E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21 517</w:t>
            </w:r>
          </w:p>
        </w:tc>
        <w:tc>
          <w:tcPr>
            <w:tcW w:w="1255" w:type="dxa"/>
            <w:tcBorders>
              <w:top w:val="nil"/>
              <w:left w:val="nil"/>
              <w:bottom w:val="nil"/>
              <w:right w:val="nil"/>
            </w:tcBorders>
            <w:shd w:val="clear" w:color="auto" w:fill="BFBFBF" w:themeFill="background1" w:themeFillShade="BF"/>
            <w:noWrap/>
            <w:vAlign w:val="center"/>
            <w:hideMark/>
          </w:tcPr>
          <w:p w14:paraId="4B774BE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21 079</w:t>
            </w:r>
          </w:p>
        </w:tc>
        <w:tc>
          <w:tcPr>
            <w:tcW w:w="874" w:type="dxa"/>
            <w:tcBorders>
              <w:top w:val="nil"/>
              <w:left w:val="nil"/>
              <w:bottom w:val="nil"/>
              <w:right w:val="nil"/>
            </w:tcBorders>
            <w:shd w:val="clear" w:color="auto" w:fill="auto"/>
            <w:noWrap/>
            <w:vAlign w:val="center"/>
            <w:hideMark/>
          </w:tcPr>
          <w:p w14:paraId="3AA7B4A9"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-438</w:t>
            </w:r>
          </w:p>
        </w:tc>
      </w:tr>
      <w:tr w:rsidR="007D6731" w:rsidRPr="007D6731" w14:paraId="3F367CDE" w14:textId="77777777" w:rsidTr="000227C0">
        <w:trPr>
          <w:trHeight w:val="292"/>
        </w:trPr>
        <w:tc>
          <w:tcPr>
            <w:tcW w:w="5290" w:type="dxa"/>
            <w:tcBorders>
              <w:top w:val="nil"/>
              <w:left w:val="nil"/>
              <w:bottom w:val="nil"/>
              <w:right w:val="nil"/>
            </w:tcBorders>
            <w:shd w:val="clear" w:color="auto" w:fill="auto"/>
            <w:noWrap/>
            <w:vAlign w:val="center"/>
            <w:hideMark/>
          </w:tcPr>
          <w:p w14:paraId="4A7AB041"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Ostatné dane</w:t>
            </w:r>
          </w:p>
        </w:tc>
        <w:tc>
          <w:tcPr>
            <w:tcW w:w="1110" w:type="dxa"/>
            <w:tcBorders>
              <w:top w:val="nil"/>
              <w:left w:val="nil"/>
              <w:bottom w:val="nil"/>
              <w:right w:val="nil"/>
            </w:tcBorders>
            <w:shd w:val="clear" w:color="auto" w:fill="auto"/>
            <w:noWrap/>
            <w:vAlign w:val="center"/>
            <w:hideMark/>
          </w:tcPr>
          <w:p w14:paraId="5FC897B6"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1 105 975</w:t>
            </w:r>
          </w:p>
        </w:tc>
        <w:tc>
          <w:tcPr>
            <w:tcW w:w="1255" w:type="dxa"/>
            <w:tcBorders>
              <w:top w:val="nil"/>
              <w:left w:val="nil"/>
              <w:bottom w:val="nil"/>
              <w:right w:val="nil"/>
            </w:tcBorders>
            <w:shd w:val="clear" w:color="auto" w:fill="BFBFBF" w:themeFill="background1" w:themeFillShade="BF"/>
            <w:noWrap/>
            <w:vAlign w:val="center"/>
            <w:hideMark/>
          </w:tcPr>
          <w:p w14:paraId="2D7102C0"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846 531</w:t>
            </w:r>
          </w:p>
        </w:tc>
        <w:tc>
          <w:tcPr>
            <w:tcW w:w="874" w:type="dxa"/>
            <w:tcBorders>
              <w:top w:val="nil"/>
              <w:left w:val="nil"/>
              <w:bottom w:val="nil"/>
              <w:right w:val="nil"/>
            </w:tcBorders>
            <w:shd w:val="clear" w:color="auto" w:fill="auto"/>
            <w:noWrap/>
            <w:vAlign w:val="center"/>
            <w:hideMark/>
          </w:tcPr>
          <w:p w14:paraId="63834D39"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-259 444</w:t>
            </w:r>
          </w:p>
        </w:tc>
      </w:tr>
      <w:tr w:rsidR="007D6731" w:rsidRPr="007D6731" w14:paraId="27849E82" w14:textId="77777777" w:rsidTr="000227C0">
        <w:trPr>
          <w:trHeight w:val="292"/>
        </w:trPr>
        <w:tc>
          <w:tcPr>
            <w:tcW w:w="5290" w:type="dxa"/>
            <w:tcBorders>
              <w:top w:val="nil"/>
              <w:left w:val="nil"/>
              <w:bottom w:val="nil"/>
              <w:right w:val="nil"/>
            </w:tcBorders>
            <w:shd w:val="clear" w:color="auto" w:fill="auto"/>
            <w:noWrap/>
            <w:vAlign w:val="center"/>
            <w:hideMark/>
          </w:tcPr>
          <w:p w14:paraId="28611F7A"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Daň z motorových vozidiel</w:t>
            </w:r>
          </w:p>
        </w:tc>
        <w:tc>
          <w:tcPr>
            <w:tcW w:w="1110" w:type="dxa"/>
            <w:tcBorders>
              <w:top w:val="nil"/>
              <w:left w:val="nil"/>
              <w:bottom w:val="nil"/>
              <w:right w:val="nil"/>
            </w:tcBorders>
            <w:shd w:val="clear" w:color="auto" w:fill="auto"/>
            <w:noWrap/>
            <w:vAlign w:val="center"/>
            <w:hideMark/>
          </w:tcPr>
          <w:p w14:paraId="31014218"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170 903</w:t>
            </w:r>
          </w:p>
        </w:tc>
        <w:tc>
          <w:tcPr>
            <w:tcW w:w="1255" w:type="dxa"/>
            <w:tcBorders>
              <w:top w:val="nil"/>
              <w:left w:val="nil"/>
              <w:bottom w:val="nil"/>
              <w:right w:val="nil"/>
            </w:tcBorders>
            <w:shd w:val="clear" w:color="auto" w:fill="BFBFBF" w:themeFill="background1" w:themeFillShade="BF"/>
            <w:noWrap/>
            <w:vAlign w:val="center"/>
            <w:hideMark/>
          </w:tcPr>
          <w:p w14:paraId="18516418"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161 740</w:t>
            </w:r>
          </w:p>
        </w:tc>
        <w:tc>
          <w:tcPr>
            <w:tcW w:w="874" w:type="dxa"/>
            <w:tcBorders>
              <w:top w:val="nil"/>
              <w:left w:val="nil"/>
              <w:bottom w:val="nil"/>
              <w:right w:val="nil"/>
            </w:tcBorders>
            <w:shd w:val="clear" w:color="auto" w:fill="auto"/>
            <w:noWrap/>
            <w:vAlign w:val="center"/>
            <w:hideMark/>
          </w:tcPr>
          <w:p w14:paraId="0579AA3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-9 163</w:t>
            </w:r>
          </w:p>
        </w:tc>
      </w:tr>
      <w:tr w:rsidR="007D6731" w:rsidRPr="007D6731" w14:paraId="05B2E1D4" w14:textId="77777777" w:rsidTr="000227C0">
        <w:trPr>
          <w:trHeight w:val="292"/>
        </w:trPr>
        <w:tc>
          <w:tcPr>
            <w:tcW w:w="5290" w:type="dxa"/>
            <w:tcBorders>
              <w:top w:val="nil"/>
              <w:left w:val="nil"/>
              <w:bottom w:val="nil"/>
              <w:right w:val="nil"/>
            </w:tcBorders>
            <w:shd w:val="clear" w:color="auto" w:fill="auto"/>
            <w:noWrap/>
            <w:vAlign w:val="center"/>
            <w:hideMark/>
          </w:tcPr>
          <w:p w14:paraId="25C1AB7C"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Osobitný odvod z podnikania v regulovaných odvetviach </w:t>
            </w:r>
          </w:p>
        </w:tc>
        <w:tc>
          <w:tcPr>
            <w:tcW w:w="1110" w:type="dxa"/>
            <w:tcBorders>
              <w:top w:val="nil"/>
              <w:left w:val="nil"/>
              <w:bottom w:val="nil"/>
              <w:right w:val="nil"/>
            </w:tcBorders>
            <w:shd w:val="clear" w:color="auto" w:fill="auto"/>
            <w:noWrap/>
            <w:vAlign w:val="center"/>
            <w:hideMark/>
          </w:tcPr>
          <w:p w14:paraId="11DC67C0"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125 452</w:t>
            </w:r>
          </w:p>
        </w:tc>
        <w:tc>
          <w:tcPr>
            <w:tcW w:w="1255" w:type="dxa"/>
            <w:tcBorders>
              <w:top w:val="nil"/>
              <w:left w:val="nil"/>
              <w:bottom w:val="nil"/>
              <w:right w:val="nil"/>
            </w:tcBorders>
            <w:shd w:val="clear" w:color="auto" w:fill="BFBFBF" w:themeFill="background1" w:themeFillShade="BF"/>
            <w:noWrap/>
            <w:vAlign w:val="center"/>
            <w:hideMark/>
          </w:tcPr>
          <w:p w14:paraId="4F84F0F7"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124 796</w:t>
            </w:r>
          </w:p>
        </w:tc>
        <w:tc>
          <w:tcPr>
            <w:tcW w:w="874" w:type="dxa"/>
            <w:tcBorders>
              <w:top w:val="nil"/>
              <w:left w:val="nil"/>
              <w:bottom w:val="nil"/>
              <w:right w:val="nil"/>
            </w:tcBorders>
            <w:shd w:val="clear" w:color="auto" w:fill="auto"/>
            <w:noWrap/>
            <w:vAlign w:val="center"/>
            <w:hideMark/>
          </w:tcPr>
          <w:p w14:paraId="3A1D00C2"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-656</w:t>
            </w:r>
          </w:p>
        </w:tc>
      </w:tr>
      <w:tr w:rsidR="007D6731" w:rsidRPr="007D6731" w14:paraId="21ADA118" w14:textId="77777777" w:rsidTr="000227C0">
        <w:trPr>
          <w:trHeight w:val="292"/>
        </w:trPr>
        <w:tc>
          <w:tcPr>
            <w:tcW w:w="5290" w:type="dxa"/>
            <w:tcBorders>
              <w:top w:val="nil"/>
              <w:left w:val="nil"/>
              <w:bottom w:val="nil"/>
              <w:right w:val="nil"/>
            </w:tcBorders>
            <w:shd w:val="clear" w:color="auto" w:fill="auto"/>
            <w:noWrap/>
            <w:vAlign w:val="center"/>
            <w:hideMark/>
          </w:tcPr>
          <w:p w14:paraId="3A8E4334"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Osobitný odvod vybraných finančných inštitúcií</w:t>
            </w:r>
          </w:p>
        </w:tc>
        <w:tc>
          <w:tcPr>
            <w:tcW w:w="1110" w:type="dxa"/>
            <w:tcBorders>
              <w:top w:val="nil"/>
              <w:left w:val="nil"/>
              <w:bottom w:val="nil"/>
              <w:right w:val="nil"/>
            </w:tcBorders>
            <w:shd w:val="clear" w:color="auto" w:fill="auto"/>
            <w:noWrap/>
            <w:vAlign w:val="center"/>
            <w:hideMark/>
          </w:tcPr>
          <w:p w14:paraId="7EB4FCC6"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143 076</w:t>
            </w:r>
          </w:p>
        </w:tc>
        <w:tc>
          <w:tcPr>
            <w:tcW w:w="1255" w:type="dxa"/>
            <w:tcBorders>
              <w:top w:val="nil"/>
              <w:left w:val="nil"/>
              <w:bottom w:val="nil"/>
              <w:right w:val="nil"/>
            </w:tcBorders>
            <w:shd w:val="clear" w:color="auto" w:fill="BFBFBF" w:themeFill="background1" w:themeFillShade="BF"/>
            <w:noWrap/>
            <w:vAlign w:val="center"/>
            <w:hideMark/>
          </w:tcPr>
          <w:p w14:paraId="005244C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143 411</w:t>
            </w:r>
          </w:p>
        </w:tc>
        <w:tc>
          <w:tcPr>
            <w:tcW w:w="874" w:type="dxa"/>
            <w:tcBorders>
              <w:top w:val="nil"/>
              <w:left w:val="nil"/>
              <w:bottom w:val="nil"/>
              <w:right w:val="nil"/>
            </w:tcBorders>
            <w:shd w:val="clear" w:color="auto" w:fill="auto"/>
            <w:noWrap/>
            <w:vAlign w:val="center"/>
            <w:hideMark/>
          </w:tcPr>
          <w:p w14:paraId="6F260C2A"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335</w:t>
            </w:r>
          </w:p>
        </w:tc>
      </w:tr>
      <w:tr w:rsidR="007D6731" w:rsidRPr="007D6731" w14:paraId="48FBF50C" w14:textId="77777777" w:rsidTr="000227C0">
        <w:trPr>
          <w:trHeight w:val="292"/>
        </w:trPr>
        <w:tc>
          <w:tcPr>
            <w:tcW w:w="5290" w:type="dxa"/>
            <w:tcBorders>
              <w:top w:val="nil"/>
              <w:left w:val="nil"/>
              <w:bottom w:val="nil"/>
              <w:right w:val="nil"/>
            </w:tcBorders>
            <w:shd w:val="clear" w:color="auto" w:fill="auto"/>
            <w:noWrap/>
            <w:vAlign w:val="center"/>
            <w:hideMark/>
          </w:tcPr>
          <w:p w14:paraId="1D09E4EC"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Osobitný odvod z reťazcov</w:t>
            </w:r>
          </w:p>
        </w:tc>
        <w:tc>
          <w:tcPr>
            <w:tcW w:w="1110" w:type="dxa"/>
            <w:tcBorders>
              <w:top w:val="nil"/>
              <w:left w:val="nil"/>
              <w:bottom w:val="nil"/>
              <w:right w:val="nil"/>
            </w:tcBorders>
            <w:shd w:val="clear" w:color="auto" w:fill="auto"/>
            <w:noWrap/>
            <w:vAlign w:val="center"/>
            <w:hideMark/>
          </w:tcPr>
          <w:p w14:paraId="1F9FE4F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150 005</w:t>
            </w:r>
          </w:p>
        </w:tc>
        <w:tc>
          <w:tcPr>
            <w:tcW w:w="1255" w:type="dxa"/>
            <w:tcBorders>
              <w:top w:val="nil"/>
              <w:left w:val="nil"/>
              <w:bottom w:val="nil"/>
              <w:right w:val="nil"/>
            </w:tcBorders>
            <w:shd w:val="clear" w:color="auto" w:fill="BFBFBF" w:themeFill="background1" w:themeFillShade="BF"/>
            <w:noWrap/>
            <w:vAlign w:val="center"/>
            <w:hideMark/>
          </w:tcPr>
          <w:p w14:paraId="54207AAD"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0</w:t>
            </w:r>
          </w:p>
        </w:tc>
        <w:tc>
          <w:tcPr>
            <w:tcW w:w="874" w:type="dxa"/>
            <w:tcBorders>
              <w:top w:val="nil"/>
              <w:left w:val="nil"/>
              <w:bottom w:val="nil"/>
              <w:right w:val="nil"/>
            </w:tcBorders>
            <w:shd w:val="clear" w:color="auto" w:fill="auto"/>
            <w:noWrap/>
            <w:vAlign w:val="center"/>
            <w:hideMark/>
          </w:tcPr>
          <w:p w14:paraId="7D0F2499"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-150 005</w:t>
            </w:r>
          </w:p>
        </w:tc>
      </w:tr>
      <w:tr w:rsidR="007D6731" w:rsidRPr="007D6731" w14:paraId="324FA15D" w14:textId="77777777" w:rsidTr="000227C0">
        <w:trPr>
          <w:trHeight w:val="292"/>
        </w:trPr>
        <w:tc>
          <w:tcPr>
            <w:tcW w:w="5290" w:type="dxa"/>
            <w:tcBorders>
              <w:top w:val="nil"/>
              <w:left w:val="nil"/>
              <w:bottom w:val="nil"/>
              <w:right w:val="nil"/>
            </w:tcBorders>
            <w:shd w:val="clear" w:color="auto" w:fill="auto"/>
            <w:noWrap/>
            <w:vAlign w:val="center"/>
            <w:hideMark/>
          </w:tcPr>
          <w:p w14:paraId="04F4A3C1" w14:textId="75CC446A" w:rsidR="007D6731" w:rsidRPr="007D6731" w:rsidRDefault="007D6731" w:rsidP="001706CF">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w:t>
            </w:r>
            <w:proofErr w:type="spellStart"/>
            <w:r w:rsidR="005F5A53">
              <w:rPr>
                <w:rFonts w:eastAsia="Times New Roman" w:cs="Times New Roman"/>
                <w:color w:val="000000"/>
                <w:sz w:val="20"/>
                <w:szCs w:val="20"/>
                <w:lang w:eastAsia="sk-SK"/>
              </w:rPr>
              <w:t>e</w:t>
            </w:r>
            <w:r w:rsidR="001706CF">
              <w:rPr>
                <w:rFonts w:eastAsia="Times New Roman" w:cs="Times New Roman"/>
                <w:color w:val="000000"/>
                <w:sz w:val="20"/>
                <w:szCs w:val="20"/>
                <w:lang w:eastAsia="sk-SK"/>
              </w:rPr>
              <w:t>K</w:t>
            </w:r>
            <w:r w:rsidRPr="007D6731">
              <w:rPr>
                <w:rFonts w:eastAsia="Times New Roman" w:cs="Times New Roman"/>
                <w:color w:val="000000"/>
                <w:sz w:val="20"/>
                <w:szCs w:val="20"/>
                <w:lang w:eastAsia="sk-SK"/>
              </w:rPr>
              <w:t>asa</w:t>
            </w:r>
            <w:proofErr w:type="spellEnd"/>
            <w:r w:rsidRPr="007D6731">
              <w:rPr>
                <w:rFonts w:eastAsia="Times New Roman" w:cs="Times New Roman"/>
                <w:color w:val="000000"/>
                <w:sz w:val="20"/>
                <w:szCs w:val="20"/>
                <w:lang w:eastAsia="sk-SK"/>
              </w:rPr>
              <w:t xml:space="preserve"> a </w:t>
            </w:r>
            <w:proofErr w:type="spellStart"/>
            <w:r w:rsidRPr="007D6731">
              <w:rPr>
                <w:rFonts w:eastAsia="Times New Roman" w:cs="Times New Roman"/>
                <w:color w:val="000000"/>
                <w:sz w:val="20"/>
                <w:szCs w:val="20"/>
                <w:lang w:eastAsia="sk-SK"/>
              </w:rPr>
              <w:t>nanomarkery</w:t>
            </w:r>
            <w:proofErr w:type="spellEnd"/>
          </w:p>
        </w:tc>
        <w:tc>
          <w:tcPr>
            <w:tcW w:w="1110" w:type="dxa"/>
            <w:tcBorders>
              <w:top w:val="nil"/>
              <w:left w:val="nil"/>
              <w:bottom w:val="nil"/>
              <w:right w:val="nil"/>
            </w:tcBorders>
            <w:shd w:val="clear" w:color="auto" w:fill="auto"/>
            <w:noWrap/>
            <w:vAlign w:val="center"/>
            <w:hideMark/>
          </w:tcPr>
          <w:p w14:paraId="383AE726"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90 000</w:t>
            </w:r>
          </w:p>
        </w:tc>
        <w:tc>
          <w:tcPr>
            <w:tcW w:w="1255" w:type="dxa"/>
            <w:tcBorders>
              <w:top w:val="nil"/>
              <w:left w:val="nil"/>
              <w:bottom w:val="nil"/>
              <w:right w:val="nil"/>
            </w:tcBorders>
            <w:shd w:val="clear" w:color="auto" w:fill="BFBFBF" w:themeFill="background1" w:themeFillShade="BF"/>
            <w:noWrap/>
            <w:vAlign w:val="center"/>
            <w:hideMark/>
          </w:tcPr>
          <w:p w14:paraId="46C273F2"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0</w:t>
            </w:r>
          </w:p>
        </w:tc>
        <w:tc>
          <w:tcPr>
            <w:tcW w:w="874" w:type="dxa"/>
            <w:tcBorders>
              <w:top w:val="nil"/>
              <w:left w:val="nil"/>
              <w:bottom w:val="nil"/>
              <w:right w:val="nil"/>
            </w:tcBorders>
            <w:shd w:val="clear" w:color="auto" w:fill="auto"/>
            <w:noWrap/>
            <w:vAlign w:val="center"/>
            <w:hideMark/>
          </w:tcPr>
          <w:p w14:paraId="2CE6EE45"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-90 000</w:t>
            </w:r>
          </w:p>
        </w:tc>
      </w:tr>
      <w:tr w:rsidR="007D6731" w:rsidRPr="007D6731" w14:paraId="5BCC82B5" w14:textId="77777777" w:rsidTr="000227C0">
        <w:trPr>
          <w:trHeight w:val="306"/>
        </w:trPr>
        <w:tc>
          <w:tcPr>
            <w:tcW w:w="5290" w:type="dxa"/>
            <w:tcBorders>
              <w:top w:val="nil"/>
              <w:left w:val="nil"/>
              <w:bottom w:val="single" w:sz="8" w:space="0" w:color="auto"/>
              <w:right w:val="nil"/>
            </w:tcBorders>
            <w:shd w:val="clear" w:color="auto" w:fill="auto"/>
            <w:noWrap/>
            <w:vAlign w:val="center"/>
            <w:hideMark/>
          </w:tcPr>
          <w:p w14:paraId="33EE2D86"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 xml:space="preserve">     - Ostatné</w:t>
            </w:r>
          </w:p>
        </w:tc>
        <w:tc>
          <w:tcPr>
            <w:tcW w:w="1110" w:type="dxa"/>
            <w:tcBorders>
              <w:top w:val="nil"/>
              <w:left w:val="nil"/>
              <w:bottom w:val="single" w:sz="8" w:space="0" w:color="auto"/>
              <w:right w:val="nil"/>
            </w:tcBorders>
            <w:shd w:val="clear" w:color="auto" w:fill="auto"/>
            <w:noWrap/>
            <w:vAlign w:val="center"/>
            <w:hideMark/>
          </w:tcPr>
          <w:p w14:paraId="5355451F"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426 539</w:t>
            </w:r>
          </w:p>
        </w:tc>
        <w:tc>
          <w:tcPr>
            <w:tcW w:w="1255" w:type="dxa"/>
            <w:tcBorders>
              <w:top w:val="nil"/>
              <w:left w:val="nil"/>
              <w:bottom w:val="single" w:sz="8" w:space="0" w:color="auto"/>
              <w:right w:val="nil"/>
            </w:tcBorders>
            <w:shd w:val="clear" w:color="auto" w:fill="BFBFBF" w:themeFill="background1" w:themeFillShade="BF"/>
            <w:noWrap/>
            <w:vAlign w:val="center"/>
            <w:hideMark/>
          </w:tcPr>
          <w:p w14:paraId="09498F21"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416 584</w:t>
            </w:r>
          </w:p>
        </w:tc>
        <w:tc>
          <w:tcPr>
            <w:tcW w:w="874" w:type="dxa"/>
            <w:tcBorders>
              <w:top w:val="nil"/>
              <w:left w:val="nil"/>
              <w:bottom w:val="single" w:sz="8" w:space="0" w:color="auto"/>
              <w:right w:val="nil"/>
            </w:tcBorders>
            <w:shd w:val="clear" w:color="auto" w:fill="auto"/>
            <w:noWrap/>
            <w:vAlign w:val="center"/>
            <w:hideMark/>
          </w:tcPr>
          <w:p w14:paraId="6604A8CC"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-9 955</w:t>
            </w:r>
          </w:p>
        </w:tc>
      </w:tr>
      <w:tr w:rsidR="007D6731" w:rsidRPr="007D6731" w14:paraId="37A81D69" w14:textId="77777777" w:rsidTr="000227C0">
        <w:trPr>
          <w:trHeight w:val="306"/>
        </w:trPr>
        <w:tc>
          <w:tcPr>
            <w:tcW w:w="5290" w:type="dxa"/>
            <w:tcBorders>
              <w:top w:val="nil"/>
              <w:left w:val="nil"/>
              <w:bottom w:val="single" w:sz="8" w:space="0" w:color="auto"/>
              <w:right w:val="nil"/>
            </w:tcBorders>
            <w:shd w:val="clear" w:color="auto" w:fill="auto"/>
            <w:noWrap/>
            <w:vAlign w:val="center"/>
            <w:hideMark/>
          </w:tcPr>
          <w:p w14:paraId="4FBF4979" w14:textId="77777777" w:rsidR="007D6731" w:rsidRPr="007D6731" w:rsidRDefault="007D6731" w:rsidP="007D6731">
            <w:pPr>
              <w:spacing w:after="0" w:line="240" w:lineRule="auto"/>
              <w:jc w:val="lef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Daňové príjmy vrátane sankcií</w:t>
            </w:r>
          </w:p>
        </w:tc>
        <w:tc>
          <w:tcPr>
            <w:tcW w:w="1110" w:type="dxa"/>
            <w:tcBorders>
              <w:top w:val="nil"/>
              <w:left w:val="nil"/>
              <w:bottom w:val="single" w:sz="8" w:space="0" w:color="auto"/>
              <w:right w:val="nil"/>
            </w:tcBorders>
            <w:shd w:val="clear" w:color="auto" w:fill="auto"/>
            <w:noWrap/>
            <w:vAlign w:val="center"/>
            <w:hideMark/>
          </w:tcPr>
          <w:p w14:paraId="78727A20"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17 107 754</w:t>
            </w:r>
          </w:p>
        </w:tc>
        <w:tc>
          <w:tcPr>
            <w:tcW w:w="1255" w:type="dxa"/>
            <w:tcBorders>
              <w:top w:val="nil"/>
              <w:left w:val="nil"/>
              <w:bottom w:val="single" w:sz="8" w:space="0" w:color="auto"/>
              <w:right w:val="nil"/>
            </w:tcBorders>
            <w:shd w:val="clear" w:color="auto" w:fill="BFBFBF" w:themeFill="background1" w:themeFillShade="BF"/>
            <w:noWrap/>
            <w:vAlign w:val="center"/>
            <w:hideMark/>
          </w:tcPr>
          <w:p w14:paraId="5AC40F4A"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16 964 517</w:t>
            </w:r>
          </w:p>
        </w:tc>
        <w:tc>
          <w:tcPr>
            <w:tcW w:w="874" w:type="dxa"/>
            <w:tcBorders>
              <w:top w:val="nil"/>
              <w:left w:val="nil"/>
              <w:bottom w:val="single" w:sz="8" w:space="0" w:color="auto"/>
              <w:right w:val="nil"/>
            </w:tcBorders>
            <w:shd w:val="clear" w:color="auto" w:fill="auto"/>
            <w:noWrap/>
            <w:vAlign w:val="center"/>
            <w:hideMark/>
          </w:tcPr>
          <w:p w14:paraId="2E8B78DA"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-143 237</w:t>
            </w:r>
          </w:p>
        </w:tc>
      </w:tr>
      <w:tr w:rsidR="007D6731" w:rsidRPr="007D6731" w14:paraId="486EC0DE" w14:textId="77777777" w:rsidTr="000227C0">
        <w:trPr>
          <w:trHeight w:val="292"/>
        </w:trPr>
        <w:tc>
          <w:tcPr>
            <w:tcW w:w="5290" w:type="dxa"/>
            <w:tcBorders>
              <w:top w:val="nil"/>
              <w:left w:val="nil"/>
              <w:bottom w:val="nil"/>
              <w:right w:val="nil"/>
            </w:tcBorders>
            <w:shd w:val="clear" w:color="auto" w:fill="auto"/>
            <w:noWrap/>
            <w:vAlign w:val="center"/>
            <w:hideMark/>
          </w:tcPr>
          <w:p w14:paraId="477D134B"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Sociálne odvody (EAO + dlžné)</w:t>
            </w:r>
          </w:p>
        </w:tc>
        <w:tc>
          <w:tcPr>
            <w:tcW w:w="1110" w:type="dxa"/>
            <w:tcBorders>
              <w:top w:val="nil"/>
              <w:left w:val="nil"/>
              <w:bottom w:val="nil"/>
              <w:right w:val="nil"/>
            </w:tcBorders>
            <w:shd w:val="clear" w:color="auto" w:fill="auto"/>
            <w:noWrap/>
            <w:vAlign w:val="center"/>
            <w:hideMark/>
          </w:tcPr>
          <w:p w14:paraId="245A0F65"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8 152 696</w:t>
            </w:r>
          </w:p>
        </w:tc>
        <w:tc>
          <w:tcPr>
            <w:tcW w:w="1255" w:type="dxa"/>
            <w:tcBorders>
              <w:top w:val="nil"/>
              <w:left w:val="nil"/>
              <w:bottom w:val="nil"/>
              <w:right w:val="nil"/>
            </w:tcBorders>
            <w:shd w:val="clear" w:color="auto" w:fill="BFBFBF" w:themeFill="background1" w:themeFillShade="BF"/>
            <w:noWrap/>
            <w:vAlign w:val="center"/>
            <w:hideMark/>
          </w:tcPr>
          <w:p w14:paraId="2E0D65CB"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8 185 453</w:t>
            </w:r>
          </w:p>
        </w:tc>
        <w:tc>
          <w:tcPr>
            <w:tcW w:w="874" w:type="dxa"/>
            <w:tcBorders>
              <w:top w:val="nil"/>
              <w:left w:val="nil"/>
              <w:bottom w:val="nil"/>
              <w:right w:val="nil"/>
            </w:tcBorders>
            <w:shd w:val="clear" w:color="auto" w:fill="auto"/>
            <w:noWrap/>
            <w:vAlign w:val="center"/>
            <w:hideMark/>
          </w:tcPr>
          <w:p w14:paraId="5306D6E4"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32 757</w:t>
            </w:r>
          </w:p>
        </w:tc>
      </w:tr>
      <w:tr w:rsidR="007D6731" w:rsidRPr="007D6731" w14:paraId="347F7BA2" w14:textId="77777777" w:rsidTr="000227C0">
        <w:trPr>
          <w:trHeight w:val="306"/>
        </w:trPr>
        <w:tc>
          <w:tcPr>
            <w:tcW w:w="5290" w:type="dxa"/>
            <w:tcBorders>
              <w:top w:val="nil"/>
              <w:left w:val="nil"/>
              <w:bottom w:val="single" w:sz="8" w:space="0" w:color="auto"/>
              <w:right w:val="nil"/>
            </w:tcBorders>
            <w:shd w:val="clear" w:color="auto" w:fill="auto"/>
            <w:noWrap/>
            <w:vAlign w:val="center"/>
            <w:hideMark/>
          </w:tcPr>
          <w:p w14:paraId="5BE9EEE5" w14:textId="77777777" w:rsidR="007D6731" w:rsidRPr="007D6731" w:rsidRDefault="007D6731" w:rsidP="007D6731">
            <w:pPr>
              <w:spacing w:after="0" w:line="240" w:lineRule="auto"/>
              <w:jc w:val="left"/>
              <w:rPr>
                <w:rFonts w:eastAsia="Times New Roman" w:cs="Times New Roman"/>
                <w:color w:val="000000"/>
                <w:sz w:val="20"/>
                <w:szCs w:val="20"/>
                <w:lang w:eastAsia="sk-SK"/>
              </w:rPr>
            </w:pPr>
            <w:r w:rsidRPr="007D6731">
              <w:rPr>
                <w:rFonts w:eastAsia="Times New Roman" w:cs="Times New Roman"/>
                <w:color w:val="000000"/>
                <w:sz w:val="20"/>
                <w:szCs w:val="20"/>
                <w:lang w:eastAsia="sk-SK"/>
              </w:rPr>
              <w:t>Zdravotné odvody (EAO + dlžné)</w:t>
            </w:r>
          </w:p>
        </w:tc>
        <w:tc>
          <w:tcPr>
            <w:tcW w:w="1110" w:type="dxa"/>
            <w:tcBorders>
              <w:top w:val="nil"/>
              <w:left w:val="nil"/>
              <w:bottom w:val="single" w:sz="8" w:space="0" w:color="auto"/>
              <w:right w:val="nil"/>
            </w:tcBorders>
            <w:shd w:val="clear" w:color="auto" w:fill="auto"/>
            <w:noWrap/>
            <w:vAlign w:val="center"/>
            <w:hideMark/>
          </w:tcPr>
          <w:p w14:paraId="387EB6C3"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4 021 821</w:t>
            </w:r>
          </w:p>
        </w:tc>
        <w:tc>
          <w:tcPr>
            <w:tcW w:w="1255" w:type="dxa"/>
            <w:tcBorders>
              <w:top w:val="nil"/>
              <w:left w:val="nil"/>
              <w:bottom w:val="single" w:sz="8" w:space="0" w:color="auto"/>
              <w:right w:val="nil"/>
            </w:tcBorders>
            <w:shd w:val="clear" w:color="auto" w:fill="BFBFBF" w:themeFill="background1" w:themeFillShade="BF"/>
            <w:noWrap/>
            <w:vAlign w:val="center"/>
            <w:hideMark/>
          </w:tcPr>
          <w:p w14:paraId="70361C12"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4 002 007</w:t>
            </w:r>
          </w:p>
        </w:tc>
        <w:tc>
          <w:tcPr>
            <w:tcW w:w="874" w:type="dxa"/>
            <w:tcBorders>
              <w:top w:val="nil"/>
              <w:left w:val="nil"/>
              <w:bottom w:val="single" w:sz="8" w:space="0" w:color="auto"/>
              <w:right w:val="nil"/>
            </w:tcBorders>
            <w:shd w:val="clear" w:color="auto" w:fill="auto"/>
            <w:noWrap/>
            <w:vAlign w:val="center"/>
            <w:hideMark/>
          </w:tcPr>
          <w:p w14:paraId="66DFD872" w14:textId="77777777" w:rsidR="007D6731" w:rsidRPr="007D6731" w:rsidRDefault="007D6731" w:rsidP="007D6731">
            <w:pPr>
              <w:spacing w:after="0" w:line="240" w:lineRule="auto"/>
              <w:jc w:val="right"/>
              <w:rPr>
                <w:rFonts w:eastAsia="Times New Roman" w:cs="Times New Roman"/>
                <w:color w:val="000000"/>
                <w:sz w:val="20"/>
                <w:szCs w:val="20"/>
                <w:lang w:eastAsia="sk-SK"/>
              </w:rPr>
            </w:pPr>
            <w:r w:rsidRPr="007D6731">
              <w:rPr>
                <w:rFonts w:eastAsia="Times New Roman" w:cs="Times New Roman"/>
                <w:color w:val="000000"/>
                <w:sz w:val="20"/>
                <w:szCs w:val="20"/>
                <w:lang w:eastAsia="sk-SK"/>
              </w:rPr>
              <w:t>-19 814</w:t>
            </w:r>
          </w:p>
        </w:tc>
      </w:tr>
      <w:tr w:rsidR="007D6731" w:rsidRPr="007D6731" w14:paraId="22F75EBC" w14:textId="77777777" w:rsidTr="000227C0">
        <w:trPr>
          <w:trHeight w:val="306"/>
        </w:trPr>
        <w:tc>
          <w:tcPr>
            <w:tcW w:w="5290" w:type="dxa"/>
            <w:tcBorders>
              <w:top w:val="nil"/>
              <w:left w:val="nil"/>
              <w:bottom w:val="single" w:sz="8" w:space="0" w:color="auto"/>
              <w:right w:val="nil"/>
            </w:tcBorders>
            <w:shd w:val="clear" w:color="auto" w:fill="auto"/>
            <w:noWrap/>
            <w:vAlign w:val="center"/>
            <w:hideMark/>
          </w:tcPr>
          <w:p w14:paraId="19B6D71C" w14:textId="77777777" w:rsidR="007D6731" w:rsidRPr="007D6731" w:rsidRDefault="007D6731" w:rsidP="007D6731">
            <w:pPr>
              <w:spacing w:after="0" w:line="240" w:lineRule="auto"/>
              <w:jc w:val="lef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 xml:space="preserve">Fondy sociálneho zabezpečenia </w:t>
            </w:r>
          </w:p>
        </w:tc>
        <w:tc>
          <w:tcPr>
            <w:tcW w:w="1110" w:type="dxa"/>
            <w:tcBorders>
              <w:top w:val="nil"/>
              <w:left w:val="nil"/>
              <w:bottom w:val="single" w:sz="8" w:space="0" w:color="auto"/>
              <w:right w:val="nil"/>
            </w:tcBorders>
            <w:shd w:val="clear" w:color="auto" w:fill="auto"/>
            <w:noWrap/>
            <w:vAlign w:val="center"/>
            <w:hideMark/>
          </w:tcPr>
          <w:p w14:paraId="16671E2C"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12 174 517</w:t>
            </w:r>
          </w:p>
        </w:tc>
        <w:tc>
          <w:tcPr>
            <w:tcW w:w="1255" w:type="dxa"/>
            <w:tcBorders>
              <w:top w:val="nil"/>
              <w:left w:val="nil"/>
              <w:bottom w:val="single" w:sz="8" w:space="0" w:color="auto"/>
              <w:right w:val="nil"/>
            </w:tcBorders>
            <w:shd w:val="clear" w:color="auto" w:fill="BFBFBF" w:themeFill="background1" w:themeFillShade="BF"/>
            <w:noWrap/>
            <w:vAlign w:val="center"/>
            <w:hideMark/>
          </w:tcPr>
          <w:p w14:paraId="0CFD3F07"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12 187 459</w:t>
            </w:r>
          </w:p>
        </w:tc>
        <w:tc>
          <w:tcPr>
            <w:tcW w:w="874" w:type="dxa"/>
            <w:tcBorders>
              <w:top w:val="nil"/>
              <w:left w:val="nil"/>
              <w:bottom w:val="single" w:sz="8" w:space="0" w:color="auto"/>
              <w:right w:val="nil"/>
            </w:tcBorders>
            <w:shd w:val="clear" w:color="auto" w:fill="auto"/>
            <w:noWrap/>
            <w:vAlign w:val="center"/>
            <w:hideMark/>
          </w:tcPr>
          <w:p w14:paraId="6A679621"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12 942</w:t>
            </w:r>
          </w:p>
        </w:tc>
      </w:tr>
      <w:tr w:rsidR="007D6731" w:rsidRPr="007D6731" w14:paraId="400DE92B" w14:textId="77777777" w:rsidTr="000227C0">
        <w:trPr>
          <w:trHeight w:val="306"/>
        </w:trPr>
        <w:tc>
          <w:tcPr>
            <w:tcW w:w="5290" w:type="dxa"/>
            <w:tcBorders>
              <w:top w:val="nil"/>
              <w:left w:val="nil"/>
              <w:bottom w:val="single" w:sz="8" w:space="0" w:color="auto"/>
              <w:right w:val="nil"/>
            </w:tcBorders>
            <w:shd w:val="clear" w:color="auto" w:fill="auto"/>
            <w:noWrap/>
            <w:vAlign w:val="center"/>
            <w:hideMark/>
          </w:tcPr>
          <w:p w14:paraId="06FA179C" w14:textId="77777777" w:rsidR="007D6731" w:rsidRPr="007D6731" w:rsidRDefault="007D6731" w:rsidP="007D6731">
            <w:pPr>
              <w:spacing w:after="0" w:line="240" w:lineRule="auto"/>
              <w:jc w:val="lef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Daňové a odvodové príjmy spolu</w:t>
            </w:r>
          </w:p>
        </w:tc>
        <w:tc>
          <w:tcPr>
            <w:tcW w:w="1110" w:type="dxa"/>
            <w:tcBorders>
              <w:top w:val="nil"/>
              <w:left w:val="nil"/>
              <w:bottom w:val="single" w:sz="8" w:space="0" w:color="auto"/>
              <w:right w:val="nil"/>
            </w:tcBorders>
            <w:shd w:val="clear" w:color="auto" w:fill="auto"/>
            <w:noWrap/>
            <w:vAlign w:val="center"/>
            <w:hideMark/>
          </w:tcPr>
          <w:p w14:paraId="43686FD2"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29 282 271</w:t>
            </w:r>
          </w:p>
        </w:tc>
        <w:tc>
          <w:tcPr>
            <w:tcW w:w="1255" w:type="dxa"/>
            <w:tcBorders>
              <w:top w:val="nil"/>
              <w:left w:val="nil"/>
              <w:bottom w:val="single" w:sz="8" w:space="0" w:color="auto"/>
              <w:right w:val="nil"/>
            </w:tcBorders>
            <w:shd w:val="clear" w:color="auto" w:fill="BFBFBF" w:themeFill="background1" w:themeFillShade="BF"/>
            <w:noWrap/>
            <w:vAlign w:val="center"/>
            <w:hideMark/>
          </w:tcPr>
          <w:p w14:paraId="1896B551"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29 151 976</w:t>
            </w:r>
          </w:p>
        </w:tc>
        <w:tc>
          <w:tcPr>
            <w:tcW w:w="874" w:type="dxa"/>
            <w:tcBorders>
              <w:top w:val="nil"/>
              <w:left w:val="nil"/>
              <w:bottom w:val="single" w:sz="8" w:space="0" w:color="auto"/>
              <w:right w:val="nil"/>
            </w:tcBorders>
            <w:shd w:val="clear" w:color="auto" w:fill="auto"/>
            <w:noWrap/>
            <w:vAlign w:val="center"/>
            <w:hideMark/>
          </w:tcPr>
          <w:p w14:paraId="68B698B9" w14:textId="77777777" w:rsidR="007D6731" w:rsidRPr="007D6731" w:rsidRDefault="007D6731" w:rsidP="007D6731">
            <w:pPr>
              <w:spacing w:after="0" w:line="240" w:lineRule="auto"/>
              <w:jc w:val="right"/>
              <w:rPr>
                <w:rFonts w:eastAsia="Times New Roman" w:cs="Times New Roman"/>
                <w:b/>
                <w:bCs/>
                <w:color w:val="000000"/>
                <w:sz w:val="20"/>
                <w:szCs w:val="20"/>
                <w:lang w:eastAsia="sk-SK"/>
              </w:rPr>
            </w:pPr>
            <w:r w:rsidRPr="007D6731">
              <w:rPr>
                <w:rFonts w:eastAsia="Times New Roman" w:cs="Times New Roman"/>
                <w:b/>
                <w:bCs/>
                <w:color w:val="000000"/>
                <w:sz w:val="20"/>
                <w:szCs w:val="20"/>
                <w:lang w:eastAsia="sk-SK"/>
              </w:rPr>
              <w:t>-130 295</w:t>
            </w:r>
          </w:p>
        </w:tc>
      </w:tr>
    </w:tbl>
    <w:p w14:paraId="47BFA01E" w14:textId="59CA9D71" w:rsidR="00D0015E" w:rsidRPr="004B56F7" w:rsidRDefault="00D0015E" w:rsidP="00D0015E">
      <w:pPr>
        <w:spacing w:after="0" w:line="240" w:lineRule="auto"/>
        <w:jc w:val="left"/>
        <w:rPr>
          <w:sz w:val="16"/>
          <w:szCs w:val="16"/>
        </w:rPr>
      </w:pPr>
      <w:r>
        <w:rPr>
          <w:rFonts w:ascii="Calibri" w:hAnsi="Calibri" w:cs="Times New Roman"/>
          <w:sz w:val="16"/>
          <w:szCs w:val="16"/>
        </w:rPr>
        <w:t xml:space="preserve">  </w:t>
      </w:r>
      <w:r w:rsidRPr="004B56F7">
        <w:rPr>
          <w:rFonts w:ascii="Calibri" w:hAnsi="Calibri" w:cs="Times New Roman"/>
          <w:sz w:val="16"/>
          <w:szCs w:val="16"/>
        </w:rPr>
        <w:t>1)</w:t>
      </w:r>
      <w:r w:rsidRPr="004B56F7">
        <w:rPr>
          <w:sz w:val="16"/>
          <w:szCs w:val="16"/>
        </w:rPr>
        <w:t xml:space="preserve"> Príspevky na sociálne zabezpečenie, neobsahujú okrem štátom plateného poistného aj príjmy                </w:t>
      </w:r>
      <w:r w:rsidR="005A7E6E">
        <w:rPr>
          <w:sz w:val="16"/>
          <w:szCs w:val="16"/>
        </w:rPr>
        <w:t xml:space="preserve">        </w:t>
      </w:r>
      <w:r w:rsidRPr="004B56F7">
        <w:rPr>
          <w:sz w:val="16"/>
          <w:szCs w:val="16"/>
        </w:rPr>
        <w:t xml:space="preserve"> Zdroj: IFP, MF SR</w:t>
      </w:r>
    </w:p>
    <w:p w14:paraId="677A1B31" w14:textId="63987DF3" w:rsidR="00D0015E" w:rsidRPr="004B56F7" w:rsidRDefault="00D0015E" w:rsidP="00D0015E">
      <w:pPr>
        <w:spacing w:after="0" w:line="240" w:lineRule="auto"/>
        <w:jc w:val="left"/>
        <w:rPr>
          <w:sz w:val="16"/>
          <w:szCs w:val="16"/>
        </w:rPr>
      </w:pPr>
      <w:r w:rsidRPr="004B56F7">
        <w:rPr>
          <w:sz w:val="16"/>
          <w:szCs w:val="16"/>
        </w:rPr>
        <w:t xml:space="preserve">  </w:t>
      </w:r>
      <w:r w:rsidR="0021385B">
        <w:rPr>
          <w:sz w:val="16"/>
          <w:szCs w:val="16"/>
        </w:rPr>
        <w:t xml:space="preserve">    </w:t>
      </w:r>
      <w:r w:rsidRPr="004B56F7">
        <w:rPr>
          <w:sz w:val="16"/>
          <w:szCs w:val="16"/>
        </w:rPr>
        <w:t>z odvodov za ozbrojené zložky, penále a imputované poistné</w:t>
      </w:r>
      <w:r w:rsidRPr="004B56F7">
        <w:rPr>
          <w:sz w:val="18"/>
          <w:szCs w:val="18"/>
        </w:rPr>
        <w:t>.</w:t>
      </w:r>
    </w:p>
    <w:p w14:paraId="3DFEAEEA" w14:textId="50F8E52C" w:rsidR="00A11D21" w:rsidRPr="00D0015E" w:rsidRDefault="00D0015E" w:rsidP="003E6AA8">
      <w:pPr>
        <w:spacing w:line="240" w:lineRule="auto"/>
        <w:jc w:val="left"/>
        <w:rPr>
          <w:sz w:val="18"/>
          <w:szCs w:val="18"/>
        </w:rPr>
      </w:pPr>
      <w:r w:rsidRPr="004B56F7">
        <w:rPr>
          <w:sz w:val="16"/>
          <w:szCs w:val="16"/>
        </w:rPr>
        <w:t xml:space="preserve">  2)</w:t>
      </w:r>
      <w:r w:rsidR="00A11D21" w:rsidRPr="004B56F7">
        <w:rPr>
          <w:sz w:val="16"/>
          <w:szCs w:val="16"/>
        </w:rPr>
        <w:t xml:space="preserve"> Zdravotné odvody neobsahujú štátom platené poistné</w:t>
      </w:r>
    </w:p>
    <w:p w14:paraId="38FCDFF3" w14:textId="77777777" w:rsidR="00EF26E7" w:rsidRDefault="00667419" w:rsidP="00EF26E7">
      <w:pPr>
        <w:spacing w:before="240"/>
      </w:pPr>
      <w:r w:rsidRPr="0021385B">
        <w:t xml:space="preserve">V prípade </w:t>
      </w:r>
      <w:r w:rsidRPr="0021385B">
        <w:rPr>
          <w:b/>
        </w:rPr>
        <w:t>dane z príjmov fyzických osôb</w:t>
      </w:r>
      <w:r w:rsidRPr="0021385B">
        <w:t xml:space="preserve"> (DPFO) sa na celkovom rozdiele oproti rozpočtu vo výške 113 283 tis. eur podieľal najmä výber DPFO zo závislej činnosti v sume 102</w:t>
      </w:r>
      <w:r w:rsidR="00954115" w:rsidRPr="0021385B">
        <w:t> </w:t>
      </w:r>
      <w:r w:rsidRPr="0021385B">
        <w:t>569</w:t>
      </w:r>
      <w:r w:rsidR="00954115" w:rsidRPr="0021385B">
        <w:t> </w:t>
      </w:r>
      <w:r w:rsidRPr="0021385B">
        <w:t>tis.</w:t>
      </w:r>
      <w:r w:rsidR="00954115" w:rsidRPr="0021385B">
        <w:t> </w:t>
      </w:r>
      <w:r w:rsidRPr="0021385B">
        <w:t>eur. K vyššiemu výnosu prispel pozitívny vývoj na trhu práce a</w:t>
      </w:r>
      <w:r w:rsidR="00436E70">
        <w:t>j vyššia úspešnosť výberu dane.</w:t>
      </w:r>
      <w:r w:rsidR="00436E70">
        <w:br/>
      </w:r>
      <w:r w:rsidRPr="0021385B">
        <w:t>Výnos DPFO z</w:t>
      </w:r>
      <w:r w:rsidR="00954115" w:rsidRPr="0021385B">
        <w:t> </w:t>
      </w:r>
      <w:r w:rsidRPr="0021385B">
        <w:t>podnikania</w:t>
      </w:r>
      <w:r w:rsidRPr="0021385B">
        <w:rPr>
          <w:rStyle w:val="Odkaznapoznmkupodiarou"/>
        </w:rPr>
        <w:footnoteReference w:id="7"/>
      </w:r>
      <w:r w:rsidRPr="0021385B">
        <w:t xml:space="preserve"> bol oproti rozpočtu vyšší o</w:t>
      </w:r>
      <w:r w:rsidR="00954115" w:rsidRPr="0021385B">
        <w:t> </w:t>
      </w:r>
      <w:r w:rsidRPr="0021385B">
        <w:t>10</w:t>
      </w:r>
      <w:r w:rsidR="00954115" w:rsidRPr="0021385B">
        <w:t> </w:t>
      </w:r>
      <w:r w:rsidRPr="0021385B">
        <w:t>714</w:t>
      </w:r>
      <w:r w:rsidR="00954115" w:rsidRPr="0021385B">
        <w:t> </w:t>
      </w:r>
      <w:r w:rsidRPr="0021385B">
        <w:t>tis.</w:t>
      </w:r>
      <w:r w:rsidR="00954115" w:rsidRPr="0021385B">
        <w:t> </w:t>
      </w:r>
      <w:r w:rsidRPr="0021385B">
        <w:t xml:space="preserve">eur. Dôvodom nárastu bol rastúci počet </w:t>
      </w:r>
      <w:r w:rsidR="00436E70">
        <w:t xml:space="preserve">daňových </w:t>
      </w:r>
      <w:r w:rsidR="00EF26E7">
        <w:t>subjektov a nárast ich príjmov.</w:t>
      </w:r>
    </w:p>
    <w:p w14:paraId="3499D01A" w14:textId="5828416C" w:rsidR="00667419" w:rsidRPr="0021385B" w:rsidRDefault="00667419" w:rsidP="00EF26E7">
      <w:pPr>
        <w:spacing w:before="240"/>
      </w:pPr>
      <w:r w:rsidRPr="0021385B">
        <w:t>Zvýšený základ dane nebol tlmený rastom výdavkov, ktoré sa priblížili svojmu maximu po zavedení paušálnych výdavkov v roku 2017. Výnos DPFO bol negatívne ovplyvnený legislatívnymi zmenami nezahrnutými v rozpočte (oslobodenie rekreačných poukazov a oslobodenie nepeňažného benefitu pre zamestnanca na ubytovanie).</w:t>
      </w:r>
    </w:p>
    <w:p w14:paraId="0BD154FB" w14:textId="0D3A6757" w:rsidR="00667419" w:rsidRPr="0021385B" w:rsidRDefault="00667419" w:rsidP="00667419">
      <w:r w:rsidRPr="0021385B">
        <w:t xml:space="preserve">Výnos </w:t>
      </w:r>
      <w:r w:rsidRPr="0021385B">
        <w:rPr>
          <w:b/>
        </w:rPr>
        <w:t>dane z príjmov právnických osôb</w:t>
      </w:r>
      <w:r w:rsidRPr="0021385B">
        <w:rPr>
          <w:vertAlign w:val="superscript"/>
        </w:rPr>
        <w:footnoteReference w:id="8"/>
      </w:r>
      <w:r w:rsidRPr="0021385B">
        <w:rPr>
          <w:vertAlign w:val="superscript"/>
        </w:rPr>
        <w:t xml:space="preserve"> </w:t>
      </w:r>
      <w:r w:rsidRPr="0021385B">
        <w:t>za rok 2019 je oproti rozpočtu nižší o</w:t>
      </w:r>
      <w:r w:rsidR="00954115" w:rsidRPr="0021385B">
        <w:t> </w:t>
      </w:r>
      <w:r w:rsidRPr="0021385B">
        <w:t>121</w:t>
      </w:r>
      <w:r w:rsidR="00954115" w:rsidRPr="0021385B">
        <w:t> </w:t>
      </w:r>
      <w:r w:rsidRPr="0021385B">
        <w:t>287</w:t>
      </w:r>
      <w:r w:rsidR="00954115" w:rsidRPr="0021385B">
        <w:t> </w:t>
      </w:r>
      <w:r w:rsidRPr="0021385B">
        <w:t>tis.</w:t>
      </w:r>
      <w:r w:rsidR="00954115" w:rsidRPr="0021385B">
        <w:t> </w:t>
      </w:r>
      <w:r w:rsidRPr="0021385B">
        <w:t xml:space="preserve">eur. Dôvodom je najmä spomalenie tempa rastu ziskov </w:t>
      </w:r>
      <w:proofErr w:type="spellStart"/>
      <w:r w:rsidRPr="0021385B">
        <w:t>korporátneho</w:t>
      </w:r>
      <w:proofErr w:type="spellEnd"/>
      <w:r w:rsidRPr="0021385B">
        <w:t xml:space="preserve"> sektora</w:t>
      </w:r>
      <w:r w:rsidRPr="0021385B">
        <w:rPr>
          <w:vertAlign w:val="superscript"/>
        </w:rPr>
        <w:footnoteReference w:id="9"/>
      </w:r>
      <w:r w:rsidRPr="0021385B">
        <w:t xml:space="preserve"> v porovnaní s</w:t>
      </w:r>
      <w:r w:rsidR="00954115" w:rsidRPr="0021385B">
        <w:t> </w:t>
      </w:r>
      <w:r w:rsidRPr="0021385B">
        <w:t xml:space="preserve">očakávaniami pri tvorbe rozpočtu. </w:t>
      </w:r>
    </w:p>
    <w:p w14:paraId="50E0E9BB" w14:textId="5DDDD192" w:rsidR="00AB035A" w:rsidRDefault="00667419" w:rsidP="00667419">
      <w:r w:rsidRPr="0021385B">
        <w:t xml:space="preserve">Výnos </w:t>
      </w:r>
      <w:r w:rsidRPr="0021385B">
        <w:rPr>
          <w:b/>
        </w:rPr>
        <w:t>dane z pridanej hodnoty</w:t>
      </w:r>
      <w:r w:rsidRPr="0021385B">
        <w:rPr>
          <w:rStyle w:val="Odkaznapoznmkupodiarou"/>
        </w:rPr>
        <w:footnoteReference w:id="10"/>
      </w:r>
      <w:r w:rsidRPr="0021385B">
        <w:t xml:space="preserve"> je oproti rozpočtu vyšší o 161 999 tis. eur. K vyššiemu výnosu prispel</w:t>
      </w:r>
      <w:r w:rsidR="005F5A53">
        <w:t>a najmä vyššia úspešnosť výberu dane.</w:t>
      </w:r>
      <w:r w:rsidRPr="0021385B">
        <w:t xml:space="preserve"> Medziročne stúp</w:t>
      </w:r>
      <w:r w:rsidR="005F5A53">
        <w:t>a</w:t>
      </w:r>
      <w:r w:rsidRPr="0021385B">
        <w:t>li aj investície a medzispotreba vlády, ktor</w:t>
      </w:r>
      <w:r w:rsidR="00954115" w:rsidRPr="0021385B">
        <w:t>é</w:t>
      </w:r>
      <w:r w:rsidRPr="0021385B">
        <w:t xml:space="preserve"> pozitívne vplývajú na výnos DPH. </w:t>
      </w:r>
      <w:r w:rsidR="005F5A53">
        <w:t xml:space="preserve">V porovnaní s očakávaniami pri tvorbe rozpočtu však bola spotreba domácnosti mierne nižšia. </w:t>
      </w:r>
      <w:r w:rsidRPr="0021385B">
        <w:t>Na výnos negatívne vplývali aj dodatočné legislatívne úpravy (znížená sadzba na ubytovacie služby a zníženie limitu pre refundáciu DPH turistom). Naopak výnos DPH bol pozitívne ovplyvnený oslobodením rekreačných poukazov, ktoré zvýšilo disponibilné príjmy zamestnancov a prispelo k zníženiu daňovej medzery v tomto sektore.</w:t>
      </w:r>
    </w:p>
    <w:p w14:paraId="761321E1" w14:textId="5F737E1A" w:rsidR="00667419" w:rsidRPr="0021385B" w:rsidRDefault="00667419" w:rsidP="00667419">
      <w:r w:rsidRPr="0021385B">
        <w:t xml:space="preserve">Výnos </w:t>
      </w:r>
      <w:r w:rsidRPr="0021385B">
        <w:rPr>
          <w:b/>
        </w:rPr>
        <w:t>spotrebných daní</w:t>
      </w:r>
      <w:r w:rsidRPr="0021385B">
        <w:t xml:space="preserve"> je tvorený najmä príjmom zo spotrebnej dane z minerálneho oleja a spotrebnej dane z tabakových výrobkov. Výnos spotrebnej dane z minerálneho oleja bol oproti rozpočtu nižší o 48 326 tis. eur. Nenaplnenie rozpočtovanej sumy je dôsledkom oslabenia ekonomickej aktivity. Ostatné spotrebné dane sa vyvíjali približne v súlade s rozpočtom.</w:t>
      </w:r>
    </w:p>
    <w:p w14:paraId="57079F83" w14:textId="77777777" w:rsidR="00667419" w:rsidRPr="0021385B" w:rsidRDefault="00667419" w:rsidP="00FA6340">
      <w:pPr>
        <w:spacing w:before="120"/>
      </w:pPr>
      <w:r w:rsidRPr="0021385B">
        <w:rPr>
          <w:b/>
        </w:rPr>
        <w:t>Osobitný odvod z regulovaných odvetví</w:t>
      </w:r>
      <w:r w:rsidRPr="0021385B">
        <w:rPr>
          <w:rStyle w:val="Odkaznapoznmkupodiarou"/>
        </w:rPr>
        <w:footnoteReference w:id="11"/>
      </w:r>
      <w:r w:rsidRPr="0021385B">
        <w:t xml:space="preserve"> a </w:t>
      </w:r>
      <w:r w:rsidRPr="0021385B">
        <w:rPr>
          <w:b/>
        </w:rPr>
        <w:t>osobitný odvod z vybraných finančných inštitúcií</w:t>
      </w:r>
      <w:r w:rsidRPr="0021385B">
        <w:t xml:space="preserve"> sa vyvíjali takmer v súlade s rozpočtovanou hodnotou. </w:t>
      </w:r>
    </w:p>
    <w:p w14:paraId="5A7F3849" w14:textId="45F53174" w:rsidR="00667419" w:rsidRPr="0021385B" w:rsidRDefault="009059AF" w:rsidP="00FA6340">
      <w:pPr>
        <w:spacing w:before="120"/>
      </w:pPr>
      <w:r>
        <w:rPr>
          <w:b/>
        </w:rPr>
        <w:t>O</w:t>
      </w:r>
      <w:r w:rsidR="00667419" w:rsidRPr="0021385B">
        <w:rPr>
          <w:b/>
        </w:rPr>
        <w:t>sobitn</w:t>
      </w:r>
      <w:r>
        <w:rPr>
          <w:b/>
        </w:rPr>
        <w:t xml:space="preserve">ý </w:t>
      </w:r>
      <w:r w:rsidR="00667419" w:rsidRPr="0021385B">
        <w:rPr>
          <w:b/>
        </w:rPr>
        <w:t xml:space="preserve">odvod </w:t>
      </w:r>
      <w:r w:rsidR="000A2B5E">
        <w:rPr>
          <w:b/>
        </w:rPr>
        <w:t>obchodných</w:t>
      </w:r>
      <w:r w:rsidR="00667419" w:rsidRPr="0021385B">
        <w:rPr>
          <w:b/>
        </w:rPr>
        <w:t xml:space="preserve"> </w:t>
      </w:r>
      <w:r w:rsidR="00667419" w:rsidRPr="009059AF">
        <w:rPr>
          <w:b/>
        </w:rPr>
        <w:t xml:space="preserve">reťazcov </w:t>
      </w:r>
      <w:r w:rsidRPr="009059AF">
        <w:rPr>
          <w:b/>
        </w:rPr>
        <w:t xml:space="preserve">sa </w:t>
      </w:r>
      <w:r w:rsidR="00667419" w:rsidRPr="009059AF">
        <w:rPr>
          <w:b/>
        </w:rPr>
        <w:t>nenaplnil</w:t>
      </w:r>
      <w:r w:rsidR="00667419" w:rsidRPr="0021385B">
        <w:t xml:space="preserve">, pretože zákon o tomto odvode bol zrušený </w:t>
      </w:r>
      <w:r w:rsidR="000A2B5E">
        <w:t>v roku 2019</w:t>
      </w:r>
      <w:r>
        <w:t>,</w:t>
      </w:r>
      <w:r w:rsidR="000A2B5E">
        <w:t xml:space="preserve"> ešte </w:t>
      </w:r>
      <w:r w:rsidR="00667419" w:rsidRPr="0021385B">
        <w:t xml:space="preserve">pred prijatím prvej platby. </w:t>
      </w:r>
    </w:p>
    <w:p w14:paraId="38F7981D" w14:textId="656B3ADF" w:rsidR="00E06401" w:rsidRDefault="00667419" w:rsidP="00AF7377">
      <w:pPr>
        <w:spacing w:before="120"/>
      </w:pPr>
      <w:r w:rsidRPr="0021385B">
        <w:t xml:space="preserve">Príjmy zo zavedenia </w:t>
      </w:r>
      <w:proofErr w:type="spellStart"/>
      <w:r w:rsidRPr="0021385B">
        <w:t>eKasy</w:t>
      </w:r>
      <w:proofErr w:type="spellEnd"/>
      <w:r w:rsidRPr="0021385B">
        <w:t xml:space="preserve"> a </w:t>
      </w:r>
      <w:proofErr w:type="spellStart"/>
      <w:r w:rsidRPr="0021385B">
        <w:t>nanomarkerov</w:t>
      </w:r>
      <w:proofErr w:type="spellEnd"/>
      <w:r w:rsidRPr="0021385B">
        <w:t xml:space="preserve"> sa nepotvrdili. Dôvodom je najmä posun efektívnej účinnosti </w:t>
      </w:r>
      <w:proofErr w:type="spellStart"/>
      <w:r w:rsidRPr="0021385B">
        <w:t>eKasy</w:t>
      </w:r>
      <w:proofErr w:type="spellEnd"/>
      <w:r w:rsidRPr="0021385B">
        <w:t xml:space="preserve"> </w:t>
      </w:r>
      <w:r w:rsidR="00752D9F" w:rsidRPr="0021385B">
        <w:t>do</w:t>
      </w:r>
      <w:r w:rsidRPr="0021385B">
        <w:t xml:space="preserve"> roku 2020</w:t>
      </w:r>
      <w:r w:rsidRPr="0021385B">
        <w:rPr>
          <w:vertAlign w:val="superscript"/>
        </w:rPr>
        <w:footnoteReference w:id="12"/>
      </w:r>
      <w:r w:rsidRPr="0021385B">
        <w:t xml:space="preserve">. Výnos z </w:t>
      </w:r>
      <w:proofErr w:type="spellStart"/>
      <w:r w:rsidRPr="0021385B">
        <w:t>nanomarkerov</w:t>
      </w:r>
      <w:proofErr w:type="spellEnd"/>
      <w:r w:rsidRPr="0021385B">
        <w:t xml:space="preserve"> nie je známy. </w:t>
      </w:r>
    </w:p>
    <w:p w14:paraId="2F86686C" w14:textId="09337522" w:rsidR="00AF7377" w:rsidRDefault="00B65E87" w:rsidP="00B65E87">
      <w:r w:rsidRPr="0021385B">
        <w:t xml:space="preserve">Nad rámec </w:t>
      </w:r>
      <w:r>
        <w:t xml:space="preserve">vládou </w:t>
      </w:r>
      <w:r w:rsidRPr="0021385B">
        <w:t xml:space="preserve">schváleného </w:t>
      </w:r>
      <w:r w:rsidR="00E06401">
        <w:t xml:space="preserve">návrhu </w:t>
      </w:r>
      <w:r w:rsidRPr="0021385B">
        <w:t xml:space="preserve">rozpočtu </w:t>
      </w:r>
      <w:r>
        <w:t xml:space="preserve">na rok 2019, </w:t>
      </w:r>
      <w:r w:rsidRPr="0021385B">
        <w:t>boli v parlamente schválené legislatívne zmeny, ktoré ovplyvnili výnos daní a odvodov v roku 2019.</w:t>
      </w:r>
      <w:r w:rsidR="00E35D7C">
        <w:t xml:space="preserve"> Niektoré opatrenia boli zaznamenané na strane výdavkov, a teda v porovnaní so schváleným rozpočtom nedošlo k zhoršeniu celkového salda rozpočtu verejnej správy (len príjmov)</w:t>
      </w:r>
    </w:p>
    <w:tbl>
      <w:tblPr>
        <w:tblW w:w="8463" w:type="dxa"/>
        <w:tblCellMar>
          <w:left w:w="70" w:type="dxa"/>
          <w:right w:w="70" w:type="dxa"/>
        </w:tblCellMar>
        <w:tblLook w:val="04A0" w:firstRow="1" w:lastRow="0" w:firstColumn="1" w:lastColumn="0" w:noHBand="0" w:noVBand="1"/>
      </w:tblPr>
      <w:tblGrid>
        <w:gridCol w:w="7602"/>
        <w:gridCol w:w="861"/>
      </w:tblGrid>
      <w:tr w:rsidR="00B65E87" w:rsidRPr="001706CF" w14:paraId="67C8B17E" w14:textId="77777777" w:rsidTr="00A164E5">
        <w:trPr>
          <w:trHeight w:val="455"/>
        </w:trPr>
        <w:tc>
          <w:tcPr>
            <w:tcW w:w="8463" w:type="dxa"/>
            <w:gridSpan w:val="2"/>
            <w:tcBorders>
              <w:top w:val="nil"/>
              <w:left w:val="nil"/>
              <w:bottom w:val="single" w:sz="8" w:space="0" w:color="auto"/>
              <w:right w:val="nil"/>
            </w:tcBorders>
            <w:shd w:val="clear" w:color="000000" w:fill="000000"/>
            <w:noWrap/>
            <w:vAlign w:val="center"/>
            <w:hideMark/>
          </w:tcPr>
          <w:p w14:paraId="5260D498" w14:textId="78641972" w:rsidR="00B65E87" w:rsidRPr="001706CF" w:rsidRDefault="00B65E87" w:rsidP="00EF26E7">
            <w:pPr>
              <w:spacing w:line="240" w:lineRule="auto"/>
              <w:jc w:val="left"/>
              <w:rPr>
                <w:rFonts w:eastAsia="Times New Roman" w:cs="Times New Roman"/>
                <w:b/>
                <w:bCs/>
                <w:color w:val="FFFFFF"/>
                <w:sz w:val="20"/>
                <w:szCs w:val="20"/>
                <w:lang w:eastAsia="sk-SK"/>
              </w:rPr>
            </w:pPr>
            <w:r w:rsidRPr="001706CF">
              <w:rPr>
                <w:rFonts w:eastAsia="Times New Roman" w:cs="Times New Roman"/>
                <w:b/>
                <w:bCs/>
                <w:color w:val="FFFFFF"/>
                <w:sz w:val="20"/>
                <w:szCs w:val="20"/>
                <w:lang w:eastAsia="sk-SK"/>
              </w:rPr>
              <w:t>Vplyv legislatívnych zmien nezahrnutých v</w:t>
            </w:r>
            <w:r w:rsidR="00EF26E7">
              <w:rPr>
                <w:rFonts w:eastAsia="Times New Roman" w:cs="Times New Roman"/>
                <w:b/>
                <w:bCs/>
                <w:color w:val="FFFFFF"/>
                <w:sz w:val="20"/>
                <w:szCs w:val="20"/>
                <w:lang w:eastAsia="sk-SK"/>
              </w:rPr>
              <w:t xml:space="preserve"> príjmoch </w:t>
            </w:r>
            <w:r w:rsidRPr="001706CF">
              <w:rPr>
                <w:rFonts w:eastAsia="Times New Roman" w:cs="Times New Roman"/>
                <w:b/>
                <w:bCs/>
                <w:color w:val="FFFFFF"/>
                <w:sz w:val="20"/>
                <w:szCs w:val="20"/>
                <w:lang w:eastAsia="sk-SK"/>
              </w:rPr>
              <w:t>rozpočt</w:t>
            </w:r>
            <w:r w:rsidR="00EF26E7">
              <w:rPr>
                <w:rFonts w:eastAsia="Times New Roman" w:cs="Times New Roman"/>
                <w:b/>
                <w:bCs/>
                <w:color w:val="FFFFFF"/>
                <w:sz w:val="20"/>
                <w:szCs w:val="20"/>
                <w:lang w:eastAsia="sk-SK"/>
              </w:rPr>
              <w:t>u</w:t>
            </w:r>
            <w:r w:rsidRPr="001706CF">
              <w:rPr>
                <w:rFonts w:eastAsia="Times New Roman" w:cs="Times New Roman"/>
                <w:b/>
                <w:bCs/>
                <w:color w:val="FFFFFF"/>
                <w:sz w:val="20"/>
                <w:szCs w:val="20"/>
                <w:lang w:eastAsia="sk-SK"/>
              </w:rPr>
              <w:t xml:space="preserve"> na rok 2019 (ESA2010</w:t>
            </w:r>
            <w:r>
              <w:rPr>
                <w:rFonts w:eastAsia="Times New Roman" w:cs="Times New Roman"/>
                <w:b/>
                <w:bCs/>
                <w:color w:val="FFFFFF"/>
                <w:sz w:val="20"/>
                <w:szCs w:val="20"/>
                <w:lang w:eastAsia="sk-SK"/>
              </w:rPr>
              <w:t xml:space="preserve">) </w:t>
            </w:r>
            <w:r w:rsidR="00A164E5">
              <w:rPr>
                <w:rFonts w:eastAsia="Times New Roman" w:cs="Times New Roman"/>
                <w:b/>
                <w:bCs/>
                <w:color w:val="FFFFFF"/>
                <w:sz w:val="20"/>
                <w:szCs w:val="20"/>
                <w:lang w:eastAsia="sk-SK"/>
              </w:rPr>
              <w:t xml:space="preserve">   </w:t>
            </w:r>
            <w:r>
              <w:rPr>
                <w:rFonts w:eastAsia="Times New Roman" w:cs="Times New Roman"/>
                <w:b/>
                <w:bCs/>
                <w:color w:val="FFFFFF"/>
                <w:sz w:val="20"/>
                <w:szCs w:val="20"/>
                <w:lang w:eastAsia="sk-SK"/>
              </w:rPr>
              <w:t>v tis. eur</w:t>
            </w:r>
          </w:p>
        </w:tc>
      </w:tr>
      <w:tr w:rsidR="00B65E87" w:rsidRPr="001706CF" w14:paraId="00E52E8E" w14:textId="77777777" w:rsidTr="000911E5">
        <w:trPr>
          <w:trHeight w:hRule="exact" w:val="340"/>
        </w:trPr>
        <w:tc>
          <w:tcPr>
            <w:tcW w:w="7602" w:type="dxa"/>
            <w:tcBorders>
              <w:top w:val="nil"/>
              <w:left w:val="nil"/>
              <w:bottom w:val="nil"/>
              <w:right w:val="nil"/>
            </w:tcBorders>
            <w:shd w:val="clear" w:color="auto" w:fill="auto"/>
            <w:vAlign w:val="center"/>
            <w:hideMark/>
          </w:tcPr>
          <w:p w14:paraId="194E2CA8" w14:textId="77777777" w:rsidR="00B65E87" w:rsidRPr="001706CF" w:rsidRDefault="00B65E87" w:rsidP="000911E5">
            <w:pPr>
              <w:spacing w:after="0" w:line="240" w:lineRule="auto"/>
              <w:rPr>
                <w:rFonts w:eastAsia="Times New Roman" w:cs="Times New Roman"/>
                <w:color w:val="000000"/>
                <w:sz w:val="20"/>
                <w:szCs w:val="20"/>
                <w:lang w:eastAsia="sk-SK"/>
              </w:rPr>
            </w:pPr>
            <w:r w:rsidRPr="001706CF">
              <w:rPr>
                <w:rFonts w:eastAsia="Times New Roman" w:cs="Times New Roman"/>
                <w:color w:val="000000"/>
                <w:sz w:val="20"/>
                <w:szCs w:val="20"/>
                <w:lang w:eastAsia="sk-SK"/>
              </w:rPr>
              <w:t>Znížená sadzba DPH na ubytovacie služby</w:t>
            </w:r>
          </w:p>
        </w:tc>
        <w:tc>
          <w:tcPr>
            <w:tcW w:w="861" w:type="dxa"/>
            <w:tcBorders>
              <w:top w:val="nil"/>
              <w:left w:val="nil"/>
              <w:bottom w:val="nil"/>
              <w:right w:val="nil"/>
            </w:tcBorders>
            <w:shd w:val="clear" w:color="auto" w:fill="auto"/>
            <w:noWrap/>
            <w:vAlign w:val="center"/>
            <w:hideMark/>
          </w:tcPr>
          <w:p w14:paraId="6713E280" w14:textId="77777777" w:rsidR="00B65E87" w:rsidRPr="001706CF" w:rsidRDefault="00B65E87" w:rsidP="000911E5">
            <w:pPr>
              <w:spacing w:after="0" w:line="240" w:lineRule="auto"/>
              <w:jc w:val="right"/>
              <w:rPr>
                <w:rFonts w:eastAsia="Times New Roman" w:cs="Times New Roman"/>
                <w:color w:val="000000"/>
                <w:sz w:val="20"/>
                <w:szCs w:val="20"/>
                <w:lang w:eastAsia="sk-SK"/>
              </w:rPr>
            </w:pPr>
            <w:r w:rsidRPr="001706CF">
              <w:rPr>
                <w:rFonts w:eastAsia="Times New Roman" w:cs="Times New Roman"/>
                <w:color w:val="000000"/>
                <w:sz w:val="20"/>
                <w:szCs w:val="20"/>
                <w:lang w:eastAsia="sk-SK"/>
              </w:rPr>
              <w:t>-24 256</w:t>
            </w:r>
          </w:p>
        </w:tc>
      </w:tr>
      <w:tr w:rsidR="00B65E87" w:rsidRPr="001706CF" w14:paraId="58C6FBE3" w14:textId="77777777" w:rsidTr="000911E5">
        <w:trPr>
          <w:trHeight w:hRule="exact" w:val="340"/>
        </w:trPr>
        <w:tc>
          <w:tcPr>
            <w:tcW w:w="7602" w:type="dxa"/>
            <w:tcBorders>
              <w:top w:val="nil"/>
              <w:left w:val="nil"/>
              <w:bottom w:val="nil"/>
              <w:right w:val="nil"/>
            </w:tcBorders>
            <w:shd w:val="clear" w:color="auto" w:fill="auto"/>
            <w:vAlign w:val="center"/>
            <w:hideMark/>
          </w:tcPr>
          <w:p w14:paraId="7337C032" w14:textId="77777777" w:rsidR="00B65E87" w:rsidRPr="001706CF" w:rsidRDefault="00B65E87" w:rsidP="000911E5">
            <w:pPr>
              <w:spacing w:after="0" w:line="240" w:lineRule="auto"/>
              <w:rPr>
                <w:rFonts w:eastAsia="Times New Roman" w:cs="Times New Roman"/>
                <w:color w:val="000000"/>
                <w:sz w:val="20"/>
                <w:szCs w:val="20"/>
                <w:lang w:eastAsia="sk-SK"/>
              </w:rPr>
            </w:pPr>
            <w:r w:rsidRPr="001706CF">
              <w:rPr>
                <w:rFonts w:eastAsia="Times New Roman" w:cs="Times New Roman"/>
                <w:color w:val="000000"/>
                <w:sz w:val="20"/>
                <w:szCs w:val="20"/>
                <w:lang w:eastAsia="sk-SK"/>
              </w:rPr>
              <w:t>Oslobodenie rekreačných poukazov od daní a odvodov</w:t>
            </w:r>
          </w:p>
        </w:tc>
        <w:tc>
          <w:tcPr>
            <w:tcW w:w="861" w:type="dxa"/>
            <w:tcBorders>
              <w:top w:val="nil"/>
              <w:left w:val="nil"/>
              <w:bottom w:val="nil"/>
              <w:right w:val="nil"/>
            </w:tcBorders>
            <w:shd w:val="clear" w:color="auto" w:fill="auto"/>
            <w:noWrap/>
            <w:vAlign w:val="center"/>
            <w:hideMark/>
          </w:tcPr>
          <w:p w14:paraId="3CD52A5D" w14:textId="77777777" w:rsidR="00B65E87" w:rsidRPr="001706CF" w:rsidRDefault="00B65E87" w:rsidP="000911E5">
            <w:pPr>
              <w:spacing w:after="0" w:line="240" w:lineRule="auto"/>
              <w:jc w:val="right"/>
              <w:rPr>
                <w:rFonts w:eastAsia="Times New Roman" w:cs="Times New Roman"/>
                <w:color w:val="000000"/>
                <w:sz w:val="20"/>
                <w:szCs w:val="20"/>
                <w:lang w:eastAsia="sk-SK"/>
              </w:rPr>
            </w:pPr>
            <w:r w:rsidRPr="001706CF">
              <w:rPr>
                <w:rFonts w:eastAsia="Times New Roman" w:cs="Times New Roman"/>
                <w:color w:val="000000"/>
                <w:sz w:val="20"/>
                <w:szCs w:val="20"/>
                <w:lang w:eastAsia="sk-SK"/>
              </w:rPr>
              <w:t>-57 666</w:t>
            </w:r>
          </w:p>
        </w:tc>
      </w:tr>
      <w:tr w:rsidR="00B65E87" w:rsidRPr="001706CF" w14:paraId="736BAB24" w14:textId="77777777" w:rsidTr="000911E5">
        <w:trPr>
          <w:trHeight w:hRule="exact" w:val="340"/>
        </w:trPr>
        <w:tc>
          <w:tcPr>
            <w:tcW w:w="7602" w:type="dxa"/>
            <w:tcBorders>
              <w:top w:val="nil"/>
              <w:left w:val="nil"/>
              <w:bottom w:val="nil"/>
              <w:right w:val="nil"/>
            </w:tcBorders>
            <w:shd w:val="clear" w:color="auto" w:fill="auto"/>
            <w:vAlign w:val="center"/>
            <w:hideMark/>
          </w:tcPr>
          <w:p w14:paraId="64BA25F4" w14:textId="77777777" w:rsidR="00B65E87" w:rsidRPr="001706CF" w:rsidRDefault="00B65E87" w:rsidP="000911E5">
            <w:pPr>
              <w:spacing w:after="0" w:line="240" w:lineRule="auto"/>
              <w:rPr>
                <w:rFonts w:eastAsia="Times New Roman" w:cs="Times New Roman"/>
                <w:color w:val="000000"/>
                <w:sz w:val="20"/>
                <w:szCs w:val="20"/>
                <w:lang w:eastAsia="sk-SK"/>
              </w:rPr>
            </w:pPr>
            <w:r w:rsidRPr="001706CF">
              <w:rPr>
                <w:rFonts w:eastAsia="Times New Roman" w:cs="Times New Roman"/>
                <w:color w:val="000000"/>
                <w:sz w:val="20"/>
                <w:szCs w:val="20"/>
                <w:lang w:eastAsia="sk-SK"/>
              </w:rPr>
              <w:t>Zrušenie oslobodenia výživových doplnkov od spotrebnej dane (1.5.2019)</w:t>
            </w:r>
          </w:p>
        </w:tc>
        <w:tc>
          <w:tcPr>
            <w:tcW w:w="861" w:type="dxa"/>
            <w:tcBorders>
              <w:top w:val="nil"/>
              <w:left w:val="nil"/>
              <w:bottom w:val="nil"/>
              <w:right w:val="nil"/>
            </w:tcBorders>
            <w:shd w:val="clear" w:color="auto" w:fill="auto"/>
            <w:noWrap/>
            <w:vAlign w:val="center"/>
            <w:hideMark/>
          </w:tcPr>
          <w:p w14:paraId="544EF075" w14:textId="77777777" w:rsidR="00B65E87" w:rsidRPr="001706CF" w:rsidRDefault="00B65E87" w:rsidP="000911E5">
            <w:pPr>
              <w:spacing w:after="0" w:line="240" w:lineRule="auto"/>
              <w:jc w:val="right"/>
              <w:rPr>
                <w:rFonts w:eastAsia="Times New Roman" w:cs="Times New Roman"/>
                <w:color w:val="000000"/>
                <w:sz w:val="20"/>
                <w:szCs w:val="20"/>
                <w:lang w:eastAsia="sk-SK"/>
              </w:rPr>
            </w:pPr>
            <w:r w:rsidRPr="001706CF">
              <w:rPr>
                <w:rFonts w:eastAsia="Times New Roman" w:cs="Times New Roman"/>
                <w:color w:val="000000"/>
                <w:sz w:val="20"/>
                <w:szCs w:val="20"/>
                <w:lang w:eastAsia="sk-SK"/>
              </w:rPr>
              <w:t>42</w:t>
            </w:r>
          </w:p>
        </w:tc>
      </w:tr>
      <w:tr w:rsidR="00B65E87" w:rsidRPr="001706CF" w14:paraId="23D26A4F" w14:textId="77777777" w:rsidTr="000911E5">
        <w:trPr>
          <w:trHeight w:hRule="exact" w:val="340"/>
        </w:trPr>
        <w:tc>
          <w:tcPr>
            <w:tcW w:w="7602" w:type="dxa"/>
            <w:tcBorders>
              <w:top w:val="nil"/>
              <w:left w:val="nil"/>
              <w:bottom w:val="nil"/>
              <w:right w:val="nil"/>
            </w:tcBorders>
            <w:shd w:val="clear" w:color="auto" w:fill="auto"/>
            <w:vAlign w:val="center"/>
            <w:hideMark/>
          </w:tcPr>
          <w:p w14:paraId="049180D6" w14:textId="77777777" w:rsidR="00B65E87" w:rsidRPr="001706CF" w:rsidRDefault="00B65E87" w:rsidP="000911E5">
            <w:pPr>
              <w:spacing w:after="0" w:line="240" w:lineRule="auto"/>
              <w:rPr>
                <w:rFonts w:eastAsia="Times New Roman" w:cs="Times New Roman"/>
                <w:color w:val="000000"/>
                <w:sz w:val="20"/>
                <w:szCs w:val="20"/>
                <w:lang w:eastAsia="sk-SK"/>
              </w:rPr>
            </w:pPr>
            <w:r w:rsidRPr="001706CF">
              <w:rPr>
                <w:rFonts w:eastAsia="Times New Roman" w:cs="Times New Roman"/>
                <w:color w:val="000000"/>
                <w:sz w:val="20"/>
                <w:szCs w:val="20"/>
                <w:lang w:eastAsia="sk-SK"/>
              </w:rPr>
              <w:t>Zmena základných sadzieb dane na benzín a naftu (1.1.2019)</w:t>
            </w:r>
          </w:p>
        </w:tc>
        <w:tc>
          <w:tcPr>
            <w:tcW w:w="861" w:type="dxa"/>
            <w:tcBorders>
              <w:top w:val="nil"/>
              <w:left w:val="nil"/>
              <w:bottom w:val="nil"/>
              <w:right w:val="nil"/>
            </w:tcBorders>
            <w:shd w:val="clear" w:color="auto" w:fill="auto"/>
            <w:noWrap/>
            <w:vAlign w:val="center"/>
            <w:hideMark/>
          </w:tcPr>
          <w:p w14:paraId="5D0855DA" w14:textId="77777777" w:rsidR="00B65E87" w:rsidRPr="001706CF" w:rsidRDefault="00B65E87" w:rsidP="000911E5">
            <w:pPr>
              <w:spacing w:after="0" w:line="240" w:lineRule="auto"/>
              <w:jc w:val="right"/>
              <w:rPr>
                <w:rFonts w:eastAsia="Times New Roman" w:cs="Times New Roman"/>
                <w:color w:val="000000"/>
                <w:sz w:val="20"/>
                <w:szCs w:val="20"/>
                <w:lang w:eastAsia="sk-SK"/>
              </w:rPr>
            </w:pPr>
            <w:r w:rsidRPr="001706CF">
              <w:rPr>
                <w:rFonts w:eastAsia="Times New Roman" w:cs="Times New Roman"/>
                <w:color w:val="000000"/>
                <w:sz w:val="20"/>
                <w:szCs w:val="20"/>
                <w:lang w:eastAsia="sk-SK"/>
              </w:rPr>
              <w:t>-76</w:t>
            </w:r>
          </w:p>
        </w:tc>
      </w:tr>
      <w:tr w:rsidR="00B65E87" w:rsidRPr="001706CF" w14:paraId="2A691D56" w14:textId="77777777" w:rsidTr="000911E5">
        <w:trPr>
          <w:trHeight w:hRule="exact" w:val="340"/>
        </w:trPr>
        <w:tc>
          <w:tcPr>
            <w:tcW w:w="7602" w:type="dxa"/>
            <w:tcBorders>
              <w:top w:val="nil"/>
              <w:left w:val="nil"/>
              <w:bottom w:val="nil"/>
              <w:right w:val="nil"/>
            </w:tcBorders>
            <w:shd w:val="clear" w:color="auto" w:fill="auto"/>
            <w:vAlign w:val="center"/>
            <w:hideMark/>
          </w:tcPr>
          <w:p w14:paraId="5A451192" w14:textId="77777777" w:rsidR="00B65E87" w:rsidRPr="001706CF" w:rsidRDefault="00B65E87" w:rsidP="000911E5">
            <w:pPr>
              <w:spacing w:after="0" w:line="240" w:lineRule="auto"/>
              <w:rPr>
                <w:rFonts w:eastAsia="Times New Roman" w:cs="Times New Roman"/>
                <w:color w:val="000000"/>
                <w:sz w:val="20"/>
                <w:szCs w:val="20"/>
                <w:lang w:eastAsia="sk-SK"/>
              </w:rPr>
            </w:pPr>
            <w:r w:rsidRPr="001706CF">
              <w:rPr>
                <w:rFonts w:eastAsia="Times New Roman" w:cs="Times New Roman"/>
                <w:color w:val="000000"/>
                <w:sz w:val="20"/>
                <w:szCs w:val="20"/>
                <w:lang w:eastAsia="sk-SK"/>
              </w:rPr>
              <w:t>Zníženie limitu pre refundáciu DPH turistom (zo 175 eur na 100 eur)</w:t>
            </w:r>
          </w:p>
        </w:tc>
        <w:tc>
          <w:tcPr>
            <w:tcW w:w="861" w:type="dxa"/>
            <w:tcBorders>
              <w:top w:val="nil"/>
              <w:left w:val="nil"/>
              <w:bottom w:val="nil"/>
              <w:right w:val="nil"/>
            </w:tcBorders>
            <w:shd w:val="clear" w:color="auto" w:fill="auto"/>
            <w:noWrap/>
            <w:vAlign w:val="center"/>
            <w:hideMark/>
          </w:tcPr>
          <w:p w14:paraId="26BFE2B6" w14:textId="77777777" w:rsidR="00B65E87" w:rsidRPr="001706CF" w:rsidRDefault="00B65E87" w:rsidP="000911E5">
            <w:pPr>
              <w:spacing w:after="0" w:line="240" w:lineRule="auto"/>
              <w:jc w:val="right"/>
              <w:rPr>
                <w:rFonts w:eastAsia="Times New Roman" w:cs="Times New Roman"/>
                <w:color w:val="000000"/>
                <w:sz w:val="20"/>
                <w:szCs w:val="20"/>
                <w:lang w:eastAsia="sk-SK"/>
              </w:rPr>
            </w:pPr>
            <w:r w:rsidRPr="001706CF">
              <w:rPr>
                <w:rFonts w:eastAsia="Times New Roman" w:cs="Times New Roman"/>
                <w:color w:val="000000"/>
                <w:sz w:val="20"/>
                <w:szCs w:val="20"/>
                <w:lang w:eastAsia="sk-SK"/>
              </w:rPr>
              <w:t>-2 100</w:t>
            </w:r>
          </w:p>
        </w:tc>
      </w:tr>
      <w:tr w:rsidR="00B65E87" w:rsidRPr="001706CF" w14:paraId="349217EE" w14:textId="77777777" w:rsidTr="000911E5">
        <w:trPr>
          <w:trHeight w:hRule="exact" w:val="340"/>
        </w:trPr>
        <w:tc>
          <w:tcPr>
            <w:tcW w:w="7602" w:type="dxa"/>
            <w:tcBorders>
              <w:top w:val="nil"/>
              <w:left w:val="nil"/>
              <w:bottom w:val="single" w:sz="8" w:space="0" w:color="auto"/>
              <w:right w:val="nil"/>
            </w:tcBorders>
            <w:shd w:val="clear" w:color="auto" w:fill="auto"/>
            <w:vAlign w:val="center"/>
            <w:hideMark/>
          </w:tcPr>
          <w:p w14:paraId="1D972F15" w14:textId="77777777" w:rsidR="00B65E87" w:rsidRPr="001706CF" w:rsidRDefault="00B65E87" w:rsidP="000911E5">
            <w:pPr>
              <w:spacing w:after="0" w:line="240" w:lineRule="auto"/>
              <w:rPr>
                <w:rFonts w:eastAsia="Times New Roman" w:cs="Times New Roman"/>
                <w:color w:val="000000"/>
                <w:sz w:val="20"/>
                <w:szCs w:val="20"/>
                <w:lang w:eastAsia="sk-SK"/>
              </w:rPr>
            </w:pPr>
            <w:r w:rsidRPr="001706CF">
              <w:rPr>
                <w:rFonts w:eastAsia="Times New Roman" w:cs="Times New Roman"/>
                <w:color w:val="000000"/>
                <w:sz w:val="20"/>
                <w:szCs w:val="20"/>
                <w:lang w:eastAsia="sk-SK"/>
              </w:rPr>
              <w:t>Oslobodenie nepeň. benefitu pre zamestnanca na ubytovanie (max. 60 eur mesačne)</w:t>
            </w:r>
          </w:p>
        </w:tc>
        <w:tc>
          <w:tcPr>
            <w:tcW w:w="861" w:type="dxa"/>
            <w:tcBorders>
              <w:top w:val="nil"/>
              <w:left w:val="nil"/>
              <w:bottom w:val="single" w:sz="8" w:space="0" w:color="auto"/>
              <w:right w:val="nil"/>
            </w:tcBorders>
            <w:shd w:val="clear" w:color="auto" w:fill="auto"/>
            <w:noWrap/>
            <w:vAlign w:val="center"/>
            <w:hideMark/>
          </w:tcPr>
          <w:p w14:paraId="4BF5ED01" w14:textId="77777777" w:rsidR="00B65E87" w:rsidRPr="001706CF" w:rsidRDefault="00B65E87" w:rsidP="000911E5">
            <w:pPr>
              <w:spacing w:after="0" w:line="240" w:lineRule="auto"/>
              <w:jc w:val="right"/>
              <w:rPr>
                <w:rFonts w:eastAsia="Times New Roman" w:cs="Times New Roman"/>
                <w:color w:val="000000"/>
                <w:sz w:val="20"/>
                <w:szCs w:val="20"/>
                <w:lang w:eastAsia="sk-SK"/>
              </w:rPr>
            </w:pPr>
            <w:r w:rsidRPr="001706CF">
              <w:rPr>
                <w:rFonts w:eastAsia="Times New Roman" w:cs="Times New Roman"/>
                <w:color w:val="000000"/>
                <w:sz w:val="20"/>
                <w:szCs w:val="20"/>
                <w:lang w:eastAsia="sk-SK"/>
              </w:rPr>
              <w:t>-15 742</w:t>
            </w:r>
          </w:p>
        </w:tc>
      </w:tr>
    </w:tbl>
    <w:p w14:paraId="63ACD3C2" w14:textId="77777777" w:rsidR="00B65E87" w:rsidRDefault="00B65E87" w:rsidP="00B65E87">
      <w:pPr>
        <w:spacing w:after="0"/>
        <w:ind w:left="6372" w:firstLine="708"/>
      </w:pPr>
      <w:r>
        <w:rPr>
          <w:sz w:val="16"/>
          <w:szCs w:val="16"/>
        </w:rPr>
        <w:t xml:space="preserve">  </w:t>
      </w:r>
      <w:r w:rsidRPr="004B56F7">
        <w:rPr>
          <w:sz w:val="16"/>
          <w:szCs w:val="16"/>
        </w:rPr>
        <w:t>Zdroj: IFP, MF SR</w:t>
      </w:r>
    </w:p>
    <w:p w14:paraId="6F467881" w14:textId="41381ED2" w:rsidR="00F6147C" w:rsidRDefault="00667419" w:rsidP="00AF7377">
      <w:pPr>
        <w:spacing w:before="240"/>
      </w:pPr>
      <w:r w:rsidRPr="0021385B">
        <w:t xml:space="preserve">Výnos </w:t>
      </w:r>
      <w:r w:rsidRPr="0021385B">
        <w:rPr>
          <w:b/>
        </w:rPr>
        <w:t>sociálnych aj zdravotných odvodov</w:t>
      </w:r>
      <w:r w:rsidRPr="0021385B">
        <w:t xml:space="preserve"> bol pozitívne ovplyvnený silnejším vývojom na trhu práce. Pri sociálnych odvodoch sa lepšie makroekonomické prostredie premietlo do skutočného plnenia, ktoré bolo v roku 2019 vyššie o 32 757 tis. eur oproti predpokladom rozpočtu. Pri</w:t>
      </w:r>
      <w:r w:rsidR="00752D9F" w:rsidRPr="0021385B">
        <w:t> </w:t>
      </w:r>
      <w:r w:rsidRPr="0021385B">
        <w:t>zdravotných odvodoch však prevážil výrazne nižší vplyv ročného zúčtovania, čo sa podpísalo pod nižší celkový výnos o 19 814 tis. eur. Výnos sociálnych aj zdravotných odvodov boli negatívne ovplyvnené dodatočnými legislatívnymi opatreniami (oslobodenie rekreačných poukazov od daní a odvodov a oslobodenie nepeňažného benefitu pre zamestnanca na</w:t>
      </w:r>
      <w:r w:rsidR="005A7E6E">
        <w:t> </w:t>
      </w:r>
      <w:r w:rsidRPr="0021385B">
        <w:t>ubytovanie).</w:t>
      </w:r>
    </w:p>
    <w:p w14:paraId="480EEF36" w14:textId="2B986BA9" w:rsidR="00995C6D" w:rsidRDefault="00995C6D" w:rsidP="0095754A">
      <w:r>
        <w:t>Pre základný obraz o vývoji ostatných príjmov ako aj výdavkov sú opisované nedaňové príjmy, granty a transfery, bežné výdavky a kapitálové výdavky na nekonsolidovanej báze. Vyčíslenie konsolidácie vzájomných príjmov a výdavkov medzi subjektmi verejnej správy sa uvádza na úrovni celej verejnej správy, bez konsolidácie na konkrétne subjekty verejnej správy</w:t>
      </w:r>
      <w:r>
        <w:rPr>
          <w:rStyle w:val="Odkaznapoznmkupodiarou"/>
        </w:rPr>
        <w:footnoteReference w:id="13"/>
      </w:r>
      <w:r>
        <w:t xml:space="preserve">. </w:t>
      </w:r>
    </w:p>
    <w:p w14:paraId="6DFD9706" w14:textId="4BA3968A" w:rsidR="0095754A" w:rsidRPr="0095754A" w:rsidRDefault="002E52D0" w:rsidP="0095754A">
      <w:r>
        <w:rPr>
          <w:b/>
        </w:rPr>
        <w:t>Ne</w:t>
      </w:r>
      <w:r w:rsidR="0095754A" w:rsidRPr="0095754A">
        <w:rPr>
          <w:b/>
        </w:rPr>
        <w:t>daňov</w:t>
      </w:r>
      <w:r>
        <w:rPr>
          <w:b/>
        </w:rPr>
        <w:t>é príjmy</w:t>
      </w:r>
      <w:r w:rsidR="0095754A" w:rsidRPr="0095754A">
        <w:t xml:space="preserve"> verejnej správy </w:t>
      </w:r>
      <w:r>
        <w:t xml:space="preserve">vzrástli </w:t>
      </w:r>
      <w:r w:rsidR="00995C6D">
        <w:t>oproti rozpočtu</w:t>
      </w:r>
      <w:r w:rsidR="00995C6D" w:rsidRPr="0095754A">
        <w:t xml:space="preserve"> </w:t>
      </w:r>
      <w:r w:rsidR="0095754A" w:rsidRPr="0095754A">
        <w:t>o 355 946 tis. eur</w:t>
      </w:r>
      <w:r w:rsidR="00995C6D">
        <w:t>.</w:t>
      </w:r>
      <w:r>
        <w:t xml:space="preserve"> </w:t>
      </w:r>
      <w:r w:rsidR="0095754A" w:rsidRPr="0095754A">
        <w:t xml:space="preserve"> </w:t>
      </w:r>
      <w:r>
        <w:t xml:space="preserve">Na rast nedaňových príjmov </w:t>
      </w:r>
      <w:r w:rsidR="0095754A" w:rsidRPr="0095754A">
        <w:t xml:space="preserve">oproti rozpočtu malo pozitívny vplyv zvýšenie </w:t>
      </w:r>
      <w:r w:rsidR="00C62EDE">
        <w:t xml:space="preserve">hotovostných </w:t>
      </w:r>
      <w:r w:rsidR="0095754A" w:rsidRPr="0095754A">
        <w:t>príjmov z podnikania a vlastníctva majetku</w:t>
      </w:r>
      <w:r w:rsidR="00E25337">
        <w:t xml:space="preserve"> (o 203 892 tis. eur)</w:t>
      </w:r>
      <w:r w:rsidR="0095754A" w:rsidRPr="0095754A">
        <w:t>, príjmov z administratívnych a iných poplatkov</w:t>
      </w:r>
      <w:r w:rsidR="004F7FA9">
        <w:br/>
      </w:r>
      <w:r w:rsidR="00F879F4">
        <w:t>(o 267 781 tis. eur)</w:t>
      </w:r>
      <w:r w:rsidR="0095754A" w:rsidRPr="0095754A">
        <w:t>, úrokových príjmov</w:t>
      </w:r>
      <w:r w:rsidR="00F879F4">
        <w:t xml:space="preserve"> (o 152 492 tis. eur)</w:t>
      </w:r>
      <w:r w:rsidR="0095754A" w:rsidRPr="0095754A">
        <w:t>, ako aj medziročný náras</w:t>
      </w:r>
      <w:r w:rsidR="00B0398F">
        <w:t>t pohľadávok (napr. z dôvodu pohľadávok Sociálnej poisťovne voči zdravotníckym zariadeniam).</w:t>
      </w:r>
      <w:r w:rsidR="0095754A" w:rsidRPr="0095754A">
        <w:t xml:space="preserve"> </w:t>
      </w:r>
      <w:r w:rsidR="00F879F4">
        <w:t>Naopak, nižšie ako rozpočtované boli kapitálové príjmy (príjmy z predaja majetku, o 36 442 tis. eur) a iné nedaňové príjmy (o 41 652 tis. eur).</w:t>
      </w:r>
      <w:r w:rsidR="00C62EDE">
        <w:t xml:space="preserve"> </w:t>
      </w:r>
      <w:r w:rsidR="0095754A" w:rsidRPr="0095754A">
        <w:t xml:space="preserve">Negatívne </w:t>
      </w:r>
      <w:r w:rsidR="00C62EDE">
        <w:t xml:space="preserve">na hotovostné nedaňové príjmy </w:t>
      </w:r>
      <w:r w:rsidR="0095754A" w:rsidRPr="0095754A">
        <w:t xml:space="preserve">vplývali úpravy </w:t>
      </w:r>
      <w:r w:rsidR="00C62EDE">
        <w:t>v súlade s metodikou ESA 2010</w:t>
      </w:r>
      <w:r w:rsidR="0095754A" w:rsidRPr="0095754A">
        <w:t>. Išlo najmä o vylúčenie príspevkov prevádzkovateľov jadrových zariadení z príjmov Národného jadrové</w:t>
      </w:r>
      <w:r w:rsidR="0037056C">
        <w:t>ho fondu v sume 82 881 tis. eur</w:t>
      </w:r>
      <w:r w:rsidR="0095754A" w:rsidRPr="0095754A">
        <w:t>, vylúčenie príjmov z predaja emisných kvót v sume 244 185 tis. eur, vylúčenie superdividendy z príjmov z vlastníctva majetku v sume 211 812 tis. eur, vylúčenie prijatých úrokov zo swapov v sume 86 329 tis. eur a časové rozlíšenie prijatých úrokov v sume 78 058 tis. eur.</w:t>
      </w:r>
    </w:p>
    <w:p w14:paraId="3497AF7A" w14:textId="5DDC5214" w:rsidR="0095754A" w:rsidRPr="0095754A" w:rsidRDefault="00772677" w:rsidP="0095754A">
      <w:r>
        <w:rPr>
          <w:b/>
        </w:rPr>
        <w:t>G</w:t>
      </w:r>
      <w:r w:rsidR="0095754A" w:rsidRPr="0095754A">
        <w:rPr>
          <w:b/>
        </w:rPr>
        <w:t>rant</w:t>
      </w:r>
      <w:r>
        <w:rPr>
          <w:b/>
        </w:rPr>
        <w:t>y</w:t>
      </w:r>
      <w:r w:rsidR="0095754A" w:rsidRPr="0095754A">
        <w:rPr>
          <w:b/>
        </w:rPr>
        <w:t xml:space="preserve"> a transfer</w:t>
      </w:r>
      <w:r>
        <w:rPr>
          <w:b/>
        </w:rPr>
        <w:t>y</w:t>
      </w:r>
      <w:r w:rsidR="0095754A" w:rsidRPr="0095754A">
        <w:t xml:space="preserve"> verejnej správy </w:t>
      </w:r>
      <w:r w:rsidR="0004633C">
        <w:t xml:space="preserve">(po vzájomnej konsolidácii) </w:t>
      </w:r>
      <w:r w:rsidR="0095754A" w:rsidRPr="0095754A">
        <w:t>prekroč</w:t>
      </w:r>
      <w:r>
        <w:t>ili</w:t>
      </w:r>
      <w:r w:rsidR="0095754A" w:rsidRPr="0095754A">
        <w:t xml:space="preserve"> </w:t>
      </w:r>
      <w:r>
        <w:t xml:space="preserve">rozpočet </w:t>
      </w:r>
      <w:r w:rsidR="0095754A" w:rsidRPr="0095754A">
        <w:t>o 1 036 522 tis. eur</w:t>
      </w:r>
      <w:r w:rsidR="002E52D0">
        <w:t>. Ne</w:t>
      </w:r>
      <w:r w:rsidR="0095754A" w:rsidRPr="0095754A">
        <w:t xml:space="preserve">konsolidované granty a transfery vzrástli </w:t>
      </w:r>
      <w:r w:rsidR="00C62EDE" w:rsidRPr="0095754A">
        <w:t xml:space="preserve">oproti rozpočtu </w:t>
      </w:r>
      <w:r w:rsidR="0095754A" w:rsidRPr="0095754A">
        <w:t xml:space="preserve">o 2 786 656 tis. eur. Na </w:t>
      </w:r>
      <w:r w:rsidR="00C62EDE">
        <w:t xml:space="preserve">tejto hodnote sa podieľal </w:t>
      </w:r>
      <w:r w:rsidR="0095754A" w:rsidRPr="0095754A">
        <w:t xml:space="preserve">najmä štátny rozpočet sumou 459 813 tis. eur z dôvodu čerpania prostriedkov z rozpočtu EÚ, obce sumou 709 562 tis. eur a príspevkové organizácie štátu sumou 319 281 tis. eur. Obchodné spoločnosti štátu Národná diaľničná spoločnosť, a.s., Železničná spoločnosť Slovensko, a.s. a Železnice slovenskej republiky dosiahli vyššie granty a transfery oproti rozpočtu spolu o 392 616 tis. eur najmä v súvislosti s uvoľnením prostriedkov EÚ a  spolufinancovania zo štátneho rozpočtu viazaných na budúce investície v rozpočtoch z predchádzajúcich rokov. </w:t>
      </w:r>
    </w:p>
    <w:p w14:paraId="3A339D2F" w14:textId="6CDBD385" w:rsidR="0095754A" w:rsidRPr="0095754A" w:rsidRDefault="0095754A" w:rsidP="0095754A">
      <w:r w:rsidRPr="0095754A">
        <w:rPr>
          <w:b/>
        </w:rPr>
        <w:t>Bežné výdavky</w:t>
      </w:r>
      <w:r w:rsidRPr="0095754A">
        <w:t xml:space="preserve"> verejnej správy </w:t>
      </w:r>
      <w:r w:rsidR="0004633C">
        <w:t>(po vzájomnej konsolidácii</w:t>
      </w:r>
      <w:r w:rsidR="00673FB2">
        <w:t>)</w:t>
      </w:r>
      <w:r w:rsidRPr="0095754A">
        <w:t xml:space="preserve"> boli vyššie o 2 123 636 tis. eur oproti rozpočtu. Pri výdavkoch na mzdy</w:t>
      </w:r>
      <w:r w:rsidR="002E2A66">
        <w:t>, ktoré dosiahli nárast oproti rozpočtu 510 193 tis. eur, zaznamenali</w:t>
      </w:r>
      <w:r w:rsidRPr="0095754A">
        <w:t xml:space="preserve"> najväčší nárast zdravotnícke zariadenia o 101 579 tis. eur</w:t>
      </w:r>
      <w:r w:rsidR="002E2A66">
        <w:t xml:space="preserve"> (z toho v ústrednej </w:t>
      </w:r>
      <w:r w:rsidR="001D0B23">
        <w:t>správe</w:t>
      </w:r>
      <w:r w:rsidR="001D0B23">
        <w:br/>
      </w:r>
      <w:r w:rsidR="002E2A66">
        <w:t>89 466 tis. eur)</w:t>
      </w:r>
      <w:r w:rsidRPr="0095754A">
        <w:t>, obce o 180 769 tis. eur, príspevkové organizácie štátu o 44 008 tis. eur a verejné vysoké školy o 31 870 tis. eur. S tým súvisel aj nárast výdavkov na poistné</w:t>
      </w:r>
      <w:r w:rsidR="001D0B23">
        <w:t xml:space="preserve"> o 152 272 tis. eur v rámci celej verejnej správy</w:t>
      </w:r>
      <w:r w:rsidRPr="0095754A">
        <w:t>. Naopak</w:t>
      </w:r>
      <w:r w:rsidR="0004633C">
        <w:t>,</w:t>
      </w:r>
      <w:r w:rsidRPr="0095754A">
        <w:t xml:space="preserve"> VÚC </w:t>
      </w:r>
      <w:r w:rsidR="00E97BE7">
        <w:t xml:space="preserve">vykázali nižšie mzdové výdavky </w:t>
      </w:r>
      <w:r w:rsidRPr="0095754A">
        <w:t xml:space="preserve">oproti rozpočtu  o 32 210 tis. eur. Na vývoj výdavkov na tovary a služby, ktoré v hotovostnom vyjadrení zaznamenali zníženie o 1 603 832 tis. eur oproti rozpočtu, </w:t>
      </w:r>
      <w:r w:rsidR="0004633C">
        <w:t xml:space="preserve">malo vplyv </w:t>
      </w:r>
      <w:r w:rsidR="00823135">
        <w:t>do veľkej mieri čerpani</w:t>
      </w:r>
      <w:r w:rsidR="0004633C">
        <w:t>e</w:t>
      </w:r>
      <w:r w:rsidR="00823135">
        <w:t xml:space="preserve"> výdavkov v rámci konkrétnych výdavkových titulov</w:t>
      </w:r>
      <w:r w:rsidR="00CD1433">
        <w:t>,</w:t>
      </w:r>
      <w:r w:rsidR="00823135">
        <w:t xml:space="preserve"> pričom sú rozpočtované v rámci bežných výdavkov (napr. </w:t>
      </w:r>
      <w:r w:rsidR="00781025">
        <w:t>zálohové platby na projekty</w:t>
      </w:r>
      <w:r w:rsidR="00823135">
        <w:t xml:space="preserve"> EU </w:t>
      </w:r>
      <w:r w:rsidR="00781025">
        <w:t>a prostriedky štátneho rozpočtu na spolufinancovanie, ktorý</w:t>
      </w:r>
      <w:r w:rsidR="00CD1433">
        <w:t>ch</w:t>
      </w:r>
      <w:r w:rsidR="00781025">
        <w:t xml:space="preserve"> zúčtovanie sa vykonáva na príslušných výdavkoch).</w:t>
      </w:r>
      <w:r w:rsidR="00823135">
        <w:t xml:space="preserve"> </w:t>
      </w:r>
    </w:p>
    <w:p w14:paraId="69470261" w14:textId="06FBDC8E" w:rsidR="0095754A" w:rsidRDefault="0095754A" w:rsidP="00510AF9">
      <w:r w:rsidRPr="0095754A">
        <w:rPr>
          <w:b/>
        </w:rPr>
        <w:t>Kapitálové výdavky</w:t>
      </w:r>
      <w:r w:rsidRPr="0095754A">
        <w:t xml:space="preserve"> verejnej správy </w:t>
      </w:r>
      <w:r w:rsidR="00781025">
        <w:t>(</w:t>
      </w:r>
      <w:r w:rsidRPr="0095754A">
        <w:t xml:space="preserve">po </w:t>
      </w:r>
      <w:r w:rsidR="00792DC3">
        <w:t xml:space="preserve">vzájomnej </w:t>
      </w:r>
      <w:r w:rsidRPr="0095754A">
        <w:t>konsolidácii</w:t>
      </w:r>
      <w:r w:rsidR="00781025">
        <w:t>)</w:t>
      </w:r>
      <w:r w:rsidRPr="0095754A">
        <w:t xml:space="preserve"> vzrástli oproti rozpočtu</w:t>
      </w:r>
      <w:r w:rsidR="00781025" w:rsidRPr="00781025">
        <w:t xml:space="preserve"> </w:t>
      </w:r>
      <w:r w:rsidR="00781025" w:rsidRPr="0095754A">
        <w:t>o 1 372 244 tis. eur</w:t>
      </w:r>
      <w:r w:rsidR="00781025">
        <w:t>.</w:t>
      </w:r>
      <w:r w:rsidRPr="0095754A">
        <w:t xml:space="preserve"> </w:t>
      </w:r>
      <w:r w:rsidR="00792DC3">
        <w:t>Z toho v</w:t>
      </w:r>
      <w:r w:rsidRPr="0095754A">
        <w:t>ýdavky na obstaranie kapitálových aktív vzrástli o 955 775 tis. eur, a</w:t>
      </w:r>
      <w:r>
        <w:t> </w:t>
      </w:r>
      <w:r w:rsidRPr="0095754A">
        <w:t>to najmä u obcí o 425 702 tis. eur, u VÚC o 114 984 tis. eur, u Národnej diaľničnej spoločnosti o 320 224 tis. eur a u zdravotníckych zariadení o 124 011 tis. eur</w:t>
      </w:r>
      <w:r w:rsidR="00781025">
        <w:t xml:space="preserve"> (z toho v ústrednej správe o 120 397 tis. eur)</w:t>
      </w:r>
      <w:r w:rsidRPr="0095754A">
        <w:t xml:space="preserve">. </w:t>
      </w:r>
    </w:p>
    <w:p w14:paraId="29A71235" w14:textId="05EB20B0" w:rsidR="003635C6" w:rsidRDefault="00510AF9" w:rsidP="00510AF9">
      <w:r w:rsidRPr="000911E5">
        <w:t>Nasledujúca tabuľka poskytuje prehľad najvýznamnejších položiek</w:t>
      </w:r>
      <w:r w:rsidR="006B10B9" w:rsidRPr="000911E5">
        <w:t xml:space="preserve"> (príjmov</w:t>
      </w:r>
      <w:r w:rsidR="000911E5" w:rsidRPr="000911E5">
        <w:t>,</w:t>
      </w:r>
      <w:r w:rsidR="006B10B9" w:rsidRPr="000911E5">
        <w:t xml:space="preserve"> výdavkov resp. </w:t>
      </w:r>
      <w:r w:rsidR="000911E5" w:rsidRPr="000911E5">
        <w:t>výsledok</w:t>
      </w:r>
      <w:r w:rsidR="006B10B9" w:rsidRPr="000911E5">
        <w:t xml:space="preserve"> hospodárenie subjektov verejnej správy)</w:t>
      </w:r>
      <w:r w:rsidRPr="000911E5">
        <w:t xml:space="preserve"> a ich vplyv na dosiahnuté saldo verejnej správy za rok 2019 oproti rozpočtu. </w:t>
      </w:r>
      <w:r w:rsidR="006B10B9" w:rsidRPr="000911E5">
        <w:t xml:space="preserve">Vysvetlenie </w:t>
      </w:r>
      <w:r w:rsidR="00DC4760" w:rsidRPr="000911E5">
        <w:t>pozitívnej či negatívnej odchýlky od rozpočtu</w:t>
      </w:r>
      <w:r w:rsidR="006B10B9" w:rsidRPr="000911E5">
        <w:t xml:space="preserve"> </w:t>
      </w:r>
      <w:r w:rsidR="00DC4760" w:rsidRPr="000911E5">
        <w:t xml:space="preserve">je </w:t>
      </w:r>
      <w:r w:rsidR="006B10B9" w:rsidRPr="000911E5">
        <w:t>v</w:t>
      </w:r>
      <w:r w:rsidR="00DC4760" w:rsidRPr="000911E5">
        <w:t xml:space="preserve"> nasledujúcom </w:t>
      </w:r>
      <w:r w:rsidR="006B10B9" w:rsidRPr="000911E5">
        <w:t xml:space="preserve">texte pomocou </w:t>
      </w:r>
      <w:r w:rsidR="00DC4760" w:rsidRPr="000911E5">
        <w:t xml:space="preserve">opisu </w:t>
      </w:r>
      <w:r w:rsidR="006B10B9" w:rsidRPr="000911E5">
        <w:t xml:space="preserve">hotovostného plnenia rozpočtu resp. </w:t>
      </w:r>
      <w:r w:rsidR="00BD29FE" w:rsidRPr="000911E5">
        <w:t xml:space="preserve">pri významných úpravách hotovostného plnenia aj pomocou </w:t>
      </w:r>
      <w:r w:rsidR="00DC4760" w:rsidRPr="000911E5">
        <w:t xml:space="preserve">vysvetlenia </w:t>
      </w:r>
      <w:proofErr w:type="spellStart"/>
      <w:r w:rsidR="00BD29FE" w:rsidRPr="000911E5">
        <w:t>akrualizácie</w:t>
      </w:r>
      <w:proofErr w:type="spellEnd"/>
      <w:r w:rsidR="006B10B9" w:rsidRPr="000911E5">
        <w:t xml:space="preserve"> podľa metodiky ESA 2010</w:t>
      </w:r>
      <w:r w:rsidR="00BD29FE" w:rsidRPr="000911E5">
        <w:t>.</w:t>
      </w:r>
      <w:r w:rsidR="00A454C4">
        <w:rPr>
          <w:color w:val="FF0000"/>
        </w:rPr>
        <w:t xml:space="preserve"> </w:t>
      </w:r>
      <w:r w:rsidR="00A454C4" w:rsidRPr="000911E5">
        <w:t>Výsledky hospodárenia podľa zložiek verejnej správy ako aj rozdiel medzi rozpočtom a skutočnosťou za rok 2019 sú uvedené v tabuľke na strane</w:t>
      </w:r>
      <w:r w:rsidR="000911E5" w:rsidRPr="000911E5">
        <w:t xml:space="preserve"> 20.</w:t>
      </w:r>
      <w:r w:rsidR="006B10B9" w:rsidRPr="000911E5">
        <w:t xml:space="preserve"> </w:t>
      </w:r>
    </w:p>
    <w:p w14:paraId="2851B4FD" w14:textId="77777777" w:rsidR="003635C6" w:rsidRDefault="003635C6">
      <w:pPr>
        <w:spacing w:after="160" w:line="259" w:lineRule="auto"/>
        <w:jc w:val="left"/>
      </w:pPr>
      <w:r>
        <w:br w:type="page"/>
      </w:r>
    </w:p>
    <w:tbl>
      <w:tblPr>
        <w:tblW w:w="8436" w:type="dxa"/>
        <w:tblCellMar>
          <w:left w:w="70" w:type="dxa"/>
          <w:right w:w="70" w:type="dxa"/>
        </w:tblCellMar>
        <w:tblLook w:val="04A0" w:firstRow="1" w:lastRow="0" w:firstColumn="1" w:lastColumn="0" w:noHBand="0" w:noVBand="1"/>
      </w:tblPr>
      <w:tblGrid>
        <w:gridCol w:w="6404"/>
        <w:gridCol w:w="1101"/>
        <w:gridCol w:w="931"/>
      </w:tblGrid>
      <w:tr w:rsidR="00F6147C" w:rsidRPr="00F6147C" w14:paraId="0688A068" w14:textId="77777777" w:rsidTr="00A164E5">
        <w:trPr>
          <w:trHeight w:val="434"/>
        </w:trPr>
        <w:tc>
          <w:tcPr>
            <w:tcW w:w="8436" w:type="dxa"/>
            <w:gridSpan w:val="3"/>
            <w:tcBorders>
              <w:top w:val="nil"/>
              <w:left w:val="nil"/>
              <w:right w:val="nil"/>
            </w:tcBorders>
            <w:shd w:val="clear" w:color="000000" w:fill="000000"/>
            <w:noWrap/>
            <w:vAlign w:val="center"/>
            <w:hideMark/>
          </w:tcPr>
          <w:p w14:paraId="2D112A18" w14:textId="1049E2EA" w:rsidR="00F6147C" w:rsidRPr="00F6147C" w:rsidRDefault="00F6147C" w:rsidP="005E1134">
            <w:pPr>
              <w:spacing w:before="120" w:line="240" w:lineRule="auto"/>
              <w:jc w:val="left"/>
              <w:rPr>
                <w:rFonts w:eastAsia="Times New Roman" w:cs="Times New Roman"/>
                <w:b/>
                <w:bCs/>
                <w:color w:val="FFFFFF"/>
                <w:sz w:val="20"/>
                <w:szCs w:val="20"/>
                <w:lang w:eastAsia="sk-SK"/>
              </w:rPr>
            </w:pPr>
            <w:r w:rsidRPr="00F6147C">
              <w:rPr>
                <w:rFonts w:eastAsia="Times New Roman" w:cs="Times New Roman"/>
                <w:b/>
                <w:bCs/>
                <w:color w:val="FFFFFF"/>
                <w:sz w:val="20"/>
                <w:szCs w:val="20"/>
                <w:lang w:eastAsia="sk-SK"/>
              </w:rPr>
              <w:t xml:space="preserve">Saldo verejnej správy </w:t>
            </w:r>
            <w:r w:rsidR="00161914">
              <w:rPr>
                <w:rFonts w:eastAsia="Times New Roman" w:cs="Times New Roman"/>
                <w:b/>
                <w:bCs/>
                <w:color w:val="FFFFFF"/>
                <w:sz w:val="20"/>
                <w:szCs w:val="20"/>
                <w:lang w:eastAsia="sk-SK"/>
              </w:rPr>
              <w:t>(ESA 2010)</w:t>
            </w:r>
            <w:r w:rsidR="00161914" w:rsidRPr="00F6147C">
              <w:rPr>
                <w:rFonts w:eastAsia="Times New Roman" w:cs="Times New Roman"/>
                <w:b/>
                <w:bCs/>
                <w:color w:val="FFFFFF"/>
                <w:sz w:val="20"/>
                <w:szCs w:val="20"/>
                <w:lang w:eastAsia="sk-SK"/>
              </w:rPr>
              <w:t xml:space="preserve"> </w:t>
            </w:r>
            <w:r w:rsidR="00161914">
              <w:rPr>
                <w:rFonts w:eastAsia="Times New Roman" w:cs="Times New Roman"/>
                <w:b/>
                <w:bCs/>
                <w:color w:val="FFFFFF"/>
                <w:sz w:val="20"/>
                <w:szCs w:val="20"/>
                <w:lang w:eastAsia="sk-SK"/>
              </w:rPr>
              <w:t xml:space="preserve">– rozdiel oproti rozpočtu </w:t>
            </w:r>
            <w:r w:rsidR="00161914" w:rsidRPr="00F6147C">
              <w:rPr>
                <w:rFonts w:eastAsia="Times New Roman" w:cs="Times New Roman"/>
                <w:b/>
                <w:bCs/>
                <w:color w:val="FFFFFF"/>
                <w:sz w:val="20"/>
                <w:szCs w:val="20"/>
                <w:lang w:eastAsia="sk-SK"/>
              </w:rPr>
              <w:t xml:space="preserve">    </w:t>
            </w:r>
            <w:r w:rsidR="00161914">
              <w:rPr>
                <w:rFonts w:eastAsia="Times New Roman" w:cs="Times New Roman"/>
                <w:b/>
                <w:bCs/>
                <w:color w:val="FFFFFF"/>
                <w:sz w:val="20"/>
                <w:szCs w:val="20"/>
                <w:lang w:eastAsia="sk-SK"/>
              </w:rPr>
              <w:t xml:space="preserve">     </w:t>
            </w:r>
            <w:r w:rsidR="00161914" w:rsidRPr="00F6147C">
              <w:rPr>
                <w:rFonts w:eastAsia="Times New Roman" w:cs="Times New Roman"/>
                <w:b/>
                <w:bCs/>
                <w:color w:val="FFFFFF"/>
                <w:sz w:val="20"/>
                <w:szCs w:val="20"/>
                <w:lang w:eastAsia="sk-SK"/>
              </w:rPr>
              <w:t xml:space="preserve">    </w:t>
            </w:r>
            <w:r w:rsidRPr="00F6147C">
              <w:rPr>
                <w:rFonts w:eastAsia="Times New Roman" w:cs="Times New Roman"/>
                <w:b/>
                <w:bCs/>
                <w:color w:val="FFFFFF"/>
                <w:sz w:val="20"/>
                <w:szCs w:val="20"/>
                <w:lang w:eastAsia="sk-SK"/>
              </w:rPr>
              <w:t xml:space="preserve">       </w:t>
            </w:r>
            <w:r w:rsidR="00161914">
              <w:rPr>
                <w:rFonts w:eastAsia="Times New Roman" w:cs="Times New Roman"/>
                <w:b/>
                <w:bCs/>
                <w:color w:val="FFFFFF"/>
                <w:sz w:val="20"/>
                <w:szCs w:val="20"/>
                <w:lang w:eastAsia="sk-SK"/>
              </w:rPr>
              <w:t xml:space="preserve">  </w:t>
            </w:r>
            <w:r w:rsidR="004E3D66">
              <w:rPr>
                <w:rFonts w:eastAsia="Times New Roman" w:cs="Times New Roman"/>
                <w:b/>
                <w:bCs/>
                <w:color w:val="FFFFFF"/>
                <w:sz w:val="20"/>
                <w:szCs w:val="20"/>
                <w:lang w:eastAsia="sk-SK"/>
              </w:rPr>
              <w:t xml:space="preserve">                      </w:t>
            </w:r>
            <w:r w:rsidR="00161914">
              <w:rPr>
                <w:rFonts w:eastAsia="Times New Roman" w:cs="Times New Roman"/>
                <w:b/>
                <w:bCs/>
                <w:color w:val="FFFFFF"/>
                <w:sz w:val="20"/>
                <w:szCs w:val="20"/>
                <w:lang w:eastAsia="sk-SK"/>
              </w:rPr>
              <w:t xml:space="preserve"> </w:t>
            </w:r>
            <w:r w:rsidRPr="00F6147C">
              <w:rPr>
                <w:rFonts w:eastAsia="Times New Roman" w:cs="Times New Roman"/>
                <w:b/>
                <w:bCs/>
                <w:color w:val="FFFFFF"/>
                <w:sz w:val="20"/>
                <w:szCs w:val="20"/>
                <w:lang w:eastAsia="sk-SK"/>
              </w:rPr>
              <w:t xml:space="preserve">v  tis. eur                                                                 </w:t>
            </w:r>
          </w:p>
        </w:tc>
      </w:tr>
      <w:tr w:rsidR="00F6147C" w:rsidRPr="00F6147C" w14:paraId="40F2F22F" w14:textId="77777777" w:rsidTr="00F6147C">
        <w:trPr>
          <w:trHeight w:val="330"/>
        </w:trPr>
        <w:tc>
          <w:tcPr>
            <w:tcW w:w="6404" w:type="dxa"/>
            <w:tcBorders>
              <w:top w:val="nil"/>
              <w:left w:val="nil"/>
              <w:bottom w:val="nil"/>
              <w:right w:val="nil"/>
            </w:tcBorders>
            <w:shd w:val="clear" w:color="000000" w:fill="BFBFBF"/>
            <w:noWrap/>
            <w:vAlign w:val="center"/>
            <w:hideMark/>
          </w:tcPr>
          <w:p w14:paraId="427E6669" w14:textId="77777777" w:rsidR="00F6147C" w:rsidRPr="00F6147C" w:rsidRDefault="00F6147C" w:rsidP="00F6147C">
            <w:pPr>
              <w:spacing w:after="0" w:line="240" w:lineRule="auto"/>
              <w:jc w:val="lef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 </w:t>
            </w:r>
          </w:p>
        </w:tc>
        <w:tc>
          <w:tcPr>
            <w:tcW w:w="1101" w:type="dxa"/>
            <w:tcBorders>
              <w:top w:val="nil"/>
              <w:left w:val="nil"/>
              <w:bottom w:val="nil"/>
              <w:right w:val="nil"/>
            </w:tcBorders>
            <w:shd w:val="clear" w:color="000000" w:fill="BFBFBF"/>
            <w:noWrap/>
            <w:vAlign w:val="center"/>
            <w:hideMark/>
          </w:tcPr>
          <w:p w14:paraId="062B9F91" w14:textId="77777777" w:rsidR="00F6147C" w:rsidRPr="00F6147C" w:rsidRDefault="00F6147C" w:rsidP="00F6147C">
            <w:pPr>
              <w:spacing w:after="0" w:line="240" w:lineRule="auto"/>
              <w:jc w:val="center"/>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2019</w:t>
            </w:r>
          </w:p>
        </w:tc>
        <w:tc>
          <w:tcPr>
            <w:tcW w:w="931" w:type="dxa"/>
            <w:vMerge w:val="restart"/>
            <w:tcBorders>
              <w:top w:val="nil"/>
              <w:left w:val="nil"/>
              <w:bottom w:val="nil"/>
              <w:right w:val="nil"/>
            </w:tcBorders>
            <w:shd w:val="clear" w:color="000000" w:fill="BFBFBF"/>
            <w:vAlign w:val="center"/>
            <w:hideMark/>
          </w:tcPr>
          <w:p w14:paraId="529533D9" w14:textId="77777777" w:rsidR="00F6147C" w:rsidRPr="00F6147C" w:rsidRDefault="00F6147C" w:rsidP="00F6147C">
            <w:pPr>
              <w:spacing w:after="0" w:line="240" w:lineRule="auto"/>
              <w:jc w:val="center"/>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Rozdiel</w:t>
            </w:r>
            <w:r w:rsidRPr="00F6147C">
              <w:rPr>
                <w:rFonts w:eastAsia="Times New Roman" w:cs="Times New Roman"/>
                <w:b/>
                <w:bCs/>
                <w:color w:val="000000"/>
                <w:sz w:val="20"/>
                <w:szCs w:val="20"/>
                <w:lang w:eastAsia="sk-SK"/>
              </w:rPr>
              <w:br/>
              <w:t>(% HDP)</w:t>
            </w:r>
          </w:p>
        </w:tc>
      </w:tr>
      <w:tr w:rsidR="00F6147C" w:rsidRPr="00F6147C" w14:paraId="5F7682BE" w14:textId="77777777" w:rsidTr="00A164E5">
        <w:trPr>
          <w:trHeight w:val="276"/>
        </w:trPr>
        <w:tc>
          <w:tcPr>
            <w:tcW w:w="6404" w:type="dxa"/>
            <w:tcBorders>
              <w:top w:val="nil"/>
              <w:left w:val="nil"/>
              <w:bottom w:val="single" w:sz="4" w:space="0" w:color="auto"/>
              <w:right w:val="nil"/>
            </w:tcBorders>
            <w:shd w:val="clear" w:color="000000" w:fill="BFBFBF"/>
            <w:noWrap/>
            <w:vAlign w:val="center"/>
            <w:hideMark/>
          </w:tcPr>
          <w:p w14:paraId="4341D38F" w14:textId="77777777" w:rsidR="00F6147C" w:rsidRPr="00F6147C" w:rsidRDefault="00F6147C" w:rsidP="00F6147C">
            <w:pPr>
              <w:spacing w:after="0" w:line="240" w:lineRule="auto"/>
              <w:jc w:val="lef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 </w:t>
            </w:r>
          </w:p>
        </w:tc>
        <w:tc>
          <w:tcPr>
            <w:tcW w:w="1101" w:type="dxa"/>
            <w:tcBorders>
              <w:top w:val="nil"/>
              <w:left w:val="nil"/>
              <w:bottom w:val="single" w:sz="4" w:space="0" w:color="auto"/>
              <w:right w:val="nil"/>
            </w:tcBorders>
            <w:shd w:val="clear" w:color="000000" w:fill="BFBFBF"/>
            <w:noWrap/>
            <w:vAlign w:val="center"/>
            <w:hideMark/>
          </w:tcPr>
          <w:p w14:paraId="4F5DF0A9" w14:textId="77777777" w:rsidR="00F6147C" w:rsidRPr="00F6147C" w:rsidRDefault="00F6147C" w:rsidP="00F6147C">
            <w:pPr>
              <w:spacing w:after="0" w:line="240" w:lineRule="auto"/>
              <w:jc w:val="center"/>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(S - R)</w:t>
            </w:r>
          </w:p>
        </w:tc>
        <w:tc>
          <w:tcPr>
            <w:tcW w:w="931" w:type="dxa"/>
            <w:vMerge/>
            <w:tcBorders>
              <w:top w:val="nil"/>
              <w:left w:val="nil"/>
              <w:bottom w:val="single" w:sz="4" w:space="0" w:color="auto"/>
              <w:right w:val="nil"/>
            </w:tcBorders>
            <w:vAlign w:val="center"/>
            <w:hideMark/>
          </w:tcPr>
          <w:p w14:paraId="61E669D2" w14:textId="77777777" w:rsidR="00F6147C" w:rsidRPr="00F6147C" w:rsidRDefault="00F6147C" w:rsidP="00F6147C">
            <w:pPr>
              <w:spacing w:after="0" w:line="240" w:lineRule="auto"/>
              <w:jc w:val="left"/>
              <w:rPr>
                <w:rFonts w:eastAsia="Times New Roman" w:cs="Times New Roman"/>
                <w:b/>
                <w:bCs/>
                <w:color w:val="000000"/>
                <w:sz w:val="20"/>
                <w:szCs w:val="20"/>
                <w:lang w:eastAsia="sk-SK"/>
              </w:rPr>
            </w:pPr>
          </w:p>
        </w:tc>
      </w:tr>
      <w:tr w:rsidR="00F6147C" w:rsidRPr="00F6147C" w14:paraId="49FC3DD5" w14:textId="77777777" w:rsidTr="00A164E5">
        <w:trPr>
          <w:trHeight w:val="276"/>
        </w:trPr>
        <w:tc>
          <w:tcPr>
            <w:tcW w:w="6404" w:type="dxa"/>
            <w:tcBorders>
              <w:top w:val="single" w:sz="4" w:space="0" w:color="auto"/>
              <w:left w:val="nil"/>
              <w:bottom w:val="nil"/>
              <w:right w:val="nil"/>
            </w:tcBorders>
            <w:shd w:val="clear" w:color="auto" w:fill="auto"/>
            <w:noWrap/>
            <w:vAlign w:val="center"/>
            <w:hideMark/>
          </w:tcPr>
          <w:p w14:paraId="60828A9D" w14:textId="35035686" w:rsidR="00F6147C" w:rsidRPr="00F6147C" w:rsidRDefault="00F6147C" w:rsidP="00F6147C">
            <w:pPr>
              <w:spacing w:after="0" w:line="240" w:lineRule="auto"/>
              <w:jc w:val="lef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 xml:space="preserve">Saldo verejnej správy </w:t>
            </w:r>
            <w:r w:rsidR="00E41BA4">
              <w:rPr>
                <w:rFonts w:eastAsia="Times New Roman" w:cs="Times New Roman"/>
                <w:b/>
                <w:bCs/>
                <w:color w:val="000000"/>
                <w:sz w:val="20"/>
                <w:szCs w:val="20"/>
                <w:lang w:eastAsia="sk-SK"/>
              </w:rPr>
              <w:t>–</w:t>
            </w:r>
            <w:r w:rsidRPr="00F6147C">
              <w:rPr>
                <w:rFonts w:eastAsia="Times New Roman" w:cs="Times New Roman"/>
                <w:b/>
                <w:bCs/>
                <w:color w:val="000000"/>
                <w:sz w:val="20"/>
                <w:szCs w:val="20"/>
                <w:lang w:eastAsia="sk-SK"/>
              </w:rPr>
              <w:t xml:space="preserve"> rozpočet </w:t>
            </w:r>
          </w:p>
        </w:tc>
        <w:tc>
          <w:tcPr>
            <w:tcW w:w="1101" w:type="dxa"/>
            <w:tcBorders>
              <w:top w:val="single" w:sz="4" w:space="0" w:color="auto"/>
              <w:left w:val="nil"/>
              <w:bottom w:val="nil"/>
              <w:right w:val="nil"/>
            </w:tcBorders>
            <w:shd w:val="clear" w:color="auto" w:fill="auto"/>
            <w:noWrap/>
            <w:vAlign w:val="center"/>
            <w:hideMark/>
          </w:tcPr>
          <w:p w14:paraId="0B0C8FD7" w14:textId="77777777" w:rsidR="00F6147C" w:rsidRPr="00F6147C" w:rsidRDefault="00F6147C" w:rsidP="00F6147C">
            <w:pPr>
              <w:spacing w:after="0" w:line="240" w:lineRule="auto"/>
              <w:jc w:val="righ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0</w:t>
            </w:r>
          </w:p>
        </w:tc>
        <w:tc>
          <w:tcPr>
            <w:tcW w:w="931" w:type="dxa"/>
            <w:tcBorders>
              <w:top w:val="single" w:sz="4" w:space="0" w:color="auto"/>
              <w:left w:val="nil"/>
              <w:bottom w:val="nil"/>
              <w:right w:val="nil"/>
            </w:tcBorders>
            <w:shd w:val="clear" w:color="auto" w:fill="auto"/>
            <w:noWrap/>
            <w:vAlign w:val="center"/>
            <w:hideMark/>
          </w:tcPr>
          <w:p w14:paraId="7BF6E6AC" w14:textId="3A3BC07D" w:rsidR="00F6147C" w:rsidRPr="00F6147C" w:rsidRDefault="00F6147C" w:rsidP="00E41BA4">
            <w:pPr>
              <w:spacing w:after="0" w:line="240" w:lineRule="auto"/>
              <w:jc w:val="righ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-0,</w:t>
            </w:r>
            <w:r w:rsidR="00E41BA4">
              <w:rPr>
                <w:rFonts w:eastAsia="Times New Roman" w:cs="Times New Roman"/>
                <w:b/>
                <w:bCs/>
                <w:color w:val="000000"/>
                <w:sz w:val="20"/>
                <w:szCs w:val="20"/>
                <w:lang w:eastAsia="sk-SK"/>
              </w:rPr>
              <w:t>00</w:t>
            </w:r>
          </w:p>
        </w:tc>
      </w:tr>
      <w:tr w:rsidR="00F6147C" w:rsidRPr="00BB3555" w14:paraId="1C660B11" w14:textId="77777777" w:rsidTr="00F6147C">
        <w:trPr>
          <w:trHeight w:val="276"/>
        </w:trPr>
        <w:tc>
          <w:tcPr>
            <w:tcW w:w="6404" w:type="dxa"/>
            <w:tcBorders>
              <w:top w:val="nil"/>
              <w:left w:val="nil"/>
              <w:bottom w:val="nil"/>
              <w:right w:val="nil"/>
            </w:tcBorders>
            <w:shd w:val="clear" w:color="auto" w:fill="auto"/>
            <w:noWrap/>
            <w:vAlign w:val="bottom"/>
            <w:hideMark/>
          </w:tcPr>
          <w:p w14:paraId="6CDCFD34" w14:textId="77777777" w:rsidR="00F6147C" w:rsidRPr="00BB3555" w:rsidRDefault="00F6147C" w:rsidP="00F6147C">
            <w:pPr>
              <w:spacing w:after="0" w:line="240" w:lineRule="auto"/>
              <w:jc w:val="left"/>
              <w:rPr>
                <w:rFonts w:eastAsia="Times New Roman" w:cs="Times New Roman"/>
                <w:b/>
                <w:color w:val="000000"/>
                <w:sz w:val="20"/>
                <w:szCs w:val="20"/>
                <w:lang w:eastAsia="sk-SK"/>
              </w:rPr>
            </w:pPr>
            <w:r w:rsidRPr="00BB3555">
              <w:rPr>
                <w:rFonts w:eastAsia="Times New Roman" w:cs="Times New Roman"/>
                <w:b/>
                <w:color w:val="000000"/>
                <w:sz w:val="20"/>
                <w:szCs w:val="20"/>
                <w:lang w:eastAsia="sk-SK"/>
              </w:rPr>
              <w:t xml:space="preserve">   1. Daňové a odvodové príjmy verejnej správy</w:t>
            </w:r>
          </w:p>
        </w:tc>
        <w:tc>
          <w:tcPr>
            <w:tcW w:w="1101" w:type="dxa"/>
            <w:tcBorders>
              <w:top w:val="nil"/>
              <w:left w:val="nil"/>
              <w:bottom w:val="nil"/>
              <w:right w:val="nil"/>
            </w:tcBorders>
            <w:shd w:val="clear" w:color="auto" w:fill="auto"/>
            <w:noWrap/>
            <w:vAlign w:val="center"/>
            <w:hideMark/>
          </w:tcPr>
          <w:p w14:paraId="74EA9226" w14:textId="77777777" w:rsidR="00F6147C" w:rsidRPr="00C01F52" w:rsidRDefault="00F6147C" w:rsidP="00F6147C">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883 682</w:t>
            </w:r>
          </w:p>
        </w:tc>
        <w:tc>
          <w:tcPr>
            <w:tcW w:w="931" w:type="dxa"/>
            <w:tcBorders>
              <w:top w:val="nil"/>
              <w:left w:val="nil"/>
              <w:bottom w:val="nil"/>
              <w:right w:val="nil"/>
            </w:tcBorders>
            <w:shd w:val="clear" w:color="auto" w:fill="auto"/>
            <w:noWrap/>
            <w:vAlign w:val="center"/>
            <w:hideMark/>
          </w:tcPr>
          <w:p w14:paraId="65F5A920"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0,94</w:t>
            </w:r>
          </w:p>
        </w:tc>
      </w:tr>
      <w:tr w:rsidR="00F6147C" w:rsidRPr="00F6147C" w14:paraId="453F75CD" w14:textId="77777777" w:rsidTr="00F6147C">
        <w:trPr>
          <w:trHeight w:val="276"/>
        </w:trPr>
        <w:tc>
          <w:tcPr>
            <w:tcW w:w="6404" w:type="dxa"/>
            <w:tcBorders>
              <w:top w:val="nil"/>
              <w:left w:val="nil"/>
              <w:bottom w:val="nil"/>
              <w:right w:val="nil"/>
            </w:tcBorders>
            <w:shd w:val="clear" w:color="auto" w:fill="auto"/>
            <w:noWrap/>
            <w:vAlign w:val="center"/>
            <w:hideMark/>
          </w:tcPr>
          <w:p w14:paraId="11C347DF" w14:textId="77777777" w:rsidR="00F6147C" w:rsidRPr="000911E5" w:rsidRDefault="00F6147C" w:rsidP="00F6147C">
            <w:pPr>
              <w:spacing w:after="0" w:line="240" w:lineRule="auto"/>
              <w:ind w:firstLineChars="200" w:firstLine="400"/>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daňové príjmy</w:t>
            </w:r>
          </w:p>
        </w:tc>
        <w:tc>
          <w:tcPr>
            <w:tcW w:w="1101" w:type="dxa"/>
            <w:tcBorders>
              <w:top w:val="nil"/>
              <w:left w:val="nil"/>
              <w:bottom w:val="nil"/>
              <w:right w:val="nil"/>
            </w:tcBorders>
            <w:shd w:val="clear" w:color="auto" w:fill="auto"/>
            <w:noWrap/>
            <w:vAlign w:val="center"/>
            <w:hideMark/>
          </w:tcPr>
          <w:p w14:paraId="0BA8EE70"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529 428</w:t>
            </w:r>
          </w:p>
        </w:tc>
        <w:tc>
          <w:tcPr>
            <w:tcW w:w="931" w:type="dxa"/>
            <w:tcBorders>
              <w:top w:val="nil"/>
              <w:left w:val="nil"/>
              <w:bottom w:val="nil"/>
              <w:right w:val="nil"/>
            </w:tcBorders>
            <w:shd w:val="clear" w:color="auto" w:fill="auto"/>
            <w:noWrap/>
            <w:vAlign w:val="center"/>
            <w:hideMark/>
          </w:tcPr>
          <w:p w14:paraId="6ACFE98B"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0,56</w:t>
            </w:r>
          </w:p>
        </w:tc>
      </w:tr>
      <w:tr w:rsidR="00F6147C" w:rsidRPr="00F6147C" w14:paraId="359E3FED" w14:textId="77777777" w:rsidTr="00F6147C">
        <w:trPr>
          <w:trHeight w:val="276"/>
        </w:trPr>
        <w:tc>
          <w:tcPr>
            <w:tcW w:w="6404" w:type="dxa"/>
            <w:tcBorders>
              <w:top w:val="nil"/>
              <w:left w:val="nil"/>
              <w:bottom w:val="nil"/>
              <w:right w:val="nil"/>
            </w:tcBorders>
            <w:shd w:val="clear" w:color="auto" w:fill="auto"/>
            <w:noWrap/>
            <w:vAlign w:val="center"/>
            <w:hideMark/>
          </w:tcPr>
          <w:p w14:paraId="2E972080"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z toho: imputácia daňových príjmov za zelenú energiu</w:t>
            </w:r>
          </w:p>
        </w:tc>
        <w:tc>
          <w:tcPr>
            <w:tcW w:w="1101" w:type="dxa"/>
            <w:tcBorders>
              <w:top w:val="nil"/>
              <w:left w:val="nil"/>
              <w:bottom w:val="nil"/>
              <w:right w:val="nil"/>
            </w:tcBorders>
            <w:shd w:val="clear" w:color="auto" w:fill="auto"/>
            <w:noWrap/>
            <w:vAlign w:val="center"/>
            <w:hideMark/>
          </w:tcPr>
          <w:p w14:paraId="76C69EF8"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563 304</w:t>
            </w:r>
          </w:p>
        </w:tc>
        <w:tc>
          <w:tcPr>
            <w:tcW w:w="931" w:type="dxa"/>
            <w:tcBorders>
              <w:top w:val="nil"/>
              <w:left w:val="nil"/>
              <w:bottom w:val="nil"/>
              <w:right w:val="nil"/>
            </w:tcBorders>
            <w:shd w:val="clear" w:color="auto" w:fill="auto"/>
            <w:noWrap/>
            <w:vAlign w:val="center"/>
            <w:hideMark/>
          </w:tcPr>
          <w:p w14:paraId="3CCD9372"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0,60</w:t>
            </w:r>
          </w:p>
        </w:tc>
      </w:tr>
      <w:tr w:rsidR="00F6147C" w:rsidRPr="00F6147C" w14:paraId="64B22CCD" w14:textId="77777777" w:rsidTr="00F6147C">
        <w:trPr>
          <w:trHeight w:val="276"/>
        </w:trPr>
        <w:tc>
          <w:tcPr>
            <w:tcW w:w="6404" w:type="dxa"/>
            <w:tcBorders>
              <w:top w:val="nil"/>
              <w:left w:val="nil"/>
              <w:bottom w:val="nil"/>
              <w:right w:val="nil"/>
            </w:tcBorders>
            <w:shd w:val="clear" w:color="auto" w:fill="auto"/>
            <w:noWrap/>
            <w:vAlign w:val="center"/>
            <w:hideMark/>
          </w:tcPr>
          <w:p w14:paraId="130733D4" w14:textId="77777777" w:rsidR="00F6147C" w:rsidRPr="000911E5" w:rsidRDefault="00F6147C" w:rsidP="00F6147C">
            <w:pPr>
              <w:spacing w:after="0" w:line="240" w:lineRule="auto"/>
              <w:ind w:firstLineChars="200" w:firstLine="400"/>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odvodové príjmy</w:t>
            </w:r>
          </w:p>
        </w:tc>
        <w:tc>
          <w:tcPr>
            <w:tcW w:w="1101" w:type="dxa"/>
            <w:tcBorders>
              <w:top w:val="nil"/>
              <w:left w:val="nil"/>
              <w:bottom w:val="nil"/>
              <w:right w:val="nil"/>
            </w:tcBorders>
            <w:shd w:val="clear" w:color="auto" w:fill="auto"/>
            <w:noWrap/>
            <w:vAlign w:val="center"/>
            <w:hideMark/>
          </w:tcPr>
          <w:p w14:paraId="165BFF7F" w14:textId="77777777" w:rsidR="00F6147C" w:rsidRPr="000911E5" w:rsidRDefault="00F6147C" w:rsidP="00F6147C">
            <w:pPr>
              <w:spacing w:after="0" w:line="240" w:lineRule="auto"/>
              <w:jc w:val="right"/>
              <w:rPr>
                <w:rFonts w:eastAsia="Times New Roman" w:cs="Times New Roman"/>
                <w:sz w:val="20"/>
                <w:szCs w:val="20"/>
                <w:lang w:eastAsia="sk-SK"/>
              </w:rPr>
            </w:pPr>
            <w:r w:rsidRPr="000911E5">
              <w:rPr>
                <w:rFonts w:eastAsia="Times New Roman" w:cs="Times New Roman"/>
                <w:sz w:val="20"/>
                <w:szCs w:val="20"/>
                <w:lang w:eastAsia="sk-SK"/>
              </w:rPr>
              <w:t>354 254</w:t>
            </w:r>
          </w:p>
        </w:tc>
        <w:tc>
          <w:tcPr>
            <w:tcW w:w="931" w:type="dxa"/>
            <w:tcBorders>
              <w:top w:val="nil"/>
              <w:left w:val="nil"/>
              <w:bottom w:val="nil"/>
              <w:right w:val="nil"/>
            </w:tcBorders>
            <w:shd w:val="clear" w:color="auto" w:fill="auto"/>
            <w:noWrap/>
            <w:vAlign w:val="center"/>
            <w:hideMark/>
          </w:tcPr>
          <w:p w14:paraId="62655672"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0,38</w:t>
            </w:r>
          </w:p>
        </w:tc>
      </w:tr>
      <w:tr w:rsidR="00F6147C" w:rsidRPr="00BB3555" w14:paraId="3EDB5B8D" w14:textId="77777777" w:rsidTr="00F6147C">
        <w:trPr>
          <w:trHeight w:val="276"/>
        </w:trPr>
        <w:tc>
          <w:tcPr>
            <w:tcW w:w="6404" w:type="dxa"/>
            <w:tcBorders>
              <w:top w:val="nil"/>
              <w:left w:val="nil"/>
              <w:bottom w:val="nil"/>
              <w:right w:val="nil"/>
            </w:tcBorders>
            <w:shd w:val="clear" w:color="auto" w:fill="auto"/>
            <w:noWrap/>
            <w:vAlign w:val="center"/>
            <w:hideMark/>
          </w:tcPr>
          <w:p w14:paraId="226DA910" w14:textId="77777777" w:rsidR="00F6147C" w:rsidRPr="000911E5" w:rsidRDefault="00F6147C" w:rsidP="00F6147C">
            <w:pPr>
              <w:spacing w:after="0" w:line="240" w:lineRule="auto"/>
              <w:jc w:val="left"/>
              <w:rPr>
                <w:rFonts w:eastAsia="Times New Roman" w:cs="Times New Roman"/>
                <w:b/>
                <w:color w:val="000000"/>
                <w:sz w:val="20"/>
                <w:szCs w:val="20"/>
                <w:lang w:eastAsia="sk-SK"/>
              </w:rPr>
            </w:pPr>
            <w:r w:rsidRPr="000911E5">
              <w:rPr>
                <w:rFonts w:eastAsia="Times New Roman" w:cs="Times New Roman"/>
                <w:b/>
                <w:color w:val="000000"/>
                <w:sz w:val="20"/>
                <w:szCs w:val="20"/>
                <w:lang w:eastAsia="sk-SK"/>
              </w:rPr>
              <w:t xml:space="preserve">   2. Vplyv iných ako daňových príjmov štátneho rozpočtu</w:t>
            </w:r>
          </w:p>
        </w:tc>
        <w:tc>
          <w:tcPr>
            <w:tcW w:w="1101" w:type="dxa"/>
            <w:tcBorders>
              <w:top w:val="nil"/>
              <w:left w:val="nil"/>
              <w:bottom w:val="nil"/>
              <w:right w:val="nil"/>
            </w:tcBorders>
            <w:shd w:val="clear" w:color="auto" w:fill="auto"/>
            <w:noWrap/>
            <w:vAlign w:val="center"/>
            <w:hideMark/>
          </w:tcPr>
          <w:p w14:paraId="63FB9690" w14:textId="77777777" w:rsidR="00F6147C" w:rsidRPr="00C01F52" w:rsidRDefault="00F6147C" w:rsidP="00F6147C">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885 639</w:t>
            </w:r>
          </w:p>
        </w:tc>
        <w:tc>
          <w:tcPr>
            <w:tcW w:w="931" w:type="dxa"/>
            <w:tcBorders>
              <w:top w:val="nil"/>
              <w:left w:val="nil"/>
              <w:bottom w:val="nil"/>
              <w:right w:val="nil"/>
            </w:tcBorders>
            <w:shd w:val="clear" w:color="auto" w:fill="auto"/>
            <w:noWrap/>
            <w:vAlign w:val="center"/>
            <w:hideMark/>
          </w:tcPr>
          <w:p w14:paraId="45CC04A7"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0,94</w:t>
            </w:r>
          </w:p>
        </w:tc>
      </w:tr>
      <w:tr w:rsidR="00F6147C" w:rsidRPr="00F6147C" w14:paraId="20B3BDE8" w14:textId="77777777" w:rsidTr="00F6147C">
        <w:trPr>
          <w:trHeight w:val="276"/>
        </w:trPr>
        <w:tc>
          <w:tcPr>
            <w:tcW w:w="6404" w:type="dxa"/>
            <w:tcBorders>
              <w:top w:val="nil"/>
              <w:left w:val="nil"/>
              <w:bottom w:val="nil"/>
              <w:right w:val="nil"/>
            </w:tcBorders>
            <w:shd w:val="clear" w:color="auto" w:fill="auto"/>
            <w:vAlign w:val="center"/>
            <w:hideMark/>
          </w:tcPr>
          <w:p w14:paraId="005404BF"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príjmy z dividend a z odvodov zo zisku (vrátane časového rozlíšenia)</w:t>
            </w:r>
          </w:p>
        </w:tc>
        <w:tc>
          <w:tcPr>
            <w:tcW w:w="1101" w:type="dxa"/>
            <w:tcBorders>
              <w:top w:val="nil"/>
              <w:left w:val="nil"/>
              <w:bottom w:val="nil"/>
              <w:right w:val="nil"/>
            </w:tcBorders>
            <w:shd w:val="clear" w:color="auto" w:fill="auto"/>
            <w:noWrap/>
            <w:vAlign w:val="center"/>
            <w:hideMark/>
          </w:tcPr>
          <w:p w14:paraId="3246C2AB"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-139 873</w:t>
            </w:r>
          </w:p>
        </w:tc>
        <w:tc>
          <w:tcPr>
            <w:tcW w:w="931" w:type="dxa"/>
            <w:tcBorders>
              <w:top w:val="nil"/>
              <w:left w:val="nil"/>
              <w:bottom w:val="nil"/>
              <w:right w:val="nil"/>
            </w:tcBorders>
            <w:shd w:val="clear" w:color="auto" w:fill="auto"/>
            <w:noWrap/>
            <w:vAlign w:val="center"/>
            <w:hideMark/>
          </w:tcPr>
          <w:p w14:paraId="5FA6E533"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-0,15</w:t>
            </w:r>
          </w:p>
        </w:tc>
      </w:tr>
      <w:tr w:rsidR="00F6147C" w:rsidRPr="00F6147C" w14:paraId="0F388207" w14:textId="77777777" w:rsidTr="00F6147C">
        <w:trPr>
          <w:trHeight w:val="276"/>
        </w:trPr>
        <w:tc>
          <w:tcPr>
            <w:tcW w:w="6404" w:type="dxa"/>
            <w:tcBorders>
              <w:top w:val="nil"/>
              <w:left w:val="nil"/>
              <w:bottom w:val="nil"/>
              <w:right w:val="nil"/>
            </w:tcBorders>
            <w:shd w:val="clear" w:color="auto" w:fill="auto"/>
            <w:noWrap/>
            <w:vAlign w:val="center"/>
            <w:hideMark/>
          </w:tcPr>
          <w:p w14:paraId="2A8921BC"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zmena stavu pohľadávok</w:t>
            </w:r>
          </w:p>
        </w:tc>
        <w:tc>
          <w:tcPr>
            <w:tcW w:w="1101" w:type="dxa"/>
            <w:tcBorders>
              <w:top w:val="nil"/>
              <w:left w:val="nil"/>
              <w:bottom w:val="nil"/>
              <w:right w:val="nil"/>
            </w:tcBorders>
            <w:shd w:val="clear" w:color="auto" w:fill="auto"/>
            <w:noWrap/>
            <w:vAlign w:val="center"/>
            <w:hideMark/>
          </w:tcPr>
          <w:p w14:paraId="69DFE277"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503 448</w:t>
            </w:r>
          </w:p>
        </w:tc>
        <w:tc>
          <w:tcPr>
            <w:tcW w:w="931" w:type="dxa"/>
            <w:tcBorders>
              <w:top w:val="nil"/>
              <w:left w:val="nil"/>
              <w:bottom w:val="nil"/>
              <w:right w:val="nil"/>
            </w:tcBorders>
            <w:shd w:val="clear" w:color="auto" w:fill="auto"/>
            <w:noWrap/>
            <w:vAlign w:val="center"/>
            <w:hideMark/>
          </w:tcPr>
          <w:p w14:paraId="4CFFDFC6"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0,53</w:t>
            </w:r>
          </w:p>
        </w:tc>
      </w:tr>
      <w:tr w:rsidR="00F6147C" w:rsidRPr="00F6147C" w14:paraId="6B178351" w14:textId="77777777" w:rsidTr="00F6147C">
        <w:trPr>
          <w:trHeight w:val="276"/>
        </w:trPr>
        <w:tc>
          <w:tcPr>
            <w:tcW w:w="6404" w:type="dxa"/>
            <w:tcBorders>
              <w:top w:val="nil"/>
              <w:left w:val="nil"/>
              <w:bottom w:val="nil"/>
              <w:right w:val="nil"/>
            </w:tcBorders>
            <w:shd w:val="clear" w:color="auto" w:fill="auto"/>
            <w:noWrap/>
            <w:vAlign w:val="center"/>
            <w:hideMark/>
          </w:tcPr>
          <w:p w14:paraId="05E10AE2"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ostatné</w:t>
            </w:r>
          </w:p>
        </w:tc>
        <w:tc>
          <w:tcPr>
            <w:tcW w:w="1101" w:type="dxa"/>
            <w:tcBorders>
              <w:top w:val="nil"/>
              <w:left w:val="nil"/>
              <w:bottom w:val="nil"/>
              <w:right w:val="nil"/>
            </w:tcBorders>
            <w:shd w:val="clear" w:color="auto" w:fill="auto"/>
            <w:noWrap/>
            <w:vAlign w:val="center"/>
            <w:hideMark/>
          </w:tcPr>
          <w:p w14:paraId="256B2664"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99 908</w:t>
            </w:r>
          </w:p>
        </w:tc>
        <w:tc>
          <w:tcPr>
            <w:tcW w:w="931" w:type="dxa"/>
            <w:tcBorders>
              <w:top w:val="nil"/>
              <w:left w:val="nil"/>
              <w:bottom w:val="nil"/>
              <w:right w:val="nil"/>
            </w:tcBorders>
            <w:shd w:val="clear" w:color="auto" w:fill="auto"/>
            <w:noWrap/>
            <w:vAlign w:val="center"/>
            <w:hideMark/>
          </w:tcPr>
          <w:p w14:paraId="1AAC9D34"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0,11</w:t>
            </w:r>
          </w:p>
        </w:tc>
      </w:tr>
      <w:tr w:rsidR="00F6147C" w:rsidRPr="00F6147C" w14:paraId="0AD34428" w14:textId="77777777" w:rsidTr="00F6147C">
        <w:trPr>
          <w:trHeight w:val="276"/>
        </w:trPr>
        <w:tc>
          <w:tcPr>
            <w:tcW w:w="6404" w:type="dxa"/>
            <w:tcBorders>
              <w:top w:val="nil"/>
              <w:left w:val="nil"/>
              <w:bottom w:val="nil"/>
              <w:right w:val="nil"/>
            </w:tcBorders>
            <w:shd w:val="clear" w:color="auto" w:fill="auto"/>
            <w:noWrap/>
            <w:vAlign w:val="center"/>
            <w:hideMark/>
          </w:tcPr>
          <w:p w14:paraId="0015B9CF"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EÚ príjmy</w:t>
            </w:r>
          </w:p>
        </w:tc>
        <w:tc>
          <w:tcPr>
            <w:tcW w:w="1101" w:type="dxa"/>
            <w:tcBorders>
              <w:top w:val="nil"/>
              <w:left w:val="nil"/>
              <w:bottom w:val="nil"/>
              <w:right w:val="nil"/>
            </w:tcBorders>
            <w:shd w:val="clear" w:color="auto" w:fill="auto"/>
            <w:noWrap/>
            <w:vAlign w:val="center"/>
            <w:hideMark/>
          </w:tcPr>
          <w:p w14:paraId="5C85E595"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422 156</w:t>
            </w:r>
          </w:p>
        </w:tc>
        <w:tc>
          <w:tcPr>
            <w:tcW w:w="931" w:type="dxa"/>
            <w:tcBorders>
              <w:top w:val="nil"/>
              <w:left w:val="nil"/>
              <w:bottom w:val="nil"/>
              <w:right w:val="nil"/>
            </w:tcBorders>
            <w:shd w:val="clear" w:color="auto" w:fill="auto"/>
            <w:noWrap/>
            <w:vAlign w:val="center"/>
            <w:hideMark/>
          </w:tcPr>
          <w:p w14:paraId="17C5657E"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0,45</w:t>
            </w:r>
          </w:p>
        </w:tc>
      </w:tr>
      <w:tr w:rsidR="00F6147C" w:rsidRPr="00BB3555" w14:paraId="267CDA9E" w14:textId="77777777" w:rsidTr="00F6147C">
        <w:trPr>
          <w:trHeight w:val="276"/>
        </w:trPr>
        <w:tc>
          <w:tcPr>
            <w:tcW w:w="6404" w:type="dxa"/>
            <w:tcBorders>
              <w:top w:val="nil"/>
              <w:left w:val="nil"/>
              <w:bottom w:val="nil"/>
              <w:right w:val="nil"/>
            </w:tcBorders>
            <w:shd w:val="clear" w:color="auto" w:fill="auto"/>
            <w:noWrap/>
            <w:vAlign w:val="center"/>
            <w:hideMark/>
          </w:tcPr>
          <w:p w14:paraId="65EA5A8A" w14:textId="77777777" w:rsidR="00F6147C" w:rsidRPr="00C01F52" w:rsidRDefault="00F6147C" w:rsidP="00F6147C">
            <w:pPr>
              <w:spacing w:after="0" w:line="240" w:lineRule="auto"/>
              <w:jc w:val="lef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 xml:space="preserve">   3. Vplyv vybraných výdavkov štátneho rozpočtu</w:t>
            </w:r>
          </w:p>
        </w:tc>
        <w:tc>
          <w:tcPr>
            <w:tcW w:w="1101" w:type="dxa"/>
            <w:tcBorders>
              <w:top w:val="nil"/>
              <w:left w:val="nil"/>
              <w:bottom w:val="nil"/>
              <w:right w:val="nil"/>
            </w:tcBorders>
            <w:shd w:val="clear" w:color="auto" w:fill="auto"/>
            <w:noWrap/>
            <w:vAlign w:val="center"/>
            <w:hideMark/>
          </w:tcPr>
          <w:p w14:paraId="6AA0602F" w14:textId="77777777" w:rsidR="00F6147C" w:rsidRPr="00C01F52" w:rsidRDefault="00F6147C" w:rsidP="00F6147C">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-1 386 021</w:t>
            </w:r>
          </w:p>
        </w:tc>
        <w:tc>
          <w:tcPr>
            <w:tcW w:w="931" w:type="dxa"/>
            <w:tcBorders>
              <w:top w:val="nil"/>
              <w:left w:val="nil"/>
              <w:bottom w:val="nil"/>
              <w:right w:val="nil"/>
            </w:tcBorders>
            <w:shd w:val="clear" w:color="auto" w:fill="auto"/>
            <w:noWrap/>
            <w:vAlign w:val="center"/>
            <w:hideMark/>
          </w:tcPr>
          <w:p w14:paraId="2596D52D"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-1,47</w:t>
            </w:r>
          </w:p>
        </w:tc>
      </w:tr>
      <w:tr w:rsidR="00F6147C" w:rsidRPr="00F6147C" w14:paraId="0246D057" w14:textId="77777777" w:rsidTr="00F6147C">
        <w:trPr>
          <w:trHeight w:val="276"/>
        </w:trPr>
        <w:tc>
          <w:tcPr>
            <w:tcW w:w="6404" w:type="dxa"/>
            <w:tcBorders>
              <w:top w:val="nil"/>
              <w:left w:val="nil"/>
              <w:bottom w:val="nil"/>
              <w:right w:val="nil"/>
            </w:tcBorders>
            <w:shd w:val="clear" w:color="auto" w:fill="auto"/>
            <w:noWrap/>
            <w:vAlign w:val="center"/>
            <w:hideMark/>
          </w:tcPr>
          <w:p w14:paraId="1EDBACE0"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spolufinancovanie</w:t>
            </w:r>
          </w:p>
        </w:tc>
        <w:tc>
          <w:tcPr>
            <w:tcW w:w="1101" w:type="dxa"/>
            <w:tcBorders>
              <w:top w:val="nil"/>
              <w:left w:val="nil"/>
              <w:bottom w:val="nil"/>
              <w:right w:val="nil"/>
            </w:tcBorders>
            <w:shd w:val="clear" w:color="auto" w:fill="auto"/>
            <w:noWrap/>
            <w:vAlign w:val="center"/>
            <w:hideMark/>
          </w:tcPr>
          <w:p w14:paraId="6C83E02B"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-70 199</w:t>
            </w:r>
          </w:p>
        </w:tc>
        <w:tc>
          <w:tcPr>
            <w:tcW w:w="931" w:type="dxa"/>
            <w:tcBorders>
              <w:top w:val="nil"/>
              <w:left w:val="nil"/>
              <w:bottom w:val="nil"/>
              <w:right w:val="nil"/>
            </w:tcBorders>
            <w:shd w:val="clear" w:color="auto" w:fill="auto"/>
            <w:noWrap/>
            <w:vAlign w:val="center"/>
            <w:hideMark/>
          </w:tcPr>
          <w:p w14:paraId="1A3BC6D0"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-0,07</w:t>
            </w:r>
          </w:p>
        </w:tc>
      </w:tr>
      <w:tr w:rsidR="00F6147C" w:rsidRPr="00F6147C" w14:paraId="35F83665" w14:textId="77777777" w:rsidTr="00F6147C">
        <w:trPr>
          <w:trHeight w:val="276"/>
        </w:trPr>
        <w:tc>
          <w:tcPr>
            <w:tcW w:w="6404" w:type="dxa"/>
            <w:tcBorders>
              <w:top w:val="nil"/>
              <w:left w:val="nil"/>
              <w:bottom w:val="nil"/>
              <w:right w:val="nil"/>
            </w:tcBorders>
            <w:shd w:val="clear" w:color="auto" w:fill="auto"/>
            <w:noWrap/>
            <w:vAlign w:val="center"/>
            <w:hideMark/>
          </w:tcPr>
          <w:p w14:paraId="71B3449D"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odvod do rozpočtu EÚ</w:t>
            </w:r>
          </w:p>
        </w:tc>
        <w:tc>
          <w:tcPr>
            <w:tcW w:w="1101" w:type="dxa"/>
            <w:tcBorders>
              <w:top w:val="nil"/>
              <w:left w:val="nil"/>
              <w:bottom w:val="nil"/>
              <w:right w:val="nil"/>
            </w:tcBorders>
            <w:shd w:val="clear" w:color="auto" w:fill="auto"/>
            <w:noWrap/>
            <w:vAlign w:val="center"/>
            <w:hideMark/>
          </w:tcPr>
          <w:p w14:paraId="055C1EEC"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89 442</w:t>
            </w:r>
          </w:p>
        </w:tc>
        <w:tc>
          <w:tcPr>
            <w:tcW w:w="931" w:type="dxa"/>
            <w:tcBorders>
              <w:top w:val="nil"/>
              <w:left w:val="nil"/>
              <w:bottom w:val="nil"/>
              <w:right w:val="nil"/>
            </w:tcBorders>
            <w:shd w:val="clear" w:color="auto" w:fill="auto"/>
            <w:noWrap/>
            <w:vAlign w:val="center"/>
            <w:hideMark/>
          </w:tcPr>
          <w:p w14:paraId="3A1AECB9"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0,09</w:t>
            </w:r>
          </w:p>
        </w:tc>
      </w:tr>
      <w:tr w:rsidR="00F6147C" w:rsidRPr="00F6147C" w14:paraId="01AF477D" w14:textId="77777777" w:rsidTr="00F6147C">
        <w:trPr>
          <w:trHeight w:val="276"/>
        </w:trPr>
        <w:tc>
          <w:tcPr>
            <w:tcW w:w="6404" w:type="dxa"/>
            <w:tcBorders>
              <w:top w:val="nil"/>
              <w:left w:val="nil"/>
              <w:bottom w:val="nil"/>
              <w:right w:val="nil"/>
            </w:tcBorders>
            <w:shd w:val="clear" w:color="auto" w:fill="auto"/>
            <w:noWrap/>
            <w:vAlign w:val="center"/>
            <w:hideMark/>
          </w:tcPr>
          <w:p w14:paraId="6905F6E5"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korekcie k fondom EÚ </w:t>
            </w:r>
          </w:p>
        </w:tc>
        <w:tc>
          <w:tcPr>
            <w:tcW w:w="1101" w:type="dxa"/>
            <w:tcBorders>
              <w:top w:val="nil"/>
              <w:left w:val="nil"/>
              <w:bottom w:val="nil"/>
              <w:right w:val="nil"/>
            </w:tcBorders>
            <w:shd w:val="clear" w:color="auto" w:fill="auto"/>
            <w:noWrap/>
            <w:vAlign w:val="center"/>
            <w:hideMark/>
          </w:tcPr>
          <w:p w14:paraId="24DD8D9A"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-20 134</w:t>
            </w:r>
          </w:p>
        </w:tc>
        <w:tc>
          <w:tcPr>
            <w:tcW w:w="931" w:type="dxa"/>
            <w:tcBorders>
              <w:top w:val="nil"/>
              <w:left w:val="nil"/>
              <w:bottom w:val="nil"/>
              <w:right w:val="nil"/>
            </w:tcBorders>
            <w:shd w:val="clear" w:color="auto" w:fill="auto"/>
            <w:noWrap/>
            <w:vAlign w:val="center"/>
            <w:hideMark/>
          </w:tcPr>
          <w:p w14:paraId="628E21B0"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-0,02</w:t>
            </w:r>
          </w:p>
        </w:tc>
      </w:tr>
      <w:tr w:rsidR="00F6147C" w:rsidRPr="00F6147C" w14:paraId="2D582BBF" w14:textId="77777777" w:rsidTr="00F6147C">
        <w:trPr>
          <w:trHeight w:val="528"/>
        </w:trPr>
        <w:tc>
          <w:tcPr>
            <w:tcW w:w="6404" w:type="dxa"/>
            <w:tcBorders>
              <w:top w:val="nil"/>
              <w:left w:val="nil"/>
              <w:bottom w:val="nil"/>
              <w:right w:val="nil"/>
            </w:tcBorders>
            <w:shd w:val="clear" w:color="auto" w:fill="auto"/>
            <w:vAlign w:val="center"/>
            <w:hideMark/>
          </w:tcPr>
          <w:p w14:paraId="3C564520"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upravujúca položka-očistenie vplyvu príjmov PJ za prostriedky EU </w:t>
            </w:r>
            <w:r w:rsidRPr="000911E5">
              <w:rPr>
                <w:rFonts w:eastAsia="Times New Roman" w:cs="Times New Roman"/>
                <w:color w:val="000000"/>
                <w:sz w:val="20"/>
                <w:szCs w:val="20"/>
                <w:lang w:eastAsia="sk-SK"/>
              </w:rPr>
              <w:br/>
              <w:t xml:space="preserve">          z uhradených korekcií nahlásených v roku rozhodnutia </w:t>
            </w:r>
          </w:p>
        </w:tc>
        <w:tc>
          <w:tcPr>
            <w:tcW w:w="1101" w:type="dxa"/>
            <w:tcBorders>
              <w:top w:val="nil"/>
              <w:left w:val="nil"/>
              <w:bottom w:val="nil"/>
              <w:right w:val="nil"/>
            </w:tcBorders>
            <w:shd w:val="clear" w:color="auto" w:fill="auto"/>
            <w:noWrap/>
            <w:vAlign w:val="center"/>
            <w:hideMark/>
          </w:tcPr>
          <w:p w14:paraId="54A6B7BD"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56 955</w:t>
            </w:r>
          </w:p>
        </w:tc>
        <w:tc>
          <w:tcPr>
            <w:tcW w:w="931" w:type="dxa"/>
            <w:tcBorders>
              <w:top w:val="nil"/>
              <w:left w:val="nil"/>
              <w:bottom w:val="nil"/>
              <w:right w:val="nil"/>
            </w:tcBorders>
            <w:shd w:val="clear" w:color="auto" w:fill="auto"/>
            <w:noWrap/>
            <w:vAlign w:val="center"/>
            <w:hideMark/>
          </w:tcPr>
          <w:p w14:paraId="1AE3B9B6"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0,06</w:t>
            </w:r>
          </w:p>
        </w:tc>
      </w:tr>
      <w:tr w:rsidR="00F6147C" w:rsidRPr="00F6147C" w14:paraId="033188C6" w14:textId="77777777" w:rsidTr="00F6147C">
        <w:trPr>
          <w:trHeight w:val="276"/>
        </w:trPr>
        <w:tc>
          <w:tcPr>
            <w:tcW w:w="6404" w:type="dxa"/>
            <w:tcBorders>
              <w:top w:val="nil"/>
              <w:left w:val="nil"/>
              <w:bottom w:val="nil"/>
              <w:right w:val="nil"/>
            </w:tcBorders>
            <w:shd w:val="clear" w:color="auto" w:fill="auto"/>
            <w:noWrap/>
            <w:vAlign w:val="center"/>
            <w:hideMark/>
          </w:tcPr>
          <w:p w14:paraId="2A9313CE" w14:textId="1590CBFB" w:rsidR="00F6147C" w:rsidRPr="000911E5" w:rsidRDefault="00F6147C" w:rsidP="00682E40">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imputácia výdavkových subvenci</w:t>
            </w:r>
            <w:r w:rsidR="00682E40" w:rsidRPr="000911E5">
              <w:rPr>
                <w:rFonts w:eastAsia="Times New Roman" w:cs="Times New Roman"/>
                <w:color w:val="000000"/>
                <w:sz w:val="20"/>
                <w:szCs w:val="20"/>
                <w:lang w:eastAsia="sk-SK"/>
              </w:rPr>
              <w:t>í</w:t>
            </w:r>
            <w:r w:rsidRPr="000911E5">
              <w:rPr>
                <w:rFonts w:eastAsia="Times New Roman" w:cs="Times New Roman"/>
                <w:color w:val="000000"/>
                <w:sz w:val="20"/>
                <w:szCs w:val="20"/>
                <w:lang w:eastAsia="sk-SK"/>
              </w:rPr>
              <w:t xml:space="preserve"> na zelenú energiu</w:t>
            </w:r>
          </w:p>
        </w:tc>
        <w:tc>
          <w:tcPr>
            <w:tcW w:w="1101" w:type="dxa"/>
            <w:tcBorders>
              <w:top w:val="nil"/>
              <w:left w:val="nil"/>
              <w:bottom w:val="nil"/>
              <w:right w:val="nil"/>
            </w:tcBorders>
            <w:shd w:val="clear" w:color="auto" w:fill="auto"/>
            <w:noWrap/>
            <w:vAlign w:val="center"/>
            <w:hideMark/>
          </w:tcPr>
          <w:p w14:paraId="676BA25F"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-542 384</w:t>
            </w:r>
          </w:p>
        </w:tc>
        <w:tc>
          <w:tcPr>
            <w:tcW w:w="931" w:type="dxa"/>
            <w:tcBorders>
              <w:top w:val="nil"/>
              <w:left w:val="nil"/>
              <w:bottom w:val="nil"/>
              <w:right w:val="nil"/>
            </w:tcBorders>
            <w:shd w:val="clear" w:color="auto" w:fill="auto"/>
            <w:noWrap/>
            <w:vAlign w:val="center"/>
            <w:hideMark/>
          </w:tcPr>
          <w:p w14:paraId="2740FCDE"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-0,58</w:t>
            </w:r>
          </w:p>
        </w:tc>
      </w:tr>
      <w:tr w:rsidR="00F6147C" w:rsidRPr="00F6147C" w14:paraId="5A50ADFF" w14:textId="77777777" w:rsidTr="00F6147C">
        <w:trPr>
          <w:trHeight w:val="276"/>
        </w:trPr>
        <w:tc>
          <w:tcPr>
            <w:tcW w:w="6404" w:type="dxa"/>
            <w:tcBorders>
              <w:top w:val="nil"/>
              <w:left w:val="nil"/>
              <w:bottom w:val="nil"/>
              <w:right w:val="nil"/>
            </w:tcBorders>
            <w:shd w:val="clear" w:color="auto" w:fill="auto"/>
            <w:noWrap/>
            <w:vAlign w:val="center"/>
            <w:hideMark/>
          </w:tcPr>
          <w:p w14:paraId="1E58C948"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zmena stavu záväzkov</w:t>
            </w:r>
          </w:p>
        </w:tc>
        <w:tc>
          <w:tcPr>
            <w:tcW w:w="1101" w:type="dxa"/>
            <w:tcBorders>
              <w:top w:val="nil"/>
              <w:left w:val="nil"/>
              <w:bottom w:val="nil"/>
              <w:right w:val="nil"/>
            </w:tcBorders>
            <w:shd w:val="clear" w:color="auto" w:fill="auto"/>
            <w:noWrap/>
            <w:vAlign w:val="center"/>
            <w:hideMark/>
          </w:tcPr>
          <w:p w14:paraId="4F2E8F39"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63 407</w:t>
            </w:r>
          </w:p>
        </w:tc>
        <w:tc>
          <w:tcPr>
            <w:tcW w:w="931" w:type="dxa"/>
            <w:tcBorders>
              <w:top w:val="nil"/>
              <w:left w:val="nil"/>
              <w:bottom w:val="nil"/>
              <w:right w:val="nil"/>
            </w:tcBorders>
            <w:shd w:val="clear" w:color="auto" w:fill="auto"/>
            <w:noWrap/>
            <w:vAlign w:val="center"/>
            <w:hideMark/>
          </w:tcPr>
          <w:p w14:paraId="483953CD"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0,07</w:t>
            </w:r>
          </w:p>
        </w:tc>
      </w:tr>
      <w:tr w:rsidR="00F6147C" w:rsidRPr="00F6147C" w14:paraId="3FEBC04B" w14:textId="77777777" w:rsidTr="00F6147C">
        <w:trPr>
          <w:trHeight w:val="276"/>
        </w:trPr>
        <w:tc>
          <w:tcPr>
            <w:tcW w:w="6404" w:type="dxa"/>
            <w:tcBorders>
              <w:top w:val="nil"/>
              <w:left w:val="nil"/>
              <w:bottom w:val="nil"/>
              <w:right w:val="nil"/>
            </w:tcBorders>
            <w:shd w:val="clear" w:color="auto" w:fill="auto"/>
            <w:noWrap/>
            <w:vAlign w:val="center"/>
            <w:hideMark/>
          </w:tcPr>
          <w:p w14:paraId="642FF743"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ostatné</w:t>
            </w:r>
          </w:p>
        </w:tc>
        <w:tc>
          <w:tcPr>
            <w:tcW w:w="1101" w:type="dxa"/>
            <w:tcBorders>
              <w:top w:val="nil"/>
              <w:left w:val="nil"/>
              <w:bottom w:val="nil"/>
              <w:right w:val="nil"/>
            </w:tcBorders>
            <w:shd w:val="clear" w:color="auto" w:fill="auto"/>
            <w:noWrap/>
            <w:vAlign w:val="center"/>
            <w:hideMark/>
          </w:tcPr>
          <w:p w14:paraId="1F2DA733"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-540 952</w:t>
            </w:r>
          </w:p>
        </w:tc>
        <w:tc>
          <w:tcPr>
            <w:tcW w:w="931" w:type="dxa"/>
            <w:tcBorders>
              <w:top w:val="nil"/>
              <w:left w:val="nil"/>
              <w:bottom w:val="nil"/>
              <w:right w:val="nil"/>
            </w:tcBorders>
            <w:shd w:val="clear" w:color="auto" w:fill="auto"/>
            <w:noWrap/>
            <w:vAlign w:val="center"/>
            <w:hideMark/>
          </w:tcPr>
          <w:p w14:paraId="35740B8C"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-0,57</w:t>
            </w:r>
          </w:p>
        </w:tc>
      </w:tr>
      <w:tr w:rsidR="00F6147C" w:rsidRPr="00F6147C" w14:paraId="152F4445" w14:textId="77777777" w:rsidTr="00F6147C">
        <w:trPr>
          <w:trHeight w:val="276"/>
        </w:trPr>
        <w:tc>
          <w:tcPr>
            <w:tcW w:w="6404" w:type="dxa"/>
            <w:tcBorders>
              <w:top w:val="nil"/>
              <w:left w:val="nil"/>
              <w:bottom w:val="nil"/>
              <w:right w:val="nil"/>
            </w:tcBorders>
            <w:shd w:val="clear" w:color="auto" w:fill="auto"/>
            <w:noWrap/>
            <w:vAlign w:val="center"/>
            <w:hideMark/>
          </w:tcPr>
          <w:p w14:paraId="523CCD32"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EÚ výdavky</w:t>
            </w:r>
          </w:p>
        </w:tc>
        <w:tc>
          <w:tcPr>
            <w:tcW w:w="1101" w:type="dxa"/>
            <w:tcBorders>
              <w:top w:val="nil"/>
              <w:left w:val="nil"/>
              <w:bottom w:val="nil"/>
              <w:right w:val="nil"/>
            </w:tcBorders>
            <w:shd w:val="clear" w:color="auto" w:fill="auto"/>
            <w:noWrap/>
            <w:vAlign w:val="center"/>
            <w:hideMark/>
          </w:tcPr>
          <w:p w14:paraId="0198C9BD"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-422 156</w:t>
            </w:r>
          </w:p>
        </w:tc>
        <w:tc>
          <w:tcPr>
            <w:tcW w:w="931" w:type="dxa"/>
            <w:tcBorders>
              <w:top w:val="nil"/>
              <w:left w:val="nil"/>
              <w:bottom w:val="nil"/>
              <w:right w:val="nil"/>
            </w:tcBorders>
            <w:shd w:val="clear" w:color="auto" w:fill="auto"/>
            <w:noWrap/>
            <w:vAlign w:val="center"/>
            <w:hideMark/>
          </w:tcPr>
          <w:p w14:paraId="5D801194"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-0,45</w:t>
            </w:r>
          </w:p>
        </w:tc>
      </w:tr>
      <w:tr w:rsidR="00F6147C" w:rsidRPr="00BB3555" w14:paraId="34D46163" w14:textId="77777777" w:rsidTr="00F6147C">
        <w:trPr>
          <w:trHeight w:val="276"/>
        </w:trPr>
        <w:tc>
          <w:tcPr>
            <w:tcW w:w="6404" w:type="dxa"/>
            <w:tcBorders>
              <w:top w:val="nil"/>
              <w:left w:val="nil"/>
              <w:bottom w:val="nil"/>
              <w:right w:val="nil"/>
            </w:tcBorders>
            <w:shd w:val="clear" w:color="auto" w:fill="auto"/>
            <w:noWrap/>
            <w:vAlign w:val="center"/>
            <w:hideMark/>
          </w:tcPr>
          <w:p w14:paraId="515AC06A" w14:textId="77777777" w:rsidR="00F6147C" w:rsidRPr="000911E5" w:rsidRDefault="00F6147C" w:rsidP="00F6147C">
            <w:pPr>
              <w:spacing w:after="0" w:line="240" w:lineRule="auto"/>
              <w:jc w:val="left"/>
              <w:rPr>
                <w:rFonts w:eastAsia="Times New Roman" w:cs="Times New Roman"/>
                <w:b/>
                <w:color w:val="000000"/>
                <w:sz w:val="20"/>
                <w:szCs w:val="20"/>
                <w:lang w:eastAsia="sk-SK"/>
              </w:rPr>
            </w:pPr>
            <w:r w:rsidRPr="000911E5">
              <w:rPr>
                <w:rFonts w:eastAsia="Times New Roman" w:cs="Times New Roman"/>
                <w:b/>
                <w:color w:val="000000"/>
                <w:sz w:val="20"/>
                <w:szCs w:val="20"/>
                <w:lang w:eastAsia="sk-SK"/>
              </w:rPr>
              <w:t xml:space="preserve">   4. Vplyv hospodárenia samostatných účtov (vrátane ŠFA)</w:t>
            </w:r>
          </w:p>
        </w:tc>
        <w:tc>
          <w:tcPr>
            <w:tcW w:w="1101" w:type="dxa"/>
            <w:tcBorders>
              <w:top w:val="nil"/>
              <w:left w:val="nil"/>
              <w:bottom w:val="nil"/>
              <w:right w:val="nil"/>
            </w:tcBorders>
            <w:shd w:val="clear" w:color="auto" w:fill="auto"/>
            <w:noWrap/>
            <w:vAlign w:val="center"/>
            <w:hideMark/>
          </w:tcPr>
          <w:p w14:paraId="219488F0" w14:textId="77777777" w:rsidR="00F6147C" w:rsidRPr="00C01F52" w:rsidRDefault="00F6147C" w:rsidP="00F6147C">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-600 561</w:t>
            </w:r>
          </w:p>
        </w:tc>
        <w:tc>
          <w:tcPr>
            <w:tcW w:w="931" w:type="dxa"/>
            <w:tcBorders>
              <w:top w:val="nil"/>
              <w:left w:val="nil"/>
              <w:bottom w:val="nil"/>
              <w:right w:val="nil"/>
            </w:tcBorders>
            <w:shd w:val="clear" w:color="auto" w:fill="auto"/>
            <w:noWrap/>
            <w:vAlign w:val="center"/>
            <w:hideMark/>
          </w:tcPr>
          <w:p w14:paraId="5A561E47"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-0,64</w:t>
            </w:r>
          </w:p>
        </w:tc>
      </w:tr>
      <w:tr w:rsidR="00F6147C" w:rsidRPr="00BB3555" w14:paraId="643696E2" w14:textId="77777777" w:rsidTr="00F6147C">
        <w:trPr>
          <w:trHeight w:val="528"/>
        </w:trPr>
        <w:tc>
          <w:tcPr>
            <w:tcW w:w="6404" w:type="dxa"/>
            <w:tcBorders>
              <w:top w:val="nil"/>
              <w:left w:val="nil"/>
              <w:bottom w:val="nil"/>
              <w:right w:val="nil"/>
            </w:tcBorders>
            <w:shd w:val="clear" w:color="auto" w:fill="auto"/>
            <w:vAlign w:val="center"/>
            <w:hideMark/>
          </w:tcPr>
          <w:p w14:paraId="52A8D367" w14:textId="109B6466" w:rsidR="00F6147C" w:rsidRPr="000911E5" w:rsidRDefault="00F6147C" w:rsidP="00F6147C">
            <w:pPr>
              <w:spacing w:after="0" w:line="240" w:lineRule="auto"/>
              <w:jc w:val="left"/>
              <w:rPr>
                <w:rFonts w:eastAsia="Times New Roman" w:cs="Times New Roman"/>
                <w:b/>
                <w:color w:val="000000"/>
                <w:sz w:val="20"/>
                <w:szCs w:val="20"/>
                <w:lang w:eastAsia="sk-SK"/>
              </w:rPr>
            </w:pPr>
            <w:r w:rsidRPr="000911E5">
              <w:rPr>
                <w:rFonts w:eastAsia="Times New Roman" w:cs="Times New Roman"/>
                <w:b/>
                <w:color w:val="000000"/>
                <w:sz w:val="20"/>
                <w:szCs w:val="20"/>
                <w:lang w:eastAsia="sk-SK"/>
              </w:rPr>
              <w:t xml:space="preserve">   5. Vplyv akruálnych príjmov a výdavkov súvisiacich s ob</w:t>
            </w:r>
            <w:r w:rsidR="000E67F6" w:rsidRPr="000911E5">
              <w:rPr>
                <w:rFonts w:eastAsia="Times New Roman" w:cs="Times New Roman"/>
                <w:b/>
                <w:color w:val="000000"/>
                <w:sz w:val="20"/>
                <w:szCs w:val="20"/>
                <w:lang w:eastAsia="sk-SK"/>
              </w:rPr>
              <w:t>s</w:t>
            </w:r>
            <w:r w:rsidRPr="000911E5">
              <w:rPr>
                <w:rFonts w:eastAsia="Times New Roman" w:cs="Times New Roman"/>
                <w:b/>
                <w:color w:val="000000"/>
                <w:sz w:val="20"/>
                <w:szCs w:val="20"/>
                <w:lang w:eastAsia="sk-SK"/>
              </w:rPr>
              <w:t xml:space="preserve">luhou </w:t>
            </w:r>
            <w:r w:rsidRPr="000911E5">
              <w:rPr>
                <w:rFonts w:eastAsia="Times New Roman" w:cs="Times New Roman"/>
                <w:b/>
                <w:color w:val="000000"/>
                <w:sz w:val="20"/>
                <w:szCs w:val="20"/>
                <w:lang w:eastAsia="sk-SK"/>
              </w:rPr>
              <w:br/>
              <w:t xml:space="preserve">        štátneho dlhu</w:t>
            </w:r>
          </w:p>
        </w:tc>
        <w:tc>
          <w:tcPr>
            <w:tcW w:w="1101" w:type="dxa"/>
            <w:tcBorders>
              <w:top w:val="nil"/>
              <w:left w:val="nil"/>
              <w:bottom w:val="nil"/>
              <w:right w:val="nil"/>
            </w:tcBorders>
            <w:shd w:val="clear" w:color="auto" w:fill="auto"/>
            <w:noWrap/>
            <w:vAlign w:val="center"/>
            <w:hideMark/>
          </w:tcPr>
          <w:p w14:paraId="31C2F85A" w14:textId="77777777" w:rsidR="00F6147C" w:rsidRPr="00C01F52" w:rsidRDefault="00F6147C" w:rsidP="00F6147C">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-116 225</w:t>
            </w:r>
          </w:p>
        </w:tc>
        <w:tc>
          <w:tcPr>
            <w:tcW w:w="931" w:type="dxa"/>
            <w:tcBorders>
              <w:top w:val="nil"/>
              <w:left w:val="nil"/>
              <w:bottom w:val="nil"/>
              <w:right w:val="nil"/>
            </w:tcBorders>
            <w:shd w:val="clear" w:color="auto" w:fill="auto"/>
            <w:noWrap/>
            <w:vAlign w:val="center"/>
            <w:hideMark/>
          </w:tcPr>
          <w:p w14:paraId="1FBE57AF"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-0,12</w:t>
            </w:r>
          </w:p>
        </w:tc>
      </w:tr>
      <w:tr w:rsidR="00F6147C" w:rsidRPr="00BB3555" w14:paraId="421D2F5F" w14:textId="77777777" w:rsidTr="00F6147C">
        <w:trPr>
          <w:trHeight w:val="276"/>
        </w:trPr>
        <w:tc>
          <w:tcPr>
            <w:tcW w:w="6404" w:type="dxa"/>
            <w:tcBorders>
              <w:top w:val="nil"/>
              <w:left w:val="nil"/>
              <w:bottom w:val="nil"/>
              <w:right w:val="nil"/>
            </w:tcBorders>
            <w:shd w:val="clear" w:color="auto" w:fill="auto"/>
            <w:noWrap/>
            <w:vAlign w:val="center"/>
            <w:hideMark/>
          </w:tcPr>
          <w:p w14:paraId="1D4752CA" w14:textId="77777777" w:rsidR="00F6147C" w:rsidRPr="000911E5" w:rsidRDefault="00F6147C" w:rsidP="00F6147C">
            <w:pPr>
              <w:spacing w:after="0" w:line="240" w:lineRule="auto"/>
              <w:jc w:val="left"/>
              <w:rPr>
                <w:rFonts w:eastAsia="Times New Roman" w:cs="Times New Roman"/>
                <w:b/>
                <w:color w:val="000000"/>
                <w:sz w:val="20"/>
                <w:szCs w:val="20"/>
                <w:lang w:eastAsia="sk-SK"/>
              </w:rPr>
            </w:pPr>
            <w:r w:rsidRPr="000911E5">
              <w:rPr>
                <w:rFonts w:eastAsia="Times New Roman" w:cs="Times New Roman"/>
                <w:b/>
                <w:color w:val="000000"/>
                <w:sz w:val="20"/>
                <w:szCs w:val="20"/>
                <w:lang w:eastAsia="sk-SK"/>
              </w:rPr>
              <w:t xml:space="preserve">   6. Výdavky sociálneho a zdravotného poistenia</w:t>
            </w:r>
          </w:p>
        </w:tc>
        <w:tc>
          <w:tcPr>
            <w:tcW w:w="1101" w:type="dxa"/>
            <w:tcBorders>
              <w:top w:val="nil"/>
              <w:left w:val="nil"/>
              <w:bottom w:val="nil"/>
              <w:right w:val="nil"/>
            </w:tcBorders>
            <w:shd w:val="clear" w:color="auto" w:fill="auto"/>
            <w:noWrap/>
            <w:vAlign w:val="center"/>
            <w:hideMark/>
          </w:tcPr>
          <w:p w14:paraId="543FDE6E" w14:textId="77777777" w:rsidR="00F6147C" w:rsidRPr="00C01F52" w:rsidRDefault="00F6147C" w:rsidP="00F6147C">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-263 407</w:t>
            </w:r>
          </w:p>
        </w:tc>
        <w:tc>
          <w:tcPr>
            <w:tcW w:w="931" w:type="dxa"/>
            <w:tcBorders>
              <w:top w:val="nil"/>
              <w:left w:val="nil"/>
              <w:bottom w:val="nil"/>
              <w:right w:val="nil"/>
            </w:tcBorders>
            <w:shd w:val="clear" w:color="auto" w:fill="auto"/>
            <w:noWrap/>
            <w:vAlign w:val="center"/>
            <w:hideMark/>
          </w:tcPr>
          <w:p w14:paraId="31451401"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-0,28</w:t>
            </w:r>
          </w:p>
        </w:tc>
      </w:tr>
      <w:tr w:rsidR="00F6147C" w:rsidRPr="00F6147C" w14:paraId="2E82E872" w14:textId="77777777" w:rsidTr="00F6147C">
        <w:trPr>
          <w:trHeight w:val="276"/>
        </w:trPr>
        <w:tc>
          <w:tcPr>
            <w:tcW w:w="6404" w:type="dxa"/>
            <w:tcBorders>
              <w:top w:val="nil"/>
              <w:left w:val="nil"/>
              <w:bottom w:val="nil"/>
              <w:right w:val="nil"/>
            </w:tcBorders>
            <w:shd w:val="clear" w:color="auto" w:fill="auto"/>
            <w:noWrap/>
            <w:vAlign w:val="center"/>
            <w:hideMark/>
          </w:tcPr>
          <w:p w14:paraId="74AF3483" w14:textId="37A1FDA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výdavky</w:t>
            </w:r>
            <w:r w:rsidR="00210FD1" w:rsidRPr="000911E5">
              <w:rPr>
                <w:rFonts w:eastAsia="Times New Roman" w:cs="Times New Roman"/>
                <w:color w:val="000000"/>
                <w:sz w:val="20"/>
                <w:szCs w:val="20"/>
                <w:lang w:eastAsia="sk-SK"/>
              </w:rPr>
              <w:t xml:space="preserve"> zo</w:t>
            </w:r>
            <w:r w:rsidRPr="000911E5">
              <w:rPr>
                <w:rFonts w:eastAsia="Times New Roman" w:cs="Times New Roman"/>
                <w:color w:val="000000"/>
                <w:sz w:val="20"/>
                <w:szCs w:val="20"/>
                <w:lang w:eastAsia="sk-SK"/>
              </w:rPr>
              <w:t xml:space="preserve"> sociálneho poistenia</w:t>
            </w:r>
          </w:p>
        </w:tc>
        <w:tc>
          <w:tcPr>
            <w:tcW w:w="1101" w:type="dxa"/>
            <w:tcBorders>
              <w:top w:val="nil"/>
              <w:left w:val="nil"/>
              <w:bottom w:val="nil"/>
              <w:right w:val="nil"/>
            </w:tcBorders>
            <w:shd w:val="clear" w:color="auto" w:fill="auto"/>
            <w:noWrap/>
            <w:vAlign w:val="center"/>
            <w:hideMark/>
          </w:tcPr>
          <w:p w14:paraId="007E801A"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-140 497</w:t>
            </w:r>
          </w:p>
        </w:tc>
        <w:tc>
          <w:tcPr>
            <w:tcW w:w="931" w:type="dxa"/>
            <w:tcBorders>
              <w:top w:val="nil"/>
              <w:left w:val="nil"/>
              <w:bottom w:val="nil"/>
              <w:right w:val="nil"/>
            </w:tcBorders>
            <w:shd w:val="clear" w:color="auto" w:fill="auto"/>
            <w:noWrap/>
            <w:vAlign w:val="center"/>
            <w:hideMark/>
          </w:tcPr>
          <w:p w14:paraId="10051853"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-0,15</w:t>
            </w:r>
          </w:p>
        </w:tc>
      </w:tr>
      <w:tr w:rsidR="00F6147C" w:rsidRPr="00F6147C" w14:paraId="43DAC74C" w14:textId="77777777" w:rsidTr="00F6147C">
        <w:trPr>
          <w:trHeight w:val="276"/>
        </w:trPr>
        <w:tc>
          <w:tcPr>
            <w:tcW w:w="6404" w:type="dxa"/>
            <w:tcBorders>
              <w:top w:val="nil"/>
              <w:left w:val="nil"/>
              <w:bottom w:val="nil"/>
              <w:right w:val="nil"/>
            </w:tcBorders>
            <w:shd w:val="clear" w:color="auto" w:fill="auto"/>
            <w:noWrap/>
            <w:vAlign w:val="center"/>
            <w:hideMark/>
          </w:tcPr>
          <w:p w14:paraId="6F1C168B" w14:textId="0389BE23"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výdavky zdravotníckym zariadeniam (výdavky poistenia)</w:t>
            </w:r>
          </w:p>
        </w:tc>
        <w:tc>
          <w:tcPr>
            <w:tcW w:w="1101" w:type="dxa"/>
            <w:tcBorders>
              <w:top w:val="nil"/>
              <w:left w:val="nil"/>
              <w:bottom w:val="nil"/>
              <w:right w:val="nil"/>
            </w:tcBorders>
            <w:shd w:val="clear" w:color="auto" w:fill="auto"/>
            <w:noWrap/>
            <w:vAlign w:val="center"/>
            <w:hideMark/>
          </w:tcPr>
          <w:p w14:paraId="2399D2BD" w14:textId="77777777" w:rsidR="00F6147C" w:rsidRPr="000911E5" w:rsidRDefault="00F6147C" w:rsidP="00F6147C">
            <w:pPr>
              <w:spacing w:after="0" w:line="240" w:lineRule="auto"/>
              <w:jc w:val="right"/>
              <w:rPr>
                <w:rFonts w:eastAsia="Times New Roman" w:cs="Times New Roman"/>
                <w:sz w:val="20"/>
                <w:szCs w:val="20"/>
                <w:lang w:eastAsia="sk-SK"/>
              </w:rPr>
            </w:pPr>
            <w:r w:rsidRPr="000911E5">
              <w:rPr>
                <w:rFonts w:eastAsia="Times New Roman" w:cs="Times New Roman"/>
                <w:sz w:val="20"/>
                <w:szCs w:val="20"/>
                <w:lang w:eastAsia="sk-SK"/>
              </w:rPr>
              <w:t>-122 910</w:t>
            </w:r>
          </w:p>
        </w:tc>
        <w:tc>
          <w:tcPr>
            <w:tcW w:w="931" w:type="dxa"/>
            <w:tcBorders>
              <w:top w:val="nil"/>
              <w:left w:val="nil"/>
              <w:bottom w:val="nil"/>
              <w:right w:val="nil"/>
            </w:tcBorders>
            <w:shd w:val="clear" w:color="auto" w:fill="auto"/>
            <w:noWrap/>
            <w:vAlign w:val="center"/>
            <w:hideMark/>
          </w:tcPr>
          <w:p w14:paraId="5F365EAC"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-0,13</w:t>
            </w:r>
          </w:p>
        </w:tc>
      </w:tr>
      <w:tr w:rsidR="00F6147C" w:rsidRPr="00BB3555" w14:paraId="1DC68D42" w14:textId="77777777" w:rsidTr="00F6147C">
        <w:trPr>
          <w:trHeight w:val="792"/>
        </w:trPr>
        <w:tc>
          <w:tcPr>
            <w:tcW w:w="6404" w:type="dxa"/>
            <w:tcBorders>
              <w:top w:val="nil"/>
              <w:left w:val="nil"/>
              <w:bottom w:val="nil"/>
              <w:right w:val="nil"/>
            </w:tcBorders>
            <w:shd w:val="clear" w:color="auto" w:fill="auto"/>
            <w:vAlign w:val="center"/>
            <w:hideMark/>
          </w:tcPr>
          <w:p w14:paraId="3B1C8E25" w14:textId="1E25AE1B" w:rsidR="00F6147C" w:rsidRPr="000911E5" w:rsidRDefault="00F6147C" w:rsidP="00DE17D3">
            <w:pPr>
              <w:spacing w:after="0" w:line="240" w:lineRule="auto"/>
              <w:jc w:val="left"/>
              <w:rPr>
                <w:rFonts w:eastAsia="Times New Roman" w:cs="Times New Roman"/>
                <w:b/>
                <w:color w:val="000000"/>
                <w:sz w:val="20"/>
                <w:szCs w:val="20"/>
                <w:lang w:eastAsia="sk-SK"/>
              </w:rPr>
            </w:pPr>
            <w:r w:rsidRPr="000911E5">
              <w:rPr>
                <w:rFonts w:eastAsia="Times New Roman" w:cs="Times New Roman"/>
                <w:b/>
                <w:color w:val="000000"/>
                <w:sz w:val="20"/>
                <w:szCs w:val="20"/>
                <w:lang w:eastAsia="sk-SK"/>
              </w:rPr>
              <w:t xml:space="preserve">   7. Rozdiel v hospodárení fondov sociálneho zabezpečenia (okrem </w:t>
            </w:r>
            <w:r w:rsidRPr="000911E5">
              <w:rPr>
                <w:rFonts w:eastAsia="Times New Roman" w:cs="Times New Roman"/>
                <w:b/>
                <w:color w:val="000000"/>
                <w:sz w:val="20"/>
                <w:szCs w:val="20"/>
                <w:lang w:eastAsia="sk-SK"/>
              </w:rPr>
              <w:br/>
              <w:t xml:space="preserve">       odvodových príjmov a výdavkov poistenia verejného zdravotného </w:t>
            </w:r>
            <w:r w:rsidRPr="000911E5">
              <w:rPr>
                <w:rFonts w:eastAsia="Times New Roman" w:cs="Times New Roman"/>
                <w:b/>
                <w:color w:val="000000"/>
                <w:sz w:val="20"/>
                <w:szCs w:val="20"/>
                <w:lang w:eastAsia="sk-SK"/>
              </w:rPr>
              <w:br/>
              <w:t xml:space="preserve">       poistenia a sociálneho poistenia)</w:t>
            </w:r>
          </w:p>
        </w:tc>
        <w:tc>
          <w:tcPr>
            <w:tcW w:w="1101" w:type="dxa"/>
            <w:tcBorders>
              <w:top w:val="nil"/>
              <w:left w:val="nil"/>
              <w:bottom w:val="nil"/>
              <w:right w:val="nil"/>
            </w:tcBorders>
            <w:shd w:val="clear" w:color="auto" w:fill="auto"/>
            <w:noWrap/>
            <w:vAlign w:val="center"/>
            <w:hideMark/>
          </w:tcPr>
          <w:p w14:paraId="5185EB9F" w14:textId="77777777" w:rsidR="00F6147C" w:rsidRPr="00C01F52" w:rsidRDefault="00F6147C" w:rsidP="00F6147C">
            <w:pPr>
              <w:spacing w:after="0" w:line="240" w:lineRule="auto"/>
              <w:jc w:val="right"/>
              <w:rPr>
                <w:rFonts w:eastAsia="Times New Roman" w:cs="Times New Roman"/>
                <w:b/>
                <w:bCs/>
                <w:iCs/>
                <w:sz w:val="20"/>
                <w:szCs w:val="20"/>
                <w:lang w:eastAsia="sk-SK"/>
              </w:rPr>
            </w:pPr>
            <w:r w:rsidRPr="00C01F52">
              <w:rPr>
                <w:rFonts w:eastAsia="Times New Roman" w:cs="Times New Roman"/>
                <w:b/>
                <w:bCs/>
                <w:iCs/>
                <w:sz w:val="20"/>
                <w:szCs w:val="20"/>
                <w:lang w:eastAsia="sk-SK"/>
              </w:rPr>
              <w:t>-77 842</w:t>
            </w:r>
          </w:p>
        </w:tc>
        <w:tc>
          <w:tcPr>
            <w:tcW w:w="931" w:type="dxa"/>
            <w:tcBorders>
              <w:top w:val="nil"/>
              <w:left w:val="nil"/>
              <w:bottom w:val="nil"/>
              <w:right w:val="nil"/>
            </w:tcBorders>
            <w:shd w:val="clear" w:color="auto" w:fill="auto"/>
            <w:noWrap/>
            <w:vAlign w:val="center"/>
            <w:hideMark/>
          </w:tcPr>
          <w:p w14:paraId="19AD05DC" w14:textId="77777777" w:rsidR="00F6147C" w:rsidRPr="00C01F52" w:rsidRDefault="00F6147C" w:rsidP="00F6147C">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-0,08</w:t>
            </w:r>
          </w:p>
        </w:tc>
      </w:tr>
      <w:tr w:rsidR="00F6147C" w:rsidRPr="00F6147C" w14:paraId="2A91E074" w14:textId="77777777" w:rsidTr="00F6147C">
        <w:trPr>
          <w:trHeight w:val="792"/>
        </w:trPr>
        <w:tc>
          <w:tcPr>
            <w:tcW w:w="6404" w:type="dxa"/>
            <w:tcBorders>
              <w:top w:val="nil"/>
              <w:left w:val="nil"/>
              <w:bottom w:val="nil"/>
              <w:right w:val="nil"/>
            </w:tcBorders>
            <w:shd w:val="clear" w:color="auto" w:fill="auto"/>
            <w:vAlign w:val="center"/>
            <w:hideMark/>
          </w:tcPr>
          <w:p w14:paraId="46AFB541"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výdavkový transfer z verejnej časti ZP do súkromnej časti ZP </w:t>
            </w:r>
            <w:r w:rsidRPr="000911E5">
              <w:rPr>
                <w:rFonts w:eastAsia="Times New Roman" w:cs="Times New Roman"/>
                <w:color w:val="000000"/>
                <w:sz w:val="20"/>
                <w:szCs w:val="20"/>
                <w:lang w:eastAsia="sk-SK"/>
              </w:rPr>
              <w:br/>
              <w:t xml:space="preserve">         na splátku istiny úveru súkromnej časti ZP súkromným zdrav. </w:t>
            </w:r>
            <w:r w:rsidRPr="000911E5">
              <w:rPr>
                <w:rFonts w:eastAsia="Times New Roman" w:cs="Times New Roman"/>
                <w:color w:val="000000"/>
                <w:sz w:val="20"/>
                <w:szCs w:val="20"/>
                <w:lang w:eastAsia="sk-SK"/>
              </w:rPr>
              <w:br/>
              <w:t xml:space="preserve">         poisťovniam</w:t>
            </w:r>
          </w:p>
        </w:tc>
        <w:tc>
          <w:tcPr>
            <w:tcW w:w="1101" w:type="dxa"/>
            <w:tcBorders>
              <w:top w:val="nil"/>
              <w:left w:val="nil"/>
              <w:bottom w:val="nil"/>
              <w:right w:val="nil"/>
            </w:tcBorders>
            <w:shd w:val="clear" w:color="auto" w:fill="auto"/>
            <w:noWrap/>
            <w:vAlign w:val="center"/>
            <w:hideMark/>
          </w:tcPr>
          <w:p w14:paraId="5DC95AD9"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-10 360</w:t>
            </w:r>
          </w:p>
        </w:tc>
        <w:tc>
          <w:tcPr>
            <w:tcW w:w="931" w:type="dxa"/>
            <w:tcBorders>
              <w:top w:val="nil"/>
              <w:left w:val="nil"/>
              <w:bottom w:val="nil"/>
              <w:right w:val="nil"/>
            </w:tcBorders>
            <w:shd w:val="clear" w:color="auto" w:fill="auto"/>
            <w:noWrap/>
            <w:vAlign w:val="center"/>
            <w:hideMark/>
          </w:tcPr>
          <w:p w14:paraId="10AF27AD"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-0,01</w:t>
            </w:r>
          </w:p>
        </w:tc>
      </w:tr>
      <w:tr w:rsidR="00F6147C" w:rsidRPr="00F6147C" w14:paraId="3336F084" w14:textId="77777777" w:rsidTr="00F6147C">
        <w:trPr>
          <w:trHeight w:val="528"/>
        </w:trPr>
        <w:tc>
          <w:tcPr>
            <w:tcW w:w="6404" w:type="dxa"/>
            <w:tcBorders>
              <w:top w:val="nil"/>
              <w:left w:val="nil"/>
              <w:bottom w:val="nil"/>
              <w:right w:val="nil"/>
            </w:tcBorders>
            <w:shd w:val="clear" w:color="auto" w:fill="auto"/>
            <w:vAlign w:val="center"/>
            <w:hideMark/>
          </w:tcPr>
          <w:p w14:paraId="395C9C5B"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výdavkový transfer z verejnej časti ZP do súkromnej časti ZP </w:t>
            </w:r>
            <w:r w:rsidRPr="000911E5">
              <w:rPr>
                <w:rFonts w:eastAsia="Times New Roman" w:cs="Times New Roman"/>
                <w:color w:val="000000"/>
                <w:sz w:val="20"/>
                <w:szCs w:val="20"/>
                <w:lang w:eastAsia="sk-SK"/>
              </w:rPr>
              <w:br/>
              <w:t xml:space="preserve">        na výplatu akcionárovi</w:t>
            </w:r>
          </w:p>
        </w:tc>
        <w:tc>
          <w:tcPr>
            <w:tcW w:w="1101" w:type="dxa"/>
            <w:tcBorders>
              <w:top w:val="nil"/>
              <w:left w:val="nil"/>
              <w:bottom w:val="nil"/>
              <w:right w:val="nil"/>
            </w:tcBorders>
            <w:shd w:val="clear" w:color="auto" w:fill="auto"/>
            <w:noWrap/>
            <w:vAlign w:val="center"/>
            <w:hideMark/>
          </w:tcPr>
          <w:p w14:paraId="30E71D36"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-9 914</w:t>
            </w:r>
          </w:p>
        </w:tc>
        <w:tc>
          <w:tcPr>
            <w:tcW w:w="931" w:type="dxa"/>
            <w:tcBorders>
              <w:top w:val="nil"/>
              <w:left w:val="nil"/>
              <w:bottom w:val="nil"/>
              <w:right w:val="nil"/>
            </w:tcBorders>
            <w:shd w:val="clear" w:color="auto" w:fill="auto"/>
            <w:noWrap/>
            <w:vAlign w:val="center"/>
            <w:hideMark/>
          </w:tcPr>
          <w:p w14:paraId="2D586567"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-0,01</w:t>
            </w:r>
          </w:p>
        </w:tc>
      </w:tr>
      <w:tr w:rsidR="00F6147C" w:rsidRPr="00F6147C" w14:paraId="4A79CE9C" w14:textId="77777777" w:rsidTr="00F6147C">
        <w:trPr>
          <w:trHeight w:val="528"/>
        </w:trPr>
        <w:tc>
          <w:tcPr>
            <w:tcW w:w="6404" w:type="dxa"/>
            <w:tcBorders>
              <w:top w:val="nil"/>
              <w:left w:val="nil"/>
              <w:bottom w:val="nil"/>
              <w:right w:val="nil"/>
            </w:tcBorders>
            <w:shd w:val="clear" w:color="auto" w:fill="auto"/>
            <w:vAlign w:val="center"/>
            <w:hideMark/>
          </w:tcPr>
          <w:p w14:paraId="5DB5D876"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platba za správu verejného zdravotného poistenia súkromným </w:t>
            </w:r>
            <w:r w:rsidRPr="000911E5">
              <w:rPr>
                <w:rFonts w:eastAsia="Times New Roman" w:cs="Times New Roman"/>
                <w:color w:val="000000"/>
                <w:sz w:val="20"/>
                <w:szCs w:val="20"/>
                <w:lang w:eastAsia="sk-SK"/>
              </w:rPr>
              <w:br/>
              <w:t xml:space="preserve">        zdrav. poisťovniam</w:t>
            </w:r>
          </w:p>
        </w:tc>
        <w:tc>
          <w:tcPr>
            <w:tcW w:w="1101" w:type="dxa"/>
            <w:tcBorders>
              <w:top w:val="nil"/>
              <w:left w:val="nil"/>
              <w:bottom w:val="nil"/>
              <w:right w:val="nil"/>
            </w:tcBorders>
            <w:shd w:val="clear" w:color="auto" w:fill="auto"/>
            <w:noWrap/>
            <w:vAlign w:val="center"/>
            <w:hideMark/>
          </w:tcPr>
          <w:p w14:paraId="243DFEE9"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-87 582</w:t>
            </w:r>
          </w:p>
        </w:tc>
        <w:tc>
          <w:tcPr>
            <w:tcW w:w="931" w:type="dxa"/>
            <w:tcBorders>
              <w:top w:val="nil"/>
              <w:left w:val="nil"/>
              <w:bottom w:val="nil"/>
              <w:right w:val="nil"/>
            </w:tcBorders>
            <w:shd w:val="clear" w:color="auto" w:fill="auto"/>
            <w:noWrap/>
            <w:vAlign w:val="center"/>
            <w:hideMark/>
          </w:tcPr>
          <w:p w14:paraId="7968F487"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-0,09</w:t>
            </w:r>
          </w:p>
        </w:tc>
      </w:tr>
      <w:tr w:rsidR="00F6147C" w:rsidRPr="00F6147C" w14:paraId="29D7767E" w14:textId="77777777" w:rsidTr="00F6147C">
        <w:trPr>
          <w:trHeight w:val="276"/>
        </w:trPr>
        <w:tc>
          <w:tcPr>
            <w:tcW w:w="6404" w:type="dxa"/>
            <w:tcBorders>
              <w:top w:val="nil"/>
              <w:left w:val="nil"/>
              <w:bottom w:val="nil"/>
              <w:right w:val="nil"/>
            </w:tcBorders>
            <w:shd w:val="clear" w:color="auto" w:fill="auto"/>
            <w:noWrap/>
            <w:vAlign w:val="center"/>
            <w:hideMark/>
          </w:tcPr>
          <w:p w14:paraId="3DF82258"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ostatné</w:t>
            </w:r>
          </w:p>
        </w:tc>
        <w:tc>
          <w:tcPr>
            <w:tcW w:w="1101" w:type="dxa"/>
            <w:tcBorders>
              <w:top w:val="nil"/>
              <w:left w:val="nil"/>
              <w:bottom w:val="nil"/>
              <w:right w:val="nil"/>
            </w:tcBorders>
            <w:shd w:val="clear" w:color="auto" w:fill="auto"/>
            <w:noWrap/>
            <w:vAlign w:val="center"/>
            <w:hideMark/>
          </w:tcPr>
          <w:p w14:paraId="734A647B" w14:textId="77777777" w:rsidR="00F6147C" w:rsidRPr="000911E5" w:rsidRDefault="00F6147C" w:rsidP="00F6147C">
            <w:pPr>
              <w:spacing w:after="0" w:line="240" w:lineRule="auto"/>
              <w:jc w:val="right"/>
              <w:rPr>
                <w:rFonts w:eastAsia="Times New Roman" w:cs="Times New Roman"/>
                <w:sz w:val="20"/>
                <w:szCs w:val="20"/>
                <w:lang w:eastAsia="sk-SK"/>
              </w:rPr>
            </w:pPr>
            <w:r w:rsidRPr="000911E5">
              <w:rPr>
                <w:rFonts w:eastAsia="Times New Roman" w:cs="Times New Roman"/>
                <w:sz w:val="20"/>
                <w:szCs w:val="20"/>
                <w:lang w:eastAsia="sk-SK"/>
              </w:rPr>
              <w:t>30 014</w:t>
            </w:r>
          </w:p>
        </w:tc>
        <w:tc>
          <w:tcPr>
            <w:tcW w:w="931" w:type="dxa"/>
            <w:tcBorders>
              <w:top w:val="nil"/>
              <w:left w:val="nil"/>
              <w:bottom w:val="nil"/>
              <w:right w:val="nil"/>
            </w:tcBorders>
            <w:shd w:val="clear" w:color="auto" w:fill="auto"/>
            <w:noWrap/>
            <w:vAlign w:val="center"/>
            <w:hideMark/>
          </w:tcPr>
          <w:p w14:paraId="07FDACB6"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0,03</w:t>
            </w:r>
          </w:p>
        </w:tc>
      </w:tr>
      <w:tr w:rsidR="00775596" w:rsidRPr="00775596" w14:paraId="1BBDCC9B" w14:textId="77777777" w:rsidTr="00775596">
        <w:trPr>
          <w:trHeight w:val="276"/>
        </w:trPr>
        <w:tc>
          <w:tcPr>
            <w:tcW w:w="6404" w:type="dxa"/>
            <w:tcBorders>
              <w:top w:val="nil"/>
              <w:left w:val="nil"/>
              <w:bottom w:val="nil"/>
              <w:right w:val="nil"/>
            </w:tcBorders>
            <w:shd w:val="clear" w:color="auto" w:fill="auto"/>
            <w:noWrap/>
            <w:vAlign w:val="center"/>
            <w:hideMark/>
          </w:tcPr>
          <w:p w14:paraId="0C246922" w14:textId="77777777" w:rsidR="00775596" w:rsidRPr="00775596" w:rsidRDefault="00775596" w:rsidP="0062736B">
            <w:pPr>
              <w:spacing w:after="0" w:line="240" w:lineRule="auto"/>
              <w:jc w:val="left"/>
              <w:rPr>
                <w:rFonts w:eastAsia="Times New Roman" w:cs="Times New Roman"/>
                <w:b/>
                <w:color w:val="000000"/>
                <w:sz w:val="20"/>
                <w:szCs w:val="20"/>
                <w:lang w:eastAsia="sk-SK"/>
              </w:rPr>
            </w:pPr>
            <w:r w:rsidRPr="00775596">
              <w:rPr>
                <w:rFonts w:eastAsia="Times New Roman" w:cs="Times New Roman"/>
                <w:b/>
                <w:color w:val="000000"/>
                <w:sz w:val="20"/>
                <w:szCs w:val="20"/>
                <w:lang w:eastAsia="sk-SK"/>
              </w:rPr>
              <w:t xml:space="preserve">   8. Rozdiel v hospodárení ústredných  subjektov  verejnej správy </w:t>
            </w:r>
            <w:r w:rsidRPr="00775596">
              <w:rPr>
                <w:rFonts w:eastAsia="Times New Roman" w:cs="Times New Roman"/>
                <w:b/>
                <w:color w:val="000000"/>
                <w:sz w:val="20"/>
                <w:szCs w:val="20"/>
                <w:lang w:eastAsia="sk-SK"/>
              </w:rPr>
              <w:br/>
              <w:t xml:space="preserve">       bez daňových príjmov</w:t>
            </w:r>
          </w:p>
        </w:tc>
        <w:tc>
          <w:tcPr>
            <w:tcW w:w="1101" w:type="dxa"/>
            <w:tcBorders>
              <w:top w:val="nil"/>
              <w:left w:val="nil"/>
              <w:bottom w:val="nil"/>
              <w:right w:val="nil"/>
            </w:tcBorders>
            <w:shd w:val="clear" w:color="auto" w:fill="auto"/>
            <w:noWrap/>
            <w:vAlign w:val="center"/>
            <w:hideMark/>
          </w:tcPr>
          <w:p w14:paraId="6BE1E4FC" w14:textId="77777777" w:rsidR="00775596" w:rsidRPr="00775596" w:rsidRDefault="00775596" w:rsidP="0062736B">
            <w:pPr>
              <w:spacing w:after="0" w:line="240" w:lineRule="auto"/>
              <w:jc w:val="right"/>
              <w:rPr>
                <w:rFonts w:eastAsia="Times New Roman" w:cs="Times New Roman"/>
                <w:b/>
                <w:sz w:val="20"/>
                <w:szCs w:val="20"/>
                <w:lang w:eastAsia="sk-SK"/>
              </w:rPr>
            </w:pPr>
            <w:r w:rsidRPr="00775596">
              <w:rPr>
                <w:rFonts w:eastAsia="Times New Roman" w:cs="Times New Roman"/>
                <w:b/>
                <w:sz w:val="20"/>
                <w:szCs w:val="20"/>
                <w:lang w:eastAsia="sk-SK"/>
              </w:rPr>
              <w:t>-288 544</w:t>
            </w:r>
          </w:p>
        </w:tc>
        <w:tc>
          <w:tcPr>
            <w:tcW w:w="931" w:type="dxa"/>
            <w:tcBorders>
              <w:top w:val="nil"/>
              <w:left w:val="nil"/>
              <w:bottom w:val="nil"/>
              <w:right w:val="nil"/>
            </w:tcBorders>
            <w:shd w:val="clear" w:color="auto" w:fill="auto"/>
            <w:noWrap/>
            <w:vAlign w:val="center"/>
            <w:hideMark/>
          </w:tcPr>
          <w:p w14:paraId="541A9B1F" w14:textId="77777777" w:rsidR="00775596" w:rsidRPr="00775596" w:rsidRDefault="00775596" w:rsidP="0062736B">
            <w:pPr>
              <w:spacing w:after="0" w:line="240" w:lineRule="auto"/>
              <w:jc w:val="right"/>
              <w:rPr>
                <w:rFonts w:eastAsia="Times New Roman" w:cs="Times New Roman"/>
                <w:b/>
                <w:color w:val="000000"/>
                <w:sz w:val="20"/>
                <w:szCs w:val="20"/>
                <w:lang w:eastAsia="sk-SK"/>
              </w:rPr>
            </w:pPr>
            <w:r w:rsidRPr="00775596">
              <w:rPr>
                <w:rFonts w:eastAsia="Times New Roman" w:cs="Times New Roman"/>
                <w:b/>
                <w:color w:val="000000"/>
                <w:sz w:val="20"/>
                <w:szCs w:val="20"/>
                <w:lang w:eastAsia="sk-SK"/>
              </w:rPr>
              <w:t>-0,31</w:t>
            </w:r>
          </w:p>
        </w:tc>
      </w:tr>
      <w:tr w:rsidR="00775596" w:rsidRPr="00F6147C" w14:paraId="5FE5348B" w14:textId="77777777" w:rsidTr="00775596">
        <w:trPr>
          <w:trHeight w:val="276"/>
        </w:trPr>
        <w:tc>
          <w:tcPr>
            <w:tcW w:w="6404" w:type="dxa"/>
            <w:tcBorders>
              <w:top w:val="nil"/>
              <w:left w:val="nil"/>
              <w:bottom w:val="nil"/>
              <w:right w:val="nil"/>
            </w:tcBorders>
            <w:shd w:val="clear" w:color="auto" w:fill="auto"/>
            <w:noWrap/>
            <w:vAlign w:val="center"/>
            <w:hideMark/>
          </w:tcPr>
          <w:p w14:paraId="5B5F0FB4" w14:textId="77777777" w:rsidR="00775596" w:rsidRPr="000911E5" w:rsidRDefault="00775596" w:rsidP="0062736B">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obchodné spoločnosti štátu</w:t>
            </w:r>
          </w:p>
        </w:tc>
        <w:tc>
          <w:tcPr>
            <w:tcW w:w="1101" w:type="dxa"/>
            <w:tcBorders>
              <w:top w:val="nil"/>
              <w:left w:val="nil"/>
              <w:bottom w:val="nil"/>
              <w:right w:val="nil"/>
            </w:tcBorders>
            <w:shd w:val="clear" w:color="auto" w:fill="auto"/>
            <w:noWrap/>
            <w:vAlign w:val="center"/>
            <w:hideMark/>
          </w:tcPr>
          <w:p w14:paraId="68EA4B79" w14:textId="77777777" w:rsidR="00775596" w:rsidRPr="00775596" w:rsidRDefault="00775596" w:rsidP="0062736B">
            <w:pPr>
              <w:spacing w:after="0" w:line="240" w:lineRule="auto"/>
              <w:jc w:val="right"/>
              <w:rPr>
                <w:rFonts w:eastAsia="Times New Roman" w:cs="Times New Roman"/>
                <w:sz w:val="20"/>
                <w:szCs w:val="20"/>
                <w:lang w:eastAsia="sk-SK"/>
              </w:rPr>
            </w:pPr>
            <w:r w:rsidRPr="00775596">
              <w:rPr>
                <w:rFonts w:eastAsia="Times New Roman" w:cs="Times New Roman"/>
                <w:sz w:val="20"/>
                <w:szCs w:val="20"/>
                <w:lang w:eastAsia="sk-SK"/>
              </w:rPr>
              <w:t>-77 256</w:t>
            </w:r>
          </w:p>
        </w:tc>
        <w:tc>
          <w:tcPr>
            <w:tcW w:w="931" w:type="dxa"/>
            <w:tcBorders>
              <w:top w:val="nil"/>
              <w:left w:val="nil"/>
              <w:bottom w:val="nil"/>
              <w:right w:val="nil"/>
            </w:tcBorders>
            <w:shd w:val="clear" w:color="auto" w:fill="auto"/>
            <w:noWrap/>
            <w:vAlign w:val="center"/>
            <w:hideMark/>
          </w:tcPr>
          <w:p w14:paraId="7F5E4E0D" w14:textId="77777777" w:rsidR="00775596" w:rsidRPr="000911E5" w:rsidRDefault="00775596" w:rsidP="0062736B">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-0,08</w:t>
            </w:r>
          </w:p>
        </w:tc>
      </w:tr>
      <w:tr w:rsidR="00775596" w:rsidRPr="00BB3555" w14:paraId="6F696EC3" w14:textId="77777777" w:rsidTr="00775596">
        <w:trPr>
          <w:trHeight w:val="276"/>
        </w:trPr>
        <w:tc>
          <w:tcPr>
            <w:tcW w:w="6404" w:type="dxa"/>
            <w:tcBorders>
              <w:top w:val="nil"/>
              <w:left w:val="nil"/>
              <w:bottom w:val="nil"/>
              <w:right w:val="nil"/>
            </w:tcBorders>
            <w:shd w:val="clear" w:color="auto" w:fill="auto"/>
            <w:noWrap/>
            <w:vAlign w:val="center"/>
            <w:hideMark/>
          </w:tcPr>
          <w:p w14:paraId="771DA105" w14:textId="77777777" w:rsidR="00775596" w:rsidRPr="000911E5" w:rsidRDefault="00775596" w:rsidP="0062736B">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zdravotnícke zariadenia ústredné</w:t>
            </w:r>
          </w:p>
        </w:tc>
        <w:tc>
          <w:tcPr>
            <w:tcW w:w="1101" w:type="dxa"/>
            <w:tcBorders>
              <w:top w:val="nil"/>
              <w:left w:val="nil"/>
              <w:bottom w:val="nil"/>
              <w:right w:val="nil"/>
            </w:tcBorders>
            <w:shd w:val="clear" w:color="auto" w:fill="auto"/>
            <w:noWrap/>
            <w:vAlign w:val="center"/>
            <w:hideMark/>
          </w:tcPr>
          <w:p w14:paraId="46B72591" w14:textId="77777777" w:rsidR="00775596" w:rsidRPr="00775596" w:rsidRDefault="00775596" w:rsidP="0062736B">
            <w:pPr>
              <w:spacing w:after="0" w:line="240" w:lineRule="auto"/>
              <w:jc w:val="right"/>
              <w:rPr>
                <w:rFonts w:eastAsia="Times New Roman" w:cs="Times New Roman"/>
                <w:sz w:val="20"/>
                <w:szCs w:val="20"/>
                <w:lang w:eastAsia="sk-SK"/>
              </w:rPr>
            </w:pPr>
            <w:r w:rsidRPr="00775596">
              <w:rPr>
                <w:rFonts w:eastAsia="Times New Roman" w:cs="Times New Roman"/>
                <w:sz w:val="20"/>
                <w:szCs w:val="20"/>
                <w:lang w:eastAsia="sk-SK"/>
              </w:rPr>
              <w:t>-55 6</w:t>
            </w:r>
            <w:bookmarkStart w:id="21" w:name="_GoBack"/>
            <w:bookmarkEnd w:id="21"/>
            <w:r w:rsidRPr="00775596">
              <w:rPr>
                <w:rFonts w:eastAsia="Times New Roman" w:cs="Times New Roman"/>
                <w:sz w:val="20"/>
                <w:szCs w:val="20"/>
                <w:lang w:eastAsia="sk-SK"/>
              </w:rPr>
              <w:t>01</w:t>
            </w:r>
          </w:p>
        </w:tc>
        <w:tc>
          <w:tcPr>
            <w:tcW w:w="931" w:type="dxa"/>
            <w:tcBorders>
              <w:top w:val="nil"/>
              <w:left w:val="nil"/>
              <w:bottom w:val="nil"/>
              <w:right w:val="nil"/>
            </w:tcBorders>
            <w:shd w:val="clear" w:color="auto" w:fill="auto"/>
            <w:noWrap/>
            <w:vAlign w:val="center"/>
            <w:hideMark/>
          </w:tcPr>
          <w:p w14:paraId="7B29031D" w14:textId="77777777" w:rsidR="00775596" w:rsidRPr="000911E5" w:rsidRDefault="00775596" w:rsidP="0062736B">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-0,06</w:t>
            </w:r>
          </w:p>
        </w:tc>
      </w:tr>
      <w:tr w:rsidR="00775596" w:rsidRPr="00F6147C" w14:paraId="2E31AD80" w14:textId="77777777" w:rsidTr="00775596">
        <w:trPr>
          <w:trHeight w:val="276"/>
        </w:trPr>
        <w:tc>
          <w:tcPr>
            <w:tcW w:w="6404" w:type="dxa"/>
            <w:tcBorders>
              <w:top w:val="nil"/>
              <w:left w:val="nil"/>
              <w:bottom w:val="nil"/>
              <w:right w:val="nil"/>
            </w:tcBorders>
            <w:shd w:val="clear" w:color="auto" w:fill="auto"/>
            <w:noWrap/>
            <w:vAlign w:val="center"/>
            <w:hideMark/>
          </w:tcPr>
          <w:p w14:paraId="3ACB192A" w14:textId="77777777" w:rsidR="00775596" w:rsidRPr="000911E5" w:rsidRDefault="00775596" w:rsidP="0062736B">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PO štátu</w:t>
            </w:r>
          </w:p>
        </w:tc>
        <w:tc>
          <w:tcPr>
            <w:tcW w:w="1101" w:type="dxa"/>
            <w:tcBorders>
              <w:top w:val="nil"/>
              <w:left w:val="nil"/>
              <w:bottom w:val="nil"/>
              <w:right w:val="nil"/>
            </w:tcBorders>
            <w:shd w:val="clear" w:color="auto" w:fill="auto"/>
            <w:noWrap/>
            <w:vAlign w:val="center"/>
            <w:hideMark/>
          </w:tcPr>
          <w:p w14:paraId="1C913082" w14:textId="77777777" w:rsidR="00775596" w:rsidRPr="00775596" w:rsidRDefault="00775596" w:rsidP="0062736B">
            <w:pPr>
              <w:spacing w:after="0" w:line="240" w:lineRule="auto"/>
              <w:jc w:val="right"/>
              <w:rPr>
                <w:rFonts w:eastAsia="Times New Roman" w:cs="Times New Roman"/>
                <w:sz w:val="20"/>
                <w:szCs w:val="20"/>
                <w:lang w:eastAsia="sk-SK"/>
              </w:rPr>
            </w:pPr>
            <w:r w:rsidRPr="00775596">
              <w:rPr>
                <w:rFonts w:eastAsia="Times New Roman" w:cs="Times New Roman"/>
                <w:sz w:val="20"/>
                <w:szCs w:val="20"/>
                <w:lang w:eastAsia="sk-SK"/>
              </w:rPr>
              <w:t>30 058</w:t>
            </w:r>
          </w:p>
        </w:tc>
        <w:tc>
          <w:tcPr>
            <w:tcW w:w="931" w:type="dxa"/>
            <w:tcBorders>
              <w:top w:val="nil"/>
              <w:left w:val="nil"/>
              <w:bottom w:val="nil"/>
              <w:right w:val="nil"/>
            </w:tcBorders>
            <w:shd w:val="clear" w:color="auto" w:fill="auto"/>
            <w:noWrap/>
            <w:vAlign w:val="center"/>
            <w:hideMark/>
          </w:tcPr>
          <w:p w14:paraId="08FEB350" w14:textId="77777777" w:rsidR="00775596" w:rsidRPr="000911E5" w:rsidRDefault="00775596" w:rsidP="0062736B">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0,03</w:t>
            </w:r>
          </w:p>
        </w:tc>
      </w:tr>
      <w:tr w:rsidR="00775596" w:rsidRPr="00F6147C" w14:paraId="05D2F0EC" w14:textId="77777777" w:rsidTr="00775596">
        <w:trPr>
          <w:trHeight w:val="276"/>
        </w:trPr>
        <w:tc>
          <w:tcPr>
            <w:tcW w:w="6404" w:type="dxa"/>
            <w:tcBorders>
              <w:top w:val="nil"/>
              <w:left w:val="nil"/>
              <w:bottom w:val="nil"/>
              <w:right w:val="nil"/>
            </w:tcBorders>
            <w:shd w:val="clear" w:color="auto" w:fill="auto"/>
            <w:noWrap/>
            <w:vAlign w:val="center"/>
            <w:hideMark/>
          </w:tcPr>
          <w:p w14:paraId="42D9CC22" w14:textId="77777777" w:rsidR="00775596" w:rsidRPr="000911E5" w:rsidRDefault="00775596" w:rsidP="0062736B">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štátne fondy bez vplyvu príjmov z emisných kvót</w:t>
            </w:r>
          </w:p>
        </w:tc>
        <w:tc>
          <w:tcPr>
            <w:tcW w:w="1101" w:type="dxa"/>
            <w:tcBorders>
              <w:top w:val="nil"/>
              <w:left w:val="nil"/>
              <w:bottom w:val="nil"/>
              <w:right w:val="nil"/>
            </w:tcBorders>
            <w:shd w:val="clear" w:color="auto" w:fill="auto"/>
            <w:noWrap/>
            <w:vAlign w:val="center"/>
            <w:hideMark/>
          </w:tcPr>
          <w:p w14:paraId="38791CE1" w14:textId="77777777" w:rsidR="00775596" w:rsidRPr="00775596" w:rsidRDefault="00775596" w:rsidP="0062736B">
            <w:pPr>
              <w:spacing w:after="0" w:line="240" w:lineRule="auto"/>
              <w:jc w:val="right"/>
              <w:rPr>
                <w:rFonts w:eastAsia="Times New Roman" w:cs="Times New Roman"/>
                <w:sz w:val="20"/>
                <w:szCs w:val="20"/>
                <w:lang w:eastAsia="sk-SK"/>
              </w:rPr>
            </w:pPr>
            <w:r w:rsidRPr="00775596">
              <w:rPr>
                <w:rFonts w:eastAsia="Times New Roman" w:cs="Times New Roman"/>
                <w:sz w:val="20"/>
                <w:szCs w:val="20"/>
                <w:lang w:eastAsia="sk-SK"/>
              </w:rPr>
              <w:t>-336 347</w:t>
            </w:r>
          </w:p>
        </w:tc>
        <w:tc>
          <w:tcPr>
            <w:tcW w:w="931" w:type="dxa"/>
            <w:tcBorders>
              <w:top w:val="nil"/>
              <w:left w:val="nil"/>
              <w:bottom w:val="nil"/>
              <w:right w:val="nil"/>
            </w:tcBorders>
            <w:shd w:val="clear" w:color="auto" w:fill="auto"/>
            <w:noWrap/>
            <w:vAlign w:val="center"/>
            <w:hideMark/>
          </w:tcPr>
          <w:p w14:paraId="1955A621" w14:textId="77777777" w:rsidR="00775596" w:rsidRPr="000911E5" w:rsidRDefault="00775596" w:rsidP="0062736B">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-0,36</w:t>
            </w:r>
          </w:p>
        </w:tc>
      </w:tr>
      <w:tr w:rsidR="00775596" w:rsidRPr="00F6147C" w14:paraId="32855975" w14:textId="77777777" w:rsidTr="00775596">
        <w:trPr>
          <w:trHeight w:val="276"/>
        </w:trPr>
        <w:tc>
          <w:tcPr>
            <w:tcW w:w="6404" w:type="dxa"/>
            <w:tcBorders>
              <w:top w:val="nil"/>
              <w:left w:val="nil"/>
              <w:bottom w:val="nil"/>
              <w:right w:val="nil"/>
            </w:tcBorders>
            <w:shd w:val="clear" w:color="auto" w:fill="auto"/>
            <w:noWrap/>
            <w:vAlign w:val="center"/>
            <w:hideMark/>
          </w:tcPr>
          <w:p w14:paraId="0871324E" w14:textId="77777777" w:rsidR="00775596" w:rsidRPr="000911E5" w:rsidRDefault="00775596" w:rsidP="0062736B">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ostatné subjekty ústrednej správy</w:t>
            </w:r>
          </w:p>
        </w:tc>
        <w:tc>
          <w:tcPr>
            <w:tcW w:w="1101" w:type="dxa"/>
            <w:tcBorders>
              <w:top w:val="nil"/>
              <w:left w:val="nil"/>
              <w:bottom w:val="nil"/>
              <w:right w:val="nil"/>
            </w:tcBorders>
            <w:shd w:val="clear" w:color="auto" w:fill="auto"/>
            <w:noWrap/>
            <w:vAlign w:val="center"/>
            <w:hideMark/>
          </w:tcPr>
          <w:p w14:paraId="79A38006" w14:textId="77777777" w:rsidR="00775596" w:rsidRPr="00775596" w:rsidRDefault="00775596" w:rsidP="0062736B">
            <w:pPr>
              <w:spacing w:after="0" w:line="240" w:lineRule="auto"/>
              <w:jc w:val="right"/>
              <w:rPr>
                <w:rFonts w:eastAsia="Times New Roman" w:cs="Times New Roman"/>
                <w:sz w:val="20"/>
                <w:szCs w:val="20"/>
                <w:lang w:eastAsia="sk-SK"/>
              </w:rPr>
            </w:pPr>
            <w:r w:rsidRPr="00775596">
              <w:rPr>
                <w:rFonts w:eastAsia="Times New Roman" w:cs="Times New Roman"/>
                <w:sz w:val="20"/>
                <w:szCs w:val="20"/>
                <w:lang w:eastAsia="sk-SK"/>
              </w:rPr>
              <w:t>150 602</w:t>
            </w:r>
          </w:p>
        </w:tc>
        <w:tc>
          <w:tcPr>
            <w:tcW w:w="931" w:type="dxa"/>
            <w:tcBorders>
              <w:top w:val="nil"/>
              <w:left w:val="nil"/>
              <w:bottom w:val="nil"/>
              <w:right w:val="nil"/>
            </w:tcBorders>
            <w:shd w:val="clear" w:color="auto" w:fill="auto"/>
            <w:noWrap/>
            <w:vAlign w:val="center"/>
            <w:hideMark/>
          </w:tcPr>
          <w:p w14:paraId="10734E09" w14:textId="77777777" w:rsidR="00775596" w:rsidRPr="000911E5" w:rsidRDefault="00775596" w:rsidP="0062736B">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0,16</w:t>
            </w:r>
          </w:p>
        </w:tc>
      </w:tr>
    </w:tbl>
    <w:p w14:paraId="494C5CCE" w14:textId="77777777" w:rsidR="003635C6" w:rsidRDefault="003635C6">
      <w:r>
        <w:br w:type="page"/>
      </w:r>
    </w:p>
    <w:tbl>
      <w:tblPr>
        <w:tblW w:w="8436" w:type="dxa"/>
        <w:tblCellMar>
          <w:left w:w="70" w:type="dxa"/>
          <w:right w:w="70" w:type="dxa"/>
        </w:tblCellMar>
        <w:tblLook w:val="04A0" w:firstRow="1" w:lastRow="0" w:firstColumn="1" w:lastColumn="0" w:noHBand="0" w:noVBand="1"/>
      </w:tblPr>
      <w:tblGrid>
        <w:gridCol w:w="6404"/>
        <w:gridCol w:w="1101"/>
        <w:gridCol w:w="931"/>
      </w:tblGrid>
      <w:tr w:rsidR="003635C6" w:rsidRPr="00F6147C" w14:paraId="0817F516" w14:textId="77777777" w:rsidTr="00A164E5">
        <w:trPr>
          <w:trHeight w:val="288"/>
        </w:trPr>
        <w:tc>
          <w:tcPr>
            <w:tcW w:w="8436" w:type="dxa"/>
            <w:gridSpan w:val="3"/>
            <w:tcBorders>
              <w:top w:val="nil"/>
              <w:left w:val="nil"/>
              <w:right w:val="nil"/>
            </w:tcBorders>
            <w:shd w:val="clear" w:color="000000" w:fill="000000"/>
            <w:noWrap/>
            <w:vAlign w:val="center"/>
            <w:hideMark/>
          </w:tcPr>
          <w:p w14:paraId="6F8979F1" w14:textId="18588EB9" w:rsidR="003635C6" w:rsidRPr="00F6147C" w:rsidRDefault="003635C6" w:rsidP="005E1134">
            <w:pPr>
              <w:spacing w:before="120" w:line="240" w:lineRule="auto"/>
              <w:jc w:val="left"/>
              <w:rPr>
                <w:rFonts w:eastAsia="Times New Roman" w:cs="Times New Roman"/>
                <w:b/>
                <w:bCs/>
                <w:color w:val="FFFFFF"/>
                <w:sz w:val="20"/>
                <w:szCs w:val="20"/>
                <w:lang w:eastAsia="sk-SK"/>
              </w:rPr>
            </w:pPr>
            <w:r w:rsidRPr="00F6147C">
              <w:rPr>
                <w:rFonts w:eastAsia="Times New Roman" w:cs="Times New Roman"/>
                <w:b/>
                <w:bCs/>
                <w:color w:val="FFFFFF"/>
                <w:sz w:val="20"/>
                <w:szCs w:val="20"/>
                <w:lang w:eastAsia="sk-SK"/>
              </w:rPr>
              <w:t xml:space="preserve">Saldo verejnej správy v roku 2019 podľa ESA2010 </w:t>
            </w:r>
            <w:r>
              <w:rPr>
                <w:rFonts w:eastAsia="Times New Roman" w:cs="Times New Roman"/>
                <w:b/>
                <w:bCs/>
                <w:color w:val="FFFFFF"/>
                <w:sz w:val="20"/>
                <w:szCs w:val="20"/>
                <w:lang w:eastAsia="sk-SK"/>
              </w:rPr>
              <w:t xml:space="preserve">  - pokračovanie</w:t>
            </w:r>
            <w:r w:rsidRPr="00F6147C">
              <w:rPr>
                <w:rFonts w:eastAsia="Times New Roman" w:cs="Times New Roman"/>
                <w:b/>
                <w:bCs/>
                <w:color w:val="FFFFFF"/>
                <w:sz w:val="20"/>
                <w:szCs w:val="20"/>
                <w:lang w:eastAsia="sk-SK"/>
              </w:rPr>
              <w:t xml:space="preserve">                      </w:t>
            </w:r>
            <w:r>
              <w:rPr>
                <w:rFonts w:eastAsia="Times New Roman" w:cs="Times New Roman"/>
                <w:b/>
                <w:bCs/>
                <w:color w:val="FFFFFF"/>
                <w:sz w:val="20"/>
                <w:szCs w:val="20"/>
                <w:lang w:eastAsia="sk-SK"/>
              </w:rPr>
              <w:t xml:space="preserve">     </w:t>
            </w:r>
            <w:r w:rsidRPr="00F6147C">
              <w:rPr>
                <w:rFonts w:eastAsia="Times New Roman" w:cs="Times New Roman"/>
                <w:b/>
                <w:bCs/>
                <w:color w:val="FFFFFF"/>
                <w:sz w:val="20"/>
                <w:szCs w:val="20"/>
                <w:lang w:eastAsia="sk-SK"/>
              </w:rPr>
              <w:t xml:space="preserve">    v  tis. eur                                                                 </w:t>
            </w:r>
          </w:p>
        </w:tc>
      </w:tr>
      <w:tr w:rsidR="003635C6" w:rsidRPr="00F6147C" w14:paraId="7EA66F57" w14:textId="77777777" w:rsidTr="00A164E5">
        <w:trPr>
          <w:trHeight w:val="330"/>
        </w:trPr>
        <w:tc>
          <w:tcPr>
            <w:tcW w:w="6404" w:type="dxa"/>
            <w:tcBorders>
              <w:top w:val="nil"/>
              <w:left w:val="nil"/>
              <w:bottom w:val="single" w:sz="4" w:space="0" w:color="auto"/>
              <w:right w:val="nil"/>
            </w:tcBorders>
            <w:shd w:val="clear" w:color="000000" w:fill="BFBFBF"/>
            <w:noWrap/>
            <w:vAlign w:val="center"/>
            <w:hideMark/>
          </w:tcPr>
          <w:p w14:paraId="1A21FB13" w14:textId="77777777" w:rsidR="003635C6" w:rsidRPr="00F6147C" w:rsidRDefault="003635C6" w:rsidP="0062736B">
            <w:pPr>
              <w:spacing w:after="0" w:line="240" w:lineRule="auto"/>
              <w:jc w:val="lef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 </w:t>
            </w:r>
          </w:p>
        </w:tc>
        <w:tc>
          <w:tcPr>
            <w:tcW w:w="1101" w:type="dxa"/>
            <w:tcBorders>
              <w:top w:val="nil"/>
              <w:left w:val="nil"/>
              <w:bottom w:val="single" w:sz="4" w:space="0" w:color="auto"/>
              <w:right w:val="nil"/>
            </w:tcBorders>
            <w:shd w:val="clear" w:color="000000" w:fill="BFBFBF"/>
            <w:noWrap/>
            <w:vAlign w:val="center"/>
            <w:hideMark/>
          </w:tcPr>
          <w:p w14:paraId="24A9D694" w14:textId="77777777" w:rsidR="003635C6" w:rsidRPr="00F6147C" w:rsidRDefault="003635C6" w:rsidP="0062736B">
            <w:pPr>
              <w:spacing w:after="0" w:line="240" w:lineRule="auto"/>
              <w:jc w:val="center"/>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2019</w:t>
            </w:r>
          </w:p>
        </w:tc>
        <w:tc>
          <w:tcPr>
            <w:tcW w:w="931" w:type="dxa"/>
            <w:tcBorders>
              <w:top w:val="nil"/>
              <w:left w:val="nil"/>
              <w:bottom w:val="single" w:sz="4" w:space="0" w:color="auto"/>
              <w:right w:val="nil"/>
            </w:tcBorders>
            <w:shd w:val="clear" w:color="000000" w:fill="BFBFBF"/>
            <w:vAlign w:val="center"/>
            <w:hideMark/>
          </w:tcPr>
          <w:p w14:paraId="2299BAF8" w14:textId="77777777" w:rsidR="003635C6" w:rsidRPr="00F6147C" w:rsidRDefault="003635C6" w:rsidP="0062736B">
            <w:pPr>
              <w:spacing w:after="0" w:line="240" w:lineRule="auto"/>
              <w:jc w:val="center"/>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Rozdiel</w:t>
            </w:r>
            <w:r w:rsidRPr="00F6147C">
              <w:rPr>
                <w:rFonts w:eastAsia="Times New Roman" w:cs="Times New Roman"/>
                <w:b/>
                <w:bCs/>
                <w:color w:val="000000"/>
                <w:sz w:val="20"/>
                <w:szCs w:val="20"/>
                <w:lang w:eastAsia="sk-SK"/>
              </w:rPr>
              <w:br/>
              <w:t>(% HDP)</w:t>
            </w:r>
          </w:p>
        </w:tc>
      </w:tr>
      <w:tr w:rsidR="00F6147C" w:rsidRPr="00BB3555" w14:paraId="79C87DD6" w14:textId="77777777" w:rsidTr="00A164E5">
        <w:trPr>
          <w:trHeight w:val="276"/>
        </w:trPr>
        <w:tc>
          <w:tcPr>
            <w:tcW w:w="6404" w:type="dxa"/>
            <w:tcBorders>
              <w:top w:val="single" w:sz="4" w:space="0" w:color="auto"/>
              <w:left w:val="nil"/>
              <w:bottom w:val="nil"/>
              <w:right w:val="nil"/>
            </w:tcBorders>
            <w:shd w:val="clear" w:color="auto" w:fill="auto"/>
            <w:vAlign w:val="center"/>
            <w:hideMark/>
          </w:tcPr>
          <w:p w14:paraId="6A0B1F02" w14:textId="77777777" w:rsidR="00F6147C" w:rsidRPr="000911E5" w:rsidRDefault="00F6147C" w:rsidP="00F6147C">
            <w:pPr>
              <w:spacing w:after="0" w:line="240" w:lineRule="auto"/>
              <w:jc w:val="left"/>
              <w:rPr>
                <w:rFonts w:eastAsia="Times New Roman" w:cs="Times New Roman"/>
                <w:b/>
                <w:color w:val="000000"/>
                <w:sz w:val="20"/>
                <w:szCs w:val="20"/>
                <w:lang w:eastAsia="sk-SK"/>
              </w:rPr>
            </w:pPr>
            <w:r w:rsidRPr="000911E5">
              <w:rPr>
                <w:rFonts w:eastAsia="Times New Roman" w:cs="Times New Roman"/>
                <w:b/>
                <w:color w:val="000000"/>
                <w:sz w:val="20"/>
                <w:szCs w:val="20"/>
                <w:lang w:eastAsia="sk-SK"/>
              </w:rPr>
              <w:t xml:space="preserve">   9. Rozdiel v hospodárení územnej samosprávy bez daňových príjmov</w:t>
            </w:r>
          </w:p>
        </w:tc>
        <w:tc>
          <w:tcPr>
            <w:tcW w:w="1101" w:type="dxa"/>
            <w:tcBorders>
              <w:top w:val="single" w:sz="4" w:space="0" w:color="auto"/>
              <w:left w:val="nil"/>
              <w:bottom w:val="nil"/>
              <w:right w:val="nil"/>
            </w:tcBorders>
            <w:shd w:val="clear" w:color="auto" w:fill="auto"/>
            <w:noWrap/>
            <w:vAlign w:val="center"/>
            <w:hideMark/>
          </w:tcPr>
          <w:p w14:paraId="47B177E0" w14:textId="5D53F510" w:rsidR="00F6147C" w:rsidRPr="00C01F52" w:rsidRDefault="008E0EF3" w:rsidP="008E0EF3">
            <w:pPr>
              <w:spacing w:after="0" w:line="240" w:lineRule="auto"/>
              <w:jc w:val="right"/>
              <w:rPr>
                <w:rFonts w:eastAsia="Times New Roman" w:cs="Times New Roman"/>
                <w:b/>
                <w:bCs/>
                <w:iCs/>
                <w:color w:val="000000"/>
                <w:sz w:val="20"/>
                <w:szCs w:val="20"/>
                <w:lang w:eastAsia="sk-SK"/>
              </w:rPr>
            </w:pPr>
            <w:r w:rsidRPr="00C01F52">
              <w:rPr>
                <w:rFonts w:eastAsia="Times New Roman" w:cs="Times New Roman"/>
                <w:b/>
                <w:bCs/>
                <w:iCs/>
                <w:color w:val="000000"/>
                <w:sz w:val="20"/>
                <w:szCs w:val="20"/>
                <w:lang w:eastAsia="sk-SK"/>
              </w:rPr>
              <w:t>-256</w:t>
            </w:r>
            <w:r w:rsidR="00F6147C" w:rsidRPr="00C01F52">
              <w:rPr>
                <w:rFonts w:eastAsia="Times New Roman" w:cs="Times New Roman"/>
                <w:b/>
                <w:bCs/>
                <w:iCs/>
                <w:color w:val="000000"/>
                <w:sz w:val="20"/>
                <w:szCs w:val="20"/>
                <w:lang w:eastAsia="sk-SK"/>
              </w:rPr>
              <w:t xml:space="preserve"> </w:t>
            </w:r>
            <w:r w:rsidRPr="00C01F52">
              <w:rPr>
                <w:rFonts w:eastAsia="Times New Roman" w:cs="Times New Roman"/>
                <w:b/>
                <w:bCs/>
                <w:iCs/>
                <w:color w:val="000000"/>
                <w:sz w:val="20"/>
                <w:szCs w:val="20"/>
                <w:lang w:eastAsia="sk-SK"/>
              </w:rPr>
              <w:t>451</w:t>
            </w:r>
          </w:p>
        </w:tc>
        <w:tc>
          <w:tcPr>
            <w:tcW w:w="931" w:type="dxa"/>
            <w:tcBorders>
              <w:top w:val="single" w:sz="4" w:space="0" w:color="auto"/>
              <w:left w:val="nil"/>
              <w:bottom w:val="nil"/>
              <w:right w:val="nil"/>
            </w:tcBorders>
            <w:shd w:val="clear" w:color="auto" w:fill="auto"/>
            <w:noWrap/>
            <w:vAlign w:val="center"/>
            <w:hideMark/>
          </w:tcPr>
          <w:p w14:paraId="7E50B8A5" w14:textId="43B0377E" w:rsidR="00F6147C" w:rsidRPr="00C01F52" w:rsidRDefault="00F6147C" w:rsidP="008E0EF3">
            <w:pPr>
              <w:spacing w:after="0" w:line="240" w:lineRule="auto"/>
              <w:jc w:val="right"/>
              <w:rPr>
                <w:rFonts w:eastAsia="Times New Roman" w:cs="Times New Roman"/>
                <w:b/>
                <w:color w:val="000000"/>
                <w:sz w:val="20"/>
                <w:szCs w:val="20"/>
                <w:lang w:eastAsia="sk-SK"/>
              </w:rPr>
            </w:pPr>
            <w:r w:rsidRPr="00C01F52">
              <w:rPr>
                <w:rFonts w:eastAsia="Times New Roman" w:cs="Times New Roman"/>
                <w:b/>
                <w:color w:val="000000"/>
                <w:sz w:val="20"/>
                <w:szCs w:val="20"/>
                <w:lang w:eastAsia="sk-SK"/>
              </w:rPr>
              <w:t>-0,2</w:t>
            </w:r>
            <w:r w:rsidR="008E0EF3" w:rsidRPr="00C01F52">
              <w:rPr>
                <w:rFonts w:eastAsia="Times New Roman" w:cs="Times New Roman"/>
                <w:b/>
                <w:color w:val="000000"/>
                <w:sz w:val="20"/>
                <w:szCs w:val="20"/>
                <w:lang w:eastAsia="sk-SK"/>
              </w:rPr>
              <w:t>7</w:t>
            </w:r>
          </w:p>
        </w:tc>
      </w:tr>
      <w:tr w:rsidR="00F6147C" w:rsidRPr="00BB3555" w14:paraId="7902EECB" w14:textId="77777777" w:rsidTr="00F6147C">
        <w:trPr>
          <w:trHeight w:val="276"/>
        </w:trPr>
        <w:tc>
          <w:tcPr>
            <w:tcW w:w="6404" w:type="dxa"/>
            <w:tcBorders>
              <w:top w:val="nil"/>
              <w:left w:val="nil"/>
              <w:bottom w:val="nil"/>
              <w:right w:val="nil"/>
            </w:tcBorders>
            <w:shd w:val="clear" w:color="auto" w:fill="auto"/>
            <w:noWrap/>
            <w:vAlign w:val="center"/>
            <w:hideMark/>
          </w:tcPr>
          <w:p w14:paraId="1B906A2A"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obce</w:t>
            </w:r>
          </w:p>
        </w:tc>
        <w:tc>
          <w:tcPr>
            <w:tcW w:w="1101" w:type="dxa"/>
            <w:tcBorders>
              <w:top w:val="nil"/>
              <w:left w:val="nil"/>
              <w:bottom w:val="nil"/>
              <w:right w:val="nil"/>
            </w:tcBorders>
            <w:shd w:val="clear" w:color="auto" w:fill="auto"/>
            <w:noWrap/>
            <w:vAlign w:val="center"/>
            <w:hideMark/>
          </w:tcPr>
          <w:p w14:paraId="0E4584A2"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-178 398</w:t>
            </w:r>
          </w:p>
        </w:tc>
        <w:tc>
          <w:tcPr>
            <w:tcW w:w="931" w:type="dxa"/>
            <w:tcBorders>
              <w:top w:val="nil"/>
              <w:left w:val="nil"/>
              <w:bottom w:val="nil"/>
              <w:right w:val="nil"/>
            </w:tcBorders>
            <w:shd w:val="clear" w:color="auto" w:fill="auto"/>
            <w:noWrap/>
            <w:vAlign w:val="center"/>
            <w:hideMark/>
          </w:tcPr>
          <w:p w14:paraId="1BFDF73F"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-0,19</w:t>
            </w:r>
          </w:p>
        </w:tc>
      </w:tr>
      <w:tr w:rsidR="00F6147C" w:rsidRPr="00F6147C" w14:paraId="3B186E24" w14:textId="77777777" w:rsidTr="00F6147C">
        <w:trPr>
          <w:trHeight w:val="276"/>
        </w:trPr>
        <w:tc>
          <w:tcPr>
            <w:tcW w:w="6404" w:type="dxa"/>
            <w:tcBorders>
              <w:top w:val="nil"/>
              <w:left w:val="nil"/>
              <w:bottom w:val="nil"/>
              <w:right w:val="nil"/>
            </w:tcBorders>
            <w:shd w:val="clear" w:color="auto" w:fill="auto"/>
            <w:noWrap/>
            <w:vAlign w:val="center"/>
            <w:hideMark/>
          </w:tcPr>
          <w:p w14:paraId="008FE9D2" w14:textId="3FD4322D"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w:t>
            </w:r>
            <w:r w:rsidR="00DE17D3" w:rsidRPr="000911E5">
              <w:rPr>
                <w:rFonts w:eastAsia="Times New Roman" w:cs="Times New Roman"/>
                <w:color w:val="000000"/>
                <w:sz w:val="20"/>
                <w:szCs w:val="20"/>
                <w:lang w:eastAsia="sk-SK"/>
              </w:rPr>
              <w:t>- VÚ</w:t>
            </w:r>
            <w:r w:rsidRPr="000911E5">
              <w:rPr>
                <w:rFonts w:eastAsia="Times New Roman" w:cs="Times New Roman"/>
                <w:color w:val="000000"/>
                <w:sz w:val="20"/>
                <w:szCs w:val="20"/>
                <w:lang w:eastAsia="sk-SK"/>
              </w:rPr>
              <w:t>C</w:t>
            </w:r>
          </w:p>
        </w:tc>
        <w:tc>
          <w:tcPr>
            <w:tcW w:w="1101" w:type="dxa"/>
            <w:tcBorders>
              <w:top w:val="nil"/>
              <w:left w:val="nil"/>
              <w:bottom w:val="nil"/>
              <w:right w:val="nil"/>
            </w:tcBorders>
            <w:shd w:val="clear" w:color="auto" w:fill="auto"/>
            <w:noWrap/>
            <w:vAlign w:val="center"/>
            <w:hideMark/>
          </w:tcPr>
          <w:p w14:paraId="2C09CB5F"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-75 671</w:t>
            </w:r>
          </w:p>
        </w:tc>
        <w:tc>
          <w:tcPr>
            <w:tcW w:w="931" w:type="dxa"/>
            <w:tcBorders>
              <w:top w:val="nil"/>
              <w:left w:val="nil"/>
              <w:bottom w:val="nil"/>
              <w:right w:val="nil"/>
            </w:tcBorders>
            <w:shd w:val="clear" w:color="auto" w:fill="auto"/>
            <w:noWrap/>
            <w:vAlign w:val="center"/>
            <w:hideMark/>
          </w:tcPr>
          <w:p w14:paraId="0ECBCA31"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-0,08</w:t>
            </w:r>
          </w:p>
        </w:tc>
      </w:tr>
      <w:tr w:rsidR="00F6147C" w:rsidRPr="00F6147C" w14:paraId="3CB38E76" w14:textId="77777777" w:rsidTr="00F6147C">
        <w:trPr>
          <w:trHeight w:val="276"/>
        </w:trPr>
        <w:tc>
          <w:tcPr>
            <w:tcW w:w="6404" w:type="dxa"/>
            <w:tcBorders>
              <w:top w:val="nil"/>
              <w:left w:val="nil"/>
              <w:bottom w:val="nil"/>
              <w:right w:val="nil"/>
            </w:tcBorders>
            <w:shd w:val="clear" w:color="auto" w:fill="auto"/>
            <w:noWrap/>
            <w:vAlign w:val="center"/>
            <w:hideMark/>
          </w:tcPr>
          <w:p w14:paraId="33461CFB"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dopravné podniky</w:t>
            </w:r>
          </w:p>
        </w:tc>
        <w:tc>
          <w:tcPr>
            <w:tcW w:w="1101" w:type="dxa"/>
            <w:tcBorders>
              <w:top w:val="nil"/>
              <w:left w:val="nil"/>
              <w:bottom w:val="nil"/>
              <w:right w:val="nil"/>
            </w:tcBorders>
            <w:shd w:val="clear" w:color="auto" w:fill="auto"/>
            <w:noWrap/>
            <w:vAlign w:val="center"/>
            <w:hideMark/>
          </w:tcPr>
          <w:p w14:paraId="23D28654"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10 186</w:t>
            </w:r>
          </w:p>
        </w:tc>
        <w:tc>
          <w:tcPr>
            <w:tcW w:w="931" w:type="dxa"/>
            <w:tcBorders>
              <w:top w:val="nil"/>
              <w:left w:val="nil"/>
              <w:bottom w:val="nil"/>
              <w:right w:val="nil"/>
            </w:tcBorders>
            <w:shd w:val="clear" w:color="auto" w:fill="auto"/>
            <w:noWrap/>
            <w:vAlign w:val="center"/>
            <w:hideMark/>
          </w:tcPr>
          <w:p w14:paraId="5E780062"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0,01</w:t>
            </w:r>
          </w:p>
        </w:tc>
      </w:tr>
      <w:tr w:rsidR="00F6147C" w:rsidRPr="00BB3555" w14:paraId="25EC58AD" w14:textId="77777777" w:rsidTr="00F6147C">
        <w:trPr>
          <w:trHeight w:val="276"/>
        </w:trPr>
        <w:tc>
          <w:tcPr>
            <w:tcW w:w="6404" w:type="dxa"/>
            <w:tcBorders>
              <w:top w:val="nil"/>
              <w:left w:val="nil"/>
              <w:bottom w:val="nil"/>
              <w:right w:val="nil"/>
            </w:tcBorders>
            <w:shd w:val="clear" w:color="auto" w:fill="auto"/>
            <w:noWrap/>
            <w:vAlign w:val="center"/>
            <w:hideMark/>
          </w:tcPr>
          <w:p w14:paraId="4F6D1D0F" w14:textId="045FC726"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p</w:t>
            </w:r>
            <w:r w:rsidR="00DE17D3" w:rsidRPr="000911E5">
              <w:rPr>
                <w:rFonts w:eastAsia="Times New Roman" w:cs="Times New Roman"/>
                <w:color w:val="000000"/>
                <w:sz w:val="20"/>
                <w:szCs w:val="20"/>
                <w:lang w:eastAsia="sk-SK"/>
              </w:rPr>
              <w:t>ríspevkové organizácie obcí a VÚ</w:t>
            </w:r>
            <w:r w:rsidRPr="000911E5">
              <w:rPr>
                <w:rFonts w:eastAsia="Times New Roman" w:cs="Times New Roman"/>
                <w:color w:val="000000"/>
                <w:sz w:val="20"/>
                <w:szCs w:val="20"/>
                <w:lang w:eastAsia="sk-SK"/>
              </w:rPr>
              <w:t>C</w:t>
            </w:r>
          </w:p>
        </w:tc>
        <w:tc>
          <w:tcPr>
            <w:tcW w:w="1101" w:type="dxa"/>
            <w:tcBorders>
              <w:top w:val="nil"/>
              <w:left w:val="nil"/>
              <w:bottom w:val="nil"/>
              <w:right w:val="nil"/>
            </w:tcBorders>
            <w:shd w:val="clear" w:color="auto" w:fill="auto"/>
            <w:noWrap/>
            <w:vAlign w:val="center"/>
            <w:hideMark/>
          </w:tcPr>
          <w:p w14:paraId="28009A46"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-1 575</w:t>
            </w:r>
          </w:p>
        </w:tc>
        <w:tc>
          <w:tcPr>
            <w:tcW w:w="931" w:type="dxa"/>
            <w:tcBorders>
              <w:top w:val="nil"/>
              <w:left w:val="nil"/>
              <w:bottom w:val="nil"/>
              <w:right w:val="nil"/>
            </w:tcBorders>
            <w:shd w:val="clear" w:color="auto" w:fill="auto"/>
            <w:noWrap/>
            <w:vAlign w:val="center"/>
            <w:hideMark/>
          </w:tcPr>
          <w:p w14:paraId="3A2B3065"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0,00</w:t>
            </w:r>
          </w:p>
        </w:tc>
      </w:tr>
      <w:tr w:rsidR="00F6147C" w:rsidRPr="00F6147C" w14:paraId="6E84B0F1" w14:textId="77777777" w:rsidTr="00F6147C">
        <w:trPr>
          <w:trHeight w:val="276"/>
        </w:trPr>
        <w:tc>
          <w:tcPr>
            <w:tcW w:w="6404" w:type="dxa"/>
            <w:tcBorders>
              <w:top w:val="nil"/>
              <w:left w:val="nil"/>
              <w:bottom w:val="nil"/>
              <w:right w:val="nil"/>
            </w:tcBorders>
            <w:shd w:val="clear" w:color="auto" w:fill="auto"/>
            <w:noWrap/>
            <w:vAlign w:val="center"/>
            <w:hideMark/>
          </w:tcPr>
          <w:p w14:paraId="7712B159"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zdravotnícke zariadenia miestne</w:t>
            </w:r>
          </w:p>
        </w:tc>
        <w:tc>
          <w:tcPr>
            <w:tcW w:w="1101" w:type="dxa"/>
            <w:tcBorders>
              <w:top w:val="nil"/>
              <w:left w:val="nil"/>
              <w:bottom w:val="nil"/>
              <w:right w:val="nil"/>
            </w:tcBorders>
            <w:shd w:val="clear" w:color="auto" w:fill="auto"/>
            <w:noWrap/>
            <w:vAlign w:val="center"/>
            <w:hideMark/>
          </w:tcPr>
          <w:p w14:paraId="232A8EA2"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-6 636</w:t>
            </w:r>
          </w:p>
        </w:tc>
        <w:tc>
          <w:tcPr>
            <w:tcW w:w="931" w:type="dxa"/>
            <w:tcBorders>
              <w:top w:val="nil"/>
              <w:left w:val="nil"/>
              <w:bottom w:val="nil"/>
              <w:right w:val="nil"/>
            </w:tcBorders>
            <w:shd w:val="clear" w:color="auto" w:fill="auto"/>
            <w:noWrap/>
            <w:vAlign w:val="center"/>
            <w:hideMark/>
          </w:tcPr>
          <w:p w14:paraId="32AE9486" w14:textId="77777777" w:rsidR="00F6147C" w:rsidRPr="000911E5" w:rsidRDefault="00F6147C"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-0,01</w:t>
            </w:r>
          </w:p>
        </w:tc>
      </w:tr>
      <w:tr w:rsidR="00F6147C" w:rsidRPr="00A36542" w14:paraId="2CB52F4B" w14:textId="77777777" w:rsidTr="00F6147C">
        <w:trPr>
          <w:trHeight w:val="276"/>
        </w:trPr>
        <w:tc>
          <w:tcPr>
            <w:tcW w:w="6404" w:type="dxa"/>
            <w:tcBorders>
              <w:top w:val="nil"/>
              <w:left w:val="nil"/>
              <w:bottom w:val="nil"/>
              <w:right w:val="nil"/>
            </w:tcBorders>
            <w:shd w:val="clear" w:color="auto" w:fill="auto"/>
            <w:noWrap/>
            <w:vAlign w:val="center"/>
            <w:hideMark/>
          </w:tcPr>
          <w:p w14:paraId="73850CB4" w14:textId="77777777" w:rsidR="00F6147C" w:rsidRPr="000911E5" w:rsidRDefault="00F6147C" w:rsidP="00F6147C">
            <w:pPr>
              <w:spacing w:after="0" w:line="240" w:lineRule="auto"/>
              <w:jc w:val="left"/>
              <w:rPr>
                <w:rFonts w:eastAsia="Times New Roman" w:cs="Times New Roman"/>
                <w:color w:val="000000"/>
                <w:sz w:val="20"/>
                <w:szCs w:val="20"/>
                <w:lang w:eastAsia="sk-SK"/>
              </w:rPr>
            </w:pPr>
            <w:r w:rsidRPr="000911E5">
              <w:rPr>
                <w:rFonts w:eastAsia="Times New Roman" w:cs="Times New Roman"/>
                <w:color w:val="000000"/>
                <w:sz w:val="20"/>
                <w:szCs w:val="20"/>
                <w:lang w:eastAsia="sk-SK"/>
              </w:rPr>
              <w:t xml:space="preserve">       - ostatné subjekty miestnej samosprávy</w:t>
            </w:r>
          </w:p>
        </w:tc>
        <w:tc>
          <w:tcPr>
            <w:tcW w:w="1101" w:type="dxa"/>
            <w:tcBorders>
              <w:top w:val="nil"/>
              <w:left w:val="nil"/>
              <w:bottom w:val="nil"/>
              <w:right w:val="nil"/>
            </w:tcBorders>
            <w:shd w:val="clear" w:color="auto" w:fill="auto"/>
            <w:noWrap/>
            <w:vAlign w:val="center"/>
            <w:hideMark/>
          </w:tcPr>
          <w:p w14:paraId="524538AB" w14:textId="0F84C8FF" w:rsidR="00F6147C" w:rsidRPr="000911E5" w:rsidRDefault="00B86AD5" w:rsidP="00F6147C">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-4 357</w:t>
            </w:r>
          </w:p>
        </w:tc>
        <w:tc>
          <w:tcPr>
            <w:tcW w:w="931" w:type="dxa"/>
            <w:tcBorders>
              <w:top w:val="nil"/>
              <w:left w:val="nil"/>
              <w:bottom w:val="nil"/>
              <w:right w:val="nil"/>
            </w:tcBorders>
            <w:shd w:val="clear" w:color="auto" w:fill="auto"/>
            <w:noWrap/>
            <w:vAlign w:val="center"/>
            <w:hideMark/>
          </w:tcPr>
          <w:p w14:paraId="449BEBE3" w14:textId="7DB8EBB9" w:rsidR="00F6147C" w:rsidRPr="000911E5" w:rsidRDefault="00F6147C" w:rsidP="00B86AD5">
            <w:pPr>
              <w:spacing w:after="0" w:line="240" w:lineRule="auto"/>
              <w:jc w:val="right"/>
              <w:rPr>
                <w:rFonts w:eastAsia="Times New Roman" w:cs="Times New Roman"/>
                <w:color w:val="000000"/>
                <w:sz w:val="20"/>
                <w:szCs w:val="20"/>
                <w:lang w:eastAsia="sk-SK"/>
              </w:rPr>
            </w:pPr>
            <w:r w:rsidRPr="000911E5">
              <w:rPr>
                <w:rFonts w:eastAsia="Times New Roman" w:cs="Times New Roman"/>
                <w:color w:val="000000"/>
                <w:sz w:val="20"/>
                <w:szCs w:val="20"/>
                <w:lang w:eastAsia="sk-SK"/>
              </w:rPr>
              <w:t>0,0</w:t>
            </w:r>
            <w:r w:rsidR="00B86AD5" w:rsidRPr="000911E5">
              <w:rPr>
                <w:rFonts w:eastAsia="Times New Roman" w:cs="Times New Roman"/>
                <w:color w:val="000000"/>
                <w:sz w:val="20"/>
                <w:szCs w:val="20"/>
                <w:lang w:eastAsia="sk-SK"/>
              </w:rPr>
              <w:t>0</w:t>
            </w:r>
          </w:p>
        </w:tc>
      </w:tr>
      <w:tr w:rsidR="00F6147C" w:rsidRPr="00A36542" w14:paraId="55386B73" w14:textId="77777777" w:rsidTr="00F6147C">
        <w:trPr>
          <w:trHeight w:val="276"/>
        </w:trPr>
        <w:tc>
          <w:tcPr>
            <w:tcW w:w="6404" w:type="dxa"/>
            <w:tcBorders>
              <w:top w:val="nil"/>
              <w:left w:val="nil"/>
              <w:bottom w:val="single" w:sz="4" w:space="0" w:color="auto"/>
              <w:right w:val="nil"/>
            </w:tcBorders>
            <w:shd w:val="clear" w:color="auto" w:fill="auto"/>
            <w:noWrap/>
            <w:vAlign w:val="center"/>
            <w:hideMark/>
          </w:tcPr>
          <w:p w14:paraId="3DE42331" w14:textId="62F3CBFF" w:rsidR="00F6147C" w:rsidRPr="00F6147C" w:rsidRDefault="00F6147C" w:rsidP="00F6147C">
            <w:pPr>
              <w:spacing w:after="0" w:line="240" w:lineRule="auto"/>
              <w:jc w:val="left"/>
              <w:rPr>
                <w:rFonts w:eastAsia="Times New Roman" w:cs="Times New Roman"/>
                <w:b/>
                <w:bCs/>
                <w:color w:val="000000"/>
                <w:sz w:val="20"/>
                <w:szCs w:val="20"/>
                <w:lang w:eastAsia="sk-SK"/>
              </w:rPr>
            </w:pPr>
            <w:r w:rsidRPr="00F6147C">
              <w:rPr>
                <w:rFonts w:eastAsia="Times New Roman" w:cs="Times New Roman"/>
                <w:b/>
                <w:bCs/>
                <w:color w:val="000000"/>
                <w:sz w:val="20"/>
                <w:szCs w:val="20"/>
                <w:lang w:eastAsia="sk-SK"/>
              </w:rPr>
              <w:t>Saldo verejnej správy - skutočnosť</w:t>
            </w:r>
          </w:p>
        </w:tc>
        <w:tc>
          <w:tcPr>
            <w:tcW w:w="1101" w:type="dxa"/>
            <w:tcBorders>
              <w:top w:val="nil"/>
              <w:left w:val="nil"/>
              <w:bottom w:val="single" w:sz="4" w:space="0" w:color="auto"/>
              <w:right w:val="nil"/>
            </w:tcBorders>
            <w:shd w:val="clear" w:color="auto" w:fill="auto"/>
            <w:noWrap/>
            <w:vAlign w:val="center"/>
            <w:hideMark/>
          </w:tcPr>
          <w:p w14:paraId="7426EB8F" w14:textId="31340DAA" w:rsidR="00F6147C" w:rsidRPr="00FF3E17" w:rsidRDefault="00B86AD5" w:rsidP="00F6147C">
            <w:pPr>
              <w:spacing w:after="0" w:line="240" w:lineRule="auto"/>
              <w:jc w:val="right"/>
              <w:rPr>
                <w:rFonts w:eastAsia="Times New Roman" w:cs="Times New Roman"/>
                <w:b/>
                <w:bCs/>
                <w:color w:val="000000"/>
                <w:sz w:val="20"/>
                <w:szCs w:val="20"/>
                <w:lang w:eastAsia="sk-SK"/>
              </w:rPr>
            </w:pPr>
            <w:r w:rsidRPr="00FF3E17">
              <w:rPr>
                <w:rFonts w:eastAsia="Times New Roman" w:cs="Times New Roman"/>
                <w:b/>
                <w:bCs/>
                <w:color w:val="000000"/>
                <w:sz w:val="20"/>
                <w:szCs w:val="20"/>
                <w:lang w:eastAsia="sk-SK"/>
              </w:rPr>
              <w:t>-1 219 730</w:t>
            </w:r>
          </w:p>
        </w:tc>
        <w:tc>
          <w:tcPr>
            <w:tcW w:w="931" w:type="dxa"/>
            <w:tcBorders>
              <w:top w:val="nil"/>
              <w:left w:val="nil"/>
              <w:bottom w:val="single" w:sz="4" w:space="0" w:color="auto"/>
              <w:right w:val="nil"/>
            </w:tcBorders>
            <w:shd w:val="clear" w:color="auto" w:fill="auto"/>
            <w:noWrap/>
            <w:vAlign w:val="center"/>
            <w:hideMark/>
          </w:tcPr>
          <w:p w14:paraId="1427C836" w14:textId="102A52B8" w:rsidR="00F6147C" w:rsidRPr="00FF3E17" w:rsidRDefault="00B86AD5" w:rsidP="00B86AD5">
            <w:pPr>
              <w:spacing w:after="0" w:line="240" w:lineRule="auto"/>
              <w:jc w:val="right"/>
              <w:rPr>
                <w:rFonts w:eastAsia="Times New Roman" w:cs="Times New Roman"/>
                <w:b/>
                <w:bCs/>
                <w:color w:val="000000"/>
                <w:sz w:val="20"/>
                <w:szCs w:val="20"/>
                <w:lang w:eastAsia="sk-SK"/>
              </w:rPr>
            </w:pPr>
            <w:r w:rsidRPr="00FF3E17">
              <w:rPr>
                <w:rFonts w:eastAsia="Times New Roman" w:cs="Times New Roman"/>
                <w:b/>
                <w:bCs/>
                <w:color w:val="000000"/>
                <w:sz w:val="20"/>
                <w:szCs w:val="20"/>
                <w:lang w:eastAsia="sk-SK"/>
              </w:rPr>
              <w:t>-1,30</w:t>
            </w:r>
          </w:p>
        </w:tc>
      </w:tr>
    </w:tbl>
    <w:p w14:paraId="3F974BBA" w14:textId="77777777" w:rsidR="00F6147C" w:rsidRPr="00741CF5" w:rsidRDefault="00F6147C" w:rsidP="000F4980">
      <w:pPr>
        <w:rPr>
          <w:sz w:val="18"/>
          <w:szCs w:val="18"/>
        </w:rPr>
      </w:pPr>
      <w:r w:rsidRPr="00741CF5">
        <w:rPr>
          <w:rFonts w:eastAsia="Times New Roman" w:cs="Times New Roman"/>
          <w:iCs/>
          <w:color w:val="000000"/>
          <w:sz w:val="18"/>
          <w:szCs w:val="18"/>
          <w:lang w:eastAsia="sk-SK"/>
        </w:rPr>
        <w:t>Pozn.: (+) znamená pozitívny vplyv a (-) negatívny vplyv na saldo VS</w:t>
      </w:r>
      <w:r w:rsidRPr="00741CF5">
        <w:rPr>
          <w:rFonts w:eastAsia="Times New Roman" w:cs="Times New Roman"/>
          <w:sz w:val="18"/>
          <w:szCs w:val="18"/>
          <w:lang w:eastAsia="sk-SK"/>
        </w:rPr>
        <w:t xml:space="preserve"> </w:t>
      </w:r>
      <w:r>
        <w:rPr>
          <w:rFonts w:eastAsia="Times New Roman" w:cs="Times New Roman"/>
          <w:sz w:val="18"/>
          <w:szCs w:val="18"/>
          <w:lang w:eastAsia="sk-SK"/>
        </w:rPr>
        <w:tab/>
      </w:r>
      <w:r>
        <w:rPr>
          <w:rFonts w:eastAsia="Times New Roman" w:cs="Times New Roman"/>
          <w:sz w:val="18"/>
          <w:szCs w:val="18"/>
          <w:lang w:eastAsia="sk-SK"/>
        </w:rPr>
        <w:tab/>
      </w:r>
      <w:r>
        <w:rPr>
          <w:rFonts w:eastAsia="Times New Roman" w:cs="Times New Roman"/>
          <w:sz w:val="18"/>
          <w:szCs w:val="18"/>
          <w:lang w:eastAsia="sk-SK"/>
        </w:rPr>
        <w:tab/>
        <w:t xml:space="preserve">        </w:t>
      </w:r>
      <w:r w:rsidRPr="00741CF5">
        <w:rPr>
          <w:rFonts w:eastAsia="Times New Roman" w:cs="Times New Roman"/>
          <w:sz w:val="18"/>
          <w:szCs w:val="18"/>
          <w:lang w:eastAsia="sk-SK"/>
        </w:rPr>
        <w:t>Zdroj: MF SR</w:t>
      </w:r>
    </w:p>
    <w:p w14:paraId="2B0C3012" w14:textId="1F724D2A" w:rsidR="00165021" w:rsidRDefault="000911E5" w:rsidP="0062736B">
      <w:pPr>
        <w:spacing w:before="240"/>
      </w:pPr>
      <w:r w:rsidRPr="00A920EA">
        <w:rPr>
          <w:b/>
        </w:rPr>
        <w:t>P</w:t>
      </w:r>
      <w:r w:rsidR="00CA4BE5" w:rsidRPr="00A920EA">
        <w:rPr>
          <w:b/>
        </w:rPr>
        <w:t xml:space="preserve">ríjem štátneho rozpočtu </w:t>
      </w:r>
      <w:r w:rsidR="00C651BD" w:rsidRPr="00A920EA">
        <w:rPr>
          <w:b/>
        </w:rPr>
        <w:t xml:space="preserve">z </w:t>
      </w:r>
      <w:r w:rsidR="00CE1795" w:rsidRPr="00A920EA">
        <w:rPr>
          <w:b/>
        </w:rPr>
        <w:t>dividend</w:t>
      </w:r>
      <w:r w:rsidR="00C651BD" w:rsidRPr="00A920EA">
        <w:t xml:space="preserve"> </w:t>
      </w:r>
      <w:r w:rsidR="00A920EA">
        <w:t xml:space="preserve">a odvodov zo zisku </w:t>
      </w:r>
      <w:r w:rsidR="00CA4BE5" w:rsidRPr="00A920EA">
        <w:t xml:space="preserve">bol </w:t>
      </w:r>
      <w:r w:rsidR="00A920EA">
        <w:t>rozpočtovaný vo výške</w:t>
      </w:r>
      <w:r w:rsidR="00A920EA">
        <w:br/>
      </w:r>
      <w:r w:rsidR="00CA4BE5" w:rsidRPr="00A920EA">
        <w:t xml:space="preserve">438 211 tis. eur. V skutočnosti dosiahol štátny rozpočet za rok 2019 hotovostný príjem vo výške 510 150 tis. eur. </w:t>
      </w:r>
      <w:r w:rsidR="000C2381">
        <w:t>R</w:t>
      </w:r>
      <w:r w:rsidR="000C2381" w:rsidRPr="00CA4BE5">
        <w:t xml:space="preserve">ozdiel v prekročení </w:t>
      </w:r>
      <w:r w:rsidR="00866701">
        <w:t>tvorili</w:t>
      </w:r>
      <w:r w:rsidR="000C2381" w:rsidRPr="00CA4BE5">
        <w:t xml:space="preserve"> odlišné výsledky </w:t>
      </w:r>
      <w:r w:rsidR="000C2381" w:rsidRPr="00165021">
        <w:t>hospodárenia dosiahnuté obchodnými spoločnosťami za rok 2018 ako sa predpokladalo v čase zostavovania rozpočtu</w:t>
      </w:r>
      <w:r w:rsidR="00165021">
        <w:t xml:space="preserve"> na rok </w:t>
      </w:r>
      <w:r w:rsidR="00165021" w:rsidRPr="00165021">
        <w:t>2019</w:t>
      </w:r>
      <w:r w:rsidR="000C2381" w:rsidRPr="00165021">
        <w:t>.</w:t>
      </w:r>
    </w:p>
    <w:p w14:paraId="2105ACBC" w14:textId="78F1B675" w:rsidR="00CE1795" w:rsidRPr="00B330A9" w:rsidRDefault="00F678B7" w:rsidP="00CA4BE5">
      <w:pPr>
        <w:spacing w:before="120"/>
        <w:rPr>
          <w:color w:val="FF0000"/>
        </w:rPr>
      </w:pPr>
      <w:r>
        <w:t>D</w:t>
      </w:r>
      <w:r w:rsidR="00CA4BE5" w:rsidRPr="00A920EA">
        <w:t>ividend</w:t>
      </w:r>
      <w:r>
        <w:t>y</w:t>
      </w:r>
      <w:r w:rsidR="00CA4BE5" w:rsidRPr="00A920EA">
        <w:t>,</w:t>
      </w:r>
      <w:r w:rsidR="00F77758">
        <w:t xml:space="preserve"> ktoré sú príjmom verejnej správy za príslušný rok, dosiahl</w:t>
      </w:r>
      <w:r>
        <w:t>i</w:t>
      </w:r>
      <w:r w:rsidR="00F77758">
        <w:t xml:space="preserve"> </w:t>
      </w:r>
      <w:r w:rsidR="00CA4BE5" w:rsidRPr="00A920EA">
        <w:t xml:space="preserve">298 338 tis. eur, čo je oproti rozpočtu menej o  139 873 tis. eur. </w:t>
      </w:r>
      <w:r w:rsidR="00F77758">
        <w:t>Rozdiel medzi rozpočtovanou hodnotou a akruálnym príjmom z dividend tvorí tzv. superdividenda</w:t>
      </w:r>
      <w:r w:rsidR="0075634A">
        <w:rPr>
          <w:rStyle w:val="Odkaznapoznmkupodiarou"/>
        </w:rPr>
        <w:footnoteReference w:id="14"/>
      </w:r>
      <w:r w:rsidR="00F77758">
        <w:t xml:space="preserve">, </w:t>
      </w:r>
      <w:r w:rsidR="00165021">
        <w:t xml:space="preserve">ktorá nebola rozpočtovaná. Úhrnom </w:t>
      </w:r>
      <w:r w:rsidR="00F77758">
        <w:t>dosiahla 211 812 tis. eur</w:t>
      </w:r>
      <w:r w:rsidR="00165021">
        <w:t>, z toho 209 193 tis. eur zaznamenal Slovenský plynárenský priemysel, a.s</w:t>
      </w:r>
      <w:r w:rsidR="00F77758">
        <w:t xml:space="preserve">. </w:t>
      </w:r>
      <w:r w:rsidR="00B330A9" w:rsidRPr="00BF744F">
        <w:t>vplyvom vyššieho podielu precenenia majetku skupiny na výnosoch spoločnosti a vyplatenia časti dividendy z nerozdelených ziskov spoločnosti.</w:t>
      </w:r>
    </w:p>
    <w:p w14:paraId="4BAE3F6A" w14:textId="6D4514BA" w:rsidR="0062736B" w:rsidRDefault="00C62E98" w:rsidP="00C62E98">
      <w:pPr>
        <w:autoSpaceDE w:val="0"/>
        <w:autoSpaceDN w:val="0"/>
        <w:rPr>
          <w:rFonts w:cs="Times New Roman"/>
          <w:lang w:eastAsia="sk-SK"/>
        </w:rPr>
      </w:pPr>
      <w:r w:rsidRPr="00C62E98">
        <w:rPr>
          <w:rFonts w:cs="Times New Roman"/>
          <w:b/>
          <w:bCs/>
          <w:lang w:eastAsia="sk-SK"/>
        </w:rPr>
        <w:t>Prenesené výdavky štátneho rozpočtu</w:t>
      </w:r>
      <w:r w:rsidRPr="00C62E98">
        <w:rPr>
          <w:rFonts w:cs="Times New Roman"/>
          <w:lang w:eastAsia="sk-SK"/>
        </w:rPr>
        <w:t xml:space="preserve">. Podľa zákona </w:t>
      </w:r>
      <w:r w:rsidR="00D075A6">
        <w:rPr>
          <w:rFonts w:cs="Times New Roman"/>
          <w:lang w:eastAsia="sk-SK"/>
        </w:rPr>
        <w:t xml:space="preserve">č. 523/2004 Z. z. </w:t>
      </w:r>
      <w:r w:rsidRPr="00C62E98">
        <w:rPr>
          <w:rFonts w:cs="Times New Roman"/>
          <w:lang w:eastAsia="sk-SK"/>
        </w:rPr>
        <w:t>o rozpočtových pravidlách verejnej správy</w:t>
      </w:r>
      <w:r w:rsidR="00D075A6">
        <w:rPr>
          <w:rFonts w:cs="Times New Roman"/>
          <w:lang w:eastAsia="sk-SK"/>
        </w:rPr>
        <w:t xml:space="preserve"> a o zmene a doplnení niektorých zákonov (ďalej len ,,zákon o rozpočtových pravidlách“) </w:t>
      </w:r>
      <w:r w:rsidRPr="00C62E98">
        <w:rPr>
          <w:rFonts w:cs="Times New Roman"/>
          <w:lang w:eastAsia="sk-SK"/>
        </w:rPr>
        <w:t>je možné kapitálové výdavky a vybrané bežné výdavky štátneho rozpočtu použiť na</w:t>
      </w:r>
      <w:r w:rsidR="005A7E6E">
        <w:rPr>
          <w:rFonts w:cs="Times New Roman"/>
          <w:lang w:eastAsia="sk-SK"/>
        </w:rPr>
        <w:t> </w:t>
      </w:r>
      <w:r w:rsidRPr="00C62E98">
        <w:rPr>
          <w:rFonts w:cs="Times New Roman"/>
          <w:lang w:eastAsia="sk-SK"/>
        </w:rPr>
        <w:t>určený účel aj v nasledujúcich dvoch rozpočtových rokoch po rozpočtovom roku, na ktorý boli rozpočtované. Prostriedky Európskej únie, prostriedky štátneho rozpočtu určené na financovanie spoločných programov SR a EÚ a prostriedky štátneho rozpočtu určené na financovanie účelov vyplývajúcich z medzinárodných zmlúv o poskytnutí grantu uzatvorených medzi SR a inými štátmi možno použiť aj v nasledujúcich rozpočtových rokoch až do ich vyčerpania. Toto pravidlo na jednej strane zefektívňuje použitie verejných prostriedkov tým, že kapitoly rozpočtu nie sú motivované čerpať prostriedky v danom roku „za každú cenu“, na druhej strane vytvára neistotu pri vyhodnocovaní salda v súlade so schváleným štátnym rozpočtom. Viazané a prenášané výdavky do ďalšieho rozpočtového roka pôsobia v smere zníženia skutočného salda oproti schválenému rozpočtu v danom rozpočtovom roku; prenesené a zároveň použité výdavky z</w:t>
      </w:r>
      <w:r w:rsidR="005A7E6E">
        <w:rPr>
          <w:rFonts w:cs="Times New Roman"/>
          <w:lang w:eastAsia="sk-SK"/>
        </w:rPr>
        <w:t> </w:t>
      </w:r>
      <w:r w:rsidRPr="00C62E98">
        <w:rPr>
          <w:rFonts w:cs="Times New Roman"/>
          <w:lang w:eastAsia="sk-SK"/>
        </w:rPr>
        <w:t xml:space="preserve">predchádzajúceho rozpočtového roka naopak saldo v danom rozpočtovom roku zvyšujú. </w:t>
      </w:r>
    </w:p>
    <w:p w14:paraId="6733669B" w14:textId="46E75A0F" w:rsidR="00C62E98" w:rsidRPr="00C62E98" w:rsidRDefault="00C62E98" w:rsidP="00C62E98">
      <w:pPr>
        <w:autoSpaceDE w:val="0"/>
        <w:autoSpaceDN w:val="0"/>
        <w:rPr>
          <w:rFonts w:cs="Times New Roman"/>
          <w:color w:val="000000"/>
          <w:sz w:val="24"/>
          <w:szCs w:val="24"/>
          <w:lang w:eastAsia="sk-SK"/>
        </w:rPr>
      </w:pPr>
      <w:r w:rsidRPr="00C62E98">
        <w:rPr>
          <w:rFonts w:cs="Times New Roman"/>
          <w:lang w:eastAsia="sk-SK"/>
        </w:rPr>
        <w:t>Čistý dopad na saldo verejnej správy závisí</w:t>
      </w:r>
      <w:r w:rsidR="0062736B">
        <w:rPr>
          <w:rFonts w:cs="Times New Roman"/>
          <w:lang w:eastAsia="sk-SK"/>
        </w:rPr>
        <w:t xml:space="preserve"> od výsledného efektu presunov. </w:t>
      </w:r>
      <w:r w:rsidRPr="00C62E98">
        <w:rPr>
          <w:rFonts w:cs="Times New Roman"/>
          <w:lang w:eastAsia="sk-SK"/>
        </w:rPr>
        <w:t xml:space="preserve">Ak sú prenesené výdavky do ďalšieho rozpočtového roka vyššie ako použité z predchádzajúceho rozpočtového roka, saldo sa oproti schválenému rozpočtu zníži, v opačnom prípade sa zvýši. </w:t>
      </w:r>
    </w:p>
    <w:p w14:paraId="39F42BAA" w14:textId="18F7A0BB" w:rsidR="00C62E98" w:rsidRPr="00C62E98" w:rsidRDefault="00C62E98" w:rsidP="00C62E98">
      <w:pPr>
        <w:autoSpaceDE w:val="0"/>
        <w:autoSpaceDN w:val="0"/>
        <w:rPr>
          <w:rFonts w:cs="Times New Roman"/>
          <w:lang w:eastAsia="sk-SK"/>
        </w:rPr>
      </w:pPr>
      <w:r w:rsidRPr="00C62E98">
        <w:rPr>
          <w:rFonts w:cs="Times New Roman"/>
          <w:lang w:eastAsia="sk-SK"/>
        </w:rPr>
        <w:t>Do roku 2019 boli prenesené bežné a kapitálové výdavky štátneho rozpočtu (s výnimkou prostriedkov Európskej únie a prostriedkov štátneho rozpočtu určených na financovanie spoločných programov SR) z rokov 2017 a 2018 (131H, 131I) celkovo v sume  1 176</w:t>
      </w:r>
      <w:r>
        <w:rPr>
          <w:rFonts w:cs="Times New Roman"/>
          <w:lang w:eastAsia="sk-SK"/>
        </w:rPr>
        <w:t> </w:t>
      </w:r>
      <w:r w:rsidRPr="00C62E98">
        <w:rPr>
          <w:rFonts w:cs="Times New Roman"/>
          <w:lang w:eastAsia="sk-SK"/>
        </w:rPr>
        <w:t>557</w:t>
      </w:r>
      <w:r>
        <w:rPr>
          <w:rFonts w:cs="Times New Roman"/>
          <w:lang w:eastAsia="sk-SK"/>
        </w:rPr>
        <w:t> </w:t>
      </w:r>
      <w:r w:rsidRPr="00C62E98">
        <w:rPr>
          <w:rFonts w:cs="Times New Roman"/>
          <w:lang w:eastAsia="sk-SK"/>
        </w:rPr>
        <w:t>tis.</w:t>
      </w:r>
      <w:r>
        <w:rPr>
          <w:rFonts w:cs="Times New Roman"/>
          <w:lang w:eastAsia="sk-SK"/>
        </w:rPr>
        <w:t> </w:t>
      </w:r>
      <w:r w:rsidRPr="00C62E98">
        <w:rPr>
          <w:rFonts w:cs="Times New Roman"/>
          <w:lang w:eastAsia="sk-SK"/>
        </w:rPr>
        <w:t>eur, pričom z toho v skutočnosti v roku 2019 bolo použitých celkovo  842 868 tis. eur</w:t>
      </w:r>
      <w:r w:rsidRPr="00C62E98">
        <w:rPr>
          <w:rFonts w:cs="Times New Roman"/>
          <w:color w:val="000000"/>
          <w:sz w:val="24"/>
          <w:szCs w:val="24"/>
          <w:lang w:eastAsia="sk-SK"/>
        </w:rPr>
        <w:t>.</w:t>
      </w:r>
      <w:r w:rsidRPr="00C62E98">
        <w:rPr>
          <w:rFonts w:cs="Times New Roman"/>
          <w:lang w:eastAsia="sk-SK"/>
        </w:rPr>
        <w:t xml:space="preserve"> V</w:t>
      </w:r>
      <w:r w:rsidR="005A7E6E">
        <w:rPr>
          <w:rFonts w:cs="Times New Roman"/>
          <w:lang w:eastAsia="sk-SK"/>
        </w:rPr>
        <w:t> </w:t>
      </w:r>
      <w:r w:rsidRPr="00C62E98">
        <w:rPr>
          <w:rFonts w:cs="Times New Roman"/>
          <w:lang w:eastAsia="sk-SK"/>
        </w:rPr>
        <w:t>roku 2019 boli zaviazané prostriedky s predpokladaným presunom do roku 2020 v sume 730 717 tis.</w:t>
      </w:r>
      <w:r>
        <w:rPr>
          <w:rFonts w:cs="Times New Roman"/>
          <w:lang w:eastAsia="sk-SK"/>
        </w:rPr>
        <w:t> </w:t>
      </w:r>
      <w:r w:rsidRPr="00C62E98">
        <w:rPr>
          <w:rFonts w:cs="Times New Roman"/>
          <w:lang w:eastAsia="sk-SK"/>
        </w:rPr>
        <w:t>eur, z</w:t>
      </w:r>
      <w:r>
        <w:rPr>
          <w:rFonts w:cs="Times New Roman"/>
          <w:lang w:eastAsia="sk-SK"/>
        </w:rPr>
        <w:t> </w:t>
      </w:r>
      <w:r w:rsidRPr="00C62E98">
        <w:rPr>
          <w:rFonts w:cs="Times New Roman"/>
          <w:lang w:eastAsia="sk-SK"/>
        </w:rPr>
        <w:t>toho rozpočtované prostriedky na rok 2019 boli 466 907 tis.</w:t>
      </w:r>
      <w:r>
        <w:rPr>
          <w:rFonts w:cs="Times New Roman"/>
          <w:lang w:eastAsia="sk-SK"/>
        </w:rPr>
        <w:t> </w:t>
      </w:r>
      <w:r w:rsidRPr="00C62E98">
        <w:rPr>
          <w:rFonts w:cs="Times New Roman"/>
          <w:lang w:eastAsia="sk-SK"/>
        </w:rPr>
        <w:t>eur.</w:t>
      </w:r>
    </w:p>
    <w:p w14:paraId="4B0FA550" w14:textId="4B1156AF" w:rsidR="00866701" w:rsidRDefault="00C62E98" w:rsidP="0062736B">
      <w:pPr>
        <w:spacing w:line="360" w:lineRule="auto"/>
        <w:rPr>
          <w:b/>
          <w:bCs/>
        </w:rPr>
      </w:pPr>
      <w:r w:rsidRPr="00C62E98">
        <w:rPr>
          <w:rFonts w:cs="Times New Roman"/>
          <w:lang w:eastAsia="sk-SK"/>
        </w:rPr>
        <w:t>Pre analytický odhad vplyvu prenášaných výdavkov štátneho rozpočtu na saldo verejnej správy v danom roku sú dôležité len reálne použité výdavky z prenesených prostriedkov predchádzajúcich období (842 868 tis. eur) a na druhej strane len tá časť prenesených výdavkov do nasledujúcich období, ktorá bola súčasťou rozpočtovaných výdavkov roku 2019 (466 907 tis.</w:t>
      </w:r>
      <w:r>
        <w:rPr>
          <w:rFonts w:cs="Times New Roman"/>
          <w:lang w:eastAsia="sk-SK"/>
        </w:rPr>
        <w:t> </w:t>
      </w:r>
      <w:r w:rsidRPr="00C62E98">
        <w:rPr>
          <w:rFonts w:cs="Times New Roman"/>
          <w:lang w:eastAsia="sk-SK"/>
        </w:rPr>
        <w:t>eur).</w:t>
      </w:r>
    </w:p>
    <w:p w14:paraId="38D0061E" w14:textId="7F07031E" w:rsidR="00614751" w:rsidRPr="00C62E98" w:rsidRDefault="007F664D" w:rsidP="000F4980">
      <w:pPr>
        <w:contextualSpacing/>
      </w:pPr>
      <w:r>
        <w:rPr>
          <w:b/>
          <w:bCs/>
        </w:rPr>
        <w:t>Výdavky EÚ a spolufinancovanie</w:t>
      </w:r>
    </w:p>
    <w:p w14:paraId="1F8771C3" w14:textId="0810B5F5" w:rsidR="00614751" w:rsidRPr="00C62E98" w:rsidRDefault="00614751" w:rsidP="000F4980">
      <w:pPr>
        <w:contextualSpacing/>
      </w:pPr>
      <w:r w:rsidRPr="00C62E98">
        <w:t>V roku 201</w:t>
      </w:r>
      <w:r w:rsidR="00C62E98" w:rsidRPr="00C62E98">
        <w:t>9</w:t>
      </w:r>
      <w:r w:rsidRPr="00C62E98">
        <w:t xml:space="preserve"> boli </w:t>
      </w:r>
      <w:r w:rsidR="003D35D5">
        <w:t>použité</w:t>
      </w:r>
      <w:r w:rsidRPr="00C62E98">
        <w:t xml:space="preserve"> prenesené výdavky (viazané v roku 201</w:t>
      </w:r>
      <w:r w:rsidR="00C62E98" w:rsidRPr="00C62E98">
        <w:t>8</w:t>
      </w:r>
      <w:r w:rsidRPr="00C62E98">
        <w:t>) nasledovne:</w:t>
      </w:r>
    </w:p>
    <w:p w14:paraId="2A23F68B" w14:textId="70D6CC9F" w:rsidR="00614751" w:rsidRPr="007F699F" w:rsidRDefault="00614751" w:rsidP="000F4980">
      <w:pPr>
        <w:pStyle w:val="Odsekzoznamu"/>
        <w:numPr>
          <w:ilvl w:val="0"/>
          <w:numId w:val="26"/>
        </w:numPr>
        <w:spacing w:after="120" w:line="336" w:lineRule="auto"/>
        <w:ind w:left="714" w:hanging="357"/>
        <w:rPr>
          <w:rFonts w:ascii="Times New Roman" w:hAnsi="Times New Roman"/>
        </w:rPr>
      </w:pPr>
      <w:r w:rsidRPr="007F699F">
        <w:rPr>
          <w:rFonts w:ascii="Times New Roman" w:hAnsi="Times New Roman"/>
        </w:rPr>
        <w:t xml:space="preserve">EÚ </w:t>
      </w:r>
      <w:r w:rsidR="00C62E98" w:rsidRPr="007F699F">
        <w:rPr>
          <w:rFonts w:ascii="Times New Roman" w:hAnsi="Times New Roman"/>
        </w:rPr>
        <w:t>1 440 059 </w:t>
      </w:r>
      <w:r w:rsidRPr="007F699F">
        <w:rPr>
          <w:rFonts w:ascii="Times New Roman" w:hAnsi="Times New Roman"/>
        </w:rPr>
        <w:t>tis. eur</w:t>
      </w:r>
      <w:r w:rsidR="00BB09F8" w:rsidRPr="007F699F">
        <w:rPr>
          <w:rFonts w:ascii="Times New Roman" w:hAnsi="Times New Roman"/>
        </w:rPr>
        <w:t>,</w:t>
      </w:r>
    </w:p>
    <w:p w14:paraId="40B60EE2" w14:textId="7B74F548" w:rsidR="00614751" w:rsidRPr="007F699F" w:rsidRDefault="00BB09F8" w:rsidP="000F4980">
      <w:pPr>
        <w:pStyle w:val="Odsekzoznamu"/>
        <w:numPr>
          <w:ilvl w:val="0"/>
          <w:numId w:val="26"/>
        </w:numPr>
        <w:spacing w:after="120" w:line="336" w:lineRule="auto"/>
        <w:ind w:left="714" w:hanging="357"/>
        <w:rPr>
          <w:rFonts w:ascii="Times New Roman" w:hAnsi="Times New Roman"/>
        </w:rPr>
      </w:pPr>
      <w:r w:rsidRPr="007F699F">
        <w:rPr>
          <w:rFonts w:ascii="Times New Roman" w:hAnsi="Times New Roman"/>
        </w:rPr>
        <w:t>s</w:t>
      </w:r>
      <w:r w:rsidR="00614751" w:rsidRPr="007F699F">
        <w:rPr>
          <w:rFonts w:ascii="Times New Roman" w:hAnsi="Times New Roman"/>
        </w:rPr>
        <w:t xml:space="preserve">polufinancovanie </w:t>
      </w:r>
      <w:r w:rsidR="00C62E98" w:rsidRPr="007F699F">
        <w:rPr>
          <w:rFonts w:ascii="Times New Roman" w:hAnsi="Times New Roman"/>
        </w:rPr>
        <w:t>219 504</w:t>
      </w:r>
      <w:r w:rsidR="00614751" w:rsidRPr="007F699F">
        <w:rPr>
          <w:rFonts w:ascii="Times New Roman" w:hAnsi="Times New Roman"/>
        </w:rPr>
        <w:t> tis. eur</w:t>
      </w:r>
      <w:r w:rsidRPr="007F699F">
        <w:rPr>
          <w:rFonts w:ascii="Times New Roman" w:hAnsi="Times New Roman"/>
        </w:rPr>
        <w:t>.</w:t>
      </w:r>
    </w:p>
    <w:p w14:paraId="2365CC85" w14:textId="22C2D2C9" w:rsidR="00614751" w:rsidRPr="007F699F" w:rsidRDefault="00614751" w:rsidP="000F4980">
      <w:pPr>
        <w:contextualSpacing/>
      </w:pPr>
      <w:r w:rsidRPr="007F699F">
        <w:t>Výdavky rozpočtované na rok 201</w:t>
      </w:r>
      <w:r w:rsidR="00C62E98" w:rsidRPr="007F699F">
        <w:t>9</w:t>
      </w:r>
      <w:r w:rsidRPr="007F699F">
        <w:t xml:space="preserve"> a prenesené do roku 20</w:t>
      </w:r>
      <w:r w:rsidR="00C62E98" w:rsidRPr="007F699F">
        <w:t>20</w:t>
      </w:r>
      <w:r w:rsidRPr="007F699F">
        <w:t>:</w:t>
      </w:r>
    </w:p>
    <w:p w14:paraId="1363CAAF" w14:textId="0BA46EDD" w:rsidR="00614751" w:rsidRPr="007F699F" w:rsidRDefault="00614751" w:rsidP="000F4980">
      <w:pPr>
        <w:pStyle w:val="Odsekzoznamu"/>
        <w:numPr>
          <w:ilvl w:val="0"/>
          <w:numId w:val="27"/>
        </w:numPr>
        <w:spacing w:after="120" w:line="336" w:lineRule="auto"/>
        <w:ind w:left="714" w:hanging="357"/>
        <w:rPr>
          <w:rFonts w:ascii="Times New Roman" w:hAnsi="Times New Roman"/>
        </w:rPr>
      </w:pPr>
      <w:r w:rsidRPr="007F699F">
        <w:rPr>
          <w:rFonts w:ascii="Times New Roman" w:hAnsi="Times New Roman"/>
        </w:rPr>
        <w:t>EÚ 1 0</w:t>
      </w:r>
      <w:r w:rsidR="007F699F" w:rsidRPr="007F699F">
        <w:rPr>
          <w:rFonts w:ascii="Times New Roman" w:hAnsi="Times New Roman"/>
        </w:rPr>
        <w:t>24</w:t>
      </w:r>
      <w:r w:rsidRPr="007F699F">
        <w:rPr>
          <w:rFonts w:ascii="Times New Roman" w:hAnsi="Times New Roman"/>
        </w:rPr>
        <w:t> </w:t>
      </w:r>
      <w:r w:rsidR="007F699F" w:rsidRPr="007F699F">
        <w:rPr>
          <w:rFonts w:ascii="Times New Roman" w:hAnsi="Times New Roman"/>
        </w:rPr>
        <w:t>485</w:t>
      </w:r>
      <w:r w:rsidRPr="007F699F">
        <w:rPr>
          <w:rFonts w:ascii="Times New Roman" w:hAnsi="Times New Roman"/>
        </w:rPr>
        <w:t> tis. eur</w:t>
      </w:r>
      <w:r w:rsidR="00BB09F8" w:rsidRPr="007F699F">
        <w:rPr>
          <w:rFonts w:ascii="Times New Roman" w:hAnsi="Times New Roman"/>
        </w:rPr>
        <w:t>,</w:t>
      </w:r>
    </w:p>
    <w:p w14:paraId="7663502C" w14:textId="65335DD8" w:rsidR="00614751" w:rsidRPr="007F699F" w:rsidRDefault="00BB09F8" w:rsidP="000F4980">
      <w:pPr>
        <w:pStyle w:val="Odsekzoznamu"/>
        <w:numPr>
          <w:ilvl w:val="0"/>
          <w:numId w:val="27"/>
        </w:numPr>
        <w:spacing w:after="120" w:line="336" w:lineRule="auto"/>
        <w:ind w:left="714" w:hanging="357"/>
        <w:rPr>
          <w:rFonts w:ascii="Times New Roman" w:hAnsi="Times New Roman"/>
        </w:rPr>
      </w:pPr>
      <w:r w:rsidRPr="007F699F">
        <w:rPr>
          <w:rFonts w:ascii="Times New Roman" w:hAnsi="Times New Roman"/>
        </w:rPr>
        <w:t>s</w:t>
      </w:r>
      <w:r w:rsidR="00614751" w:rsidRPr="007F699F">
        <w:rPr>
          <w:rFonts w:ascii="Times New Roman" w:hAnsi="Times New Roman"/>
        </w:rPr>
        <w:t>polufinancovanie 1</w:t>
      </w:r>
      <w:r w:rsidR="007F699F" w:rsidRPr="007F699F">
        <w:rPr>
          <w:rFonts w:ascii="Times New Roman" w:hAnsi="Times New Roman"/>
        </w:rPr>
        <w:t>32</w:t>
      </w:r>
      <w:r w:rsidR="00614751" w:rsidRPr="007F699F">
        <w:rPr>
          <w:rFonts w:ascii="Times New Roman" w:hAnsi="Times New Roman"/>
        </w:rPr>
        <w:t> </w:t>
      </w:r>
      <w:r w:rsidR="007F699F" w:rsidRPr="007F699F">
        <w:rPr>
          <w:rFonts w:ascii="Times New Roman" w:hAnsi="Times New Roman"/>
        </w:rPr>
        <w:t>812</w:t>
      </w:r>
      <w:r w:rsidR="00614751" w:rsidRPr="007F699F">
        <w:rPr>
          <w:rFonts w:ascii="Times New Roman" w:hAnsi="Times New Roman"/>
        </w:rPr>
        <w:t> tis. eur</w:t>
      </w:r>
      <w:r w:rsidRPr="007F699F">
        <w:rPr>
          <w:rFonts w:ascii="Times New Roman" w:hAnsi="Times New Roman"/>
        </w:rPr>
        <w:t>.</w:t>
      </w:r>
    </w:p>
    <w:p w14:paraId="2F201A44" w14:textId="77777777" w:rsidR="00FD65E7" w:rsidRDefault="00F244F1" w:rsidP="007F664D">
      <w:r w:rsidRPr="00055D86">
        <w:rPr>
          <w:b/>
        </w:rPr>
        <w:t>Odvody do rozpočtu EÚ</w:t>
      </w:r>
      <w:r w:rsidRPr="00055D86">
        <w:t xml:space="preserve"> boli na hotovostnej báze nižšie oproti rozpočtu o 89 442 tis. eur. Odvody na akruálnej báze boli v roku 2019 zhodné s hotovostnými odvodmi, preto aj úspora na</w:t>
      </w:r>
      <w:r w:rsidR="005A7E6E">
        <w:t> </w:t>
      </w:r>
      <w:r w:rsidRPr="00055D86">
        <w:t>akruálnej báze predstav</w:t>
      </w:r>
      <w:r w:rsidR="00FD65E7">
        <w:t>ovala 89 442 tis. eur.</w:t>
      </w:r>
    </w:p>
    <w:p w14:paraId="5605EEBB" w14:textId="09E94965" w:rsidR="007F664D" w:rsidRDefault="00F244F1" w:rsidP="007F664D">
      <w:r w:rsidRPr="004808BC">
        <w:t xml:space="preserve">Pod </w:t>
      </w:r>
      <w:r w:rsidRPr="007F664D">
        <w:rPr>
          <w:b/>
        </w:rPr>
        <w:t>korekciou k fondom EÚ</w:t>
      </w:r>
      <w:r w:rsidRPr="004808BC">
        <w:t xml:space="preserve"> sa rozumie porušenie uplatniteľného práva </w:t>
      </w:r>
      <w:r w:rsidR="0010515D">
        <w:t>EÚ</w:t>
      </w:r>
      <w:r w:rsidRPr="004808BC">
        <w:t xml:space="preserve"> alebo vnútroštátneho práva v súvislosti s výdavkami, ktoré boli vykázané Európskej komisii alebo v súvislosti s výdavkami schvaľovanými na národnej úrovni, v dôsledku čoho Slovenskej republike nie sú preplatené výdavky, ktoré potom musí pokryť štátny rozpočet. Negatívny vplyv na saldo verejnej správy mali finančné korekcie vo výške 20</w:t>
      </w:r>
      <w:r>
        <w:t> </w:t>
      </w:r>
      <w:r w:rsidRPr="004808BC">
        <w:t>134 tis. eur, z toho v dôsledku zníženia pohľadávky voči EÚ z dôvodu systémových korekcií</w:t>
      </w:r>
      <w:r w:rsidRPr="004808BC">
        <w:rPr>
          <w:rStyle w:val="Odkaznapoznmkupodiarou"/>
        </w:rPr>
        <w:footnoteReference w:id="15"/>
      </w:r>
      <w:r w:rsidRPr="004808BC">
        <w:t xml:space="preserve"> v sume 16</w:t>
      </w:r>
      <w:r>
        <w:t> </w:t>
      </w:r>
      <w:r w:rsidRPr="004808BC">
        <w:t>218 tis. eur a</w:t>
      </w:r>
      <w:r w:rsidR="000F4980">
        <w:t> </w:t>
      </w:r>
      <w:r w:rsidRPr="004808BC">
        <w:t>individuálnych korekcií</w:t>
      </w:r>
      <w:r w:rsidRPr="007F664D">
        <w:rPr>
          <w:vertAlign w:val="superscript"/>
        </w:rPr>
        <w:footnoteReference w:id="16"/>
      </w:r>
      <w:r w:rsidRPr="004808BC">
        <w:t xml:space="preserve"> v sume 3</w:t>
      </w:r>
      <w:r>
        <w:t> </w:t>
      </w:r>
      <w:r w:rsidR="007F664D">
        <w:t xml:space="preserve">916 tis. eur. </w:t>
      </w:r>
    </w:p>
    <w:p w14:paraId="16BDDB7A" w14:textId="3CA46CDA" w:rsidR="00F244F1" w:rsidRPr="0010515D" w:rsidRDefault="00F244F1" w:rsidP="007F664D">
      <w:r w:rsidRPr="004808BC">
        <w:t xml:space="preserve">V prípade, ak boli korekcie nahradené novými výdavkami, realizujú sa aj príjmy na príjmovom účte platobných jednotiek a zároveň bola v minulosti zaznamenaná programová (systémová) korekcia podľa požiadaviek </w:t>
      </w:r>
      <w:proofErr w:type="spellStart"/>
      <w:r w:rsidRPr="004808BC">
        <w:t>Eurostatu</w:t>
      </w:r>
      <w:proofErr w:type="spellEnd"/>
      <w:r w:rsidRPr="004808BC">
        <w:t xml:space="preserve"> v čase, keď bolo o nej rozhodnuté, išlo by o duplicitné zaznamenanie zníženia pohľadávky EÚ, jednak prostredníctvom nahlásenia korekcií v roku rozhodnutia a potom aj zmenou stavu pohľadávky vypočítanej ako rozdiel príjmov a výdavkov zo zdroja EÚ na rozpočtovom účte štátnych rozpočtových organizácií. Z tohto dôvodu je duplicitný negatívny vplyv na schodok eliminovaný. Uvedené </w:t>
      </w:r>
      <w:r w:rsidRPr="0010515D">
        <w:t>zohľadnila upravujúca položka očistenie vplyvu príjmov za prostriedky EÚ z dôvodu úhrady korekcií na náklady štátu vo výške 56 955 tis. eur.</w:t>
      </w:r>
    </w:p>
    <w:p w14:paraId="0C998CE6" w14:textId="3BC1F278" w:rsidR="00F244F1" w:rsidRPr="004808BC" w:rsidRDefault="00F244F1" w:rsidP="000F4980">
      <w:r w:rsidRPr="0010515D">
        <w:t xml:space="preserve">Podľa Rozhodnutia </w:t>
      </w:r>
      <w:proofErr w:type="spellStart"/>
      <w:r w:rsidRPr="0010515D">
        <w:t>Eurostatu</w:t>
      </w:r>
      <w:proofErr w:type="spellEnd"/>
      <w:r w:rsidRPr="0010515D">
        <w:t xml:space="preserve"> č. 22/2005 o zaznamenávaní transferov z EÚ do členských krajín má byť celkový vplyv EÚ tokov podľa metodiky ESA 2010 na schodok verejnej správy </w:t>
      </w:r>
      <w:r w:rsidR="00860D3E" w:rsidRPr="0010515D">
        <w:t>neutrálny</w:t>
      </w:r>
      <w:r w:rsidRPr="0010515D">
        <w:t xml:space="preserve">. Upravujúca položka, ktorou sa eliminuje vplyv EÚ fondov </w:t>
      </w:r>
      <w:r w:rsidRPr="004808BC">
        <w:t>na saldo verejnej správy mala negatívny vplyv na rozpočet vo výške 39</w:t>
      </w:r>
      <w:r>
        <w:t> </w:t>
      </w:r>
      <w:r w:rsidRPr="004808BC">
        <w:t>724 tis. eur.</w:t>
      </w:r>
    </w:p>
    <w:p w14:paraId="69619B87" w14:textId="664D8550" w:rsidR="00741CF5" w:rsidRDefault="00614751" w:rsidP="00614751">
      <w:r w:rsidRPr="00880E72">
        <w:t xml:space="preserve">Vplyv </w:t>
      </w:r>
      <w:r w:rsidRPr="00880E72">
        <w:rPr>
          <w:b/>
          <w:bCs/>
        </w:rPr>
        <w:t>akruálnych príjmov a výdavkov na obsluhu štátneho dlhu</w:t>
      </w:r>
      <w:r w:rsidRPr="00880E72">
        <w:t xml:space="preserve"> predstavoval </w:t>
      </w:r>
      <w:r w:rsidR="00B2244B">
        <w:t>schodok</w:t>
      </w:r>
      <w:r w:rsidRPr="00880E72">
        <w:t xml:space="preserve"> </w:t>
      </w:r>
      <w:r w:rsidR="00880E72" w:rsidRPr="00880E72">
        <w:t>73</w:t>
      </w:r>
      <w:r w:rsidRPr="00880E72">
        <w:t> </w:t>
      </w:r>
      <w:r w:rsidR="00880E72" w:rsidRPr="00880E72">
        <w:t>576</w:t>
      </w:r>
      <w:r w:rsidRPr="00880E72">
        <w:t> tis. eur a úspora oproti rozpočtovaným príjmom a výdavkom bola 1</w:t>
      </w:r>
      <w:r w:rsidR="00880E72" w:rsidRPr="00880E72">
        <w:t>16</w:t>
      </w:r>
      <w:r w:rsidRPr="00880E72">
        <w:t> </w:t>
      </w:r>
      <w:r w:rsidR="00880E72" w:rsidRPr="00880E72">
        <w:t>225</w:t>
      </w:r>
      <w:r w:rsidRPr="00880E72">
        <w:t xml:space="preserve"> tis. eur. Rozdiel medzi rozpočtovaným a skutočným hotovostným transferom zo štátneho rozpočtu </w:t>
      </w:r>
      <w:r w:rsidRPr="00B2244B">
        <w:t>na </w:t>
      </w:r>
      <w:r w:rsidR="00860D3E" w:rsidRPr="00B2244B">
        <w:t>krytie</w:t>
      </w:r>
      <w:r w:rsidRPr="00B2244B">
        <w:t xml:space="preserve"> </w:t>
      </w:r>
      <w:r w:rsidR="00860D3E" w:rsidRPr="00B2244B">
        <w:t xml:space="preserve">nákladov </w:t>
      </w:r>
      <w:r w:rsidRPr="00B2244B">
        <w:t>štátn</w:t>
      </w:r>
      <w:r w:rsidR="00860D3E" w:rsidRPr="00B2244B">
        <w:t>eho</w:t>
      </w:r>
      <w:r w:rsidRPr="00B2244B">
        <w:t xml:space="preserve"> dlh</w:t>
      </w:r>
      <w:r w:rsidR="00860D3E" w:rsidRPr="00B2244B">
        <w:t>u</w:t>
      </w:r>
      <w:r w:rsidRPr="00B2244B">
        <w:t xml:space="preserve"> bol vo výške 1</w:t>
      </w:r>
      <w:r w:rsidR="00880E72" w:rsidRPr="00B2244B">
        <w:t>41</w:t>
      </w:r>
      <w:r w:rsidRPr="00B2244B">
        <w:t> </w:t>
      </w:r>
      <w:r w:rsidR="00880E72" w:rsidRPr="00B2244B">
        <w:t>420</w:t>
      </w:r>
      <w:r w:rsidRPr="00B2244B">
        <w:t xml:space="preserve"> tis. eur. Úspora bola dosiahnutá </w:t>
      </w:r>
      <w:r w:rsidR="00860D3E" w:rsidRPr="00B2244B">
        <w:t xml:space="preserve">najmä </w:t>
      </w:r>
      <w:r w:rsidRPr="00B2244B">
        <w:t xml:space="preserve">vplyvom monetárnej politiky </w:t>
      </w:r>
      <w:r w:rsidRPr="00880E72">
        <w:t>Európskej centrálnej banky</w:t>
      </w:r>
      <w:r w:rsidR="00B2244B">
        <w:t xml:space="preserve"> na finančné trhy</w:t>
      </w:r>
      <w:r w:rsidRPr="00880E72">
        <w:t xml:space="preserve"> a domácimi makroekonomickými fundamentami.</w:t>
      </w:r>
    </w:p>
    <w:p w14:paraId="04CD7133" w14:textId="02327DC2" w:rsidR="0087380D" w:rsidRPr="00E828EB" w:rsidRDefault="001B1630" w:rsidP="008A6D8F">
      <w:pPr>
        <w:rPr>
          <w:rFonts w:cs="Times New Roman"/>
        </w:rPr>
      </w:pPr>
      <w:r w:rsidRPr="00BF744F">
        <w:rPr>
          <w:rFonts w:cs="Times New Roman"/>
          <w:b/>
        </w:rPr>
        <w:t>Sociálna poisťovňa</w:t>
      </w:r>
      <w:r w:rsidRPr="00BF744F">
        <w:rPr>
          <w:rFonts w:cs="Times New Roman"/>
        </w:rPr>
        <w:t xml:space="preserve"> dosiahla hotovostný schodok vo výške 130</w:t>
      </w:r>
      <w:r w:rsidR="0092655D">
        <w:rPr>
          <w:rFonts w:cs="Times New Roman"/>
        </w:rPr>
        <w:t> </w:t>
      </w:r>
      <w:r w:rsidRPr="00BF744F">
        <w:rPr>
          <w:rFonts w:cs="Times New Roman"/>
        </w:rPr>
        <w:t>022</w:t>
      </w:r>
      <w:r w:rsidR="0092655D">
        <w:rPr>
          <w:rFonts w:cs="Times New Roman"/>
        </w:rPr>
        <w:t> tis. </w:t>
      </w:r>
      <w:r w:rsidRPr="00E828EB">
        <w:rPr>
          <w:rFonts w:cs="Times New Roman"/>
        </w:rPr>
        <w:t>eur (</w:t>
      </w:r>
      <w:r w:rsidR="002A5B11" w:rsidRPr="00E828EB">
        <w:rPr>
          <w:rFonts w:cs="Times New Roman"/>
        </w:rPr>
        <w:t>rozpočtovaný bol hotovostný prebytok 29 864 tis. eur)</w:t>
      </w:r>
      <w:r w:rsidRPr="00E828EB">
        <w:rPr>
          <w:rFonts w:cs="Times New Roman"/>
        </w:rPr>
        <w:t>. Naj</w:t>
      </w:r>
      <w:r w:rsidRPr="00BF744F">
        <w:rPr>
          <w:rFonts w:cs="Times New Roman"/>
        </w:rPr>
        <w:t>väčší vplyv na hotovostný schodok malo, aj napriek vyšším príjmom na poistnom, vyššie čerpanie výdavkov</w:t>
      </w:r>
      <w:r w:rsidR="00E828EB">
        <w:rPr>
          <w:rFonts w:cs="Times New Roman"/>
        </w:rPr>
        <w:t xml:space="preserve"> zo</w:t>
      </w:r>
      <w:r w:rsidR="00567FAC" w:rsidRPr="00BF744F">
        <w:rPr>
          <w:rFonts w:cs="Times New Roman"/>
        </w:rPr>
        <w:t> </w:t>
      </w:r>
      <w:r w:rsidR="0092655D">
        <w:rPr>
          <w:rFonts w:cs="Times New Roman"/>
        </w:rPr>
        <w:t>sociálne</w:t>
      </w:r>
      <w:r w:rsidR="00E828EB">
        <w:rPr>
          <w:rFonts w:cs="Times New Roman"/>
        </w:rPr>
        <w:t>ho poistenia</w:t>
      </w:r>
      <w:r w:rsidR="0092655D">
        <w:rPr>
          <w:rFonts w:cs="Times New Roman"/>
        </w:rPr>
        <w:t xml:space="preserve"> </w:t>
      </w:r>
      <w:r w:rsidR="00377F60" w:rsidRPr="00BF744F">
        <w:rPr>
          <w:rFonts w:cs="Times New Roman"/>
        </w:rPr>
        <w:t>oproti schválenému rozpočtu</w:t>
      </w:r>
      <w:r w:rsidR="00377F60">
        <w:rPr>
          <w:rFonts w:cs="Times New Roman"/>
        </w:rPr>
        <w:t xml:space="preserve"> </w:t>
      </w:r>
      <w:r w:rsidR="0092655D">
        <w:rPr>
          <w:rFonts w:cs="Times New Roman"/>
        </w:rPr>
        <w:t>o 144 </w:t>
      </w:r>
      <w:r w:rsidRPr="00BF744F">
        <w:rPr>
          <w:rFonts w:cs="Times New Roman"/>
        </w:rPr>
        <w:t>388 </w:t>
      </w:r>
      <w:r w:rsidR="0092655D">
        <w:rPr>
          <w:rFonts w:cs="Times New Roman"/>
        </w:rPr>
        <w:t>tis</w:t>
      </w:r>
      <w:r w:rsidRPr="00BF744F">
        <w:rPr>
          <w:rFonts w:cs="Times New Roman"/>
        </w:rPr>
        <w:t>. eur. Išlo najmä</w:t>
      </w:r>
      <w:r w:rsidR="0092655D">
        <w:rPr>
          <w:rFonts w:cs="Times New Roman"/>
        </w:rPr>
        <w:t xml:space="preserve"> o </w:t>
      </w:r>
      <w:r w:rsidR="00F86FC0" w:rsidRPr="00BF744F">
        <w:rPr>
          <w:rFonts w:cs="Times New Roman"/>
        </w:rPr>
        <w:t xml:space="preserve">výdavky </w:t>
      </w:r>
      <w:r w:rsidR="00F86FC0" w:rsidRPr="00D2014E">
        <w:rPr>
          <w:rFonts w:cs="Times New Roman"/>
        </w:rPr>
        <w:t>na </w:t>
      </w:r>
      <w:r w:rsidRPr="00D2014E">
        <w:rPr>
          <w:rFonts w:cs="Times New Roman"/>
        </w:rPr>
        <w:t xml:space="preserve">nemocenské dávky, dôchodkové dávky zo starobného poistenia a dávky v nezamestnanosti. </w:t>
      </w:r>
      <w:r w:rsidR="00C83274" w:rsidRPr="00D2014E">
        <w:rPr>
          <w:rFonts w:cs="Times New Roman"/>
        </w:rPr>
        <w:t>V</w:t>
      </w:r>
      <w:r w:rsidRPr="00D2014E">
        <w:rPr>
          <w:rFonts w:cs="Times New Roman"/>
        </w:rPr>
        <w:t>ý</w:t>
      </w:r>
      <w:r w:rsidR="00C83274" w:rsidRPr="00D2014E">
        <w:rPr>
          <w:rFonts w:cs="Times New Roman"/>
        </w:rPr>
        <w:t>davky</w:t>
      </w:r>
      <w:r w:rsidRPr="00D2014E">
        <w:rPr>
          <w:rFonts w:cs="Times New Roman"/>
        </w:rPr>
        <w:t xml:space="preserve"> </w:t>
      </w:r>
      <w:r w:rsidR="00E828EB">
        <w:rPr>
          <w:rFonts w:cs="Times New Roman"/>
        </w:rPr>
        <w:t>zo</w:t>
      </w:r>
      <w:r w:rsidRPr="00D2014E">
        <w:rPr>
          <w:rFonts w:cs="Times New Roman"/>
        </w:rPr>
        <w:t xml:space="preserve"> sociálne</w:t>
      </w:r>
      <w:r w:rsidR="00E828EB">
        <w:rPr>
          <w:rFonts w:cs="Times New Roman"/>
        </w:rPr>
        <w:t>ho poistenia</w:t>
      </w:r>
      <w:r w:rsidRPr="00D2014E">
        <w:rPr>
          <w:rFonts w:cs="Times New Roman"/>
        </w:rPr>
        <w:t xml:space="preserve"> bol</w:t>
      </w:r>
      <w:r w:rsidR="00C83274" w:rsidRPr="00D2014E">
        <w:rPr>
          <w:rFonts w:cs="Times New Roman"/>
        </w:rPr>
        <w:t>i upravené (navýšené) o</w:t>
      </w:r>
      <w:r w:rsidRPr="00D2014E">
        <w:rPr>
          <w:rFonts w:cs="Times New Roman"/>
        </w:rPr>
        <w:t xml:space="preserve"> poistné, ktoré</w:t>
      </w:r>
      <w:r w:rsidR="00C83274" w:rsidRPr="00D2014E">
        <w:rPr>
          <w:rFonts w:cs="Times New Roman"/>
        </w:rPr>
        <w:t xml:space="preserve"> bolo zaplatené v roku 2018 a</w:t>
      </w:r>
      <w:r w:rsidRPr="00D2014E">
        <w:rPr>
          <w:rFonts w:cs="Times New Roman"/>
        </w:rPr>
        <w:t xml:space="preserve"> súviselo s rokom 2019 </w:t>
      </w:r>
      <w:r w:rsidR="00C83274" w:rsidRPr="00D2014E">
        <w:rPr>
          <w:rFonts w:cs="Times New Roman"/>
        </w:rPr>
        <w:t>(vo výške 37</w:t>
      </w:r>
      <w:r w:rsidR="005A7E6E">
        <w:rPr>
          <w:rFonts w:cs="Times New Roman"/>
        </w:rPr>
        <w:t> </w:t>
      </w:r>
      <w:r w:rsidR="00C83274" w:rsidRPr="00D2014E">
        <w:rPr>
          <w:rFonts w:cs="Times New Roman"/>
        </w:rPr>
        <w:t>808</w:t>
      </w:r>
      <w:r w:rsidR="005A7E6E">
        <w:rPr>
          <w:rFonts w:cs="Times New Roman"/>
        </w:rPr>
        <w:t> </w:t>
      </w:r>
      <w:r w:rsidR="00C83274" w:rsidRPr="00D2014E">
        <w:rPr>
          <w:rFonts w:cs="Times New Roman"/>
        </w:rPr>
        <w:t>tis.</w:t>
      </w:r>
      <w:r w:rsidR="00702083">
        <w:rPr>
          <w:rFonts w:cs="Times New Roman"/>
        </w:rPr>
        <w:t> </w:t>
      </w:r>
      <w:r w:rsidR="00C83274" w:rsidRPr="00D2014E">
        <w:rPr>
          <w:rFonts w:cs="Times New Roman"/>
        </w:rPr>
        <w:t>eur)</w:t>
      </w:r>
      <w:r w:rsidR="000F21D2" w:rsidRPr="00D2014E">
        <w:rPr>
          <w:rFonts w:cs="Times New Roman"/>
        </w:rPr>
        <w:t xml:space="preserve"> a zároveň </w:t>
      </w:r>
      <w:r w:rsidR="000F21D2" w:rsidRPr="00D2014E">
        <w:t>bol</w:t>
      </w:r>
      <w:r w:rsidR="00C83274" w:rsidRPr="00D2014E">
        <w:t xml:space="preserve">i výdavky </w:t>
      </w:r>
      <w:r w:rsidR="00E828EB">
        <w:t>zo</w:t>
      </w:r>
      <w:r w:rsidR="00C83274" w:rsidRPr="00D2014E">
        <w:t xml:space="preserve"> sociálne</w:t>
      </w:r>
      <w:r w:rsidR="00E828EB">
        <w:t>ho poistenia</w:t>
      </w:r>
      <w:r w:rsidR="000F21D2" w:rsidRPr="00D2014E">
        <w:t xml:space="preserve"> očistené</w:t>
      </w:r>
      <w:r w:rsidR="00C83274" w:rsidRPr="00D2014E">
        <w:t xml:space="preserve"> (ponížené)</w:t>
      </w:r>
      <w:r w:rsidR="000F21D2" w:rsidRPr="00D2014E">
        <w:t xml:space="preserve"> o vplyv poistného zaplateného v roku 2019, ktoré súviselo s rokom 2020</w:t>
      </w:r>
      <w:r w:rsidR="00C83274" w:rsidRPr="00D2014E">
        <w:t xml:space="preserve"> (vo výške 41</w:t>
      </w:r>
      <w:r w:rsidR="00702083">
        <w:t> </w:t>
      </w:r>
      <w:r w:rsidR="00C83274" w:rsidRPr="00D2014E">
        <w:t>699</w:t>
      </w:r>
      <w:r w:rsidR="00702083">
        <w:t> </w:t>
      </w:r>
      <w:r w:rsidR="00C83274" w:rsidRPr="00D2014E">
        <w:t>tis.</w:t>
      </w:r>
      <w:r w:rsidR="00702083">
        <w:t> </w:t>
      </w:r>
      <w:r w:rsidR="009320F1">
        <w:t>eur).</w:t>
      </w:r>
      <w:r w:rsidR="00FF65F3">
        <w:t xml:space="preserve"> </w:t>
      </w:r>
      <w:r w:rsidRPr="00D2014E">
        <w:t xml:space="preserve">Výsledkom boli </w:t>
      </w:r>
      <w:r w:rsidR="00E828EB">
        <w:t>výdavky zo</w:t>
      </w:r>
      <w:r w:rsidR="00C83274" w:rsidRPr="00D2014E">
        <w:t> sociálne</w:t>
      </w:r>
      <w:r w:rsidR="00E828EB">
        <w:t>ho poistenia</w:t>
      </w:r>
      <w:r w:rsidR="00C83274" w:rsidRPr="00D2014E">
        <w:t xml:space="preserve"> vyššie</w:t>
      </w:r>
      <w:r w:rsidRPr="00D2014E">
        <w:t xml:space="preserve"> o</w:t>
      </w:r>
      <w:r w:rsidR="00F86FC0" w:rsidRPr="00D2014E">
        <w:t> 140 </w:t>
      </w:r>
      <w:r w:rsidRPr="00D2014E">
        <w:t>497 tis. eur oproti schválenému rozpočtu.</w:t>
      </w:r>
      <w:r w:rsidRPr="00BF744F">
        <w:t xml:space="preserve"> </w:t>
      </w:r>
      <w:r w:rsidR="00E97BE7">
        <w:rPr>
          <w:rFonts w:cs="Times New Roman"/>
        </w:rPr>
        <w:t xml:space="preserve">V roku 2019 sa nerozpočtoval transfer </w:t>
      </w:r>
      <w:r w:rsidR="006913C3" w:rsidRPr="00E828EB">
        <w:rPr>
          <w:rFonts w:cs="Times New Roman"/>
        </w:rPr>
        <w:t>zo štátneho rozpočtu</w:t>
      </w:r>
      <w:r w:rsidR="006913C3" w:rsidRPr="00E97BE7">
        <w:rPr>
          <w:rFonts w:cs="Times New Roman"/>
        </w:rPr>
        <w:t xml:space="preserve"> </w:t>
      </w:r>
      <w:r w:rsidR="0087380D" w:rsidRPr="00E828EB">
        <w:rPr>
          <w:rFonts w:cs="Times New Roman"/>
        </w:rPr>
        <w:t>Sociálnej poisťovni</w:t>
      </w:r>
      <w:r w:rsidR="00E97BE7">
        <w:rPr>
          <w:rFonts w:cs="Times New Roman"/>
        </w:rPr>
        <w:t xml:space="preserve"> a ani v skutočnosti</w:t>
      </w:r>
      <w:r w:rsidR="0087380D" w:rsidRPr="00E828EB">
        <w:rPr>
          <w:rFonts w:cs="Times New Roman"/>
        </w:rPr>
        <w:t xml:space="preserve"> </w:t>
      </w:r>
      <w:r w:rsidR="00F57C05">
        <w:rPr>
          <w:rFonts w:cs="Times New Roman"/>
        </w:rPr>
        <w:t xml:space="preserve">nebol </w:t>
      </w:r>
      <w:r w:rsidR="006913C3">
        <w:rPr>
          <w:rFonts w:cs="Times New Roman"/>
        </w:rPr>
        <w:t xml:space="preserve">žiadny </w:t>
      </w:r>
      <w:r w:rsidR="0087380D" w:rsidRPr="00E828EB">
        <w:rPr>
          <w:rFonts w:cs="Times New Roman"/>
        </w:rPr>
        <w:t xml:space="preserve">transfer </w:t>
      </w:r>
      <w:r w:rsidR="00E97BE7" w:rsidRPr="00E828EB">
        <w:rPr>
          <w:rFonts w:cs="Times New Roman"/>
        </w:rPr>
        <w:t>poskytnutý</w:t>
      </w:r>
      <w:r w:rsidR="00E97BE7">
        <w:rPr>
          <w:rFonts w:cs="Times New Roman"/>
        </w:rPr>
        <w:t>.</w:t>
      </w:r>
      <w:r w:rsidR="0087380D" w:rsidRPr="00E828EB">
        <w:rPr>
          <w:rFonts w:cs="Times New Roman"/>
        </w:rPr>
        <w:t xml:space="preserve"> </w:t>
      </w:r>
    </w:p>
    <w:p w14:paraId="5AF2E0E4" w14:textId="463F59D7" w:rsidR="00537EC3" w:rsidRDefault="0087380D" w:rsidP="0024394A">
      <w:pPr>
        <w:rPr>
          <w:rFonts w:cs="Times New Roman"/>
        </w:rPr>
      </w:pPr>
      <w:r w:rsidRPr="00E828EB">
        <w:rPr>
          <w:rFonts w:cs="Times New Roman"/>
        </w:rPr>
        <w:t xml:space="preserve">V metodike ESA 2010 dosiahla </w:t>
      </w:r>
      <w:r w:rsidR="001B1630" w:rsidRPr="00E828EB">
        <w:rPr>
          <w:rFonts w:cs="Times New Roman"/>
        </w:rPr>
        <w:t>Sociálna poisťovňa prebytok vo</w:t>
      </w:r>
      <w:r w:rsidR="00F86FC0" w:rsidRPr="00E828EB">
        <w:rPr>
          <w:rFonts w:cs="Times New Roman"/>
        </w:rPr>
        <w:t> </w:t>
      </w:r>
      <w:r w:rsidR="001B1630" w:rsidRPr="00E828EB">
        <w:rPr>
          <w:rFonts w:cs="Times New Roman"/>
        </w:rPr>
        <w:t>výške 76</w:t>
      </w:r>
      <w:r w:rsidR="0092655D" w:rsidRPr="00E828EB">
        <w:rPr>
          <w:rFonts w:cs="Times New Roman"/>
        </w:rPr>
        <w:t> </w:t>
      </w:r>
      <w:r w:rsidR="001B1630" w:rsidRPr="00E828EB">
        <w:rPr>
          <w:rFonts w:cs="Times New Roman"/>
        </w:rPr>
        <w:t>751 </w:t>
      </w:r>
      <w:r w:rsidR="0092655D" w:rsidRPr="00E828EB">
        <w:rPr>
          <w:rFonts w:cs="Times New Roman"/>
        </w:rPr>
        <w:t>tis</w:t>
      </w:r>
      <w:r w:rsidR="001B1630" w:rsidRPr="00E828EB">
        <w:rPr>
          <w:rFonts w:cs="Times New Roman"/>
        </w:rPr>
        <w:t>. eur (</w:t>
      </w:r>
      <w:r w:rsidR="009320F1" w:rsidRPr="00E828EB">
        <w:rPr>
          <w:rFonts w:cs="Times New Roman"/>
        </w:rPr>
        <w:t>rozpočtovaný bol ESA prebytok 64 878 tis. eur</w:t>
      </w:r>
      <w:r w:rsidR="00A164E5">
        <w:rPr>
          <w:rFonts w:cs="Times New Roman"/>
        </w:rPr>
        <w:t xml:space="preserve">). </w:t>
      </w:r>
      <w:r w:rsidR="001B1630" w:rsidRPr="00E828EB">
        <w:rPr>
          <w:rFonts w:cs="Times New Roman"/>
        </w:rPr>
        <w:t>Najväčší vplyv na ESA prebytok</w:t>
      </w:r>
      <w:r w:rsidR="00FF7F87" w:rsidRPr="00E828EB">
        <w:rPr>
          <w:rFonts w:cs="Times New Roman"/>
        </w:rPr>
        <w:t xml:space="preserve"> (a tým aj vykompenzovanie hotovostného schodku) </w:t>
      </w:r>
      <w:r w:rsidR="001B1630" w:rsidRPr="00E828EB">
        <w:rPr>
          <w:rFonts w:cs="Times New Roman"/>
        </w:rPr>
        <w:t>mala imputácia pohľadávok na poistnom voči zdravotníckym zariadeniam vo výške 146</w:t>
      </w:r>
      <w:r w:rsidR="0092655D" w:rsidRPr="00E828EB">
        <w:rPr>
          <w:rFonts w:cs="Times New Roman"/>
        </w:rPr>
        <w:t> </w:t>
      </w:r>
      <w:r w:rsidR="001B1630" w:rsidRPr="00E828EB">
        <w:rPr>
          <w:rFonts w:cs="Times New Roman"/>
        </w:rPr>
        <w:t>720 </w:t>
      </w:r>
      <w:r w:rsidR="0092655D" w:rsidRPr="00E828EB">
        <w:rPr>
          <w:rFonts w:cs="Times New Roman"/>
        </w:rPr>
        <w:t>tis</w:t>
      </w:r>
      <w:r w:rsidR="001B1630" w:rsidRPr="00E828EB">
        <w:rPr>
          <w:rFonts w:cs="Times New Roman"/>
        </w:rPr>
        <w:t>. eur</w:t>
      </w:r>
      <w:r w:rsidR="00FF7F87" w:rsidRPr="00E828EB">
        <w:rPr>
          <w:rFonts w:cs="Times New Roman"/>
        </w:rPr>
        <w:t xml:space="preserve"> a</w:t>
      </w:r>
      <w:r w:rsidR="001B1630" w:rsidRPr="00E828EB">
        <w:rPr>
          <w:rFonts w:cs="Times New Roman"/>
        </w:rPr>
        <w:t xml:space="preserve"> imputácia </w:t>
      </w:r>
      <w:proofErr w:type="spellStart"/>
      <w:r w:rsidR="001B1630" w:rsidRPr="00E828EB">
        <w:rPr>
          <w:rFonts w:cs="Times New Roman"/>
        </w:rPr>
        <w:t>akrualizácie</w:t>
      </w:r>
      <w:proofErr w:type="spellEnd"/>
      <w:r w:rsidR="001B1630" w:rsidRPr="00E828EB">
        <w:rPr>
          <w:rFonts w:cs="Times New Roman"/>
        </w:rPr>
        <w:t xml:space="preserve"> poistného</w:t>
      </w:r>
      <w:r w:rsidR="0062736B">
        <w:rPr>
          <w:rFonts w:cs="Times New Roman"/>
        </w:rPr>
        <w:t xml:space="preserve"> </w:t>
      </w:r>
      <w:r w:rsidR="001B1630" w:rsidRPr="00E828EB">
        <w:rPr>
          <w:rFonts w:cs="Times New Roman"/>
        </w:rPr>
        <w:t>vo výške 49</w:t>
      </w:r>
      <w:r w:rsidR="0092655D" w:rsidRPr="00E828EB">
        <w:rPr>
          <w:rFonts w:cs="Times New Roman"/>
        </w:rPr>
        <w:t> </w:t>
      </w:r>
      <w:r w:rsidR="001B1630" w:rsidRPr="00E828EB">
        <w:rPr>
          <w:rFonts w:cs="Times New Roman"/>
        </w:rPr>
        <w:t>185 </w:t>
      </w:r>
      <w:r w:rsidR="0092655D" w:rsidRPr="00E828EB">
        <w:rPr>
          <w:rFonts w:cs="Times New Roman"/>
        </w:rPr>
        <w:t>tis</w:t>
      </w:r>
      <w:r w:rsidR="00537EC3">
        <w:rPr>
          <w:rFonts w:cs="Times New Roman"/>
        </w:rPr>
        <w:t>. eur.</w:t>
      </w:r>
    </w:p>
    <w:p w14:paraId="0E5EB771" w14:textId="76028D47" w:rsidR="00FF7F87" w:rsidRPr="00E828EB" w:rsidRDefault="00FF7F87" w:rsidP="008A6D8F">
      <w:pPr>
        <w:rPr>
          <w:rFonts w:cs="Times New Roman"/>
        </w:rPr>
      </w:pPr>
      <w:r w:rsidRPr="00E828EB">
        <w:rPr>
          <w:rFonts w:cs="Times New Roman"/>
        </w:rPr>
        <w:t>Imputácia pohľadávok na poistnom voči zdravotníckym zariadeniam je na základe nového manuálu k metodike ESA 2010</w:t>
      </w:r>
      <w:r w:rsidR="001D2108" w:rsidRPr="00E828EB">
        <w:rPr>
          <w:rStyle w:val="Odkaznapoznmkupodiarou"/>
          <w:rFonts w:cs="Times New Roman"/>
        </w:rPr>
        <w:footnoteReference w:id="17"/>
      </w:r>
      <w:r w:rsidR="0062736B">
        <w:rPr>
          <w:rFonts w:cs="Times New Roman"/>
        </w:rPr>
        <w:t xml:space="preserve"> a nebola rozpočtovaná. </w:t>
      </w:r>
      <w:r w:rsidRPr="00E828EB">
        <w:rPr>
          <w:rFonts w:cs="Times New Roman"/>
        </w:rPr>
        <w:t xml:space="preserve">Naopak, </w:t>
      </w:r>
      <w:proofErr w:type="spellStart"/>
      <w:r w:rsidRPr="00E828EB">
        <w:rPr>
          <w:rFonts w:cs="Times New Roman"/>
        </w:rPr>
        <w:t>akrualizácia</w:t>
      </w:r>
      <w:proofErr w:type="spellEnd"/>
      <w:r w:rsidRPr="00E828EB">
        <w:rPr>
          <w:rFonts w:cs="Times New Roman"/>
        </w:rPr>
        <w:t xml:space="preserve"> poistného bola rozpočtovaná v hodnote 44 158 tis. eur, a skutočné plnenie tak bolo lepšie o 5</w:t>
      </w:r>
      <w:r w:rsidR="008E7992">
        <w:rPr>
          <w:rFonts w:cs="Times New Roman"/>
        </w:rPr>
        <w:t> </w:t>
      </w:r>
      <w:r w:rsidRPr="00E828EB">
        <w:rPr>
          <w:rFonts w:cs="Times New Roman"/>
        </w:rPr>
        <w:t>027</w:t>
      </w:r>
      <w:r w:rsidR="008E7992">
        <w:rPr>
          <w:rFonts w:cs="Times New Roman"/>
        </w:rPr>
        <w:t> </w:t>
      </w:r>
      <w:r w:rsidRPr="00E828EB">
        <w:rPr>
          <w:rFonts w:cs="Times New Roman"/>
        </w:rPr>
        <w:t>tis. eur.</w:t>
      </w:r>
    </w:p>
    <w:p w14:paraId="1E8102FA" w14:textId="160F04EA" w:rsidR="0004106B" w:rsidRPr="00BF744F" w:rsidRDefault="00AB7C7E" w:rsidP="008A6D8F">
      <w:r w:rsidRPr="00BF744F">
        <w:rPr>
          <w:rFonts w:eastAsia="Times New Roman" w:cs="Times New Roman"/>
          <w:b/>
          <w:color w:val="000000"/>
          <w:lang w:eastAsia="sk-SK"/>
        </w:rPr>
        <w:t>Výdavky verejného zdravotného poistenia</w:t>
      </w:r>
      <w:r w:rsidRPr="00BF744F">
        <w:rPr>
          <w:rFonts w:eastAsia="Times New Roman" w:cs="Times New Roman"/>
          <w:color w:val="000000"/>
          <w:lang w:eastAsia="sk-SK"/>
        </w:rPr>
        <w:t xml:space="preserve"> (zdravotná starostlivosť)</w:t>
      </w:r>
      <w:r w:rsidRPr="00BF744F">
        <w:rPr>
          <w:rFonts w:eastAsia="Times New Roman" w:cs="Times New Roman"/>
          <w:color w:val="000000"/>
          <w:sz w:val="20"/>
          <w:szCs w:val="20"/>
          <w:lang w:eastAsia="sk-SK"/>
        </w:rPr>
        <w:t xml:space="preserve"> </w:t>
      </w:r>
      <w:r w:rsidR="00614751" w:rsidRPr="00BF744F">
        <w:t xml:space="preserve">boli rozpočtované v sume </w:t>
      </w:r>
      <w:r w:rsidR="00E104B3" w:rsidRPr="00BF744F">
        <w:t>4</w:t>
      </w:r>
      <w:r w:rsidR="00702083">
        <w:t> </w:t>
      </w:r>
      <w:r w:rsidR="00E104B3" w:rsidRPr="00BF744F">
        <w:t>758</w:t>
      </w:r>
      <w:r w:rsidR="00702083">
        <w:t> </w:t>
      </w:r>
      <w:r w:rsidR="00E104B3" w:rsidRPr="00BF744F">
        <w:t>501</w:t>
      </w:r>
      <w:r w:rsidR="00614751" w:rsidRPr="00BF744F">
        <w:t> tis. eur, skutočnosť bola o</w:t>
      </w:r>
      <w:r w:rsidR="00702083">
        <w:t> </w:t>
      </w:r>
      <w:r w:rsidR="00DA7EA3" w:rsidRPr="00BF744F">
        <w:t>122</w:t>
      </w:r>
      <w:r w:rsidR="00702083">
        <w:t> </w:t>
      </w:r>
      <w:r w:rsidR="00DA7EA3" w:rsidRPr="00BF744F">
        <w:t>910</w:t>
      </w:r>
      <w:r w:rsidR="00614751" w:rsidRPr="00BF744F">
        <w:t> tis. eur vyššia.</w:t>
      </w:r>
      <w:r w:rsidR="00614751" w:rsidRPr="00BF744F">
        <w:rPr>
          <w:color w:val="FF0000"/>
        </w:rPr>
        <w:t xml:space="preserve"> </w:t>
      </w:r>
      <w:r w:rsidR="00614751" w:rsidRPr="00BF744F">
        <w:t xml:space="preserve">Celkový </w:t>
      </w:r>
      <w:r w:rsidR="00E104B3" w:rsidRPr="00BF744F">
        <w:t>ESA prebytok</w:t>
      </w:r>
      <w:r w:rsidR="00614751" w:rsidRPr="00BF744F">
        <w:t xml:space="preserve"> </w:t>
      </w:r>
      <w:r w:rsidR="00200966" w:rsidRPr="00F52A6B">
        <w:t xml:space="preserve">zdravotného poistenia </w:t>
      </w:r>
      <w:r w:rsidR="00614751" w:rsidRPr="00BF744F">
        <w:t>bol oproti rozpočtu nižší o</w:t>
      </w:r>
      <w:r w:rsidR="00702083">
        <w:t> </w:t>
      </w:r>
      <w:r w:rsidR="00967E14" w:rsidRPr="00BF744F">
        <w:t>14</w:t>
      </w:r>
      <w:r w:rsidR="00702083">
        <w:t> </w:t>
      </w:r>
      <w:r w:rsidR="00967E14" w:rsidRPr="00BF744F">
        <w:t>853</w:t>
      </w:r>
      <w:r w:rsidR="00614751" w:rsidRPr="00BF744F">
        <w:t xml:space="preserve"> tis. eur. Na hospodárenie negatívne vplýval aj výdavkový transfer z verejnej časti zdravotného poistenia do súkromnej časti zdravotných poisťovní (splátka istiny úveru a výplata dividend akcionárom a platba za správu verejného zdravotného poistenia) spolu vo výške </w:t>
      </w:r>
      <w:r w:rsidR="00967E14" w:rsidRPr="00BF744F">
        <w:t>107</w:t>
      </w:r>
      <w:r w:rsidR="00681D17">
        <w:t> </w:t>
      </w:r>
      <w:r w:rsidR="00967E14" w:rsidRPr="00BF744F">
        <w:t>856</w:t>
      </w:r>
      <w:r w:rsidR="00614751" w:rsidRPr="00BF744F">
        <w:t xml:space="preserve"> tis. eur. </w:t>
      </w:r>
    </w:p>
    <w:p w14:paraId="7BAE96B1" w14:textId="0E47C238" w:rsidR="000D5C00" w:rsidRPr="00CA0323" w:rsidRDefault="000D5C00" w:rsidP="000D5C00">
      <w:pPr>
        <w:rPr>
          <w:color w:val="FF0000"/>
        </w:rPr>
      </w:pPr>
      <w:r w:rsidRPr="003A0432">
        <w:rPr>
          <w:b/>
        </w:rPr>
        <w:t>Obchodné spoločnosti ústrednej správy</w:t>
      </w:r>
      <w:r w:rsidRPr="003A0432">
        <w:t xml:space="preserve"> dosiahli zhoršenie hospodárenia o 77 256 tis. eur oproti rozpočtu, úhrnom bol dosiahnutý schodok 42 820 tis. eur, pričom v rozpočte sa predpokladalo s prebytkom 34 436 tis. eur. V rámci tejto zložky verejnej správy je vykazované hospodárenie celkovo za 9 subjektov, pričom v rozhodujúcej miere sa na výsledku podieľajú najmä spoločnosti ako Železnice Slovenskej republiky, Železničná spoločnosť Slovensko, a.s., Národná diaľničná spoločnosť, a.s.</w:t>
      </w:r>
    </w:p>
    <w:p w14:paraId="22B0CB53" w14:textId="07C6AAF1" w:rsidR="008C525A" w:rsidRPr="00947578" w:rsidRDefault="008C525A" w:rsidP="008C525A">
      <w:pPr>
        <w:rPr>
          <w:rFonts w:cs="Times New Roman"/>
        </w:rPr>
      </w:pPr>
      <w:r w:rsidRPr="00BF744F">
        <w:rPr>
          <w:b/>
        </w:rPr>
        <w:t>Železnice Slovenskej republiky</w:t>
      </w:r>
      <w:r w:rsidRPr="00BF744F">
        <w:t xml:space="preserve"> hospodárili oproti rozpočtu verejnej správy lepšie o 2 631 tis. eur, čo bolo spôsobené nárastom nedaňových príjmov za predaj služieb, nárastom kapitálových príjmov z titulu predaja administratívnej budovy v Košiciach, prijatím väčšieho objemu </w:t>
      </w:r>
      <w:r>
        <w:t>bežných transferov</w:t>
      </w:r>
      <w:r w:rsidRPr="00BF744F">
        <w:t xml:space="preserve"> (</w:t>
      </w:r>
      <w:r w:rsidR="002A3869">
        <w:t xml:space="preserve">zo </w:t>
      </w:r>
      <w:r w:rsidRPr="00BF744F">
        <w:t>zml</w:t>
      </w:r>
      <w:r w:rsidR="002A3869">
        <w:t>uvy</w:t>
      </w:r>
      <w:r w:rsidRPr="00BF744F">
        <w:t xml:space="preserve"> o prevádzkovaní železničnej infraštruktúry)</w:t>
      </w:r>
      <w:r>
        <w:t>, kapitálových transferov zo zdrojov štátneho rozpočtu</w:t>
      </w:r>
      <w:r w:rsidRPr="00BF744F">
        <w:t xml:space="preserve"> a </w:t>
      </w:r>
      <w:r>
        <w:t>transferov</w:t>
      </w:r>
      <w:r w:rsidRPr="00BF744F">
        <w:t xml:space="preserve"> zo zdrojov EÚ v</w:t>
      </w:r>
      <w:r w:rsidRPr="00BF744F">
        <w:rPr>
          <w:rFonts w:cs="Times New Roman"/>
        </w:rPr>
        <w:t xml:space="preserve"> nadväznosti na uvoľnenie finančných prostriedkov, ktoré boli </w:t>
      </w:r>
      <w:r>
        <w:rPr>
          <w:rFonts w:cs="Times New Roman"/>
        </w:rPr>
        <w:t xml:space="preserve">v zmysle §8 </w:t>
      </w:r>
      <w:r w:rsidRPr="00BF744F">
        <w:rPr>
          <w:rFonts w:cs="Times New Roman"/>
        </w:rPr>
        <w:t xml:space="preserve">viazané v predchádzajúcom roku na použitie výdavkov do nasledujúcich rokov (kompenzácia nákladným dopravcom, prijatie transferu vo výške 1 975 tis. eur prostredníctvom MDV SR na riešenie stavu infraštruktúry, dotácia na bežné prevádzkové výkony). </w:t>
      </w:r>
      <w:r w:rsidRPr="00BF744F">
        <w:t xml:space="preserve">Výšku prebytku čiastočne eliminoval </w:t>
      </w:r>
      <w:r w:rsidRPr="00BF744F">
        <w:rPr>
          <w:rFonts w:cs="Times New Roman"/>
        </w:rPr>
        <w:t>nárast výdavkov na tovary a</w:t>
      </w:r>
      <w:r w:rsidR="00D9182B">
        <w:rPr>
          <w:rFonts w:cs="Times New Roman"/>
        </w:rPr>
        <w:t> </w:t>
      </w:r>
      <w:r w:rsidRPr="00BF744F">
        <w:rPr>
          <w:rFonts w:cs="Times New Roman"/>
        </w:rPr>
        <w:t>služby</w:t>
      </w:r>
      <w:r w:rsidR="00D9182B">
        <w:rPr>
          <w:rFonts w:cs="Times New Roman"/>
        </w:rPr>
        <w:t xml:space="preserve"> (úhrnom o 35 807 tis. eur), napr. </w:t>
      </w:r>
      <w:r w:rsidRPr="00BF744F">
        <w:rPr>
          <w:rFonts w:cs="Times New Roman"/>
        </w:rPr>
        <w:t xml:space="preserve">nákup materiálu, údržba a výdavkov na obstaranie kapitálových aktív </w:t>
      </w:r>
      <w:r w:rsidR="00D9182B">
        <w:rPr>
          <w:rFonts w:cs="Times New Roman"/>
        </w:rPr>
        <w:t xml:space="preserve">(úhrnom o 38 091 tis. eur), </w:t>
      </w:r>
      <w:r w:rsidRPr="00BF744F">
        <w:rPr>
          <w:rFonts w:cs="Times New Roman"/>
        </w:rPr>
        <w:t>napr. diagnostických vozidiel pre meranie geometrickej polohy koľaje a </w:t>
      </w:r>
      <w:proofErr w:type="spellStart"/>
      <w:r w:rsidRPr="00BF744F">
        <w:rPr>
          <w:rFonts w:cs="Times New Roman"/>
        </w:rPr>
        <w:t>defektoskopie</w:t>
      </w:r>
      <w:proofErr w:type="spellEnd"/>
      <w:r w:rsidRPr="00BF744F">
        <w:rPr>
          <w:rFonts w:cs="Times New Roman"/>
        </w:rPr>
        <w:t xml:space="preserve"> koľajníc, výstavba a obnova železničnej siete v rámci OPII</w:t>
      </w:r>
      <w:r w:rsidR="00D9182B">
        <w:rPr>
          <w:rFonts w:cs="Times New Roman"/>
        </w:rPr>
        <w:t>.</w:t>
      </w:r>
      <w:r w:rsidRPr="00BF744F">
        <w:rPr>
          <w:rFonts w:cs="Times New Roman"/>
        </w:rPr>
        <w:t xml:space="preserve"> </w:t>
      </w:r>
      <w:r w:rsidRPr="00BF744F">
        <w:t xml:space="preserve">Pozitívny vplyv na hospodárenie mal aj </w:t>
      </w:r>
      <w:r w:rsidRPr="00BF744F">
        <w:rPr>
          <w:rFonts w:cs="Times New Roman"/>
        </w:rPr>
        <w:t>nárast pohľadávok</w:t>
      </w:r>
      <w:r>
        <w:rPr>
          <w:rFonts w:cs="Times New Roman"/>
        </w:rPr>
        <w:t xml:space="preserve"> oproti predchádzajúcemu obdobiu o 928 tis. eur</w:t>
      </w:r>
      <w:r w:rsidRPr="00BF744F">
        <w:rPr>
          <w:rFonts w:cs="Times New Roman"/>
        </w:rPr>
        <w:t>, najmä pohľadávky za poskytnuté preddavky a ostatné pohľadávky (</w:t>
      </w:r>
      <w:r w:rsidRPr="00BF744F">
        <w:t>pohľadávka  za stavebné práce na administratívnej budove, ktorá bude vysporiadaná po podpise Dohody a nároky za škody na majetku z poistných udalostí).</w:t>
      </w:r>
    </w:p>
    <w:p w14:paraId="7374F967" w14:textId="07667017" w:rsidR="008C525A" w:rsidRDefault="008C525A" w:rsidP="008C525A">
      <w:pPr>
        <w:rPr>
          <w:rFonts w:cs="Times New Roman"/>
        </w:rPr>
      </w:pPr>
      <w:r w:rsidRPr="00F56C18">
        <w:rPr>
          <w:rFonts w:cs="Times New Roman"/>
          <w:b/>
        </w:rPr>
        <w:t>Ž</w:t>
      </w:r>
      <w:r>
        <w:rPr>
          <w:rFonts w:cs="Times New Roman"/>
          <w:b/>
        </w:rPr>
        <w:t>elezničn</w:t>
      </w:r>
      <w:r w:rsidR="004728A5">
        <w:rPr>
          <w:rFonts w:cs="Times New Roman"/>
          <w:b/>
        </w:rPr>
        <w:t>á</w:t>
      </w:r>
      <w:r>
        <w:rPr>
          <w:rFonts w:cs="Times New Roman"/>
          <w:b/>
        </w:rPr>
        <w:t xml:space="preserve"> spoločnos</w:t>
      </w:r>
      <w:r w:rsidR="004728A5">
        <w:rPr>
          <w:rFonts w:cs="Times New Roman"/>
          <w:b/>
        </w:rPr>
        <w:t>ť</w:t>
      </w:r>
      <w:r w:rsidRPr="00F56C18">
        <w:rPr>
          <w:rFonts w:cs="Times New Roman"/>
          <w:b/>
        </w:rPr>
        <w:t xml:space="preserve"> Slovensk</w:t>
      </w:r>
      <w:r>
        <w:rPr>
          <w:rFonts w:cs="Times New Roman"/>
          <w:b/>
        </w:rPr>
        <w:t>o, a.</w:t>
      </w:r>
      <w:r w:rsidR="00A164E5">
        <w:rPr>
          <w:rFonts w:cs="Times New Roman"/>
          <w:b/>
        </w:rPr>
        <w:t xml:space="preserve"> </w:t>
      </w:r>
      <w:r>
        <w:rPr>
          <w:rFonts w:cs="Times New Roman"/>
          <w:b/>
        </w:rPr>
        <w:t>s.</w:t>
      </w:r>
      <w:r w:rsidRPr="008C525A">
        <w:rPr>
          <w:rFonts w:cs="Times New Roman"/>
          <w:b/>
        </w:rPr>
        <w:t xml:space="preserve"> </w:t>
      </w:r>
      <w:r w:rsidRPr="008C525A">
        <w:rPr>
          <w:rFonts w:cs="Times New Roman"/>
        </w:rPr>
        <w:t>dosiahl</w:t>
      </w:r>
      <w:r w:rsidR="00235FDB">
        <w:rPr>
          <w:rFonts w:cs="Times New Roman"/>
        </w:rPr>
        <w:t>a hotovostný</w:t>
      </w:r>
      <w:r w:rsidRPr="008C525A">
        <w:rPr>
          <w:rFonts w:cs="Times New Roman"/>
        </w:rPr>
        <w:t xml:space="preserve"> prebytok 19</w:t>
      </w:r>
      <w:r>
        <w:rPr>
          <w:rFonts w:cs="Times New Roman"/>
        </w:rPr>
        <w:t> </w:t>
      </w:r>
      <w:r w:rsidRPr="008C525A">
        <w:rPr>
          <w:rFonts w:cs="Times New Roman"/>
        </w:rPr>
        <w:t>614</w:t>
      </w:r>
      <w:r>
        <w:rPr>
          <w:rFonts w:cs="Times New Roman"/>
        </w:rPr>
        <w:t> </w:t>
      </w:r>
      <w:r w:rsidRPr="008C525A">
        <w:rPr>
          <w:rFonts w:cs="Times New Roman"/>
        </w:rPr>
        <w:t>tis.</w:t>
      </w:r>
      <w:r>
        <w:rPr>
          <w:rFonts w:cs="Times New Roman"/>
        </w:rPr>
        <w:t> </w:t>
      </w:r>
      <w:r w:rsidRPr="008C525A">
        <w:rPr>
          <w:rFonts w:cs="Times New Roman"/>
        </w:rPr>
        <w:t>eur</w:t>
      </w:r>
      <w:r w:rsidRPr="008C525A">
        <w:rPr>
          <w:rFonts w:cs="Times New Roman"/>
          <w:b/>
        </w:rPr>
        <w:t xml:space="preserve"> </w:t>
      </w:r>
      <w:r w:rsidR="004728A5">
        <w:rPr>
          <w:rFonts w:cs="Times New Roman"/>
        </w:rPr>
        <w:t xml:space="preserve">oproti rozpočtovanému prebytku 434 tis. eur. Vplyv na tento výsledok </w:t>
      </w:r>
      <w:r w:rsidRPr="008C525A">
        <w:rPr>
          <w:rFonts w:cs="Times New Roman"/>
        </w:rPr>
        <w:t>mal nárast nedaňových príjmov, najmä administratívnych a iných poplatkov</w:t>
      </w:r>
      <w:r w:rsidR="00235FDB">
        <w:rPr>
          <w:rFonts w:cs="Times New Roman"/>
        </w:rPr>
        <w:t xml:space="preserve"> (o 1 596 tis. eur)</w:t>
      </w:r>
      <w:r w:rsidRPr="008C525A">
        <w:rPr>
          <w:rFonts w:cs="Times New Roman"/>
        </w:rPr>
        <w:t>, nárast bežných transferov v nadväznosti na vysporiadanie nekrytej straty za rok 2017 a nárast kapitálových transferov</w:t>
      </w:r>
      <w:r w:rsidR="00C46D89">
        <w:rPr>
          <w:rFonts w:cs="Times New Roman"/>
        </w:rPr>
        <w:t> </w:t>
      </w:r>
      <w:r w:rsidRPr="008C525A">
        <w:rPr>
          <w:rFonts w:cs="Times New Roman"/>
        </w:rPr>
        <w:t>(v</w:t>
      </w:r>
      <w:r w:rsidR="00C46D89">
        <w:rPr>
          <w:rFonts w:cs="Times New Roman"/>
        </w:rPr>
        <w:t> </w:t>
      </w:r>
      <w:r w:rsidRPr="008C525A">
        <w:rPr>
          <w:rFonts w:cs="Times New Roman"/>
        </w:rPr>
        <w:t>nadväznosti na uvoľnenie finančných prostriedkov viazaných v predchádzajúcom roku na budúce investície)</w:t>
      </w:r>
      <w:r w:rsidR="00235FDB">
        <w:rPr>
          <w:rFonts w:cs="Times New Roman"/>
        </w:rPr>
        <w:t>, úhrnom o 72 429 tis. eur.</w:t>
      </w:r>
      <w:r w:rsidRPr="008C525A">
        <w:rPr>
          <w:rFonts w:cs="Times New Roman"/>
        </w:rPr>
        <w:t xml:space="preserve"> </w:t>
      </w:r>
      <w:r w:rsidR="00235FDB">
        <w:rPr>
          <w:rFonts w:cs="Times New Roman"/>
        </w:rPr>
        <w:t>N</w:t>
      </w:r>
      <w:r w:rsidRPr="008C525A">
        <w:rPr>
          <w:rFonts w:cs="Times New Roman"/>
        </w:rPr>
        <w:t xml:space="preserve">árast </w:t>
      </w:r>
      <w:r w:rsidR="00235FDB">
        <w:rPr>
          <w:rFonts w:cs="Times New Roman"/>
        </w:rPr>
        <w:t xml:space="preserve">hotovostných </w:t>
      </w:r>
      <w:r w:rsidRPr="008C525A">
        <w:rPr>
          <w:rFonts w:cs="Times New Roman"/>
        </w:rPr>
        <w:t xml:space="preserve">výdavkov </w:t>
      </w:r>
      <w:r w:rsidR="00235FDB">
        <w:rPr>
          <w:rFonts w:cs="Times New Roman"/>
        </w:rPr>
        <w:t>dosiahol 56 032 tis. eur</w:t>
      </w:r>
      <w:r w:rsidRPr="008C525A">
        <w:rPr>
          <w:rFonts w:cs="Times New Roman"/>
        </w:rPr>
        <w:t xml:space="preserve">, napríklad na tovary a služby o 34 534 tis. eur </w:t>
      </w:r>
      <w:r w:rsidR="00235FDB">
        <w:rPr>
          <w:rFonts w:cs="Times New Roman"/>
        </w:rPr>
        <w:t>(</w:t>
      </w:r>
      <w:r w:rsidRPr="008C525A">
        <w:rPr>
          <w:rFonts w:cs="Times New Roman"/>
        </w:rPr>
        <w:t>na opravu a údržbu koľajových vozidiel</w:t>
      </w:r>
      <w:r w:rsidR="00235FDB">
        <w:rPr>
          <w:rFonts w:cs="Times New Roman"/>
        </w:rPr>
        <w:t>)</w:t>
      </w:r>
      <w:r w:rsidRPr="008C525A">
        <w:rPr>
          <w:rFonts w:cs="Times New Roman"/>
        </w:rPr>
        <w:t xml:space="preserve"> a nárast výdavkov na obstaranie kapitálových aktív o 22 147 tis. eur </w:t>
      </w:r>
      <w:r w:rsidR="00235FDB">
        <w:rPr>
          <w:rFonts w:cs="Times New Roman"/>
        </w:rPr>
        <w:t>(</w:t>
      </w:r>
      <w:r w:rsidRPr="008C525A">
        <w:rPr>
          <w:rFonts w:cs="Times New Roman"/>
        </w:rPr>
        <w:t>na IT investície, stavby, pozemky, prístroje, technológie</w:t>
      </w:r>
      <w:r w:rsidR="00235FDB">
        <w:rPr>
          <w:rFonts w:cs="Times New Roman"/>
        </w:rPr>
        <w:t>.</w:t>
      </w:r>
      <w:r>
        <w:rPr>
          <w:rFonts w:cs="Times New Roman"/>
        </w:rPr>
        <w:t xml:space="preserve"> Pozitívny vplyv na hospodárenie spoločnosti mal aj nárast pohľadávok najmä z poskytnutých preddavkov </w:t>
      </w:r>
      <w:r w:rsidR="00235FDB">
        <w:rPr>
          <w:rFonts w:cs="Times New Roman"/>
        </w:rPr>
        <w:t xml:space="preserve">o 1 368 tis. eur </w:t>
      </w:r>
      <w:r>
        <w:rPr>
          <w:rFonts w:cs="Times New Roman"/>
        </w:rPr>
        <w:t>a pokles záväzkov z obchodného styku</w:t>
      </w:r>
      <w:r w:rsidR="00235FDB">
        <w:rPr>
          <w:rFonts w:cs="Times New Roman"/>
        </w:rPr>
        <w:t xml:space="preserve"> o 16 609 tis. eur</w:t>
      </w:r>
      <w:r>
        <w:rPr>
          <w:rFonts w:cs="Times New Roman"/>
        </w:rPr>
        <w:t xml:space="preserve">. </w:t>
      </w:r>
    </w:p>
    <w:p w14:paraId="6990E4D8" w14:textId="161C7ACF" w:rsidR="008C525A" w:rsidRPr="008C525A" w:rsidRDefault="008C525A" w:rsidP="008C525A">
      <w:pPr>
        <w:rPr>
          <w:rFonts w:cs="Times New Roman"/>
        </w:rPr>
      </w:pPr>
      <w:r w:rsidRPr="008C525A">
        <w:rPr>
          <w:rFonts w:cs="Times New Roman"/>
        </w:rPr>
        <w:t xml:space="preserve">Napriek vyššiemu hotovostnému prebytku a časovému rozlíšeniu pohľadávok a záväzkov sa rozpočet nenaplnil najmä z dôvodu </w:t>
      </w:r>
      <w:proofErr w:type="spellStart"/>
      <w:r w:rsidRPr="008C525A">
        <w:rPr>
          <w:rFonts w:cs="Times New Roman"/>
        </w:rPr>
        <w:t>imputácie</w:t>
      </w:r>
      <w:proofErr w:type="spellEnd"/>
      <w:r w:rsidRPr="008C525A">
        <w:rPr>
          <w:rFonts w:cs="Times New Roman"/>
        </w:rPr>
        <w:t xml:space="preserve"> (zvýšeniu) výdavkov financovaných prostredníctvom faktoringu vo výške 74 484 tis. eur. Takto imputované výdavky majú negatívny vplyv na saldo hospodárenia. Skutočný výsledok hospodárenia Železničnej spoločnosti Slovensko, a.s. tak dosiahol schodok vo výške 36 893 tis. eur. </w:t>
      </w:r>
    </w:p>
    <w:p w14:paraId="27CD8F3B" w14:textId="76C7DE23" w:rsidR="00881BBC" w:rsidRPr="00BF744F" w:rsidRDefault="00881BBC" w:rsidP="00881BBC">
      <w:r w:rsidRPr="00BF744F">
        <w:t xml:space="preserve">Na zhoršenie hospodárenia </w:t>
      </w:r>
      <w:r w:rsidRPr="00BF744F">
        <w:rPr>
          <w:b/>
        </w:rPr>
        <w:t>Národnej diaľničnej spoločnosti</w:t>
      </w:r>
      <w:r w:rsidR="000D5C00">
        <w:rPr>
          <w:b/>
        </w:rPr>
        <w:t>, a. s.</w:t>
      </w:r>
      <w:r w:rsidRPr="00BF744F">
        <w:t xml:space="preserve"> o 29 892 tis. eur oproti rozpočtu vplývalo zvýšenie výdavkov na obstarávanie kapitálových aktív</w:t>
      </w:r>
      <w:r w:rsidR="00003185">
        <w:t xml:space="preserve"> (o 320 224 tis. eur)</w:t>
      </w:r>
      <w:r w:rsidRPr="00BF744F">
        <w:t>, ktoré boli vo veľkej miere financované uvoľnením prostriedkov viazaných v predchádzajúcich rokoch na budúce investície. Najvyššie výdavky v roku 2019 boli vynaložené na stavby D1 Prešov západ – Prešov juh, D3 Čadca Bukov – Svrčinovec a D1 Budimír – Bidovce. Z</w:t>
      </w:r>
      <w:r w:rsidR="00C62E98">
        <w:t>výšenie</w:t>
      </w:r>
      <w:r w:rsidRPr="00BF744F">
        <w:t xml:space="preserve"> oproti rozpočtu bolo zaznamenané aj vo výdavkoch na opravy a údržbu budov a objektov a tiež vo výdavkoch za </w:t>
      </w:r>
      <w:r w:rsidRPr="00003185">
        <w:t xml:space="preserve">prenájom budov. </w:t>
      </w:r>
      <w:r w:rsidR="00B00B95" w:rsidRPr="00003185">
        <w:t>Hotovostný prebytok</w:t>
      </w:r>
      <w:r w:rsidR="00A13DC4" w:rsidRPr="00003185">
        <w:t xml:space="preserve"> rozpočtu NDS, a.</w:t>
      </w:r>
      <w:r w:rsidR="00B00B95" w:rsidRPr="00003185">
        <w:t xml:space="preserve"> </w:t>
      </w:r>
      <w:r w:rsidR="00A13DC4" w:rsidRPr="00003185">
        <w:t>s. bol</w:t>
      </w:r>
      <w:r w:rsidR="00B00B95" w:rsidRPr="00003185">
        <w:t xml:space="preserve"> oproti rozpočtu nižší</w:t>
      </w:r>
      <w:r w:rsidR="00A13DC4" w:rsidRPr="00003185">
        <w:t xml:space="preserve"> o 20 579 </w:t>
      </w:r>
      <w:r w:rsidR="00737580" w:rsidRPr="00003185">
        <w:t>tis. eur</w:t>
      </w:r>
      <w:r w:rsidR="00B00B95" w:rsidRPr="00003185">
        <w:t xml:space="preserve"> (dosiahol 16 386 tis. eur)</w:t>
      </w:r>
      <w:r w:rsidR="00A13DC4" w:rsidRPr="00003185">
        <w:t xml:space="preserve"> a n</w:t>
      </w:r>
      <w:r w:rsidRPr="00003185">
        <w:t>egatívny vplyv malo aj zníženie pohľadávok súvisiacich s realizác</w:t>
      </w:r>
      <w:r w:rsidR="00A13DC4" w:rsidRPr="00003185">
        <w:t>iou systému elektronického mýta o 20 598 tis. eur. Zhoršené hospodárenia čiastočne kompenzoval medziročný pokles záväzkov o 11 285 tis. eur</w:t>
      </w:r>
      <w:r w:rsidR="00737580" w:rsidRPr="00003185">
        <w:t xml:space="preserve"> (ako výsledný efekt poklesu záväzkov voči dodávateľom a rastu záväzkov zo sociálnych a zdravotných odvodov).</w:t>
      </w:r>
      <w:r w:rsidR="00A13DC4" w:rsidRPr="00003185">
        <w:t xml:space="preserve"> </w:t>
      </w:r>
    </w:p>
    <w:p w14:paraId="21B760C5" w14:textId="5558818B" w:rsidR="00162CED" w:rsidRPr="00003185" w:rsidRDefault="00162CED" w:rsidP="00162CED">
      <w:r w:rsidRPr="00BF744F">
        <w:t xml:space="preserve">Na zhoršenie </w:t>
      </w:r>
      <w:r w:rsidRPr="00003185">
        <w:t xml:space="preserve">hospodárenia </w:t>
      </w:r>
      <w:r w:rsidR="007248F0" w:rsidRPr="00003185">
        <w:t xml:space="preserve">spoločnosti </w:t>
      </w:r>
      <w:r w:rsidRPr="00003185">
        <w:rPr>
          <w:b/>
        </w:rPr>
        <w:t>MH Invest</w:t>
      </w:r>
      <w:r w:rsidR="00A75AFE" w:rsidRPr="00003185">
        <w:rPr>
          <w:b/>
        </w:rPr>
        <w:t>, s.</w:t>
      </w:r>
      <w:r w:rsidR="00A164E5">
        <w:rPr>
          <w:b/>
        </w:rPr>
        <w:t xml:space="preserve"> </w:t>
      </w:r>
      <w:r w:rsidR="00A75AFE" w:rsidRPr="00003185">
        <w:rPr>
          <w:b/>
        </w:rPr>
        <w:t>r.</w:t>
      </w:r>
      <w:r w:rsidR="00A164E5">
        <w:rPr>
          <w:b/>
        </w:rPr>
        <w:t xml:space="preserve"> </w:t>
      </w:r>
      <w:r w:rsidR="00A75AFE" w:rsidRPr="00003185">
        <w:rPr>
          <w:b/>
        </w:rPr>
        <w:t>o.</w:t>
      </w:r>
      <w:r w:rsidR="007248F0" w:rsidRPr="00003185">
        <w:rPr>
          <w:b/>
        </w:rPr>
        <w:t xml:space="preserve"> </w:t>
      </w:r>
      <w:r w:rsidRPr="00003185">
        <w:t xml:space="preserve">oproti rozpočtu o 3 511 tis. eur mal vplyv nerealizovaný príjem </w:t>
      </w:r>
      <w:r w:rsidR="00D81A11" w:rsidRPr="00003185">
        <w:t>na zvýšenie</w:t>
      </w:r>
      <w:r w:rsidRPr="00003185">
        <w:t xml:space="preserve"> základného imania (15 </w:t>
      </w:r>
      <w:r w:rsidR="00796085">
        <w:t>781</w:t>
      </w:r>
      <w:r w:rsidRPr="00003185">
        <w:t> tis.</w:t>
      </w:r>
      <w:r w:rsidR="00C62E98" w:rsidRPr="00003185">
        <w:t> </w:t>
      </w:r>
      <w:r w:rsidRPr="00003185">
        <w:t>eur), ktorý však bol v rozpočte na rok 2019 naplánovaný. MH Invest</w:t>
      </w:r>
      <w:r w:rsidR="00A75AFE" w:rsidRPr="00003185">
        <w:t>, s.r.o.</w:t>
      </w:r>
      <w:r w:rsidRPr="00003185">
        <w:t xml:space="preserve"> získal v predchádzajúcom roku prostriedky z predaja pozemkov</w:t>
      </w:r>
      <w:r w:rsidR="00A75AFE" w:rsidRPr="00003185">
        <w:t xml:space="preserve"> pod závodom</w:t>
      </w:r>
      <w:r w:rsidRPr="00003185">
        <w:t xml:space="preserve"> Jaguár </w:t>
      </w:r>
      <w:proofErr w:type="spellStart"/>
      <w:r w:rsidRPr="00003185">
        <w:t>Land</w:t>
      </w:r>
      <w:proofErr w:type="spellEnd"/>
      <w:r w:rsidRPr="00003185">
        <w:t xml:space="preserve"> </w:t>
      </w:r>
      <w:proofErr w:type="spellStart"/>
      <w:r w:rsidRPr="00003185">
        <w:t>Rover</w:t>
      </w:r>
      <w:proofErr w:type="spellEnd"/>
      <w:r w:rsidRPr="00003185">
        <w:t>, a preto nebolo potrebné uskutočniť uvedený vklad do spoločnosti.</w:t>
      </w:r>
    </w:p>
    <w:p w14:paraId="698298A1" w14:textId="23817759" w:rsidR="00204F56" w:rsidRPr="00D12ECB" w:rsidRDefault="00AE0294" w:rsidP="00AE0294">
      <w:pPr>
        <w:rPr>
          <w:rFonts w:cs="Times New Roman"/>
        </w:rPr>
      </w:pPr>
      <w:r w:rsidRPr="00BF744F">
        <w:rPr>
          <w:b/>
        </w:rPr>
        <w:t>Zdravotnícke zariadenia</w:t>
      </w:r>
      <w:r w:rsidRPr="00BF744F">
        <w:t xml:space="preserve"> zaradené do </w:t>
      </w:r>
      <w:r w:rsidRPr="00003185">
        <w:t>verejnej správy dosiahli schodok 62</w:t>
      </w:r>
      <w:r w:rsidR="005A7E6E" w:rsidRPr="00003185">
        <w:t> </w:t>
      </w:r>
      <w:r w:rsidRPr="00003185">
        <w:t>939</w:t>
      </w:r>
      <w:r w:rsidR="005A7E6E" w:rsidRPr="00003185">
        <w:t> </w:t>
      </w:r>
      <w:r w:rsidRPr="00003185">
        <w:t>tis. eur, čo predstavuje zhoršenie hospodárenia oproti rozpočtu o</w:t>
      </w:r>
      <w:r w:rsidR="005A7E6E" w:rsidRPr="00003185">
        <w:t> </w:t>
      </w:r>
      <w:r w:rsidRPr="00003185">
        <w:t>62</w:t>
      </w:r>
      <w:r w:rsidR="005A7E6E" w:rsidRPr="00003185">
        <w:t> </w:t>
      </w:r>
      <w:r w:rsidRPr="00003185">
        <w:t>237 tis. eur</w:t>
      </w:r>
      <w:r w:rsidR="008875FD" w:rsidRPr="00003185">
        <w:t xml:space="preserve"> (rozpočet predpokladal mierny schodok na úrovni 702 tis. eur)</w:t>
      </w:r>
      <w:r w:rsidRPr="00003185">
        <w:t>. Z toho zdravotnícke zariadenia zaradené do ústrednej správy hospodárili so schodkom 56</w:t>
      </w:r>
      <w:r w:rsidR="005A7E6E" w:rsidRPr="00003185">
        <w:t> </w:t>
      </w:r>
      <w:r w:rsidRPr="00003185">
        <w:t xml:space="preserve">272 tis. eur a zdravotnícke </w:t>
      </w:r>
      <w:r w:rsidRPr="00BF744F">
        <w:t>zariadenia zaradené do miestnej samosprávy hospodárili so schodkom 6</w:t>
      </w:r>
      <w:r w:rsidR="005A7E6E">
        <w:t> </w:t>
      </w:r>
      <w:r w:rsidRPr="00BF744F">
        <w:t xml:space="preserve">667 tis. eur. </w:t>
      </w:r>
      <w:r w:rsidRPr="00BF744F">
        <w:rPr>
          <w:rFonts w:cs="Times New Roman"/>
        </w:rPr>
        <w:t>Najväčší vplyv na toto zhoršenie mal medziročný nárast záväzkov voči orgánom sociálneho a zdravotného poistenia. Išlo najmä o záväzky voči Sociálnej poisťovni vo výške 146</w:t>
      </w:r>
      <w:r w:rsidR="005A7E6E">
        <w:rPr>
          <w:rFonts w:cs="Times New Roman"/>
        </w:rPr>
        <w:t> </w:t>
      </w:r>
      <w:r w:rsidRPr="00BF744F">
        <w:rPr>
          <w:rFonts w:cs="Times New Roman"/>
        </w:rPr>
        <w:t>720</w:t>
      </w:r>
      <w:r w:rsidR="005A7E6E">
        <w:rPr>
          <w:rFonts w:cs="Times New Roman"/>
        </w:rPr>
        <w:t> </w:t>
      </w:r>
      <w:r w:rsidRPr="00BF744F">
        <w:rPr>
          <w:rFonts w:cs="Times New Roman"/>
        </w:rPr>
        <w:t>tis.</w:t>
      </w:r>
      <w:r w:rsidR="005A7E6E">
        <w:rPr>
          <w:rFonts w:cs="Times New Roman"/>
        </w:rPr>
        <w:t> </w:t>
      </w:r>
      <w:r w:rsidRPr="00BF744F">
        <w:rPr>
          <w:rFonts w:cs="Times New Roman"/>
        </w:rPr>
        <w:t>eur (z</w:t>
      </w:r>
      <w:r w:rsidR="005A7E6E">
        <w:rPr>
          <w:rFonts w:cs="Times New Roman"/>
        </w:rPr>
        <w:t> </w:t>
      </w:r>
      <w:r w:rsidRPr="00BF744F">
        <w:rPr>
          <w:rFonts w:cs="Times New Roman"/>
        </w:rPr>
        <w:t>toho predpísané penále k 31.12.2019 voči Sociálnej poisťovni vo výške 45</w:t>
      </w:r>
      <w:r w:rsidR="005A7E6E">
        <w:rPr>
          <w:rFonts w:cs="Times New Roman"/>
        </w:rPr>
        <w:t> </w:t>
      </w:r>
      <w:r w:rsidRPr="00BF744F">
        <w:rPr>
          <w:rFonts w:cs="Times New Roman"/>
        </w:rPr>
        <w:t>720</w:t>
      </w:r>
      <w:r w:rsidR="005A7E6E">
        <w:rPr>
          <w:rFonts w:cs="Times New Roman"/>
        </w:rPr>
        <w:t> </w:t>
      </w:r>
      <w:r w:rsidRPr="00BF744F">
        <w:rPr>
          <w:rFonts w:cs="Times New Roman"/>
        </w:rPr>
        <w:t>tis.</w:t>
      </w:r>
      <w:r w:rsidR="005A7E6E">
        <w:rPr>
          <w:rFonts w:cs="Times New Roman"/>
        </w:rPr>
        <w:t> </w:t>
      </w:r>
      <w:r w:rsidRPr="00BF744F">
        <w:rPr>
          <w:rFonts w:cs="Times New Roman"/>
        </w:rPr>
        <w:t xml:space="preserve">eur, ktoré budú predmetom oddlženia v roku 2020). </w:t>
      </w:r>
      <w:r w:rsidR="00204F56" w:rsidRPr="00D12ECB">
        <w:rPr>
          <w:rFonts w:cs="Times New Roman"/>
        </w:rPr>
        <w:t>V roku 2019 došlo aj k zvýšenému čerpaniu kapitálových výdavkov v zdravotníckych zariadeniach zaradených do ústrednej správy o 120 803 tis. eur oproti rozpočtu. Išlo najmä o rekonštrukcie a modernizácie budov a priestorov nemocníc, modernizáciu operačných sál, obstaranie zdravotníckej techniky a taktiež aj obstaranie nových priestorov. Modernizácie nemocníc sú zamerané aj na zvýšenie komfortu pacienta a zlepšenie pracovného prostredia pre personál nemocníc. Najväčšie čerpanie kapitálových výdavkov mali Národný ústav srdcových a cievnych chorôb, Národný ústav detských chorôb, Univerzitná nemocnica Bratislava a Univerzitná nemocnica – nemocnica svätého Michala.</w:t>
      </w:r>
    </w:p>
    <w:p w14:paraId="138F7471" w14:textId="5226546B" w:rsidR="00AE0294" w:rsidRPr="00BF744F" w:rsidRDefault="00FD5593" w:rsidP="00AE0294">
      <w:pPr>
        <w:rPr>
          <w:rFonts w:cs="Times New Roman"/>
        </w:rPr>
      </w:pPr>
      <w:r w:rsidRPr="00D12ECB">
        <w:rPr>
          <w:rFonts w:cs="Times New Roman"/>
        </w:rPr>
        <w:t>Naopak, k</w:t>
      </w:r>
      <w:r w:rsidR="00AE0294" w:rsidRPr="00D12ECB">
        <w:rPr>
          <w:rFonts w:cs="Times New Roman"/>
        </w:rPr>
        <w:t xml:space="preserve"> nižšiemu </w:t>
      </w:r>
      <w:r w:rsidR="00AE0294" w:rsidRPr="00BF744F">
        <w:rPr>
          <w:rFonts w:cs="Times New Roman"/>
        </w:rPr>
        <w:t>ESA schodku dopomohol medziročný pokles záväzkov voči dodávateľom o</w:t>
      </w:r>
      <w:r w:rsidR="005A7E6E">
        <w:rPr>
          <w:rFonts w:cs="Times New Roman"/>
        </w:rPr>
        <w:t> </w:t>
      </w:r>
      <w:r w:rsidR="00AE0294" w:rsidRPr="00BF744F">
        <w:rPr>
          <w:rFonts w:cs="Times New Roman"/>
        </w:rPr>
        <w:t>54</w:t>
      </w:r>
      <w:r w:rsidR="005A7E6E">
        <w:rPr>
          <w:rFonts w:cs="Times New Roman"/>
        </w:rPr>
        <w:t> </w:t>
      </w:r>
      <w:r w:rsidR="00AE0294" w:rsidRPr="00BF744F">
        <w:rPr>
          <w:rFonts w:cs="Times New Roman"/>
        </w:rPr>
        <w:t>694</w:t>
      </w:r>
      <w:r w:rsidR="005A7E6E">
        <w:rPr>
          <w:rFonts w:cs="Times New Roman"/>
        </w:rPr>
        <w:t> </w:t>
      </w:r>
      <w:r w:rsidR="00AE0294" w:rsidRPr="00BF744F">
        <w:rPr>
          <w:rFonts w:cs="Times New Roman"/>
        </w:rPr>
        <w:t>tis.</w:t>
      </w:r>
      <w:r w:rsidR="005A7E6E">
        <w:rPr>
          <w:rFonts w:cs="Times New Roman"/>
        </w:rPr>
        <w:t> </w:t>
      </w:r>
      <w:r w:rsidR="00AE0294" w:rsidRPr="00BF744F">
        <w:rPr>
          <w:rFonts w:cs="Times New Roman"/>
        </w:rPr>
        <w:t>eur, išlo najmä o vplyv ďalšej etapy oddlžovania ostatných veriteľov</w:t>
      </w:r>
      <w:r w:rsidR="00AE0294" w:rsidRPr="00BF744F">
        <w:t xml:space="preserve"> v súlade s Koncepciou oddlženia zdravotníckych zariadení schválenej vládou SR v roku 2017</w:t>
      </w:r>
      <w:r w:rsidR="00AE0294" w:rsidRPr="00BF744F">
        <w:rPr>
          <w:rStyle w:val="Odkaznapoznmkupodiarou"/>
        </w:rPr>
        <w:footnoteReference w:id="18"/>
      </w:r>
      <w:r w:rsidR="00AE0294" w:rsidRPr="00BF744F">
        <w:t>.</w:t>
      </w:r>
    </w:p>
    <w:p w14:paraId="7D3E6292" w14:textId="366F037C" w:rsidR="001A2E80" w:rsidRDefault="00AE0294" w:rsidP="00C120AF">
      <w:r w:rsidRPr="00BF744F">
        <w:rPr>
          <w:b/>
        </w:rPr>
        <w:t>Príspevkové organizácie ústrednej správy</w:t>
      </w:r>
      <w:r w:rsidRPr="00BF744F">
        <w:t xml:space="preserve"> dosiahli </w:t>
      </w:r>
      <w:r w:rsidR="00C120AF">
        <w:t xml:space="preserve">hotovostný prebytok 102 751 tis. eur, čo je oproti rozpočtu viac o 110 134 tis. eur. Vyššie boli najmä nedaňové príjmy </w:t>
      </w:r>
      <w:r w:rsidR="00796085">
        <w:t>o 26 993 tis. eur</w:t>
      </w:r>
      <w:r w:rsidR="00796085">
        <w:br/>
      </w:r>
      <w:r w:rsidR="00C120AF">
        <w:t>(</w:t>
      </w:r>
      <w:r w:rsidR="00796085">
        <w:t xml:space="preserve">z toho administratívne a iné poplatky </w:t>
      </w:r>
      <w:r w:rsidR="00C120AF">
        <w:t>o 20 613 tis. eur), ktoré sú tvorené najmä poplatkami príspevkových organizácií v rezorte</w:t>
      </w:r>
      <w:r w:rsidR="002910FA">
        <w:t xml:space="preserve"> kultúry, zdravotníctva a životného prostredia</w:t>
      </w:r>
      <w:r w:rsidRPr="00BF744F">
        <w:t>.</w:t>
      </w:r>
      <w:r w:rsidR="00561113">
        <w:t xml:space="preserve"> Prijaté transfery boli oproti rozpočtu vyššie o</w:t>
      </w:r>
      <w:r w:rsidR="001A2E80">
        <w:t> 319 281 tis. eur, na financovanie zvýšených bežných a kapitálových výdavkov (o 236 140 tis. eur).</w:t>
      </w:r>
    </w:p>
    <w:p w14:paraId="47BBA798" w14:textId="530885DB" w:rsidR="00AE0294" w:rsidRPr="00BF744F" w:rsidRDefault="001A2E80" w:rsidP="00C120AF">
      <w:r>
        <w:t>Hotovostný prebytok bol znížený časovým rozdielom pohľadávok (o 7 467 tis. eur) ako aj záväzkov (o 72 539 tis. eur</w:t>
      </w:r>
      <w:r w:rsidR="00AA476E">
        <w:t>, najmä z dôvodu preklasifikovania príjmov z EU zdrojov</w:t>
      </w:r>
      <w:r>
        <w:t>), a celkové hospodárenie tak dosiahlo 22 675 tis. eur.</w:t>
      </w:r>
    </w:p>
    <w:p w14:paraId="7EC662FB" w14:textId="77777777" w:rsidR="003A4D09" w:rsidRDefault="003A1173" w:rsidP="000F4980">
      <w:r w:rsidRPr="002B49D7">
        <w:t>Rozpočet</w:t>
      </w:r>
      <w:r w:rsidR="00AE0294" w:rsidRPr="002B49D7">
        <w:rPr>
          <w:b/>
        </w:rPr>
        <w:t xml:space="preserve"> Verejných vysokých škôl </w:t>
      </w:r>
      <w:r w:rsidRPr="002B49D7">
        <w:t xml:space="preserve">predpokladal takmer vyrovnané hospodárenie (mierny prebytok 203 tis. eur) pri celkových príjmoch 695 549 tis. eur a celkových výdavkoch 695 346 tis. eur. Verejné vysoké školy tvorí spolu 20 subjektov (ďalšie </w:t>
      </w:r>
      <w:r w:rsidR="003A4D09">
        <w:t>tri</w:t>
      </w:r>
      <w:r w:rsidRPr="002B49D7">
        <w:t>, Akadémia ozbrojených síl</w:t>
      </w:r>
      <w:r w:rsidR="003A4D09">
        <w:t>, Akadémia policajného zboru</w:t>
      </w:r>
      <w:r w:rsidRPr="002B49D7">
        <w:t xml:space="preserve"> a Slovenská zdravotnícka univerzita sú súčasťou</w:t>
      </w:r>
      <w:r w:rsidR="00002C07" w:rsidRPr="002B49D7">
        <w:t xml:space="preserve"> rozpočtových a príspevkových organizácií štátu). </w:t>
      </w:r>
      <w:r w:rsidR="007C4622" w:rsidRPr="00852815">
        <w:t>Celkové p</w:t>
      </w:r>
      <w:r w:rsidR="00002C07" w:rsidRPr="00852815">
        <w:t xml:space="preserve">ríjmy boli vyššie </w:t>
      </w:r>
      <w:r w:rsidR="007C4622" w:rsidRPr="00852815">
        <w:t>o 115 176 tis. eur, a to najmä vďaka grantom a</w:t>
      </w:r>
      <w:r w:rsidR="00852815" w:rsidRPr="00852815">
        <w:t> </w:t>
      </w:r>
      <w:r w:rsidR="007C4622" w:rsidRPr="00852815">
        <w:t>transferom</w:t>
      </w:r>
      <w:r w:rsidR="00852815" w:rsidRPr="00852815">
        <w:t>, kde došlo k navýšeniu oproti rozpočtu</w:t>
      </w:r>
      <w:r w:rsidR="00002C07" w:rsidRPr="00852815">
        <w:t xml:space="preserve"> o 111 812 tis. eur</w:t>
      </w:r>
      <w:r w:rsidR="00002C07">
        <w:rPr>
          <w:color w:val="FF0000"/>
        </w:rPr>
        <w:t xml:space="preserve">. </w:t>
      </w:r>
      <w:r w:rsidR="00D31B91" w:rsidRPr="002B49D7">
        <w:t>Celkové výdavky boli oproti rozpočtu vyššie o 11</w:t>
      </w:r>
      <w:r w:rsidR="001C4CA7" w:rsidRPr="002B49D7">
        <w:t>1</w:t>
      </w:r>
      <w:r w:rsidR="00D31B91" w:rsidRPr="002B49D7">
        <w:t> 898 tis. eur, z toho bežné výdavky o 82 101 tis. eur (na mzdy o 31 870 tis. eur</w:t>
      </w:r>
      <w:r w:rsidR="00E369C8" w:rsidRPr="002B49D7">
        <w:t xml:space="preserve"> z dôvodu valorizácie platov zamestnancov</w:t>
      </w:r>
      <w:r w:rsidR="00D31B91" w:rsidRPr="002B49D7">
        <w:t>, na</w:t>
      </w:r>
      <w:r w:rsidR="00E369C8" w:rsidRPr="002B49D7">
        <w:t xml:space="preserve"> sociálne a zdravotné</w:t>
      </w:r>
      <w:r w:rsidR="00D31B91" w:rsidRPr="002B49D7">
        <w:t xml:space="preserve"> odvody o 12 835 tis. eur, na tovary a služby o 34 408 tis. eur, najmä na cestovné náhrady, údržbu majetku, stravné, refundácie, odmeny zamestnancom mimo pracovného pomeru a všeobecné služby).</w:t>
      </w:r>
      <w:r w:rsidR="001C4CA7" w:rsidRPr="002B49D7">
        <w:t xml:space="preserve"> </w:t>
      </w:r>
      <w:r w:rsidR="00753DB7" w:rsidRPr="002B49D7">
        <w:t xml:space="preserve">Kapitálové výdavky boli oproti rozpočtu vyššie o 29 797 </w:t>
      </w:r>
      <w:r w:rsidR="00E369C8" w:rsidRPr="002B49D7">
        <w:t>tis. eur a boli určené najmä na riešenie infraštruktúry verejných vysokých škôl vrátane rekonštrukcií internátov.</w:t>
      </w:r>
    </w:p>
    <w:p w14:paraId="5B7DDD8F" w14:textId="7A236941" w:rsidR="003A1173" w:rsidRDefault="0084300E" w:rsidP="000F4980">
      <w:r w:rsidRPr="002B49D7">
        <w:t>Hotovostné</w:t>
      </w:r>
      <w:r w:rsidR="00CC1F8B" w:rsidRPr="002B49D7">
        <w:t xml:space="preserve"> saldo hospodárenia </w:t>
      </w:r>
      <w:r w:rsidR="002B49D7" w:rsidRPr="002B49D7">
        <w:t>vo výške</w:t>
      </w:r>
      <w:r w:rsidRPr="002B49D7">
        <w:t>3 </w:t>
      </w:r>
      <w:r w:rsidR="002B49D7" w:rsidRPr="002B49D7">
        <w:t>481</w:t>
      </w:r>
      <w:r w:rsidRPr="002B49D7">
        <w:t xml:space="preserve"> tis. eur </w:t>
      </w:r>
      <w:r w:rsidR="00CC1F8B" w:rsidRPr="002B49D7">
        <w:t xml:space="preserve">negatívne ovplyvnila </w:t>
      </w:r>
      <w:r w:rsidR="002B49D7" w:rsidRPr="002B49D7">
        <w:t xml:space="preserve">najmä </w:t>
      </w:r>
      <w:proofErr w:type="spellStart"/>
      <w:r w:rsidR="00CC1F8B" w:rsidRPr="002B49D7">
        <w:t>akrualizácia</w:t>
      </w:r>
      <w:proofErr w:type="spellEnd"/>
      <w:r w:rsidR="00CC1F8B" w:rsidRPr="002B49D7">
        <w:t xml:space="preserve"> záväzkov </w:t>
      </w:r>
      <w:r w:rsidR="002B49D7" w:rsidRPr="002B49D7">
        <w:t>o 5 769 tis. eur</w:t>
      </w:r>
      <w:r w:rsidR="002B49D7">
        <w:t xml:space="preserve"> a imputácia výdavkov 900 </w:t>
      </w:r>
      <w:r w:rsidR="00CC1F8B" w:rsidRPr="002B49D7">
        <w:t>tis. eur.</w:t>
      </w:r>
      <w:r w:rsidR="00E369C8" w:rsidRPr="002B49D7">
        <w:t xml:space="preserve"> </w:t>
      </w:r>
      <w:r w:rsidR="00753DB7" w:rsidRPr="002B49D7">
        <w:t xml:space="preserve"> </w:t>
      </w:r>
    </w:p>
    <w:p w14:paraId="228C2450" w14:textId="4F3DB646" w:rsidR="00CC554F" w:rsidRDefault="00AE0294" w:rsidP="000F4980">
      <w:r w:rsidRPr="00BF744F">
        <w:t xml:space="preserve">Na zhoršenie hospodárenia </w:t>
      </w:r>
      <w:r w:rsidRPr="00BF744F">
        <w:rPr>
          <w:b/>
        </w:rPr>
        <w:t>štátnych fondov</w:t>
      </w:r>
      <w:r w:rsidRPr="00BF744F">
        <w:t xml:space="preserve"> o 214 527 tis. eur </w:t>
      </w:r>
      <w:r w:rsidRPr="00DE4F24">
        <w:t>oproti rozpočtu</w:t>
      </w:r>
      <w:r w:rsidR="00E929F6" w:rsidRPr="00DE4F24">
        <w:t>, ktorý predpokladal úhrnný prebytok 314 819 tis. eur,</w:t>
      </w:r>
      <w:r w:rsidRPr="00DE4F24">
        <w:t xml:space="preserve"> </w:t>
      </w:r>
      <w:r w:rsidR="00E929F6" w:rsidRPr="00DE4F24">
        <w:t>malo vplyv viacero faktorov. U</w:t>
      </w:r>
      <w:r w:rsidRPr="00DE4F24">
        <w:t> </w:t>
      </w:r>
      <w:r w:rsidRPr="00DE4F24">
        <w:rPr>
          <w:b/>
        </w:rPr>
        <w:t>Národného jadrového fondu</w:t>
      </w:r>
      <w:r w:rsidR="009115E6" w:rsidRPr="00DE4F24">
        <w:rPr>
          <w:b/>
        </w:rPr>
        <w:t xml:space="preserve"> (NJF)</w:t>
      </w:r>
      <w:r w:rsidR="00E929F6" w:rsidRPr="00DE4F24">
        <w:t xml:space="preserve"> išlo o vplyv zmeny metodiky zaznamenávania príspevkov </w:t>
      </w:r>
      <w:r w:rsidR="00E929F6" w:rsidRPr="00BF744F">
        <w:t>od prevád</w:t>
      </w:r>
      <w:r w:rsidR="00E929F6">
        <w:t>zkovateľov jadrových zariadení</w:t>
      </w:r>
      <w:r w:rsidRPr="00E929F6">
        <w:t>.</w:t>
      </w:r>
      <w:r w:rsidRPr="00BF744F">
        <w:rPr>
          <w:b/>
        </w:rPr>
        <w:t xml:space="preserve"> </w:t>
      </w:r>
      <w:r w:rsidR="00537EC3">
        <w:t xml:space="preserve">Na základe zmeny vyplývajúcej z </w:t>
      </w:r>
      <w:r w:rsidRPr="00DE4F24">
        <w:t xml:space="preserve">poslednej benchmarkovej revízie </w:t>
      </w:r>
      <w:r w:rsidR="009115E6" w:rsidRPr="00DE4F24">
        <w:t>národných účtov sa v príjmoch NJF, ako subjektu verejnej správy</w:t>
      </w:r>
      <w:r w:rsidR="00543627" w:rsidRPr="00DE4F24">
        <w:t>,</w:t>
      </w:r>
      <w:r w:rsidR="009115E6" w:rsidRPr="00DE4F24">
        <w:t xml:space="preserve"> zaznamenáva</w:t>
      </w:r>
      <w:r w:rsidRPr="00DE4F24">
        <w:t xml:space="preserve"> len 1</w:t>
      </w:r>
      <w:r w:rsidR="00291B8E" w:rsidRPr="00DE4F24">
        <w:t> </w:t>
      </w:r>
      <w:r w:rsidRPr="00DE4F24">
        <w:t xml:space="preserve">% z príspevkov od prevádzkovateľov jadrových </w:t>
      </w:r>
      <w:r w:rsidRPr="00BF744F">
        <w:t>zariadení a taktiež 1</w:t>
      </w:r>
      <w:r w:rsidR="00291B8E">
        <w:t> </w:t>
      </w:r>
      <w:r w:rsidRPr="00BF744F">
        <w:t>% z úrokov, ktoré jadrový fond získava za správu naakumulovaných prostriedkov prevádzkovateľov jadrových zariadení. Zvyšných 99</w:t>
      </w:r>
      <w:r w:rsidR="00291B8E">
        <w:t> </w:t>
      </w:r>
      <w:r w:rsidRPr="00DE4F24">
        <w:t>%</w:t>
      </w:r>
      <w:r w:rsidR="00543627" w:rsidRPr="00DE4F24">
        <w:t xml:space="preserve"> z príspevkov</w:t>
      </w:r>
      <w:r w:rsidRPr="00DE4F24">
        <w:t xml:space="preserve"> </w:t>
      </w:r>
      <w:r w:rsidR="009115E6" w:rsidRPr="00DE4F24">
        <w:t>sa zaznamenáva</w:t>
      </w:r>
      <w:r w:rsidR="0061035B" w:rsidRPr="00DE4F24">
        <w:t xml:space="preserve"> ako</w:t>
      </w:r>
      <w:r w:rsidRPr="00DE4F24">
        <w:t xml:space="preserve"> záväzok voči týmto prevádzkovateľom určený na budúce vyraďovanie jadrových zariadení, a preto </w:t>
      </w:r>
      <w:r w:rsidR="0061035B" w:rsidRPr="00DE4F24">
        <w:t>sa</w:t>
      </w:r>
      <w:r w:rsidRPr="00DE4F24">
        <w:t xml:space="preserve"> z</w:t>
      </w:r>
      <w:r w:rsidR="0061035B" w:rsidRPr="00DE4F24">
        <w:t xml:space="preserve"> hotovostných </w:t>
      </w:r>
      <w:r w:rsidRPr="00DE4F24">
        <w:t>príjm</w:t>
      </w:r>
      <w:r w:rsidR="0061035B" w:rsidRPr="00DE4F24">
        <w:t>ov</w:t>
      </w:r>
      <w:r w:rsidRPr="00DE4F24">
        <w:t xml:space="preserve"> </w:t>
      </w:r>
      <w:r w:rsidR="0061035B" w:rsidRPr="00DE4F24">
        <w:t>vylučujú</w:t>
      </w:r>
      <w:r w:rsidRPr="00DE4F24">
        <w:t xml:space="preserve">. Vplyv tejto zmeny </w:t>
      </w:r>
      <w:r w:rsidRPr="00BF744F">
        <w:t xml:space="preserve">oproti rozpočtu </w:t>
      </w:r>
      <w:r w:rsidR="00DE4F24">
        <w:t>bol za rok 2019</w:t>
      </w:r>
      <w:r w:rsidRPr="00BF744F">
        <w:t xml:space="preserve"> 123 445 tis. eur. Negatívny vplyv na hospodárenie oproti rozpočtu m</w:t>
      </w:r>
      <w:r w:rsidR="002F511E">
        <w:t>ala</w:t>
      </w:r>
      <w:r w:rsidRPr="00BF744F">
        <w:t xml:space="preserve"> aj skutočnosť, že rozpočet počítal s vyššími príjmami od prevádzkovateľov jadrový</w:t>
      </w:r>
      <w:r w:rsidR="00CC554F">
        <w:t>ch zariadení o 24 936 tis. eur.</w:t>
      </w:r>
      <w:r w:rsidR="002F511E">
        <w:t xml:space="preserve"> </w:t>
      </w:r>
      <w:r w:rsidR="0016515E">
        <w:t xml:space="preserve">Zmena stavu pohľadávok a záväzkov znamenala negatívny vplyv vo výške 12 794 tis. eur. Rozpočet NJF dosiahol schodok 11 851 tis. eur oproti rozpočtovanému prebytku 145 633 </w:t>
      </w:r>
      <w:r w:rsidR="008662A3">
        <w:t>t</w:t>
      </w:r>
      <w:r w:rsidR="0016515E">
        <w:t>i</w:t>
      </w:r>
      <w:r w:rsidR="008662A3">
        <w:t>s</w:t>
      </w:r>
      <w:r w:rsidR="0016515E">
        <w:t>. eur.</w:t>
      </w:r>
      <w:r w:rsidR="002F511E">
        <w:t xml:space="preserve"> </w:t>
      </w:r>
    </w:p>
    <w:p w14:paraId="37DDBDBB" w14:textId="59262320" w:rsidR="00AE0294" w:rsidRDefault="00AE0294" w:rsidP="000F4980">
      <w:r w:rsidRPr="00BF744F">
        <w:t xml:space="preserve">V roku 2019 došlo k horšiemu </w:t>
      </w:r>
      <w:r w:rsidRPr="002F511E">
        <w:t xml:space="preserve">hospodáreniu </w:t>
      </w:r>
      <w:r w:rsidR="00F61999">
        <w:t xml:space="preserve">oproti rozpočtu </w:t>
      </w:r>
      <w:r w:rsidR="00CC554F" w:rsidRPr="002F511E">
        <w:t xml:space="preserve">aj u </w:t>
      </w:r>
      <w:r w:rsidRPr="002F511E">
        <w:rPr>
          <w:b/>
        </w:rPr>
        <w:t xml:space="preserve">Environmentálneho </w:t>
      </w:r>
      <w:r w:rsidRPr="00BF744F">
        <w:rPr>
          <w:b/>
        </w:rPr>
        <w:t>fondu</w:t>
      </w:r>
      <w:r w:rsidR="00CC554F">
        <w:rPr>
          <w:b/>
        </w:rPr>
        <w:t>,</w:t>
      </w:r>
      <w:r w:rsidRPr="00BF744F">
        <w:t xml:space="preserve"> o 66 189 tis. eur. </w:t>
      </w:r>
      <w:r w:rsidR="00057E5C">
        <w:t xml:space="preserve">Hotovostný výsledok hospodárenia bol oproti rozpočtu lepší o 51 111 tis. eur, najmä vyššími príjmami z predaja emisných kvót (o 107 525 tis. eur). </w:t>
      </w:r>
      <w:r w:rsidR="0055698B">
        <w:t>Vo v</w:t>
      </w:r>
      <w:r w:rsidR="00057E5C">
        <w:t>ýdavk</w:t>
      </w:r>
      <w:r w:rsidR="0055698B">
        <w:t>och</w:t>
      </w:r>
      <w:r w:rsidR="00057E5C">
        <w:t xml:space="preserve"> </w:t>
      </w:r>
      <w:r w:rsidR="0055698B">
        <w:t xml:space="preserve">sa premietli </w:t>
      </w:r>
      <w:r w:rsidR="00057E5C">
        <w:t>vyššie bežné ako aj kapitálové transfery, úhrnom o 42 925 tis. eur</w:t>
      </w:r>
      <w:r w:rsidR="00057E5C" w:rsidRPr="00057E5C">
        <w:t xml:space="preserve"> </w:t>
      </w:r>
      <w:r w:rsidR="00057E5C">
        <w:t>(</w:t>
      </w:r>
      <w:r w:rsidR="00057E5C" w:rsidRPr="00BF744F">
        <w:t>prevažne smerovali obciam na budovanie kanalizácií</w:t>
      </w:r>
      <w:r w:rsidR="00057E5C">
        <w:t>,</w:t>
      </w:r>
      <w:r w:rsidR="00057E5C" w:rsidRPr="00BF744F">
        <w:t> čističiek odpadových vôd a zatepľovanie verejných budov</w:t>
      </w:r>
      <w:r w:rsidR="00057E5C">
        <w:t xml:space="preserve">). Na výsledok hospodárenia v metodike ESA, ktorý dosiahol </w:t>
      </w:r>
      <w:r w:rsidR="00057E5C" w:rsidRPr="00C604BE">
        <w:t>57 227 tis. eur</w:t>
      </w:r>
      <w:r w:rsidR="00C604BE" w:rsidRPr="00C604BE">
        <w:t>,</w:t>
      </w:r>
      <w:r w:rsidR="00057E5C" w:rsidRPr="00C604BE">
        <w:t xml:space="preserve"> mal</w:t>
      </w:r>
      <w:r w:rsidR="00C604BE">
        <w:t>a</w:t>
      </w:r>
      <w:r w:rsidR="00057E5C" w:rsidRPr="00C604BE">
        <w:t xml:space="preserve"> negatívny vplyv </w:t>
      </w:r>
      <w:proofErr w:type="spellStart"/>
      <w:r w:rsidR="00C604BE">
        <w:t>akrualizácia</w:t>
      </w:r>
      <w:proofErr w:type="spellEnd"/>
      <w:r w:rsidR="00C604BE">
        <w:t xml:space="preserve"> príjmu z emisných kvót vo výške 116 916 tis. eur. </w:t>
      </w:r>
      <w:r w:rsidRPr="00C604BE">
        <w:t xml:space="preserve">Podľa </w:t>
      </w:r>
      <w:r w:rsidRPr="00BF744F">
        <w:t>metodiky ESA 2010 sú príjmom len tie príjmy z predaja emisií, kto</w:t>
      </w:r>
      <w:r w:rsidR="00C604BE">
        <w:t xml:space="preserve">ré sú </w:t>
      </w:r>
      <w:r w:rsidR="00650014">
        <w:t xml:space="preserve">reálne </w:t>
      </w:r>
      <w:r w:rsidR="00C604BE">
        <w:t>spotrebované v ekonomike.</w:t>
      </w:r>
    </w:p>
    <w:p w14:paraId="3A83633E" w14:textId="5A4FBBDA" w:rsidR="00F77214" w:rsidRPr="00E8327D" w:rsidRDefault="00F77214" w:rsidP="000F4980">
      <w:r w:rsidRPr="00E8327D">
        <w:t xml:space="preserve">V hospodárení </w:t>
      </w:r>
      <w:r w:rsidRPr="00E8327D">
        <w:rPr>
          <w:b/>
        </w:rPr>
        <w:t>Štátneho fondu rozvoja bývania</w:t>
      </w:r>
      <w:r w:rsidRPr="00E8327D">
        <w:t xml:space="preserve"> sa odrazilo vyššie hotovostné plnenie príjmov </w:t>
      </w:r>
      <w:r w:rsidR="00186A4D">
        <w:t>z</w:t>
      </w:r>
      <w:r w:rsidRPr="00E8327D">
        <w:t xml:space="preserve"> grantov a transferov o 66 325 tis. eur. Hotovostné výdavky dosiah</w:t>
      </w:r>
      <w:r w:rsidR="00CF2884" w:rsidRPr="00E8327D">
        <w:t>li takmer rozpočtovanú hodnotu. Vylúčením príjmov zo zdrojov EÚ</w:t>
      </w:r>
      <w:r w:rsidR="003D5851" w:rsidRPr="00E8327D">
        <w:t xml:space="preserve"> určených na </w:t>
      </w:r>
      <w:r w:rsidR="008479E9" w:rsidRPr="00E8327D">
        <w:t>obnovu v rámci Integrovaného regionálneho operačného programu pre menej i viac rozvinuté regióny</w:t>
      </w:r>
      <w:r w:rsidR="003D5851" w:rsidRPr="00E8327D">
        <w:t xml:space="preserve"> v hodnote 54 044 tis. eur a ďalšími úpravami v metodike ESA vo výške 3 842 tis. eur dosiahol </w:t>
      </w:r>
      <w:r w:rsidR="00186A4D">
        <w:t>ŠFRB prebytok</w:t>
      </w:r>
      <w:r w:rsidR="00186A4D">
        <w:br/>
      </w:r>
      <w:r w:rsidR="003D5851" w:rsidRPr="00E8327D">
        <w:t>54 916 tis. eur, čo je o 9 146 tis. eur viac v porovnaní s rozpočtom.</w:t>
      </w:r>
    </w:p>
    <w:p w14:paraId="375FAFF2" w14:textId="1B906D46" w:rsidR="0024394A" w:rsidRDefault="005E0EE9" w:rsidP="0055698B">
      <w:r w:rsidRPr="00BF744F">
        <w:rPr>
          <w:b/>
        </w:rPr>
        <w:t xml:space="preserve">Ostatné subjekty ústrednej správy </w:t>
      </w:r>
      <w:r w:rsidRPr="00BF744F">
        <w:t>dosiahli lepšie</w:t>
      </w:r>
      <w:r w:rsidRPr="00BF744F">
        <w:rPr>
          <w:b/>
        </w:rPr>
        <w:t xml:space="preserve"> </w:t>
      </w:r>
      <w:r w:rsidRPr="00BF744F">
        <w:t>hospodárenie o 116 5</w:t>
      </w:r>
      <w:r w:rsidR="003F12C5">
        <w:t>44</w:t>
      </w:r>
      <w:r w:rsidRPr="00BF744F">
        <w:t> tis. eur oproti rozpočtu, čo bolo spôsobené najmä prijatím transferu</w:t>
      </w:r>
      <w:r w:rsidR="000D2302" w:rsidRPr="00BF744F">
        <w:t xml:space="preserve"> spoločnosťou </w:t>
      </w:r>
      <w:proofErr w:type="spellStart"/>
      <w:r w:rsidR="000D2302" w:rsidRPr="00A669DB">
        <w:rPr>
          <w:u w:val="single"/>
        </w:rPr>
        <w:t>Debitum</w:t>
      </w:r>
      <w:proofErr w:type="spellEnd"/>
      <w:r w:rsidR="00BB180C" w:rsidRPr="00A669DB">
        <w:rPr>
          <w:u w:val="single"/>
        </w:rPr>
        <w:t>, a. s</w:t>
      </w:r>
      <w:r w:rsidR="00BB180C">
        <w:t>.</w:t>
      </w:r>
      <w:r w:rsidR="000D2302" w:rsidRPr="00BF744F">
        <w:t xml:space="preserve"> (109 </w:t>
      </w:r>
      <w:r w:rsidR="00821E10" w:rsidRPr="00BF744F">
        <w:t>367</w:t>
      </w:r>
      <w:r w:rsidR="000D2302" w:rsidRPr="00BF744F">
        <w:t> tis. </w:t>
      </w:r>
      <w:r w:rsidR="000D2302" w:rsidRPr="00A669DB">
        <w:t xml:space="preserve">eur) </w:t>
      </w:r>
      <w:r w:rsidRPr="00A669DB">
        <w:t>z</w:t>
      </w:r>
      <w:r w:rsidR="00EC15C6" w:rsidRPr="00A669DB">
        <w:t>o štátnych finančných aktív</w:t>
      </w:r>
      <w:r w:rsidRPr="00A669DB">
        <w:t xml:space="preserve"> v súvislosti s </w:t>
      </w:r>
      <w:r w:rsidR="00BB180C" w:rsidRPr="00A669DB">
        <w:t>realizáciou</w:t>
      </w:r>
      <w:r w:rsidRPr="00A669DB">
        <w:t xml:space="preserve"> ďalšej etapy oddlžovania zdravotníckych zariadení</w:t>
      </w:r>
      <w:r w:rsidR="00821E10" w:rsidRPr="00A669DB">
        <w:t>.</w:t>
      </w:r>
      <w:r w:rsidR="005A42CE" w:rsidRPr="00A669DB">
        <w:t xml:space="preserve"> Tento transfer má neutrálny vplyv na celkový schodok verejnej správy, pretože príjem </w:t>
      </w:r>
      <w:proofErr w:type="spellStart"/>
      <w:r w:rsidR="005A42CE" w:rsidRPr="00A669DB">
        <w:t>Debit</w:t>
      </w:r>
      <w:r w:rsidR="0054276F" w:rsidRPr="00A669DB">
        <w:t>um</w:t>
      </w:r>
      <w:proofErr w:type="spellEnd"/>
      <w:r w:rsidR="00A669DB">
        <w:t>, a. s.</w:t>
      </w:r>
      <w:r w:rsidR="0054276F" w:rsidRPr="00A669DB">
        <w:t xml:space="preserve"> sa </w:t>
      </w:r>
      <w:r w:rsidR="00711530" w:rsidRPr="00A669DB">
        <w:t xml:space="preserve">na úrovni celej verejnej správy </w:t>
      </w:r>
      <w:r w:rsidR="0054276F" w:rsidRPr="00A669DB">
        <w:t>konsoliduje s výdavkom š</w:t>
      </w:r>
      <w:r w:rsidR="005A42CE" w:rsidRPr="00A669DB">
        <w:t>tátnych finančných aktív.</w:t>
      </w:r>
      <w:r w:rsidRPr="00A669DB">
        <w:t xml:space="preserve"> </w:t>
      </w:r>
      <w:r w:rsidR="00E0303F" w:rsidRPr="00A669DB">
        <w:t xml:space="preserve">Hospodárenie </w:t>
      </w:r>
      <w:r w:rsidR="00821E10" w:rsidRPr="00A669DB">
        <w:rPr>
          <w:u w:val="single"/>
        </w:rPr>
        <w:t>Rozhlas</w:t>
      </w:r>
      <w:r w:rsidR="00E0303F" w:rsidRPr="00A669DB">
        <w:rPr>
          <w:u w:val="single"/>
        </w:rPr>
        <w:t>u a televízie</w:t>
      </w:r>
      <w:r w:rsidR="00821E10" w:rsidRPr="00A669DB">
        <w:rPr>
          <w:u w:val="single"/>
        </w:rPr>
        <w:t xml:space="preserve"> Slovenska</w:t>
      </w:r>
      <w:r w:rsidR="00821E10" w:rsidRPr="00A669DB">
        <w:t xml:space="preserve"> </w:t>
      </w:r>
      <w:r w:rsidR="00E0303F" w:rsidRPr="00A669DB">
        <w:t xml:space="preserve">bolo lepšie  </w:t>
      </w:r>
      <w:r w:rsidR="00644E56" w:rsidRPr="00A669DB">
        <w:t>oproti rozpočtu o 9 256 tis. eur. Pozitívne vplývali najmä vyššie granty a transfery zo</w:t>
      </w:r>
      <w:r w:rsidR="0047684A" w:rsidRPr="00A669DB">
        <w:t> </w:t>
      </w:r>
      <w:r w:rsidR="00644E56" w:rsidRPr="00A669DB">
        <w:t>štátneho rozpočtu na</w:t>
      </w:r>
      <w:r w:rsidR="0047684A" w:rsidRPr="00A669DB">
        <w:t> </w:t>
      </w:r>
      <w:r w:rsidR="00644E56" w:rsidRPr="00A669DB">
        <w:t>kompenzáciu výpadku úhrad za služby verejnosti</w:t>
      </w:r>
      <w:r w:rsidR="00851405" w:rsidRPr="00A669DB">
        <w:t xml:space="preserve"> (</w:t>
      </w:r>
      <w:r w:rsidR="00A669DB">
        <w:t>z dôvodu oslobodenia</w:t>
      </w:r>
      <w:r w:rsidR="00851405" w:rsidRPr="00A669DB">
        <w:t xml:space="preserve"> dôchodcov a poberateľov dávok v</w:t>
      </w:r>
      <w:r w:rsidR="0047684A" w:rsidRPr="00A669DB">
        <w:t> </w:t>
      </w:r>
      <w:r w:rsidR="00851405" w:rsidRPr="00A669DB">
        <w:t>hmotnej núdzi od úhrad).</w:t>
      </w:r>
    </w:p>
    <w:p w14:paraId="29219280" w14:textId="3B17E5F5" w:rsidR="00537EC3" w:rsidRDefault="00747939" w:rsidP="002536EA">
      <w:r w:rsidRPr="00EA55FF">
        <w:rPr>
          <w:u w:val="single"/>
        </w:rPr>
        <w:t>Agentúra pre núdzové zásoby ropy a ropných výrobkov</w:t>
      </w:r>
      <w:r w:rsidR="00161914">
        <w:rPr>
          <w:u w:val="single"/>
        </w:rPr>
        <w:t xml:space="preserve"> (EOSA)</w:t>
      </w:r>
      <w:r w:rsidRPr="00A669DB">
        <w:t xml:space="preserve"> hospodárila horšie oproti rozpočtu o 14 183 tis</w:t>
      </w:r>
      <w:r w:rsidR="004A47FF" w:rsidRPr="00A669DB">
        <w:t>. eur (dosiahla</w:t>
      </w:r>
      <w:r w:rsidRPr="00A669DB">
        <w:t xml:space="preserve"> ESA prebytok 50 469 tis. eur), čo bolo spôsobené </w:t>
      </w:r>
      <w:r w:rsidR="00223D6E">
        <w:t>nižším príjmom</w:t>
      </w:r>
      <w:r w:rsidRPr="008A1069">
        <w:t xml:space="preserve"> z povinného poplatku za udržiavanie núdzových zásob ropy a ropných výrobkov oproti rozpočtu</w:t>
      </w:r>
      <w:r>
        <w:t xml:space="preserve">. </w:t>
      </w:r>
      <w:r w:rsidRPr="008A1069">
        <w:t xml:space="preserve">V rozpočte na rok 2019 sa uvažovalo s vyššou jednotkovou cenou za služby udržiavania núdzových zásob, ako bola v skutočnosti schválená. </w:t>
      </w:r>
    </w:p>
    <w:p w14:paraId="0190B581" w14:textId="07FDF353" w:rsidR="00747939" w:rsidRPr="008A1069" w:rsidRDefault="00747939" w:rsidP="002536EA">
      <w:r w:rsidRPr="008A1069">
        <w:t>Vplyv poklesu príjmov bol čiastočne znížený súčasným poklesom výdavkov</w:t>
      </w:r>
      <w:r>
        <w:t xml:space="preserve"> na obstaranie kapitálových aktív</w:t>
      </w:r>
      <w:r w:rsidRPr="008A1069">
        <w:t>, keďže v r</w:t>
      </w:r>
      <w:r w:rsidR="00195FE3">
        <w:t>oku</w:t>
      </w:r>
      <w:r w:rsidRPr="008A1069">
        <w:t xml:space="preserve"> 2019 nebol realizovaný </w:t>
      </w:r>
      <w:proofErr w:type="spellStart"/>
      <w:r w:rsidRPr="00EF1CE1">
        <w:t>dokup</w:t>
      </w:r>
      <w:proofErr w:type="spellEnd"/>
      <w:r w:rsidRPr="00EF1CE1">
        <w:t xml:space="preserve"> núdzových zásob a</w:t>
      </w:r>
      <w:r w:rsidR="00195FE3" w:rsidRPr="00EF1CE1">
        <w:t xml:space="preserve"> zároveň </w:t>
      </w:r>
      <w:r w:rsidRPr="00EF1CE1">
        <w:t>poklesom s tým súvisiacich bežných výdavkov na ich udržiav</w:t>
      </w:r>
      <w:r>
        <w:t>anie</w:t>
      </w:r>
      <w:r w:rsidRPr="008A1069">
        <w:t>.</w:t>
      </w:r>
    </w:p>
    <w:p w14:paraId="7697C6B5" w14:textId="694A0B3F" w:rsidR="005F4CCE" w:rsidRPr="008B234A" w:rsidRDefault="00614751" w:rsidP="005F4CCE">
      <w:r w:rsidRPr="00BF744F">
        <w:rPr>
          <w:b/>
        </w:rPr>
        <w:t>Územná samospráva</w:t>
      </w:r>
      <w:r w:rsidRPr="00BF744F">
        <w:t xml:space="preserve"> dosiahla </w:t>
      </w:r>
      <w:r w:rsidRPr="008B234A">
        <w:t xml:space="preserve">prebytok </w:t>
      </w:r>
      <w:r w:rsidR="000B11F9" w:rsidRPr="008B234A">
        <w:t>115 482 </w:t>
      </w:r>
      <w:r w:rsidRPr="008B234A">
        <w:t>tis.</w:t>
      </w:r>
      <w:r w:rsidR="006F1B72" w:rsidRPr="008B234A">
        <w:t> </w:t>
      </w:r>
      <w:r w:rsidRPr="008B234A">
        <w:t xml:space="preserve">eur, čo </w:t>
      </w:r>
      <w:r w:rsidR="000D6114" w:rsidRPr="008B234A">
        <w:t xml:space="preserve">je </w:t>
      </w:r>
      <w:r w:rsidR="0022797E" w:rsidRPr="008B234A">
        <w:t>oproti rozpočtu</w:t>
      </w:r>
      <w:r w:rsidR="00F95C2E" w:rsidRPr="008B234A">
        <w:t xml:space="preserve"> </w:t>
      </w:r>
      <w:r w:rsidR="000D6114" w:rsidRPr="008B234A">
        <w:t xml:space="preserve">menej </w:t>
      </w:r>
      <w:r w:rsidRPr="008B234A">
        <w:t>o</w:t>
      </w:r>
      <w:r w:rsidR="006F1B72" w:rsidRPr="008B234A">
        <w:t> </w:t>
      </w:r>
      <w:r w:rsidR="00910E61" w:rsidRPr="008B234A">
        <w:t>2</w:t>
      </w:r>
      <w:r w:rsidR="000B11F9" w:rsidRPr="008B234A">
        <w:t>57</w:t>
      </w:r>
      <w:r w:rsidR="006F1B72" w:rsidRPr="008B234A">
        <w:t> </w:t>
      </w:r>
      <w:r w:rsidR="000B11F9" w:rsidRPr="008B234A">
        <w:t>307</w:t>
      </w:r>
      <w:r w:rsidR="006F1B72" w:rsidRPr="008B234A">
        <w:t> </w:t>
      </w:r>
      <w:r w:rsidRPr="008B234A">
        <w:t>tis.</w:t>
      </w:r>
      <w:r w:rsidR="006F1B72" w:rsidRPr="008B234A">
        <w:t> </w:t>
      </w:r>
      <w:r w:rsidR="00E73DA2" w:rsidRPr="008B234A">
        <w:t xml:space="preserve">eur. Výšku prebytku </w:t>
      </w:r>
      <w:r w:rsidRPr="008B234A">
        <w:t xml:space="preserve">ovplyvnilo </w:t>
      </w:r>
      <w:r w:rsidRPr="008B234A">
        <w:rPr>
          <w:u w:val="single"/>
        </w:rPr>
        <w:t>hospodárenie obcí</w:t>
      </w:r>
      <w:r w:rsidRPr="008B234A">
        <w:t xml:space="preserve">, ktoré </w:t>
      </w:r>
      <w:r w:rsidR="002B6E3F" w:rsidRPr="008B234A">
        <w:t xml:space="preserve">úhrnom </w:t>
      </w:r>
      <w:r w:rsidRPr="008B234A">
        <w:t>dosiahli</w:t>
      </w:r>
      <w:r w:rsidR="006F1B72" w:rsidRPr="008B234A">
        <w:t xml:space="preserve"> o 178 616 tis. eur nižší prebytok oproti plánovanému a to z dôvodu poklesu nedaňových príjmov a kapitálových príjmov a zvýšených celkových bežných a kapitálových výdavkov oproti </w:t>
      </w:r>
      <w:r w:rsidR="005F4CCE" w:rsidRPr="008B234A">
        <w:t>rozpočtovaným. Najväčší vplyv mal nárast osobných výdavkov o 248 150 tis. eur (z toho mzdy o 180 769 tis. eur</w:t>
      </w:r>
      <w:r w:rsidR="001C798E" w:rsidRPr="008B234A">
        <w:t>,</w:t>
      </w:r>
      <w:r w:rsidR="005F4CCE" w:rsidRPr="008B234A">
        <w:t xml:space="preserve"> odvody na sociálne a zdravotné poistenie o 67 381 tis. eur) v nadväznosti na prijaté opatrenia v odmeňovaní zamestnancov verejnej správy a nárast výdavkov na tovary a služby o 131 451 tis. eur, výdavkov na bežné transfery o 123 188 tis. eur (najmä </w:t>
      </w:r>
      <w:r w:rsidR="001742D7" w:rsidRPr="008B234A">
        <w:t xml:space="preserve">príspevkovým </w:t>
      </w:r>
      <w:r w:rsidR="005F4CCE" w:rsidRPr="008B234A">
        <w:t xml:space="preserve">organizáciám a dopravným podnikom) a výdavkov na </w:t>
      </w:r>
      <w:r w:rsidR="001742D7" w:rsidRPr="008B234A">
        <w:t xml:space="preserve">obstaranie kapitálových </w:t>
      </w:r>
      <w:r w:rsidR="005F4CCE" w:rsidRPr="008B234A">
        <w:t xml:space="preserve">aktív o 425 702 tis. eur spôsobené nárastom prijatých kapitálových grantov a transferov, ktoré neboli v schválenom rozpočte na rok 2019. Obce investovali najmä do rekonštrukcie a výstavby infraštruktúry (kanalizácie, nájomné byty, komunikácie, rekonštrukcie budov). Pri kapitálových výdavkoch bolo vyššie krytie z úverových zdrojov, spolufinancovanie z prostriedkov EÚ a z prostriedkov minulých rokov. Negatívny vplyv mal aj nárast záväzkov vo výške 39 614 tis. eur (najmä obstaranie kapitálových aktív prostredníctvom investičných dodávateľských úverov). Odpustenie poskytnutej návratnej finančnej výpomoci </w:t>
      </w:r>
      <w:r w:rsidR="003059F5" w:rsidRPr="008B234A">
        <w:t xml:space="preserve">Hlavnému mestu </w:t>
      </w:r>
      <w:r w:rsidR="005F4CCE" w:rsidRPr="008B234A">
        <w:t>Bratislav</w:t>
      </w:r>
      <w:r w:rsidR="003059F5" w:rsidRPr="008B234A">
        <w:t>a</w:t>
      </w:r>
      <w:r w:rsidR="005F4CCE" w:rsidRPr="008B234A">
        <w:t xml:space="preserve"> vo výške 10 000 tis. eur preklasifikovanej na príjmový kapitálový transfer malo pozitívny dopad na výšku celkového prebytku obcí</w:t>
      </w:r>
      <w:r w:rsidR="003059F5" w:rsidRPr="008B234A">
        <w:t>.</w:t>
      </w:r>
      <w:r w:rsidR="005F4CCE" w:rsidRPr="008B234A">
        <w:t xml:space="preserve"> </w:t>
      </w:r>
    </w:p>
    <w:p w14:paraId="6C0028BA" w14:textId="11E2B885" w:rsidR="002A2A77" w:rsidRPr="008B234A" w:rsidRDefault="001742D7" w:rsidP="002A2A77">
      <w:r w:rsidRPr="008B234A">
        <w:rPr>
          <w:u w:val="single"/>
        </w:rPr>
        <w:t xml:space="preserve">Hospodárenie </w:t>
      </w:r>
      <w:r w:rsidR="005F4CCE" w:rsidRPr="008B234A">
        <w:rPr>
          <w:u w:val="single"/>
        </w:rPr>
        <w:t>VÚC</w:t>
      </w:r>
      <w:r w:rsidR="005F4CCE" w:rsidRPr="008B234A">
        <w:t xml:space="preserve"> </w:t>
      </w:r>
      <w:r w:rsidRPr="008B234A">
        <w:t xml:space="preserve">dosiahlo hotovostný prebytok 53 268 tis. eur a oproti rozpočtu bol nižší o 68 825 tis. eur. Príjmy </w:t>
      </w:r>
      <w:r w:rsidR="005F4CCE" w:rsidRPr="008B234A">
        <w:t xml:space="preserve">na hotovostnej báze vzrástli oproti rozpočtu o 76 007 tis. eur, z toho podstatný vplyv mal nárast na položke </w:t>
      </w:r>
      <w:r w:rsidR="005F4CCE" w:rsidRPr="008B234A">
        <w:rPr>
          <w:rFonts w:cs="Times New Roman"/>
        </w:rPr>
        <w:t>granty a transfery o 63 616</w:t>
      </w:r>
      <w:r w:rsidR="005F4CCE">
        <w:rPr>
          <w:rFonts w:cs="Times New Roman"/>
        </w:rPr>
        <w:t xml:space="preserve"> tis. eur. Tento nárast príjmov čiastočne eliminoval pokles nedaňových príjmov op</w:t>
      </w:r>
      <w:r w:rsidR="00DB005E">
        <w:rPr>
          <w:rFonts w:cs="Times New Roman"/>
        </w:rPr>
        <w:t>roti rozpočtu (najmä</w:t>
      </w:r>
      <w:r w:rsidR="005F4CCE">
        <w:rPr>
          <w:rFonts w:cs="Times New Roman"/>
        </w:rPr>
        <w:t xml:space="preserve"> prijaté nižšie  kapitálové príjmy a iné nedaňové príjmy). </w:t>
      </w:r>
      <w:r>
        <w:rPr>
          <w:rFonts w:cs="Times New Roman"/>
        </w:rPr>
        <w:t>V</w:t>
      </w:r>
      <w:r w:rsidR="005F4CCE">
        <w:rPr>
          <w:rFonts w:cs="Times New Roman"/>
        </w:rPr>
        <w:t>ýdavky na hotovostnej báze oproti rozpočtovan</w:t>
      </w:r>
      <w:r w:rsidR="00DB005E">
        <w:rPr>
          <w:rFonts w:cs="Times New Roman"/>
        </w:rPr>
        <w:t>ým vzrástli o 144 832 tis. eur. Najväčší podiel na tomto náraste mali</w:t>
      </w:r>
      <w:r w:rsidR="005F4CCE" w:rsidRPr="00BF744F">
        <w:t xml:space="preserve"> kapitálov</w:t>
      </w:r>
      <w:r w:rsidR="00DB005E">
        <w:t>é</w:t>
      </w:r>
      <w:r w:rsidR="005F4CCE" w:rsidRPr="00BF744F">
        <w:t xml:space="preserve"> výdavk</w:t>
      </w:r>
      <w:r w:rsidR="00DB005E">
        <w:t>y</w:t>
      </w:r>
      <w:r w:rsidR="005F4CCE" w:rsidRPr="00BF744F">
        <w:t xml:space="preserve"> (výdavky na obstaranie kapitálových </w:t>
      </w:r>
      <w:r w:rsidR="005F4CCE" w:rsidRPr="005F4CCE">
        <w:t xml:space="preserve">aktív boli vyššie </w:t>
      </w:r>
      <w:r w:rsidR="005F4CCE" w:rsidRPr="00BF744F">
        <w:t>o 114 984 tis. eur a výdavk</w:t>
      </w:r>
      <w:r w:rsidR="005F4CCE">
        <w:t>y</w:t>
      </w:r>
      <w:r w:rsidR="005F4CCE" w:rsidRPr="00BF744F">
        <w:t xml:space="preserve"> na kapitálové transfery v nadväznosti na vyššie prijaté </w:t>
      </w:r>
      <w:r w:rsidR="005F4CCE">
        <w:t xml:space="preserve">kapitálové transfery o 33 784 tis. eur). </w:t>
      </w:r>
      <w:r>
        <w:t xml:space="preserve">Hospodárenie </w:t>
      </w:r>
      <w:r w:rsidR="002A2A77">
        <w:t>VÚC v</w:t>
      </w:r>
      <w:r w:rsidR="002A2A77">
        <w:rPr>
          <w:rFonts w:cs="Times New Roman"/>
        </w:rPr>
        <w:t xml:space="preserve"> metodike</w:t>
      </w:r>
      <w:r w:rsidR="005F4CCE" w:rsidRPr="005F4CCE">
        <w:rPr>
          <w:rFonts w:cs="Times New Roman"/>
        </w:rPr>
        <w:t xml:space="preserve"> ESA </w:t>
      </w:r>
      <w:r w:rsidR="005F4CCE" w:rsidRPr="008B234A">
        <w:t>dosiahl</w:t>
      </w:r>
      <w:r w:rsidR="002A2A77" w:rsidRPr="008B234A">
        <w:t xml:space="preserve">o 45 582 tis. eur z dôvodu negatívneho vplyvu časového rozlíšenia záväzkov 10 709 tis. eur a pohľadávok 2 891 tis. eur. </w:t>
      </w:r>
    </w:p>
    <w:p w14:paraId="2431108D" w14:textId="6F2A09B7" w:rsidR="005F4CCE" w:rsidRPr="008B234A" w:rsidRDefault="005F4CCE" w:rsidP="005F4CCE">
      <w:r w:rsidRPr="008B234A">
        <w:t xml:space="preserve">Nižší prebytok </w:t>
      </w:r>
      <w:r w:rsidRPr="008B234A">
        <w:rPr>
          <w:b/>
        </w:rPr>
        <w:t>príspevkových organizácií obcí</w:t>
      </w:r>
      <w:r w:rsidRPr="008B234A">
        <w:t xml:space="preserve">  vo výške 1 491 tis. eur  oproti rozpočtovanému bol ovplyvnený </w:t>
      </w:r>
      <w:r w:rsidRPr="008B234A">
        <w:rPr>
          <w:rFonts w:cs="Times New Roman"/>
        </w:rPr>
        <w:t>nižším výberom iných nedaňových príjmov o 1 690 tis. eur, vyšším čerpaním skutočných výdavkov na kapitá</w:t>
      </w:r>
      <w:r w:rsidR="00DB005E" w:rsidRPr="008B234A">
        <w:rPr>
          <w:rFonts w:cs="Times New Roman"/>
        </w:rPr>
        <w:t xml:space="preserve">lové transfery o 1 295 tis. eur a </w:t>
      </w:r>
      <w:r w:rsidRPr="008B234A">
        <w:rPr>
          <w:rFonts w:cs="Times New Roman"/>
        </w:rPr>
        <w:t xml:space="preserve">nárastom záväzkov o 2 975 tis. eur (najmä voči dodávateľom, prijaté preddavky, záväzky voči zamestnancom a orgánom sociálneho a zdravotného poistenia) a záväzkov z obstarania kapitálových aktív prostredníctvom leasingu o 274 tis. eur. </w:t>
      </w:r>
    </w:p>
    <w:p w14:paraId="0954B3FD" w14:textId="3AC3A984" w:rsidR="005F4CCE" w:rsidRPr="008B234A" w:rsidRDefault="005F4CCE" w:rsidP="005F4CCE">
      <w:pPr>
        <w:rPr>
          <w:rFonts w:cs="Times New Roman"/>
        </w:rPr>
      </w:pPr>
      <w:r w:rsidRPr="008B234A">
        <w:rPr>
          <w:rFonts w:cs="Times New Roman"/>
          <w:b/>
        </w:rPr>
        <w:t>Príspevkové organizácie VÚC</w:t>
      </w:r>
      <w:r w:rsidRPr="008B234A">
        <w:rPr>
          <w:rFonts w:cs="Times New Roman"/>
        </w:rPr>
        <w:t xml:space="preserve"> dosiahli prebytok vo výške 1 546 tis. eur, čo predstavuje pokles oproti rozpočtu o 604 tis. eur. Negatívny vplyv na hospodárenie mal nárast záväzkov oproti predchádzajúcemu obdobiu o 2 609 tis. eur, najmä záväzky voči zamestnancom o 1 179 tis. eur a voči orgánom sociálneho a zdravotného poistenia o 791 tis. eur v nadväznosti na prijaté opatrenia v odmeňovaní zamestnancov verejnej správy. Tento negatívny vplyv bol čiastočne eliminovaný nárastom skutočne prijatých zahraničných grantov a transferov a prijatých transferov zo štátneho rozpočtu a VÚC oproti rozpočtovaným o sumu 68 414 tis. eur. </w:t>
      </w:r>
    </w:p>
    <w:p w14:paraId="11899E52" w14:textId="7F4B067D" w:rsidR="005F4CCE" w:rsidRPr="00C4683C" w:rsidRDefault="005F4CCE" w:rsidP="005F4CCE">
      <w:pPr>
        <w:rPr>
          <w:rFonts w:cs="Times New Roman"/>
        </w:rPr>
      </w:pPr>
      <w:r w:rsidRPr="008B234A">
        <w:rPr>
          <w:rFonts w:cs="Times New Roman"/>
          <w:b/>
        </w:rPr>
        <w:t xml:space="preserve">Dopravné podniky </w:t>
      </w:r>
      <w:r w:rsidRPr="008B234A">
        <w:t>dosiahli prebytok vo výške 22 019 tis. eur, čo predstavuje zlepšenie hospodárenia oproti rozpočtu o 10 186 tis. eur</w:t>
      </w:r>
      <w:r w:rsidRPr="008B234A">
        <w:rPr>
          <w:rFonts w:cs="Times New Roman"/>
        </w:rPr>
        <w:t xml:space="preserve"> z dôvod</w:t>
      </w:r>
      <w:r w:rsidRPr="00BF744F">
        <w:rPr>
          <w:rFonts w:cs="Times New Roman"/>
        </w:rPr>
        <w:t>u ni</w:t>
      </w:r>
      <w:r>
        <w:rPr>
          <w:rFonts w:cs="Times New Roman"/>
        </w:rPr>
        <w:t>žšieho čerpania výdavkov oproti rozpočtovaným (o 35 521 tis. eur) a to najmä výdavkov</w:t>
      </w:r>
      <w:r w:rsidRPr="00BF744F">
        <w:rPr>
          <w:rFonts w:cs="Times New Roman"/>
        </w:rPr>
        <w:t xml:space="preserve"> na obstaranie kapitálových aktív</w:t>
      </w:r>
      <w:r>
        <w:rPr>
          <w:rFonts w:cs="Times New Roman"/>
        </w:rPr>
        <w:t>, ktoré zaznamenali pokles o 54 283 tis. eur</w:t>
      </w:r>
      <w:r w:rsidRPr="00BF744F">
        <w:rPr>
          <w:rFonts w:cs="Times New Roman"/>
        </w:rPr>
        <w:t>.</w:t>
      </w:r>
      <w:r w:rsidR="00E30577">
        <w:rPr>
          <w:rFonts w:cs="Times New Roman"/>
        </w:rPr>
        <w:t xml:space="preserve"> </w:t>
      </w:r>
      <w:r w:rsidR="006F231B">
        <w:rPr>
          <w:rFonts w:cs="Times New Roman"/>
        </w:rPr>
        <w:t>V</w:t>
      </w:r>
      <w:r w:rsidR="007B49CB">
        <w:rPr>
          <w:rFonts w:cs="Times New Roman"/>
        </w:rPr>
        <w:t xml:space="preserve">ýrazný pokles bol zaznamenaný </w:t>
      </w:r>
      <w:r w:rsidR="00E30577">
        <w:rPr>
          <w:rFonts w:cs="Times New Roman"/>
        </w:rPr>
        <w:t>na položkách ako nákup autobusov, nákup prevádzkových strojov a prístrojov, výpočtovej techniky</w:t>
      </w:r>
      <w:r w:rsidR="00F57C75">
        <w:rPr>
          <w:rFonts w:cs="Times New Roman"/>
        </w:rPr>
        <w:t>,</w:t>
      </w:r>
      <w:r w:rsidR="00E30577">
        <w:rPr>
          <w:rFonts w:cs="Times New Roman"/>
        </w:rPr>
        <w:t xml:space="preserve"> výdavky na realizáciu nových stavieb.</w:t>
      </w:r>
      <w:r w:rsidR="006F231B">
        <w:rPr>
          <w:rFonts w:cs="Times New Roman"/>
        </w:rPr>
        <w:t xml:space="preserve"> Nečerpanie kapitálových výdavkov ovplyvnili </w:t>
      </w:r>
      <w:r w:rsidR="00516BF4">
        <w:rPr>
          <w:rFonts w:cs="Times New Roman"/>
        </w:rPr>
        <w:t>prebiehajúce</w:t>
      </w:r>
      <w:r w:rsidR="006F231B">
        <w:rPr>
          <w:rFonts w:cs="Times New Roman"/>
        </w:rPr>
        <w:t xml:space="preserve"> procesy obstarávania, proces</w:t>
      </w:r>
      <w:r w:rsidR="00F57C75">
        <w:rPr>
          <w:rFonts w:cs="Times New Roman"/>
        </w:rPr>
        <w:t>y</w:t>
      </w:r>
      <w:r w:rsidR="006F231B" w:rsidRPr="006F231B">
        <w:rPr>
          <w:rFonts w:cs="Times New Roman"/>
        </w:rPr>
        <w:t xml:space="preserve"> odsúhlasenia zmeny účelu použitia kapitálovej dotácie</w:t>
      </w:r>
      <w:r w:rsidR="00AF181B">
        <w:rPr>
          <w:rFonts w:cs="Times New Roman"/>
        </w:rPr>
        <w:t>,</w:t>
      </w:r>
      <w:r w:rsidR="00F57C75">
        <w:rPr>
          <w:rFonts w:cs="Times New Roman"/>
        </w:rPr>
        <w:t xml:space="preserve"> </w:t>
      </w:r>
      <w:r w:rsidR="006F231B">
        <w:rPr>
          <w:rFonts w:cs="Times New Roman"/>
        </w:rPr>
        <w:t>presun plánovaných investičných akcií do ďalšieho obdobia (napr. modernizácia električkového depa)</w:t>
      </w:r>
      <w:r w:rsidR="00AF181B">
        <w:rPr>
          <w:rFonts w:cs="Times New Roman"/>
        </w:rPr>
        <w:t>.</w:t>
      </w:r>
      <w:r w:rsidR="006F231B">
        <w:rPr>
          <w:rFonts w:cs="Times New Roman"/>
        </w:rPr>
        <w:t xml:space="preserve"> </w:t>
      </w:r>
      <w:r w:rsidR="00AF181B">
        <w:rPr>
          <w:rFonts w:cs="Times New Roman"/>
        </w:rPr>
        <w:t>Na hospodárenie mal p</w:t>
      </w:r>
      <w:r w:rsidRPr="00BF744F">
        <w:rPr>
          <w:rFonts w:cs="Times New Roman"/>
        </w:rPr>
        <w:t>ozitívny vplyv</w:t>
      </w:r>
      <w:r w:rsidR="00AF181B">
        <w:rPr>
          <w:rFonts w:cs="Times New Roman"/>
        </w:rPr>
        <w:t xml:space="preserve"> aj</w:t>
      </w:r>
      <w:r w:rsidRPr="00BF744F">
        <w:rPr>
          <w:rFonts w:cs="Times New Roman"/>
        </w:rPr>
        <w:t xml:space="preserve"> pokles záväzkov</w:t>
      </w:r>
      <w:r>
        <w:rPr>
          <w:rFonts w:cs="Times New Roman"/>
        </w:rPr>
        <w:t xml:space="preserve"> o 4 267 tis. eur z dôvodu </w:t>
      </w:r>
      <w:r w:rsidRPr="00BF744F">
        <w:rPr>
          <w:rFonts w:cs="Times New Roman"/>
        </w:rPr>
        <w:t>splnenia zmluvne dohodnutých dodávok</w:t>
      </w:r>
      <w:r>
        <w:rPr>
          <w:rFonts w:cs="Times New Roman"/>
        </w:rPr>
        <w:t xml:space="preserve"> (o 4 724 tis. eur) </w:t>
      </w:r>
      <w:r w:rsidRPr="00BF744F">
        <w:rPr>
          <w:rFonts w:cs="Times New Roman"/>
        </w:rPr>
        <w:t>a pokles záväzkov z ostatného a operatívneho prenájmu</w:t>
      </w:r>
      <w:r>
        <w:rPr>
          <w:rFonts w:cs="Times New Roman"/>
        </w:rPr>
        <w:t xml:space="preserve"> (o 1 811 tis. eur)</w:t>
      </w:r>
      <w:r w:rsidRPr="00BF744F">
        <w:rPr>
          <w:rFonts w:cs="Times New Roman"/>
        </w:rPr>
        <w:t>.</w:t>
      </w:r>
    </w:p>
    <w:p w14:paraId="68585F74" w14:textId="0C103A8B" w:rsidR="00614751" w:rsidRDefault="00614751" w:rsidP="00A77698">
      <w:pPr>
        <w:spacing w:after="0"/>
      </w:pPr>
      <w:r w:rsidRPr="00253679">
        <w:t>Saldo verejnej správy podľa jednotlivých subjektov v roku 201</w:t>
      </w:r>
      <w:r w:rsidR="00822ACE">
        <w:t>9</w:t>
      </w:r>
      <w:r w:rsidR="00A36542">
        <w:t xml:space="preserve"> obsahuje nasledovná tabuľka:</w:t>
      </w:r>
    </w:p>
    <w:tbl>
      <w:tblPr>
        <w:tblW w:w="8789" w:type="dxa"/>
        <w:tblCellMar>
          <w:left w:w="70" w:type="dxa"/>
          <w:right w:w="70" w:type="dxa"/>
        </w:tblCellMar>
        <w:tblLook w:val="04A0" w:firstRow="1" w:lastRow="0" w:firstColumn="1" w:lastColumn="0" w:noHBand="0" w:noVBand="1"/>
      </w:tblPr>
      <w:tblGrid>
        <w:gridCol w:w="190"/>
        <w:gridCol w:w="190"/>
        <w:gridCol w:w="3164"/>
        <w:gridCol w:w="1017"/>
        <w:gridCol w:w="1114"/>
        <w:gridCol w:w="929"/>
        <w:gridCol w:w="1123"/>
        <w:gridCol w:w="1062"/>
      </w:tblGrid>
      <w:tr w:rsidR="00C24665" w:rsidRPr="002536EA" w14:paraId="6C4E3EB6" w14:textId="77777777" w:rsidTr="003A0393">
        <w:trPr>
          <w:trHeight w:val="330"/>
        </w:trPr>
        <w:tc>
          <w:tcPr>
            <w:tcW w:w="8789" w:type="dxa"/>
            <w:gridSpan w:val="8"/>
            <w:tcBorders>
              <w:top w:val="nil"/>
              <w:left w:val="nil"/>
              <w:bottom w:val="single" w:sz="4" w:space="0" w:color="auto"/>
              <w:right w:val="nil"/>
            </w:tcBorders>
            <w:shd w:val="clear" w:color="000000" w:fill="000000"/>
            <w:noWrap/>
            <w:vAlign w:val="center"/>
            <w:hideMark/>
          </w:tcPr>
          <w:p w14:paraId="3FD1BD0C" w14:textId="65D3A5E9" w:rsidR="00C24665" w:rsidRPr="002536EA" w:rsidRDefault="00C24665" w:rsidP="00C24665">
            <w:pPr>
              <w:spacing w:after="0" w:line="240" w:lineRule="auto"/>
              <w:jc w:val="left"/>
              <w:rPr>
                <w:rFonts w:eastAsia="Times New Roman" w:cs="Times New Roman"/>
                <w:b/>
                <w:bCs/>
                <w:color w:val="FFFFFF"/>
                <w:sz w:val="20"/>
                <w:szCs w:val="20"/>
                <w:lang w:eastAsia="sk-SK"/>
              </w:rPr>
            </w:pPr>
            <w:r w:rsidRPr="002536EA">
              <w:rPr>
                <w:rFonts w:eastAsia="Times New Roman" w:cs="Times New Roman"/>
                <w:b/>
                <w:bCs/>
                <w:color w:val="FFFFFF"/>
                <w:sz w:val="20"/>
                <w:szCs w:val="20"/>
                <w:lang w:eastAsia="sk-SK"/>
              </w:rPr>
              <w:t xml:space="preserve">Schodok verejnej správy podľa jednotlivých subjektov </w:t>
            </w:r>
            <w:r>
              <w:rPr>
                <w:rFonts w:eastAsia="Times New Roman" w:cs="Times New Roman"/>
                <w:b/>
                <w:bCs/>
                <w:color w:val="FFFFFF"/>
                <w:sz w:val="20"/>
                <w:szCs w:val="20"/>
                <w:lang w:eastAsia="sk-SK"/>
              </w:rPr>
              <w:t xml:space="preserve">                                                             </w:t>
            </w:r>
            <w:r w:rsidRPr="002536EA">
              <w:rPr>
                <w:rFonts w:eastAsia="Times New Roman" w:cs="Times New Roman"/>
                <w:b/>
                <w:bCs/>
                <w:color w:val="FFFFFF"/>
                <w:sz w:val="20"/>
                <w:szCs w:val="20"/>
                <w:lang w:eastAsia="sk-SK"/>
              </w:rPr>
              <w:t>v tis. eur</w:t>
            </w:r>
          </w:p>
        </w:tc>
      </w:tr>
      <w:tr w:rsidR="00822ACE" w:rsidRPr="00822ACE" w14:paraId="5DE0199F" w14:textId="77777777" w:rsidTr="00C24665">
        <w:trPr>
          <w:trHeight w:val="331"/>
        </w:trPr>
        <w:tc>
          <w:tcPr>
            <w:tcW w:w="190" w:type="dxa"/>
            <w:tcBorders>
              <w:top w:val="single" w:sz="4" w:space="0" w:color="auto"/>
              <w:left w:val="nil"/>
              <w:bottom w:val="nil"/>
              <w:right w:val="nil"/>
            </w:tcBorders>
            <w:shd w:val="clear" w:color="000000" w:fill="BFBFBF"/>
            <w:noWrap/>
            <w:vAlign w:val="center"/>
            <w:hideMark/>
          </w:tcPr>
          <w:p w14:paraId="35A57A27"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90" w:type="dxa"/>
            <w:tcBorders>
              <w:top w:val="single" w:sz="4" w:space="0" w:color="auto"/>
              <w:left w:val="nil"/>
              <w:bottom w:val="nil"/>
              <w:right w:val="nil"/>
            </w:tcBorders>
            <w:shd w:val="clear" w:color="000000" w:fill="BFBFBF"/>
            <w:noWrap/>
            <w:vAlign w:val="center"/>
            <w:hideMark/>
          </w:tcPr>
          <w:p w14:paraId="284BEB5B"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3164" w:type="dxa"/>
            <w:tcBorders>
              <w:top w:val="single" w:sz="4" w:space="0" w:color="auto"/>
              <w:left w:val="nil"/>
              <w:bottom w:val="nil"/>
              <w:right w:val="nil"/>
            </w:tcBorders>
            <w:shd w:val="clear" w:color="000000" w:fill="BFBFBF"/>
            <w:noWrap/>
            <w:vAlign w:val="center"/>
            <w:hideMark/>
          </w:tcPr>
          <w:p w14:paraId="0390DCF3"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2131" w:type="dxa"/>
            <w:gridSpan w:val="2"/>
            <w:tcBorders>
              <w:top w:val="single" w:sz="4" w:space="0" w:color="auto"/>
              <w:left w:val="nil"/>
              <w:bottom w:val="nil"/>
              <w:right w:val="nil"/>
            </w:tcBorders>
            <w:shd w:val="clear" w:color="000000" w:fill="BFBFBF"/>
            <w:noWrap/>
            <w:vAlign w:val="center"/>
            <w:hideMark/>
          </w:tcPr>
          <w:p w14:paraId="6779166A"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Skutočnosť</w:t>
            </w:r>
          </w:p>
        </w:tc>
        <w:tc>
          <w:tcPr>
            <w:tcW w:w="929" w:type="dxa"/>
            <w:tcBorders>
              <w:top w:val="single" w:sz="4" w:space="0" w:color="auto"/>
              <w:left w:val="nil"/>
              <w:bottom w:val="nil"/>
              <w:right w:val="nil"/>
            </w:tcBorders>
            <w:shd w:val="clear" w:color="000000" w:fill="BFBFBF"/>
            <w:noWrap/>
            <w:vAlign w:val="center"/>
            <w:hideMark/>
          </w:tcPr>
          <w:p w14:paraId="2B5DCCEE"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Rozpočet</w:t>
            </w:r>
          </w:p>
        </w:tc>
        <w:tc>
          <w:tcPr>
            <w:tcW w:w="1123" w:type="dxa"/>
            <w:tcBorders>
              <w:top w:val="single" w:sz="4" w:space="0" w:color="auto"/>
              <w:left w:val="nil"/>
              <w:bottom w:val="nil"/>
              <w:right w:val="nil"/>
            </w:tcBorders>
            <w:shd w:val="clear" w:color="000000" w:fill="BFBFBF"/>
            <w:noWrap/>
            <w:vAlign w:val="center"/>
            <w:hideMark/>
          </w:tcPr>
          <w:p w14:paraId="488B99EE"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Skutočnosť</w:t>
            </w:r>
          </w:p>
        </w:tc>
        <w:tc>
          <w:tcPr>
            <w:tcW w:w="1062" w:type="dxa"/>
            <w:tcBorders>
              <w:top w:val="single" w:sz="4" w:space="0" w:color="auto"/>
              <w:left w:val="nil"/>
              <w:bottom w:val="nil"/>
              <w:right w:val="nil"/>
            </w:tcBorders>
            <w:shd w:val="clear" w:color="000000" w:fill="BFBFBF"/>
            <w:noWrap/>
            <w:vAlign w:val="center"/>
            <w:hideMark/>
          </w:tcPr>
          <w:p w14:paraId="2E9D26A3"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Rozdiel</w:t>
            </w:r>
          </w:p>
        </w:tc>
      </w:tr>
      <w:tr w:rsidR="00822ACE" w:rsidRPr="00822ACE" w14:paraId="65F87605" w14:textId="77777777" w:rsidTr="009A0CAF">
        <w:trPr>
          <w:trHeight w:val="331"/>
        </w:trPr>
        <w:tc>
          <w:tcPr>
            <w:tcW w:w="190" w:type="dxa"/>
            <w:tcBorders>
              <w:top w:val="nil"/>
              <w:left w:val="nil"/>
              <w:right w:val="nil"/>
            </w:tcBorders>
            <w:shd w:val="clear" w:color="000000" w:fill="BFBFBF"/>
            <w:noWrap/>
            <w:vAlign w:val="center"/>
            <w:hideMark/>
          </w:tcPr>
          <w:p w14:paraId="7943E3DE"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90" w:type="dxa"/>
            <w:tcBorders>
              <w:top w:val="nil"/>
              <w:left w:val="nil"/>
              <w:right w:val="nil"/>
            </w:tcBorders>
            <w:shd w:val="clear" w:color="000000" w:fill="BFBFBF"/>
            <w:noWrap/>
            <w:vAlign w:val="center"/>
            <w:hideMark/>
          </w:tcPr>
          <w:p w14:paraId="3C89A632"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3164" w:type="dxa"/>
            <w:tcBorders>
              <w:top w:val="nil"/>
              <w:left w:val="nil"/>
              <w:right w:val="nil"/>
            </w:tcBorders>
            <w:shd w:val="clear" w:color="000000" w:fill="BFBFBF"/>
            <w:noWrap/>
            <w:vAlign w:val="center"/>
            <w:hideMark/>
          </w:tcPr>
          <w:p w14:paraId="07B9B165"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017" w:type="dxa"/>
            <w:tcBorders>
              <w:top w:val="nil"/>
              <w:left w:val="nil"/>
              <w:right w:val="nil"/>
            </w:tcBorders>
            <w:shd w:val="clear" w:color="000000" w:fill="BFBFBF"/>
            <w:noWrap/>
            <w:vAlign w:val="center"/>
            <w:hideMark/>
          </w:tcPr>
          <w:p w14:paraId="79D73260"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2017</w:t>
            </w:r>
          </w:p>
        </w:tc>
        <w:tc>
          <w:tcPr>
            <w:tcW w:w="1114" w:type="dxa"/>
            <w:tcBorders>
              <w:top w:val="nil"/>
              <w:left w:val="nil"/>
              <w:right w:val="nil"/>
            </w:tcBorders>
            <w:shd w:val="clear" w:color="000000" w:fill="BFBFBF"/>
            <w:noWrap/>
            <w:vAlign w:val="center"/>
            <w:hideMark/>
          </w:tcPr>
          <w:p w14:paraId="4FB4800A"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2018</w:t>
            </w:r>
          </w:p>
        </w:tc>
        <w:tc>
          <w:tcPr>
            <w:tcW w:w="929" w:type="dxa"/>
            <w:tcBorders>
              <w:top w:val="nil"/>
              <w:left w:val="nil"/>
              <w:right w:val="nil"/>
            </w:tcBorders>
            <w:shd w:val="clear" w:color="000000" w:fill="BFBFBF"/>
            <w:noWrap/>
            <w:vAlign w:val="center"/>
            <w:hideMark/>
          </w:tcPr>
          <w:p w14:paraId="5AA0E084"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2019</w:t>
            </w:r>
          </w:p>
        </w:tc>
        <w:tc>
          <w:tcPr>
            <w:tcW w:w="1123" w:type="dxa"/>
            <w:tcBorders>
              <w:top w:val="nil"/>
              <w:left w:val="nil"/>
              <w:right w:val="nil"/>
            </w:tcBorders>
            <w:shd w:val="clear" w:color="000000" w:fill="BFBFBF"/>
            <w:noWrap/>
            <w:vAlign w:val="center"/>
            <w:hideMark/>
          </w:tcPr>
          <w:p w14:paraId="68D1FC78"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2019</w:t>
            </w:r>
          </w:p>
        </w:tc>
        <w:tc>
          <w:tcPr>
            <w:tcW w:w="1062" w:type="dxa"/>
            <w:tcBorders>
              <w:top w:val="nil"/>
              <w:left w:val="nil"/>
              <w:right w:val="nil"/>
            </w:tcBorders>
            <w:shd w:val="clear" w:color="000000" w:fill="BFBFBF"/>
            <w:noWrap/>
            <w:vAlign w:val="center"/>
            <w:hideMark/>
          </w:tcPr>
          <w:p w14:paraId="5ACF8399"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2019</w:t>
            </w:r>
          </w:p>
        </w:tc>
      </w:tr>
      <w:tr w:rsidR="00822ACE" w:rsidRPr="00822ACE" w14:paraId="6E6F8672" w14:textId="77777777" w:rsidTr="009A0CAF">
        <w:trPr>
          <w:trHeight w:val="89"/>
        </w:trPr>
        <w:tc>
          <w:tcPr>
            <w:tcW w:w="190" w:type="dxa"/>
            <w:tcBorders>
              <w:top w:val="nil"/>
              <w:left w:val="nil"/>
              <w:bottom w:val="single" w:sz="4" w:space="0" w:color="auto"/>
              <w:right w:val="nil"/>
            </w:tcBorders>
            <w:shd w:val="clear" w:color="000000" w:fill="BFBFBF"/>
            <w:noWrap/>
            <w:vAlign w:val="center"/>
            <w:hideMark/>
          </w:tcPr>
          <w:p w14:paraId="07D49E2C"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90" w:type="dxa"/>
            <w:tcBorders>
              <w:top w:val="nil"/>
              <w:left w:val="nil"/>
              <w:bottom w:val="single" w:sz="4" w:space="0" w:color="auto"/>
              <w:right w:val="nil"/>
            </w:tcBorders>
            <w:shd w:val="clear" w:color="000000" w:fill="BFBFBF"/>
            <w:noWrap/>
            <w:vAlign w:val="center"/>
            <w:hideMark/>
          </w:tcPr>
          <w:p w14:paraId="02C4B73C"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3164" w:type="dxa"/>
            <w:tcBorders>
              <w:top w:val="nil"/>
              <w:left w:val="nil"/>
              <w:bottom w:val="single" w:sz="4" w:space="0" w:color="auto"/>
              <w:right w:val="nil"/>
            </w:tcBorders>
            <w:shd w:val="clear" w:color="000000" w:fill="BFBFBF"/>
            <w:noWrap/>
            <w:vAlign w:val="center"/>
            <w:hideMark/>
          </w:tcPr>
          <w:p w14:paraId="4FB62395"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017" w:type="dxa"/>
            <w:tcBorders>
              <w:top w:val="nil"/>
              <w:left w:val="nil"/>
              <w:bottom w:val="single" w:sz="4" w:space="0" w:color="auto"/>
              <w:right w:val="nil"/>
            </w:tcBorders>
            <w:shd w:val="clear" w:color="000000" w:fill="BFBFBF"/>
            <w:noWrap/>
            <w:vAlign w:val="center"/>
            <w:hideMark/>
          </w:tcPr>
          <w:p w14:paraId="197FDA1C"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1</w:t>
            </w:r>
          </w:p>
        </w:tc>
        <w:tc>
          <w:tcPr>
            <w:tcW w:w="1114" w:type="dxa"/>
            <w:tcBorders>
              <w:top w:val="nil"/>
              <w:left w:val="nil"/>
              <w:bottom w:val="single" w:sz="4" w:space="0" w:color="auto"/>
              <w:right w:val="nil"/>
            </w:tcBorders>
            <w:shd w:val="clear" w:color="000000" w:fill="BFBFBF"/>
            <w:noWrap/>
            <w:vAlign w:val="center"/>
            <w:hideMark/>
          </w:tcPr>
          <w:p w14:paraId="58DF1985"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w:t>
            </w:r>
          </w:p>
        </w:tc>
        <w:tc>
          <w:tcPr>
            <w:tcW w:w="929" w:type="dxa"/>
            <w:tcBorders>
              <w:top w:val="nil"/>
              <w:left w:val="nil"/>
              <w:bottom w:val="single" w:sz="4" w:space="0" w:color="auto"/>
              <w:right w:val="nil"/>
            </w:tcBorders>
            <w:shd w:val="clear" w:color="000000" w:fill="BFBFBF"/>
            <w:noWrap/>
            <w:vAlign w:val="center"/>
            <w:hideMark/>
          </w:tcPr>
          <w:p w14:paraId="01E2E9BF"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3</w:t>
            </w:r>
          </w:p>
        </w:tc>
        <w:tc>
          <w:tcPr>
            <w:tcW w:w="1123" w:type="dxa"/>
            <w:tcBorders>
              <w:top w:val="nil"/>
              <w:left w:val="nil"/>
              <w:bottom w:val="single" w:sz="4" w:space="0" w:color="auto"/>
              <w:right w:val="nil"/>
            </w:tcBorders>
            <w:shd w:val="clear" w:color="000000" w:fill="BFBFBF"/>
            <w:noWrap/>
            <w:vAlign w:val="center"/>
            <w:hideMark/>
          </w:tcPr>
          <w:p w14:paraId="792E0379"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4</w:t>
            </w:r>
          </w:p>
        </w:tc>
        <w:tc>
          <w:tcPr>
            <w:tcW w:w="1062" w:type="dxa"/>
            <w:tcBorders>
              <w:top w:val="nil"/>
              <w:left w:val="nil"/>
              <w:bottom w:val="single" w:sz="4" w:space="0" w:color="auto"/>
              <w:right w:val="nil"/>
            </w:tcBorders>
            <w:shd w:val="clear" w:color="000000" w:fill="BFBFBF"/>
            <w:noWrap/>
            <w:vAlign w:val="center"/>
            <w:hideMark/>
          </w:tcPr>
          <w:p w14:paraId="754836E9" w14:textId="77777777" w:rsidR="00822ACE" w:rsidRPr="00822ACE" w:rsidRDefault="00822ACE" w:rsidP="00822ACE">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5=4-3</w:t>
            </w:r>
          </w:p>
        </w:tc>
      </w:tr>
      <w:tr w:rsidR="00822ACE" w:rsidRPr="00822ACE" w14:paraId="69EF6422" w14:textId="77777777" w:rsidTr="005E1134">
        <w:trPr>
          <w:trHeight w:val="331"/>
        </w:trPr>
        <w:tc>
          <w:tcPr>
            <w:tcW w:w="3544" w:type="dxa"/>
            <w:gridSpan w:val="3"/>
            <w:tcBorders>
              <w:top w:val="single" w:sz="4" w:space="0" w:color="auto"/>
              <w:left w:val="nil"/>
              <w:bottom w:val="nil"/>
              <w:right w:val="nil"/>
            </w:tcBorders>
            <w:shd w:val="clear" w:color="000000" w:fill="FFFFFF"/>
            <w:noWrap/>
            <w:vAlign w:val="center"/>
            <w:hideMark/>
          </w:tcPr>
          <w:p w14:paraId="4785C2B8"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Ústredná správa, z toho</w:t>
            </w:r>
          </w:p>
        </w:tc>
        <w:tc>
          <w:tcPr>
            <w:tcW w:w="1017" w:type="dxa"/>
            <w:tcBorders>
              <w:top w:val="nil"/>
              <w:left w:val="nil"/>
              <w:bottom w:val="nil"/>
              <w:right w:val="nil"/>
            </w:tcBorders>
            <w:shd w:val="clear" w:color="000000" w:fill="FFFFFF"/>
            <w:noWrap/>
            <w:vAlign w:val="center"/>
            <w:hideMark/>
          </w:tcPr>
          <w:p w14:paraId="718BD7B2"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114" w:type="dxa"/>
            <w:tcBorders>
              <w:top w:val="nil"/>
              <w:left w:val="nil"/>
              <w:bottom w:val="nil"/>
              <w:right w:val="nil"/>
            </w:tcBorders>
            <w:shd w:val="clear" w:color="000000" w:fill="FFFFFF"/>
            <w:noWrap/>
            <w:vAlign w:val="center"/>
            <w:hideMark/>
          </w:tcPr>
          <w:p w14:paraId="1CDEB31D"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929" w:type="dxa"/>
            <w:tcBorders>
              <w:top w:val="nil"/>
              <w:left w:val="nil"/>
              <w:bottom w:val="nil"/>
              <w:right w:val="nil"/>
            </w:tcBorders>
            <w:shd w:val="clear" w:color="000000" w:fill="FFFFFF"/>
            <w:noWrap/>
            <w:vAlign w:val="center"/>
            <w:hideMark/>
          </w:tcPr>
          <w:p w14:paraId="268A254C"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123" w:type="dxa"/>
            <w:tcBorders>
              <w:top w:val="nil"/>
              <w:left w:val="nil"/>
              <w:bottom w:val="nil"/>
              <w:right w:val="nil"/>
            </w:tcBorders>
            <w:shd w:val="clear" w:color="auto" w:fill="BFBFBF" w:themeFill="background1" w:themeFillShade="BF"/>
            <w:noWrap/>
            <w:vAlign w:val="center"/>
            <w:hideMark/>
          </w:tcPr>
          <w:p w14:paraId="1CC58C35"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062" w:type="dxa"/>
            <w:tcBorders>
              <w:top w:val="nil"/>
              <w:left w:val="nil"/>
              <w:bottom w:val="nil"/>
              <w:right w:val="nil"/>
            </w:tcBorders>
            <w:shd w:val="clear" w:color="000000" w:fill="FFFFFF"/>
            <w:noWrap/>
            <w:vAlign w:val="center"/>
            <w:hideMark/>
          </w:tcPr>
          <w:p w14:paraId="61A09E8D"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r>
      <w:tr w:rsidR="00822ACE" w:rsidRPr="00822ACE" w14:paraId="1CED1D33" w14:textId="77777777" w:rsidTr="005E1134">
        <w:trPr>
          <w:trHeight w:val="331"/>
        </w:trPr>
        <w:tc>
          <w:tcPr>
            <w:tcW w:w="190" w:type="dxa"/>
            <w:tcBorders>
              <w:top w:val="nil"/>
              <w:left w:val="nil"/>
              <w:bottom w:val="nil"/>
              <w:right w:val="nil"/>
            </w:tcBorders>
            <w:shd w:val="clear" w:color="000000" w:fill="FFFFFF"/>
            <w:noWrap/>
            <w:vAlign w:val="center"/>
            <w:hideMark/>
          </w:tcPr>
          <w:p w14:paraId="1FE14F2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21A787F5"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Štátny rozpočet</w:t>
            </w:r>
            <w:r w:rsidRPr="00822ACE">
              <w:rPr>
                <w:rFonts w:eastAsia="Times New Roman" w:cs="Times New Roman"/>
                <w:sz w:val="20"/>
                <w:szCs w:val="20"/>
                <w:vertAlign w:val="superscript"/>
                <w:lang w:eastAsia="sk-SK"/>
              </w:rPr>
              <w:t>1</w:t>
            </w:r>
            <w:r w:rsidRPr="00822ACE">
              <w:rPr>
                <w:rFonts w:eastAsia="Times New Roman" w:cs="Times New Roman"/>
                <w:color w:val="000000"/>
                <w:sz w:val="20"/>
                <w:szCs w:val="20"/>
                <w:vertAlign w:val="superscript"/>
                <w:lang w:eastAsia="sk-SK"/>
              </w:rPr>
              <w:t>)</w:t>
            </w:r>
          </w:p>
        </w:tc>
        <w:tc>
          <w:tcPr>
            <w:tcW w:w="1017" w:type="dxa"/>
            <w:tcBorders>
              <w:top w:val="nil"/>
              <w:left w:val="nil"/>
              <w:bottom w:val="nil"/>
              <w:right w:val="nil"/>
            </w:tcBorders>
            <w:shd w:val="clear" w:color="000000" w:fill="FFFFFF"/>
            <w:noWrap/>
            <w:vAlign w:val="center"/>
            <w:hideMark/>
          </w:tcPr>
          <w:p w14:paraId="3317793A"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-1 126 236</w:t>
            </w:r>
          </w:p>
        </w:tc>
        <w:tc>
          <w:tcPr>
            <w:tcW w:w="1114" w:type="dxa"/>
            <w:tcBorders>
              <w:top w:val="nil"/>
              <w:left w:val="nil"/>
              <w:bottom w:val="nil"/>
              <w:right w:val="nil"/>
            </w:tcBorders>
            <w:shd w:val="clear" w:color="000000" w:fill="FFFFFF"/>
            <w:noWrap/>
            <w:vAlign w:val="center"/>
            <w:hideMark/>
          </w:tcPr>
          <w:p w14:paraId="26927AE4" w14:textId="328B8A0A" w:rsidR="00822ACE" w:rsidRPr="00822ACE" w:rsidRDefault="00141A5D" w:rsidP="00141A5D">
            <w:pPr>
              <w:spacing w:after="0" w:line="240" w:lineRule="auto"/>
              <w:jc w:val="right"/>
              <w:rPr>
                <w:rFonts w:eastAsia="Times New Roman" w:cs="Times New Roman"/>
                <w:sz w:val="20"/>
                <w:szCs w:val="20"/>
                <w:lang w:eastAsia="sk-SK"/>
              </w:rPr>
            </w:pPr>
            <w:r>
              <w:rPr>
                <w:sz w:val="20"/>
                <w:szCs w:val="20"/>
              </w:rPr>
              <w:t>-1 560 271</w:t>
            </w:r>
          </w:p>
        </w:tc>
        <w:tc>
          <w:tcPr>
            <w:tcW w:w="929" w:type="dxa"/>
            <w:tcBorders>
              <w:top w:val="nil"/>
              <w:left w:val="nil"/>
              <w:bottom w:val="nil"/>
              <w:right w:val="nil"/>
            </w:tcBorders>
            <w:shd w:val="clear" w:color="000000" w:fill="FFFFFF"/>
            <w:noWrap/>
            <w:vAlign w:val="center"/>
            <w:hideMark/>
          </w:tcPr>
          <w:p w14:paraId="5C8147F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-988 402</w:t>
            </w:r>
          </w:p>
        </w:tc>
        <w:tc>
          <w:tcPr>
            <w:tcW w:w="1123" w:type="dxa"/>
            <w:tcBorders>
              <w:top w:val="nil"/>
              <w:left w:val="nil"/>
              <w:bottom w:val="nil"/>
              <w:right w:val="nil"/>
            </w:tcBorders>
            <w:shd w:val="clear" w:color="auto" w:fill="BFBFBF" w:themeFill="background1" w:themeFillShade="BF"/>
            <w:noWrap/>
            <w:vAlign w:val="center"/>
            <w:hideMark/>
          </w:tcPr>
          <w:p w14:paraId="66B34924"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-1 747 288</w:t>
            </w:r>
          </w:p>
        </w:tc>
        <w:tc>
          <w:tcPr>
            <w:tcW w:w="1062" w:type="dxa"/>
            <w:tcBorders>
              <w:top w:val="nil"/>
              <w:left w:val="nil"/>
              <w:bottom w:val="nil"/>
              <w:right w:val="nil"/>
            </w:tcBorders>
            <w:shd w:val="clear" w:color="000000" w:fill="FFFFFF"/>
            <w:noWrap/>
            <w:vAlign w:val="center"/>
            <w:hideMark/>
          </w:tcPr>
          <w:p w14:paraId="0709C59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-758 886</w:t>
            </w:r>
          </w:p>
        </w:tc>
      </w:tr>
      <w:tr w:rsidR="00822ACE" w:rsidRPr="00822ACE" w14:paraId="2D78D8B3" w14:textId="77777777" w:rsidTr="005E1134">
        <w:trPr>
          <w:trHeight w:val="331"/>
        </w:trPr>
        <w:tc>
          <w:tcPr>
            <w:tcW w:w="190" w:type="dxa"/>
            <w:tcBorders>
              <w:top w:val="nil"/>
              <w:left w:val="nil"/>
              <w:bottom w:val="nil"/>
              <w:right w:val="nil"/>
            </w:tcBorders>
            <w:shd w:val="clear" w:color="000000" w:fill="FFFFFF"/>
            <w:noWrap/>
            <w:vAlign w:val="center"/>
            <w:hideMark/>
          </w:tcPr>
          <w:p w14:paraId="4F85F8F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61AD8BA6" w14:textId="0E439191" w:rsidR="00822ACE" w:rsidRPr="00822ACE" w:rsidRDefault="00822ACE" w:rsidP="00A77698">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 xml:space="preserve">Príspevkové </w:t>
            </w:r>
            <w:proofErr w:type="spellStart"/>
            <w:r w:rsidRPr="00822ACE">
              <w:rPr>
                <w:rFonts w:eastAsia="Times New Roman" w:cs="Times New Roman"/>
                <w:sz w:val="20"/>
                <w:szCs w:val="20"/>
                <w:lang w:eastAsia="sk-SK"/>
              </w:rPr>
              <w:t>org</w:t>
            </w:r>
            <w:proofErr w:type="spellEnd"/>
            <w:r w:rsidR="00A77698">
              <w:rPr>
                <w:rFonts w:eastAsia="Times New Roman" w:cs="Times New Roman"/>
                <w:sz w:val="20"/>
                <w:szCs w:val="20"/>
                <w:lang w:eastAsia="sk-SK"/>
              </w:rPr>
              <w:t>.</w:t>
            </w:r>
            <w:r w:rsidRPr="00822ACE">
              <w:rPr>
                <w:rFonts w:eastAsia="Times New Roman" w:cs="Times New Roman"/>
                <w:sz w:val="20"/>
                <w:szCs w:val="20"/>
                <w:lang w:eastAsia="sk-SK"/>
              </w:rPr>
              <w:t xml:space="preserve"> ústrednej správy</w:t>
            </w:r>
          </w:p>
        </w:tc>
        <w:tc>
          <w:tcPr>
            <w:tcW w:w="1017" w:type="dxa"/>
            <w:tcBorders>
              <w:top w:val="nil"/>
              <w:left w:val="nil"/>
              <w:bottom w:val="nil"/>
              <w:right w:val="nil"/>
            </w:tcBorders>
            <w:shd w:val="clear" w:color="000000" w:fill="FFFFFF"/>
            <w:noWrap/>
            <w:vAlign w:val="center"/>
            <w:hideMark/>
          </w:tcPr>
          <w:p w14:paraId="59D350A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31 361</w:t>
            </w:r>
          </w:p>
        </w:tc>
        <w:tc>
          <w:tcPr>
            <w:tcW w:w="1114" w:type="dxa"/>
            <w:tcBorders>
              <w:top w:val="nil"/>
              <w:left w:val="nil"/>
              <w:bottom w:val="nil"/>
              <w:right w:val="nil"/>
            </w:tcBorders>
            <w:shd w:val="clear" w:color="000000" w:fill="FFFFFF"/>
            <w:noWrap/>
            <w:vAlign w:val="center"/>
            <w:hideMark/>
          </w:tcPr>
          <w:p w14:paraId="1ACAA98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2 002</w:t>
            </w:r>
          </w:p>
        </w:tc>
        <w:tc>
          <w:tcPr>
            <w:tcW w:w="929" w:type="dxa"/>
            <w:tcBorders>
              <w:top w:val="nil"/>
              <w:left w:val="nil"/>
              <w:bottom w:val="nil"/>
              <w:right w:val="nil"/>
            </w:tcBorders>
            <w:shd w:val="clear" w:color="000000" w:fill="FFFFFF"/>
            <w:noWrap/>
            <w:vAlign w:val="center"/>
            <w:hideMark/>
          </w:tcPr>
          <w:p w14:paraId="6BD59D9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-7 383</w:t>
            </w:r>
          </w:p>
        </w:tc>
        <w:tc>
          <w:tcPr>
            <w:tcW w:w="1123" w:type="dxa"/>
            <w:tcBorders>
              <w:top w:val="nil"/>
              <w:left w:val="nil"/>
              <w:bottom w:val="nil"/>
              <w:right w:val="nil"/>
            </w:tcBorders>
            <w:shd w:val="clear" w:color="auto" w:fill="BFBFBF" w:themeFill="background1" w:themeFillShade="BF"/>
            <w:noWrap/>
            <w:vAlign w:val="center"/>
            <w:hideMark/>
          </w:tcPr>
          <w:p w14:paraId="7D0BA0FD"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22 675</w:t>
            </w:r>
          </w:p>
        </w:tc>
        <w:tc>
          <w:tcPr>
            <w:tcW w:w="1062" w:type="dxa"/>
            <w:tcBorders>
              <w:top w:val="nil"/>
              <w:left w:val="nil"/>
              <w:bottom w:val="nil"/>
              <w:right w:val="nil"/>
            </w:tcBorders>
            <w:shd w:val="clear" w:color="000000" w:fill="FFFFFF"/>
            <w:noWrap/>
            <w:vAlign w:val="center"/>
            <w:hideMark/>
          </w:tcPr>
          <w:p w14:paraId="422C02E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30 058</w:t>
            </w:r>
          </w:p>
        </w:tc>
      </w:tr>
      <w:tr w:rsidR="00822ACE" w:rsidRPr="00822ACE" w14:paraId="46DC0532" w14:textId="77777777" w:rsidTr="005E1134">
        <w:trPr>
          <w:trHeight w:val="331"/>
        </w:trPr>
        <w:tc>
          <w:tcPr>
            <w:tcW w:w="190" w:type="dxa"/>
            <w:tcBorders>
              <w:top w:val="nil"/>
              <w:left w:val="nil"/>
              <w:bottom w:val="nil"/>
              <w:right w:val="nil"/>
            </w:tcBorders>
            <w:shd w:val="clear" w:color="000000" w:fill="FFFFFF"/>
            <w:noWrap/>
            <w:vAlign w:val="center"/>
            <w:hideMark/>
          </w:tcPr>
          <w:p w14:paraId="101E1103"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6C7F6C97"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Štátne fondy</w:t>
            </w:r>
          </w:p>
        </w:tc>
        <w:tc>
          <w:tcPr>
            <w:tcW w:w="1017" w:type="dxa"/>
            <w:tcBorders>
              <w:top w:val="nil"/>
              <w:left w:val="nil"/>
              <w:bottom w:val="nil"/>
              <w:right w:val="nil"/>
            </w:tcBorders>
            <w:shd w:val="clear" w:color="000000" w:fill="FFFFFF"/>
            <w:noWrap/>
            <w:vAlign w:val="center"/>
            <w:hideMark/>
          </w:tcPr>
          <w:p w14:paraId="6F75C826"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100 427</w:t>
            </w:r>
          </w:p>
        </w:tc>
        <w:tc>
          <w:tcPr>
            <w:tcW w:w="1114" w:type="dxa"/>
            <w:tcBorders>
              <w:top w:val="nil"/>
              <w:left w:val="nil"/>
              <w:bottom w:val="nil"/>
              <w:right w:val="nil"/>
            </w:tcBorders>
            <w:shd w:val="clear" w:color="000000" w:fill="FFFFFF"/>
            <w:noWrap/>
            <w:vAlign w:val="center"/>
            <w:hideMark/>
          </w:tcPr>
          <w:p w14:paraId="148C5E3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101 098</w:t>
            </w:r>
          </w:p>
        </w:tc>
        <w:tc>
          <w:tcPr>
            <w:tcW w:w="929" w:type="dxa"/>
            <w:tcBorders>
              <w:top w:val="nil"/>
              <w:left w:val="nil"/>
              <w:bottom w:val="nil"/>
              <w:right w:val="nil"/>
            </w:tcBorders>
            <w:shd w:val="clear" w:color="000000" w:fill="FFFFFF"/>
            <w:noWrap/>
            <w:vAlign w:val="center"/>
            <w:hideMark/>
          </w:tcPr>
          <w:p w14:paraId="6806C93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314 819</w:t>
            </w:r>
          </w:p>
        </w:tc>
        <w:tc>
          <w:tcPr>
            <w:tcW w:w="1123" w:type="dxa"/>
            <w:tcBorders>
              <w:top w:val="nil"/>
              <w:left w:val="nil"/>
              <w:bottom w:val="nil"/>
              <w:right w:val="nil"/>
            </w:tcBorders>
            <w:shd w:val="clear" w:color="auto" w:fill="BFBFBF" w:themeFill="background1" w:themeFillShade="BF"/>
            <w:noWrap/>
            <w:vAlign w:val="center"/>
            <w:hideMark/>
          </w:tcPr>
          <w:p w14:paraId="6762BC3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100 292</w:t>
            </w:r>
          </w:p>
        </w:tc>
        <w:tc>
          <w:tcPr>
            <w:tcW w:w="1062" w:type="dxa"/>
            <w:tcBorders>
              <w:top w:val="nil"/>
              <w:left w:val="nil"/>
              <w:bottom w:val="nil"/>
              <w:right w:val="nil"/>
            </w:tcBorders>
            <w:shd w:val="clear" w:color="000000" w:fill="FFFFFF"/>
            <w:noWrap/>
            <w:vAlign w:val="center"/>
            <w:hideMark/>
          </w:tcPr>
          <w:p w14:paraId="51DA82E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-214 527</w:t>
            </w:r>
          </w:p>
        </w:tc>
      </w:tr>
      <w:tr w:rsidR="00822ACE" w:rsidRPr="00822ACE" w14:paraId="22FC1119" w14:textId="77777777" w:rsidTr="005E1134">
        <w:trPr>
          <w:trHeight w:val="278"/>
        </w:trPr>
        <w:tc>
          <w:tcPr>
            <w:tcW w:w="190" w:type="dxa"/>
            <w:tcBorders>
              <w:top w:val="nil"/>
              <w:left w:val="nil"/>
              <w:bottom w:val="nil"/>
              <w:right w:val="nil"/>
            </w:tcBorders>
            <w:shd w:val="clear" w:color="000000" w:fill="FFFFFF"/>
            <w:noWrap/>
            <w:vAlign w:val="center"/>
            <w:hideMark/>
          </w:tcPr>
          <w:p w14:paraId="01C03AFD"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46A3BDFF"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Eximbanka SR</w:t>
            </w:r>
          </w:p>
        </w:tc>
        <w:tc>
          <w:tcPr>
            <w:tcW w:w="1017" w:type="dxa"/>
            <w:tcBorders>
              <w:top w:val="nil"/>
              <w:left w:val="nil"/>
              <w:bottom w:val="nil"/>
              <w:right w:val="nil"/>
            </w:tcBorders>
            <w:shd w:val="clear" w:color="000000" w:fill="FFFFFF"/>
            <w:noWrap/>
            <w:vAlign w:val="center"/>
            <w:hideMark/>
          </w:tcPr>
          <w:p w14:paraId="12BCC16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563</w:t>
            </w:r>
          </w:p>
        </w:tc>
        <w:tc>
          <w:tcPr>
            <w:tcW w:w="1114" w:type="dxa"/>
            <w:tcBorders>
              <w:top w:val="nil"/>
              <w:left w:val="nil"/>
              <w:bottom w:val="nil"/>
              <w:right w:val="nil"/>
            </w:tcBorders>
            <w:shd w:val="clear" w:color="000000" w:fill="FFFFFF"/>
            <w:noWrap/>
            <w:vAlign w:val="center"/>
            <w:hideMark/>
          </w:tcPr>
          <w:p w14:paraId="6E551849"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13 776</w:t>
            </w:r>
          </w:p>
        </w:tc>
        <w:tc>
          <w:tcPr>
            <w:tcW w:w="929" w:type="dxa"/>
            <w:tcBorders>
              <w:top w:val="nil"/>
              <w:left w:val="nil"/>
              <w:bottom w:val="nil"/>
              <w:right w:val="nil"/>
            </w:tcBorders>
            <w:shd w:val="clear" w:color="000000" w:fill="FFFFFF"/>
            <w:noWrap/>
            <w:vAlign w:val="center"/>
            <w:hideMark/>
          </w:tcPr>
          <w:p w14:paraId="5191905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750</w:t>
            </w:r>
          </w:p>
        </w:tc>
        <w:tc>
          <w:tcPr>
            <w:tcW w:w="1123" w:type="dxa"/>
            <w:tcBorders>
              <w:top w:val="nil"/>
              <w:left w:val="nil"/>
              <w:bottom w:val="nil"/>
              <w:right w:val="nil"/>
            </w:tcBorders>
            <w:shd w:val="clear" w:color="auto" w:fill="BFBFBF" w:themeFill="background1" w:themeFillShade="BF"/>
            <w:noWrap/>
            <w:vAlign w:val="center"/>
            <w:hideMark/>
          </w:tcPr>
          <w:p w14:paraId="585C5D0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4 415</w:t>
            </w:r>
          </w:p>
        </w:tc>
        <w:tc>
          <w:tcPr>
            <w:tcW w:w="1062" w:type="dxa"/>
            <w:tcBorders>
              <w:top w:val="nil"/>
              <w:left w:val="nil"/>
              <w:bottom w:val="nil"/>
              <w:right w:val="nil"/>
            </w:tcBorders>
            <w:shd w:val="clear" w:color="000000" w:fill="FFFFFF"/>
            <w:noWrap/>
            <w:vAlign w:val="center"/>
            <w:hideMark/>
          </w:tcPr>
          <w:p w14:paraId="6A6AEC6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3 665</w:t>
            </w:r>
          </w:p>
        </w:tc>
      </w:tr>
      <w:tr w:rsidR="00822ACE" w:rsidRPr="00822ACE" w14:paraId="6E4196FD" w14:textId="77777777" w:rsidTr="005E1134">
        <w:trPr>
          <w:trHeight w:val="331"/>
        </w:trPr>
        <w:tc>
          <w:tcPr>
            <w:tcW w:w="190" w:type="dxa"/>
            <w:tcBorders>
              <w:top w:val="nil"/>
              <w:left w:val="nil"/>
              <w:bottom w:val="nil"/>
              <w:right w:val="nil"/>
            </w:tcBorders>
            <w:shd w:val="clear" w:color="000000" w:fill="FFFFFF"/>
            <w:noWrap/>
            <w:vAlign w:val="center"/>
            <w:hideMark/>
          </w:tcPr>
          <w:p w14:paraId="3B28B23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2349C26C"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Obchodné spoločnosti štátu, z toho:</w:t>
            </w:r>
          </w:p>
        </w:tc>
        <w:tc>
          <w:tcPr>
            <w:tcW w:w="1017" w:type="dxa"/>
            <w:tcBorders>
              <w:top w:val="nil"/>
              <w:left w:val="nil"/>
              <w:bottom w:val="nil"/>
              <w:right w:val="nil"/>
            </w:tcBorders>
            <w:shd w:val="clear" w:color="000000" w:fill="FFFFFF"/>
            <w:noWrap/>
            <w:vAlign w:val="center"/>
            <w:hideMark/>
          </w:tcPr>
          <w:p w14:paraId="5FB465ED"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-89 725</w:t>
            </w:r>
          </w:p>
        </w:tc>
        <w:tc>
          <w:tcPr>
            <w:tcW w:w="1114" w:type="dxa"/>
            <w:tcBorders>
              <w:top w:val="nil"/>
              <w:left w:val="nil"/>
              <w:bottom w:val="nil"/>
              <w:right w:val="nil"/>
            </w:tcBorders>
            <w:shd w:val="clear" w:color="000000" w:fill="FFFFFF"/>
            <w:noWrap/>
            <w:vAlign w:val="center"/>
            <w:hideMark/>
          </w:tcPr>
          <w:p w14:paraId="26B713E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-13 562</w:t>
            </w:r>
          </w:p>
        </w:tc>
        <w:tc>
          <w:tcPr>
            <w:tcW w:w="929" w:type="dxa"/>
            <w:tcBorders>
              <w:top w:val="nil"/>
              <w:left w:val="nil"/>
              <w:bottom w:val="nil"/>
              <w:right w:val="nil"/>
            </w:tcBorders>
            <w:shd w:val="clear" w:color="000000" w:fill="FFFFFF"/>
            <w:noWrap/>
            <w:vAlign w:val="center"/>
            <w:hideMark/>
          </w:tcPr>
          <w:p w14:paraId="58829653"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34 436</w:t>
            </w:r>
          </w:p>
        </w:tc>
        <w:tc>
          <w:tcPr>
            <w:tcW w:w="1123" w:type="dxa"/>
            <w:tcBorders>
              <w:top w:val="nil"/>
              <w:left w:val="nil"/>
              <w:bottom w:val="nil"/>
              <w:right w:val="nil"/>
            </w:tcBorders>
            <w:shd w:val="clear" w:color="auto" w:fill="BFBFBF" w:themeFill="background1" w:themeFillShade="BF"/>
            <w:noWrap/>
            <w:vAlign w:val="center"/>
            <w:hideMark/>
          </w:tcPr>
          <w:p w14:paraId="24CDC419"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-42 820</w:t>
            </w:r>
          </w:p>
        </w:tc>
        <w:tc>
          <w:tcPr>
            <w:tcW w:w="1062" w:type="dxa"/>
            <w:tcBorders>
              <w:top w:val="nil"/>
              <w:left w:val="nil"/>
              <w:bottom w:val="nil"/>
              <w:right w:val="nil"/>
            </w:tcBorders>
            <w:shd w:val="clear" w:color="000000" w:fill="FFFFFF"/>
            <w:noWrap/>
            <w:vAlign w:val="center"/>
            <w:hideMark/>
          </w:tcPr>
          <w:p w14:paraId="04E8B3AD"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-77 256</w:t>
            </w:r>
          </w:p>
        </w:tc>
      </w:tr>
      <w:tr w:rsidR="00D8132F" w:rsidRPr="00822ACE" w14:paraId="6FB06022" w14:textId="77777777" w:rsidTr="005E1134">
        <w:trPr>
          <w:trHeight w:val="331"/>
        </w:trPr>
        <w:tc>
          <w:tcPr>
            <w:tcW w:w="190" w:type="dxa"/>
            <w:tcBorders>
              <w:top w:val="nil"/>
              <w:left w:val="nil"/>
              <w:bottom w:val="nil"/>
              <w:right w:val="nil"/>
            </w:tcBorders>
            <w:shd w:val="clear" w:color="000000" w:fill="FFFFFF"/>
            <w:noWrap/>
            <w:vAlign w:val="center"/>
            <w:hideMark/>
          </w:tcPr>
          <w:p w14:paraId="38181A26"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0FAFF089" w14:textId="77777777" w:rsidR="00D8132F" w:rsidRPr="00822ACE" w:rsidRDefault="00D8132F" w:rsidP="0044781D">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 </w:t>
            </w:r>
          </w:p>
        </w:tc>
        <w:tc>
          <w:tcPr>
            <w:tcW w:w="3164" w:type="dxa"/>
            <w:tcBorders>
              <w:top w:val="nil"/>
              <w:left w:val="nil"/>
              <w:bottom w:val="nil"/>
              <w:right w:val="nil"/>
            </w:tcBorders>
            <w:shd w:val="clear" w:color="000000" w:fill="FFFFFF"/>
            <w:noWrap/>
            <w:vAlign w:val="center"/>
            <w:hideMark/>
          </w:tcPr>
          <w:p w14:paraId="6BAB6B3E" w14:textId="77777777" w:rsidR="00D8132F" w:rsidRPr="00822ACE" w:rsidRDefault="00D8132F" w:rsidP="0044781D">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Železničná spoločnosť Slovensko, a.s.</w:t>
            </w:r>
          </w:p>
        </w:tc>
        <w:tc>
          <w:tcPr>
            <w:tcW w:w="1017" w:type="dxa"/>
            <w:tcBorders>
              <w:top w:val="nil"/>
              <w:left w:val="nil"/>
              <w:bottom w:val="nil"/>
              <w:right w:val="nil"/>
            </w:tcBorders>
            <w:shd w:val="clear" w:color="000000" w:fill="FFFFFF"/>
            <w:noWrap/>
            <w:vAlign w:val="center"/>
            <w:hideMark/>
          </w:tcPr>
          <w:p w14:paraId="2A3E218F"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13 893</w:t>
            </w:r>
          </w:p>
        </w:tc>
        <w:tc>
          <w:tcPr>
            <w:tcW w:w="1114" w:type="dxa"/>
            <w:tcBorders>
              <w:top w:val="nil"/>
              <w:left w:val="nil"/>
              <w:bottom w:val="nil"/>
              <w:right w:val="nil"/>
            </w:tcBorders>
            <w:shd w:val="clear" w:color="000000" w:fill="FFFFFF"/>
            <w:noWrap/>
            <w:vAlign w:val="center"/>
            <w:hideMark/>
          </w:tcPr>
          <w:p w14:paraId="2C9A447D"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-12 221</w:t>
            </w:r>
          </w:p>
        </w:tc>
        <w:tc>
          <w:tcPr>
            <w:tcW w:w="929" w:type="dxa"/>
            <w:tcBorders>
              <w:top w:val="nil"/>
              <w:left w:val="nil"/>
              <w:bottom w:val="nil"/>
              <w:right w:val="nil"/>
            </w:tcBorders>
            <w:shd w:val="clear" w:color="000000" w:fill="FFFFFF"/>
            <w:noWrap/>
            <w:vAlign w:val="center"/>
            <w:hideMark/>
          </w:tcPr>
          <w:p w14:paraId="35424B93"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434</w:t>
            </w:r>
          </w:p>
        </w:tc>
        <w:tc>
          <w:tcPr>
            <w:tcW w:w="1123" w:type="dxa"/>
            <w:tcBorders>
              <w:top w:val="nil"/>
              <w:left w:val="nil"/>
              <w:bottom w:val="nil"/>
              <w:right w:val="nil"/>
            </w:tcBorders>
            <w:shd w:val="clear" w:color="auto" w:fill="BFBFBF" w:themeFill="background1" w:themeFillShade="BF"/>
            <w:noWrap/>
            <w:vAlign w:val="center"/>
            <w:hideMark/>
          </w:tcPr>
          <w:p w14:paraId="4B5A09EA"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-36 893</w:t>
            </w:r>
          </w:p>
        </w:tc>
        <w:tc>
          <w:tcPr>
            <w:tcW w:w="1062" w:type="dxa"/>
            <w:tcBorders>
              <w:top w:val="nil"/>
              <w:left w:val="nil"/>
              <w:bottom w:val="nil"/>
              <w:right w:val="nil"/>
            </w:tcBorders>
            <w:shd w:val="clear" w:color="000000" w:fill="FFFFFF"/>
            <w:noWrap/>
            <w:vAlign w:val="center"/>
            <w:hideMark/>
          </w:tcPr>
          <w:p w14:paraId="583B22BC"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-37 327</w:t>
            </w:r>
          </w:p>
        </w:tc>
      </w:tr>
      <w:tr w:rsidR="00D8132F" w:rsidRPr="00822ACE" w14:paraId="02553002" w14:textId="77777777" w:rsidTr="005E1134">
        <w:trPr>
          <w:trHeight w:val="278"/>
        </w:trPr>
        <w:tc>
          <w:tcPr>
            <w:tcW w:w="190" w:type="dxa"/>
            <w:tcBorders>
              <w:top w:val="nil"/>
              <w:left w:val="nil"/>
              <w:bottom w:val="nil"/>
              <w:right w:val="nil"/>
            </w:tcBorders>
            <w:shd w:val="clear" w:color="000000" w:fill="FFFFFF"/>
            <w:noWrap/>
            <w:vAlign w:val="center"/>
            <w:hideMark/>
          </w:tcPr>
          <w:p w14:paraId="64DC9FF7"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7EF1B565" w14:textId="77777777" w:rsidR="00D8132F" w:rsidRPr="00822ACE" w:rsidRDefault="00D8132F" w:rsidP="0044781D">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164" w:type="dxa"/>
            <w:tcBorders>
              <w:top w:val="nil"/>
              <w:left w:val="nil"/>
              <w:bottom w:val="nil"/>
              <w:right w:val="nil"/>
            </w:tcBorders>
            <w:shd w:val="clear" w:color="000000" w:fill="FFFFFF"/>
            <w:noWrap/>
            <w:vAlign w:val="center"/>
            <w:hideMark/>
          </w:tcPr>
          <w:p w14:paraId="19C8EEC3" w14:textId="77777777" w:rsidR="00D8132F" w:rsidRPr="00822ACE" w:rsidRDefault="00D8132F" w:rsidP="0044781D">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MH Invest, s.r.o.</w:t>
            </w:r>
          </w:p>
        </w:tc>
        <w:tc>
          <w:tcPr>
            <w:tcW w:w="1017" w:type="dxa"/>
            <w:tcBorders>
              <w:top w:val="nil"/>
              <w:left w:val="nil"/>
              <w:bottom w:val="nil"/>
              <w:right w:val="nil"/>
            </w:tcBorders>
            <w:shd w:val="clear" w:color="000000" w:fill="FFFFFF"/>
            <w:noWrap/>
            <w:vAlign w:val="center"/>
            <w:hideMark/>
          </w:tcPr>
          <w:p w14:paraId="4C7C671C"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25 267</w:t>
            </w:r>
          </w:p>
        </w:tc>
        <w:tc>
          <w:tcPr>
            <w:tcW w:w="1114" w:type="dxa"/>
            <w:tcBorders>
              <w:top w:val="nil"/>
              <w:left w:val="nil"/>
              <w:bottom w:val="nil"/>
              <w:right w:val="nil"/>
            </w:tcBorders>
            <w:shd w:val="clear" w:color="000000" w:fill="FFFFFF"/>
            <w:noWrap/>
            <w:vAlign w:val="center"/>
            <w:hideMark/>
          </w:tcPr>
          <w:p w14:paraId="5B8C86D2"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-10 990</w:t>
            </w:r>
          </w:p>
        </w:tc>
        <w:tc>
          <w:tcPr>
            <w:tcW w:w="929" w:type="dxa"/>
            <w:tcBorders>
              <w:top w:val="nil"/>
              <w:left w:val="nil"/>
              <w:bottom w:val="nil"/>
              <w:right w:val="nil"/>
            </w:tcBorders>
            <w:shd w:val="clear" w:color="000000" w:fill="FFFFFF"/>
            <w:noWrap/>
            <w:vAlign w:val="center"/>
            <w:hideMark/>
          </w:tcPr>
          <w:p w14:paraId="391D047A"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61</w:t>
            </w:r>
          </w:p>
        </w:tc>
        <w:tc>
          <w:tcPr>
            <w:tcW w:w="1123" w:type="dxa"/>
            <w:tcBorders>
              <w:top w:val="nil"/>
              <w:left w:val="nil"/>
              <w:bottom w:val="nil"/>
              <w:right w:val="nil"/>
            </w:tcBorders>
            <w:shd w:val="clear" w:color="auto" w:fill="BFBFBF" w:themeFill="background1" w:themeFillShade="BF"/>
            <w:noWrap/>
            <w:vAlign w:val="center"/>
            <w:hideMark/>
          </w:tcPr>
          <w:p w14:paraId="29417C29"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-3 450</w:t>
            </w:r>
          </w:p>
        </w:tc>
        <w:tc>
          <w:tcPr>
            <w:tcW w:w="1062" w:type="dxa"/>
            <w:tcBorders>
              <w:top w:val="nil"/>
              <w:left w:val="nil"/>
              <w:bottom w:val="nil"/>
              <w:right w:val="nil"/>
            </w:tcBorders>
            <w:shd w:val="clear" w:color="000000" w:fill="FFFFFF"/>
            <w:noWrap/>
            <w:vAlign w:val="center"/>
            <w:hideMark/>
          </w:tcPr>
          <w:p w14:paraId="50450171"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-3 511</w:t>
            </w:r>
          </w:p>
        </w:tc>
      </w:tr>
      <w:tr w:rsidR="00D8132F" w:rsidRPr="00822ACE" w14:paraId="4AA0539F" w14:textId="77777777" w:rsidTr="005E1134">
        <w:trPr>
          <w:trHeight w:val="331"/>
        </w:trPr>
        <w:tc>
          <w:tcPr>
            <w:tcW w:w="190" w:type="dxa"/>
            <w:tcBorders>
              <w:top w:val="nil"/>
              <w:left w:val="nil"/>
              <w:bottom w:val="nil"/>
              <w:right w:val="nil"/>
            </w:tcBorders>
            <w:shd w:val="clear" w:color="000000" w:fill="FFFFFF"/>
            <w:noWrap/>
            <w:vAlign w:val="center"/>
            <w:hideMark/>
          </w:tcPr>
          <w:p w14:paraId="633B55A2"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765107D5" w14:textId="77777777" w:rsidR="00D8132F" w:rsidRPr="00822ACE" w:rsidRDefault="00D8132F" w:rsidP="0044781D">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164" w:type="dxa"/>
            <w:tcBorders>
              <w:top w:val="nil"/>
              <w:left w:val="nil"/>
              <w:bottom w:val="nil"/>
              <w:right w:val="nil"/>
            </w:tcBorders>
            <w:shd w:val="clear" w:color="000000" w:fill="FFFFFF"/>
            <w:noWrap/>
            <w:vAlign w:val="center"/>
            <w:hideMark/>
          </w:tcPr>
          <w:p w14:paraId="1DA66A5F" w14:textId="77777777" w:rsidR="00D8132F" w:rsidRPr="00822ACE" w:rsidRDefault="00D8132F" w:rsidP="0044781D">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MH Manažment, a.s.</w:t>
            </w:r>
          </w:p>
        </w:tc>
        <w:tc>
          <w:tcPr>
            <w:tcW w:w="1017" w:type="dxa"/>
            <w:tcBorders>
              <w:top w:val="nil"/>
              <w:left w:val="nil"/>
              <w:bottom w:val="nil"/>
              <w:right w:val="nil"/>
            </w:tcBorders>
            <w:shd w:val="clear" w:color="000000" w:fill="FFFFFF"/>
            <w:noWrap/>
            <w:vAlign w:val="center"/>
            <w:hideMark/>
          </w:tcPr>
          <w:p w14:paraId="144B78E2" w14:textId="77777777" w:rsidR="00D8132F" w:rsidRPr="00822ACE" w:rsidRDefault="00D8132F" w:rsidP="0044781D">
            <w:pPr>
              <w:spacing w:after="0" w:line="240" w:lineRule="auto"/>
              <w:jc w:val="right"/>
              <w:rPr>
                <w:rFonts w:eastAsia="Times New Roman" w:cs="Times New Roman"/>
                <w:color w:val="000000"/>
                <w:sz w:val="20"/>
                <w:szCs w:val="20"/>
                <w:lang w:eastAsia="sk-SK"/>
              </w:rPr>
            </w:pPr>
            <w:r w:rsidRPr="00822ACE">
              <w:rPr>
                <w:rFonts w:eastAsia="Times New Roman" w:cs="Times New Roman"/>
                <w:color w:val="000000"/>
                <w:sz w:val="20"/>
                <w:szCs w:val="20"/>
                <w:lang w:eastAsia="sk-SK"/>
              </w:rPr>
              <w:t>-27 550</w:t>
            </w:r>
          </w:p>
        </w:tc>
        <w:tc>
          <w:tcPr>
            <w:tcW w:w="1114" w:type="dxa"/>
            <w:tcBorders>
              <w:top w:val="nil"/>
              <w:left w:val="nil"/>
              <w:bottom w:val="nil"/>
              <w:right w:val="nil"/>
            </w:tcBorders>
            <w:shd w:val="clear" w:color="000000" w:fill="FFFFFF"/>
            <w:noWrap/>
            <w:vAlign w:val="center"/>
            <w:hideMark/>
          </w:tcPr>
          <w:p w14:paraId="2E693CAF" w14:textId="77777777" w:rsidR="00D8132F" w:rsidRPr="00822ACE" w:rsidRDefault="00D8132F" w:rsidP="0044781D">
            <w:pPr>
              <w:spacing w:after="0" w:line="240" w:lineRule="auto"/>
              <w:jc w:val="right"/>
              <w:rPr>
                <w:rFonts w:eastAsia="Times New Roman" w:cs="Times New Roman"/>
                <w:color w:val="000000"/>
                <w:sz w:val="20"/>
                <w:szCs w:val="20"/>
                <w:lang w:eastAsia="sk-SK"/>
              </w:rPr>
            </w:pPr>
            <w:r w:rsidRPr="00822ACE">
              <w:rPr>
                <w:rFonts w:eastAsia="Times New Roman" w:cs="Times New Roman"/>
                <w:color w:val="000000"/>
                <w:sz w:val="20"/>
                <w:szCs w:val="20"/>
                <w:lang w:eastAsia="sk-SK"/>
              </w:rPr>
              <w:t>-8 055</w:t>
            </w:r>
          </w:p>
        </w:tc>
        <w:tc>
          <w:tcPr>
            <w:tcW w:w="929" w:type="dxa"/>
            <w:tcBorders>
              <w:top w:val="nil"/>
              <w:left w:val="nil"/>
              <w:bottom w:val="nil"/>
              <w:right w:val="nil"/>
            </w:tcBorders>
            <w:shd w:val="clear" w:color="000000" w:fill="FFFFFF"/>
            <w:noWrap/>
            <w:vAlign w:val="center"/>
            <w:hideMark/>
          </w:tcPr>
          <w:p w14:paraId="1649E376" w14:textId="77777777" w:rsidR="00D8132F" w:rsidRPr="00822ACE" w:rsidRDefault="00D8132F" w:rsidP="0044781D">
            <w:pPr>
              <w:spacing w:after="0" w:line="240" w:lineRule="auto"/>
              <w:jc w:val="right"/>
              <w:rPr>
                <w:rFonts w:eastAsia="Times New Roman" w:cs="Times New Roman"/>
                <w:color w:val="000000"/>
                <w:sz w:val="20"/>
                <w:szCs w:val="20"/>
                <w:lang w:eastAsia="sk-SK"/>
              </w:rPr>
            </w:pPr>
            <w:r w:rsidRPr="00822ACE">
              <w:rPr>
                <w:rFonts w:eastAsia="Times New Roman" w:cs="Times New Roman"/>
                <w:color w:val="000000"/>
                <w:sz w:val="20"/>
                <w:szCs w:val="20"/>
                <w:lang w:eastAsia="sk-SK"/>
              </w:rPr>
              <w:t>-2 025</w:t>
            </w:r>
          </w:p>
        </w:tc>
        <w:tc>
          <w:tcPr>
            <w:tcW w:w="1123" w:type="dxa"/>
            <w:tcBorders>
              <w:top w:val="nil"/>
              <w:left w:val="nil"/>
              <w:bottom w:val="nil"/>
              <w:right w:val="nil"/>
            </w:tcBorders>
            <w:shd w:val="clear" w:color="auto" w:fill="BFBFBF" w:themeFill="background1" w:themeFillShade="BF"/>
            <w:noWrap/>
            <w:vAlign w:val="center"/>
            <w:hideMark/>
          </w:tcPr>
          <w:p w14:paraId="2BA7F033" w14:textId="77777777" w:rsidR="00D8132F" w:rsidRPr="00822ACE" w:rsidRDefault="00D8132F" w:rsidP="0044781D">
            <w:pPr>
              <w:spacing w:after="0" w:line="240" w:lineRule="auto"/>
              <w:jc w:val="right"/>
              <w:rPr>
                <w:rFonts w:eastAsia="Times New Roman" w:cs="Times New Roman"/>
                <w:color w:val="000000"/>
                <w:sz w:val="20"/>
                <w:szCs w:val="20"/>
                <w:lang w:eastAsia="sk-SK"/>
              </w:rPr>
            </w:pPr>
            <w:r w:rsidRPr="00822ACE">
              <w:rPr>
                <w:rFonts w:eastAsia="Times New Roman" w:cs="Times New Roman"/>
                <w:color w:val="000000"/>
                <w:sz w:val="20"/>
                <w:szCs w:val="20"/>
                <w:lang w:eastAsia="sk-SK"/>
              </w:rPr>
              <w:t>-2 642</w:t>
            </w:r>
          </w:p>
        </w:tc>
        <w:tc>
          <w:tcPr>
            <w:tcW w:w="1062" w:type="dxa"/>
            <w:tcBorders>
              <w:top w:val="nil"/>
              <w:left w:val="nil"/>
              <w:bottom w:val="nil"/>
              <w:right w:val="nil"/>
            </w:tcBorders>
            <w:shd w:val="clear" w:color="000000" w:fill="FFFFFF"/>
            <w:noWrap/>
            <w:vAlign w:val="center"/>
            <w:hideMark/>
          </w:tcPr>
          <w:p w14:paraId="64B68F32" w14:textId="77777777" w:rsidR="00D8132F" w:rsidRPr="00822ACE" w:rsidRDefault="00D8132F" w:rsidP="0044781D">
            <w:pPr>
              <w:spacing w:after="0" w:line="240" w:lineRule="auto"/>
              <w:jc w:val="right"/>
              <w:rPr>
                <w:rFonts w:eastAsia="Times New Roman" w:cs="Times New Roman"/>
                <w:color w:val="000000"/>
                <w:sz w:val="20"/>
                <w:szCs w:val="20"/>
                <w:lang w:eastAsia="sk-SK"/>
              </w:rPr>
            </w:pPr>
            <w:r w:rsidRPr="00822ACE">
              <w:rPr>
                <w:rFonts w:eastAsia="Times New Roman" w:cs="Times New Roman"/>
                <w:color w:val="000000"/>
                <w:sz w:val="20"/>
                <w:szCs w:val="20"/>
                <w:lang w:eastAsia="sk-SK"/>
              </w:rPr>
              <w:t>-617</w:t>
            </w:r>
          </w:p>
        </w:tc>
      </w:tr>
      <w:tr w:rsidR="00D8132F" w:rsidRPr="00822ACE" w14:paraId="13E7A0FF" w14:textId="77777777" w:rsidTr="00C24665">
        <w:trPr>
          <w:trHeight w:val="331"/>
        </w:trPr>
        <w:tc>
          <w:tcPr>
            <w:tcW w:w="190" w:type="dxa"/>
            <w:tcBorders>
              <w:top w:val="nil"/>
              <w:left w:val="nil"/>
              <w:bottom w:val="nil"/>
              <w:right w:val="nil"/>
            </w:tcBorders>
            <w:shd w:val="clear" w:color="000000" w:fill="FFFFFF"/>
            <w:noWrap/>
            <w:vAlign w:val="center"/>
          </w:tcPr>
          <w:p w14:paraId="7E4E232F" w14:textId="77777777" w:rsidR="00D8132F" w:rsidRPr="00822ACE" w:rsidRDefault="00D8132F" w:rsidP="00822ACE">
            <w:pPr>
              <w:spacing w:after="0" w:line="240" w:lineRule="auto"/>
              <w:jc w:val="right"/>
              <w:rPr>
                <w:rFonts w:eastAsia="Times New Roman" w:cs="Times New Roman"/>
                <w:sz w:val="20"/>
                <w:szCs w:val="20"/>
                <w:lang w:eastAsia="sk-SK"/>
              </w:rPr>
            </w:pPr>
          </w:p>
        </w:tc>
        <w:tc>
          <w:tcPr>
            <w:tcW w:w="190" w:type="dxa"/>
            <w:tcBorders>
              <w:top w:val="nil"/>
              <w:left w:val="nil"/>
              <w:bottom w:val="nil"/>
              <w:right w:val="nil"/>
            </w:tcBorders>
            <w:shd w:val="clear" w:color="000000" w:fill="FFFFFF"/>
            <w:noWrap/>
            <w:vAlign w:val="center"/>
          </w:tcPr>
          <w:p w14:paraId="16A8AF53" w14:textId="77777777" w:rsidR="00D8132F" w:rsidRPr="00822ACE" w:rsidRDefault="00D8132F" w:rsidP="00822ACE">
            <w:pPr>
              <w:spacing w:after="0" w:line="240" w:lineRule="auto"/>
              <w:jc w:val="left"/>
              <w:rPr>
                <w:rFonts w:eastAsia="Times New Roman" w:cs="Times New Roman"/>
                <w:color w:val="000000"/>
                <w:sz w:val="20"/>
                <w:szCs w:val="20"/>
                <w:lang w:eastAsia="sk-SK"/>
              </w:rPr>
            </w:pPr>
          </w:p>
        </w:tc>
        <w:tc>
          <w:tcPr>
            <w:tcW w:w="3164" w:type="dxa"/>
            <w:tcBorders>
              <w:top w:val="nil"/>
              <w:left w:val="nil"/>
              <w:bottom w:val="nil"/>
              <w:right w:val="nil"/>
            </w:tcBorders>
            <w:shd w:val="clear" w:color="000000" w:fill="FFFFFF"/>
            <w:noWrap/>
            <w:vAlign w:val="center"/>
          </w:tcPr>
          <w:p w14:paraId="605AB055" w14:textId="77777777" w:rsidR="00D8132F" w:rsidRPr="00822ACE" w:rsidRDefault="00D8132F" w:rsidP="00822ACE">
            <w:pPr>
              <w:spacing w:after="0" w:line="240" w:lineRule="auto"/>
              <w:jc w:val="left"/>
              <w:rPr>
                <w:rFonts w:eastAsia="Times New Roman" w:cs="Times New Roman"/>
                <w:sz w:val="20"/>
                <w:szCs w:val="20"/>
                <w:lang w:eastAsia="sk-SK"/>
              </w:rPr>
            </w:pPr>
          </w:p>
        </w:tc>
        <w:tc>
          <w:tcPr>
            <w:tcW w:w="1017" w:type="dxa"/>
            <w:tcBorders>
              <w:top w:val="nil"/>
              <w:left w:val="nil"/>
              <w:bottom w:val="nil"/>
              <w:right w:val="nil"/>
            </w:tcBorders>
            <w:shd w:val="clear" w:color="000000" w:fill="FFFFFF"/>
            <w:noWrap/>
            <w:vAlign w:val="center"/>
          </w:tcPr>
          <w:p w14:paraId="122B9B07" w14:textId="77777777" w:rsidR="00D8132F" w:rsidRPr="00822ACE" w:rsidRDefault="00D8132F" w:rsidP="00822ACE">
            <w:pPr>
              <w:spacing w:after="0" w:line="240" w:lineRule="auto"/>
              <w:jc w:val="right"/>
              <w:rPr>
                <w:rFonts w:eastAsia="Times New Roman" w:cs="Times New Roman"/>
                <w:color w:val="000000"/>
                <w:sz w:val="20"/>
                <w:szCs w:val="20"/>
                <w:lang w:eastAsia="sk-SK"/>
              </w:rPr>
            </w:pPr>
          </w:p>
        </w:tc>
        <w:tc>
          <w:tcPr>
            <w:tcW w:w="1114" w:type="dxa"/>
            <w:tcBorders>
              <w:top w:val="nil"/>
              <w:left w:val="nil"/>
              <w:bottom w:val="nil"/>
              <w:right w:val="nil"/>
            </w:tcBorders>
            <w:shd w:val="clear" w:color="000000" w:fill="FFFFFF"/>
            <w:noWrap/>
            <w:vAlign w:val="center"/>
          </w:tcPr>
          <w:p w14:paraId="2DE70F78" w14:textId="77777777" w:rsidR="00D8132F" w:rsidRPr="00822ACE" w:rsidRDefault="00D8132F" w:rsidP="00822ACE">
            <w:pPr>
              <w:spacing w:after="0" w:line="240" w:lineRule="auto"/>
              <w:jc w:val="right"/>
              <w:rPr>
                <w:rFonts w:eastAsia="Times New Roman" w:cs="Times New Roman"/>
                <w:color w:val="000000"/>
                <w:sz w:val="20"/>
                <w:szCs w:val="20"/>
                <w:lang w:eastAsia="sk-SK"/>
              </w:rPr>
            </w:pPr>
          </w:p>
        </w:tc>
        <w:tc>
          <w:tcPr>
            <w:tcW w:w="929" w:type="dxa"/>
            <w:tcBorders>
              <w:top w:val="nil"/>
              <w:left w:val="nil"/>
              <w:bottom w:val="nil"/>
              <w:right w:val="nil"/>
            </w:tcBorders>
            <w:shd w:val="clear" w:color="000000" w:fill="FFFFFF"/>
            <w:noWrap/>
            <w:vAlign w:val="center"/>
          </w:tcPr>
          <w:p w14:paraId="144943B7" w14:textId="77777777" w:rsidR="00D8132F" w:rsidRPr="00822ACE" w:rsidRDefault="00D8132F" w:rsidP="00822ACE">
            <w:pPr>
              <w:spacing w:after="0" w:line="240" w:lineRule="auto"/>
              <w:jc w:val="right"/>
              <w:rPr>
                <w:rFonts w:eastAsia="Times New Roman" w:cs="Times New Roman"/>
                <w:color w:val="000000"/>
                <w:sz w:val="20"/>
                <w:szCs w:val="20"/>
                <w:lang w:eastAsia="sk-SK"/>
              </w:rPr>
            </w:pPr>
          </w:p>
        </w:tc>
        <w:tc>
          <w:tcPr>
            <w:tcW w:w="1123" w:type="dxa"/>
            <w:tcBorders>
              <w:top w:val="nil"/>
              <w:left w:val="nil"/>
              <w:bottom w:val="nil"/>
              <w:right w:val="nil"/>
            </w:tcBorders>
            <w:shd w:val="clear" w:color="000000" w:fill="FFFFFF"/>
            <w:noWrap/>
            <w:vAlign w:val="center"/>
          </w:tcPr>
          <w:p w14:paraId="59B78424" w14:textId="77777777" w:rsidR="00D8132F" w:rsidRPr="00822ACE" w:rsidRDefault="00D8132F" w:rsidP="00822ACE">
            <w:pPr>
              <w:spacing w:after="0" w:line="240" w:lineRule="auto"/>
              <w:jc w:val="right"/>
              <w:rPr>
                <w:rFonts w:eastAsia="Times New Roman" w:cs="Times New Roman"/>
                <w:color w:val="000000"/>
                <w:sz w:val="20"/>
                <w:szCs w:val="20"/>
                <w:lang w:eastAsia="sk-SK"/>
              </w:rPr>
            </w:pPr>
          </w:p>
        </w:tc>
        <w:tc>
          <w:tcPr>
            <w:tcW w:w="1062" w:type="dxa"/>
            <w:tcBorders>
              <w:top w:val="nil"/>
              <w:left w:val="nil"/>
              <w:bottom w:val="nil"/>
              <w:right w:val="nil"/>
            </w:tcBorders>
            <w:shd w:val="clear" w:color="000000" w:fill="FFFFFF"/>
            <w:noWrap/>
            <w:vAlign w:val="center"/>
          </w:tcPr>
          <w:p w14:paraId="70554FE9" w14:textId="77777777" w:rsidR="00D8132F" w:rsidRPr="00822ACE" w:rsidRDefault="00D8132F" w:rsidP="00822ACE">
            <w:pPr>
              <w:spacing w:after="0" w:line="240" w:lineRule="auto"/>
              <w:jc w:val="right"/>
              <w:rPr>
                <w:rFonts w:eastAsia="Times New Roman" w:cs="Times New Roman"/>
                <w:color w:val="000000"/>
                <w:sz w:val="20"/>
                <w:szCs w:val="20"/>
                <w:lang w:eastAsia="sk-SK"/>
              </w:rPr>
            </w:pPr>
          </w:p>
        </w:tc>
      </w:tr>
      <w:tr w:rsidR="009C0447" w:rsidRPr="002536EA" w14:paraId="34819D81" w14:textId="77777777" w:rsidTr="0044781D">
        <w:trPr>
          <w:trHeight w:val="330"/>
        </w:trPr>
        <w:tc>
          <w:tcPr>
            <w:tcW w:w="8789" w:type="dxa"/>
            <w:gridSpan w:val="8"/>
            <w:tcBorders>
              <w:top w:val="nil"/>
              <w:left w:val="nil"/>
              <w:bottom w:val="single" w:sz="4" w:space="0" w:color="auto"/>
              <w:right w:val="nil"/>
            </w:tcBorders>
            <w:shd w:val="clear" w:color="000000" w:fill="000000"/>
            <w:noWrap/>
            <w:vAlign w:val="center"/>
            <w:hideMark/>
          </w:tcPr>
          <w:p w14:paraId="7F888C77" w14:textId="77777777" w:rsidR="009C0447" w:rsidRPr="002536EA" w:rsidRDefault="009C0447" w:rsidP="0044781D">
            <w:pPr>
              <w:spacing w:after="0" w:line="240" w:lineRule="auto"/>
              <w:jc w:val="left"/>
              <w:rPr>
                <w:rFonts w:eastAsia="Times New Roman" w:cs="Times New Roman"/>
                <w:b/>
                <w:bCs/>
                <w:color w:val="FFFFFF"/>
                <w:sz w:val="20"/>
                <w:szCs w:val="20"/>
                <w:lang w:eastAsia="sk-SK"/>
              </w:rPr>
            </w:pPr>
            <w:r>
              <w:br w:type="page"/>
            </w:r>
            <w:r w:rsidRPr="002536EA">
              <w:rPr>
                <w:rFonts w:eastAsia="Times New Roman" w:cs="Times New Roman"/>
                <w:b/>
                <w:bCs/>
                <w:color w:val="FFFFFF"/>
                <w:sz w:val="20"/>
                <w:szCs w:val="20"/>
                <w:lang w:eastAsia="sk-SK"/>
              </w:rPr>
              <w:t xml:space="preserve">Schodok verejnej správy podľa jednotlivých subjektov </w:t>
            </w:r>
            <w:r>
              <w:rPr>
                <w:rFonts w:eastAsia="Times New Roman" w:cs="Times New Roman"/>
                <w:b/>
                <w:bCs/>
                <w:color w:val="FFFFFF"/>
                <w:sz w:val="20"/>
                <w:szCs w:val="20"/>
                <w:lang w:eastAsia="sk-SK"/>
              </w:rPr>
              <w:t xml:space="preserve">          -  pokračovanie                         v</w:t>
            </w:r>
            <w:r w:rsidRPr="002536EA">
              <w:rPr>
                <w:rFonts w:eastAsia="Times New Roman" w:cs="Times New Roman"/>
                <w:b/>
                <w:bCs/>
                <w:color w:val="FFFFFF"/>
                <w:sz w:val="20"/>
                <w:szCs w:val="20"/>
                <w:lang w:eastAsia="sk-SK"/>
              </w:rPr>
              <w:t xml:space="preserve"> tis. eur</w:t>
            </w:r>
          </w:p>
        </w:tc>
      </w:tr>
      <w:tr w:rsidR="009C0447" w:rsidRPr="00822ACE" w14:paraId="7C70E9EE" w14:textId="77777777" w:rsidTr="0044781D">
        <w:trPr>
          <w:trHeight w:val="331"/>
        </w:trPr>
        <w:tc>
          <w:tcPr>
            <w:tcW w:w="190" w:type="dxa"/>
            <w:tcBorders>
              <w:top w:val="single" w:sz="4" w:space="0" w:color="auto"/>
              <w:left w:val="nil"/>
              <w:bottom w:val="nil"/>
              <w:right w:val="nil"/>
            </w:tcBorders>
            <w:shd w:val="clear" w:color="000000" w:fill="BFBFBF"/>
            <w:noWrap/>
            <w:vAlign w:val="center"/>
            <w:hideMark/>
          </w:tcPr>
          <w:p w14:paraId="6B842378"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90" w:type="dxa"/>
            <w:tcBorders>
              <w:top w:val="single" w:sz="4" w:space="0" w:color="auto"/>
              <w:left w:val="nil"/>
              <w:bottom w:val="nil"/>
              <w:right w:val="nil"/>
            </w:tcBorders>
            <w:shd w:val="clear" w:color="000000" w:fill="BFBFBF"/>
            <w:noWrap/>
            <w:vAlign w:val="center"/>
            <w:hideMark/>
          </w:tcPr>
          <w:p w14:paraId="4751A8FB"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3164" w:type="dxa"/>
            <w:tcBorders>
              <w:top w:val="single" w:sz="4" w:space="0" w:color="auto"/>
              <w:left w:val="nil"/>
              <w:bottom w:val="nil"/>
              <w:right w:val="nil"/>
            </w:tcBorders>
            <w:shd w:val="clear" w:color="000000" w:fill="BFBFBF"/>
            <w:noWrap/>
            <w:vAlign w:val="center"/>
            <w:hideMark/>
          </w:tcPr>
          <w:p w14:paraId="22CC7EBA"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2131" w:type="dxa"/>
            <w:gridSpan w:val="2"/>
            <w:tcBorders>
              <w:top w:val="single" w:sz="4" w:space="0" w:color="auto"/>
              <w:left w:val="nil"/>
              <w:bottom w:val="nil"/>
              <w:right w:val="nil"/>
            </w:tcBorders>
            <w:shd w:val="clear" w:color="000000" w:fill="BFBFBF"/>
            <w:noWrap/>
            <w:vAlign w:val="center"/>
            <w:hideMark/>
          </w:tcPr>
          <w:p w14:paraId="1A265B5F"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Skutočnosť</w:t>
            </w:r>
          </w:p>
        </w:tc>
        <w:tc>
          <w:tcPr>
            <w:tcW w:w="929" w:type="dxa"/>
            <w:tcBorders>
              <w:top w:val="single" w:sz="4" w:space="0" w:color="auto"/>
              <w:left w:val="nil"/>
              <w:bottom w:val="nil"/>
              <w:right w:val="nil"/>
            </w:tcBorders>
            <w:shd w:val="clear" w:color="000000" w:fill="BFBFBF"/>
            <w:noWrap/>
            <w:vAlign w:val="center"/>
            <w:hideMark/>
          </w:tcPr>
          <w:p w14:paraId="4C8C0F06"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Rozpočet</w:t>
            </w:r>
          </w:p>
        </w:tc>
        <w:tc>
          <w:tcPr>
            <w:tcW w:w="1123" w:type="dxa"/>
            <w:tcBorders>
              <w:top w:val="single" w:sz="4" w:space="0" w:color="auto"/>
              <w:left w:val="nil"/>
              <w:bottom w:val="nil"/>
              <w:right w:val="nil"/>
            </w:tcBorders>
            <w:shd w:val="clear" w:color="000000" w:fill="BFBFBF"/>
            <w:noWrap/>
            <w:vAlign w:val="center"/>
            <w:hideMark/>
          </w:tcPr>
          <w:p w14:paraId="342925E8"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Skutočnosť</w:t>
            </w:r>
          </w:p>
        </w:tc>
        <w:tc>
          <w:tcPr>
            <w:tcW w:w="1062" w:type="dxa"/>
            <w:tcBorders>
              <w:top w:val="single" w:sz="4" w:space="0" w:color="auto"/>
              <w:left w:val="nil"/>
              <w:bottom w:val="nil"/>
              <w:right w:val="nil"/>
            </w:tcBorders>
            <w:shd w:val="clear" w:color="000000" w:fill="BFBFBF"/>
            <w:noWrap/>
            <w:vAlign w:val="center"/>
            <w:hideMark/>
          </w:tcPr>
          <w:p w14:paraId="29A00F1F"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Rozdiel</w:t>
            </w:r>
          </w:p>
        </w:tc>
      </w:tr>
      <w:tr w:rsidR="009C0447" w:rsidRPr="00822ACE" w14:paraId="4C1B988D" w14:textId="77777777" w:rsidTr="009A0CAF">
        <w:trPr>
          <w:trHeight w:val="331"/>
        </w:trPr>
        <w:tc>
          <w:tcPr>
            <w:tcW w:w="190" w:type="dxa"/>
            <w:tcBorders>
              <w:top w:val="nil"/>
              <w:left w:val="nil"/>
              <w:right w:val="nil"/>
            </w:tcBorders>
            <w:shd w:val="clear" w:color="000000" w:fill="BFBFBF"/>
            <w:noWrap/>
            <w:vAlign w:val="center"/>
            <w:hideMark/>
          </w:tcPr>
          <w:p w14:paraId="12CB4F37"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90" w:type="dxa"/>
            <w:tcBorders>
              <w:top w:val="nil"/>
              <w:left w:val="nil"/>
              <w:right w:val="nil"/>
            </w:tcBorders>
            <w:shd w:val="clear" w:color="000000" w:fill="BFBFBF"/>
            <w:noWrap/>
            <w:vAlign w:val="center"/>
            <w:hideMark/>
          </w:tcPr>
          <w:p w14:paraId="1CAABF48"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3164" w:type="dxa"/>
            <w:tcBorders>
              <w:top w:val="nil"/>
              <w:left w:val="nil"/>
              <w:right w:val="nil"/>
            </w:tcBorders>
            <w:shd w:val="clear" w:color="000000" w:fill="BFBFBF"/>
            <w:noWrap/>
            <w:vAlign w:val="center"/>
            <w:hideMark/>
          </w:tcPr>
          <w:p w14:paraId="5D78FFE0"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017" w:type="dxa"/>
            <w:tcBorders>
              <w:top w:val="nil"/>
              <w:left w:val="nil"/>
              <w:right w:val="nil"/>
            </w:tcBorders>
            <w:shd w:val="clear" w:color="000000" w:fill="BFBFBF"/>
            <w:noWrap/>
            <w:vAlign w:val="center"/>
            <w:hideMark/>
          </w:tcPr>
          <w:p w14:paraId="05FD2299"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2017</w:t>
            </w:r>
          </w:p>
        </w:tc>
        <w:tc>
          <w:tcPr>
            <w:tcW w:w="1114" w:type="dxa"/>
            <w:tcBorders>
              <w:top w:val="nil"/>
              <w:left w:val="nil"/>
              <w:right w:val="nil"/>
            </w:tcBorders>
            <w:shd w:val="clear" w:color="000000" w:fill="BFBFBF"/>
            <w:noWrap/>
            <w:vAlign w:val="center"/>
            <w:hideMark/>
          </w:tcPr>
          <w:p w14:paraId="5B250279"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2018</w:t>
            </w:r>
          </w:p>
        </w:tc>
        <w:tc>
          <w:tcPr>
            <w:tcW w:w="929" w:type="dxa"/>
            <w:tcBorders>
              <w:top w:val="nil"/>
              <w:left w:val="nil"/>
              <w:right w:val="nil"/>
            </w:tcBorders>
            <w:shd w:val="clear" w:color="000000" w:fill="BFBFBF"/>
            <w:noWrap/>
            <w:vAlign w:val="center"/>
            <w:hideMark/>
          </w:tcPr>
          <w:p w14:paraId="35DCD352"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2019</w:t>
            </w:r>
          </w:p>
        </w:tc>
        <w:tc>
          <w:tcPr>
            <w:tcW w:w="1123" w:type="dxa"/>
            <w:tcBorders>
              <w:top w:val="nil"/>
              <w:left w:val="nil"/>
              <w:right w:val="nil"/>
            </w:tcBorders>
            <w:shd w:val="clear" w:color="000000" w:fill="BFBFBF"/>
            <w:noWrap/>
            <w:vAlign w:val="center"/>
            <w:hideMark/>
          </w:tcPr>
          <w:p w14:paraId="73A3B1D3"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2019</w:t>
            </w:r>
          </w:p>
        </w:tc>
        <w:tc>
          <w:tcPr>
            <w:tcW w:w="1062" w:type="dxa"/>
            <w:tcBorders>
              <w:top w:val="nil"/>
              <w:left w:val="nil"/>
              <w:right w:val="nil"/>
            </w:tcBorders>
            <w:shd w:val="clear" w:color="000000" w:fill="BFBFBF"/>
            <w:noWrap/>
            <w:vAlign w:val="center"/>
            <w:hideMark/>
          </w:tcPr>
          <w:p w14:paraId="69E9DEF7"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2019</w:t>
            </w:r>
          </w:p>
        </w:tc>
      </w:tr>
      <w:tr w:rsidR="009C0447" w:rsidRPr="00822ACE" w14:paraId="4372887C" w14:textId="77777777" w:rsidTr="009A0CAF">
        <w:trPr>
          <w:trHeight w:val="331"/>
        </w:trPr>
        <w:tc>
          <w:tcPr>
            <w:tcW w:w="190" w:type="dxa"/>
            <w:tcBorders>
              <w:top w:val="nil"/>
              <w:left w:val="nil"/>
              <w:bottom w:val="single" w:sz="4" w:space="0" w:color="auto"/>
              <w:right w:val="nil"/>
            </w:tcBorders>
            <w:shd w:val="clear" w:color="000000" w:fill="BFBFBF"/>
            <w:noWrap/>
            <w:vAlign w:val="center"/>
            <w:hideMark/>
          </w:tcPr>
          <w:p w14:paraId="59B82580"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90" w:type="dxa"/>
            <w:tcBorders>
              <w:top w:val="nil"/>
              <w:left w:val="nil"/>
              <w:bottom w:val="single" w:sz="4" w:space="0" w:color="auto"/>
              <w:right w:val="nil"/>
            </w:tcBorders>
            <w:shd w:val="clear" w:color="000000" w:fill="BFBFBF"/>
            <w:noWrap/>
            <w:vAlign w:val="center"/>
            <w:hideMark/>
          </w:tcPr>
          <w:p w14:paraId="088375E5"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3164" w:type="dxa"/>
            <w:tcBorders>
              <w:top w:val="nil"/>
              <w:left w:val="nil"/>
              <w:bottom w:val="single" w:sz="4" w:space="0" w:color="auto"/>
              <w:right w:val="nil"/>
            </w:tcBorders>
            <w:shd w:val="clear" w:color="000000" w:fill="BFBFBF"/>
            <w:noWrap/>
            <w:vAlign w:val="center"/>
            <w:hideMark/>
          </w:tcPr>
          <w:p w14:paraId="364E963A"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 </w:t>
            </w:r>
          </w:p>
        </w:tc>
        <w:tc>
          <w:tcPr>
            <w:tcW w:w="1017" w:type="dxa"/>
            <w:tcBorders>
              <w:top w:val="nil"/>
              <w:left w:val="nil"/>
              <w:bottom w:val="single" w:sz="4" w:space="0" w:color="auto"/>
              <w:right w:val="nil"/>
            </w:tcBorders>
            <w:shd w:val="clear" w:color="000000" w:fill="BFBFBF"/>
            <w:noWrap/>
            <w:vAlign w:val="center"/>
            <w:hideMark/>
          </w:tcPr>
          <w:p w14:paraId="7FE60635"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1</w:t>
            </w:r>
          </w:p>
        </w:tc>
        <w:tc>
          <w:tcPr>
            <w:tcW w:w="1114" w:type="dxa"/>
            <w:tcBorders>
              <w:top w:val="nil"/>
              <w:left w:val="nil"/>
              <w:bottom w:val="single" w:sz="4" w:space="0" w:color="auto"/>
              <w:right w:val="nil"/>
            </w:tcBorders>
            <w:shd w:val="clear" w:color="000000" w:fill="BFBFBF"/>
            <w:noWrap/>
            <w:vAlign w:val="center"/>
            <w:hideMark/>
          </w:tcPr>
          <w:p w14:paraId="368928F9"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2</w:t>
            </w:r>
          </w:p>
        </w:tc>
        <w:tc>
          <w:tcPr>
            <w:tcW w:w="929" w:type="dxa"/>
            <w:tcBorders>
              <w:top w:val="nil"/>
              <w:left w:val="nil"/>
              <w:bottom w:val="single" w:sz="4" w:space="0" w:color="auto"/>
              <w:right w:val="nil"/>
            </w:tcBorders>
            <w:shd w:val="clear" w:color="000000" w:fill="BFBFBF"/>
            <w:noWrap/>
            <w:vAlign w:val="center"/>
            <w:hideMark/>
          </w:tcPr>
          <w:p w14:paraId="46F5ACE7"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3</w:t>
            </w:r>
          </w:p>
        </w:tc>
        <w:tc>
          <w:tcPr>
            <w:tcW w:w="1123" w:type="dxa"/>
            <w:tcBorders>
              <w:top w:val="nil"/>
              <w:left w:val="nil"/>
              <w:bottom w:val="single" w:sz="4" w:space="0" w:color="auto"/>
              <w:right w:val="nil"/>
            </w:tcBorders>
            <w:shd w:val="clear" w:color="000000" w:fill="BFBFBF"/>
            <w:noWrap/>
            <w:vAlign w:val="center"/>
            <w:hideMark/>
          </w:tcPr>
          <w:p w14:paraId="59F6E897"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4</w:t>
            </w:r>
          </w:p>
        </w:tc>
        <w:tc>
          <w:tcPr>
            <w:tcW w:w="1062" w:type="dxa"/>
            <w:tcBorders>
              <w:top w:val="nil"/>
              <w:left w:val="nil"/>
              <w:bottom w:val="single" w:sz="4" w:space="0" w:color="auto"/>
              <w:right w:val="nil"/>
            </w:tcBorders>
            <w:shd w:val="clear" w:color="000000" w:fill="BFBFBF"/>
            <w:noWrap/>
            <w:vAlign w:val="center"/>
            <w:hideMark/>
          </w:tcPr>
          <w:p w14:paraId="7045DE6A" w14:textId="77777777" w:rsidR="009C0447" w:rsidRPr="00822ACE" w:rsidRDefault="009C0447" w:rsidP="0044781D">
            <w:pPr>
              <w:spacing w:after="0" w:line="240" w:lineRule="auto"/>
              <w:jc w:val="center"/>
              <w:rPr>
                <w:rFonts w:eastAsia="Times New Roman" w:cs="Times New Roman"/>
                <w:b/>
                <w:bCs/>
                <w:sz w:val="20"/>
                <w:szCs w:val="20"/>
                <w:lang w:eastAsia="sk-SK"/>
              </w:rPr>
            </w:pPr>
            <w:r w:rsidRPr="00822ACE">
              <w:rPr>
                <w:rFonts w:eastAsia="Times New Roman" w:cs="Times New Roman"/>
                <w:b/>
                <w:bCs/>
                <w:sz w:val="20"/>
                <w:szCs w:val="20"/>
                <w:lang w:eastAsia="sk-SK"/>
              </w:rPr>
              <w:t>5=4-3</w:t>
            </w:r>
          </w:p>
        </w:tc>
      </w:tr>
      <w:tr w:rsidR="00D8132F" w:rsidRPr="00822ACE" w14:paraId="1E67F9BB" w14:textId="77777777" w:rsidTr="005E1134">
        <w:trPr>
          <w:trHeight w:val="278"/>
        </w:trPr>
        <w:tc>
          <w:tcPr>
            <w:tcW w:w="190" w:type="dxa"/>
            <w:tcBorders>
              <w:top w:val="single" w:sz="4" w:space="0" w:color="auto"/>
              <w:left w:val="nil"/>
              <w:bottom w:val="nil"/>
              <w:right w:val="nil"/>
            </w:tcBorders>
            <w:shd w:val="clear" w:color="000000" w:fill="FFFFFF"/>
            <w:noWrap/>
            <w:vAlign w:val="center"/>
            <w:hideMark/>
          </w:tcPr>
          <w:p w14:paraId="0FDAFA18"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single" w:sz="4" w:space="0" w:color="auto"/>
              <w:left w:val="nil"/>
              <w:bottom w:val="nil"/>
              <w:right w:val="nil"/>
            </w:tcBorders>
            <w:shd w:val="clear" w:color="000000" w:fill="FFFFFF"/>
            <w:noWrap/>
            <w:vAlign w:val="center"/>
            <w:hideMark/>
          </w:tcPr>
          <w:p w14:paraId="5EB919C6" w14:textId="77777777" w:rsidR="00D8132F" w:rsidRPr="00822ACE" w:rsidRDefault="00D8132F" w:rsidP="0044781D">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164" w:type="dxa"/>
            <w:tcBorders>
              <w:top w:val="single" w:sz="4" w:space="0" w:color="auto"/>
              <w:left w:val="nil"/>
              <w:bottom w:val="nil"/>
              <w:right w:val="nil"/>
            </w:tcBorders>
            <w:shd w:val="clear" w:color="000000" w:fill="FFFFFF"/>
            <w:noWrap/>
            <w:vAlign w:val="center"/>
            <w:hideMark/>
          </w:tcPr>
          <w:p w14:paraId="7E1E9D76" w14:textId="77777777" w:rsidR="00D8132F" w:rsidRPr="00822ACE" w:rsidRDefault="00D8132F" w:rsidP="0044781D">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JAVYS, a.s.</w:t>
            </w:r>
          </w:p>
        </w:tc>
        <w:tc>
          <w:tcPr>
            <w:tcW w:w="1017" w:type="dxa"/>
            <w:tcBorders>
              <w:top w:val="single" w:sz="4" w:space="0" w:color="auto"/>
              <w:left w:val="nil"/>
              <w:bottom w:val="nil"/>
              <w:right w:val="nil"/>
            </w:tcBorders>
            <w:shd w:val="clear" w:color="000000" w:fill="FFFFFF"/>
            <w:noWrap/>
            <w:vAlign w:val="center"/>
            <w:hideMark/>
          </w:tcPr>
          <w:p w14:paraId="778BC494"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7 043</w:t>
            </w:r>
          </w:p>
        </w:tc>
        <w:tc>
          <w:tcPr>
            <w:tcW w:w="1114" w:type="dxa"/>
            <w:tcBorders>
              <w:top w:val="single" w:sz="4" w:space="0" w:color="auto"/>
              <w:left w:val="nil"/>
              <w:bottom w:val="nil"/>
              <w:right w:val="nil"/>
            </w:tcBorders>
            <w:shd w:val="clear" w:color="000000" w:fill="FFFFFF"/>
            <w:noWrap/>
            <w:vAlign w:val="center"/>
            <w:hideMark/>
          </w:tcPr>
          <w:p w14:paraId="480166C3"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7 324</w:t>
            </w:r>
          </w:p>
        </w:tc>
        <w:tc>
          <w:tcPr>
            <w:tcW w:w="929" w:type="dxa"/>
            <w:tcBorders>
              <w:top w:val="single" w:sz="4" w:space="0" w:color="auto"/>
              <w:left w:val="nil"/>
              <w:bottom w:val="nil"/>
              <w:right w:val="nil"/>
            </w:tcBorders>
            <w:shd w:val="clear" w:color="000000" w:fill="FFFFFF"/>
            <w:noWrap/>
            <w:vAlign w:val="center"/>
            <w:hideMark/>
          </w:tcPr>
          <w:p w14:paraId="78D0308F"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876</w:t>
            </w:r>
          </w:p>
        </w:tc>
        <w:tc>
          <w:tcPr>
            <w:tcW w:w="1123" w:type="dxa"/>
            <w:tcBorders>
              <w:top w:val="single" w:sz="4" w:space="0" w:color="auto"/>
              <w:left w:val="nil"/>
              <w:bottom w:val="nil"/>
              <w:right w:val="nil"/>
            </w:tcBorders>
            <w:shd w:val="clear" w:color="auto" w:fill="BFBFBF" w:themeFill="background1" w:themeFillShade="BF"/>
            <w:noWrap/>
            <w:vAlign w:val="center"/>
            <w:hideMark/>
          </w:tcPr>
          <w:p w14:paraId="65E3E977"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-739</w:t>
            </w:r>
          </w:p>
        </w:tc>
        <w:tc>
          <w:tcPr>
            <w:tcW w:w="1062" w:type="dxa"/>
            <w:tcBorders>
              <w:top w:val="single" w:sz="4" w:space="0" w:color="auto"/>
              <w:left w:val="nil"/>
              <w:bottom w:val="nil"/>
              <w:right w:val="nil"/>
            </w:tcBorders>
            <w:shd w:val="clear" w:color="000000" w:fill="FFFFFF"/>
            <w:noWrap/>
            <w:vAlign w:val="center"/>
            <w:hideMark/>
          </w:tcPr>
          <w:p w14:paraId="73805C75" w14:textId="77777777" w:rsidR="00D8132F" w:rsidRPr="00822ACE" w:rsidRDefault="00D8132F" w:rsidP="0044781D">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-1 615</w:t>
            </w:r>
          </w:p>
        </w:tc>
      </w:tr>
      <w:tr w:rsidR="00822ACE" w:rsidRPr="00822ACE" w14:paraId="1F78CB89" w14:textId="77777777" w:rsidTr="005E1134">
        <w:trPr>
          <w:trHeight w:val="278"/>
        </w:trPr>
        <w:tc>
          <w:tcPr>
            <w:tcW w:w="190" w:type="dxa"/>
            <w:tcBorders>
              <w:top w:val="nil"/>
              <w:left w:val="nil"/>
              <w:bottom w:val="nil"/>
              <w:right w:val="nil"/>
            </w:tcBorders>
            <w:shd w:val="clear" w:color="000000" w:fill="FFFFFF"/>
            <w:noWrap/>
            <w:vAlign w:val="center"/>
            <w:hideMark/>
          </w:tcPr>
          <w:p w14:paraId="7BA60A1A"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2BDE8015"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164" w:type="dxa"/>
            <w:tcBorders>
              <w:top w:val="nil"/>
              <w:left w:val="nil"/>
              <w:bottom w:val="nil"/>
              <w:right w:val="nil"/>
            </w:tcBorders>
            <w:shd w:val="clear" w:color="000000" w:fill="FFFFFF"/>
            <w:noWrap/>
            <w:vAlign w:val="center"/>
            <w:hideMark/>
          </w:tcPr>
          <w:p w14:paraId="11E46A31"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MH Invest II, s.r.o.</w:t>
            </w:r>
          </w:p>
        </w:tc>
        <w:tc>
          <w:tcPr>
            <w:tcW w:w="1017" w:type="dxa"/>
            <w:tcBorders>
              <w:top w:val="nil"/>
              <w:left w:val="nil"/>
              <w:bottom w:val="nil"/>
              <w:right w:val="nil"/>
            </w:tcBorders>
            <w:shd w:val="clear" w:color="000000" w:fill="FFFFFF"/>
            <w:noWrap/>
            <w:vAlign w:val="center"/>
            <w:hideMark/>
          </w:tcPr>
          <w:p w14:paraId="02CA950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23 429</w:t>
            </w:r>
          </w:p>
        </w:tc>
        <w:tc>
          <w:tcPr>
            <w:tcW w:w="1114" w:type="dxa"/>
            <w:tcBorders>
              <w:top w:val="nil"/>
              <w:left w:val="nil"/>
              <w:bottom w:val="nil"/>
              <w:right w:val="nil"/>
            </w:tcBorders>
            <w:shd w:val="clear" w:color="000000" w:fill="FFFFFF"/>
            <w:noWrap/>
            <w:vAlign w:val="center"/>
            <w:hideMark/>
          </w:tcPr>
          <w:p w14:paraId="30C2C12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-538</w:t>
            </w:r>
          </w:p>
        </w:tc>
        <w:tc>
          <w:tcPr>
            <w:tcW w:w="929" w:type="dxa"/>
            <w:tcBorders>
              <w:top w:val="nil"/>
              <w:left w:val="nil"/>
              <w:bottom w:val="nil"/>
              <w:right w:val="nil"/>
            </w:tcBorders>
            <w:shd w:val="clear" w:color="000000" w:fill="FFFFFF"/>
            <w:noWrap/>
            <w:vAlign w:val="center"/>
            <w:hideMark/>
          </w:tcPr>
          <w:p w14:paraId="3A787F5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-569</w:t>
            </w:r>
          </w:p>
        </w:tc>
        <w:tc>
          <w:tcPr>
            <w:tcW w:w="1123" w:type="dxa"/>
            <w:tcBorders>
              <w:top w:val="nil"/>
              <w:left w:val="nil"/>
              <w:bottom w:val="nil"/>
              <w:right w:val="nil"/>
            </w:tcBorders>
            <w:shd w:val="clear" w:color="auto" w:fill="BFBFBF" w:themeFill="background1" w:themeFillShade="BF"/>
            <w:noWrap/>
            <w:vAlign w:val="center"/>
            <w:hideMark/>
          </w:tcPr>
          <w:p w14:paraId="3BBAD1E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-453</w:t>
            </w:r>
          </w:p>
        </w:tc>
        <w:tc>
          <w:tcPr>
            <w:tcW w:w="1062" w:type="dxa"/>
            <w:tcBorders>
              <w:top w:val="nil"/>
              <w:left w:val="nil"/>
              <w:bottom w:val="nil"/>
              <w:right w:val="nil"/>
            </w:tcBorders>
            <w:shd w:val="clear" w:color="000000" w:fill="FFFFFF"/>
            <w:noWrap/>
            <w:vAlign w:val="center"/>
            <w:hideMark/>
          </w:tcPr>
          <w:p w14:paraId="091255F8"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116</w:t>
            </w:r>
          </w:p>
        </w:tc>
      </w:tr>
      <w:tr w:rsidR="00822ACE" w:rsidRPr="00822ACE" w14:paraId="6CF9E04C" w14:textId="77777777" w:rsidTr="005E1134">
        <w:trPr>
          <w:trHeight w:val="331"/>
        </w:trPr>
        <w:tc>
          <w:tcPr>
            <w:tcW w:w="190" w:type="dxa"/>
            <w:tcBorders>
              <w:top w:val="nil"/>
              <w:left w:val="nil"/>
              <w:bottom w:val="nil"/>
              <w:right w:val="nil"/>
            </w:tcBorders>
            <w:shd w:val="clear" w:color="000000" w:fill="FFFFFF"/>
            <w:noWrap/>
            <w:vAlign w:val="center"/>
            <w:hideMark/>
          </w:tcPr>
          <w:p w14:paraId="0B5D1E1A"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0E5874A9"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 </w:t>
            </w:r>
          </w:p>
        </w:tc>
        <w:tc>
          <w:tcPr>
            <w:tcW w:w="3164" w:type="dxa"/>
            <w:tcBorders>
              <w:top w:val="nil"/>
              <w:left w:val="nil"/>
              <w:bottom w:val="nil"/>
              <w:right w:val="nil"/>
            </w:tcBorders>
            <w:shd w:val="clear" w:color="000000" w:fill="FFFFFF"/>
            <w:noWrap/>
            <w:vAlign w:val="center"/>
            <w:hideMark/>
          </w:tcPr>
          <w:p w14:paraId="7280271F"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Železnice Slovenskej republiky</w:t>
            </w:r>
          </w:p>
        </w:tc>
        <w:tc>
          <w:tcPr>
            <w:tcW w:w="1017" w:type="dxa"/>
            <w:tcBorders>
              <w:top w:val="nil"/>
              <w:left w:val="nil"/>
              <w:bottom w:val="nil"/>
              <w:right w:val="nil"/>
            </w:tcBorders>
            <w:shd w:val="clear" w:color="000000" w:fill="FFFFFF"/>
            <w:noWrap/>
            <w:vAlign w:val="center"/>
            <w:hideMark/>
          </w:tcPr>
          <w:p w14:paraId="3969C52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-97 591</w:t>
            </w:r>
          </w:p>
        </w:tc>
        <w:tc>
          <w:tcPr>
            <w:tcW w:w="1114" w:type="dxa"/>
            <w:tcBorders>
              <w:top w:val="nil"/>
              <w:left w:val="nil"/>
              <w:bottom w:val="nil"/>
              <w:right w:val="nil"/>
            </w:tcBorders>
            <w:shd w:val="clear" w:color="000000" w:fill="FFFFFF"/>
            <w:noWrap/>
            <w:vAlign w:val="center"/>
            <w:hideMark/>
          </w:tcPr>
          <w:p w14:paraId="29BD2A6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537</w:t>
            </w:r>
          </w:p>
        </w:tc>
        <w:tc>
          <w:tcPr>
            <w:tcW w:w="929" w:type="dxa"/>
            <w:tcBorders>
              <w:top w:val="nil"/>
              <w:left w:val="nil"/>
              <w:bottom w:val="nil"/>
              <w:right w:val="nil"/>
            </w:tcBorders>
            <w:shd w:val="clear" w:color="000000" w:fill="FFFFFF"/>
            <w:noWrap/>
            <w:vAlign w:val="center"/>
            <w:hideMark/>
          </w:tcPr>
          <w:p w14:paraId="59119FD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0</w:t>
            </w:r>
          </w:p>
        </w:tc>
        <w:tc>
          <w:tcPr>
            <w:tcW w:w="1123" w:type="dxa"/>
            <w:tcBorders>
              <w:top w:val="nil"/>
              <w:left w:val="nil"/>
              <w:bottom w:val="nil"/>
              <w:right w:val="nil"/>
            </w:tcBorders>
            <w:shd w:val="clear" w:color="auto" w:fill="BFBFBF" w:themeFill="background1" w:themeFillShade="BF"/>
            <w:noWrap/>
            <w:vAlign w:val="center"/>
            <w:hideMark/>
          </w:tcPr>
          <w:p w14:paraId="142CF74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2 631</w:t>
            </w:r>
          </w:p>
        </w:tc>
        <w:tc>
          <w:tcPr>
            <w:tcW w:w="1062" w:type="dxa"/>
            <w:tcBorders>
              <w:top w:val="nil"/>
              <w:left w:val="nil"/>
              <w:bottom w:val="nil"/>
              <w:right w:val="nil"/>
            </w:tcBorders>
            <w:shd w:val="clear" w:color="000000" w:fill="FFFFFF"/>
            <w:noWrap/>
            <w:vAlign w:val="center"/>
            <w:hideMark/>
          </w:tcPr>
          <w:p w14:paraId="1C18582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2 631</w:t>
            </w:r>
          </w:p>
        </w:tc>
      </w:tr>
      <w:tr w:rsidR="00822ACE" w:rsidRPr="00822ACE" w14:paraId="2638C094" w14:textId="77777777" w:rsidTr="005E1134">
        <w:trPr>
          <w:trHeight w:val="331"/>
        </w:trPr>
        <w:tc>
          <w:tcPr>
            <w:tcW w:w="190" w:type="dxa"/>
            <w:tcBorders>
              <w:top w:val="nil"/>
              <w:left w:val="nil"/>
              <w:bottom w:val="nil"/>
              <w:right w:val="nil"/>
            </w:tcBorders>
            <w:shd w:val="clear" w:color="000000" w:fill="FFFFFF"/>
            <w:noWrap/>
            <w:vAlign w:val="center"/>
            <w:hideMark/>
          </w:tcPr>
          <w:p w14:paraId="56C8C2B8"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6EE2EA94"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 </w:t>
            </w:r>
          </w:p>
        </w:tc>
        <w:tc>
          <w:tcPr>
            <w:tcW w:w="3164" w:type="dxa"/>
            <w:tcBorders>
              <w:top w:val="nil"/>
              <w:left w:val="nil"/>
              <w:bottom w:val="nil"/>
              <w:right w:val="nil"/>
            </w:tcBorders>
            <w:shd w:val="clear" w:color="000000" w:fill="FFFFFF"/>
            <w:noWrap/>
            <w:vAlign w:val="center"/>
            <w:hideMark/>
          </w:tcPr>
          <w:p w14:paraId="124E1286"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Národná diaľničná spoločnosť, a.s.</w:t>
            </w:r>
          </w:p>
        </w:tc>
        <w:tc>
          <w:tcPr>
            <w:tcW w:w="1017" w:type="dxa"/>
            <w:tcBorders>
              <w:top w:val="nil"/>
              <w:left w:val="nil"/>
              <w:bottom w:val="nil"/>
              <w:right w:val="nil"/>
            </w:tcBorders>
            <w:shd w:val="clear" w:color="000000" w:fill="FFFFFF"/>
            <w:noWrap/>
            <w:vAlign w:val="center"/>
            <w:hideMark/>
          </w:tcPr>
          <w:p w14:paraId="582961BD"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-35 116</w:t>
            </w:r>
          </w:p>
        </w:tc>
        <w:tc>
          <w:tcPr>
            <w:tcW w:w="1114" w:type="dxa"/>
            <w:tcBorders>
              <w:top w:val="nil"/>
              <w:left w:val="nil"/>
              <w:bottom w:val="nil"/>
              <w:right w:val="nil"/>
            </w:tcBorders>
            <w:shd w:val="clear" w:color="000000" w:fill="FFFFFF"/>
            <w:noWrap/>
            <w:vAlign w:val="center"/>
            <w:hideMark/>
          </w:tcPr>
          <w:p w14:paraId="46977F4E"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9 541</w:t>
            </w:r>
          </w:p>
        </w:tc>
        <w:tc>
          <w:tcPr>
            <w:tcW w:w="929" w:type="dxa"/>
            <w:tcBorders>
              <w:top w:val="nil"/>
              <w:left w:val="nil"/>
              <w:bottom w:val="nil"/>
              <w:right w:val="nil"/>
            </w:tcBorders>
            <w:shd w:val="clear" w:color="000000" w:fill="FFFFFF"/>
            <w:noWrap/>
            <w:vAlign w:val="center"/>
            <w:hideMark/>
          </w:tcPr>
          <w:p w14:paraId="3CFB9F8A"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36 965</w:t>
            </w:r>
          </w:p>
        </w:tc>
        <w:tc>
          <w:tcPr>
            <w:tcW w:w="1123" w:type="dxa"/>
            <w:tcBorders>
              <w:top w:val="nil"/>
              <w:left w:val="nil"/>
              <w:bottom w:val="nil"/>
              <w:right w:val="nil"/>
            </w:tcBorders>
            <w:shd w:val="clear" w:color="auto" w:fill="BFBFBF" w:themeFill="background1" w:themeFillShade="BF"/>
            <w:noWrap/>
            <w:vAlign w:val="center"/>
            <w:hideMark/>
          </w:tcPr>
          <w:p w14:paraId="1C24408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7 073</w:t>
            </w:r>
          </w:p>
        </w:tc>
        <w:tc>
          <w:tcPr>
            <w:tcW w:w="1062" w:type="dxa"/>
            <w:tcBorders>
              <w:top w:val="nil"/>
              <w:left w:val="nil"/>
              <w:bottom w:val="nil"/>
              <w:right w:val="nil"/>
            </w:tcBorders>
            <w:shd w:val="clear" w:color="000000" w:fill="FFFFFF"/>
            <w:noWrap/>
            <w:vAlign w:val="center"/>
            <w:hideMark/>
          </w:tcPr>
          <w:p w14:paraId="35CD761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-29 892</w:t>
            </w:r>
          </w:p>
        </w:tc>
      </w:tr>
      <w:tr w:rsidR="00822ACE" w:rsidRPr="00822ACE" w14:paraId="0988FC48" w14:textId="77777777" w:rsidTr="005E1134">
        <w:trPr>
          <w:trHeight w:val="331"/>
        </w:trPr>
        <w:tc>
          <w:tcPr>
            <w:tcW w:w="190" w:type="dxa"/>
            <w:tcBorders>
              <w:top w:val="nil"/>
              <w:left w:val="nil"/>
              <w:bottom w:val="nil"/>
              <w:right w:val="nil"/>
            </w:tcBorders>
            <w:shd w:val="clear" w:color="000000" w:fill="FFFFFF"/>
            <w:noWrap/>
            <w:vAlign w:val="center"/>
            <w:hideMark/>
          </w:tcPr>
          <w:p w14:paraId="6A40AE47" w14:textId="7E714EC9"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4E6AC2B1"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Verejné vysoké školy</w:t>
            </w:r>
          </w:p>
        </w:tc>
        <w:tc>
          <w:tcPr>
            <w:tcW w:w="1017" w:type="dxa"/>
            <w:tcBorders>
              <w:top w:val="nil"/>
              <w:left w:val="nil"/>
              <w:bottom w:val="nil"/>
              <w:right w:val="nil"/>
            </w:tcBorders>
            <w:shd w:val="clear" w:color="000000" w:fill="FFFFFF"/>
            <w:noWrap/>
            <w:vAlign w:val="center"/>
            <w:hideMark/>
          </w:tcPr>
          <w:p w14:paraId="70BBE58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19 336</w:t>
            </w:r>
          </w:p>
        </w:tc>
        <w:tc>
          <w:tcPr>
            <w:tcW w:w="1114" w:type="dxa"/>
            <w:tcBorders>
              <w:top w:val="nil"/>
              <w:left w:val="nil"/>
              <w:bottom w:val="nil"/>
              <w:right w:val="nil"/>
            </w:tcBorders>
            <w:shd w:val="clear" w:color="000000" w:fill="FFFFFF"/>
            <w:noWrap/>
            <w:vAlign w:val="center"/>
            <w:hideMark/>
          </w:tcPr>
          <w:p w14:paraId="7361551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30 982</w:t>
            </w:r>
          </w:p>
        </w:tc>
        <w:tc>
          <w:tcPr>
            <w:tcW w:w="929" w:type="dxa"/>
            <w:tcBorders>
              <w:top w:val="nil"/>
              <w:left w:val="nil"/>
              <w:bottom w:val="nil"/>
              <w:right w:val="nil"/>
            </w:tcBorders>
            <w:shd w:val="clear" w:color="000000" w:fill="FFFFFF"/>
            <w:noWrap/>
            <w:vAlign w:val="center"/>
            <w:hideMark/>
          </w:tcPr>
          <w:p w14:paraId="780A46A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203</w:t>
            </w:r>
          </w:p>
        </w:tc>
        <w:tc>
          <w:tcPr>
            <w:tcW w:w="1123" w:type="dxa"/>
            <w:tcBorders>
              <w:top w:val="nil"/>
              <w:left w:val="nil"/>
              <w:bottom w:val="nil"/>
              <w:right w:val="nil"/>
            </w:tcBorders>
            <w:shd w:val="clear" w:color="auto" w:fill="BFBFBF" w:themeFill="background1" w:themeFillShade="BF"/>
            <w:noWrap/>
            <w:vAlign w:val="center"/>
            <w:hideMark/>
          </w:tcPr>
          <w:p w14:paraId="3D45FCF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-3 237</w:t>
            </w:r>
          </w:p>
        </w:tc>
        <w:tc>
          <w:tcPr>
            <w:tcW w:w="1062" w:type="dxa"/>
            <w:tcBorders>
              <w:top w:val="nil"/>
              <w:left w:val="nil"/>
              <w:bottom w:val="nil"/>
              <w:right w:val="nil"/>
            </w:tcBorders>
            <w:shd w:val="clear" w:color="000000" w:fill="FFFFFF"/>
            <w:noWrap/>
            <w:vAlign w:val="center"/>
            <w:hideMark/>
          </w:tcPr>
          <w:p w14:paraId="410575E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-3 440</w:t>
            </w:r>
          </w:p>
        </w:tc>
      </w:tr>
      <w:tr w:rsidR="00822ACE" w:rsidRPr="00822ACE" w14:paraId="719316ED" w14:textId="77777777" w:rsidTr="005E1134">
        <w:trPr>
          <w:trHeight w:val="256"/>
        </w:trPr>
        <w:tc>
          <w:tcPr>
            <w:tcW w:w="190" w:type="dxa"/>
            <w:tcBorders>
              <w:top w:val="nil"/>
              <w:left w:val="nil"/>
              <w:bottom w:val="nil"/>
              <w:right w:val="nil"/>
            </w:tcBorders>
            <w:shd w:val="clear" w:color="000000" w:fill="FFFFFF"/>
            <w:noWrap/>
            <w:vAlign w:val="center"/>
            <w:hideMark/>
          </w:tcPr>
          <w:p w14:paraId="6743161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13B2880F"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Zdravotnícke zariadenia ústrednej správy</w:t>
            </w:r>
          </w:p>
        </w:tc>
        <w:tc>
          <w:tcPr>
            <w:tcW w:w="1017" w:type="dxa"/>
            <w:tcBorders>
              <w:top w:val="nil"/>
              <w:left w:val="nil"/>
              <w:bottom w:val="nil"/>
              <w:right w:val="nil"/>
            </w:tcBorders>
            <w:shd w:val="clear" w:color="000000" w:fill="FFFFFF"/>
            <w:noWrap/>
            <w:vAlign w:val="center"/>
            <w:hideMark/>
          </w:tcPr>
          <w:p w14:paraId="431A60E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-92 591</w:t>
            </w:r>
          </w:p>
        </w:tc>
        <w:tc>
          <w:tcPr>
            <w:tcW w:w="1114" w:type="dxa"/>
            <w:tcBorders>
              <w:top w:val="nil"/>
              <w:left w:val="nil"/>
              <w:bottom w:val="nil"/>
              <w:right w:val="nil"/>
            </w:tcBorders>
            <w:shd w:val="clear" w:color="000000" w:fill="FFFFFF"/>
            <w:noWrap/>
            <w:vAlign w:val="center"/>
            <w:hideMark/>
          </w:tcPr>
          <w:p w14:paraId="6604FD6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219 797</w:t>
            </w:r>
          </w:p>
        </w:tc>
        <w:tc>
          <w:tcPr>
            <w:tcW w:w="929" w:type="dxa"/>
            <w:tcBorders>
              <w:top w:val="nil"/>
              <w:left w:val="nil"/>
              <w:bottom w:val="nil"/>
              <w:right w:val="nil"/>
            </w:tcBorders>
            <w:shd w:val="clear" w:color="000000" w:fill="FFFFFF"/>
            <w:noWrap/>
            <w:vAlign w:val="center"/>
            <w:hideMark/>
          </w:tcPr>
          <w:p w14:paraId="687B013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-671</w:t>
            </w:r>
          </w:p>
        </w:tc>
        <w:tc>
          <w:tcPr>
            <w:tcW w:w="1123" w:type="dxa"/>
            <w:tcBorders>
              <w:top w:val="nil"/>
              <w:left w:val="nil"/>
              <w:bottom w:val="nil"/>
              <w:right w:val="nil"/>
            </w:tcBorders>
            <w:shd w:val="clear" w:color="auto" w:fill="BFBFBF" w:themeFill="background1" w:themeFillShade="BF"/>
            <w:noWrap/>
            <w:vAlign w:val="center"/>
            <w:hideMark/>
          </w:tcPr>
          <w:p w14:paraId="51EA3A73"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-56 272</w:t>
            </w:r>
          </w:p>
        </w:tc>
        <w:tc>
          <w:tcPr>
            <w:tcW w:w="1062" w:type="dxa"/>
            <w:tcBorders>
              <w:top w:val="nil"/>
              <w:left w:val="nil"/>
              <w:bottom w:val="nil"/>
              <w:right w:val="nil"/>
            </w:tcBorders>
            <w:shd w:val="clear" w:color="000000" w:fill="FFFFFF"/>
            <w:noWrap/>
            <w:vAlign w:val="center"/>
            <w:hideMark/>
          </w:tcPr>
          <w:p w14:paraId="21D132B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-55 601</w:t>
            </w:r>
          </w:p>
        </w:tc>
      </w:tr>
      <w:tr w:rsidR="00822ACE" w:rsidRPr="00822ACE" w14:paraId="2F357357" w14:textId="77777777" w:rsidTr="005E1134">
        <w:trPr>
          <w:trHeight w:val="331"/>
        </w:trPr>
        <w:tc>
          <w:tcPr>
            <w:tcW w:w="190" w:type="dxa"/>
            <w:tcBorders>
              <w:top w:val="nil"/>
              <w:left w:val="nil"/>
              <w:bottom w:val="nil"/>
              <w:right w:val="nil"/>
            </w:tcBorders>
            <w:shd w:val="clear" w:color="000000" w:fill="FFFFFF"/>
            <w:noWrap/>
            <w:vAlign w:val="center"/>
            <w:hideMark/>
          </w:tcPr>
          <w:p w14:paraId="32E385B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5D8ECFC5"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Ostatné subjekty ústrednej správy</w:t>
            </w:r>
          </w:p>
        </w:tc>
        <w:tc>
          <w:tcPr>
            <w:tcW w:w="1017" w:type="dxa"/>
            <w:tcBorders>
              <w:top w:val="nil"/>
              <w:left w:val="nil"/>
              <w:bottom w:val="nil"/>
              <w:right w:val="nil"/>
            </w:tcBorders>
            <w:shd w:val="clear" w:color="000000" w:fill="FFFFFF"/>
            <w:noWrap/>
            <w:vAlign w:val="center"/>
            <w:hideMark/>
          </w:tcPr>
          <w:p w14:paraId="4AC59B2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66 047</w:t>
            </w:r>
          </w:p>
        </w:tc>
        <w:tc>
          <w:tcPr>
            <w:tcW w:w="1114" w:type="dxa"/>
            <w:tcBorders>
              <w:top w:val="nil"/>
              <w:left w:val="nil"/>
              <w:bottom w:val="nil"/>
              <w:right w:val="nil"/>
            </w:tcBorders>
            <w:shd w:val="clear" w:color="000000" w:fill="FFFFFF"/>
            <w:noWrap/>
            <w:vAlign w:val="center"/>
            <w:hideMark/>
          </w:tcPr>
          <w:p w14:paraId="19DEC253"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91 276</w:t>
            </w:r>
          </w:p>
        </w:tc>
        <w:tc>
          <w:tcPr>
            <w:tcW w:w="929" w:type="dxa"/>
            <w:tcBorders>
              <w:top w:val="nil"/>
              <w:left w:val="nil"/>
              <w:bottom w:val="nil"/>
              <w:right w:val="nil"/>
            </w:tcBorders>
            <w:shd w:val="clear" w:color="000000" w:fill="FFFFFF"/>
            <w:noWrap/>
            <w:vAlign w:val="center"/>
            <w:hideMark/>
          </w:tcPr>
          <w:p w14:paraId="11D1ADBE"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73 533</w:t>
            </w:r>
          </w:p>
        </w:tc>
        <w:tc>
          <w:tcPr>
            <w:tcW w:w="1123" w:type="dxa"/>
            <w:tcBorders>
              <w:top w:val="nil"/>
              <w:left w:val="nil"/>
              <w:bottom w:val="nil"/>
              <w:right w:val="nil"/>
            </w:tcBorders>
            <w:shd w:val="clear" w:color="auto" w:fill="BFBFBF" w:themeFill="background1" w:themeFillShade="BF"/>
            <w:noWrap/>
            <w:vAlign w:val="center"/>
            <w:hideMark/>
          </w:tcPr>
          <w:p w14:paraId="3402FF5B"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190 077</w:t>
            </w:r>
          </w:p>
        </w:tc>
        <w:tc>
          <w:tcPr>
            <w:tcW w:w="1062" w:type="dxa"/>
            <w:tcBorders>
              <w:top w:val="nil"/>
              <w:left w:val="nil"/>
              <w:bottom w:val="nil"/>
              <w:right w:val="nil"/>
            </w:tcBorders>
            <w:shd w:val="clear" w:color="000000" w:fill="FFFFFF"/>
            <w:noWrap/>
            <w:vAlign w:val="center"/>
            <w:hideMark/>
          </w:tcPr>
          <w:p w14:paraId="720B1BC6"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116 544</w:t>
            </w:r>
          </w:p>
        </w:tc>
      </w:tr>
      <w:tr w:rsidR="00822ACE" w:rsidRPr="00822ACE" w14:paraId="3A094559" w14:textId="77777777" w:rsidTr="005E1134">
        <w:trPr>
          <w:trHeight w:val="331"/>
        </w:trPr>
        <w:tc>
          <w:tcPr>
            <w:tcW w:w="3544" w:type="dxa"/>
            <w:gridSpan w:val="3"/>
            <w:tcBorders>
              <w:top w:val="nil"/>
              <w:left w:val="nil"/>
              <w:bottom w:val="nil"/>
              <w:right w:val="nil"/>
            </w:tcBorders>
            <w:shd w:val="clear" w:color="000000" w:fill="FFFFFF"/>
            <w:noWrap/>
            <w:vAlign w:val="center"/>
            <w:hideMark/>
          </w:tcPr>
          <w:p w14:paraId="3096A68D"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Územná samospráva, z toho</w:t>
            </w:r>
          </w:p>
        </w:tc>
        <w:tc>
          <w:tcPr>
            <w:tcW w:w="1017" w:type="dxa"/>
            <w:tcBorders>
              <w:top w:val="nil"/>
              <w:left w:val="nil"/>
              <w:bottom w:val="nil"/>
              <w:right w:val="nil"/>
            </w:tcBorders>
            <w:shd w:val="clear" w:color="000000" w:fill="FFFFFF"/>
            <w:noWrap/>
            <w:vAlign w:val="center"/>
            <w:hideMark/>
          </w:tcPr>
          <w:p w14:paraId="1E802FD0"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114" w:type="dxa"/>
            <w:tcBorders>
              <w:top w:val="nil"/>
              <w:left w:val="nil"/>
              <w:bottom w:val="nil"/>
              <w:right w:val="nil"/>
            </w:tcBorders>
            <w:shd w:val="clear" w:color="000000" w:fill="FFFFFF"/>
            <w:noWrap/>
            <w:vAlign w:val="center"/>
            <w:hideMark/>
          </w:tcPr>
          <w:p w14:paraId="36B70811"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929" w:type="dxa"/>
            <w:tcBorders>
              <w:top w:val="nil"/>
              <w:left w:val="nil"/>
              <w:bottom w:val="nil"/>
              <w:right w:val="nil"/>
            </w:tcBorders>
            <w:shd w:val="clear" w:color="000000" w:fill="FFFFFF"/>
            <w:noWrap/>
            <w:vAlign w:val="center"/>
            <w:hideMark/>
          </w:tcPr>
          <w:p w14:paraId="26BD5549"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123" w:type="dxa"/>
            <w:tcBorders>
              <w:top w:val="nil"/>
              <w:left w:val="nil"/>
              <w:bottom w:val="nil"/>
              <w:right w:val="nil"/>
            </w:tcBorders>
            <w:shd w:val="clear" w:color="auto" w:fill="BFBFBF" w:themeFill="background1" w:themeFillShade="BF"/>
            <w:noWrap/>
            <w:vAlign w:val="center"/>
            <w:hideMark/>
          </w:tcPr>
          <w:p w14:paraId="487D9495"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062" w:type="dxa"/>
            <w:tcBorders>
              <w:top w:val="nil"/>
              <w:left w:val="nil"/>
              <w:bottom w:val="nil"/>
              <w:right w:val="nil"/>
            </w:tcBorders>
            <w:shd w:val="clear" w:color="000000" w:fill="FFFFFF"/>
            <w:noWrap/>
            <w:vAlign w:val="center"/>
            <w:hideMark/>
          </w:tcPr>
          <w:p w14:paraId="14B9E169"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r>
      <w:tr w:rsidR="00822ACE" w:rsidRPr="00822ACE" w14:paraId="577D35B4" w14:textId="77777777" w:rsidTr="005E1134">
        <w:trPr>
          <w:trHeight w:val="331"/>
        </w:trPr>
        <w:tc>
          <w:tcPr>
            <w:tcW w:w="190" w:type="dxa"/>
            <w:tcBorders>
              <w:top w:val="nil"/>
              <w:left w:val="nil"/>
              <w:bottom w:val="nil"/>
              <w:right w:val="nil"/>
            </w:tcBorders>
            <w:shd w:val="clear" w:color="000000" w:fill="FFFFFF"/>
            <w:noWrap/>
            <w:vAlign w:val="center"/>
            <w:hideMark/>
          </w:tcPr>
          <w:p w14:paraId="10B636C2"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395F78A2"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Obce</w:t>
            </w:r>
            <w:r w:rsidRPr="00822ACE">
              <w:rPr>
                <w:rFonts w:eastAsia="Times New Roman" w:cs="Times New Roman"/>
                <w:sz w:val="20"/>
                <w:szCs w:val="20"/>
                <w:vertAlign w:val="superscript"/>
                <w:lang w:eastAsia="sk-SK"/>
              </w:rPr>
              <w:t xml:space="preserve"> </w:t>
            </w:r>
            <w:r w:rsidRPr="00822ACE">
              <w:rPr>
                <w:rFonts w:eastAsia="Times New Roman" w:cs="Times New Roman"/>
                <w:sz w:val="20"/>
                <w:szCs w:val="20"/>
                <w:lang w:eastAsia="sk-SK"/>
              </w:rPr>
              <w:t>a ich rozpočtové organizácie</w:t>
            </w:r>
          </w:p>
        </w:tc>
        <w:tc>
          <w:tcPr>
            <w:tcW w:w="1017" w:type="dxa"/>
            <w:tcBorders>
              <w:top w:val="nil"/>
              <w:left w:val="nil"/>
              <w:bottom w:val="nil"/>
              <w:right w:val="nil"/>
            </w:tcBorders>
            <w:shd w:val="clear" w:color="000000" w:fill="FFFFFF"/>
            <w:noWrap/>
            <w:vAlign w:val="center"/>
            <w:hideMark/>
          </w:tcPr>
          <w:p w14:paraId="1EA3B59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-15 130</w:t>
            </w:r>
          </w:p>
        </w:tc>
        <w:tc>
          <w:tcPr>
            <w:tcW w:w="1114" w:type="dxa"/>
            <w:tcBorders>
              <w:top w:val="nil"/>
              <w:left w:val="nil"/>
              <w:bottom w:val="nil"/>
              <w:right w:val="nil"/>
            </w:tcBorders>
            <w:shd w:val="clear" w:color="000000" w:fill="FFFFFF"/>
            <w:noWrap/>
            <w:vAlign w:val="center"/>
            <w:hideMark/>
          </w:tcPr>
          <w:p w14:paraId="097B554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-29 323</w:t>
            </w:r>
          </w:p>
        </w:tc>
        <w:tc>
          <w:tcPr>
            <w:tcW w:w="929" w:type="dxa"/>
            <w:tcBorders>
              <w:top w:val="nil"/>
              <w:left w:val="nil"/>
              <w:bottom w:val="nil"/>
              <w:right w:val="nil"/>
            </w:tcBorders>
            <w:shd w:val="clear" w:color="000000" w:fill="FFFFFF"/>
            <w:noWrap/>
            <w:vAlign w:val="center"/>
            <w:hideMark/>
          </w:tcPr>
          <w:p w14:paraId="5B834754"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234 484</w:t>
            </w:r>
          </w:p>
        </w:tc>
        <w:tc>
          <w:tcPr>
            <w:tcW w:w="1123" w:type="dxa"/>
            <w:tcBorders>
              <w:top w:val="nil"/>
              <w:left w:val="nil"/>
              <w:bottom w:val="nil"/>
              <w:right w:val="nil"/>
            </w:tcBorders>
            <w:shd w:val="clear" w:color="auto" w:fill="BFBFBF" w:themeFill="background1" w:themeFillShade="BF"/>
            <w:noWrap/>
            <w:vAlign w:val="center"/>
            <w:hideMark/>
          </w:tcPr>
          <w:p w14:paraId="565446BE"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55 868</w:t>
            </w:r>
          </w:p>
        </w:tc>
        <w:tc>
          <w:tcPr>
            <w:tcW w:w="1062" w:type="dxa"/>
            <w:tcBorders>
              <w:top w:val="nil"/>
              <w:left w:val="nil"/>
              <w:bottom w:val="nil"/>
              <w:right w:val="nil"/>
            </w:tcBorders>
            <w:shd w:val="clear" w:color="000000" w:fill="FFFFFF"/>
            <w:noWrap/>
            <w:vAlign w:val="center"/>
            <w:hideMark/>
          </w:tcPr>
          <w:p w14:paraId="7A2AD01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-178 616</w:t>
            </w:r>
          </w:p>
        </w:tc>
      </w:tr>
      <w:tr w:rsidR="00822ACE" w:rsidRPr="00822ACE" w14:paraId="548C8673" w14:textId="77777777" w:rsidTr="005E1134">
        <w:trPr>
          <w:trHeight w:val="331"/>
        </w:trPr>
        <w:tc>
          <w:tcPr>
            <w:tcW w:w="190" w:type="dxa"/>
            <w:tcBorders>
              <w:top w:val="nil"/>
              <w:left w:val="nil"/>
              <w:bottom w:val="nil"/>
              <w:right w:val="nil"/>
            </w:tcBorders>
            <w:shd w:val="clear" w:color="000000" w:fill="FFFFFF"/>
            <w:noWrap/>
            <w:vAlign w:val="center"/>
            <w:hideMark/>
          </w:tcPr>
          <w:p w14:paraId="79821B45"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0F5D20F4"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Vyššie územné celky a ich rozpočtové organizácie</w:t>
            </w:r>
          </w:p>
        </w:tc>
        <w:tc>
          <w:tcPr>
            <w:tcW w:w="1017" w:type="dxa"/>
            <w:tcBorders>
              <w:top w:val="nil"/>
              <w:left w:val="nil"/>
              <w:bottom w:val="nil"/>
              <w:right w:val="nil"/>
            </w:tcBorders>
            <w:shd w:val="clear" w:color="000000" w:fill="FFFFFF"/>
            <w:noWrap/>
            <w:vAlign w:val="center"/>
            <w:hideMark/>
          </w:tcPr>
          <w:p w14:paraId="02C5DFED"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-16 489</w:t>
            </w:r>
          </w:p>
        </w:tc>
        <w:tc>
          <w:tcPr>
            <w:tcW w:w="1114" w:type="dxa"/>
            <w:tcBorders>
              <w:top w:val="nil"/>
              <w:left w:val="nil"/>
              <w:bottom w:val="nil"/>
              <w:right w:val="nil"/>
            </w:tcBorders>
            <w:shd w:val="clear" w:color="000000" w:fill="FFFFFF"/>
            <w:noWrap/>
            <w:vAlign w:val="center"/>
            <w:hideMark/>
          </w:tcPr>
          <w:p w14:paraId="7C2C2BC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102 822</w:t>
            </w:r>
          </w:p>
        </w:tc>
        <w:tc>
          <w:tcPr>
            <w:tcW w:w="929" w:type="dxa"/>
            <w:tcBorders>
              <w:top w:val="nil"/>
              <w:left w:val="nil"/>
              <w:bottom w:val="nil"/>
              <w:right w:val="nil"/>
            </w:tcBorders>
            <w:shd w:val="clear" w:color="000000" w:fill="FFFFFF"/>
            <w:noWrap/>
            <w:vAlign w:val="center"/>
            <w:hideMark/>
          </w:tcPr>
          <w:p w14:paraId="4599A48E"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122 093</w:t>
            </w:r>
          </w:p>
        </w:tc>
        <w:tc>
          <w:tcPr>
            <w:tcW w:w="1123" w:type="dxa"/>
            <w:tcBorders>
              <w:top w:val="nil"/>
              <w:left w:val="nil"/>
              <w:bottom w:val="nil"/>
              <w:right w:val="nil"/>
            </w:tcBorders>
            <w:shd w:val="clear" w:color="auto" w:fill="BFBFBF" w:themeFill="background1" w:themeFillShade="BF"/>
            <w:noWrap/>
            <w:vAlign w:val="center"/>
            <w:hideMark/>
          </w:tcPr>
          <w:p w14:paraId="324AABD6"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45 582</w:t>
            </w:r>
          </w:p>
        </w:tc>
        <w:tc>
          <w:tcPr>
            <w:tcW w:w="1062" w:type="dxa"/>
            <w:tcBorders>
              <w:top w:val="nil"/>
              <w:left w:val="nil"/>
              <w:bottom w:val="nil"/>
              <w:right w:val="nil"/>
            </w:tcBorders>
            <w:shd w:val="clear" w:color="000000" w:fill="FFFFFF"/>
            <w:noWrap/>
            <w:vAlign w:val="center"/>
            <w:hideMark/>
          </w:tcPr>
          <w:p w14:paraId="75AEF8D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-76 511</w:t>
            </w:r>
          </w:p>
        </w:tc>
      </w:tr>
      <w:tr w:rsidR="00822ACE" w:rsidRPr="00822ACE" w14:paraId="7B0A5443" w14:textId="77777777" w:rsidTr="005E1134">
        <w:trPr>
          <w:trHeight w:val="331"/>
        </w:trPr>
        <w:tc>
          <w:tcPr>
            <w:tcW w:w="190" w:type="dxa"/>
            <w:tcBorders>
              <w:top w:val="nil"/>
              <w:left w:val="nil"/>
              <w:bottom w:val="nil"/>
              <w:right w:val="nil"/>
            </w:tcBorders>
            <w:shd w:val="clear" w:color="000000" w:fill="FFFFFF"/>
            <w:noWrap/>
            <w:vAlign w:val="center"/>
            <w:hideMark/>
          </w:tcPr>
          <w:p w14:paraId="2E0ED4DA"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0A087854"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Príspevkové organizácie obcí</w:t>
            </w:r>
          </w:p>
        </w:tc>
        <w:tc>
          <w:tcPr>
            <w:tcW w:w="1017" w:type="dxa"/>
            <w:tcBorders>
              <w:top w:val="nil"/>
              <w:left w:val="nil"/>
              <w:bottom w:val="nil"/>
              <w:right w:val="nil"/>
            </w:tcBorders>
            <w:shd w:val="clear" w:color="000000" w:fill="FFFFFF"/>
            <w:noWrap/>
            <w:vAlign w:val="center"/>
            <w:hideMark/>
          </w:tcPr>
          <w:p w14:paraId="01FCECC9"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7 642</w:t>
            </w:r>
          </w:p>
        </w:tc>
        <w:tc>
          <w:tcPr>
            <w:tcW w:w="1114" w:type="dxa"/>
            <w:tcBorders>
              <w:top w:val="nil"/>
              <w:left w:val="nil"/>
              <w:bottom w:val="nil"/>
              <w:right w:val="nil"/>
            </w:tcBorders>
            <w:shd w:val="clear" w:color="000000" w:fill="FFFFFF"/>
            <w:noWrap/>
            <w:vAlign w:val="center"/>
            <w:hideMark/>
          </w:tcPr>
          <w:p w14:paraId="5F148C5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5 482</w:t>
            </w:r>
          </w:p>
        </w:tc>
        <w:tc>
          <w:tcPr>
            <w:tcW w:w="929" w:type="dxa"/>
            <w:tcBorders>
              <w:top w:val="nil"/>
              <w:left w:val="nil"/>
              <w:bottom w:val="nil"/>
              <w:right w:val="nil"/>
            </w:tcBorders>
            <w:shd w:val="clear" w:color="000000" w:fill="FFFFFF"/>
            <w:noWrap/>
            <w:vAlign w:val="center"/>
            <w:hideMark/>
          </w:tcPr>
          <w:p w14:paraId="3258139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2 260</w:t>
            </w:r>
          </w:p>
        </w:tc>
        <w:tc>
          <w:tcPr>
            <w:tcW w:w="1123" w:type="dxa"/>
            <w:tcBorders>
              <w:top w:val="nil"/>
              <w:left w:val="nil"/>
              <w:bottom w:val="nil"/>
              <w:right w:val="nil"/>
            </w:tcBorders>
            <w:shd w:val="clear" w:color="auto" w:fill="BFBFBF" w:themeFill="background1" w:themeFillShade="BF"/>
            <w:noWrap/>
            <w:vAlign w:val="center"/>
            <w:hideMark/>
          </w:tcPr>
          <w:p w14:paraId="77F349C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1 491</w:t>
            </w:r>
          </w:p>
        </w:tc>
        <w:tc>
          <w:tcPr>
            <w:tcW w:w="1062" w:type="dxa"/>
            <w:tcBorders>
              <w:top w:val="nil"/>
              <w:left w:val="nil"/>
              <w:bottom w:val="nil"/>
              <w:right w:val="nil"/>
            </w:tcBorders>
            <w:shd w:val="clear" w:color="000000" w:fill="FFFFFF"/>
            <w:noWrap/>
            <w:vAlign w:val="center"/>
            <w:hideMark/>
          </w:tcPr>
          <w:p w14:paraId="4B619E7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-769</w:t>
            </w:r>
          </w:p>
        </w:tc>
      </w:tr>
      <w:tr w:rsidR="00822ACE" w:rsidRPr="00822ACE" w14:paraId="5D200001" w14:textId="77777777" w:rsidTr="005E1134">
        <w:trPr>
          <w:trHeight w:val="331"/>
        </w:trPr>
        <w:tc>
          <w:tcPr>
            <w:tcW w:w="190" w:type="dxa"/>
            <w:tcBorders>
              <w:top w:val="nil"/>
              <w:left w:val="nil"/>
              <w:bottom w:val="nil"/>
              <w:right w:val="nil"/>
            </w:tcBorders>
            <w:shd w:val="clear" w:color="000000" w:fill="FFFFFF"/>
            <w:noWrap/>
            <w:vAlign w:val="center"/>
            <w:hideMark/>
          </w:tcPr>
          <w:p w14:paraId="564F7E48"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42AC7862"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Príspevkové organizácie VÚC</w:t>
            </w:r>
          </w:p>
        </w:tc>
        <w:tc>
          <w:tcPr>
            <w:tcW w:w="1017" w:type="dxa"/>
            <w:tcBorders>
              <w:top w:val="nil"/>
              <w:left w:val="nil"/>
              <w:bottom w:val="nil"/>
              <w:right w:val="nil"/>
            </w:tcBorders>
            <w:shd w:val="clear" w:color="000000" w:fill="FFFFFF"/>
            <w:noWrap/>
            <w:vAlign w:val="center"/>
            <w:hideMark/>
          </w:tcPr>
          <w:p w14:paraId="6D93147A"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-549</w:t>
            </w:r>
          </w:p>
        </w:tc>
        <w:tc>
          <w:tcPr>
            <w:tcW w:w="1114" w:type="dxa"/>
            <w:tcBorders>
              <w:top w:val="nil"/>
              <w:left w:val="nil"/>
              <w:bottom w:val="nil"/>
              <w:right w:val="nil"/>
            </w:tcBorders>
            <w:shd w:val="clear" w:color="000000" w:fill="FFFFFF"/>
            <w:noWrap/>
            <w:vAlign w:val="center"/>
            <w:hideMark/>
          </w:tcPr>
          <w:p w14:paraId="3E857419"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2 630</w:t>
            </w:r>
          </w:p>
        </w:tc>
        <w:tc>
          <w:tcPr>
            <w:tcW w:w="929" w:type="dxa"/>
            <w:tcBorders>
              <w:top w:val="nil"/>
              <w:left w:val="nil"/>
              <w:bottom w:val="nil"/>
              <w:right w:val="nil"/>
            </w:tcBorders>
            <w:shd w:val="clear" w:color="000000" w:fill="FFFFFF"/>
            <w:noWrap/>
            <w:vAlign w:val="center"/>
            <w:hideMark/>
          </w:tcPr>
          <w:p w14:paraId="20C3AC9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2 150</w:t>
            </w:r>
          </w:p>
        </w:tc>
        <w:tc>
          <w:tcPr>
            <w:tcW w:w="1123" w:type="dxa"/>
            <w:tcBorders>
              <w:top w:val="nil"/>
              <w:left w:val="nil"/>
              <w:bottom w:val="nil"/>
              <w:right w:val="nil"/>
            </w:tcBorders>
            <w:shd w:val="clear" w:color="auto" w:fill="BFBFBF" w:themeFill="background1" w:themeFillShade="BF"/>
            <w:noWrap/>
            <w:vAlign w:val="center"/>
            <w:hideMark/>
          </w:tcPr>
          <w:p w14:paraId="0DC0D79A"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1 546</w:t>
            </w:r>
          </w:p>
        </w:tc>
        <w:tc>
          <w:tcPr>
            <w:tcW w:w="1062" w:type="dxa"/>
            <w:tcBorders>
              <w:top w:val="nil"/>
              <w:left w:val="nil"/>
              <w:bottom w:val="nil"/>
              <w:right w:val="nil"/>
            </w:tcBorders>
            <w:shd w:val="clear" w:color="000000" w:fill="FFFFFF"/>
            <w:noWrap/>
            <w:vAlign w:val="center"/>
            <w:hideMark/>
          </w:tcPr>
          <w:p w14:paraId="3A1BF20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-604</w:t>
            </w:r>
          </w:p>
        </w:tc>
      </w:tr>
      <w:tr w:rsidR="00822ACE" w:rsidRPr="00822ACE" w14:paraId="5666264B" w14:textId="77777777" w:rsidTr="005E1134">
        <w:trPr>
          <w:trHeight w:val="331"/>
        </w:trPr>
        <w:tc>
          <w:tcPr>
            <w:tcW w:w="190" w:type="dxa"/>
            <w:tcBorders>
              <w:top w:val="nil"/>
              <w:left w:val="nil"/>
              <w:bottom w:val="nil"/>
              <w:right w:val="nil"/>
            </w:tcBorders>
            <w:shd w:val="clear" w:color="000000" w:fill="FFFFFF"/>
            <w:noWrap/>
            <w:vAlign w:val="center"/>
            <w:hideMark/>
          </w:tcPr>
          <w:p w14:paraId="2FAD18EE"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1EA231E3"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Dopravné podniky</w:t>
            </w:r>
          </w:p>
        </w:tc>
        <w:tc>
          <w:tcPr>
            <w:tcW w:w="1017" w:type="dxa"/>
            <w:tcBorders>
              <w:top w:val="nil"/>
              <w:left w:val="nil"/>
              <w:bottom w:val="nil"/>
              <w:right w:val="nil"/>
            </w:tcBorders>
            <w:shd w:val="clear" w:color="000000" w:fill="FFFFFF"/>
            <w:noWrap/>
            <w:vAlign w:val="center"/>
            <w:hideMark/>
          </w:tcPr>
          <w:p w14:paraId="4F60999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8 505</w:t>
            </w:r>
          </w:p>
        </w:tc>
        <w:tc>
          <w:tcPr>
            <w:tcW w:w="1114" w:type="dxa"/>
            <w:tcBorders>
              <w:top w:val="nil"/>
              <w:left w:val="nil"/>
              <w:bottom w:val="nil"/>
              <w:right w:val="nil"/>
            </w:tcBorders>
            <w:shd w:val="clear" w:color="000000" w:fill="FFFFFF"/>
            <w:noWrap/>
            <w:vAlign w:val="center"/>
            <w:hideMark/>
          </w:tcPr>
          <w:p w14:paraId="47F23F87"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10 990</w:t>
            </w:r>
          </w:p>
        </w:tc>
        <w:tc>
          <w:tcPr>
            <w:tcW w:w="929" w:type="dxa"/>
            <w:tcBorders>
              <w:top w:val="nil"/>
              <w:left w:val="nil"/>
              <w:bottom w:val="nil"/>
              <w:right w:val="nil"/>
            </w:tcBorders>
            <w:shd w:val="clear" w:color="000000" w:fill="FFFFFF"/>
            <w:noWrap/>
            <w:vAlign w:val="center"/>
            <w:hideMark/>
          </w:tcPr>
          <w:p w14:paraId="337C04E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11 833</w:t>
            </w:r>
          </w:p>
        </w:tc>
        <w:tc>
          <w:tcPr>
            <w:tcW w:w="1123" w:type="dxa"/>
            <w:tcBorders>
              <w:top w:val="nil"/>
              <w:left w:val="nil"/>
              <w:bottom w:val="nil"/>
              <w:right w:val="nil"/>
            </w:tcBorders>
            <w:shd w:val="clear" w:color="auto" w:fill="BFBFBF" w:themeFill="background1" w:themeFillShade="BF"/>
            <w:noWrap/>
            <w:vAlign w:val="center"/>
            <w:hideMark/>
          </w:tcPr>
          <w:p w14:paraId="37D59446"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22 019</w:t>
            </w:r>
          </w:p>
        </w:tc>
        <w:tc>
          <w:tcPr>
            <w:tcW w:w="1062" w:type="dxa"/>
            <w:tcBorders>
              <w:top w:val="nil"/>
              <w:left w:val="nil"/>
              <w:bottom w:val="nil"/>
              <w:right w:val="nil"/>
            </w:tcBorders>
            <w:shd w:val="clear" w:color="000000" w:fill="FFFFFF"/>
            <w:noWrap/>
            <w:vAlign w:val="center"/>
            <w:hideMark/>
          </w:tcPr>
          <w:p w14:paraId="17A6004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10 186</w:t>
            </w:r>
          </w:p>
        </w:tc>
      </w:tr>
      <w:tr w:rsidR="00822ACE" w:rsidRPr="00822ACE" w14:paraId="5EE93384" w14:textId="77777777" w:rsidTr="005E1134">
        <w:trPr>
          <w:trHeight w:val="331"/>
        </w:trPr>
        <w:tc>
          <w:tcPr>
            <w:tcW w:w="190" w:type="dxa"/>
            <w:tcBorders>
              <w:top w:val="nil"/>
              <w:left w:val="nil"/>
              <w:bottom w:val="nil"/>
              <w:right w:val="nil"/>
            </w:tcBorders>
            <w:shd w:val="clear" w:color="000000" w:fill="FFFFFF"/>
            <w:noWrap/>
            <w:vAlign w:val="center"/>
            <w:hideMark/>
          </w:tcPr>
          <w:p w14:paraId="27D7FE6A"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2447E2F4"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Zdravotnícke zariadenia miestnej samosprávy</w:t>
            </w:r>
          </w:p>
        </w:tc>
        <w:tc>
          <w:tcPr>
            <w:tcW w:w="1017" w:type="dxa"/>
            <w:tcBorders>
              <w:top w:val="nil"/>
              <w:left w:val="nil"/>
              <w:bottom w:val="nil"/>
              <w:right w:val="nil"/>
            </w:tcBorders>
            <w:shd w:val="clear" w:color="000000" w:fill="FFFFFF"/>
            <w:noWrap/>
            <w:vAlign w:val="center"/>
            <w:hideMark/>
          </w:tcPr>
          <w:p w14:paraId="74DA783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-7 805</w:t>
            </w:r>
          </w:p>
        </w:tc>
        <w:tc>
          <w:tcPr>
            <w:tcW w:w="1114" w:type="dxa"/>
            <w:tcBorders>
              <w:top w:val="nil"/>
              <w:left w:val="nil"/>
              <w:bottom w:val="nil"/>
              <w:right w:val="nil"/>
            </w:tcBorders>
            <w:shd w:val="clear" w:color="000000" w:fill="FFFFFF"/>
            <w:noWrap/>
            <w:vAlign w:val="center"/>
            <w:hideMark/>
          </w:tcPr>
          <w:p w14:paraId="7C41C99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46 990</w:t>
            </w:r>
          </w:p>
        </w:tc>
        <w:tc>
          <w:tcPr>
            <w:tcW w:w="929" w:type="dxa"/>
            <w:tcBorders>
              <w:top w:val="nil"/>
              <w:left w:val="nil"/>
              <w:bottom w:val="nil"/>
              <w:right w:val="nil"/>
            </w:tcBorders>
            <w:shd w:val="clear" w:color="000000" w:fill="FFFFFF"/>
            <w:noWrap/>
            <w:vAlign w:val="center"/>
            <w:hideMark/>
          </w:tcPr>
          <w:p w14:paraId="02DE8A89"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-31</w:t>
            </w:r>
          </w:p>
        </w:tc>
        <w:tc>
          <w:tcPr>
            <w:tcW w:w="1123" w:type="dxa"/>
            <w:tcBorders>
              <w:top w:val="nil"/>
              <w:left w:val="nil"/>
              <w:bottom w:val="nil"/>
              <w:right w:val="nil"/>
            </w:tcBorders>
            <w:shd w:val="clear" w:color="auto" w:fill="BFBFBF" w:themeFill="background1" w:themeFillShade="BF"/>
            <w:noWrap/>
            <w:vAlign w:val="center"/>
            <w:hideMark/>
          </w:tcPr>
          <w:p w14:paraId="2E75489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-6 667</w:t>
            </w:r>
          </w:p>
        </w:tc>
        <w:tc>
          <w:tcPr>
            <w:tcW w:w="1062" w:type="dxa"/>
            <w:tcBorders>
              <w:top w:val="nil"/>
              <w:left w:val="nil"/>
              <w:bottom w:val="nil"/>
              <w:right w:val="nil"/>
            </w:tcBorders>
            <w:shd w:val="clear" w:color="000000" w:fill="FFFFFF"/>
            <w:noWrap/>
            <w:vAlign w:val="center"/>
            <w:hideMark/>
          </w:tcPr>
          <w:p w14:paraId="646DAF4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-6 636</w:t>
            </w:r>
          </w:p>
        </w:tc>
      </w:tr>
      <w:tr w:rsidR="00822ACE" w:rsidRPr="00822ACE" w14:paraId="1B063EAE" w14:textId="77777777" w:rsidTr="005E1134">
        <w:trPr>
          <w:trHeight w:val="331"/>
        </w:trPr>
        <w:tc>
          <w:tcPr>
            <w:tcW w:w="190" w:type="dxa"/>
            <w:tcBorders>
              <w:top w:val="nil"/>
              <w:left w:val="nil"/>
              <w:bottom w:val="nil"/>
              <w:right w:val="nil"/>
            </w:tcBorders>
            <w:shd w:val="clear" w:color="000000" w:fill="FFFFFF"/>
            <w:noWrap/>
            <w:vAlign w:val="center"/>
            <w:hideMark/>
          </w:tcPr>
          <w:p w14:paraId="336A462A" w14:textId="77777777" w:rsidR="00822ACE" w:rsidRPr="00822ACE" w:rsidRDefault="00822ACE" w:rsidP="00822ACE">
            <w:pPr>
              <w:spacing w:after="0" w:line="240" w:lineRule="auto"/>
              <w:jc w:val="left"/>
              <w:rPr>
                <w:rFonts w:eastAsia="Times New Roman" w:cs="Times New Roman"/>
                <w:color w:val="000000"/>
                <w:sz w:val="20"/>
                <w:szCs w:val="20"/>
                <w:lang w:eastAsia="sk-SK"/>
              </w:rPr>
            </w:pPr>
            <w:r w:rsidRPr="00822ACE">
              <w:rPr>
                <w:rFonts w:eastAsia="Times New Roman" w:cs="Times New Roman"/>
                <w:color w:val="000000"/>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0F1292BA"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Ostatné subjekty miestnej samosprávy</w:t>
            </w:r>
          </w:p>
        </w:tc>
        <w:tc>
          <w:tcPr>
            <w:tcW w:w="1017" w:type="dxa"/>
            <w:tcBorders>
              <w:top w:val="nil"/>
              <w:left w:val="nil"/>
              <w:bottom w:val="nil"/>
              <w:right w:val="nil"/>
            </w:tcBorders>
            <w:shd w:val="clear" w:color="000000" w:fill="FFFFFF"/>
            <w:noWrap/>
            <w:vAlign w:val="center"/>
            <w:hideMark/>
          </w:tcPr>
          <w:p w14:paraId="56939866"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3 981</w:t>
            </w:r>
          </w:p>
        </w:tc>
        <w:tc>
          <w:tcPr>
            <w:tcW w:w="1114" w:type="dxa"/>
            <w:tcBorders>
              <w:top w:val="nil"/>
              <w:left w:val="nil"/>
              <w:bottom w:val="nil"/>
              <w:right w:val="nil"/>
            </w:tcBorders>
            <w:shd w:val="clear" w:color="000000" w:fill="FFFFFF"/>
            <w:noWrap/>
            <w:vAlign w:val="center"/>
            <w:hideMark/>
          </w:tcPr>
          <w:p w14:paraId="774A6F0C"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-4 357</w:t>
            </w:r>
          </w:p>
        </w:tc>
        <w:tc>
          <w:tcPr>
            <w:tcW w:w="929" w:type="dxa"/>
            <w:tcBorders>
              <w:top w:val="nil"/>
              <w:left w:val="nil"/>
              <w:bottom w:val="nil"/>
              <w:right w:val="nil"/>
            </w:tcBorders>
            <w:shd w:val="clear" w:color="000000" w:fill="FFFFFF"/>
            <w:noWrap/>
            <w:vAlign w:val="center"/>
            <w:hideMark/>
          </w:tcPr>
          <w:p w14:paraId="7D931212"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0</w:t>
            </w:r>
          </w:p>
        </w:tc>
        <w:tc>
          <w:tcPr>
            <w:tcW w:w="1123" w:type="dxa"/>
            <w:tcBorders>
              <w:top w:val="nil"/>
              <w:left w:val="nil"/>
              <w:bottom w:val="nil"/>
              <w:right w:val="nil"/>
            </w:tcBorders>
            <w:shd w:val="clear" w:color="auto" w:fill="BFBFBF" w:themeFill="background1" w:themeFillShade="BF"/>
            <w:noWrap/>
            <w:vAlign w:val="center"/>
            <w:hideMark/>
          </w:tcPr>
          <w:p w14:paraId="0E294057" w14:textId="45189315" w:rsidR="00822ACE" w:rsidRPr="00822ACE" w:rsidRDefault="00281281"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-4 357</w:t>
            </w:r>
          </w:p>
        </w:tc>
        <w:tc>
          <w:tcPr>
            <w:tcW w:w="1062" w:type="dxa"/>
            <w:tcBorders>
              <w:top w:val="nil"/>
              <w:left w:val="nil"/>
              <w:bottom w:val="nil"/>
              <w:right w:val="nil"/>
            </w:tcBorders>
            <w:shd w:val="clear" w:color="000000" w:fill="FFFFFF"/>
            <w:noWrap/>
            <w:vAlign w:val="center"/>
            <w:hideMark/>
          </w:tcPr>
          <w:p w14:paraId="5F961090" w14:textId="628C5067" w:rsidR="00822ACE" w:rsidRPr="00822ACE" w:rsidRDefault="00281281"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-4 357</w:t>
            </w:r>
          </w:p>
        </w:tc>
      </w:tr>
      <w:tr w:rsidR="00822ACE" w:rsidRPr="00822ACE" w14:paraId="5E8F0A11" w14:textId="77777777" w:rsidTr="005E1134">
        <w:trPr>
          <w:trHeight w:val="331"/>
        </w:trPr>
        <w:tc>
          <w:tcPr>
            <w:tcW w:w="3544" w:type="dxa"/>
            <w:gridSpan w:val="3"/>
            <w:tcBorders>
              <w:top w:val="nil"/>
              <w:left w:val="nil"/>
              <w:bottom w:val="nil"/>
              <w:right w:val="nil"/>
            </w:tcBorders>
            <w:shd w:val="clear" w:color="000000" w:fill="FFFFFF"/>
            <w:noWrap/>
            <w:vAlign w:val="center"/>
            <w:hideMark/>
          </w:tcPr>
          <w:p w14:paraId="599F4EEF"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Fondy sociálneho zabezpečenia</w:t>
            </w:r>
          </w:p>
        </w:tc>
        <w:tc>
          <w:tcPr>
            <w:tcW w:w="1017" w:type="dxa"/>
            <w:tcBorders>
              <w:top w:val="nil"/>
              <w:left w:val="nil"/>
              <w:bottom w:val="nil"/>
              <w:right w:val="nil"/>
            </w:tcBorders>
            <w:shd w:val="clear" w:color="000000" w:fill="FFFFFF"/>
            <w:noWrap/>
            <w:vAlign w:val="center"/>
            <w:hideMark/>
          </w:tcPr>
          <w:p w14:paraId="4FA409BB"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114" w:type="dxa"/>
            <w:tcBorders>
              <w:top w:val="nil"/>
              <w:left w:val="nil"/>
              <w:bottom w:val="nil"/>
              <w:right w:val="nil"/>
            </w:tcBorders>
            <w:shd w:val="clear" w:color="000000" w:fill="FFFFFF"/>
            <w:noWrap/>
            <w:vAlign w:val="center"/>
            <w:hideMark/>
          </w:tcPr>
          <w:p w14:paraId="63161BC8"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929" w:type="dxa"/>
            <w:tcBorders>
              <w:top w:val="nil"/>
              <w:left w:val="nil"/>
              <w:bottom w:val="nil"/>
              <w:right w:val="nil"/>
            </w:tcBorders>
            <w:shd w:val="clear" w:color="000000" w:fill="FFFFFF"/>
            <w:noWrap/>
            <w:vAlign w:val="center"/>
            <w:hideMark/>
          </w:tcPr>
          <w:p w14:paraId="6234A11E"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123" w:type="dxa"/>
            <w:tcBorders>
              <w:top w:val="nil"/>
              <w:left w:val="nil"/>
              <w:bottom w:val="nil"/>
              <w:right w:val="nil"/>
            </w:tcBorders>
            <w:shd w:val="clear" w:color="auto" w:fill="BFBFBF" w:themeFill="background1" w:themeFillShade="BF"/>
            <w:noWrap/>
            <w:vAlign w:val="center"/>
            <w:hideMark/>
          </w:tcPr>
          <w:p w14:paraId="1815F775"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c>
          <w:tcPr>
            <w:tcW w:w="1062" w:type="dxa"/>
            <w:tcBorders>
              <w:top w:val="nil"/>
              <w:left w:val="nil"/>
              <w:bottom w:val="nil"/>
              <w:right w:val="nil"/>
            </w:tcBorders>
            <w:shd w:val="clear" w:color="000000" w:fill="FFFFFF"/>
            <w:noWrap/>
            <w:vAlign w:val="center"/>
            <w:hideMark/>
          </w:tcPr>
          <w:p w14:paraId="1DC30B23" w14:textId="77777777" w:rsidR="00822ACE" w:rsidRPr="00822ACE" w:rsidRDefault="00822ACE" w:rsidP="00822ACE">
            <w:pPr>
              <w:spacing w:after="0" w:line="240" w:lineRule="auto"/>
              <w:jc w:val="left"/>
              <w:rPr>
                <w:rFonts w:eastAsia="Times New Roman" w:cs="Times New Roman"/>
                <w:b/>
                <w:bCs/>
                <w:color w:val="000000"/>
                <w:sz w:val="20"/>
                <w:szCs w:val="20"/>
                <w:lang w:eastAsia="sk-SK"/>
              </w:rPr>
            </w:pPr>
            <w:r w:rsidRPr="00822ACE">
              <w:rPr>
                <w:rFonts w:eastAsia="Times New Roman" w:cs="Times New Roman"/>
                <w:b/>
                <w:bCs/>
                <w:color w:val="000000"/>
                <w:sz w:val="20"/>
                <w:szCs w:val="20"/>
                <w:lang w:eastAsia="sk-SK"/>
              </w:rPr>
              <w:t> </w:t>
            </w:r>
          </w:p>
        </w:tc>
      </w:tr>
      <w:tr w:rsidR="00822ACE" w:rsidRPr="00822ACE" w14:paraId="62F4D11E" w14:textId="77777777" w:rsidTr="005E1134">
        <w:trPr>
          <w:trHeight w:val="331"/>
        </w:trPr>
        <w:tc>
          <w:tcPr>
            <w:tcW w:w="190" w:type="dxa"/>
            <w:tcBorders>
              <w:top w:val="nil"/>
              <w:left w:val="nil"/>
              <w:bottom w:val="nil"/>
              <w:right w:val="nil"/>
            </w:tcBorders>
            <w:shd w:val="clear" w:color="000000" w:fill="FFFFFF"/>
            <w:noWrap/>
            <w:vAlign w:val="center"/>
            <w:hideMark/>
          </w:tcPr>
          <w:p w14:paraId="30820B8A"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nil"/>
              <w:right w:val="nil"/>
            </w:tcBorders>
            <w:shd w:val="clear" w:color="000000" w:fill="FFFFFF"/>
            <w:noWrap/>
            <w:vAlign w:val="center"/>
            <w:hideMark/>
          </w:tcPr>
          <w:p w14:paraId="08016D0D"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Sociálna poisťovňa</w:t>
            </w:r>
          </w:p>
        </w:tc>
        <w:tc>
          <w:tcPr>
            <w:tcW w:w="1017" w:type="dxa"/>
            <w:tcBorders>
              <w:top w:val="nil"/>
              <w:left w:val="nil"/>
              <w:bottom w:val="nil"/>
              <w:right w:val="nil"/>
            </w:tcBorders>
            <w:shd w:val="clear" w:color="000000" w:fill="FFFFFF"/>
            <w:noWrap/>
            <w:vAlign w:val="center"/>
            <w:hideMark/>
          </w:tcPr>
          <w:p w14:paraId="39C13CE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139 926</w:t>
            </w:r>
          </w:p>
        </w:tc>
        <w:tc>
          <w:tcPr>
            <w:tcW w:w="1114" w:type="dxa"/>
            <w:tcBorders>
              <w:top w:val="nil"/>
              <w:left w:val="nil"/>
              <w:bottom w:val="nil"/>
              <w:right w:val="nil"/>
            </w:tcBorders>
            <w:shd w:val="clear" w:color="000000" w:fill="FFFFFF"/>
            <w:noWrap/>
            <w:vAlign w:val="center"/>
            <w:hideMark/>
          </w:tcPr>
          <w:p w14:paraId="45493D3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27 888</w:t>
            </w:r>
          </w:p>
        </w:tc>
        <w:tc>
          <w:tcPr>
            <w:tcW w:w="929" w:type="dxa"/>
            <w:tcBorders>
              <w:top w:val="nil"/>
              <w:left w:val="nil"/>
              <w:bottom w:val="nil"/>
              <w:right w:val="nil"/>
            </w:tcBorders>
            <w:shd w:val="clear" w:color="000000" w:fill="FFFFFF"/>
            <w:noWrap/>
            <w:vAlign w:val="center"/>
            <w:hideMark/>
          </w:tcPr>
          <w:p w14:paraId="25BE004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64 878</w:t>
            </w:r>
          </w:p>
        </w:tc>
        <w:tc>
          <w:tcPr>
            <w:tcW w:w="1123" w:type="dxa"/>
            <w:tcBorders>
              <w:top w:val="nil"/>
              <w:left w:val="nil"/>
              <w:bottom w:val="nil"/>
              <w:right w:val="nil"/>
            </w:tcBorders>
            <w:shd w:val="clear" w:color="auto" w:fill="BFBFBF" w:themeFill="background1" w:themeFillShade="BF"/>
            <w:noWrap/>
            <w:vAlign w:val="center"/>
            <w:hideMark/>
          </w:tcPr>
          <w:p w14:paraId="051E9950"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76 751</w:t>
            </w:r>
          </w:p>
        </w:tc>
        <w:tc>
          <w:tcPr>
            <w:tcW w:w="1062" w:type="dxa"/>
            <w:tcBorders>
              <w:top w:val="nil"/>
              <w:left w:val="nil"/>
              <w:bottom w:val="nil"/>
              <w:right w:val="nil"/>
            </w:tcBorders>
            <w:shd w:val="clear" w:color="000000" w:fill="FFFFFF"/>
            <w:noWrap/>
            <w:vAlign w:val="center"/>
            <w:hideMark/>
          </w:tcPr>
          <w:p w14:paraId="01EC57E6"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11 873</w:t>
            </w:r>
          </w:p>
        </w:tc>
      </w:tr>
      <w:tr w:rsidR="00822ACE" w:rsidRPr="00822ACE" w14:paraId="1FB7C2D8" w14:textId="77777777" w:rsidTr="005E1134">
        <w:trPr>
          <w:trHeight w:val="331"/>
        </w:trPr>
        <w:tc>
          <w:tcPr>
            <w:tcW w:w="190" w:type="dxa"/>
            <w:tcBorders>
              <w:top w:val="nil"/>
              <w:left w:val="nil"/>
              <w:bottom w:val="single" w:sz="4" w:space="0" w:color="auto"/>
              <w:right w:val="nil"/>
            </w:tcBorders>
            <w:shd w:val="clear" w:color="000000" w:fill="FFFFFF"/>
            <w:noWrap/>
            <w:vAlign w:val="center"/>
            <w:hideMark/>
          </w:tcPr>
          <w:p w14:paraId="65075F70"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 </w:t>
            </w:r>
          </w:p>
        </w:tc>
        <w:tc>
          <w:tcPr>
            <w:tcW w:w="3354" w:type="dxa"/>
            <w:gridSpan w:val="2"/>
            <w:tcBorders>
              <w:top w:val="nil"/>
              <w:left w:val="nil"/>
              <w:bottom w:val="single" w:sz="4" w:space="0" w:color="auto"/>
              <w:right w:val="nil"/>
            </w:tcBorders>
            <w:shd w:val="clear" w:color="000000" w:fill="FFFFFF"/>
            <w:noWrap/>
            <w:vAlign w:val="center"/>
            <w:hideMark/>
          </w:tcPr>
          <w:p w14:paraId="66E53FF9" w14:textId="77777777" w:rsidR="00822ACE" w:rsidRPr="00822ACE" w:rsidRDefault="00822ACE" w:rsidP="00822ACE">
            <w:pPr>
              <w:spacing w:after="0" w:line="240" w:lineRule="auto"/>
              <w:jc w:val="left"/>
              <w:rPr>
                <w:rFonts w:eastAsia="Times New Roman" w:cs="Times New Roman"/>
                <w:sz w:val="20"/>
                <w:szCs w:val="20"/>
                <w:lang w:eastAsia="sk-SK"/>
              </w:rPr>
            </w:pPr>
            <w:r w:rsidRPr="00822ACE">
              <w:rPr>
                <w:rFonts w:eastAsia="Times New Roman" w:cs="Times New Roman"/>
                <w:sz w:val="20"/>
                <w:szCs w:val="20"/>
                <w:lang w:eastAsia="sk-SK"/>
              </w:rPr>
              <w:t>Verejné zdravotné poistenie</w:t>
            </w:r>
          </w:p>
        </w:tc>
        <w:tc>
          <w:tcPr>
            <w:tcW w:w="1017" w:type="dxa"/>
            <w:tcBorders>
              <w:top w:val="nil"/>
              <w:left w:val="nil"/>
              <w:bottom w:val="single" w:sz="4" w:space="0" w:color="auto"/>
              <w:right w:val="nil"/>
            </w:tcBorders>
            <w:shd w:val="clear" w:color="000000" w:fill="FFFFFF"/>
            <w:noWrap/>
            <w:vAlign w:val="center"/>
            <w:hideMark/>
          </w:tcPr>
          <w:p w14:paraId="03D4301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165 776</w:t>
            </w:r>
          </w:p>
        </w:tc>
        <w:tc>
          <w:tcPr>
            <w:tcW w:w="1114" w:type="dxa"/>
            <w:tcBorders>
              <w:top w:val="nil"/>
              <w:left w:val="nil"/>
              <w:bottom w:val="single" w:sz="4" w:space="0" w:color="auto"/>
              <w:right w:val="nil"/>
            </w:tcBorders>
            <w:shd w:val="clear" w:color="000000" w:fill="FFFFFF"/>
            <w:noWrap/>
            <w:vAlign w:val="center"/>
            <w:hideMark/>
          </w:tcPr>
          <w:p w14:paraId="7E44B24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11 152</w:t>
            </w:r>
          </w:p>
        </w:tc>
        <w:tc>
          <w:tcPr>
            <w:tcW w:w="929" w:type="dxa"/>
            <w:tcBorders>
              <w:top w:val="nil"/>
              <w:left w:val="nil"/>
              <w:bottom w:val="single" w:sz="4" w:space="0" w:color="auto"/>
              <w:right w:val="nil"/>
            </w:tcBorders>
            <w:shd w:val="clear" w:color="000000" w:fill="FFFFFF"/>
            <w:noWrap/>
            <w:vAlign w:val="center"/>
            <w:hideMark/>
          </w:tcPr>
          <w:p w14:paraId="2C7806D1"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135 048</w:t>
            </w:r>
          </w:p>
        </w:tc>
        <w:tc>
          <w:tcPr>
            <w:tcW w:w="1123" w:type="dxa"/>
            <w:tcBorders>
              <w:top w:val="nil"/>
              <w:left w:val="nil"/>
              <w:bottom w:val="single" w:sz="4" w:space="0" w:color="auto"/>
              <w:right w:val="nil"/>
            </w:tcBorders>
            <w:shd w:val="clear" w:color="auto" w:fill="BFBFBF" w:themeFill="background1" w:themeFillShade="BF"/>
            <w:noWrap/>
            <w:vAlign w:val="center"/>
            <w:hideMark/>
          </w:tcPr>
          <w:p w14:paraId="13AA3C3F"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120 195</w:t>
            </w:r>
          </w:p>
        </w:tc>
        <w:tc>
          <w:tcPr>
            <w:tcW w:w="1062" w:type="dxa"/>
            <w:tcBorders>
              <w:top w:val="nil"/>
              <w:left w:val="nil"/>
              <w:bottom w:val="single" w:sz="4" w:space="0" w:color="auto"/>
              <w:right w:val="nil"/>
            </w:tcBorders>
            <w:shd w:val="clear" w:color="000000" w:fill="FFFFFF"/>
            <w:noWrap/>
            <w:vAlign w:val="center"/>
            <w:hideMark/>
          </w:tcPr>
          <w:p w14:paraId="04D5F8D5" w14:textId="77777777" w:rsidR="00822ACE" w:rsidRPr="00822ACE" w:rsidRDefault="00822ACE" w:rsidP="00822ACE">
            <w:pPr>
              <w:spacing w:after="0" w:line="240" w:lineRule="auto"/>
              <w:jc w:val="right"/>
              <w:rPr>
                <w:rFonts w:eastAsia="Times New Roman" w:cs="Times New Roman"/>
                <w:sz w:val="20"/>
                <w:szCs w:val="20"/>
                <w:lang w:eastAsia="sk-SK"/>
              </w:rPr>
            </w:pPr>
            <w:r w:rsidRPr="00822ACE">
              <w:rPr>
                <w:rFonts w:eastAsia="Times New Roman" w:cs="Times New Roman"/>
                <w:sz w:val="20"/>
                <w:szCs w:val="20"/>
                <w:lang w:eastAsia="sk-SK"/>
              </w:rPr>
              <w:t>-14 853</w:t>
            </w:r>
          </w:p>
        </w:tc>
      </w:tr>
      <w:tr w:rsidR="00822ACE" w:rsidRPr="00822ACE" w14:paraId="0FBBD612" w14:textId="77777777" w:rsidTr="005E1134">
        <w:trPr>
          <w:trHeight w:val="331"/>
        </w:trPr>
        <w:tc>
          <w:tcPr>
            <w:tcW w:w="3544" w:type="dxa"/>
            <w:gridSpan w:val="3"/>
            <w:tcBorders>
              <w:top w:val="single" w:sz="4" w:space="0" w:color="auto"/>
              <w:left w:val="nil"/>
              <w:bottom w:val="single" w:sz="4" w:space="0" w:color="auto"/>
              <w:right w:val="nil"/>
            </w:tcBorders>
            <w:shd w:val="clear" w:color="000000" w:fill="FFFFFF"/>
            <w:noWrap/>
            <w:vAlign w:val="center"/>
            <w:hideMark/>
          </w:tcPr>
          <w:p w14:paraId="67BAAC89" w14:textId="77777777" w:rsidR="00822ACE" w:rsidRPr="00822ACE" w:rsidRDefault="00822ACE" w:rsidP="00822ACE">
            <w:pPr>
              <w:spacing w:after="0" w:line="240" w:lineRule="auto"/>
              <w:jc w:val="left"/>
              <w:rPr>
                <w:rFonts w:eastAsia="Times New Roman" w:cs="Times New Roman"/>
                <w:b/>
                <w:bCs/>
                <w:sz w:val="20"/>
                <w:szCs w:val="20"/>
                <w:lang w:eastAsia="sk-SK"/>
              </w:rPr>
            </w:pPr>
            <w:r w:rsidRPr="00822ACE">
              <w:rPr>
                <w:rFonts w:eastAsia="Times New Roman" w:cs="Times New Roman"/>
                <w:b/>
                <w:bCs/>
                <w:sz w:val="20"/>
                <w:szCs w:val="20"/>
                <w:lang w:eastAsia="sk-SK"/>
              </w:rPr>
              <w:t>Schodok verejnej správy spolu</w:t>
            </w:r>
          </w:p>
        </w:tc>
        <w:tc>
          <w:tcPr>
            <w:tcW w:w="1017" w:type="dxa"/>
            <w:tcBorders>
              <w:top w:val="single" w:sz="4" w:space="0" w:color="auto"/>
              <w:left w:val="nil"/>
              <w:bottom w:val="single" w:sz="4" w:space="0" w:color="auto"/>
              <w:right w:val="nil"/>
            </w:tcBorders>
            <w:shd w:val="clear" w:color="000000" w:fill="FFFFFF"/>
            <w:noWrap/>
            <w:vAlign w:val="center"/>
            <w:hideMark/>
          </w:tcPr>
          <w:p w14:paraId="7F79FC53"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-804 961</w:t>
            </w:r>
          </w:p>
        </w:tc>
        <w:tc>
          <w:tcPr>
            <w:tcW w:w="1114" w:type="dxa"/>
            <w:tcBorders>
              <w:top w:val="single" w:sz="4" w:space="0" w:color="auto"/>
              <w:left w:val="nil"/>
              <w:bottom w:val="single" w:sz="4" w:space="0" w:color="auto"/>
              <w:right w:val="nil"/>
            </w:tcBorders>
            <w:shd w:val="clear" w:color="000000" w:fill="FFFFFF"/>
            <w:noWrap/>
            <w:vAlign w:val="center"/>
            <w:hideMark/>
          </w:tcPr>
          <w:p w14:paraId="05D20653" w14:textId="005A7C1E" w:rsidR="00822ACE" w:rsidRPr="00822ACE" w:rsidRDefault="00141A5D" w:rsidP="00141A5D">
            <w:pPr>
              <w:spacing w:after="0" w:line="240" w:lineRule="auto"/>
              <w:jc w:val="right"/>
              <w:rPr>
                <w:rFonts w:eastAsia="Times New Roman" w:cs="Times New Roman"/>
                <w:b/>
                <w:bCs/>
                <w:sz w:val="20"/>
                <w:szCs w:val="20"/>
                <w:lang w:eastAsia="sk-SK"/>
              </w:rPr>
            </w:pPr>
            <w:r>
              <w:rPr>
                <w:b/>
                <w:bCs/>
                <w:sz w:val="20"/>
                <w:szCs w:val="20"/>
              </w:rPr>
              <w:t>-940 628</w:t>
            </w:r>
          </w:p>
        </w:tc>
        <w:tc>
          <w:tcPr>
            <w:tcW w:w="929" w:type="dxa"/>
            <w:tcBorders>
              <w:top w:val="single" w:sz="4" w:space="0" w:color="auto"/>
              <w:left w:val="nil"/>
              <w:bottom w:val="single" w:sz="4" w:space="0" w:color="auto"/>
              <w:right w:val="nil"/>
            </w:tcBorders>
            <w:shd w:val="clear" w:color="000000" w:fill="FFFFFF"/>
            <w:noWrap/>
            <w:vAlign w:val="center"/>
            <w:hideMark/>
          </w:tcPr>
          <w:p w14:paraId="65494F87"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0</w:t>
            </w:r>
          </w:p>
        </w:tc>
        <w:tc>
          <w:tcPr>
            <w:tcW w:w="1123" w:type="dxa"/>
            <w:tcBorders>
              <w:top w:val="single" w:sz="4" w:space="0" w:color="auto"/>
              <w:left w:val="nil"/>
              <w:bottom w:val="single" w:sz="4" w:space="0" w:color="auto"/>
              <w:right w:val="nil"/>
            </w:tcBorders>
            <w:shd w:val="clear" w:color="auto" w:fill="BFBFBF" w:themeFill="background1" w:themeFillShade="BF"/>
            <w:noWrap/>
            <w:vAlign w:val="center"/>
            <w:hideMark/>
          </w:tcPr>
          <w:p w14:paraId="487CE2C8" w14:textId="4C7C96F0" w:rsidR="00822ACE" w:rsidRPr="00822ACE" w:rsidRDefault="00822ACE" w:rsidP="00281281">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-1</w:t>
            </w:r>
            <w:r w:rsidR="00281281">
              <w:rPr>
                <w:rFonts w:eastAsia="Times New Roman" w:cs="Times New Roman"/>
                <w:b/>
                <w:bCs/>
                <w:sz w:val="20"/>
                <w:szCs w:val="20"/>
                <w:lang w:eastAsia="sk-SK"/>
              </w:rPr>
              <w:t> 219 730</w:t>
            </w:r>
          </w:p>
        </w:tc>
        <w:tc>
          <w:tcPr>
            <w:tcW w:w="1062" w:type="dxa"/>
            <w:tcBorders>
              <w:top w:val="single" w:sz="4" w:space="0" w:color="auto"/>
              <w:left w:val="nil"/>
              <w:bottom w:val="single" w:sz="4" w:space="0" w:color="auto"/>
              <w:right w:val="nil"/>
            </w:tcBorders>
            <w:shd w:val="clear" w:color="000000" w:fill="FFFFFF"/>
            <w:noWrap/>
            <w:vAlign w:val="center"/>
            <w:hideMark/>
          </w:tcPr>
          <w:p w14:paraId="7A14EC58" w14:textId="6FE579BB" w:rsidR="00822ACE" w:rsidRPr="00822ACE" w:rsidRDefault="00822ACE" w:rsidP="00281281">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-1</w:t>
            </w:r>
            <w:r w:rsidR="00281281">
              <w:rPr>
                <w:rFonts w:eastAsia="Times New Roman" w:cs="Times New Roman"/>
                <w:b/>
                <w:bCs/>
                <w:sz w:val="20"/>
                <w:szCs w:val="20"/>
                <w:lang w:eastAsia="sk-SK"/>
              </w:rPr>
              <w:t> </w:t>
            </w:r>
            <w:r w:rsidRPr="00822ACE">
              <w:rPr>
                <w:rFonts w:eastAsia="Times New Roman" w:cs="Times New Roman"/>
                <w:b/>
                <w:bCs/>
                <w:sz w:val="20"/>
                <w:szCs w:val="20"/>
                <w:lang w:eastAsia="sk-SK"/>
              </w:rPr>
              <w:t>2</w:t>
            </w:r>
            <w:r w:rsidR="00281281">
              <w:rPr>
                <w:rFonts w:eastAsia="Times New Roman" w:cs="Times New Roman"/>
                <w:b/>
                <w:bCs/>
                <w:sz w:val="20"/>
                <w:szCs w:val="20"/>
                <w:lang w:eastAsia="sk-SK"/>
              </w:rPr>
              <w:t>19 730</w:t>
            </w:r>
          </w:p>
        </w:tc>
      </w:tr>
      <w:tr w:rsidR="00822ACE" w:rsidRPr="00822ACE" w14:paraId="48782CE7" w14:textId="77777777" w:rsidTr="005E1134">
        <w:trPr>
          <w:trHeight w:val="278"/>
        </w:trPr>
        <w:tc>
          <w:tcPr>
            <w:tcW w:w="3544" w:type="dxa"/>
            <w:gridSpan w:val="3"/>
            <w:tcBorders>
              <w:top w:val="single" w:sz="4" w:space="0" w:color="auto"/>
              <w:left w:val="nil"/>
              <w:bottom w:val="single" w:sz="4" w:space="0" w:color="auto"/>
              <w:right w:val="nil"/>
            </w:tcBorders>
            <w:shd w:val="clear" w:color="000000" w:fill="FFFFFF"/>
            <w:noWrap/>
            <w:vAlign w:val="center"/>
            <w:hideMark/>
          </w:tcPr>
          <w:p w14:paraId="34102BCF" w14:textId="77777777" w:rsidR="00822ACE" w:rsidRPr="00822ACE" w:rsidRDefault="00822ACE" w:rsidP="00822ACE">
            <w:pPr>
              <w:spacing w:after="0" w:line="240" w:lineRule="auto"/>
              <w:jc w:val="left"/>
              <w:rPr>
                <w:rFonts w:eastAsia="Times New Roman" w:cs="Times New Roman"/>
                <w:b/>
                <w:bCs/>
                <w:sz w:val="20"/>
                <w:szCs w:val="20"/>
                <w:lang w:eastAsia="sk-SK"/>
              </w:rPr>
            </w:pPr>
            <w:r w:rsidRPr="00822ACE">
              <w:rPr>
                <w:rFonts w:eastAsia="Times New Roman" w:cs="Times New Roman"/>
                <w:b/>
                <w:bCs/>
                <w:sz w:val="20"/>
                <w:szCs w:val="20"/>
                <w:lang w:eastAsia="sk-SK"/>
              </w:rPr>
              <w:t xml:space="preserve"> % z HDP</w:t>
            </w:r>
          </w:p>
        </w:tc>
        <w:tc>
          <w:tcPr>
            <w:tcW w:w="1017" w:type="dxa"/>
            <w:tcBorders>
              <w:top w:val="single" w:sz="4" w:space="0" w:color="auto"/>
              <w:left w:val="nil"/>
              <w:bottom w:val="single" w:sz="4" w:space="0" w:color="auto"/>
              <w:right w:val="nil"/>
            </w:tcBorders>
            <w:shd w:val="clear" w:color="000000" w:fill="FFFFFF"/>
            <w:noWrap/>
            <w:vAlign w:val="center"/>
            <w:hideMark/>
          </w:tcPr>
          <w:p w14:paraId="6B6D71AC"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-1,0</w:t>
            </w:r>
          </w:p>
        </w:tc>
        <w:tc>
          <w:tcPr>
            <w:tcW w:w="1114" w:type="dxa"/>
            <w:tcBorders>
              <w:top w:val="single" w:sz="4" w:space="0" w:color="auto"/>
              <w:left w:val="nil"/>
              <w:bottom w:val="single" w:sz="4" w:space="0" w:color="auto"/>
              <w:right w:val="nil"/>
            </w:tcBorders>
            <w:shd w:val="clear" w:color="000000" w:fill="FFFFFF"/>
            <w:noWrap/>
            <w:vAlign w:val="center"/>
            <w:hideMark/>
          </w:tcPr>
          <w:p w14:paraId="60AECCA4"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-1,1</w:t>
            </w:r>
          </w:p>
        </w:tc>
        <w:tc>
          <w:tcPr>
            <w:tcW w:w="929" w:type="dxa"/>
            <w:tcBorders>
              <w:top w:val="single" w:sz="4" w:space="0" w:color="auto"/>
              <w:left w:val="nil"/>
              <w:bottom w:val="single" w:sz="4" w:space="0" w:color="auto"/>
              <w:right w:val="nil"/>
            </w:tcBorders>
            <w:shd w:val="clear" w:color="000000" w:fill="FFFFFF"/>
            <w:noWrap/>
            <w:vAlign w:val="center"/>
            <w:hideMark/>
          </w:tcPr>
          <w:p w14:paraId="2CEDA4D8"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0,0</w:t>
            </w:r>
          </w:p>
        </w:tc>
        <w:tc>
          <w:tcPr>
            <w:tcW w:w="1123" w:type="dxa"/>
            <w:tcBorders>
              <w:top w:val="single" w:sz="4" w:space="0" w:color="auto"/>
              <w:left w:val="nil"/>
              <w:bottom w:val="single" w:sz="4" w:space="0" w:color="auto"/>
              <w:right w:val="nil"/>
            </w:tcBorders>
            <w:shd w:val="clear" w:color="auto" w:fill="BFBFBF" w:themeFill="background1" w:themeFillShade="BF"/>
            <w:noWrap/>
            <w:vAlign w:val="center"/>
            <w:hideMark/>
          </w:tcPr>
          <w:p w14:paraId="33D9B036"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-1,3</w:t>
            </w:r>
          </w:p>
        </w:tc>
        <w:tc>
          <w:tcPr>
            <w:tcW w:w="1062" w:type="dxa"/>
            <w:tcBorders>
              <w:top w:val="single" w:sz="4" w:space="0" w:color="auto"/>
              <w:left w:val="nil"/>
              <w:bottom w:val="single" w:sz="4" w:space="0" w:color="auto"/>
              <w:right w:val="nil"/>
            </w:tcBorders>
            <w:shd w:val="clear" w:color="000000" w:fill="FFFFFF"/>
            <w:noWrap/>
            <w:vAlign w:val="center"/>
            <w:hideMark/>
          </w:tcPr>
          <w:p w14:paraId="4149D4DE" w14:textId="77777777" w:rsidR="00822ACE" w:rsidRPr="00822ACE" w:rsidRDefault="00822ACE" w:rsidP="00822ACE">
            <w:pPr>
              <w:spacing w:after="0" w:line="240" w:lineRule="auto"/>
              <w:jc w:val="right"/>
              <w:rPr>
                <w:rFonts w:eastAsia="Times New Roman" w:cs="Times New Roman"/>
                <w:b/>
                <w:bCs/>
                <w:sz w:val="20"/>
                <w:szCs w:val="20"/>
                <w:lang w:eastAsia="sk-SK"/>
              </w:rPr>
            </w:pPr>
            <w:r w:rsidRPr="00822ACE">
              <w:rPr>
                <w:rFonts w:eastAsia="Times New Roman" w:cs="Times New Roman"/>
                <w:b/>
                <w:bCs/>
                <w:sz w:val="20"/>
                <w:szCs w:val="20"/>
                <w:lang w:eastAsia="sk-SK"/>
              </w:rPr>
              <w:t>-1,3</w:t>
            </w:r>
          </w:p>
        </w:tc>
      </w:tr>
    </w:tbl>
    <w:p w14:paraId="46D2804C" w14:textId="5A1D0278" w:rsidR="006D31E7" w:rsidRDefault="00822ACE" w:rsidP="0004106B">
      <w:r>
        <w:rPr>
          <w:rFonts w:eastAsia="Times New Roman" w:cs="Times New Roman"/>
          <w:color w:val="000000"/>
          <w:sz w:val="18"/>
          <w:szCs w:val="18"/>
          <w:lang w:eastAsia="sk-SK"/>
        </w:rPr>
        <w:t xml:space="preserve"> 1)</w:t>
      </w:r>
      <w:r w:rsidR="00614751" w:rsidRPr="00A265D6">
        <w:rPr>
          <w:rFonts w:eastAsia="Times New Roman" w:cs="Times New Roman"/>
          <w:color w:val="000000"/>
          <w:sz w:val="18"/>
          <w:szCs w:val="18"/>
          <w:lang w:eastAsia="sk-SK"/>
        </w:rPr>
        <w:t xml:space="preserve">Vrátane štátnych finančných aktív, </w:t>
      </w:r>
      <w:r w:rsidR="0087122F" w:rsidRPr="00A265D6">
        <w:rPr>
          <w:rFonts w:eastAsia="Times New Roman" w:cs="Times New Roman"/>
          <w:color w:val="000000"/>
          <w:sz w:val="18"/>
          <w:szCs w:val="18"/>
          <w:lang w:eastAsia="sk-SK"/>
        </w:rPr>
        <w:t>samostatných</w:t>
      </w:r>
      <w:r w:rsidR="00614751" w:rsidRPr="00A265D6">
        <w:rPr>
          <w:rFonts w:eastAsia="Times New Roman" w:cs="Times New Roman"/>
          <w:color w:val="000000"/>
          <w:sz w:val="18"/>
          <w:szCs w:val="18"/>
          <w:lang w:eastAsia="sk-SK"/>
        </w:rPr>
        <w:t xml:space="preserve"> účtov a salda účtu štátneho dlhu</w:t>
      </w:r>
      <w:r>
        <w:rPr>
          <w:rFonts w:eastAsia="Times New Roman" w:cs="Times New Roman"/>
          <w:color w:val="000000"/>
          <w:sz w:val="18"/>
          <w:szCs w:val="18"/>
          <w:lang w:eastAsia="sk-SK"/>
        </w:rPr>
        <w:t xml:space="preserve">              </w:t>
      </w:r>
      <w:r w:rsidR="00614751" w:rsidRPr="00A265D6">
        <w:rPr>
          <w:rFonts w:eastAsia="Times New Roman" w:cs="Times New Roman"/>
          <w:color w:val="000000"/>
          <w:sz w:val="18"/>
          <w:szCs w:val="18"/>
          <w:lang w:eastAsia="sk-SK"/>
        </w:rPr>
        <w:t xml:space="preserve">  </w:t>
      </w:r>
      <w:r w:rsidR="00281281">
        <w:rPr>
          <w:rFonts w:eastAsia="Times New Roman" w:cs="Times New Roman"/>
          <w:color w:val="000000"/>
          <w:sz w:val="18"/>
          <w:szCs w:val="18"/>
          <w:lang w:eastAsia="sk-SK"/>
        </w:rPr>
        <w:t xml:space="preserve"> </w:t>
      </w:r>
      <w:r w:rsidR="00614751" w:rsidRPr="00A265D6">
        <w:rPr>
          <w:rFonts w:eastAsia="Times New Roman" w:cs="Times New Roman"/>
          <w:color w:val="000000"/>
          <w:sz w:val="18"/>
          <w:szCs w:val="18"/>
          <w:lang w:eastAsia="sk-SK"/>
        </w:rPr>
        <w:t xml:space="preserve">   </w:t>
      </w:r>
      <w:r>
        <w:rPr>
          <w:rFonts w:eastAsia="Times New Roman" w:cs="Times New Roman"/>
          <w:color w:val="000000"/>
          <w:sz w:val="18"/>
          <w:szCs w:val="18"/>
          <w:lang w:eastAsia="sk-SK"/>
        </w:rPr>
        <w:t xml:space="preserve">                </w:t>
      </w:r>
      <w:r w:rsidR="00A36542">
        <w:rPr>
          <w:rFonts w:eastAsia="Times New Roman" w:cs="Times New Roman"/>
          <w:color w:val="000000"/>
          <w:sz w:val="18"/>
          <w:szCs w:val="18"/>
          <w:lang w:eastAsia="sk-SK"/>
        </w:rPr>
        <w:t xml:space="preserve">   </w:t>
      </w:r>
      <w:r>
        <w:rPr>
          <w:rFonts w:eastAsia="Times New Roman" w:cs="Times New Roman"/>
          <w:color w:val="000000"/>
          <w:sz w:val="18"/>
          <w:szCs w:val="18"/>
          <w:lang w:eastAsia="sk-SK"/>
        </w:rPr>
        <w:t xml:space="preserve">     </w:t>
      </w:r>
      <w:r w:rsidRPr="00A265D6">
        <w:rPr>
          <w:rFonts w:eastAsia="Times New Roman" w:cs="Times New Roman"/>
          <w:color w:val="000000"/>
          <w:sz w:val="18"/>
          <w:szCs w:val="18"/>
          <w:lang w:eastAsia="sk-SK"/>
        </w:rPr>
        <w:t>Zdroj: MF SR</w:t>
      </w:r>
      <w:r>
        <w:t xml:space="preserve"> </w:t>
      </w:r>
    </w:p>
    <w:p w14:paraId="00B11123" w14:textId="77777777" w:rsidR="007A1405" w:rsidRDefault="007A1405">
      <w:pPr>
        <w:spacing w:after="160" w:line="259" w:lineRule="auto"/>
        <w:jc w:val="left"/>
        <w:rPr>
          <w:rFonts w:eastAsiaTheme="majorEastAsia" w:cstheme="majorBidi"/>
          <w:b/>
          <w:sz w:val="24"/>
          <w:szCs w:val="26"/>
        </w:rPr>
      </w:pPr>
      <w:bookmarkStart w:id="22" w:name="_Toc6415636"/>
      <w:r>
        <w:br w:type="page"/>
      </w:r>
    </w:p>
    <w:p w14:paraId="0F26BE23" w14:textId="290D5CE2" w:rsidR="005F5B88" w:rsidRPr="005D545B" w:rsidRDefault="005F5B88" w:rsidP="006822D1">
      <w:pPr>
        <w:pStyle w:val="Nadpis2"/>
      </w:pPr>
      <w:bookmarkStart w:id="23" w:name="_Toc39095167"/>
      <w:r w:rsidRPr="005D545B">
        <w:t>Dlh verejnej správy</w:t>
      </w:r>
      <w:bookmarkEnd w:id="22"/>
      <w:bookmarkEnd w:id="23"/>
    </w:p>
    <w:p w14:paraId="6225D568" w14:textId="2DF87AFF" w:rsidR="006822D1" w:rsidRPr="00194C83" w:rsidRDefault="006822D1" w:rsidP="006822D1">
      <w:r w:rsidRPr="00194C83">
        <w:rPr>
          <w:b/>
        </w:rPr>
        <w:t>Maastrichtský dlh verejnej správy</w:t>
      </w:r>
      <w:r w:rsidRPr="00194C83">
        <w:t xml:space="preserve"> dosiahol k 31.12.2019 hodnotu 45 201 758 tis. eur, čo predstavuje </w:t>
      </w:r>
      <w:r w:rsidRPr="00194C83">
        <w:rPr>
          <w:b/>
        </w:rPr>
        <w:t>48,0 % </w:t>
      </w:r>
      <w:r w:rsidRPr="005433B4">
        <w:rPr>
          <w:b/>
        </w:rPr>
        <w:t>HDP.</w:t>
      </w:r>
      <w:r w:rsidRPr="005433B4">
        <w:t xml:space="preserve"> </w:t>
      </w:r>
      <w:r w:rsidRPr="005433B4">
        <w:rPr>
          <w:b/>
        </w:rPr>
        <w:t xml:space="preserve">V pomere k HDP je </w:t>
      </w:r>
      <w:r w:rsidR="005433B4">
        <w:rPr>
          <w:b/>
        </w:rPr>
        <w:t xml:space="preserve">medziročne </w:t>
      </w:r>
      <w:r w:rsidRPr="005433B4">
        <w:rPr>
          <w:b/>
        </w:rPr>
        <w:t>nižší o 1,4 p. b.</w:t>
      </w:r>
      <w:r w:rsidRPr="005433B4">
        <w:t xml:space="preserve"> V</w:t>
      </w:r>
      <w:r w:rsidR="004C247B" w:rsidRPr="005433B4">
        <w:t>ýchodiská</w:t>
      </w:r>
      <w:r w:rsidR="004C247B">
        <w:t xml:space="preserve"> rozpočtu predpokladali dlh na úrovni 47,3 % HDP, čo v absolútnom vyjadrení malo predstavovať 45 719 494 tis. eur.</w:t>
      </w:r>
      <w:r w:rsidRPr="00690EF0">
        <w:t> </w:t>
      </w:r>
      <w:r w:rsidR="004C247B">
        <w:t xml:space="preserve">Skutočne </w:t>
      </w:r>
      <w:r w:rsidRPr="00690EF0">
        <w:t xml:space="preserve">dosiahnutý dlh </w:t>
      </w:r>
      <w:r w:rsidR="004C247B">
        <w:t xml:space="preserve">je v pomere k HDP oproti rozpočtu </w:t>
      </w:r>
      <w:r w:rsidR="00690EF0" w:rsidRPr="00690EF0">
        <w:t>vyšší</w:t>
      </w:r>
      <w:r w:rsidRPr="00690EF0">
        <w:t xml:space="preserve"> o 0,</w:t>
      </w:r>
      <w:r w:rsidR="00690EF0" w:rsidRPr="00690EF0">
        <w:t>7</w:t>
      </w:r>
      <w:r w:rsidRPr="00690EF0">
        <w:t> p. b.</w:t>
      </w:r>
      <w:r w:rsidR="004C247B">
        <w:t>, v absolútnej hodnote je však oproti rozpočtu nižší o 517 736 tis. eur.</w:t>
      </w:r>
      <w:r w:rsidRPr="00690EF0">
        <w:t xml:space="preserve"> </w:t>
      </w:r>
      <w:r w:rsidR="004C247B">
        <w:t xml:space="preserve">V medziročnom porovnaní dlh verejnej správy </w:t>
      </w:r>
      <w:r w:rsidRPr="00194C83">
        <w:t xml:space="preserve">vzrástol </w:t>
      </w:r>
      <w:r w:rsidR="004C247B">
        <w:t>v nominálnom vyjadrení</w:t>
      </w:r>
      <w:r w:rsidR="00A164E5">
        <w:t xml:space="preserve"> </w:t>
      </w:r>
      <w:r w:rsidRPr="00194C83">
        <w:t>o 879 906 tis. eur (0,9 p. b.) pričom zmena rastu HDP spôsobila zníženie dlhu verejnej správy medziročne o 2,4 p. b.</w:t>
      </w:r>
    </w:p>
    <w:p w14:paraId="6078F09D" w14:textId="0491B2E2" w:rsidR="006822D1" w:rsidRPr="00194C83" w:rsidRDefault="006822D1" w:rsidP="006822D1">
      <w:r w:rsidRPr="00194C83">
        <w:t xml:space="preserve">Maastrichtský dlh verejnej správy </w:t>
      </w:r>
      <w:r w:rsidR="002923BD">
        <w:t>sa prezentuje</w:t>
      </w:r>
      <w:r w:rsidRPr="00194C83">
        <w:t xml:space="preserve"> ako konsolidovaný, to znamená, že vzťahy medzi jednotlivými subjektmi verejnej správy sú vylúčené. Skupiny subjektov verejnej správy uvedené v tabuľke nižšie sú vnútorne skonsolidované o vzájomné vzťahy v rámci danej skupiny (napríklad územná samospráva). Hodnota konsolidácie vo výške 1 346 595 tis. eur predstavuje len pôžičky medzi skupinami verejnej správy, napríklad pôžičky Štátneho fondu rozvoja bývania poskytnuté subjektom územnej samosprávy. </w:t>
      </w:r>
    </w:p>
    <w:p w14:paraId="1AB39E37" w14:textId="77777777" w:rsidR="006822D1" w:rsidRPr="00194C83" w:rsidRDefault="006822D1" w:rsidP="006822D1">
      <w:r w:rsidRPr="00194C83">
        <w:t xml:space="preserve">Okrem týchto vzťahov sa pri výpočte maastrichtského dlhu v rámci zložky ,,štátny dlh“ </w:t>
      </w:r>
      <w:r w:rsidRPr="00543E28">
        <w:t>abstrahuje</w:t>
      </w:r>
      <w:r w:rsidRPr="00194C83">
        <w:t xml:space="preserve"> od záväzkov Ministerstva financií SR voči Štátnej pokladnici z tzv. refinančného systému (9 834 484 tis. eur) a od záväzkov z vkladov subjektov verejnej správy v Štátnej pokladnici (</w:t>
      </w:r>
      <w:r w:rsidRPr="00543E28">
        <w:t>5 859 060</w:t>
      </w:r>
      <w:r w:rsidRPr="00BD6BFB">
        <w:t> tis. eur</w:t>
      </w:r>
      <w:r w:rsidRPr="00194C83">
        <w:t xml:space="preserve">). Z pohľadu výšky vzájomných pôžičiek a výpožičiek vo verejnej správe tvorí najvýznamnejšiu položku konsolidácie Štátny fond rozvoja bývania (743 561 tis. eur), ktorý poskytuje návratné finančné prostriedky najmä subjektom územnej samosprávy v oblasti podpory bývania. </w:t>
      </w:r>
    </w:p>
    <w:p w14:paraId="77C95C06" w14:textId="77777777" w:rsidR="006822D1" w:rsidRDefault="006822D1" w:rsidP="006822D1">
      <w:r w:rsidRPr="00194C83">
        <w:t xml:space="preserve">Ďalšou významnou položkou konsolidácie je návratná finančná výpomoc poskytnutá zo štátneho rozpočtu Agentúre pre núdzové zásoby ropy a ropných výrobkov (365 000 tis. eur) a imputovaná pôžička Agentúry pre núdzové zásoby ropy a ropných výrobkov (197 217 tis. eur). Ostatnú časť konsolidácie tvoria najmä návratné </w:t>
      </w:r>
      <w:bookmarkStart w:id="24" w:name="OLE_LINK1"/>
      <w:r w:rsidRPr="00194C83">
        <w:t xml:space="preserve">finančné výpomoci poskytnuté zo štátneho rozpočtu mestám, obciam a ostatným subjektom verejnej správy </w:t>
      </w:r>
      <w:bookmarkEnd w:id="24"/>
      <w:r w:rsidRPr="00194C83">
        <w:t>(45 714 tis. eur). V prehľade maastrichtského dlhu podľa zložiek verejnej správy sú uvedené hodnoty na nekonsolidovanej báze, pričom výsledná hodnota dlhu a opis medziročných vplyvov sú uvádzané po konsolidácii.</w:t>
      </w:r>
    </w:p>
    <w:p w14:paraId="557293F4" w14:textId="77777777" w:rsidR="00D679B5" w:rsidRDefault="00D679B5" w:rsidP="006822D1"/>
    <w:p w14:paraId="27A2E138" w14:textId="77777777" w:rsidR="00D679B5" w:rsidRDefault="00D679B5" w:rsidP="006822D1"/>
    <w:p w14:paraId="2EA6DDAA" w14:textId="77777777" w:rsidR="00D679B5" w:rsidRDefault="00D679B5" w:rsidP="006822D1"/>
    <w:p w14:paraId="52927EB3" w14:textId="77777777" w:rsidR="00D679B5" w:rsidRDefault="00D679B5" w:rsidP="006822D1"/>
    <w:p w14:paraId="59137EDB" w14:textId="77777777" w:rsidR="00D679B5" w:rsidRDefault="00D679B5" w:rsidP="006822D1"/>
    <w:p w14:paraId="5BF66BA0" w14:textId="77777777" w:rsidR="00D679B5" w:rsidRDefault="00D679B5" w:rsidP="006822D1"/>
    <w:p w14:paraId="309351D8" w14:textId="77777777" w:rsidR="00A164E5" w:rsidRDefault="00A164E5" w:rsidP="006822D1"/>
    <w:tbl>
      <w:tblPr>
        <w:tblW w:w="5000" w:type="pct"/>
        <w:tblLayout w:type="fixed"/>
        <w:tblCellMar>
          <w:left w:w="70" w:type="dxa"/>
          <w:right w:w="70" w:type="dxa"/>
        </w:tblCellMar>
        <w:tblLook w:val="04A0" w:firstRow="1" w:lastRow="0" w:firstColumn="1" w:lastColumn="0" w:noHBand="0" w:noVBand="1"/>
      </w:tblPr>
      <w:tblGrid>
        <w:gridCol w:w="4233"/>
        <w:gridCol w:w="1131"/>
        <w:gridCol w:w="1129"/>
        <w:gridCol w:w="1127"/>
        <w:gridCol w:w="883"/>
      </w:tblGrid>
      <w:tr w:rsidR="006822D1" w:rsidRPr="00194C83" w14:paraId="616B825A" w14:textId="77777777" w:rsidTr="00A164E5">
        <w:trPr>
          <w:trHeight w:val="565"/>
        </w:trPr>
        <w:tc>
          <w:tcPr>
            <w:tcW w:w="3154" w:type="pct"/>
            <w:gridSpan w:val="2"/>
            <w:tcBorders>
              <w:top w:val="single" w:sz="4" w:space="0" w:color="auto"/>
              <w:left w:val="nil"/>
              <w:bottom w:val="single" w:sz="4" w:space="0" w:color="auto"/>
              <w:right w:val="nil"/>
            </w:tcBorders>
            <w:shd w:val="clear" w:color="000000" w:fill="000000"/>
            <w:noWrap/>
            <w:vAlign w:val="center"/>
            <w:hideMark/>
          </w:tcPr>
          <w:p w14:paraId="58C175AE" w14:textId="10CC6E34" w:rsidR="002923BD" w:rsidRDefault="006822D1" w:rsidP="006822D1">
            <w:pPr>
              <w:spacing w:after="0" w:line="240" w:lineRule="auto"/>
              <w:jc w:val="left"/>
              <w:rPr>
                <w:rFonts w:eastAsia="Times New Roman" w:cs="Times New Roman"/>
                <w:b/>
                <w:bCs/>
                <w:color w:val="FFFFFF"/>
                <w:sz w:val="20"/>
                <w:szCs w:val="20"/>
                <w:lang w:eastAsia="sk-SK"/>
              </w:rPr>
            </w:pPr>
            <w:r w:rsidRPr="00194C83">
              <w:rPr>
                <w:rFonts w:eastAsia="Times New Roman" w:cs="Times New Roman"/>
                <w:b/>
                <w:bCs/>
                <w:color w:val="FFFFFF"/>
                <w:sz w:val="20"/>
                <w:szCs w:val="20"/>
                <w:lang w:eastAsia="sk-SK"/>
              </w:rPr>
              <w:t>Ma</w:t>
            </w:r>
            <w:r w:rsidR="002923BD">
              <w:rPr>
                <w:rFonts w:eastAsia="Times New Roman" w:cs="Times New Roman"/>
                <w:b/>
                <w:bCs/>
                <w:color w:val="FFFFFF"/>
                <w:sz w:val="20"/>
                <w:szCs w:val="20"/>
                <w:lang w:eastAsia="sk-SK"/>
              </w:rPr>
              <w:t>astrichtský dlh verejnej správy</w:t>
            </w:r>
          </w:p>
          <w:p w14:paraId="66981A77" w14:textId="64883761" w:rsidR="006822D1" w:rsidRPr="00194C83" w:rsidRDefault="006822D1" w:rsidP="006822D1">
            <w:pPr>
              <w:spacing w:after="0" w:line="240" w:lineRule="auto"/>
              <w:jc w:val="left"/>
              <w:rPr>
                <w:rFonts w:eastAsia="Times New Roman" w:cs="Times New Roman"/>
                <w:b/>
                <w:bCs/>
                <w:color w:val="FFFFFF"/>
                <w:sz w:val="20"/>
                <w:szCs w:val="20"/>
                <w:lang w:eastAsia="sk-SK"/>
              </w:rPr>
            </w:pPr>
            <w:r w:rsidRPr="00194C83">
              <w:rPr>
                <w:rFonts w:eastAsia="Times New Roman" w:cs="Times New Roman"/>
                <w:b/>
                <w:bCs/>
                <w:color w:val="FFFFFF"/>
                <w:sz w:val="20"/>
                <w:szCs w:val="20"/>
                <w:lang w:eastAsia="sk-SK"/>
              </w:rPr>
              <w:t>podľa jednotlivých subjektov</w:t>
            </w:r>
          </w:p>
        </w:tc>
        <w:tc>
          <w:tcPr>
            <w:tcW w:w="664" w:type="pct"/>
            <w:tcBorders>
              <w:top w:val="single" w:sz="4" w:space="0" w:color="auto"/>
              <w:left w:val="nil"/>
              <w:bottom w:val="single" w:sz="4" w:space="0" w:color="auto"/>
              <w:right w:val="nil"/>
            </w:tcBorders>
            <w:shd w:val="clear" w:color="000000" w:fill="000000"/>
            <w:noWrap/>
            <w:vAlign w:val="center"/>
            <w:hideMark/>
          </w:tcPr>
          <w:p w14:paraId="743C451B" w14:textId="77777777" w:rsidR="006822D1" w:rsidRPr="00194C83" w:rsidRDefault="006822D1" w:rsidP="006822D1">
            <w:pPr>
              <w:spacing w:after="0" w:line="240" w:lineRule="auto"/>
              <w:jc w:val="right"/>
              <w:rPr>
                <w:rFonts w:eastAsia="Times New Roman" w:cs="Times New Roman"/>
                <w:b/>
                <w:bCs/>
                <w:color w:val="FFFFFF"/>
                <w:sz w:val="20"/>
                <w:szCs w:val="20"/>
                <w:lang w:eastAsia="sk-SK"/>
              </w:rPr>
            </w:pPr>
            <w:r w:rsidRPr="00194C83">
              <w:rPr>
                <w:rFonts w:eastAsia="Times New Roman" w:cs="Times New Roman"/>
                <w:b/>
                <w:bCs/>
                <w:color w:val="FFFFFF"/>
                <w:sz w:val="20"/>
                <w:szCs w:val="20"/>
                <w:lang w:eastAsia="sk-SK"/>
              </w:rPr>
              <w:t> </w:t>
            </w:r>
          </w:p>
        </w:tc>
        <w:tc>
          <w:tcPr>
            <w:tcW w:w="663" w:type="pct"/>
            <w:tcBorders>
              <w:top w:val="single" w:sz="4" w:space="0" w:color="auto"/>
              <w:left w:val="nil"/>
              <w:bottom w:val="single" w:sz="4" w:space="0" w:color="auto"/>
              <w:right w:val="nil"/>
            </w:tcBorders>
            <w:shd w:val="clear" w:color="000000" w:fill="000000"/>
            <w:noWrap/>
            <w:vAlign w:val="center"/>
            <w:hideMark/>
          </w:tcPr>
          <w:p w14:paraId="47342301" w14:textId="77777777" w:rsidR="006822D1" w:rsidRPr="00194C83" w:rsidRDefault="006822D1" w:rsidP="006822D1">
            <w:pPr>
              <w:spacing w:after="0" w:line="240" w:lineRule="auto"/>
              <w:jc w:val="right"/>
              <w:rPr>
                <w:rFonts w:eastAsia="Times New Roman" w:cs="Times New Roman"/>
                <w:b/>
                <w:bCs/>
                <w:color w:val="FFFFFF"/>
                <w:sz w:val="20"/>
                <w:szCs w:val="20"/>
                <w:lang w:eastAsia="sk-SK"/>
              </w:rPr>
            </w:pPr>
            <w:r w:rsidRPr="00194C83">
              <w:rPr>
                <w:rFonts w:eastAsia="Times New Roman" w:cs="Times New Roman"/>
                <w:b/>
                <w:bCs/>
                <w:color w:val="FFFFFF"/>
                <w:sz w:val="20"/>
                <w:szCs w:val="20"/>
                <w:lang w:eastAsia="sk-SK"/>
              </w:rPr>
              <w:t> </w:t>
            </w:r>
          </w:p>
        </w:tc>
        <w:tc>
          <w:tcPr>
            <w:tcW w:w="519" w:type="pct"/>
            <w:tcBorders>
              <w:top w:val="single" w:sz="4" w:space="0" w:color="auto"/>
              <w:left w:val="nil"/>
              <w:bottom w:val="single" w:sz="4" w:space="0" w:color="auto"/>
              <w:right w:val="nil"/>
            </w:tcBorders>
            <w:shd w:val="clear" w:color="000000" w:fill="000000"/>
            <w:noWrap/>
            <w:vAlign w:val="center"/>
            <w:hideMark/>
          </w:tcPr>
          <w:p w14:paraId="362FC37E" w14:textId="2DD04A24" w:rsidR="006822D1" w:rsidRPr="00194C83" w:rsidRDefault="00C24665" w:rsidP="00C24665">
            <w:pPr>
              <w:spacing w:after="0" w:line="240" w:lineRule="auto"/>
              <w:jc w:val="center"/>
              <w:rPr>
                <w:rFonts w:eastAsia="Times New Roman" w:cs="Times New Roman"/>
                <w:b/>
                <w:bCs/>
                <w:color w:val="FFFFFF"/>
                <w:sz w:val="20"/>
                <w:szCs w:val="20"/>
                <w:lang w:eastAsia="sk-SK"/>
              </w:rPr>
            </w:pPr>
            <w:r>
              <w:rPr>
                <w:rFonts w:eastAsia="Times New Roman" w:cs="Times New Roman"/>
                <w:b/>
                <w:bCs/>
                <w:color w:val="FFFFFF"/>
                <w:sz w:val="20"/>
                <w:szCs w:val="20"/>
                <w:lang w:eastAsia="sk-SK"/>
              </w:rPr>
              <w:t xml:space="preserve">v </w:t>
            </w:r>
            <w:r w:rsidR="006822D1" w:rsidRPr="00194C83">
              <w:rPr>
                <w:rFonts w:eastAsia="Times New Roman" w:cs="Times New Roman"/>
                <w:b/>
                <w:bCs/>
                <w:color w:val="FFFFFF"/>
                <w:sz w:val="20"/>
                <w:szCs w:val="20"/>
                <w:lang w:eastAsia="sk-SK"/>
              </w:rPr>
              <w:t>tis. eur</w:t>
            </w:r>
          </w:p>
        </w:tc>
      </w:tr>
      <w:tr w:rsidR="006822D1" w:rsidRPr="00194C83" w14:paraId="096E0810" w14:textId="77777777" w:rsidTr="006822D1">
        <w:trPr>
          <w:trHeight w:val="330"/>
        </w:trPr>
        <w:tc>
          <w:tcPr>
            <w:tcW w:w="2489" w:type="pct"/>
            <w:tcBorders>
              <w:top w:val="single" w:sz="4" w:space="0" w:color="auto"/>
              <w:left w:val="nil"/>
              <w:bottom w:val="nil"/>
              <w:right w:val="nil"/>
            </w:tcBorders>
            <w:shd w:val="clear" w:color="000000" w:fill="BFBFBF"/>
            <w:vAlign w:val="center"/>
            <w:hideMark/>
          </w:tcPr>
          <w:p w14:paraId="74749EC5" w14:textId="77777777" w:rsidR="006822D1" w:rsidRPr="00194C83" w:rsidRDefault="006822D1" w:rsidP="006822D1">
            <w:pPr>
              <w:spacing w:after="0" w:line="240" w:lineRule="auto"/>
              <w:rPr>
                <w:rFonts w:eastAsia="Times New Roman" w:cs="Times New Roman"/>
                <w:b/>
                <w:bCs/>
                <w:sz w:val="20"/>
                <w:szCs w:val="20"/>
                <w:lang w:eastAsia="sk-SK"/>
              </w:rPr>
            </w:pPr>
            <w:r w:rsidRPr="00194C83">
              <w:rPr>
                <w:rFonts w:eastAsia="Times New Roman" w:cs="Times New Roman"/>
                <w:b/>
                <w:bCs/>
                <w:sz w:val="20"/>
                <w:szCs w:val="20"/>
                <w:lang w:eastAsia="sk-SK"/>
              </w:rPr>
              <w:t> </w:t>
            </w:r>
          </w:p>
        </w:tc>
        <w:tc>
          <w:tcPr>
            <w:tcW w:w="665" w:type="pct"/>
            <w:tcBorders>
              <w:top w:val="single" w:sz="4" w:space="0" w:color="auto"/>
              <w:left w:val="nil"/>
              <w:bottom w:val="nil"/>
              <w:right w:val="nil"/>
            </w:tcBorders>
            <w:shd w:val="clear" w:color="000000" w:fill="BFBFBF"/>
            <w:vAlign w:val="center"/>
            <w:hideMark/>
          </w:tcPr>
          <w:p w14:paraId="38FBD0DF" w14:textId="77777777" w:rsidR="006822D1" w:rsidRPr="00194C83" w:rsidRDefault="006822D1" w:rsidP="006822D1">
            <w:pPr>
              <w:spacing w:after="0" w:line="240" w:lineRule="auto"/>
              <w:jc w:val="center"/>
              <w:rPr>
                <w:rFonts w:eastAsia="Times New Roman" w:cs="Times New Roman"/>
                <w:b/>
                <w:bCs/>
                <w:sz w:val="20"/>
                <w:szCs w:val="20"/>
                <w:lang w:eastAsia="sk-SK"/>
              </w:rPr>
            </w:pPr>
            <w:r w:rsidRPr="00194C83">
              <w:rPr>
                <w:rFonts w:eastAsia="Times New Roman" w:cs="Times New Roman"/>
                <w:b/>
                <w:bCs/>
                <w:sz w:val="20"/>
                <w:szCs w:val="20"/>
                <w:lang w:eastAsia="sk-SK"/>
              </w:rPr>
              <w:t>k 31.12.2017</w:t>
            </w:r>
          </w:p>
        </w:tc>
        <w:tc>
          <w:tcPr>
            <w:tcW w:w="664" w:type="pct"/>
            <w:tcBorders>
              <w:top w:val="single" w:sz="4" w:space="0" w:color="auto"/>
              <w:left w:val="nil"/>
              <w:bottom w:val="nil"/>
              <w:right w:val="nil"/>
            </w:tcBorders>
            <w:shd w:val="clear" w:color="000000" w:fill="BFBFBF"/>
            <w:vAlign w:val="center"/>
            <w:hideMark/>
          </w:tcPr>
          <w:p w14:paraId="2F88C4AB" w14:textId="77777777" w:rsidR="006822D1" w:rsidRPr="00194C83" w:rsidRDefault="006822D1" w:rsidP="006822D1">
            <w:pPr>
              <w:spacing w:after="0" w:line="240" w:lineRule="auto"/>
              <w:jc w:val="center"/>
              <w:rPr>
                <w:rFonts w:eastAsia="Times New Roman" w:cs="Times New Roman"/>
                <w:b/>
                <w:bCs/>
                <w:sz w:val="20"/>
                <w:szCs w:val="20"/>
                <w:lang w:eastAsia="sk-SK"/>
              </w:rPr>
            </w:pPr>
            <w:r w:rsidRPr="00194C83">
              <w:rPr>
                <w:rFonts w:eastAsia="Times New Roman" w:cs="Times New Roman"/>
                <w:b/>
                <w:bCs/>
                <w:sz w:val="20"/>
                <w:szCs w:val="20"/>
                <w:lang w:eastAsia="sk-SK"/>
              </w:rPr>
              <w:t>k 31.12.2018</w:t>
            </w:r>
          </w:p>
        </w:tc>
        <w:tc>
          <w:tcPr>
            <w:tcW w:w="663" w:type="pct"/>
            <w:tcBorders>
              <w:top w:val="single" w:sz="4" w:space="0" w:color="auto"/>
              <w:left w:val="nil"/>
              <w:bottom w:val="nil"/>
              <w:right w:val="nil"/>
            </w:tcBorders>
            <w:shd w:val="clear" w:color="000000" w:fill="BFBFBF"/>
            <w:vAlign w:val="center"/>
            <w:hideMark/>
          </w:tcPr>
          <w:p w14:paraId="2CED9CCE" w14:textId="77777777" w:rsidR="006822D1" w:rsidRPr="00194C83" w:rsidRDefault="006822D1" w:rsidP="006822D1">
            <w:pPr>
              <w:spacing w:after="0" w:line="240" w:lineRule="auto"/>
              <w:jc w:val="center"/>
              <w:rPr>
                <w:rFonts w:eastAsia="Times New Roman" w:cs="Times New Roman"/>
                <w:b/>
                <w:bCs/>
                <w:sz w:val="20"/>
                <w:szCs w:val="20"/>
                <w:lang w:eastAsia="sk-SK"/>
              </w:rPr>
            </w:pPr>
            <w:r w:rsidRPr="00194C83">
              <w:rPr>
                <w:rFonts w:eastAsia="Times New Roman" w:cs="Times New Roman"/>
                <w:b/>
                <w:bCs/>
                <w:sz w:val="20"/>
                <w:szCs w:val="20"/>
                <w:lang w:eastAsia="sk-SK"/>
              </w:rPr>
              <w:t>k 31.12.2019</w:t>
            </w:r>
          </w:p>
        </w:tc>
        <w:tc>
          <w:tcPr>
            <w:tcW w:w="519" w:type="pct"/>
            <w:tcBorders>
              <w:top w:val="single" w:sz="4" w:space="0" w:color="auto"/>
              <w:left w:val="nil"/>
              <w:bottom w:val="nil"/>
              <w:right w:val="nil"/>
            </w:tcBorders>
            <w:shd w:val="clear" w:color="000000" w:fill="BFBFBF"/>
            <w:vAlign w:val="center"/>
            <w:hideMark/>
          </w:tcPr>
          <w:p w14:paraId="32A545A8" w14:textId="77777777" w:rsidR="006822D1" w:rsidRPr="00194C83" w:rsidRDefault="006822D1" w:rsidP="006822D1">
            <w:pPr>
              <w:spacing w:after="0" w:line="240" w:lineRule="auto"/>
              <w:jc w:val="center"/>
              <w:rPr>
                <w:rFonts w:eastAsia="Times New Roman" w:cs="Times New Roman"/>
                <w:b/>
                <w:bCs/>
                <w:sz w:val="20"/>
                <w:szCs w:val="20"/>
                <w:lang w:eastAsia="sk-SK"/>
              </w:rPr>
            </w:pPr>
            <w:r w:rsidRPr="00194C83">
              <w:rPr>
                <w:rFonts w:eastAsia="Times New Roman" w:cs="Times New Roman"/>
                <w:b/>
                <w:bCs/>
                <w:sz w:val="20"/>
                <w:szCs w:val="20"/>
                <w:lang w:eastAsia="sk-SK"/>
              </w:rPr>
              <w:t>Zmena</w:t>
            </w:r>
          </w:p>
        </w:tc>
      </w:tr>
      <w:tr w:rsidR="006822D1" w:rsidRPr="00194C83" w14:paraId="33B92C82" w14:textId="77777777" w:rsidTr="006822D1">
        <w:trPr>
          <w:trHeight w:val="330"/>
        </w:trPr>
        <w:tc>
          <w:tcPr>
            <w:tcW w:w="2489" w:type="pct"/>
            <w:tcBorders>
              <w:top w:val="nil"/>
              <w:left w:val="nil"/>
              <w:bottom w:val="single" w:sz="4" w:space="0" w:color="auto"/>
              <w:right w:val="nil"/>
            </w:tcBorders>
            <w:shd w:val="clear" w:color="000000" w:fill="BFBFBF"/>
            <w:noWrap/>
            <w:vAlign w:val="bottom"/>
            <w:hideMark/>
          </w:tcPr>
          <w:p w14:paraId="5D3812F8" w14:textId="77777777" w:rsidR="006822D1" w:rsidRPr="00194C83" w:rsidRDefault="006822D1" w:rsidP="006822D1">
            <w:pPr>
              <w:spacing w:after="0" w:line="240" w:lineRule="auto"/>
              <w:jc w:val="center"/>
              <w:rPr>
                <w:rFonts w:eastAsia="Times New Roman" w:cs="Times New Roman"/>
                <w:sz w:val="20"/>
                <w:szCs w:val="20"/>
                <w:lang w:eastAsia="sk-SK"/>
              </w:rPr>
            </w:pPr>
            <w:r w:rsidRPr="00194C83">
              <w:rPr>
                <w:rFonts w:eastAsia="Times New Roman" w:cs="Times New Roman"/>
                <w:sz w:val="20"/>
                <w:szCs w:val="20"/>
                <w:lang w:eastAsia="sk-SK"/>
              </w:rPr>
              <w:t> </w:t>
            </w:r>
          </w:p>
        </w:tc>
        <w:tc>
          <w:tcPr>
            <w:tcW w:w="665" w:type="pct"/>
            <w:tcBorders>
              <w:top w:val="nil"/>
              <w:left w:val="nil"/>
              <w:bottom w:val="single" w:sz="4" w:space="0" w:color="auto"/>
              <w:right w:val="nil"/>
            </w:tcBorders>
            <w:shd w:val="clear" w:color="000000" w:fill="BFBFBF"/>
            <w:noWrap/>
            <w:vAlign w:val="bottom"/>
            <w:hideMark/>
          </w:tcPr>
          <w:p w14:paraId="4B3CA709" w14:textId="77777777" w:rsidR="006822D1" w:rsidRPr="003E594E" w:rsidRDefault="006822D1" w:rsidP="006822D1">
            <w:pPr>
              <w:spacing w:after="0" w:line="240" w:lineRule="auto"/>
              <w:jc w:val="center"/>
              <w:rPr>
                <w:rFonts w:eastAsia="Times New Roman" w:cs="Times New Roman"/>
                <w:b/>
                <w:sz w:val="20"/>
                <w:szCs w:val="20"/>
                <w:lang w:eastAsia="sk-SK"/>
              </w:rPr>
            </w:pPr>
            <w:r w:rsidRPr="003E594E">
              <w:rPr>
                <w:rFonts w:eastAsia="Times New Roman" w:cs="Times New Roman"/>
                <w:b/>
                <w:sz w:val="20"/>
                <w:szCs w:val="20"/>
                <w:lang w:eastAsia="sk-SK"/>
              </w:rPr>
              <w:t>1</w:t>
            </w:r>
          </w:p>
        </w:tc>
        <w:tc>
          <w:tcPr>
            <w:tcW w:w="664" w:type="pct"/>
            <w:tcBorders>
              <w:top w:val="nil"/>
              <w:left w:val="nil"/>
              <w:bottom w:val="single" w:sz="4" w:space="0" w:color="auto"/>
              <w:right w:val="nil"/>
            </w:tcBorders>
            <w:shd w:val="clear" w:color="000000" w:fill="BFBFBF"/>
            <w:noWrap/>
            <w:vAlign w:val="bottom"/>
            <w:hideMark/>
          </w:tcPr>
          <w:p w14:paraId="70E0D02B" w14:textId="77777777" w:rsidR="006822D1" w:rsidRPr="003E594E" w:rsidRDefault="006822D1" w:rsidP="006822D1">
            <w:pPr>
              <w:spacing w:after="0" w:line="240" w:lineRule="auto"/>
              <w:jc w:val="center"/>
              <w:rPr>
                <w:rFonts w:eastAsia="Times New Roman" w:cs="Times New Roman"/>
                <w:b/>
                <w:sz w:val="20"/>
                <w:szCs w:val="20"/>
                <w:lang w:eastAsia="sk-SK"/>
              </w:rPr>
            </w:pPr>
            <w:r w:rsidRPr="003E594E">
              <w:rPr>
                <w:rFonts w:eastAsia="Times New Roman" w:cs="Times New Roman"/>
                <w:b/>
                <w:sz w:val="20"/>
                <w:szCs w:val="20"/>
                <w:lang w:eastAsia="sk-SK"/>
              </w:rPr>
              <w:t>2</w:t>
            </w:r>
          </w:p>
        </w:tc>
        <w:tc>
          <w:tcPr>
            <w:tcW w:w="663" w:type="pct"/>
            <w:tcBorders>
              <w:top w:val="nil"/>
              <w:left w:val="nil"/>
              <w:bottom w:val="single" w:sz="4" w:space="0" w:color="auto"/>
              <w:right w:val="nil"/>
            </w:tcBorders>
            <w:shd w:val="clear" w:color="000000" w:fill="BFBFBF"/>
            <w:noWrap/>
            <w:vAlign w:val="bottom"/>
            <w:hideMark/>
          </w:tcPr>
          <w:p w14:paraId="7B9F01E5" w14:textId="77777777" w:rsidR="006822D1" w:rsidRPr="003E594E" w:rsidRDefault="006822D1" w:rsidP="006822D1">
            <w:pPr>
              <w:spacing w:after="0" w:line="240" w:lineRule="auto"/>
              <w:jc w:val="center"/>
              <w:rPr>
                <w:rFonts w:eastAsia="Times New Roman" w:cs="Times New Roman"/>
                <w:b/>
                <w:sz w:val="20"/>
                <w:szCs w:val="20"/>
                <w:lang w:eastAsia="sk-SK"/>
              </w:rPr>
            </w:pPr>
            <w:r w:rsidRPr="003E594E">
              <w:rPr>
                <w:rFonts w:eastAsia="Times New Roman" w:cs="Times New Roman"/>
                <w:b/>
                <w:sz w:val="20"/>
                <w:szCs w:val="20"/>
                <w:lang w:eastAsia="sk-SK"/>
              </w:rPr>
              <w:t>3</w:t>
            </w:r>
          </w:p>
        </w:tc>
        <w:tc>
          <w:tcPr>
            <w:tcW w:w="519" w:type="pct"/>
            <w:tcBorders>
              <w:top w:val="nil"/>
              <w:left w:val="nil"/>
              <w:bottom w:val="single" w:sz="4" w:space="0" w:color="auto"/>
              <w:right w:val="nil"/>
            </w:tcBorders>
            <w:shd w:val="clear" w:color="000000" w:fill="BFBFBF"/>
            <w:noWrap/>
            <w:vAlign w:val="bottom"/>
            <w:hideMark/>
          </w:tcPr>
          <w:p w14:paraId="1E18AD32" w14:textId="77777777" w:rsidR="006822D1" w:rsidRPr="003E594E" w:rsidRDefault="006822D1" w:rsidP="006822D1">
            <w:pPr>
              <w:spacing w:after="0" w:line="240" w:lineRule="auto"/>
              <w:jc w:val="center"/>
              <w:rPr>
                <w:rFonts w:eastAsia="Times New Roman" w:cs="Times New Roman"/>
                <w:b/>
                <w:sz w:val="20"/>
                <w:szCs w:val="20"/>
                <w:lang w:eastAsia="sk-SK"/>
              </w:rPr>
            </w:pPr>
            <w:r w:rsidRPr="003E594E">
              <w:rPr>
                <w:rFonts w:eastAsia="Times New Roman" w:cs="Times New Roman"/>
                <w:b/>
                <w:sz w:val="20"/>
                <w:szCs w:val="20"/>
                <w:lang w:eastAsia="sk-SK"/>
              </w:rPr>
              <w:t>4=(3-2)</w:t>
            </w:r>
          </w:p>
        </w:tc>
      </w:tr>
      <w:tr w:rsidR="006822D1" w:rsidRPr="00194C83" w14:paraId="19619814" w14:textId="77777777" w:rsidTr="005E1134">
        <w:trPr>
          <w:trHeight w:val="300"/>
        </w:trPr>
        <w:tc>
          <w:tcPr>
            <w:tcW w:w="2489" w:type="pct"/>
            <w:tcBorders>
              <w:top w:val="nil"/>
              <w:left w:val="nil"/>
              <w:bottom w:val="nil"/>
              <w:right w:val="nil"/>
            </w:tcBorders>
            <w:shd w:val="clear" w:color="auto" w:fill="auto"/>
            <w:noWrap/>
            <w:vAlign w:val="bottom"/>
            <w:hideMark/>
          </w:tcPr>
          <w:p w14:paraId="61ED4CCB" w14:textId="77777777" w:rsidR="006822D1" w:rsidRPr="00194C83" w:rsidRDefault="006822D1" w:rsidP="006822D1">
            <w:pPr>
              <w:spacing w:after="0" w:line="240" w:lineRule="auto"/>
              <w:jc w:val="left"/>
              <w:rPr>
                <w:rFonts w:eastAsia="Times New Roman" w:cs="Times New Roman"/>
                <w:b/>
                <w:bCs/>
                <w:sz w:val="20"/>
                <w:szCs w:val="20"/>
                <w:lang w:eastAsia="sk-SK"/>
              </w:rPr>
            </w:pPr>
            <w:r w:rsidRPr="00194C83">
              <w:rPr>
                <w:rFonts w:eastAsia="Times New Roman" w:cs="Times New Roman"/>
                <w:b/>
                <w:bCs/>
                <w:sz w:val="20"/>
                <w:szCs w:val="20"/>
                <w:lang w:eastAsia="sk-SK"/>
              </w:rPr>
              <w:t>Ústredná správa</w:t>
            </w:r>
          </w:p>
        </w:tc>
        <w:tc>
          <w:tcPr>
            <w:tcW w:w="665" w:type="pct"/>
            <w:tcBorders>
              <w:top w:val="nil"/>
              <w:left w:val="nil"/>
              <w:bottom w:val="nil"/>
              <w:right w:val="nil"/>
            </w:tcBorders>
            <w:shd w:val="clear" w:color="auto" w:fill="auto"/>
            <w:noWrap/>
            <w:vAlign w:val="bottom"/>
            <w:hideMark/>
          </w:tcPr>
          <w:p w14:paraId="67A7F238" w14:textId="77777777" w:rsidR="006822D1" w:rsidRPr="00194C83" w:rsidRDefault="006822D1" w:rsidP="006822D1">
            <w:pPr>
              <w:spacing w:after="0" w:line="240" w:lineRule="auto"/>
              <w:jc w:val="left"/>
              <w:rPr>
                <w:rFonts w:eastAsia="Times New Roman" w:cs="Times New Roman"/>
                <w:b/>
                <w:bCs/>
                <w:sz w:val="20"/>
                <w:szCs w:val="20"/>
                <w:lang w:eastAsia="sk-SK"/>
              </w:rPr>
            </w:pPr>
          </w:p>
        </w:tc>
        <w:tc>
          <w:tcPr>
            <w:tcW w:w="664" w:type="pct"/>
            <w:tcBorders>
              <w:top w:val="nil"/>
              <w:left w:val="nil"/>
              <w:bottom w:val="nil"/>
              <w:right w:val="nil"/>
            </w:tcBorders>
            <w:shd w:val="clear" w:color="auto" w:fill="auto"/>
            <w:noWrap/>
            <w:vAlign w:val="bottom"/>
            <w:hideMark/>
          </w:tcPr>
          <w:p w14:paraId="31042C74"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663" w:type="pct"/>
            <w:tcBorders>
              <w:top w:val="nil"/>
              <w:left w:val="nil"/>
              <w:bottom w:val="nil"/>
              <w:right w:val="nil"/>
            </w:tcBorders>
            <w:shd w:val="clear" w:color="auto" w:fill="BFBFBF" w:themeFill="background1" w:themeFillShade="BF"/>
            <w:noWrap/>
            <w:vAlign w:val="bottom"/>
            <w:hideMark/>
          </w:tcPr>
          <w:p w14:paraId="082A3D61"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519" w:type="pct"/>
            <w:tcBorders>
              <w:top w:val="nil"/>
              <w:left w:val="nil"/>
              <w:bottom w:val="nil"/>
              <w:right w:val="nil"/>
            </w:tcBorders>
            <w:shd w:val="clear" w:color="auto" w:fill="auto"/>
            <w:noWrap/>
            <w:vAlign w:val="bottom"/>
            <w:hideMark/>
          </w:tcPr>
          <w:p w14:paraId="5781608B" w14:textId="77777777" w:rsidR="006822D1" w:rsidRPr="00194C83" w:rsidRDefault="006822D1" w:rsidP="006822D1">
            <w:pPr>
              <w:spacing w:after="0" w:line="240" w:lineRule="auto"/>
              <w:jc w:val="left"/>
              <w:rPr>
                <w:rFonts w:eastAsia="Times New Roman" w:cs="Times New Roman"/>
                <w:sz w:val="20"/>
                <w:szCs w:val="20"/>
                <w:lang w:eastAsia="sk-SK"/>
              </w:rPr>
            </w:pPr>
          </w:p>
        </w:tc>
      </w:tr>
      <w:tr w:rsidR="006822D1" w:rsidRPr="00194C83" w14:paraId="653762B9" w14:textId="77777777" w:rsidTr="005E1134">
        <w:trPr>
          <w:trHeight w:val="300"/>
        </w:trPr>
        <w:tc>
          <w:tcPr>
            <w:tcW w:w="2489" w:type="pct"/>
            <w:tcBorders>
              <w:top w:val="nil"/>
              <w:left w:val="nil"/>
              <w:bottom w:val="nil"/>
              <w:right w:val="nil"/>
            </w:tcBorders>
            <w:shd w:val="clear" w:color="auto" w:fill="auto"/>
            <w:noWrap/>
            <w:vAlign w:val="bottom"/>
            <w:hideMark/>
          </w:tcPr>
          <w:p w14:paraId="5013FA1A" w14:textId="77777777" w:rsidR="006822D1" w:rsidRPr="00194C83" w:rsidRDefault="006822D1" w:rsidP="006822D1">
            <w:pPr>
              <w:spacing w:after="0" w:line="240" w:lineRule="auto"/>
              <w:ind w:firstLineChars="100" w:firstLine="200"/>
              <w:jc w:val="left"/>
              <w:rPr>
                <w:rFonts w:eastAsia="Times New Roman" w:cs="Times New Roman"/>
                <w:sz w:val="20"/>
                <w:szCs w:val="20"/>
                <w:lang w:eastAsia="sk-SK"/>
              </w:rPr>
            </w:pPr>
            <w:r w:rsidRPr="00194C83">
              <w:rPr>
                <w:rFonts w:eastAsia="Times New Roman" w:cs="Times New Roman"/>
                <w:sz w:val="20"/>
                <w:szCs w:val="20"/>
                <w:lang w:eastAsia="sk-SK"/>
              </w:rPr>
              <w:t xml:space="preserve">z toho: </w:t>
            </w:r>
          </w:p>
        </w:tc>
        <w:tc>
          <w:tcPr>
            <w:tcW w:w="665" w:type="pct"/>
            <w:tcBorders>
              <w:top w:val="nil"/>
              <w:left w:val="nil"/>
              <w:bottom w:val="nil"/>
              <w:right w:val="nil"/>
            </w:tcBorders>
            <w:shd w:val="clear" w:color="auto" w:fill="auto"/>
            <w:noWrap/>
            <w:vAlign w:val="bottom"/>
            <w:hideMark/>
          </w:tcPr>
          <w:p w14:paraId="296E922F" w14:textId="77777777" w:rsidR="006822D1" w:rsidRPr="00194C83" w:rsidRDefault="006822D1" w:rsidP="006822D1">
            <w:pPr>
              <w:spacing w:after="0" w:line="240" w:lineRule="auto"/>
              <w:ind w:firstLineChars="100" w:firstLine="200"/>
              <w:jc w:val="left"/>
              <w:rPr>
                <w:rFonts w:eastAsia="Times New Roman" w:cs="Times New Roman"/>
                <w:sz w:val="20"/>
                <w:szCs w:val="20"/>
                <w:lang w:eastAsia="sk-SK"/>
              </w:rPr>
            </w:pPr>
          </w:p>
        </w:tc>
        <w:tc>
          <w:tcPr>
            <w:tcW w:w="664" w:type="pct"/>
            <w:tcBorders>
              <w:top w:val="nil"/>
              <w:left w:val="nil"/>
              <w:bottom w:val="nil"/>
              <w:right w:val="nil"/>
            </w:tcBorders>
            <w:shd w:val="clear" w:color="auto" w:fill="auto"/>
            <w:noWrap/>
            <w:vAlign w:val="bottom"/>
            <w:hideMark/>
          </w:tcPr>
          <w:p w14:paraId="11EAEDA5"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663" w:type="pct"/>
            <w:tcBorders>
              <w:top w:val="nil"/>
              <w:left w:val="nil"/>
              <w:bottom w:val="nil"/>
              <w:right w:val="nil"/>
            </w:tcBorders>
            <w:shd w:val="clear" w:color="auto" w:fill="BFBFBF" w:themeFill="background1" w:themeFillShade="BF"/>
            <w:noWrap/>
            <w:vAlign w:val="bottom"/>
            <w:hideMark/>
          </w:tcPr>
          <w:p w14:paraId="7CAB7AE0"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519" w:type="pct"/>
            <w:tcBorders>
              <w:top w:val="nil"/>
              <w:left w:val="nil"/>
              <w:bottom w:val="nil"/>
              <w:right w:val="nil"/>
            </w:tcBorders>
            <w:shd w:val="clear" w:color="auto" w:fill="auto"/>
            <w:noWrap/>
            <w:vAlign w:val="bottom"/>
            <w:hideMark/>
          </w:tcPr>
          <w:p w14:paraId="5995DC75" w14:textId="77777777" w:rsidR="006822D1" w:rsidRPr="00194C83" w:rsidRDefault="006822D1" w:rsidP="006822D1">
            <w:pPr>
              <w:spacing w:after="0" w:line="240" w:lineRule="auto"/>
              <w:jc w:val="left"/>
              <w:rPr>
                <w:rFonts w:eastAsia="Times New Roman" w:cs="Times New Roman"/>
                <w:sz w:val="20"/>
                <w:szCs w:val="20"/>
                <w:lang w:eastAsia="sk-SK"/>
              </w:rPr>
            </w:pPr>
          </w:p>
        </w:tc>
      </w:tr>
      <w:tr w:rsidR="006822D1" w:rsidRPr="00194C83" w14:paraId="17A558DB" w14:textId="77777777" w:rsidTr="005E1134">
        <w:trPr>
          <w:trHeight w:val="330"/>
        </w:trPr>
        <w:tc>
          <w:tcPr>
            <w:tcW w:w="2489" w:type="pct"/>
            <w:tcBorders>
              <w:top w:val="nil"/>
              <w:left w:val="nil"/>
              <w:bottom w:val="nil"/>
              <w:right w:val="nil"/>
            </w:tcBorders>
            <w:shd w:val="clear" w:color="auto" w:fill="auto"/>
            <w:noWrap/>
            <w:vAlign w:val="bottom"/>
            <w:hideMark/>
          </w:tcPr>
          <w:p w14:paraId="18D33477" w14:textId="425C2823" w:rsidR="006822D1" w:rsidRPr="00194C83" w:rsidRDefault="006822D1" w:rsidP="003E594E">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Štátny dlh</w:t>
            </w:r>
            <w:r w:rsidRPr="00194C83">
              <w:rPr>
                <w:rFonts w:eastAsia="Times New Roman" w:cs="Times New Roman"/>
                <w:sz w:val="20"/>
                <w:szCs w:val="20"/>
                <w:vertAlign w:val="superscript"/>
                <w:lang w:eastAsia="sk-SK"/>
              </w:rPr>
              <w:t>1)</w:t>
            </w:r>
          </w:p>
        </w:tc>
        <w:tc>
          <w:tcPr>
            <w:tcW w:w="665" w:type="pct"/>
            <w:tcBorders>
              <w:top w:val="nil"/>
              <w:left w:val="nil"/>
              <w:bottom w:val="nil"/>
              <w:right w:val="nil"/>
            </w:tcBorders>
            <w:shd w:val="clear" w:color="auto" w:fill="auto"/>
            <w:noWrap/>
            <w:vAlign w:val="bottom"/>
            <w:hideMark/>
          </w:tcPr>
          <w:p w14:paraId="79908A3A"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41 769 746</w:t>
            </w:r>
          </w:p>
        </w:tc>
        <w:tc>
          <w:tcPr>
            <w:tcW w:w="664" w:type="pct"/>
            <w:tcBorders>
              <w:top w:val="nil"/>
              <w:left w:val="nil"/>
              <w:bottom w:val="nil"/>
              <w:right w:val="nil"/>
            </w:tcBorders>
            <w:shd w:val="clear" w:color="auto" w:fill="auto"/>
            <w:noWrap/>
            <w:vAlign w:val="bottom"/>
            <w:hideMark/>
          </w:tcPr>
          <w:p w14:paraId="3913BA7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42 560 165</w:t>
            </w:r>
          </w:p>
        </w:tc>
        <w:tc>
          <w:tcPr>
            <w:tcW w:w="663" w:type="pct"/>
            <w:tcBorders>
              <w:top w:val="nil"/>
              <w:left w:val="nil"/>
              <w:bottom w:val="nil"/>
              <w:right w:val="nil"/>
            </w:tcBorders>
            <w:shd w:val="clear" w:color="auto" w:fill="BFBFBF" w:themeFill="background1" w:themeFillShade="BF"/>
            <w:noWrap/>
            <w:vAlign w:val="bottom"/>
            <w:hideMark/>
          </w:tcPr>
          <w:p w14:paraId="44E580E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43 184 638</w:t>
            </w:r>
          </w:p>
        </w:tc>
        <w:tc>
          <w:tcPr>
            <w:tcW w:w="519" w:type="pct"/>
            <w:tcBorders>
              <w:top w:val="nil"/>
              <w:left w:val="nil"/>
              <w:bottom w:val="nil"/>
              <w:right w:val="nil"/>
            </w:tcBorders>
            <w:shd w:val="clear" w:color="auto" w:fill="auto"/>
            <w:noWrap/>
            <w:vAlign w:val="bottom"/>
            <w:hideMark/>
          </w:tcPr>
          <w:p w14:paraId="338F3307"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624 473</w:t>
            </w:r>
          </w:p>
        </w:tc>
      </w:tr>
      <w:tr w:rsidR="006822D1" w:rsidRPr="00194C83" w14:paraId="138EAC7F" w14:textId="77777777" w:rsidTr="005E1134">
        <w:trPr>
          <w:trHeight w:val="300"/>
        </w:trPr>
        <w:tc>
          <w:tcPr>
            <w:tcW w:w="2489" w:type="pct"/>
            <w:tcBorders>
              <w:top w:val="nil"/>
              <w:left w:val="nil"/>
              <w:bottom w:val="nil"/>
              <w:right w:val="nil"/>
            </w:tcBorders>
            <w:shd w:val="clear" w:color="auto" w:fill="auto"/>
            <w:noWrap/>
            <w:vAlign w:val="bottom"/>
            <w:hideMark/>
          </w:tcPr>
          <w:p w14:paraId="3D4E7DB6"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Príspevkové organizácie ústrednej správy</w:t>
            </w:r>
          </w:p>
        </w:tc>
        <w:tc>
          <w:tcPr>
            <w:tcW w:w="665" w:type="pct"/>
            <w:tcBorders>
              <w:top w:val="nil"/>
              <w:left w:val="nil"/>
              <w:bottom w:val="nil"/>
              <w:right w:val="nil"/>
            </w:tcBorders>
            <w:shd w:val="clear" w:color="auto" w:fill="auto"/>
            <w:noWrap/>
            <w:vAlign w:val="bottom"/>
            <w:hideMark/>
          </w:tcPr>
          <w:p w14:paraId="073972C8"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3 730</w:t>
            </w:r>
          </w:p>
        </w:tc>
        <w:tc>
          <w:tcPr>
            <w:tcW w:w="664" w:type="pct"/>
            <w:tcBorders>
              <w:top w:val="nil"/>
              <w:left w:val="nil"/>
              <w:bottom w:val="nil"/>
              <w:right w:val="nil"/>
            </w:tcBorders>
            <w:shd w:val="clear" w:color="auto" w:fill="auto"/>
            <w:noWrap/>
            <w:vAlign w:val="bottom"/>
            <w:hideMark/>
          </w:tcPr>
          <w:p w14:paraId="41F516F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16 154</w:t>
            </w:r>
          </w:p>
        </w:tc>
        <w:tc>
          <w:tcPr>
            <w:tcW w:w="663" w:type="pct"/>
            <w:tcBorders>
              <w:top w:val="nil"/>
              <w:left w:val="nil"/>
              <w:bottom w:val="nil"/>
              <w:right w:val="nil"/>
            </w:tcBorders>
            <w:shd w:val="clear" w:color="auto" w:fill="BFBFBF" w:themeFill="background1" w:themeFillShade="BF"/>
            <w:noWrap/>
            <w:vAlign w:val="bottom"/>
            <w:hideMark/>
          </w:tcPr>
          <w:p w14:paraId="727E869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1 733</w:t>
            </w:r>
          </w:p>
        </w:tc>
        <w:tc>
          <w:tcPr>
            <w:tcW w:w="519" w:type="pct"/>
            <w:tcBorders>
              <w:top w:val="nil"/>
              <w:left w:val="nil"/>
              <w:bottom w:val="nil"/>
              <w:right w:val="nil"/>
            </w:tcBorders>
            <w:shd w:val="clear" w:color="auto" w:fill="auto"/>
            <w:noWrap/>
            <w:vAlign w:val="bottom"/>
            <w:hideMark/>
          </w:tcPr>
          <w:p w14:paraId="7AFE945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-14 421</w:t>
            </w:r>
          </w:p>
        </w:tc>
      </w:tr>
      <w:tr w:rsidR="006822D1" w:rsidRPr="00194C83" w14:paraId="59BC5F69" w14:textId="77777777" w:rsidTr="005E1134">
        <w:trPr>
          <w:trHeight w:val="300"/>
        </w:trPr>
        <w:tc>
          <w:tcPr>
            <w:tcW w:w="2489" w:type="pct"/>
            <w:tcBorders>
              <w:top w:val="nil"/>
              <w:left w:val="nil"/>
              <w:bottom w:val="nil"/>
              <w:right w:val="nil"/>
            </w:tcBorders>
            <w:shd w:val="clear" w:color="auto" w:fill="auto"/>
            <w:noWrap/>
            <w:vAlign w:val="bottom"/>
            <w:hideMark/>
          </w:tcPr>
          <w:p w14:paraId="637C4F96" w14:textId="4FF077DF" w:rsidR="006822D1" w:rsidRPr="00194C83" w:rsidRDefault="006822D1" w:rsidP="003E594E">
            <w:pPr>
              <w:spacing w:after="0" w:line="240" w:lineRule="auto"/>
              <w:ind w:left="356" w:firstLineChars="22" w:firstLine="44"/>
              <w:jc w:val="left"/>
              <w:rPr>
                <w:rFonts w:eastAsia="Times New Roman" w:cs="Times New Roman"/>
                <w:sz w:val="20"/>
                <w:szCs w:val="20"/>
                <w:lang w:eastAsia="sk-SK"/>
              </w:rPr>
            </w:pPr>
            <w:r w:rsidRPr="00194C83">
              <w:rPr>
                <w:rFonts w:eastAsia="Times New Roman" w:cs="Times New Roman"/>
                <w:sz w:val="20"/>
                <w:szCs w:val="20"/>
                <w:lang w:eastAsia="sk-SK"/>
              </w:rPr>
              <w:t xml:space="preserve">Exportno-importná banka Slovenskej </w:t>
            </w:r>
            <w:r w:rsidR="003E594E">
              <w:rPr>
                <w:rFonts w:eastAsia="Times New Roman" w:cs="Times New Roman"/>
                <w:sz w:val="20"/>
                <w:szCs w:val="20"/>
                <w:lang w:eastAsia="sk-SK"/>
              </w:rPr>
              <w:t xml:space="preserve"> </w:t>
            </w:r>
            <w:r w:rsidRPr="00194C83">
              <w:rPr>
                <w:rFonts w:eastAsia="Times New Roman" w:cs="Times New Roman"/>
                <w:sz w:val="20"/>
                <w:szCs w:val="20"/>
                <w:lang w:eastAsia="sk-SK"/>
              </w:rPr>
              <w:t>republiky</w:t>
            </w:r>
          </w:p>
        </w:tc>
        <w:tc>
          <w:tcPr>
            <w:tcW w:w="665" w:type="pct"/>
            <w:tcBorders>
              <w:top w:val="nil"/>
              <w:left w:val="nil"/>
              <w:bottom w:val="nil"/>
              <w:right w:val="nil"/>
            </w:tcBorders>
            <w:shd w:val="clear" w:color="auto" w:fill="auto"/>
            <w:noWrap/>
            <w:vAlign w:val="bottom"/>
            <w:hideMark/>
          </w:tcPr>
          <w:p w14:paraId="33062A53"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9 542</w:t>
            </w:r>
          </w:p>
        </w:tc>
        <w:tc>
          <w:tcPr>
            <w:tcW w:w="664" w:type="pct"/>
            <w:tcBorders>
              <w:top w:val="nil"/>
              <w:left w:val="nil"/>
              <w:bottom w:val="nil"/>
              <w:right w:val="nil"/>
            </w:tcBorders>
            <w:shd w:val="clear" w:color="auto" w:fill="auto"/>
            <w:noWrap/>
            <w:vAlign w:val="bottom"/>
            <w:hideMark/>
          </w:tcPr>
          <w:p w14:paraId="0E927D2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10 121</w:t>
            </w:r>
          </w:p>
        </w:tc>
        <w:tc>
          <w:tcPr>
            <w:tcW w:w="663" w:type="pct"/>
            <w:tcBorders>
              <w:top w:val="nil"/>
              <w:left w:val="nil"/>
              <w:bottom w:val="nil"/>
              <w:right w:val="nil"/>
            </w:tcBorders>
            <w:shd w:val="clear" w:color="auto" w:fill="BFBFBF" w:themeFill="background1" w:themeFillShade="BF"/>
            <w:noWrap/>
            <w:vAlign w:val="bottom"/>
            <w:hideMark/>
          </w:tcPr>
          <w:p w14:paraId="24D83A8E"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124 462</w:t>
            </w:r>
          </w:p>
        </w:tc>
        <w:tc>
          <w:tcPr>
            <w:tcW w:w="519" w:type="pct"/>
            <w:tcBorders>
              <w:top w:val="nil"/>
              <w:left w:val="nil"/>
              <w:bottom w:val="nil"/>
              <w:right w:val="nil"/>
            </w:tcBorders>
            <w:shd w:val="clear" w:color="auto" w:fill="auto"/>
            <w:noWrap/>
            <w:vAlign w:val="bottom"/>
            <w:hideMark/>
          </w:tcPr>
          <w:p w14:paraId="164B16F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114 341</w:t>
            </w:r>
          </w:p>
        </w:tc>
      </w:tr>
      <w:tr w:rsidR="006822D1" w:rsidRPr="00194C83" w14:paraId="23355992" w14:textId="77777777" w:rsidTr="005E1134">
        <w:trPr>
          <w:trHeight w:val="300"/>
        </w:trPr>
        <w:tc>
          <w:tcPr>
            <w:tcW w:w="2489" w:type="pct"/>
            <w:tcBorders>
              <w:top w:val="nil"/>
              <w:left w:val="nil"/>
              <w:bottom w:val="nil"/>
              <w:right w:val="nil"/>
            </w:tcBorders>
            <w:shd w:val="clear" w:color="auto" w:fill="auto"/>
            <w:noWrap/>
            <w:vAlign w:val="bottom"/>
            <w:hideMark/>
          </w:tcPr>
          <w:p w14:paraId="2AA53801"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Obchodné spoločnosti štátu</w:t>
            </w:r>
          </w:p>
        </w:tc>
        <w:tc>
          <w:tcPr>
            <w:tcW w:w="665" w:type="pct"/>
            <w:tcBorders>
              <w:top w:val="nil"/>
              <w:left w:val="nil"/>
              <w:bottom w:val="nil"/>
              <w:right w:val="nil"/>
            </w:tcBorders>
            <w:shd w:val="clear" w:color="auto" w:fill="auto"/>
            <w:noWrap/>
            <w:vAlign w:val="bottom"/>
            <w:hideMark/>
          </w:tcPr>
          <w:p w14:paraId="1F6257AE"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660 088</w:t>
            </w:r>
          </w:p>
        </w:tc>
        <w:tc>
          <w:tcPr>
            <w:tcW w:w="664" w:type="pct"/>
            <w:tcBorders>
              <w:top w:val="nil"/>
              <w:left w:val="nil"/>
              <w:bottom w:val="nil"/>
              <w:right w:val="nil"/>
            </w:tcBorders>
            <w:shd w:val="clear" w:color="auto" w:fill="auto"/>
            <w:noWrap/>
            <w:vAlign w:val="bottom"/>
            <w:hideMark/>
          </w:tcPr>
          <w:p w14:paraId="1ACA7578"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665 149</w:t>
            </w:r>
          </w:p>
        </w:tc>
        <w:tc>
          <w:tcPr>
            <w:tcW w:w="663" w:type="pct"/>
            <w:tcBorders>
              <w:top w:val="nil"/>
              <w:left w:val="nil"/>
              <w:bottom w:val="nil"/>
              <w:right w:val="nil"/>
            </w:tcBorders>
            <w:shd w:val="clear" w:color="auto" w:fill="BFBFBF" w:themeFill="background1" w:themeFillShade="BF"/>
            <w:noWrap/>
            <w:vAlign w:val="bottom"/>
            <w:hideMark/>
          </w:tcPr>
          <w:p w14:paraId="64094C77"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740 706</w:t>
            </w:r>
          </w:p>
        </w:tc>
        <w:tc>
          <w:tcPr>
            <w:tcW w:w="519" w:type="pct"/>
            <w:tcBorders>
              <w:top w:val="nil"/>
              <w:left w:val="nil"/>
              <w:bottom w:val="nil"/>
              <w:right w:val="nil"/>
            </w:tcBorders>
            <w:shd w:val="clear" w:color="auto" w:fill="auto"/>
            <w:noWrap/>
            <w:vAlign w:val="bottom"/>
            <w:hideMark/>
          </w:tcPr>
          <w:p w14:paraId="53C76332"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75 557</w:t>
            </w:r>
          </w:p>
        </w:tc>
      </w:tr>
      <w:tr w:rsidR="006822D1" w:rsidRPr="00194C83" w14:paraId="0E2B6533" w14:textId="77777777" w:rsidTr="005E1134">
        <w:trPr>
          <w:trHeight w:val="300"/>
        </w:trPr>
        <w:tc>
          <w:tcPr>
            <w:tcW w:w="2489" w:type="pct"/>
            <w:tcBorders>
              <w:top w:val="nil"/>
              <w:left w:val="nil"/>
              <w:bottom w:val="nil"/>
              <w:right w:val="nil"/>
            </w:tcBorders>
            <w:shd w:val="clear" w:color="auto" w:fill="auto"/>
            <w:noWrap/>
            <w:vAlign w:val="bottom"/>
            <w:hideMark/>
          </w:tcPr>
          <w:p w14:paraId="50B9F8CD" w14:textId="77777777" w:rsidR="006822D1" w:rsidRPr="00194C83" w:rsidRDefault="006822D1" w:rsidP="006822D1">
            <w:pPr>
              <w:spacing w:after="0" w:line="240" w:lineRule="auto"/>
              <w:ind w:firstLineChars="300" w:firstLine="600"/>
              <w:jc w:val="left"/>
              <w:rPr>
                <w:rFonts w:eastAsia="Times New Roman" w:cs="Times New Roman"/>
                <w:sz w:val="20"/>
                <w:szCs w:val="20"/>
                <w:lang w:eastAsia="sk-SK"/>
              </w:rPr>
            </w:pPr>
            <w:r w:rsidRPr="00194C83">
              <w:rPr>
                <w:rFonts w:eastAsia="Times New Roman" w:cs="Times New Roman"/>
                <w:sz w:val="20"/>
                <w:szCs w:val="20"/>
                <w:lang w:eastAsia="sk-SK"/>
              </w:rPr>
              <w:t>z toho:</w:t>
            </w:r>
          </w:p>
        </w:tc>
        <w:tc>
          <w:tcPr>
            <w:tcW w:w="665" w:type="pct"/>
            <w:tcBorders>
              <w:top w:val="nil"/>
              <w:left w:val="nil"/>
              <w:bottom w:val="nil"/>
              <w:right w:val="nil"/>
            </w:tcBorders>
            <w:shd w:val="clear" w:color="auto" w:fill="auto"/>
            <w:noWrap/>
            <w:vAlign w:val="bottom"/>
            <w:hideMark/>
          </w:tcPr>
          <w:p w14:paraId="098AA43F" w14:textId="77777777" w:rsidR="006822D1" w:rsidRPr="00194C83" w:rsidRDefault="006822D1" w:rsidP="006822D1">
            <w:pPr>
              <w:spacing w:after="0" w:line="240" w:lineRule="auto"/>
              <w:ind w:firstLineChars="300" w:firstLine="600"/>
              <w:jc w:val="left"/>
              <w:rPr>
                <w:rFonts w:eastAsia="Times New Roman" w:cs="Times New Roman"/>
                <w:sz w:val="20"/>
                <w:szCs w:val="20"/>
                <w:lang w:eastAsia="sk-SK"/>
              </w:rPr>
            </w:pPr>
          </w:p>
        </w:tc>
        <w:tc>
          <w:tcPr>
            <w:tcW w:w="664" w:type="pct"/>
            <w:tcBorders>
              <w:top w:val="nil"/>
              <w:left w:val="nil"/>
              <w:bottom w:val="nil"/>
              <w:right w:val="nil"/>
            </w:tcBorders>
            <w:shd w:val="clear" w:color="auto" w:fill="auto"/>
            <w:noWrap/>
            <w:vAlign w:val="bottom"/>
            <w:hideMark/>
          </w:tcPr>
          <w:p w14:paraId="26CBBB36"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663" w:type="pct"/>
            <w:tcBorders>
              <w:top w:val="nil"/>
              <w:left w:val="nil"/>
              <w:bottom w:val="nil"/>
              <w:right w:val="nil"/>
            </w:tcBorders>
            <w:shd w:val="clear" w:color="auto" w:fill="BFBFBF" w:themeFill="background1" w:themeFillShade="BF"/>
            <w:noWrap/>
            <w:vAlign w:val="bottom"/>
            <w:hideMark/>
          </w:tcPr>
          <w:p w14:paraId="70D9D48A"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519" w:type="pct"/>
            <w:tcBorders>
              <w:top w:val="nil"/>
              <w:left w:val="nil"/>
              <w:bottom w:val="nil"/>
              <w:right w:val="nil"/>
            </w:tcBorders>
            <w:shd w:val="clear" w:color="auto" w:fill="auto"/>
            <w:noWrap/>
            <w:vAlign w:val="bottom"/>
            <w:hideMark/>
          </w:tcPr>
          <w:p w14:paraId="6FBBAEBC" w14:textId="77777777" w:rsidR="006822D1" w:rsidRPr="00194C83" w:rsidRDefault="006822D1" w:rsidP="006822D1">
            <w:pPr>
              <w:spacing w:after="0" w:line="240" w:lineRule="auto"/>
              <w:jc w:val="left"/>
              <w:rPr>
                <w:rFonts w:eastAsia="Times New Roman" w:cs="Times New Roman"/>
                <w:sz w:val="20"/>
                <w:szCs w:val="20"/>
                <w:lang w:eastAsia="sk-SK"/>
              </w:rPr>
            </w:pPr>
          </w:p>
        </w:tc>
      </w:tr>
      <w:tr w:rsidR="00C80446" w:rsidRPr="00194C83" w14:paraId="1156D1D7" w14:textId="77777777" w:rsidTr="005E1134">
        <w:trPr>
          <w:trHeight w:val="300"/>
        </w:trPr>
        <w:tc>
          <w:tcPr>
            <w:tcW w:w="2489" w:type="pct"/>
            <w:tcBorders>
              <w:top w:val="nil"/>
              <w:left w:val="nil"/>
              <w:bottom w:val="nil"/>
              <w:right w:val="nil"/>
            </w:tcBorders>
            <w:shd w:val="clear" w:color="auto" w:fill="auto"/>
            <w:noWrap/>
            <w:vAlign w:val="bottom"/>
            <w:hideMark/>
          </w:tcPr>
          <w:p w14:paraId="72C59E8C" w14:textId="77777777" w:rsidR="00C80446" w:rsidRPr="00307207" w:rsidRDefault="00C80446" w:rsidP="0044781D">
            <w:pPr>
              <w:spacing w:after="0" w:line="240" w:lineRule="auto"/>
              <w:ind w:firstLineChars="400" w:firstLine="800"/>
              <w:jc w:val="left"/>
              <w:rPr>
                <w:rFonts w:eastAsia="Times New Roman" w:cs="Times New Roman"/>
                <w:sz w:val="20"/>
                <w:szCs w:val="20"/>
                <w:lang w:eastAsia="sk-SK"/>
              </w:rPr>
            </w:pPr>
            <w:r w:rsidRPr="00307207">
              <w:rPr>
                <w:rFonts w:eastAsia="Times New Roman" w:cs="Times New Roman"/>
                <w:sz w:val="20"/>
                <w:szCs w:val="20"/>
                <w:lang w:eastAsia="sk-SK"/>
              </w:rPr>
              <w:t>Železničná spoločnosť Slovensko, a. s.</w:t>
            </w:r>
          </w:p>
        </w:tc>
        <w:tc>
          <w:tcPr>
            <w:tcW w:w="665" w:type="pct"/>
            <w:tcBorders>
              <w:top w:val="nil"/>
              <w:left w:val="nil"/>
              <w:bottom w:val="nil"/>
              <w:right w:val="nil"/>
            </w:tcBorders>
            <w:shd w:val="clear" w:color="auto" w:fill="auto"/>
            <w:noWrap/>
            <w:vAlign w:val="bottom"/>
            <w:hideMark/>
          </w:tcPr>
          <w:p w14:paraId="226049B0"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351 871</w:t>
            </w:r>
          </w:p>
        </w:tc>
        <w:tc>
          <w:tcPr>
            <w:tcW w:w="664" w:type="pct"/>
            <w:tcBorders>
              <w:top w:val="nil"/>
              <w:left w:val="nil"/>
              <w:bottom w:val="nil"/>
              <w:right w:val="nil"/>
            </w:tcBorders>
            <w:shd w:val="clear" w:color="auto" w:fill="auto"/>
            <w:noWrap/>
            <w:vAlign w:val="bottom"/>
            <w:hideMark/>
          </w:tcPr>
          <w:p w14:paraId="62F79CE8"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386 388</w:t>
            </w:r>
          </w:p>
        </w:tc>
        <w:tc>
          <w:tcPr>
            <w:tcW w:w="663" w:type="pct"/>
            <w:tcBorders>
              <w:top w:val="nil"/>
              <w:left w:val="nil"/>
              <w:bottom w:val="nil"/>
              <w:right w:val="nil"/>
            </w:tcBorders>
            <w:shd w:val="clear" w:color="auto" w:fill="BFBFBF" w:themeFill="background1" w:themeFillShade="BF"/>
            <w:noWrap/>
            <w:vAlign w:val="bottom"/>
            <w:hideMark/>
          </w:tcPr>
          <w:p w14:paraId="504B646B"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455 337</w:t>
            </w:r>
          </w:p>
        </w:tc>
        <w:tc>
          <w:tcPr>
            <w:tcW w:w="519" w:type="pct"/>
            <w:tcBorders>
              <w:top w:val="nil"/>
              <w:left w:val="nil"/>
              <w:bottom w:val="nil"/>
              <w:right w:val="nil"/>
            </w:tcBorders>
            <w:shd w:val="clear" w:color="auto" w:fill="auto"/>
            <w:noWrap/>
            <w:vAlign w:val="bottom"/>
            <w:hideMark/>
          </w:tcPr>
          <w:p w14:paraId="77584B8A"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68 949</w:t>
            </w:r>
          </w:p>
        </w:tc>
      </w:tr>
      <w:tr w:rsidR="00C80446" w:rsidRPr="00194C83" w14:paraId="3BC35DB4" w14:textId="77777777" w:rsidTr="005E1134">
        <w:trPr>
          <w:trHeight w:val="300"/>
        </w:trPr>
        <w:tc>
          <w:tcPr>
            <w:tcW w:w="2489" w:type="pct"/>
            <w:tcBorders>
              <w:top w:val="nil"/>
              <w:left w:val="nil"/>
              <w:bottom w:val="nil"/>
              <w:right w:val="nil"/>
            </w:tcBorders>
            <w:shd w:val="clear" w:color="auto" w:fill="auto"/>
            <w:noWrap/>
            <w:vAlign w:val="bottom"/>
            <w:hideMark/>
          </w:tcPr>
          <w:p w14:paraId="7248C0FA" w14:textId="77777777" w:rsidR="00C80446" w:rsidRPr="00307207" w:rsidRDefault="00C80446" w:rsidP="0044781D">
            <w:pPr>
              <w:spacing w:after="0" w:line="240" w:lineRule="auto"/>
              <w:ind w:firstLineChars="400" w:firstLine="800"/>
              <w:jc w:val="left"/>
              <w:rPr>
                <w:rFonts w:eastAsia="Times New Roman" w:cs="Times New Roman"/>
                <w:sz w:val="20"/>
                <w:szCs w:val="20"/>
                <w:lang w:eastAsia="sk-SK"/>
              </w:rPr>
            </w:pPr>
            <w:r w:rsidRPr="00307207">
              <w:rPr>
                <w:rFonts w:eastAsia="Times New Roman" w:cs="Times New Roman"/>
                <w:sz w:val="20"/>
                <w:szCs w:val="20"/>
                <w:lang w:eastAsia="sk-SK"/>
              </w:rPr>
              <w:t>Železnice Slovenskej republiky</w:t>
            </w:r>
          </w:p>
        </w:tc>
        <w:tc>
          <w:tcPr>
            <w:tcW w:w="665" w:type="pct"/>
            <w:tcBorders>
              <w:top w:val="nil"/>
              <w:left w:val="nil"/>
              <w:bottom w:val="nil"/>
              <w:right w:val="nil"/>
            </w:tcBorders>
            <w:shd w:val="clear" w:color="auto" w:fill="auto"/>
            <w:noWrap/>
            <w:vAlign w:val="bottom"/>
            <w:hideMark/>
          </w:tcPr>
          <w:p w14:paraId="6C202423"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78 340</w:t>
            </w:r>
          </w:p>
        </w:tc>
        <w:tc>
          <w:tcPr>
            <w:tcW w:w="664" w:type="pct"/>
            <w:tcBorders>
              <w:top w:val="nil"/>
              <w:left w:val="nil"/>
              <w:bottom w:val="nil"/>
              <w:right w:val="nil"/>
            </w:tcBorders>
            <w:shd w:val="clear" w:color="auto" w:fill="auto"/>
            <w:noWrap/>
            <w:vAlign w:val="bottom"/>
            <w:hideMark/>
          </w:tcPr>
          <w:p w14:paraId="28175385"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83 218</w:t>
            </w:r>
          </w:p>
        </w:tc>
        <w:tc>
          <w:tcPr>
            <w:tcW w:w="663" w:type="pct"/>
            <w:tcBorders>
              <w:top w:val="nil"/>
              <w:left w:val="nil"/>
              <w:bottom w:val="nil"/>
              <w:right w:val="nil"/>
            </w:tcBorders>
            <w:shd w:val="clear" w:color="auto" w:fill="BFBFBF" w:themeFill="background1" w:themeFillShade="BF"/>
            <w:noWrap/>
            <w:vAlign w:val="bottom"/>
            <w:hideMark/>
          </w:tcPr>
          <w:p w14:paraId="21EBD216"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131 080</w:t>
            </w:r>
          </w:p>
        </w:tc>
        <w:tc>
          <w:tcPr>
            <w:tcW w:w="519" w:type="pct"/>
            <w:tcBorders>
              <w:top w:val="nil"/>
              <w:left w:val="nil"/>
              <w:bottom w:val="nil"/>
              <w:right w:val="nil"/>
            </w:tcBorders>
            <w:shd w:val="clear" w:color="auto" w:fill="auto"/>
            <w:noWrap/>
            <w:vAlign w:val="bottom"/>
            <w:hideMark/>
          </w:tcPr>
          <w:p w14:paraId="6EE75561"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47 862</w:t>
            </w:r>
          </w:p>
        </w:tc>
      </w:tr>
      <w:tr w:rsidR="00C80446" w:rsidRPr="00194C83" w14:paraId="546E8F01" w14:textId="77777777" w:rsidTr="005E1134">
        <w:trPr>
          <w:trHeight w:val="300"/>
        </w:trPr>
        <w:tc>
          <w:tcPr>
            <w:tcW w:w="2489" w:type="pct"/>
            <w:tcBorders>
              <w:top w:val="nil"/>
              <w:left w:val="nil"/>
              <w:bottom w:val="nil"/>
              <w:right w:val="nil"/>
            </w:tcBorders>
            <w:shd w:val="clear" w:color="auto" w:fill="auto"/>
            <w:noWrap/>
            <w:vAlign w:val="bottom"/>
            <w:hideMark/>
          </w:tcPr>
          <w:p w14:paraId="748F6CFE" w14:textId="77777777" w:rsidR="00C80446" w:rsidRPr="00307207" w:rsidRDefault="00C80446" w:rsidP="0044781D">
            <w:pPr>
              <w:spacing w:after="0" w:line="240" w:lineRule="auto"/>
              <w:ind w:firstLineChars="400" w:firstLine="800"/>
              <w:jc w:val="left"/>
              <w:rPr>
                <w:rFonts w:eastAsia="Times New Roman" w:cs="Times New Roman"/>
                <w:sz w:val="20"/>
                <w:szCs w:val="20"/>
                <w:lang w:eastAsia="sk-SK"/>
              </w:rPr>
            </w:pPr>
            <w:r w:rsidRPr="00307207">
              <w:rPr>
                <w:rFonts w:eastAsia="Times New Roman" w:cs="Times New Roman"/>
                <w:sz w:val="20"/>
                <w:szCs w:val="20"/>
                <w:lang w:eastAsia="sk-SK"/>
              </w:rPr>
              <w:t>Národná diaľničná spoločnosť, a. s.</w:t>
            </w:r>
          </w:p>
        </w:tc>
        <w:tc>
          <w:tcPr>
            <w:tcW w:w="665" w:type="pct"/>
            <w:tcBorders>
              <w:top w:val="nil"/>
              <w:left w:val="nil"/>
              <w:bottom w:val="nil"/>
              <w:right w:val="nil"/>
            </w:tcBorders>
            <w:shd w:val="clear" w:color="auto" w:fill="auto"/>
            <w:noWrap/>
            <w:vAlign w:val="bottom"/>
            <w:hideMark/>
          </w:tcPr>
          <w:p w14:paraId="3D55485B"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208 898</w:t>
            </w:r>
          </w:p>
        </w:tc>
        <w:tc>
          <w:tcPr>
            <w:tcW w:w="664" w:type="pct"/>
            <w:tcBorders>
              <w:top w:val="nil"/>
              <w:left w:val="nil"/>
              <w:bottom w:val="nil"/>
              <w:right w:val="nil"/>
            </w:tcBorders>
            <w:shd w:val="clear" w:color="auto" w:fill="auto"/>
            <w:noWrap/>
            <w:vAlign w:val="bottom"/>
            <w:hideMark/>
          </w:tcPr>
          <w:p w14:paraId="0BC59D1C"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169 235</w:t>
            </w:r>
          </w:p>
        </w:tc>
        <w:tc>
          <w:tcPr>
            <w:tcW w:w="663" w:type="pct"/>
            <w:tcBorders>
              <w:top w:val="nil"/>
              <w:left w:val="nil"/>
              <w:bottom w:val="nil"/>
              <w:right w:val="nil"/>
            </w:tcBorders>
            <w:shd w:val="clear" w:color="auto" w:fill="BFBFBF" w:themeFill="background1" w:themeFillShade="BF"/>
            <w:noWrap/>
            <w:vAlign w:val="bottom"/>
            <w:hideMark/>
          </w:tcPr>
          <w:p w14:paraId="3728EAAD"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127 370</w:t>
            </w:r>
          </w:p>
        </w:tc>
        <w:tc>
          <w:tcPr>
            <w:tcW w:w="519" w:type="pct"/>
            <w:tcBorders>
              <w:top w:val="nil"/>
              <w:left w:val="nil"/>
              <w:bottom w:val="nil"/>
              <w:right w:val="nil"/>
            </w:tcBorders>
            <w:shd w:val="clear" w:color="auto" w:fill="auto"/>
            <w:noWrap/>
            <w:vAlign w:val="bottom"/>
            <w:hideMark/>
          </w:tcPr>
          <w:p w14:paraId="37BFCED5"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-41 865</w:t>
            </w:r>
          </w:p>
        </w:tc>
      </w:tr>
      <w:tr w:rsidR="006822D1" w:rsidRPr="00194C83" w14:paraId="002F591B" w14:textId="77777777" w:rsidTr="005E1134">
        <w:trPr>
          <w:trHeight w:val="300"/>
        </w:trPr>
        <w:tc>
          <w:tcPr>
            <w:tcW w:w="2489" w:type="pct"/>
            <w:tcBorders>
              <w:top w:val="nil"/>
              <w:left w:val="nil"/>
              <w:bottom w:val="nil"/>
              <w:right w:val="nil"/>
            </w:tcBorders>
            <w:shd w:val="clear" w:color="auto" w:fill="auto"/>
            <w:noWrap/>
            <w:vAlign w:val="bottom"/>
            <w:hideMark/>
          </w:tcPr>
          <w:p w14:paraId="31D61598" w14:textId="77777777" w:rsidR="006822D1" w:rsidRPr="00194C83" w:rsidRDefault="006822D1" w:rsidP="006822D1">
            <w:pPr>
              <w:spacing w:after="0" w:line="240" w:lineRule="auto"/>
              <w:ind w:firstLineChars="400" w:firstLine="800"/>
              <w:jc w:val="left"/>
              <w:rPr>
                <w:rFonts w:eastAsia="Times New Roman" w:cs="Times New Roman"/>
                <w:sz w:val="20"/>
                <w:szCs w:val="20"/>
                <w:lang w:eastAsia="sk-SK"/>
              </w:rPr>
            </w:pPr>
            <w:r w:rsidRPr="00194C83">
              <w:rPr>
                <w:rFonts w:eastAsia="Times New Roman" w:cs="Times New Roman"/>
                <w:sz w:val="20"/>
                <w:szCs w:val="20"/>
                <w:lang w:eastAsia="sk-SK"/>
              </w:rPr>
              <w:t>MH Manažment, a. s.</w:t>
            </w:r>
          </w:p>
        </w:tc>
        <w:tc>
          <w:tcPr>
            <w:tcW w:w="665" w:type="pct"/>
            <w:tcBorders>
              <w:top w:val="nil"/>
              <w:left w:val="nil"/>
              <w:bottom w:val="nil"/>
              <w:right w:val="nil"/>
            </w:tcBorders>
            <w:shd w:val="clear" w:color="auto" w:fill="auto"/>
            <w:noWrap/>
            <w:vAlign w:val="bottom"/>
            <w:hideMark/>
          </w:tcPr>
          <w:p w14:paraId="7D07274E"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15 216</w:t>
            </w:r>
          </w:p>
        </w:tc>
        <w:tc>
          <w:tcPr>
            <w:tcW w:w="664" w:type="pct"/>
            <w:tcBorders>
              <w:top w:val="nil"/>
              <w:left w:val="nil"/>
              <w:bottom w:val="nil"/>
              <w:right w:val="nil"/>
            </w:tcBorders>
            <w:shd w:val="clear" w:color="auto" w:fill="auto"/>
            <w:noWrap/>
            <w:vAlign w:val="bottom"/>
            <w:hideMark/>
          </w:tcPr>
          <w:p w14:paraId="167BD94B"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15 214</w:t>
            </w:r>
          </w:p>
        </w:tc>
        <w:tc>
          <w:tcPr>
            <w:tcW w:w="663" w:type="pct"/>
            <w:tcBorders>
              <w:top w:val="nil"/>
              <w:left w:val="nil"/>
              <w:bottom w:val="nil"/>
              <w:right w:val="nil"/>
            </w:tcBorders>
            <w:shd w:val="clear" w:color="auto" w:fill="BFBFBF" w:themeFill="background1" w:themeFillShade="BF"/>
            <w:noWrap/>
            <w:vAlign w:val="bottom"/>
            <w:hideMark/>
          </w:tcPr>
          <w:p w14:paraId="284BD2C3"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15 214</w:t>
            </w:r>
          </w:p>
        </w:tc>
        <w:tc>
          <w:tcPr>
            <w:tcW w:w="519" w:type="pct"/>
            <w:tcBorders>
              <w:top w:val="nil"/>
              <w:left w:val="nil"/>
              <w:bottom w:val="nil"/>
              <w:right w:val="nil"/>
            </w:tcBorders>
            <w:shd w:val="clear" w:color="auto" w:fill="auto"/>
            <w:noWrap/>
            <w:vAlign w:val="bottom"/>
            <w:hideMark/>
          </w:tcPr>
          <w:p w14:paraId="7FE1455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0</w:t>
            </w:r>
          </w:p>
        </w:tc>
      </w:tr>
      <w:tr w:rsidR="00C80446" w:rsidRPr="00194C83" w14:paraId="2249EF6F" w14:textId="77777777" w:rsidTr="005E1134">
        <w:trPr>
          <w:trHeight w:val="300"/>
        </w:trPr>
        <w:tc>
          <w:tcPr>
            <w:tcW w:w="2489" w:type="pct"/>
            <w:tcBorders>
              <w:top w:val="nil"/>
              <w:left w:val="nil"/>
              <w:bottom w:val="nil"/>
              <w:right w:val="nil"/>
            </w:tcBorders>
            <w:shd w:val="clear" w:color="auto" w:fill="auto"/>
            <w:noWrap/>
            <w:vAlign w:val="bottom"/>
            <w:hideMark/>
          </w:tcPr>
          <w:p w14:paraId="7CC3BE1A" w14:textId="77777777" w:rsidR="00C80446" w:rsidRPr="00307207" w:rsidRDefault="00C80446" w:rsidP="0044781D">
            <w:pPr>
              <w:spacing w:after="0" w:line="240" w:lineRule="auto"/>
              <w:ind w:firstLineChars="400" w:firstLine="800"/>
              <w:jc w:val="left"/>
              <w:rPr>
                <w:rFonts w:eastAsia="Times New Roman" w:cs="Times New Roman"/>
                <w:sz w:val="20"/>
                <w:szCs w:val="20"/>
                <w:lang w:eastAsia="sk-SK"/>
              </w:rPr>
            </w:pPr>
            <w:r w:rsidRPr="00307207">
              <w:rPr>
                <w:rFonts w:eastAsia="Times New Roman" w:cs="Times New Roman"/>
                <w:sz w:val="20"/>
                <w:szCs w:val="20"/>
                <w:lang w:eastAsia="sk-SK"/>
              </w:rPr>
              <w:t>JAVYS, a. s.</w:t>
            </w:r>
          </w:p>
        </w:tc>
        <w:tc>
          <w:tcPr>
            <w:tcW w:w="665" w:type="pct"/>
            <w:tcBorders>
              <w:top w:val="nil"/>
              <w:left w:val="nil"/>
              <w:bottom w:val="nil"/>
              <w:right w:val="nil"/>
            </w:tcBorders>
            <w:shd w:val="clear" w:color="auto" w:fill="auto"/>
            <w:noWrap/>
            <w:vAlign w:val="bottom"/>
            <w:hideMark/>
          </w:tcPr>
          <w:p w14:paraId="7C60D95D"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2 971</w:t>
            </w:r>
          </w:p>
        </w:tc>
        <w:tc>
          <w:tcPr>
            <w:tcW w:w="664" w:type="pct"/>
            <w:tcBorders>
              <w:top w:val="nil"/>
              <w:left w:val="nil"/>
              <w:bottom w:val="nil"/>
              <w:right w:val="nil"/>
            </w:tcBorders>
            <w:shd w:val="clear" w:color="auto" w:fill="auto"/>
            <w:noWrap/>
            <w:vAlign w:val="bottom"/>
            <w:hideMark/>
          </w:tcPr>
          <w:p w14:paraId="2A7FB09C"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8 339</w:t>
            </w:r>
          </w:p>
        </w:tc>
        <w:tc>
          <w:tcPr>
            <w:tcW w:w="663" w:type="pct"/>
            <w:tcBorders>
              <w:top w:val="nil"/>
              <w:left w:val="nil"/>
              <w:bottom w:val="nil"/>
              <w:right w:val="nil"/>
            </w:tcBorders>
            <w:shd w:val="clear" w:color="auto" w:fill="BFBFBF" w:themeFill="background1" w:themeFillShade="BF"/>
            <w:noWrap/>
            <w:vAlign w:val="bottom"/>
            <w:hideMark/>
          </w:tcPr>
          <w:p w14:paraId="7FA712D4"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8 975</w:t>
            </w:r>
          </w:p>
        </w:tc>
        <w:tc>
          <w:tcPr>
            <w:tcW w:w="519" w:type="pct"/>
            <w:tcBorders>
              <w:top w:val="nil"/>
              <w:left w:val="nil"/>
              <w:bottom w:val="nil"/>
              <w:right w:val="nil"/>
            </w:tcBorders>
            <w:shd w:val="clear" w:color="auto" w:fill="auto"/>
            <w:noWrap/>
            <w:vAlign w:val="bottom"/>
            <w:hideMark/>
          </w:tcPr>
          <w:p w14:paraId="478A5E21"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636</w:t>
            </w:r>
          </w:p>
        </w:tc>
      </w:tr>
      <w:tr w:rsidR="00C80446" w:rsidRPr="00194C83" w14:paraId="0F300F10" w14:textId="77777777" w:rsidTr="005E1134">
        <w:trPr>
          <w:trHeight w:val="300"/>
        </w:trPr>
        <w:tc>
          <w:tcPr>
            <w:tcW w:w="2489" w:type="pct"/>
            <w:tcBorders>
              <w:top w:val="nil"/>
              <w:left w:val="nil"/>
              <w:bottom w:val="nil"/>
              <w:right w:val="nil"/>
            </w:tcBorders>
            <w:shd w:val="clear" w:color="auto" w:fill="auto"/>
            <w:noWrap/>
            <w:vAlign w:val="bottom"/>
            <w:hideMark/>
          </w:tcPr>
          <w:p w14:paraId="77ABD241" w14:textId="77777777" w:rsidR="00C80446" w:rsidRPr="00307207" w:rsidRDefault="00C80446" w:rsidP="0044781D">
            <w:pPr>
              <w:spacing w:after="0" w:line="240" w:lineRule="auto"/>
              <w:ind w:firstLineChars="400" w:firstLine="800"/>
              <w:jc w:val="left"/>
              <w:rPr>
                <w:rFonts w:eastAsia="Times New Roman" w:cs="Times New Roman"/>
                <w:sz w:val="20"/>
                <w:szCs w:val="20"/>
                <w:lang w:eastAsia="sk-SK"/>
              </w:rPr>
            </w:pPr>
            <w:r w:rsidRPr="00307207">
              <w:rPr>
                <w:rFonts w:eastAsia="Times New Roman" w:cs="Times New Roman"/>
                <w:sz w:val="20"/>
                <w:szCs w:val="20"/>
                <w:lang w:eastAsia="sk-SK"/>
              </w:rPr>
              <w:t>MH Invest II., s. r. o.</w:t>
            </w:r>
          </w:p>
        </w:tc>
        <w:tc>
          <w:tcPr>
            <w:tcW w:w="665" w:type="pct"/>
            <w:tcBorders>
              <w:top w:val="nil"/>
              <w:left w:val="nil"/>
              <w:bottom w:val="nil"/>
              <w:right w:val="nil"/>
            </w:tcBorders>
            <w:shd w:val="clear" w:color="auto" w:fill="auto"/>
            <w:noWrap/>
            <w:vAlign w:val="bottom"/>
            <w:hideMark/>
          </w:tcPr>
          <w:p w14:paraId="15AE013A"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2 762</w:t>
            </w:r>
          </w:p>
        </w:tc>
        <w:tc>
          <w:tcPr>
            <w:tcW w:w="664" w:type="pct"/>
            <w:tcBorders>
              <w:top w:val="nil"/>
              <w:left w:val="nil"/>
              <w:bottom w:val="nil"/>
              <w:right w:val="nil"/>
            </w:tcBorders>
            <w:shd w:val="clear" w:color="auto" w:fill="auto"/>
            <w:noWrap/>
            <w:vAlign w:val="bottom"/>
            <w:hideMark/>
          </w:tcPr>
          <w:p w14:paraId="4F71BA0D"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2 755</w:t>
            </w:r>
          </w:p>
        </w:tc>
        <w:tc>
          <w:tcPr>
            <w:tcW w:w="663" w:type="pct"/>
            <w:tcBorders>
              <w:top w:val="nil"/>
              <w:left w:val="nil"/>
              <w:bottom w:val="nil"/>
              <w:right w:val="nil"/>
            </w:tcBorders>
            <w:shd w:val="clear" w:color="auto" w:fill="BFBFBF" w:themeFill="background1" w:themeFillShade="BF"/>
            <w:noWrap/>
            <w:vAlign w:val="bottom"/>
            <w:hideMark/>
          </w:tcPr>
          <w:p w14:paraId="58FB7676"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2 730</w:t>
            </w:r>
          </w:p>
        </w:tc>
        <w:tc>
          <w:tcPr>
            <w:tcW w:w="519" w:type="pct"/>
            <w:tcBorders>
              <w:top w:val="nil"/>
              <w:left w:val="nil"/>
              <w:bottom w:val="nil"/>
              <w:right w:val="nil"/>
            </w:tcBorders>
            <w:shd w:val="clear" w:color="auto" w:fill="auto"/>
            <w:noWrap/>
            <w:vAlign w:val="bottom"/>
            <w:hideMark/>
          </w:tcPr>
          <w:p w14:paraId="41FC82BB" w14:textId="77777777" w:rsidR="00C80446" w:rsidRPr="00194C83" w:rsidRDefault="00C80446" w:rsidP="0044781D">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-25</w:t>
            </w:r>
          </w:p>
        </w:tc>
      </w:tr>
      <w:tr w:rsidR="006822D1" w:rsidRPr="00194C83" w14:paraId="17E43A53" w14:textId="77777777" w:rsidTr="005E1134">
        <w:trPr>
          <w:trHeight w:val="300"/>
        </w:trPr>
        <w:tc>
          <w:tcPr>
            <w:tcW w:w="2489" w:type="pct"/>
            <w:tcBorders>
              <w:top w:val="nil"/>
              <w:left w:val="nil"/>
              <w:bottom w:val="nil"/>
              <w:right w:val="nil"/>
            </w:tcBorders>
            <w:shd w:val="clear" w:color="auto" w:fill="auto"/>
            <w:noWrap/>
            <w:vAlign w:val="bottom"/>
            <w:hideMark/>
          </w:tcPr>
          <w:p w14:paraId="337A2392" w14:textId="77777777" w:rsidR="006822D1" w:rsidRPr="00194C83" w:rsidRDefault="006822D1" w:rsidP="006822D1">
            <w:pPr>
              <w:spacing w:after="0" w:line="240" w:lineRule="auto"/>
              <w:ind w:firstLineChars="400" w:firstLine="800"/>
              <w:jc w:val="left"/>
              <w:rPr>
                <w:rFonts w:eastAsia="Times New Roman" w:cs="Times New Roman"/>
                <w:sz w:val="20"/>
                <w:szCs w:val="20"/>
                <w:lang w:eastAsia="sk-SK"/>
              </w:rPr>
            </w:pPr>
            <w:r w:rsidRPr="00194C83">
              <w:rPr>
                <w:rFonts w:eastAsia="Times New Roman" w:cs="Times New Roman"/>
                <w:sz w:val="20"/>
                <w:szCs w:val="20"/>
                <w:lang w:eastAsia="sk-SK"/>
              </w:rPr>
              <w:t>MH Invest, s. r .o.</w:t>
            </w:r>
          </w:p>
        </w:tc>
        <w:tc>
          <w:tcPr>
            <w:tcW w:w="665" w:type="pct"/>
            <w:tcBorders>
              <w:top w:val="nil"/>
              <w:left w:val="nil"/>
              <w:bottom w:val="nil"/>
              <w:right w:val="nil"/>
            </w:tcBorders>
            <w:shd w:val="clear" w:color="auto" w:fill="auto"/>
            <w:noWrap/>
            <w:vAlign w:val="bottom"/>
            <w:hideMark/>
          </w:tcPr>
          <w:p w14:paraId="6FB36BC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30</w:t>
            </w:r>
          </w:p>
        </w:tc>
        <w:tc>
          <w:tcPr>
            <w:tcW w:w="664" w:type="pct"/>
            <w:tcBorders>
              <w:top w:val="nil"/>
              <w:left w:val="nil"/>
              <w:bottom w:val="nil"/>
              <w:right w:val="nil"/>
            </w:tcBorders>
            <w:shd w:val="clear" w:color="auto" w:fill="auto"/>
            <w:noWrap/>
            <w:vAlign w:val="bottom"/>
            <w:hideMark/>
          </w:tcPr>
          <w:p w14:paraId="513BCF4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0</w:t>
            </w:r>
          </w:p>
        </w:tc>
        <w:tc>
          <w:tcPr>
            <w:tcW w:w="663" w:type="pct"/>
            <w:tcBorders>
              <w:top w:val="nil"/>
              <w:left w:val="nil"/>
              <w:bottom w:val="nil"/>
              <w:right w:val="nil"/>
            </w:tcBorders>
            <w:shd w:val="clear" w:color="auto" w:fill="BFBFBF" w:themeFill="background1" w:themeFillShade="BF"/>
            <w:noWrap/>
            <w:vAlign w:val="bottom"/>
            <w:hideMark/>
          </w:tcPr>
          <w:p w14:paraId="7E8B79A2"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0</w:t>
            </w:r>
          </w:p>
        </w:tc>
        <w:tc>
          <w:tcPr>
            <w:tcW w:w="519" w:type="pct"/>
            <w:tcBorders>
              <w:top w:val="nil"/>
              <w:left w:val="nil"/>
              <w:bottom w:val="nil"/>
              <w:right w:val="nil"/>
            </w:tcBorders>
            <w:shd w:val="clear" w:color="auto" w:fill="auto"/>
            <w:noWrap/>
            <w:vAlign w:val="bottom"/>
            <w:hideMark/>
          </w:tcPr>
          <w:p w14:paraId="47C62773"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0</w:t>
            </w:r>
          </w:p>
        </w:tc>
      </w:tr>
      <w:tr w:rsidR="006822D1" w:rsidRPr="00194C83" w14:paraId="662F9F71" w14:textId="77777777" w:rsidTr="005E1134">
        <w:trPr>
          <w:trHeight w:val="300"/>
        </w:trPr>
        <w:tc>
          <w:tcPr>
            <w:tcW w:w="2489" w:type="pct"/>
            <w:tcBorders>
              <w:top w:val="nil"/>
              <w:left w:val="nil"/>
              <w:bottom w:val="nil"/>
              <w:right w:val="nil"/>
            </w:tcBorders>
            <w:shd w:val="clear" w:color="auto" w:fill="auto"/>
            <w:noWrap/>
            <w:vAlign w:val="bottom"/>
            <w:hideMark/>
          </w:tcPr>
          <w:p w14:paraId="782B4345"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Verejné vysoké školy</w:t>
            </w:r>
          </w:p>
        </w:tc>
        <w:tc>
          <w:tcPr>
            <w:tcW w:w="665" w:type="pct"/>
            <w:tcBorders>
              <w:top w:val="nil"/>
              <w:left w:val="nil"/>
              <w:bottom w:val="nil"/>
              <w:right w:val="nil"/>
            </w:tcBorders>
            <w:shd w:val="clear" w:color="auto" w:fill="auto"/>
            <w:noWrap/>
            <w:vAlign w:val="bottom"/>
            <w:hideMark/>
          </w:tcPr>
          <w:p w14:paraId="2EC0B5F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7 806</w:t>
            </w:r>
          </w:p>
        </w:tc>
        <w:tc>
          <w:tcPr>
            <w:tcW w:w="664" w:type="pct"/>
            <w:tcBorders>
              <w:top w:val="nil"/>
              <w:left w:val="nil"/>
              <w:bottom w:val="nil"/>
              <w:right w:val="nil"/>
            </w:tcBorders>
            <w:shd w:val="clear" w:color="auto" w:fill="auto"/>
            <w:noWrap/>
            <w:vAlign w:val="bottom"/>
            <w:hideMark/>
          </w:tcPr>
          <w:p w14:paraId="32127192"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5 553</w:t>
            </w:r>
          </w:p>
        </w:tc>
        <w:tc>
          <w:tcPr>
            <w:tcW w:w="663" w:type="pct"/>
            <w:tcBorders>
              <w:top w:val="nil"/>
              <w:left w:val="nil"/>
              <w:bottom w:val="nil"/>
              <w:right w:val="nil"/>
            </w:tcBorders>
            <w:shd w:val="clear" w:color="auto" w:fill="BFBFBF" w:themeFill="background1" w:themeFillShade="BF"/>
            <w:noWrap/>
            <w:vAlign w:val="bottom"/>
            <w:hideMark/>
          </w:tcPr>
          <w:p w14:paraId="089BAC88"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5 439</w:t>
            </w:r>
          </w:p>
        </w:tc>
        <w:tc>
          <w:tcPr>
            <w:tcW w:w="519" w:type="pct"/>
            <w:tcBorders>
              <w:top w:val="nil"/>
              <w:left w:val="nil"/>
              <w:bottom w:val="nil"/>
              <w:right w:val="nil"/>
            </w:tcBorders>
            <w:shd w:val="clear" w:color="auto" w:fill="auto"/>
            <w:noWrap/>
            <w:vAlign w:val="bottom"/>
            <w:hideMark/>
          </w:tcPr>
          <w:p w14:paraId="5736A39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-114</w:t>
            </w:r>
          </w:p>
        </w:tc>
      </w:tr>
      <w:tr w:rsidR="006822D1" w:rsidRPr="00194C83" w14:paraId="486EACB8" w14:textId="77777777" w:rsidTr="005E1134">
        <w:trPr>
          <w:trHeight w:val="300"/>
        </w:trPr>
        <w:tc>
          <w:tcPr>
            <w:tcW w:w="2489" w:type="pct"/>
            <w:tcBorders>
              <w:top w:val="nil"/>
              <w:left w:val="nil"/>
              <w:bottom w:val="nil"/>
              <w:right w:val="nil"/>
            </w:tcBorders>
            <w:shd w:val="clear" w:color="auto" w:fill="auto"/>
            <w:noWrap/>
            <w:vAlign w:val="bottom"/>
            <w:hideMark/>
          </w:tcPr>
          <w:p w14:paraId="4C0490FC"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Zdravotnícke zariadenia ústrednej správy</w:t>
            </w:r>
          </w:p>
        </w:tc>
        <w:tc>
          <w:tcPr>
            <w:tcW w:w="665" w:type="pct"/>
            <w:tcBorders>
              <w:top w:val="nil"/>
              <w:left w:val="nil"/>
              <w:bottom w:val="nil"/>
              <w:right w:val="nil"/>
            </w:tcBorders>
            <w:shd w:val="clear" w:color="auto" w:fill="auto"/>
            <w:noWrap/>
            <w:vAlign w:val="bottom"/>
            <w:hideMark/>
          </w:tcPr>
          <w:p w14:paraId="663AF2B4"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109 649</w:t>
            </w:r>
          </w:p>
        </w:tc>
        <w:tc>
          <w:tcPr>
            <w:tcW w:w="664" w:type="pct"/>
            <w:tcBorders>
              <w:top w:val="nil"/>
              <w:left w:val="nil"/>
              <w:bottom w:val="nil"/>
              <w:right w:val="nil"/>
            </w:tcBorders>
            <w:shd w:val="clear" w:color="auto" w:fill="auto"/>
            <w:noWrap/>
            <w:vAlign w:val="bottom"/>
            <w:hideMark/>
          </w:tcPr>
          <w:p w14:paraId="7E7DD773"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152 218</w:t>
            </w:r>
          </w:p>
        </w:tc>
        <w:tc>
          <w:tcPr>
            <w:tcW w:w="663" w:type="pct"/>
            <w:tcBorders>
              <w:top w:val="nil"/>
              <w:left w:val="nil"/>
              <w:bottom w:val="nil"/>
              <w:right w:val="nil"/>
            </w:tcBorders>
            <w:shd w:val="clear" w:color="auto" w:fill="BFBFBF" w:themeFill="background1" w:themeFillShade="BF"/>
            <w:noWrap/>
            <w:vAlign w:val="bottom"/>
            <w:hideMark/>
          </w:tcPr>
          <w:p w14:paraId="3CBF64D8"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179 535</w:t>
            </w:r>
          </w:p>
        </w:tc>
        <w:tc>
          <w:tcPr>
            <w:tcW w:w="519" w:type="pct"/>
            <w:tcBorders>
              <w:top w:val="nil"/>
              <w:left w:val="nil"/>
              <w:bottom w:val="nil"/>
              <w:right w:val="nil"/>
            </w:tcBorders>
            <w:shd w:val="clear" w:color="auto" w:fill="auto"/>
            <w:noWrap/>
            <w:vAlign w:val="bottom"/>
            <w:hideMark/>
          </w:tcPr>
          <w:p w14:paraId="158C74E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27 317</w:t>
            </w:r>
          </w:p>
        </w:tc>
      </w:tr>
      <w:tr w:rsidR="006822D1" w:rsidRPr="00194C83" w14:paraId="512950E1" w14:textId="77777777" w:rsidTr="005E1134">
        <w:trPr>
          <w:trHeight w:val="300"/>
        </w:trPr>
        <w:tc>
          <w:tcPr>
            <w:tcW w:w="2489" w:type="pct"/>
            <w:tcBorders>
              <w:top w:val="nil"/>
              <w:left w:val="nil"/>
              <w:bottom w:val="nil"/>
              <w:right w:val="nil"/>
            </w:tcBorders>
            <w:shd w:val="clear" w:color="auto" w:fill="auto"/>
            <w:noWrap/>
            <w:vAlign w:val="bottom"/>
            <w:hideMark/>
          </w:tcPr>
          <w:p w14:paraId="58E4FC03"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Ostatné subjekty ústrednej správy</w:t>
            </w:r>
          </w:p>
        </w:tc>
        <w:tc>
          <w:tcPr>
            <w:tcW w:w="665" w:type="pct"/>
            <w:tcBorders>
              <w:top w:val="nil"/>
              <w:left w:val="nil"/>
              <w:bottom w:val="nil"/>
              <w:right w:val="nil"/>
            </w:tcBorders>
            <w:shd w:val="clear" w:color="auto" w:fill="auto"/>
            <w:noWrap/>
            <w:vAlign w:val="bottom"/>
            <w:hideMark/>
          </w:tcPr>
          <w:p w14:paraId="63A4F1E1"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461 733</w:t>
            </w:r>
          </w:p>
        </w:tc>
        <w:tc>
          <w:tcPr>
            <w:tcW w:w="664" w:type="pct"/>
            <w:tcBorders>
              <w:top w:val="nil"/>
              <w:left w:val="nil"/>
              <w:bottom w:val="nil"/>
              <w:right w:val="nil"/>
            </w:tcBorders>
            <w:shd w:val="clear" w:color="auto" w:fill="auto"/>
            <w:noWrap/>
            <w:vAlign w:val="bottom"/>
            <w:hideMark/>
          </w:tcPr>
          <w:p w14:paraId="49E02911"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412 408</w:t>
            </w:r>
          </w:p>
        </w:tc>
        <w:tc>
          <w:tcPr>
            <w:tcW w:w="663" w:type="pct"/>
            <w:tcBorders>
              <w:top w:val="nil"/>
              <w:left w:val="nil"/>
              <w:bottom w:val="nil"/>
              <w:right w:val="nil"/>
            </w:tcBorders>
            <w:shd w:val="clear" w:color="auto" w:fill="BFBFBF" w:themeFill="background1" w:themeFillShade="BF"/>
            <w:noWrap/>
            <w:vAlign w:val="bottom"/>
            <w:hideMark/>
          </w:tcPr>
          <w:p w14:paraId="3794535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367 527</w:t>
            </w:r>
          </w:p>
        </w:tc>
        <w:tc>
          <w:tcPr>
            <w:tcW w:w="519" w:type="pct"/>
            <w:tcBorders>
              <w:top w:val="nil"/>
              <w:left w:val="nil"/>
              <w:bottom w:val="nil"/>
              <w:right w:val="nil"/>
            </w:tcBorders>
            <w:shd w:val="clear" w:color="auto" w:fill="auto"/>
            <w:noWrap/>
            <w:vAlign w:val="bottom"/>
            <w:hideMark/>
          </w:tcPr>
          <w:p w14:paraId="504DBBC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-44 881</w:t>
            </w:r>
          </w:p>
        </w:tc>
      </w:tr>
      <w:tr w:rsidR="006822D1" w:rsidRPr="00194C83" w14:paraId="2244F580" w14:textId="77777777" w:rsidTr="005E1134">
        <w:trPr>
          <w:trHeight w:val="300"/>
        </w:trPr>
        <w:tc>
          <w:tcPr>
            <w:tcW w:w="2489" w:type="pct"/>
            <w:tcBorders>
              <w:top w:val="nil"/>
              <w:left w:val="nil"/>
              <w:bottom w:val="nil"/>
              <w:right w:val="nil"/>
            </w:tcBorders>
            <w:shd w:val="clear" w:color="auto" w:fill="auto"/>
            <w:noWrap/>
            <w:vAlign w:val="bottom"/>
            <w:hideMark/>
          </w:tcPr>
          <w:p w14:paraId="39109930" w14:textId="77777777" w:rsidR="006822D1" w:rsidRPr="00194C83" w:rsidRDefault="006822D1" w:rsidP="006822D1">
            <w:pPr>
              <w:spacing w:after="0" w:line="240" w:lineRule="auto"/>
              <w:jc w:val="left"/>
              <w:rPr>
                <w:rFonts w:eastAsia="Times New Roman" w:cs="Times New Roman"/>
                <w:b/>
                <w:bCs/>
                <w:sz w:val="20"/>
                <w:szCs w:val="20"/>
                <w:lang w:eastAsia="sk-SK"/>
              </w:rPr>
            </w:pPr>
            <w:r w:rsidRPr="00194C83">
              <w:rPr>
                <w:rFonts w:eastAsia="Times New Roman" w:cs="Times New Roman"/>
                <w:b/>
                <w:bCs/>
                <w:sz w:val="20"/>
                <w:szCs w:val="20"/>
                <w:lang w:eastAsia="sk-SK"/>
              </w:rPr>
              <w:t>Územná samospráva</w:t>
            </w:r>
          </w:p>
        </w:tc>
        <w:tc>
          <w:tcPr>
            <w:tcW w:w="665" w:type="pct"/>
            <w:tcBorders>
              <w:top w:val="nil"/>
              <w:left w:val="nil"/>
              <w:bottom w:val="nil"/>
              <w:right w:val="nil"/>
            </w:tcBorders>
            <w:shd w:val="clear" w:color="auto" w:fill="auto"/>
            <w:noWrap/>
            <w:vAlign w:val="bottom"/>
            <w:hideMark/>
          </w:tcPr>
          <w:p w14:paraId="4CD18AEC" w14:textId="77777777" w:rsidR="006822D1" w:rsidRPr="00194C83" w:rsidRDefault="006822D1" w:rsidP="006822D1">
            <w:pPr>
              <w:spacing w:after="0" w:line="240" w:lineRule="auto"/>
              <w:jc w:val="left"/>
              <w:rPr>
                <w:rFonts w:eastAsia="Times New Roman" w:cs="Times New Roman"/>
                <w:b/>
                <w:bCs/>
                <w:sz w:val="20"/>
                <w:szCs w:val="20"/>
                <w:lang w:eastAsia="sk-SK"/>
              </w:rPr>
            </w:pPr>
          </w:p>
        </w:tc>
        <w:tc>
          <w:tcPr>
            <w:tcW w:w="664" w:type="pct"/>
            <w:tcBorders>
              <w:top w:val="nil"/>
              <w:left w:val="nil"/>
              <w:bottom w:val="nil"/>
              <w:right w:val="nil"/>
            </w:tcBorders>
            <w:shd w:val="clear" w:color="auto" w:fill="auto"/>
            <w:noWrap/>
            <w:vAlign w:val="bottom"/>
            <w:hideMark/>
          </w:tcPr>
          <w:p w14:paraId="1DCB5A53"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663" w:type="pct"/>
            <w:tcBorders>
              <w:top w:val="nil"/>
              <w:left w:val="nil"/>
              <w:bottom w:val="nil"/>
              <w:right w:val="nil"/>
            </w:tcBorders>
            <w:shd w:val="clear" w:color="auto" w:fill="BFBFBF" w:themeFill="background1" w:themeFillShade="BF"/>
            <w:noWrap/>
            <w:vAlign w:val="bottom"/>
            <w:hideMark/>
          </w:tcPr>
          <w:p w14:paraId="1D54ECC9"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519" w:type="pct"/>
            <w:tcBorders>
              <w:top w:val="nil"/>
              <w:left w:val="nil"/>
              <w:bottom w:val="nil"/>
              <w:right w:val="nil"/>
            </w:tcBorders>
            <w:shd w:val="clear" w:color="auto" w:fill="auto"/>
            <w:noWrap/>
            <w:vAlign w:val="bottom"/>
            <w:hideMark/>
          </w:tcPr>
          <w:p w14:paraId="5E0C8B32" w14:textId="77777777" w:rsidR="006822D1" w:rsidRPr="00194C83" w:rsidRDefault="006822D1" w:rsidP="006822D1">
            <w:pPr>
              <w:spacing w:after="0" w:line="240" w:lineRule="auto"/>
              <w:jc w:val="left"/>
              <w:rPr>
                <w:rFonts w:eastAsia="Times New Roman" w:cs="Times New Roman"/>
                <w:sz w:val="20"/>
                <w:szCs w:val="20"/>
                <w:lang w:eastAsia="sk-SK"/>
              </w:rPr>
            </w:pPr>
          </w:p>
        </w:tc>
      </w:tr>
      <w:tr w:rsidR="006822D1" w:rsidRPr="00194C83" w14:paraId="20BF5636" w14:textId="77777777" w:rsidTr="005E1134">
        <w:trPr>
          <w:trHeight w:val="300"/>
        </w:trPr>
        <w:tc>
          <w:tcPr>
            <w:tcW w:w="2489" w:type="pct"/>
            <w:tcBorders>
              <w:top w:val="nil"/>
              <w:left w:val="nil"/>
              <w:bottom w:val="nil"/>
              <w:right w:val="nil"/>
            </w:tcBorders>
            <w:shd w:val="clear" w:color="auto" w:fill="auto"/>
            <w:noWrap/>
            <w:vAlign w:val="bottom"/>
            <w:hideMark/>
          </w:tcPr>
          <w:p w14:paraId="4A8AFE66"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Obce a ich rozpočtové organizácie</w:t>
            </w:r>
          </w:p>
        </w:tc>
        <w:tc>
          <w:tcPr>
            <w:tcW w:w="665" w:type="pct"/>
            <w:tcBorders>
              <w:top w:val="nil"/>
              <w:left w:val="nil"/>
              <w:bottom w:val="nil"/>
              <w:right w:val="nil"/>
            </w:tcBorders>
            <w:shd w:val="clear" w:color="auto" w:fill="auto"/>
            <w:noWrap/>
            <w:vAlign w:val="bottom"/>
            <w:hideMark/>
          </w:tcPr>
          <w:p w14:paraId="514E7328"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1 379 545</w:t>
            </w:r>
          </w:p>
        </w:tc>
        <w:tc>
          <w:tcPr>
            <w:tcW w:w="664" w:type="pct"/>
            <w:tcBorders>
              <w:top w:val="nil"/>
              <w:left w:val="nil"/>
              <w:bottom w:val="nil"/>
              <w:right w:val="nil"/>
            </w:tcBorders>
            <w:shd w:val="clear" w:color="auto" w:fill="auto"/>
            <w:noWrap/>
            <w:vAlign w:val="bottom"/>
            <w:hideMark/>
          </w:tcPr>
          <w:p w14:paraId="49A4B92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1 472 902</w:t>
            </w:r>
          </w:p>
        </w:tc>
        <w:tc>
          <w:tcPr>
            <w:tcW w:w="663" w:type="pct"/>
            <w:tcBorders>
              <w:top w:val="nil"/>
              <w:left w:val="nil"/>
              <w:bottom w:val="nil"/>
              <w:right w:val="nil"/>
            </w:tcBorders>
            <w:shd w:val="clear" w:color="auto" w:fill="BFBFBF" w:themeFill="background1" w:themeFillShade="BF"/>
            <w:noWrap/>
            <w:vAlign w:val="bottom"/>
            <w:hideMark/>
          </w:tcPr>
          <w:p w14:paraId="4F5FA4B2"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1 490 908</w:t>
            </w:r>
          </w:p>
        </w:tc>
        <w:tc>
          <w:tcPr>
            <w:tcW w:w="519" w:type="pct"/>
            <w:tcBorders>
              <w:top w:val="nil"/>
              <w:left w:val="nil"/>
              <w:bottom w:val="nil"/>
              <w:right w:val="nil"/>
            </w:tcBorders>
            <w:shd w:val="clear" w:color="auto" w:fill="auto"/>
            <w:noWrap/>
            <w:vAlign w:val="bottom"/>
            <w:hideMark/>
          </w:tcPr>
          <w:p w14:paraId="233E1BDB"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18 006</w:t>
            </w:r>
          </w:p>
        </w:tc>
      </w:tr>
      <w:tr w:rsidR="006822D1" w:rsidRPr="00194C83" w14:paraId="18D0689C" w14:textId="77777777" w:rsidTr="005E1134">
        <w:trPr>
          <w:trHeight w:val="300"/>
        </w:trPr>
        <w:tc>
          <w:tcPr>
            <w:tcW w:w="2489" w:type="pct"/>
            <w:tcBorders>
              <w:top w:val="nil"/>
              <w:left w:val="nil"/>
              <w:bottom w:val="nil"/>
              <w:right w:val="nil"/>
            </w:tcBorders>
            <w:shd w:val="clear" w:color="auto" w:fill="auto"/>
            <w:noWrap/>
            <w:vAlign w:val="bottom"/>
            <w:hideMark/>
          </w:tcPr>
          <w:p w14:paraId="34D47382" w14:textId="77777777" w:rsidR="00C80446" w:rsidRDefault="006822D1" w:rsidP="00C80446">
            <w:pPr>
              <w:spacing w:after="0" w:line="240" w:lineRule="auto"/>
              <w:ind w:left="356" w:right="-373"/>
              <w:jc w:val="left"/>
              <w:rPr>
                <w:rFonts w:eastAsia="Times New Roman" w:cs="Times New Roman"/>
                <w:sz w:val="20"/>
                <w:szCs w:val="20"/>
                <w:lang w:eastAsia="sk-SK"/>
              </w:rPr>
            </w:pPr>
            <w:r w:rsidRPr="00194C83">
              <w:rPr>
                <w:rFonts w:eastAsia="Times New Roman" w:cs="Times New Roman"/>
                <w:sz w:val="20"/>
                <w:szCs w:val="20"/>
                <w:lang w:eastAsia="sk-SK"/>
              </w:rPr>
              <w:t xml:space="preserve">Vyššie územné celky a ich rozpočtové </w:t>
            </w:r>
            <w:r w:rsidR="002923BD">
              <w:rPr>
                <w:rFonts w:eastAsia="Times New Roman" w:cs="Times New Roman"/>
                <w:sz w:val="20"/>
                <w:szCs w:val="20"/>
                <w:lang w:eastAsia="sk-SK"/>
              </w:rPr>
              <w:t xml:space="preserve"> </w:t>
            </w:r>
          </w:p>
          <w:p w14:paraId="675B0B30" w14:textId="556021AF" w:rsidR="006822D1" w:rsidRPr="00194C83" w:rsidRDefault="006822D1" w:rsidP="00C80446">
            <w:pPr>
              <w:spacing w:after="0" w:line="240" w:lineRule="auto"/>
              <w:ind w:left="356" w:right="-373"/>
              <w:jc w:val="left"/>
              <w:rPr>
                <w:rFonts w:eastAsia="Times New Roman" w:cs="Times New Roman"/>
                <w:sz w:val="20"/>
                <w:szCs w:val="20"/>
                <w:lang w:eastAsia="sk-SK"/>
              </w:rPr>
            </w:pPr>
            <w:r w:rsidRPr="00194C83">
              <w:rPr>
                <w:rFonts w:eastAsia="Times New Roman" w:cs="Times New Roman"/>
                <w:sz w:val="20"/>
                <w:szCs w:val="20"/>
                <w:lang w:eastAsia="sk-SK"/>
              </w:rPr>
              <w:t>organizácie</w:t>
            </w:r>
          </w:p>
        </w:tc>
        <w:tc>
          <w:tcPr>
            <w:tcW w:w="665" w:type="pct"/>
            <w:tcBorders>
              <w:top w:val="nil"/>
              <w:left w:val="nil"/>
              <w:bottom w:val="nil"/>
              <w:right w:val="nil"/>
            </w:tcBorders>
            <w:shd w:val="clear" w:color="auto" w:fill="auto"/>
            <w:noWrap/>
            <w:vAlign w:val="bottom"/>
            <w:hideMark/>
          </w:tcPr>
          <w:p w14:paraId="2AC92BC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369 732</w:t>
            </w:r>
          </w:p>
        </w:tc>
        <w:tc>
          <w:tcPr>
            <w:tcW w:w="664" w:type="pct"/>
            <w:tcBorders>
              <w:top w:val="nil"/>
              <w:left w:val="nil"/>
              <w:bottom w:val="nil"/>
              <w:right w:val="nil"/>
            </w:tcBorders>
            <w:shd w:val="clear" w:color="auto" w:fill="auto"/>
            <w:noWrap/>
            <w:vAlign w:val="bottom"/>
            <w:hideMark/>
          </w:tcPr>
          <w:p w14:paraId="02A0FDA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362 819</w:t>
            </w:r>
          </w:p>
        </w:tc>
        <w:tc>
          <w:tcPr>
            <w:tcW w:w="663" w:type="pct"/>
            <w:tcBorders>
              <w:top w:val="nil"/>
              <w:left w:val="nil"/>
              <w:bottom w:val="nil"/>
              <w:right w:val="nil"/>
            </w:tcBorders>
            <w:shd w:val="clear" w:color="auto" w:fill="BFBFBF" w:themeFill="background1" w:themeFillShade="BF"/>
            <w:noWrap/>
            <w:vAlign w:val="bottom"/>
            <w:hideMark/>
          </w:tcPr>
          <w:p w14:paraId="752FEEBE"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391 001</w:t>
            </w:r>
          </w:p>
        </w:tc>
        <w:tc>
          <w:tcPr>
            <w:tcW w:w="519" w:type="pct"/>
            <w:tcBorders>
              <w:top w:val="nil"/>
              <w:left w:val="nil"/>
              <w:bottom w:val="nil"/>
              <w:right w:val="nil"/>
            </w:tcBorders>
            <w:shd w:val="clear" w:color="auto" w:fill="auto"/>
            <w:noWrap/>
            <w:vAlign w:val="bottom"/>
            <w:hideMark/>
          </w:tcPr>
          <w:p w14:paraId="4AE6F1A0"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28 182</w:t>
            </w:r>
          </w:p>
        </w:tc>
      </w:tr>
      <w:tr w:rsidR="006822D1" w:rsidRPr="00194C83" w14:paraId="258F9FFE" w14:textId="77777777" w:rsidTr="005E1134">
        <w:trPr>
          <w:trHeight w:val="300"/>
        </w:trPr>
        <w:tc>
          <w:tcPr>
            <w:tcW w:w="2489" w:type="pct"/>
            <w:tcBorders>
              <w:top w:val="nil"/>
              <w:left w:val="nil"/>
              <w:bottom w:val="nil"/>
              <w:right w:val="nil"/>
            </w:tcBorders>
            <w:shd w:val="clear" w:color="auto" w:fill="auto"/>
            <w:noWrap/>
            <w:vAlign w:val="bottom"/>
            <w:hideMark/>
          </w:tcPr>
          <w:p w14:paraId="0E49E837"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Príspevkové organizácie obcí</w:t>
            </w:r>
          </w:p>
        </w:tc>
        <w:tc>
          <w:tcPr>
            <w:tcW w:w="665" w:type="pct"/>
            <w:tcBorders>
              <w:top w:val="nil"/>
              <w:left w:val="nil"/>
              <w:bottom w:val="nil"/>
              <w:right w:val="nil"/>
            </w:tcBorders>
            <w:shd w:val="clear" w:color="auto" w:fill="auto"/>
            <w:noWrap/>
            <w:vAlign w:val="bottom"/>
            <w:hideMark/>
          </w:tcPr>
          <w:p w14:paraId="445E3AA8"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1 327</w:t>
            </w:r>
          </w:p>
        </w:tc>
        <w:tc>
          <w:tcPr>
            <w:tcW w:w="664" w:type="pct"/>
            <w:tcBorders>
              <w:top w:val="nil"/>
              <w:left w:val="nil"/>
              <w:bottom w:val="nil"/>
              <w:right w:val="nil"/>
            </w:tcBorders>
            <w:shd w:val="clear" w:color="auto" w:fill="auto"/>
            <w:noWrap/>
            <w:vAlign w:val="bottom"/>
            <w:hideMark/>
          </w:tcPr>
          <w:p w14:paraId="6DFD0D1B"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1 540</w:t>
            </w:r>
          </w:p>
        </w:tc>
        <w:tc>
          <w:tcPr>
            <w:tcW w:w="663" w:type="pct"/>
            <w:tcBorders>
              <w:top w:val="nil"/>
              <w:left w:val="nil"/>
              <w:bottom w:val="nil"/>
              <w:right w:val="nil"/>
            </w:tcBorders>
            <w:shd w:val="clear" w:color="auto" w:fill="BFBFBF" w:themeFill="background1" w:themeFillShade="BF"/>
            <w:noWrap/>
            <w:vAlign w:val="bottom"/>
            <w:hideMark/>
          </w:tcPr>
          <w:p w14:paraId="1FECA8F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1 507</w:t>
            </w:r>
          </w:p>
        </w:tc>
        <w:tc>
          <w:tcPr>
            <w:tcW w:w="519" w:type="pct"/>
            <w:tcBorders>
              <w:top w:val="nil"/>
              <w:left w:val="nil"/>
              <w:bottom w:val="nil"/>
              <w:right w:val="nil"/>
            </w:tcBorders>
            <w:shd w:val="clear" w:color="auto" w:fill="auto"/>
            <w:noWrap/>
            <w:vAlign w:val="bottom"/>
            <w:hideMark/>
          </w:tcPr>
          <w:p w14:paraId="551BC634"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-33</w:t>
            </w:r>
          </w:p>
        </w:tc>
      </w:tr>
      <w:tr w:rsidR="006822D1" w:rsidRPr="00194C83" w14:paraId="569027D8" w14:textId="77777777" w:rsidTr="005E1134">
        <w:trPr>
          <w:trHeight w:val="300"/>
        </w:trPr>
        <w:tc>
          <w:tcPr>
            <w:tcW w:w="2489" w:type="pct"/>
            <w:tcBorders>
              <w:top w:val="nil"/>
              <w:left w:val="nil"/>
              <w:bottom w:val="nil"/>
              <w:right w:val="nil"/>
            </w:tcBorders>
            <w:shd w:val="clear" w:color="auto" w:fill="auto"/>
            <w:noWrap/>
            <w:vAlign w:val="bottom"/>
            <w:hideMark/>
          </w:tcPr>
          <w:p w14:paraId="11F9AAB8"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Príspevkové organizácie VÚC</w:t>
            </w:r>
          </w:p>
        </w:tc>
        <w:tc>
          <w:tcPr>
            <w:tcW w:w="665" w:type="pct"/>
            <w:tcBorders>
              <w:top w:val="nil"/>
              <w:left w:val="nil"/>
              <w:bottom w:val="nil"/>
              <w:right w:val="nil"/>
            </w:tcBorders>
            <w:shd w:val="clear" w:color="auto" w:fill="auto"/>
            <w:noWrap/>
            <w:vAlign w:val="bottom"/>
            <w:hideMark/>
          </w:tcPr>
          <w:p w14:paraId="3217075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881</w:t>
            </w:r>
          </w:p>
        </w:tc>
        <w:tc>
          <w:tcPr>
            <w:tcW w:w="664" w:type="pct"/>
            <w:tcBorders>
              <w:top w:val="nil"/>
              <w:left w:val="nil"/>
              <w:bottom w:val="nil"/>
              <w:right w:val="nil"/>
            </w:tcBorders>
            <w:shd w:val="clear" w:color="auto" w:fill="auto"/>
            <w:noWrap/>
            <w:vAlign w:val="bottom"/>
            <w:hideMark/>
          </w:tcPr>
          <w:p w14:paraId="3881A52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859</w:t>
            </w:r>
          </w:p>
        </w:tc>
        <w:tc>
          <w:tcPr>
            <w:tcW w:w="663" w:type="pct"/>
            <w:tcBorders>
              <w:top w:val="nil"/>
              <w:left w:val="nil"/>
              <w:bottom w:val="nil"/>
              <w:right w:val="nil"/>
            </w:tcBorders>
            <w:shd w:val="clear" w:color="auto" w:fill="BFBFBF" w:themeFill="background1" w:themeFillShade="BF"/>
            <w:noWrap/>
            <w:vAlign w:val="bottom"/>
            <w:hideMark/>
          </w:tcPr>
          <w:p w14:paraId="60A93EA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782</w:t>
            </w:r>
          </w:p>
        </w:tc>
        <w:tc>
          <w:tcPr>
            <w:tcW w:w="519" w:type="pct"/>
            <w:tcBorders>
              <w:top w:val="nil"/>
              <w:left w:val="nil"/>
              <w:bottom w:val="nil"/>
              <w:right w:val="nil"/>
            </w:tcBorders>
            <w:shd w:val="clear" w:color="auto" w:fill="auto"/>
            <w:noWrap/>
            <w:vAlign w:val="bottom"/>
            <w:hideMark/>
          </w:tcPr>
          <w:p w14:paraId="57D66291"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-77</w:t>
            </w:r>
          </w:p>
        </w:tc>
      </w:tr>
      <w:tr w:rsidR="006822D1" w:rsidRPr="00194C83" w14:paraId="56100577" w14:textId="77777777" w:rsidTr="005E1134">
        <w:trPr>
          <w:trHeight w:val="300"/>
        </w:trPr>
        <w:tc>
          <w:tcPr>
            <w:tcW w:w="2489" w:type="pct"/>
            <w:tcBorders>
              <w:top w:val="nil"/>
              <w:left w:val="nil"/>
              <w:bottom w:val="nil"/>
              <w:right w:val="nil"/>
            </w:tcBorders>
            <w:shd w:val="clear" w:color="auto" w:fill="auto"/>
            <w:noWrap/>
            <w:vAlign w:val="bottom"/>
            <w:hideMark/>
          </w:tcPr>
          <w:p w14:paraId="73557B22"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Dopravné podniky</w:t>
            </w:r>
          </w:p>
        </w:tc>
        <w:tc>
          <w:tcPr>
            <w:tcW w:w="665" w:type="pct"/>
            <w:tcBorders>
              <w:top w:val="nil"/>
              <w:left w:val="nil"/>
              <w:bottom w:val="nil"/>
              <w:right w:val="nil"/>
            </w:tcBorders>
            <w:shd w:val="clear" w:color="auto" w:fill="auto"/>
            <w:noWrap/>
            <w:vAlign w:val="bottom"/>
            <w:hideMark/>
          </w:tcPr>
          <w:p w14:paraId="3161B63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79 469</w:t>
            </w:r>
          </w:p>
        </w:tc>
        <w:tc>
          <w:tcPr>
            <w:tcW w:w="664" w:type="pct"/>
            <w:tcBorders>
              <w:top w:val="nil"/>
              <w:left w:val="nil"/>
              <w:bottom w:val="nil"/>
              <w:right w:val="nil"/>
            </w:tcBorders>
            <w:shd w:val="clear" w:color="auto" w:fill="auto"/>
            <w:noWrap/>
            <w:vAlign w:val="bottom"/>
            <w:hideMark/>
          </w:tcPr>
          <w:p w14:paraId="0C996223"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76 239</w:t>
            </w:r>
          </w:p>
        </w:tc>
        <w:tc>
          <w:tcPr>
            <w:tcW w:w="663" w:type="pct"/>
            <w:tcBorders>
              <w:top w:val="nil"/>
              <w:left w:val="nil"/>
              <w:bottom w:val="nil"/>
              <w:right w:val="nil"/>
            </w:tcBorders>
            <w:shd w:val="clear" w:color="auto" w:fill="BFBFBF" w:themeFill="background1" w:themeFillShade="BF"/>
            <w:noWrap/>
            <w:vAlign w:val="bottom"/>
            <w:hideMark/>
          </w:tcPr>
          <w:p w14:paraId="7356849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61 289</w:t>
            </w:r>
          </w:p>
        </w:tc>
        <w:tc>
          <w:tcPr>
            <w:tcW w:w="519" w:type="pct"/>
            <w:tcBorders>
              <w:top w:val="nil"/>
              <w:left w:val="nil"/>
              <w:bottom w:val="nil"/>
              <w:right w:val="nil"/>
            </w:tcBorders>
            <w:shd w:val="clear" w:color="auto" w:fill="auto"/>
            <w:noWrap/>
            <w:vAlign w:val="bottom"/>
            <w:hideMark/>
          </w:tcPr>
          <w:p w14:paraId="592AB289"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-14 950</w:t>
            </w:r>
          </w:p>
        </w:tc>
      </w:tr>
      <w:tr w:rsidR="006822D1" w:rsidRPr="00194C83" w14:paraId="08395DD1" w14:textId="77777777" w:rsidTr="005E1134">
        <w:trPr>
          <w:trHeight w:val="300"/>
        </w:trPr>
        <w:tc>
          <w:tcPr>
            <w:tcW w:w="2489" w:type="pct"/>
            <w:tcBorders>
              <w:top w:val="nil"/>
              <w:left w:val="nil"/>
              <w:bottom w:val="nil"/>
              <w:right w:val="nil"/>
            </w:tcBorders>
            <w:shd w:val="clear" w:color="auto" w:fill="auto"/>
            <w:noWrap/>
            <w:vAlign w:val="bottom"/>
            <w:hideMark/>
          </w:tcPr>
          <w:p w14:paraId="3FAE7BF3"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Zdravotnícke zariadenia miestnej samosprávy</w:t>
            </w:r>
          </w:p>
        </w:tc>
        <w:tc>
          <w:tcPr>
            <w:tcW w:w="665" w:type="pct"/>
            <w:tcBorders>
              <w:top w:val="nil"/>
              <w:left w:val="nil"/>
              <w:bottom w:val="nil"/>
              <w:right w:val="nil"/>
            </w:tcBorders>
            <w:shd w:val="clear" w:color="auto" w:fill="auto"/>
            <w:noWrap/>
            <w:vAlign w:val="bottom"/>
            <w:hideMark/>
          </w:tcPr>
          <w:p w14:paraId="23D5EB53"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1 075</w:t>
            </w:r>
          </w:p>
        </w:tc>
        <w:tc>
          <w:tcPr>
            <w:tcW w:w="664" w:type="pct"/>
            <w:tcBorders>
              <w:top w:val="nil"/>
              <w:left w:val="nil"/>
              <w:bottom w:val="nil"/>
              <w:right w:val="nil"/>
            </w:tcBorders>
            <w:shd w:val="clear" w:color="auto" w:fill="auto"/>
            <w:noWrap/>
            <w:vAlign w:val="bottom"/>
            <w:hideMark/>
          </w:tcPr>
          <w:p w14:paraId="60B1A50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3 472</w:t>
            </w:r>
          </w:p>
        </w:tc>
        <w:tc>
          <w:tcPr>
            <w:tcW w:w="663" w:type="pct"/>
            <w:tcBorders>
              <w:top w:val="nil"/>
              <w:left w:val="nil"/>
              <w:bottom w:val="nil"/>
              <w:right w:val="nil"/>
            </w:tcBorders>
            <w:shd w:val="clear" w:color="auto" w:fill="BFBFBF" w:themeFill="background1" w:themeFillShade="BF"/>
            <w:noWrap/>
            <w:vAlign w:val="bottom"/>
            <w:hideMark/>
          </w:tcPr>
          <w:p w14:paraId="1A1490C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3 042</w:t>
            </w:r>
          </w:p>
        </w:tc>
        <w:tc>
          <w:tcPr>
            <w:tcW w:w="519" w:type="pct"/>
            <w:tcBorders>
              <w:top w:val="nil"/>
              <w:left w:val="nil"/>
              <w:bottom w:val="nil"/>
              <w:right w:val="nil"/>
            </w:tcBorders>
            <w:shd w:val="clear" w:color="auto" w:fill="auto"/>
            <w:noWrap/>
            <w:vAlign w:val="bottom"/>
            <w:hideMark/>
          </w:tcPr>
          <w:p w14:paraId="2203D61A"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-430</w:t>
            </w:r>
          </w:p>
        </w:tc>
      </w:tr>
      <w:tr w:rsidR="006822D1" w:rsidRPr="00194C83" w14:paraId="041D5382" w14:textId="77777777" w:rsidTr="005E1134">
        <w:trPr>
          <w:trHeight w:val="300"/>
        </w:trPr>
        <w:tc>
          <w:tcPr>
            <w:tcW w:w="2489" w:type="pct"/>
            <w:tcBorders>
              <w:top w:val="nil"/>
              <w:left w:val="nil"/>
              <w:bottom w:val="nil"/>
              <w:right w:val="nil"/>
            </w:tcBorders>
            <w:shd w:val="clear" w:color="auto" w:fill="auto"/>
            <w:noWrap/>
            <w:vAlign w:val="bottom"/>
            <w:hideMark/>
          </w:tcPr>
          <w:p w14:paraId="1BD0E183"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Ostatné subjekty miestnej samosprávy</w:t>
            </w:r>
          </w:p>
        </w:tc>
        <w:tc>
          <w:tcPr>
            <w:tcW w:w="665" w:type="pct"/>
            <w:tcBorders>
              <w:top w:val="nil"/>
              <w:left w:val="nil"/>
              <w:bottom w:val="nil"/>
              <w:right w:val="nil"/>
            </w:tcBorders>
            <w:shd w:val="clear" w:color="auto" w:fill="auto"/>
            <w:noWrap/>
            <w:vAlign w:val="bottom"/>
            <w:hideMark/>
          </w:tcPr>
          <w:p w14:paraId="3768161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2 577</w:t>
            </w:r>
          </w:p>
        </w:tc>
        <w:tc>
          <w:tcPr>
            <w:tcW w:w="664" w:type="pct"/>
            <w:tcBorders>
              <w:top w:val="nil"/>
              <w:left w:val="nil"/>
              <w:bottom w:val="nil"/>
              <w:right w:val="nil"/>
            </w:tcBorders>
            <w:shd w:val="clear" w:color="auto" w:fill="auto"/>
            <w:noWrap/>
            <w:vAlign w:val="bottom"/>
            <w:hideMark/>
          </w:tcPr>
          <w:p w14:paraId="2F2520DE"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3 283</w:t>
            </w:r>
          </w:p>
        </w:tc>
        <w:tc>
          <w:tcPr>
            <w:tcW w:w="663" w:type="pct"/>
            <w:tcBorders>
              <w:top w:val="nil"/>
              <w:left w:val="nil"/>
              <w:bottom w:val="nil"/>
              <w:right w:val="nil"/>
            </w:tcBorders>
            <w:shd w:val="clear" w:color="auto" w:fill="BFBFBF" w:themeFill="background1" w:themeFillShade="BF"/>
            <w:noWrap/>
            <w:vAlign w:val="bottom"/>
            <w:hideMark/>
          </w:tcPr>
          <w:p w14:paraId="3E6A9F51"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3 283</w:t>
            </w:r>
          </w:p>
        </w:tc>
        <w:tc>
          <w:tcPr>
            <w:tcW w:w="519" w:type="pct"/>
            <w:tcBorders>
              <w:top w:val="nil"/>
              <w:left w:val="nil"/>
              <w:bottom w:val="nil"/>
              <w:right w:val="nil"/>
            </w:tcBorders>
            <w:shd w:val="clear" w:color="auto" w:fill="auto"/>
            <w:noWrap/>
            <w:vAlign w:val="bottom"/>
            <w:hideMark/>
          </w:tcPr>
          <w:p w14:paraId="1B6EC8E2"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0</w:t>
            </w:r>
          </w:p>
        </w:tc>
      </w:tr>
      <w:tr w:rsidR="006822D1" w:rsidRPr="00194C83" w14:paraId="08B1ED59" w14:textId="77777777" w:rsidTr="005E1134">
        <w:trPr>
          <w:trHeight w:val="300"/>
        </w:trPr>
        <w:tc>
          <w:tcPr>
            <w:tcW w:w="2489" w:type="pct"/>
            <w:tcBorders>
              <w:top w:val="nil"/>
              <w:left w:val="nil"/>
              <w:bottom w:val="nil"/>
              <w:right w:val="nil"/>
            </w:tcBorders>
            <w:shd w:val="clear" w:color="auto" w:fill="auto"/>
            <w:noWrap/>
            <w:vAlign w:val="bottom"/>
            <w:hideMark/>
          </w:tcPr>
          <w:p w14:paraId="741947B0" w14:textId="77777777" w:rsidR="006822D1" w:rsidRPr="00194C83" w:rsidRDefault="006822D1" w:rsidP="006822D1">
            <w:pPr>
              <w:spacing w:after="0" w:line="240" w:lineRule="auto"/>
              <w:jc w:val="left"/>
              <w:rPr>
                <w:rFonts w:eastAsia="Times New Roman" w:cs="Times New Roman"/>
                <w:b/>
                <w:bCs/>
                <w:sz w:val="20"/>
                <w:szCs w:val="20"/>
                <w:lang w:eastAsia="sk-SK"/>
              </w:rPr>
            </w:pPr>
            <w:r w:rsidRPr="00194C83">
              <w:rPr>
                <w:rFonts w:eastAsia="Times New Roman" w:cs="Times New Roman"/>
                <w:b/>
                <w:bCs/>
                <w:sz w:val="20"/>
                <w:szCs w:val="20"/>
                <w:lang w:eastAsia="sk-SK"/>
              </w:rPr>
              <w:t>Fondy sociálneho zabezpečenia</w:t>
            </w:r>
          </w:p>
        </w:tc>
        <w:tc>
          <w:tcPr>
            <w:tcW w:w="665" w:type="pct"/>
            <w:tcBorders>
              <w:top w:val="nil"/>
              <w:left w:val="nil"/>
              <w:bottom w:val="nil"/>
              <w:right w:val="nil"/>
            </w:tcBorders>
            <w:shd w:val="clear" w:color="auto" w:fill="auto"/>
            <w:noWrap/>
            <w:vAlign w:val="bottom"/>
            <w:hideMark/>
          </w:tcPr>
          <w:p w14:paraId="08E02440" w14:textId="77777777" w:rsidR="006822D1" w:rsidRPr="00194C83" w:rsidRDefault="006822D1" w:rsidP="006822D1">
            <w:pPr>
              <w:spacing w:after="0" w:line="240" w:lineRule="auto"/>
              <w:jc w:val="left"/>
              <w:rPr>
                <w:rFonts w:eastAsia="Times New Roman" w:cs="Times New Roman"/>
                <w:b/>
                <w:bCs/>
                <w:sz w:val="20"/>
                <w:szCs w:val="20"/>
                <w:lang w:eastAsia="sk-SK"/>
              </w:rPr>
            </w:pPr>
          </w:p>
        </w:tc>
        <w:tc>
          <w:tcPr>
            <w:tcW w:w="664" w:type="pct"/>
            <w:tcBorders>
              <w:top w:val="nil"/>
              <w:left w:val="nil"/>
              <w:bottom w:val="nil"/>
              <w:right w:val="nil"/>
            </w:tcBorders>
            <w:shd w:val="clear" w:color="auto" w:fill="auto"/>
            <w:noWrap/>
            <w:vAlign w:val="bottom"/>
            <w:hideMark/>
          </w:tcPr>
          <w:p w14:paraId="19DB61BA"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663" w:type="pct"/>
            <w:tcBorders>
              <w:top w:val="nil"/>
              <w:left w:val="nil"/>
              <w:bottom w:val="nil"/>
              <w:right w:val="nil"/>
            </w:tcBorders>
            <w:shd w:val="clear" w:color="auto" w:fill="BFBFBF" w:themeFill="background1" w:themeFillShade="BF"/>
            <w:noWrap/>
            <w:vAlign w:val="bottom"/>
            <w:hideMark/>
          </w:tcPr>
          <w:p w14:paraId="1040D213" w14:textId="77777777" w:rsidR="006822D1" w:rsidRPr="00194C83" w:rsidRDefault="006822D1" w:rsidP="006822D1">
            <w:pPr>
              <w:spacing w:after="0" w:line="240" w:lineRule="auto"/>
              <w:jc w:val="left"/>
              <w:rPr>
                <w:rFonts w:eastAsia="Times New Roman" w:cs="Times New Roman"/>
                <w:sz w:val="20"/>
                <w:szCs w:val="20"/>
                <w:lang w:eastAsia="sk-SK"/>
              </w:rPr>
            </w:pPr>
          </w:p>
        </w:tc>
        <w:tc>
          <w:tcPr>
            <w:tcW w:w="519" w:type="pct"/>
            <w:tcBorders>
              <w:top w:val="nil"/>
              <w:left w:val="nil"/>
              <w:bottom w:val="nil"/>
              <w:right w:val="nil"/>
            </w:tcBorders>
            <w:shd w:val="clear" w:color="auto" w:fill="auto"/>
            <w:noWrap/>
            <w:vAlign w:val="bottom"/>
            <w:hideMark/>
          </w:tcPr>
          <w:p w14:paraId="21C7CA8B" w14:textId="77777777" w:rsidR="006822D1" w:rsidRPr="00194C83" w:rsidRDefault="006822D1" w:rsidP="006822D1">
            <w:pPr>
              <w:spacing w:after="0" w:line="240" w:lineRule="auto"/>
              <w:jc w:val="left"/>
              <w:rPr>
                <w:rFonts w:eastAsia="Times New Roman" w:cs="Times New Roman"/>
                <w:sz w:val="20"/>
                <w:szCs w:val="20"/>
                <w:lang w:eastAsia="sk-SK"/>
              </w:rPr>
            </w:pPr>
          </w:p>
        </w:tc>
      </w:tr>
      <w:tr w:rsidR="006822D1" w:rsidRPr="00194C83" w14:paraId="304FF884" w14:textId="77777777" w:rsidTr="005E1134">
        <w:trPr>
          <w:trHeight w:val="300"/>
        </w:trPr>
        <w:tc>
          <w:tcPr>
            <w:tcW w:w="2489" w:type="pct"/>
            <w:tcBorders>
              <w:top w:val="nil"/>
              <w:left w:val="nil"/>
              <w:bottom w:val="nil"/>
              <w:right w:val="nil"/>
            </w:tcBorders>
            <w:shd w:val="clear" w:color="auto" w:fill="auto"/>
            <w:noWrap/>
            <w:vAlign w:val="bottom"/>
            <w:hideMark/>
          </w:tcPr>
          <w:p w14:paraId="2CEB2150"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Sociálna poisťovňa</w:t>
            </w:r>
          </w:p>
        </w:tc>
        <w:tc>
          <w:tcPr>
            <w:tcW w:w="665" w:type="pct"/>
            <w:tcBorders>
              <w:top w:val="nil"/>
              <w:left w:val="nil"/>
              <w:bottom w:val="nil"/>
              <w:right w:val="nil"/>
            </w:tcBorders>
            <w:shd w:val="clear" w:color="auto" w:fill="auto"/>
            <w:noWrap/>
            <w:vAlign w:val="bottom"/>
            <w:hideMark/>
          </w:tcPr>
          <w:p w14:paraId="5369B37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278</w:t>
            </w:r>
          </w:p>
        </w:tc>
        <w:tc>
          <w:tcPr>
            <w:tcW w:w="664" w:type="pct"/>
            <w:tcBorders>
              <w:top w:val="nil"/>
              <w:left w:val="nil"/>
              <w:bottom w:val="nil"/>
              <w:right w:val="nil"/>
            </w:tcBorders>
            <w:shd w:val="clear" w:color="auto" w:fill="auto"/>
            <w:noWrap/>
            <w:vAlign w:val="bottom"/>
            <w:hideMark/>
          </w:tcPr>
          <w:p w14:paraId="19166E97"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395</w:t>
            </w:r>
          </w:p>
        </w:tc>
        <w:tc>
          <w:tcPr>
            <w:tcW w:w="663" w:type="pct"/>
            <w:tcBorders>
              <w:top w:val="nil"/>
              <w:left w:val="nil"/>
              <w:bottom w:val="nil"/>
              <w:right w:val="nil"/>
            </w:tcBorders>
            <w:shd w:val="clear" w:color="auto" w:fill="BFBFBF" w:themeFill="background1" w:themeFillShade="BF"/>
            <w:noWrap/>
            <w:vAlign w:val="bottom"/>
            <w:hideMark/>
          </w:tcPr>
          <w:p w14:paraId="0C9D5D97"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234</w:t>
            </w:r>
          </w:p>
        </w:tc>
        <w:tc>
          <w:tcPr>
            <w:tcW w:w="519" w:type="pct"/>
            <w:tcBorders>
              <w:top w:val="nil"/>
              <w:left w:val="nil"/>
              <w:bottom w:val="nil"/>
              <w:right w:val="nil"/>
            </w:tcBorders>
            <w:shd w:val="clear" w:color="auto" w:fill="auto"/>
            <w:noWrap/>
            <w:vAlign w:val="bottom"/>
            <w:hideMark/>
          </w:tcPr>
          <w:p w14:paraId="0C1C2F51"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-161</w:t>
            </w:r>
          </w:p>
        </w:tc>
      </w:tr>
      <w:tr w:rsidR="006822D1" w:rsidRPr="00194C83" w14:paraId="2B7DEDED" w14:textId="77777777" w:rsidTr="005E1134">
        <w:trPr>
          <w:trHeight w:val="300"/>
        </w:trPr>
        <w:tc>
          <w:tcPr>
            <w:tcW w:w="2489" w:type="pct"/>
            <w:tcBorders>
              <w:top w:val="nil"/>
              <w:left w:val="nil"/>
              <w:bottom w:val="nil"/>
              <w:right w:val="nil"/>
            </w:tcBorders>
            <w:shd w:val="clear" w:color="auto" w:fill="auto"/>
            <w:noWrap/>
            <w:vAlign w:val="bottom"/>
            <w:hideMark/>
          </w:tcPr>
          <w:p w14:paraId="06FD9B60" w14:textId="77777777" w:rsidR="006822D1" w:rsidRPr="00194C83" w:rsidRDefault="006822D1" w:rsidP="006822D1">
            <w:pPr>
              <w:spacing w:after="0" w:line="240" w:lineRule="auto"/>
              <w:ind w:firstLineChars="200" w:firstLine="400"/>
              <w:jc w:val="left"/>
              <w:rPr>
                <w:rFonts w:eastAsia="Times New Roman" w:cs="Times New Roman"/>
                <w:sz w:val="20"/>
                <w:szCs w:val="20"/>
                <w:lang w:eastAsia="sk-SK"/>
              </w:rPr>
            </w:pPr>
            <w:r w:rsidRPr="00194C83">
              <w:rPr>
                <w:rFonts w:eastAsia="Times New Roman" w:cs="Times New Roman"/>
                <w:sz w:val="20"/>
                <w:szCs w:val="20"/>
                <w:lang w:eastAsia="sk-SK"/>
              </w:rPr>
              <w:t>Verejné zdravotné poistenie</w:t>
            </w:r>
          </w:p>
        </w:tc>
        <w:tc>
          <w:tcPr>
            <w:tcW w:w="665" w:type="pct"/>
            <w:tcBorders>
              <w:top w:val="nil"/>
              <w:left w:val="nil"/>
              <w:bottom w:val="nil"/>
              <w:right w:val="nil"/>
            </w:tcBorders>
            <w:shd w:val="clear" w:color="auto" w:fill="auto"/>
            <w:noWrap/>
            <w:vAlign w:val="bottom"/>
            <w:hideMark/>
          </w:tcPr>
          <w:p w14:paraId="4A3E66E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736</w:t>
            </w:r>
          </w:p>
        </w:tc>
        <w:tc>
          <w:tcPr>
            <w:tcW w:w="664" w:type="pct"/>
            <w:tcBorders>
              <w:top w:val="nil"/>
              <w:left w:val="nil"/>
              <w:bottom w:val="nil"/>
              <w:right w:val="nil"/>
            </w:tcBorders>
            <w:shd w:val="clear" w:color="auto" w:fill="auto"/>
            <w:noWrap/>
            <w:vAlign w:val="bottom"/>
            <w:hideMark/>
          </w:tcPr>
          <w:p w14:paraId="56FF5CA6"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144</w:t>
            </w:r>
          </w:p>
        </w:tc>
        <w:tc>
          <w:tcPr>
            <w:tcW w:w="663" w:type="pct"/>
            <w:tcBorders>
              <w:top w:val="nil"/>
              <w:left w:val="nil"/>
              <w:bottom w:val="nil"/>
              <w:right w:val="nil"/>
            </w:tcBorders>
            <w:shd w:val="clear" w:color="auto" w:fill="BFBFBF" w:themeFill="background1" w:themeFillShade="BF"/>
            <w:noWrap/>
            <w:vAlign w:val="bottom"/>
            <w:hideMark/>
          </w:tcPr>
          <w:p w14:paraId="1D92423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267</w:t>
            </w:r>
          </w:p>
        </w:tc>
        <w:tc>
          <w:tcPr>
            <w:tcW w:w="519" w:type="pct"/>
            <w:tcBorders>
              <w:top w:val="nil"/>
              <w:left w:val="nil"/>
              <w:bottom w:val="nil"/>
              <w:right w:val="nil"/>
            </w:tcBorders>
            <w:shd w:val="clear" w:color="auto" w:fill="auto"/>
            <w:noWrap/>
            <w:vAlign w:val="bottom"/>
            <w:hideMark/>
          </w:tcPr>
          <w:p w14:paraId="0F041A9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123</w:t>
            </w:r>
          </w:p>
        </w:tc>
      </w:tr>
      <w:tr w:rsidR="006822D1" w:rsidRPr="00194C83" w14:paraId="451597E1" w14:textId="77777777" w:rsidTr="005E1134">
        <w:trPr>
          <w:trHeight w:val="300"/>
        </w:trPr>
        <w:tc>
          <w:tcPr>
            <w:tcW w:w="2489" w:type="pct"/>
            <w:tcBorders>
              <w:top w:val="nil"/>
              <w:left w:val="nil"/>
              <w:bottom w:val="nil"/>
              <w:right w:val="nil"/>
            </w:tcBorders>
            <w:shd w:val="clear" w:color="auto" w:fill="auto"/>
            <w:noWrap/>
            <w:vAlign w:val="bottom"/>
            <w:hideMark/>
          </w:tcPr>
          <w:p w14:paraId="191D5E5D" w14:textId="77777777" w:rsidR="006822D1" w:rsidRPr="00194C83" w:rsidRDefault="006822D1" w:rsidP="006822D1">
            <w:pPr>
              <w:spacing w:after="0" w:line="240" w:lineRule="auto"/>
              <w:jc w:val="left"/>
              <w:rPr>
                <w:rFonts w:eastAsia="Times New Roman" w:cs="Times New Roman"/>
                <w:b/>
                <w:bCs/>
                <w:sz w:val="20"/>
                <w:szCs w:val="20"/>
                <w:lang w:eastAsia="sk-SK"/>
              </w:rPr>
            </w:pPr>
            <w:r w:rsidRPr="00194C83">
              <w:rPr>
                <w:rFonts w:eastAsia="Times New Roman" w:cs="Times New Roman"/>
                <w:b/>
                <w:bCs/>
                <w:sz w:val="20"/>
                <w:szCs w:val="20"/>
                <w:lang w:eastAsia="sk-SK"/>
              </w:rPr>
              <w:t>Verejná správa spolu</w:t>
            </w:r>
          </w:p>
        </w:tc>
        <w:tc>
          <w:tcPr>
            <w:tcW w:w="665" w:type="pct"/>
            <w:tcBorders>
              <w:top w:val="nil"/>
              <w:left w:val="nil"/>
              <w:bottom w:val="nil"/>
              <w:right w:val="nil"/>
            </w:tcBorders>
            <w:shd w:val="clear" w:color="auto" w:fill="auto"/>
            <w:noWrap/>
            <w:vAlign w:val="bottom"/>
            <w:hideMark/>
          </w:tcPr>
          <w:p w14:paraId="16B9D148" w14:textId="77777777" w:rsidR="006822D1" w:rsidRPr="00194C83" w:rsidRDefault="006822D1" w:rsidP="006822D1">
            <w:pPr>
              <w:spacing w:after="0" w:line="240" w:lineRule="auto"/>
              <w:jc w:val="right"/>
              <w:rPr>
                <w:rFonts w:eastAsia="Times New Roman" w:cs="Times New Roman"/>
                <w:b/>
                <w:bCs/>
                <w:sz w:val="20"/>
                <w:szCs w:val="20"/>
                <w:lang w:eastAsia="sk-SK"/>
              </w:rPr>
            </w:pPr>
            <w:r w:rsidRPr="00194C83">
              <w:rPr>
                <w:rFonts w:eastAsia="Times New Roman" w:cs="Times New Roman"/>
                <w:b/>
                <w:bCs/>
                <w:sz w:val="20"/>
                <w:szCs w:val="20"/>
                <w:lang w:eastAsia="sk-SK"/>
              </w:rPr>
              <w:t>44 857 914</w:t>
            </w:r>
          </w:p>
        </w:tc>
        <w:tc>
          <w:tcPr>
            <w:tcW w:w="664" w:type="pct"/>
            <w:tcBorders>
              <w:top w:val="nil"/>
              <w:left w:val="nil"/>
              <w:bottom w:val="nil"/>
              <w:right w:val="nil"/>
            </w:tcBorders>
            <w:shd w:val="clear" w:color="auto" w:fill="auto"/>
            <w:noWrap/>
            <w:vAlign w:val="bottom"/>
            <w:hideMark/>
          </w:tcPr>
          <w:p w14:paraId="719E732C" w14:textId="77777777" w:rsidR="006822D1" w:rsidRPr="00194C83" w:rsidRDefault="006822D1" w:rsidP="006822D1">
            <w:pPr>
              <w:spacing w:after="0" w:line="240" w:lineRule="auto"/>
              <w:jc w:val="right"/>
              <w:rPr>
                <w:rFonts w:eastAsia="Times New Roman" w:cs="Times New Roman"/>
                <w:b/>
                <w:bCs/>
                <w:sz w:val="20"/>
                <w:szCs w:val="20"/>
                <w:lang w:eastAsia="sk-SK"/>
              </w:rPr>
            </w:pPr>
            <w:r w:rsidRPr="00194C83">
              <w:rPr>
                <w:rFonts w:eastAsia="Times New Roman" w:cs="Times New Roman"/>
                <w:b/>
                <w:bCs/>
                <w:sz w:val="20"/>
                <w:szCs w:val="20"/>
                <w:lang w:eastAsia="sk-SK"/>
              </w:rPr>
              <w:t>45 743 421</w:t>
            </w:r>
          </w:p>
        </w:tc>
        <w:tc>
          <w:tcPr>
            <w:tcW w:w="663" w:type="pct"/>
            <w:tcBorders>
              <w:top w:val="nil"/>
              <w:left w:val="nil"/>
              <w:bottom w:val="nil"/>
              <w:right w:val="nil"/>
            </w:tcBorders>
            <w:shd w:val="clear" w:color="auto" w:fill="BFBFBF" w:themeFill="background1" w:themeFillShade="BF"/>
            <w:noWrap/>
            <w:vAlign w:val="bottom"/>
            <w:hideMark/>
          </w:tcPr>
          <w:p w14:paraId="66B54BC7" w14:textId="77777777" w:rsidR="006822D1" w:rsidRPr="00194C83" w:rsidRDefault="006822D1" w:rsidP="006822D1">
            <w:pPr>
              <w:spacing w:after="0" w:line="240" w:lineRule="auto"/>
              <w:jc w:val="right"/>
              <w:rPr>
                <w:rFonts w:eastAsia="Times New Roman" w:cs="Times New Roman"/>
                <w:b/>
                <w:bCs/>
                <w:sz w:val="20"/>
                <w:szCs w:val="20"/>
                <w:lang w:eastAsia="sk-SK"/>
              </w:rPr>
            </w:pPr>
            <w:r w:rsidRPr="00194C83">
              <w:rPr>
                <w:rFonts w:eastAsia="Times New Roman" w:cs="Times New Roman"/>
                <w:b/>
                <w:bCs/>
                <w:sz w:val="20"/>
                <w:szCs w:val="20"/>
                <w:lang w:eastAsia="sk-SK"/>
              </w:rPr>
              <w:t>46 556 353</w:t>
            </w:r>
          </w:p>
        </w:tc>
        <w:tc>
          <w:tcPr>
            <w:tcW w:w="519" w:type="pct"/>
            <w:tcBorders>
              <w:top w:val="nil"/>
              <w:left w:val="nil"/>
              <w:bottom w:val="nil"/>
              <w:right w:val="nil"/>
            </w:tcBorders>
            <w:shd w:val="clear" w:color="auto" w:fill="auto"/>
            <w:noWrap/>
            <w:vAlign w:val="bottom"/>
            <w:hideMark/>
          </w:tcPr>
          <w:p w14:paraId="5429079B" w14:textId="77777777" w:rsidR="006822D1" w:rsidRPr="00194C83" w:rsidRDefault="006822D1" w:rsidP="006822D1">
            <w:pPr>
              <w:spacing w:after="0" w:line="240" w:lineRule="auto"/>
              <w:jc w:val="right"/>
              <w:rPr>
                <w:rFonts w:eastAsia="Times New Roman" w:cs="Times New Roman"/>
                <w:b/>
                <w:bCs/>
                <w:sz w:val="20"/>
                <w:szCs w:val="20"/>
                <w:lang w:eastAsia="sk-SK"/>
              </w:rPr>
            </w:pPr>
            <w:r w:rsidRPr="00194C83">
              <w:rPr>
                <w:rFonts w:eastAsia="Times New Roman" w:cs="Times New Roman"/>
                <w:b/>
                <w:bCs/>
                <w:sz w:val="20"/>
                <w:szCs w:val="20"/>
                <w:lang w:eastAsia="sk-SK"/>
              </w:rPr>
              <w:t>812 932</w:t>
            </w:r>
          </w:p>
        </w:tc>
      </w:tr>
      <w:tr w:rsidR="006822D1" w:rsidRPr="007548F2" w14:paraId="501FA3F9" w14:textId="77777777" w:rsidTr="005E1134">
        <w:trPr>
          <w:trHeight w:val="300"/>
        </w:trPr>
        <w:tc>
          <w:tcPr>
            <w:tcW w:w="2489" w:type="pct"/>
            <w:tcBorders>
              <w:top w:val="nil"/>
              <w:left w:val="nil"/>
              <w:bottom w:val="nil"/>
              <w:right w:val="nil"/>
            </w:tcBorders>
            <w:shd w:val="clear" w:color="auto" w:fill="auto"/>
            <w:noWrap/>
            <w:vAlign w:val="bottom"/>
            <w:hideMark/>
          </w:tcPr>
          <w:p w14:paraId="68707305" w14:textId="77777777" w:rsidR="006822D1" w:rsidRPr="007548F2" w:rsidRDefault="006822D1" w:rsidP="006822D1">
            <w:pPr>
              <w:spacing w:after="0" w:line="240" w:lineRule="auto"/>
              <w:ind w:firstLineChars="200" w:firstLine="400"/>
              <w:jc w:val="left"/>
              <w:rPr>
                <w:rFonts w:eastAsia="Times New Roman" w:cs="Times New Roman"/>
                <w:i/>
                <w:iCs/>
                <w:sz w:val="20"/>
                <w:szCs w:val="20"/>
                <w:lang w:eastAsia="sk-SK"/>
              </w:rPr>
            </w:pPr>
            <w:r w:rsidRPr="007548F2">
              <w:rPr>
                <w:rFonts w:eastAsia="Times New Roman" w:cs="Times New Roman"/>
                <w:i/>
                <w:iCs/>
                <w:sz w:val="20"/>
                <w:szCs w:val="20"/>
                <w:lang w:eastAsia="sk-SK"/>
              </w:rPr>
              <w:t>Konsolidácia</w:t>
            </w:r>
          </w:p>
        </w:tc>
        <w:tc>
          <w:tcPr>
            <w:tcW w:w="665" w:type="pct"/>
            <w:tcBorders>
              <w:top w:val="nil"/>
              <w:left w:val="nil"/>
              <w:bottom w:val="nil"/>
              <w:right w:val="nil"/>
            </w:tcBorders>
            <w:shd w:val="clear" w:color="auto" w:fill="auto"/>
            <w:noWrap/>
            <w:vAlign w:val="bottom"/>
            <w:hideMark/>
          </w:tcPr>
          <w:p w14:paraId="3CF97051" w14:textId="77777777" w:rsidR="006822D1" w:rsidRPr="007548F2" w:rsidRDefault="006822D1" w:rsidP="006822D1">
            <w:pPr>
              <w:spacing w:after="0" w:line="240" w:lineRule="auto"/>
              <w:jc w:val="right"/>
              <w:rPr>
                <w:rFonts w:eastAsia="Times New Roman" w:cs="Times New Roman"/>
                <w:i/>
                <w:sz w:val="20"/>
                <w:szCs w:val="20"/>
                <w:lang w:eastAsia="sk-SK"/>
              </w:rPr>
            </w:pPr>
            <w:r w:rsidRPr="007548F2">
              <w:rPr>
                <w:rFonts w:eastAsia="Times New Roman" w:cs="Times New Roman"/>
                <w:i/>
                <w:sz w:val="20"/>
                <w:szCs w:val="20"/>
                <w:lang w:eastAsia="sk-SK"/>
              </w:rPr>
              <w:t>1 488 384</w:t>
            </w:r>
          </w:p>
        </w:tc>
        <w:tc>
          <w:tcPr>
            <w:tcW w:w="664" w:type="pct"/>
            <w:tcBorders>
              <w:top w:val="nil"/>
              <w:left w:val="nil"/>
              <w:bottom w:val="nil"/>
              <w:right w:val="nil"/>
            </w:tcBorders>
            <w:shd w:val="clear" w:color="auto" w:fill="auto"/>
            <w:noWrap/>
            <w:vAlign w:val="bottom"/>
            <w:hideMark/>
          </w:tcPr>
          <w:p w14:paraId="4856A3AC" w14:textId="77777777" w:rsidR="006822D1" w:rsidRPr="007548F2" w:rsidRDefault="006822D1" w:rsidP="006822D1">
            <w:pPr>
              <w:spacing w:after="0" w:line="240" w:lineRule="auto"/>
              <w:jc w:val="right"/>
              <w:rPr>
                <w:rFonts w:eastAsia="Times New Roman" w:cs="Times New Roman"/>
                <w:i/>
                <w:sz w:val="20"/>
                <w:szCs w:val="20"/>
                <w:lang w:eastAsia="sk-SK"/>
              </w:rPr>
            </w:pPr>
            <w:r w:rsidRPr="007548F2">
              <w:rPr>
                <w:rFonts w:eastAsia="Times New Roman" w:cs="Times New Roman"/>
                <w:i/>
                <w:sz w:val="20"/>
                <w:szCs w:val="20"/>
                <w:lang w:eastAsia="sk-SK"/>
              </w:rPr>
              <w:t>1 421 569</w:t>
            </w:r>
          </w:p>
        </w:tc>
        <w:tc>
          <w:tcPr>
            <w:tcW w:w="663" w:type="pct"/>
            <w:tcBorders>
              <w:top w:val="nil"/>
              <w:left w:val="nil"/>
              <w:bottom w:val="nil"/>
              <w:right w:val="nil"/>
            </w:tcBorders>
            <w:shd w:val="clear" w:color="auto" w:fill="BFBFBF" w:themeFill="background1" w:themeFillShade="BF"/>
            <w:noWrap/>
            <w:vAlign w:val="bottom"/>
            <w:hideMark/>
          </w:tcPr>
          <w:p w14:paraId="3ED1EBEE" w14:textId="77777777" w:rsidR="006822D1" w:rsidRPr="007548F2" w:rsidRDefault="006822D1" w:rsidP="006822D1">
            <w:pPr>
              <w:spacing w:after="0" w:line="240" w:lineRule="auto"/>
              <w:jc w:val="right"/>
              <w:rPr>
                <w:rFonts w:eastAsia="Times New Roman" w:cs="Times New Roman"/>
                <w:i/>
                <w:sz w:val="20"/>
                <w:szCs w:val="20"/>
                <w:lang w:eastAsia="sk-SK"/>
              </w:rPr>
            </w:pPr>
            <w:r w:rsidRPr="007548F2">
              <w:rPr>
                <w:rFonts w:eastAsia="Times New Roman" w:cs="Times New Roman"/>
                <w:i/>
                <w:sz w:val="20"/>
                <w:szCs w:val="20"/>
                <w:lang w:eastAsia="sk-SK"/>
              </w:rPr>
              <w:t>1 354 595</w:t>
            </w:r>
          </w:p>
        </w:tc>
        <w:tc>
          <w:tcPr>
            <w:tcW w:w="519" w:type="pct"/>
            <w:tcBorders>
              <w:top w:val="nil"/>
              <w:left w:val="nil"/>
              <w:bottom w:val="nil"/>
              <w:right w:val="nil"/>
            </w:tcBorders>
            <w:shd w:val="clear" w:color="auto" w:fill="auto"/>
            <w:noWrap/>
            <w:vAlign w:val="bottom"/>
            <w:hideMark/>
          </w:tcPr>
          <w:p w14:paraId="1654D943" w14:textId="77777777" w:rsidR="006822D1" w:rsidRPr="007548F2" w:rsidRDefault="006822D1" w:rsidP="006822D1">
            <w:pPr>
              <w:spacing w:after="0" w:line="240" w:lineRule="auto"/>
              <w:jc w:val="right"/>
              <w:rPr>
                <w:rFonts w:eastAsia="Times New Roman" w:cs="Times New Roman"/>
                <w:i/>
                <w:sz w:val="20"/>
                <w:szCs w:val="20"/>
                <w:lang w:eastAsia="sk-SK"/>
              </w:rPr>
            </w:pPr>
            <w:r w:rsidRPr="007548F2">
              <w:rPr>
                <w:rFonts w:eastAsia="Times New Roman" w:cs="Times New Roman"/>
                <w:i/>
                <w:sz w:val="20"/>
                <w:szCs w:val="20"/>
                <w:lang w:eastAsia="sk-SK"/>
              </w:rPr>
              <w:t>-66 974</w:t>
            </w:r>
          </w:p>
        </w:tc>
      </w:tr>
      <w:tr w:rsidR="006822D1" w:rsidRPr="00194C83" w14:paraId="12571208" w14:textId="77777777" w:rsidTr="005E1134">
        <w:trPr>
          <w:trHeight w:val="300"/>
        </w:trPr>
        <w:tc>
          <w:tcPr>
            <w:tcW w:w="2489" w:type="pct"/>
            <w:tcBorders>
              <w:top w:val="nil"/>
              <w:left w:val="nil"/>
              <w:bottom w:val="nil"/>
              <w:right w:val="nil"/>
            </w:tcBorders>
            <w:shd w:val="clear" w:color="auto" w:fill="auto"/>
            <w:noWrap/>
            <w:vAlign w:val="bottom"/>
            <w:hideMark/>
          </w:tcPr>
          <w:p w14:paraId="68E26FFB" w14:textId="740EB3C8" w:rsidR="006822D1" w:rsidRPr="00194C83" w:rsidRDefault="006822D1" w:rsidP="00D779A1">
            <w:pPr>
              <w:spacing w:after="0" w:line="240" w:lineRule="auto"/>
              <w:ind w:left="356" w:firstLineChars="22" w:firstLine="44"/>
              <w:jc w:val="left"/>
              <w:rPr>
                <w:rFonts w:eastAsia="Times New Roman" w:cs="Times New Roman"/>
                <w:sz w:val="20"/>
                <w:szCs w:val="20"/>
                <w:lang w:eastAsia="sk-SK"/>
              </w:rPr>
            </w:pPr>
            <w:r w:rsidRPr="00194C83">
              <w:rPr>
                <w:rFonts w:eastAsia="Times New Roman" w:cs="Times New Roman"/>
                <w:sz w:val="20"/>
                <w:szCs w:val="20"/>
                <w:lang w:eastAsia="sk-SK"/>
              </w:rPr>
              <w:t xml:space="preserve">z toho: konsolidácia v skupine miestnej </w:t>
            </w:r>
            <w:r w:rsidR="00D779A1">
              <w:rPr>
                <w:rFonts w:eastAsia="Times New Roman" w:cs="Times New Roman"/>
                <w:sz w:val="20"/>
                <w:szCs w:val="20"/>
                <w:lang w:eastAsia="sk-SK"/>
              </w:rPr>
              <w:t xml:space="preserve"> </w:t>
            </w:r>
            <w:r w:rsidRPr="00194C83">
              <w:rPr>
                <w:rFonts w:eastAsia="Times New Roman" w:cs="Times New Roman"/>
                <w:sz w:val="20"/>
                <w:szCs w:val="20"/>
                <w:lang w:eastAsia="sk-SK"/>
              </w:rPr>
              <w:t>samosprávy</w:t>
            </w:r>
          </w:p>
        </w:tc>
        <w:tc>
          <w:tcPr>
            <w:tcW w:w="665" w:type="pct"/>
            <w:tcBorders>
              <w:top w:val="nil"/>
              <w:left w:val="nil"/>
              <w:bottom w:val="nil"/>
              <w:right w:val="nil"/>
            </w:tcBorders>
            <w:shd w:val="clear" w:color="auto" w:fill="auto"/>
            <w:noWrap/>
            <w:vAlign w:val="bottom"/>
            <w:hideMark/>
          </w:tcPr>
          <w:p w14:paraId="51EED8EF"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750 213</w:t>
            </w:r>
          </w:p>
        </w:tc>
        <w:tc>
          <w:tcPr>
            <w:tcW w:w="664" w:type="pct"/>
            <w:tcBorders>
              <w:top w:val="nil"/>
              <w:left w:val="nil"/>
              <w:bottom w:val="nil"/>
              <w:right w:val="nil"/>
            </w:tcBorders>
            <w:shd w:val="clear" w:color="auto" w:fill="auto"/>
            <w:noWrap/>
            <w:vAlign w:val="bottom"/>
            <w:hideMark/>
          </w:tcPr>
          <w:p w14:paraId="5305201D"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775 960</w:t>
            </w:r>
          </w:p>
        </w:tc>
        <w:tc>
          <w:tcPr>
            <w:tcW w:w="663" w:type="pct"/>
            <w:tcBorders>
              <w:top w:val="nil"/>
              <w:left w:val="nil"/>
              <w:bottom w:val="nil"/>
              <w:right w:val="nil"/>
            </w:tcBorders>
            <w:shd w:val="clear" w:color="auto" w:fill="BFBFBF" w:themeFill="background1" w:themeFillShade="BF"/>
            <w:noWrap/>
            <w:vAlign w:val="bottom"/>
            <w:hideMark/>
          </w:tcPr>
          <w:p w14:paraId="06ADE9D5"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785 404</w:t>
            </w:r>
          </w:p>
        </w:tc>
        <w:tc>
          <w:tcPr>
            <w:tcW w:w="519" w:type="pct"/>
            <w:tcBorders>
              <w:top w:val="nil"/>
              <w:left w:val="nil"/>
              <w:bottom w:val="nil"/>
              <w:right w:val="nil"/>
            </w:tcBorders>
            <w:shd w:val="clear" w:color="auto" w:fill="auto"/>
            <w:noWrap/>
            <w:vAlign w:val="bottom"/>
            <w:hideMark/>
          </w:tcPr>
          <w:p w14:paraId="58F03611" w14:textId="77777777" w:rsidR="006822D1" w:rsidRPr="00194C83" w:rsidRDefault="006822D1" w:rsidP="006822D1">
            <w:pPr>
              <w:spacing w:after="0" w:line="240" w:lineRule="auto"/>
              <w:jc w:val="right"/>
              <w:rPr>
                <w:rFonts w:eastAsia="Times New Roman" w:cs="Times New Roman"/>
                <w:sz w:val="20"/>
                <w:szCs w:val="20"/>
                <w:lang w:eastAsia="sk-SK"/>
              </w:rPr>
            </w:pPr>
            <w:r w:rsidRPr="00194C83">
              <w:rPr>
                <w:rFonts w:eastAsia="Times New Roman" w:cs="Times New Roman"/>
                <w:sz w:val="20"/>
                <w:szCs w:val="20"/>
                <w:lang w:eastAsia="sk-SK"/>
              </w:rPr>
              <w:t>9 444</w:t>
            </w:r>
          </w:p>
        </w:tc>
      </w:tr>
      <w:tr w:rsidR="006822D1" w:rsidRPr="009A0CAF" w14:paraId="57D20985" w14:textId="77777777" w:rsidTr="005E1134">
        <w:trPr>
          <w:trHeight w:val="300"/>
        </w:trPr>
        <w:tc>
          <w:tcPr>
            <w:tcW w:w="2489" w:type="pct"/>
            <w:tcBorders>
              <w:top w:val="single" w:sz="4" w:space="0" w:color="auto"/>
              <w:left w:val="nil"/>
              <w:bottom w:val="single" w:sz="4" w:space="0" w:color="auto"/>
              <w:right w:val="nil"/>
            </w:tcBorders>
            <w:shd w:val="clear" w:color="auto" w:fill="auto"/>
            <w:noWrap/>
            <w:vAlign w:val="bottom"/>
            <w:hideMark/>
          </w:tcPr>
          <w:p w14:paraId="315B66F1" w14:textId="77777777" w:rsidR="006822D1" w:rsidRPr="009A0CAF" w:rsidRDefault="006822D1" w:rsidP="006822D1">
            <w:pPr>
              <w:spacing w:after="0" w:line="240" w:lineRule="auto"/>
              <w:jc w:val="left"/>
              <w:rPr>
                <w:rFonts w:eastAsia="Times New Roman" w:cs="Times New Roman"/>
                <w:b/>
                <w:bCs/>
                <w:sz w:val="20"/>
                <w:szCs w:val="20"/>
                <w:lang w:eastAsia="sk-SK"/>
              </w:rPr>
            </w:pPr>
            <w:r w:rsidRPr="009A0CAF">
              <w:rPr>
                <w:rFonts w:eastAsia="Times New Roman" w:cs="Times New Roman"/>
                <w:b/>
                <w:bCs/>
                <w:sz w:val="20"/>
                <w:szCs w:val="20"/>
                <w:lang w:eastAsia="sk-SK"/>
              </w:rPr>
              <w:t>Verejná správa spolu konsolidovaná</w:t>
            </w:r>
          </w:p>
        </w:tc>
        <w:tc>
          <w:tcPr>
            <w:tcW w:w="665" w:type="pct"/>
            <w:tcBorders>
              <w:top w:val="single" w:sz="4" w:space="0" w:color="auto"/>
              <w:left w:val="nil"/>
              <w:bottom w:val="single" w:sz="4" w:space="0" w:color="auto"/>
              <w:right w:val="nil"/>
            </w:tcBorders>
            <w:shd w:val="clear" w:color="auto" w:fill="auto"/>
            <w:noWrap/>
            <w:vAlign w:val="bottom"/>
            <w:hideMark/>
          </w:tcPr>
          <w:p w14:paraId="1A890192"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43 369 530</w:t>
            </w:r>
          </w:p>
        </w:tc>
        <w:tc>
          <w:tcPr>
            <w:tcW w:w="664" w:type="pct"/>
            <w:tcBorders>
              <w:top w:val="single" w:sz="4" w:space="0" w:color="auto"/>
              <w:left w:val="nil"/>
              <w:bottom w:val="single" w:sz="4" w:space="0" w:color="auto"/>
              <w:right w:val="nil"/>
            </w:tcBorders>
            <w:shd w:val="clear" w:color="auto" w:fill="auto"/>
            <w:noWrap/>
            <w:vAlign w:val="bottom"/>
            <w:hideMark/>
          </w:tcPr>
          <w:p w14:paraId="150E0599"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44 321 852</w:t>
            </w:r>
          </w:p>
        </w:tc>
        <w:tc>
          <w:tcPr>
            <w:tcW w:w="663" w:type="pct"/>
            <w:tcBorders>
              <w:top w:val="single" w:sz="4" w:space="0" w:color="auto"/>
              <w:left w:val="nil"/>
              <w:bottom w:val="single" w:sz="4" w:space="0" w:color="auto"/>
              <w:right w:val="nil"/>
            </w:tcBorders>
            <w:shd w:val="clear" w:color="auto" w:fill="BFBFBF" w:themeFill="background1" w:themeFillShade="BF"/>
            <w:noWrap/>
            <w:vAlign w:val="bottom"/>
            <w:hideMark/>
          </w:tcPr>
          <w:p w14:paraId="55F983F7"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45 201 758</w:t>
            </w:r>
          </w:p>
        </w:tc>
        <w:tc>
          <w:tcPr>
            <w:tcW w:w="519" w:type="pct"/>
            <w:tcBorders>
              <w:top w:val="single" w:sz="4" w:space="0" w:color="auto"/>
              <w:left w:val="nil"/>
              <w:bottom w:val="single" w:sz="4" w:space="0" w:color="auto"/>
              <w:right w:val="nil"/>
            </w:tcBorders>
            <w:shd w:val="clear" w:color="auto" w:fill="auto"/>
            <w:noWrap/>
            <w:vAlign w:val="bottom"/>
            <w:hideMark/>
          </w:tcPr>
          <w:p w14:paraId="60487C36"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879 906</w:t>
            </w:r>
          </w:p>
        </w:tc>
      </w:tr>
      <w:tr w:rsidR="006822D1" w:rsidRPr="00194C83" w14:paraId="2F19B18A" w14:textId="77777777" w:rsidTr="005E1134">
        <w:trPr>
          <w:trHeight w:val="300"/>
        </w:trPr>
        <w:tc>
          <w:tcPr>
            <w:tcW w:w="2489" w:type="pct"/>
            <w:tcBorders>
              <w:top w:val="single" w:sz="4" w:space="0" w:color="auto"/>
              <w:left w:val="nil"/>
              <w:bottom w:val="single" w:sz="4" w:space="0" w:color="auto"/>
              <w:right w:val="nil"/>
            </w:tcBorders>
            <w:shd w:val="clear" w:color="auto" w:fill="auto"/>
            <w:noWrap/>
            <w:vAlign w:val="bottom"/>
            <w:hideMark/>
          </w:tcPr>
          <w:p w14:paraId="2FC40E5B" w14:textId="77777777" w:rsidR="006822D1" w:rsidRPr="009A0CAF" w:rsidRDefault="006822D1" w:rsidP="006822D1">
            <w:pPr>
              <w:spacing w:after="0" w:line="240" w:lineRule="auto"/>
              <w:ind w:firstLineChars="200" w:firstLine="402"/>
              <w:jc w:val="left"/>
              <w:rPr>
                <w:rFonts w:eastAsia="Times New Roman" w:cs="Times New Roman"/>
                <w:b/>
                <w:bCs/>
                <w:sz w:val="20"/>
                <w:szCs w:val="20"/>
                <w:lang w:eastAsia="sk-SK"/>
              </w:rPr>
            </w:pPr>
            <w:r w:rsidRPr="009A0CAF">
              <w:rPr>
                <w:rFonts w:eastAsia="Times New Roman" w:cs="Times New Roman"/>
                <w:b/>
                <w:bCs/>
                <w:sz w:val="20"/>
                <w:szCs w:val="20"/>
                <w:lang w:eastAsia="sk-SK"/>
              </w:rPr>
              <w:t>% z HDP</w:t>
            </w:r>
          </w:p>
        </w:tc>
        <w:tc>
          <w:tcPr>
            <w:tcW w:w="665" w:type="pct"/>
            <w:tcBorders>
              <w:top w:val="single" w:sz="4" w:space="0" w:color="auto"/>
              <w:left w:val="nil"/>
              <w:bottom w:val="single" w:sz="4" w:space="0" w:color="auto"/>
              <w:right w:val="nil"/>
            </w:tcBorders>
            <w:shd w:val="clear" w:color="auto" w:fill="auto"/>
            <w:noWrap/>
            <w:vAlign w:val="bottom"/>
            <w:hideMark/>
          </w:tcPr>
          <w:p w14:paraId="0F678723"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51,31</w:t>
            </w:r>
          </w:p>
        </w:tc>
        <w:tc>
          <w:tcPr>
            <w:tcW w:w="664" w:type="pct"/>
            <w:tcBorders>
              <w:top w:val="single" w:sz="4" w:space="0" w:color="auto"/>
              <w:left w:val="nil"/>
              <w:bottom w:val="single" w:sz="4" w:space="0" w:color="auto"/>
              <w:right w:val="nil"/>
            </w:tcBorders>
            <w:shd w:val="clear" w:color="auto" w:fill="auto"/>
            <w:noWrap/>
            <w:vAlign w:val="bottom"/>
            <w:hideMark/>
          </w:tcPr>
          <w:p w14:paraId="11B80789"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49,40</w:t>
            </w:r>
          </w:p>
        </w:tc>
        <w:tc>
          <w:tcPr>
            <w:tcW w:w="663" w:type="pct"/>
            <w:tcBorders>
              <w:top w:val="single" w:sz="4" w:space="0" w:color="auto"/>
              <w:left w:val="nil"/>
              <w:bottom w:val="single" w:sz="4" w:space="0" w:color="auto"/>
              <w:right w:val="nil"/>
            </w:tcBorders>
            <w:shd w:val="clear" w:color="auto" w:fill="BFBFBF" w:themeFill="background1" w:themeFillShade="BF"/>
            <w:noWrap/>
            <w:vAlign w:val="bottom"/>
            <w:hideMark/>
          </w:tcPr>
          <w:p w14:paraId="5C05C0A0" w14:textId="77777777" w:rsidR="006822D1" w:rsidRPr="009A0CAF"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48,00</w:t>
            </w:r>
          </w:p>
        </w:tc>
        <w:tc>
          <w:tcPr>
            <w:tcW w:w="519" w:type="pct"/>
            <w:tcBorders>
              <w:top w:val="single" w:sz="4" w:space="0" w:color="auto"/>
              <w:left w:val="nil"/>
              <w:bottom w:val="single" w:sz="4" w:space="0" w:color="auto"/>
              <w:right w:val="nil"/>
            </w:tcBorders>
            <w:shd w:val="clear" w:color="auto" w:fill="auto"/>
            <w:noWrap/>
            <w:vAlign w:val="bottom"/>
            <w:hideMark/>
          </w:tcPr>
          <w:p w14:paraId="63BB9A42" w14:textId="77777777" w:rsidR="006822D1" w:rsidRPr="00194C83" w:rsidRDefault="006822D1" w:rsidP="006822D1">
            <w:pPr>
              <w:spacing w:after="0" w:line="240" w:lineRule="auto"/>
              <w:jc w:val="right"/>
              <w:rPr>
                <w:rFonts w:eastAsia="Times New Roman" w:cs="Times New Roman"/>
                <w:b/>
                <w:bCs/>
                <w:sz w:val="20"/>
                <w:szCs w:val="20"/>
                <w:lang w:eastAsia="sk-SK"/>
              </w:rPr>
            </w:pPr>
            <w:r w:rsidRPr="009A0CAF">
              <w:rPr>
                <w:rFonts w:eastAsia="Times New Roman" w:cs="Times New Roman"/>
                <w:b/>
                <w:bCs/>
                <w:sz w:val="20"/>
                <w:szCs w:val="20"/>
                <w:lang w:eastAsia="sk-SK"/>
              </w:rPr>
              <w:t>-1,40</w:t>
            </w:r>
          </w:p>
        </w:tc>
      </w:tr>
    </w:tbl>
    <w:p w14:paraId="649202DB" w14:textId="3C7FB8AC" w:rsidR="001C3737" w:rsidRPr="005D545B" w:rsidRDefault="001C3737" w:rsidP="005D545B">
      <w:pPr>
        <w:spacing w:after="0"/>
        <w:rPr>
          <w:rFonts w:eastAsia="Times New Roman" w:cs="Times New Roman"/>
          <w:color w:val="000000"/>
          <w:sz w:val="18"/>
          <w:szCs w:val="18"/>
          <w:lang w:eastAsia="sk-SK"/>
        </w:rPr>
      </w:pPr>
      <w:r>
        <w:rPr>
          <w:rFonts w:eastAsia="Times New Roman" w:cs="Times New Roman"/>
          <w:color w:val="000000"/>
          <w:sz w:val="18"/>
          <w:szCs w:val="18"/>
          <w:lang w:eastAsia="sk-SK"/>
        </w:rPr>
        <w:t>1) Bez tzv. refinančného systému a záväzkov z vkladov subjektov verejnej správy v Štátnej pokladnici</w:t>
      </w:r>
      <w:r w:rsidR="005D545B">
        <w:rPr>
          <w:rFonts w:eastAsia="Times New Roman" w:cs="Times New Roman"/>
          <w:color w:val="000000"/>
          <w:sz w:val="18"/>
          <w:szCs w:val="18"/>
          <w:lang w:eastAsia="sk-SK"/>
        </w:rPr>
        <w:t xml:space="preserve">   Zdroj: MF SR</w:t>
      </w:r>
    </w:p>
    <w:p w14:paraId="489EC733" w14:textId="77777777" w:rsidR="005D545B" w:rsidRDefault="005D545B" w:rsidP="005D545B">
      <w:pPr>
        <w:spacing w:after="0"/>
        <w:jc w:val="right"/>
      </w:pPr>
    </w:p>
    <w:p w14:paraId="54272758" w14:textId="180EB143" w:rsidR="006822D1" w:rsidRPr="002A063F" w:rsidRDefault="006822D1" w:rsidP="005D545B">
      <w:pPr>
        <w:spacing w:after="0"/>
      </w:pPr>
      <w:r w:rsidRPr="002A063F">
        <w:t xml:space="preserve">Na náraste nominálneho dlhu v roku 2019 sa v najvyššej miere podieľal </w:t>
      </w:r>
      <w:r w:rsidRPr="002A063F">
        <w:rPr>
          <w:b/>
        </w:rPr>
        <w:t xml:space="preserve">hotovostný schodok štátneho rozpočtu </w:t>
      </w:r>
      <w:r w:rsidRPr="002A063F">
        <w:t>vo výške 2 201 48</w:t>
      </w:r>
      <w:r w:rsidR="0063503B">
        <w:t>1</w:t>
      </w:r>
      <w:r w:rsidRPr="002A063F">
        <w:t xml:space="preserve"> tis. eur. Zvýšenie maastrichtského dlhu oproti roku 2018 </w:t>
      </w:r>
      <w:r w:rsidRPr="002A063F">
        <w:rPr>
          <w:b/>
        </w:rPr>
        <w:t>negatívne</w:t>
      </w:r>
      <w:r w:rsidRPr="002A063F">
        <w:t xml:space="preserve"> ovplyvnili najmä nasledovné skutočnosti:</w:t>
      </w:r>
    </w:p>
    <w:p w14:paraId="7D1D48E3" w14:textId="77777777" w:rsidR="006822D1" w:rsidRDefault="006822D1" w:rsidP="005D545B">
      <w:pPr>
        <w:pStyle w:val="Odsekzoznamu"/>
        <w:numPr>
          <w:ilvl w:val="0"/>
          <w:numId w:val="21"/>
        </w:numPr>
        <w:spacing w:after="120" w:line="336" w:lineRule="auto"/>
        <w:jc w:val="both"/>
        <w:rPr>
          <w:rFonts w:ascii="Times New Roman" w:hAnsi="Times New Roman"/>
        </w:rPr>
      </w:pPr>
      <w:r w:rsidRPr="002A063F">
        <w:rPr>
          <w:rFonts w:ascii="Times New Roman" w:hAnsi="Times New Roman"/>
        </w:rPr>
        <w:t>schodok štátneho rozpočtu na hotovostnej báze a ďalšie požiadavky na cudzie zdroje vyplývajúce z riadenia dlhu a likvidity v priebehu uplynulého roka, ktoré vyvolali potrebu emitovať štátne dlhopisy v menovitej hodnote 1 457 716 tis. eur,</w:t>
      </w:r>
    </w:p>
    <w:p w14:paraId="67821836" w14:textId="77777777" w:rsidR="006822D1" w:rsidRDefault="006822D1" w:rsidP="005D545B">
      <w:pPr>
        <w:pStyle w:val="Odsekzoznamu"/>
        <w:numPr>
          <w:ilvl w:val="0"/>
          <w:numId w:val="21"/>
        </w:numPr>
        <w:spacing w:after="120" w:line="336" w:lineRule="auto"/>
        <w:jc w:val="both"/>
        <w:rPr>
          <w:rFonts w:ascii="Times New Roman" w:hAnsi="Times New Roman"/>
        </w:rPr>
      </w:pPr>
      <w:r>
        <w:rPr>
          <w:rFonts w:ascii="Times New Roman" w:hAnsi="Times New Roman"/>
        </w:rPr>
        <w:t>prijatie úverov od Rozvojovej banky Rady Európy vo výške 150 000 tis. eur a od Európskej investičnej banky vo výške 151 000 tis. eur do štátneho dlhu,</w:t>
      </w:r>
    </w:p>
    <w:p w14:paraId="04E7B141" w14:textId="77777777" w:rsidR="006822D1" w:rsidRDefault="006822D1" w:rsidP="005D545B">
      <w:pPr>
        <w:pStyle w:val="Odsekzoznamu"/>
        <w:numPr>
          <w:ilvl w:val="0"/>
          <w:numId w:val="21"/>
        </w:numPr>
        <w:spacing w:after="120" w:line="336" w:lineRule="auto"/>
        <w:jc w:val="both"/>
        <w:rPr>
          <w:rFonts w:ascii="Times New Roman" w:hAnsi="Times New Roman"/>
        </w:rPr>
      </w:pPr>
      <w:r>
        <w:rPr>
          <w:rFonts w:ascii="Times New Roman" w:hAnsi="Times New Roman"/>
        </w:rPr>
        <w:t>zvýšenie dlhu Exportno-importnej banky SR o 114 341 tis. eur,</w:t>
      </w:r>
    </w:p>
    <w:p w14:paraId="4787B1BA" w14:textId="77777777" w:rsidR="006822D1" w:rsidRDefault="006822D1" w:rsidP="005D545B">
      <w:pPr>
        <w:pStyle w:val="Odsekzoznamu"/>
        <w:numPr>
          <w:ilvl w:val="0"/>
          <w:numId w:val="21"/>
        </w:numPr>
        <w:spacing w:after="120" w:line="336" w:lineRule="auto"/>
        <w:jc w:val="both"/>
        <w:rPr>
          <w:rFonts w:ascii="Times New Roman" w:hAnsi="Times New Roman"/>
        </w:rPr>
      </w:pPr>
      <w:r>
        <w:rPr>
          <w:rFonts w:ascii="Times New Roman" w:hAnsi="Times New Roman"/>
        </w:rPr>
        <w:t>nárast dlhu Železničnej spoločnosti Slovensko, a.s. o 68 949 tis. eur,</w:t>
      </w:r>
    </w:p>
    <w:p w14:paraId="3BB9FF5E" w14:textId="77777777" w:rsidR="006822D1" w:rsidRPr="000E60E4" w:rsidRDefault="006822D1" w:rsidP="005D545B">
      <w:pPr>
        <w:pStyle w:val="Odsekzoznamu"/>
        <w:numPr>
          <w:ilvl w:val="0"/>
          <w:numId w:val="21"/>
        </w:numPr>
        <w:spacing w:after="120" w:line="336" w:lineRule="auto"/>
        <w:jc w:val="both"/>
        <w:rPr>
          <w:rFonts w:ascii="Times New Roman" w:hAnsi="Times New Roman"/>
        </w:rPr>
      </w:pPr>
      <w:r>
        <w:rPr>
          <w:rFonts w:ascii="Times New Roman" w:hAnsi="Times New Roman"/>
        </w:rPr>
        <w:t>nárast zadlženosti spoločnosti Železnice Slovenskej republiky o 47 862 tis. eur,</w:t>
      </w:r>
    </w:p>
    <w:p w14:paraId="698687F9" w14:textId="77777777" w:rsidR="006822D1" w:rsidRPr="00457B89" w:rsidRDefault="006822D1" w:rsidP="005D545B">
      <w:pPr>
        <w:pStyle w:val="Odsekzoznamu"/>
        <w:numPr>
          <w:ilvl w:val="0"/>
          <w:numId w:val="21"/>
        </w:numPr>
        <w:spacing w:after="120" w:line="336" w:lineRule="auto"/>
        <w:jc w:val="both"/>
        <w:rPr>
          <w:rFonts w:ascii="Times New Roman" w:hAnsi="Times New Roman"/>
        </w:rPr>
      </w:pPr>
      <w:r w:rsidRPr="00457B89">
        <w:rPr>
          <w:rFonts w:ascii="Times New Roman" w:hAnsi="Times New Roman"/>
        </w:rPr>
        <w:t>zvýšenie konsolidovaného dlhu zdravotníckych zariadení patriacich do ústrednej správy o 27 245 tis. eur,</w:t>
      </w:r>
    </w:p>
    <w:p w14:paraId="691B3897" w14:textId="77777777" w:rsidR="006822D1" w:rsidRPr="00457B89" w:rsidRDefault="006822D1" w:rsidP="005D545B">
      <w:pPr>
        <w:pStyle w:val="Odsekzoznamu"/>
        <w:numPr>
          <w:ilvl w:val="0"/>
          <w:numId w:val="21"/>
        </w:numPr>
        <w:spacing w:after="120" w:line="336" w:lineRule="auto"/>
        <w:jc w:val="both"/>
        <w:rPr>
          <w:rFonts w:ascii="Times New Roman" w:hAnsi="Times New Roman"/>
        </w:rPr>
      </w:pPr>
      <w:r w:rsidRPr="00457B89">
        <w:rPr>
          <w:rFonts w:ascii="Times New Roman" w:hAnsi="Times New Roman"/>
        </w:rPr>
        <w:t>nárast konsolidovaného dlhu obcí o 24 047 tis. eur,</w:t>
      </w:r>
    </w:p>
    <w:p w14:paraId="5456F097" w14:textId="77777777" w:rsidR="006822D1" w:rsidRPr="00457B89" w:rsidRDefault="006822D1" w:rsidP="005D545B">
      <w:pPr>
        <w:pStyle w:val="Odsekzoznamu"/>
        <w:numPr>
          <w:ilvl w:val="0"/>
          <w:numId w:val="21"/>
        </w:numPr>
        <w:spacing w:after="120" w:line="336" w:lineRule="auto"/>
        <w:jc w:val="both"/>
        <w:rPr>
          <w:rFonts w:ascii="Times New Roman" w:hAnsi="Times New Roman"/>
        </w:rPr>
      </w:pPr>
      <w:r w:rsidRPr="00457B89">
        <w:rPr>
          <w:rFonts w:ascii="Times New Roman" w:hAnsi="Times New Roman"/>
        </w:rPr>
        <w:t>nárast konsolidovaného dlhu vyšších územných celkov o 12 682 tis. eur.</w:t>
      </w:r>
    </w:p>
    <w:p w14:paraId="2658B4BD" w14:textId="77777777" w:rsidR="006822D1" w:rsidRPr="00457B89" w:rsidRDefault="006822D1" w:rsidP="005D545B">
      <w:pPr>
        <w:spacing w:after="160" w:line="259" w:lineRule="auto"/>
      </w:pPr>
      <w:r w:rsidRPr="00457B89">
        <w:rPr>
          <w:b/>
        </w:rPr>
        <w:t xml:space="preserve">Pozitívny </w:t>
      </w:r>
      <w:r w:rsidRPr="00457B89">
        <w:t>vplyv na vývoj maastrichtského dlhu oproti jeho stavu v roku 2018 mali najmä tieto skutočnosti:</w:t>
      </w:r>
    </w:p>
    <w:p w14:paraId="341A6F02" w14:textId="77777777" w:rsidR="006822D1" w:rsidRPr="002A063F" w:rsidRDefault="006822D1" w:rsidP="005D545B">
      <w:pPr>
        <w:pStyle w:val="Odsekzoznamu"/>
        <w:numPr>
          <w:ilvl w:val="0"/>
          <w:numId w:val="22"/>
        </w:numPr>
        <w:spacing w:after="120" w:line="336" w:lineRule="auto"/>
        <w:jc w:val="both"/>
      </w:pPr>
      <w:r w:rsidRPr="002A063F">
        <w:rPr>
          <w:rFonts w:ascii="Times New Roman" w:hAnsi="Times New Roman"/>
        </w:rPr>
        <w:t>splátky záväzkov zo štátnych dlhopisov v menovitej hodnote 229 231 tis. eur,</w:t>
      </w:r>
    </w:p>
    <w:p w14:paraId="752169FA" w14:textId="77777777" w:rsidR="006822D1" w:rsidRPr="002A063F" w:rsidRDefault="006822D1" w:rsidP="005D545B">
      <w:pPr>
        <w:pStyle w:val="Odsekzoznamu"/>
        <w:numPr>
          <w:ilvl w:val="0"/>
          <w:numId w:val="22"/>
        </w:numPr>
        <w:spacing w:after="120" w:line="336" w:lineRule="auto"/>
        <w:jc w:val="both"/>
      </w:pPr>
      <w:r w:rsidRPr="002A063F">
        <w:rPr>
          <w:rFonts w:ascii="Times New Roman" w:hAnsi="Times New Roman"/>
        </w:rPr>
        <w:t>splátky úverov v štátnom dlhu v hodnote 110 445 tis. eur,</w:t>
      </w:r>
    </w:p>
    <w:p w14:paraId="1DEB9C40" w14:textId="163DACAD" w:rsidR="006822D1" w:rsidRDefault="006822D1" w:rsidP="005D545B">
      <w:pPr>
        <w:pStyle w:val="Odsekzoznamu"/>
        <w:numPr>
          <w:ilvl w:val="0"/>
          <w:numId w:val="22"/>
        </w:numPr>
        <w:spacing w:after="120" w:line="336" w:lineRule="auto"/>
        <w:jc w:val="both"/>
        <w:rPr>
          <w:rFonts w:ascii="Times New Roman" w:hAnsi="Times New Roman"/>
        </w:rPr>
      </w:pPr>
      <w:r w:rsidRPr="00457B89">
        <w:rPr>
          <w:rFonts w:ascii="Times New Roman" w:hAnsi="Times New Roman"/>
        </w:rPr>
        <w:t>pokles zadlženosti Národnej diaľničnej spoločnosti, a. s. o 41 865 tis. eur,</w:t>
      </w:r>
    </w:p>
    <w:p w14:paraId="72D6039C" w14:textId="77777777" w:rsidR="006822D1" w:rsidRDefault="006822D1" w:rsidP="005D545B">
      <w:pPr>
        <w:pStyle w:val="Odsekzoznamu"/>
        <w:numPr>
          <w:ilvl w:val="0"/>
          <w:numId w:val="22"/>
        </w:numPr>
        <w:spacing w:after="120" w:line="336" w:lineRule="auto"/>
        <w:jc w:val="both"/>
        <w:rPr>
          <w:rFonts w:ascii="Times New Roman" w:hAnsi="Times New Roman"/>
        </w:rPr>
      </w:pPr>
      <w:r w:rsidRPr="00457B89">
        <w:rPr>
          <w:rFonts w:ascii="Times New Roman" w:hAnsi="Times New Roman"/>
        </w:rPr>
        <w:t>pokles zadlženosti dopravných podnikov územnej samosprávy 14 950 tis. eur</w:t>
      </w:r>
      <w:r>
        <w:rPr>
          <w:rFonts w:ascii="Times New Roman" w:hAnsi="Times New Roman"/>
        </w:rPr>
        <w:t>,</w:t>
      </w:r>
    </w:p>
    <w:p w14:paraId="17557900" w14:textId="77777777" w:rsidR="006822D1" w:rsidRPr="00457B89" w:rsidRDefault="006822D1" w:rsidP="005D545B">
      <w:pPr>
        <w:pStyle w:val="Odsekzoznamu"/>
        <w:numPr>
          <w:ilvl w:val="0"/>
          <w:numId w:val="22"/>
        </w:numPr>
        <w:spacing w:after="120" w:line="336" w:lineRule="auto"/>
        <w:jc w:val="both"/>
        <w:rPr>
          <w:rFonts w:ascii="Times New Roman" w:hAnsi="Times New Roman"/>
        </w:rPr>
      </w:pPr>
      <w:r>
        <w:rPr>
          <w:rFonts w:ascii="Times New Roman" w:hAnsi="Times New Roman"/>
        </w:rPr>
        <w:t>zníženie dlhu príspevkových organizácií ústrednej správy o 14 421 tis. eur.</w:t>
      </w:r>
    </w:p>
    <w:p w14:paraId="450FBC42" w14:textId="2AB90186" w:rsidR="006822D1" w:rsidRPr="00FF752C" w:rsidRDefault="006822D1" w:rsidP="006822D1">
      <w:pPr>
        <w:rPr>
          <w:highlight w:val="yellow"/>
        </w:rPr>
      </w:pPr>
      <w:r w:rsidRPr="00FF752C">
        <w:rPr>
          <w:b/>
        </w:rPr>
        <w:t xml:space="preserve">Maastrichtský dlh verejnej správy bol financovaný predovšetkým cennými papiermi, konkrétne štátnymi dlhopismi </w:t>
      </w:r>
      <w:r w:rsidRPr="00FF752C">
        <w:t xml:space="preserve">v menovitej hodnote 38 184 084 tis. eur (84,5 %). </w:t>
      </w:r>
      <w:r w:rsidRPr="00535FA6">
        <w:t xml:space="preserve">Bankové úvery a iné </w:t>
      </w:r>
      <w:r w:rsidRPr="007710DA">
        <w:t>záväzky dosiahli hodnotu 6 658 233 tis. eur (14,7 %), z čoho 1 859 323 tis. eur predstavuje záväzok pripadajúci na Slovenskú republiku z</w:t>
      </w:r>
      <w:r w:rsidR="00317D5C" w:rsidRPr="007710DA">
        <w:t xml:space="preserve"> nástroja</w:t>
      </w:r>
      <w:r w:rsidRPr="007710DA">
        <w:t xml:space="preserve"> EFSF, ktorý sa oproti </w:t>
      </w:r>
      <w:r w:rsidR="00317D5C" w:rsidRPr="007710DA">
        <w:t>roku 2018</w:t>
      </w:r>
      <w:r w:rsidRPr="007710DA">
        <w:t xml:space="preserve"> znížil o 21 317 tis. eur. Osobitnou súčasťou maastrichtského dlhu sú záväzky z vkladov peňažných prostriedkov v Štátnej </w:t>
      </w:r>
      <w:r w:rsidRPr="00535FA6">
        <w:t>pokladnici tých klientov, ktorí nie sú súčasťou verejnej správy</w:t>
      </w:r>
      <w:r w:rsidR="007710DA">
        <w:t>. T</w:t>
      </w:r>
      <w:r w:rsidRPr="00535FA6">
        <w:t>ieto záväzky dosiahli hodnotu 251 101 tis. eur (0,6 %).</w:t>
      </w:r>
    </w:p>
    <w:p w14:paraId="07B5FFDB" w14:textId="77777777" w:rsidR="006822D1" w:rsidRPr="00535FA6" w:rsidRDefault="006822D1" w:rsidP="006822D1">
      <w:r w:rsidRPr="00535FA6">
        <w:rPr>
          <w:b/>
        </w:rPr>
        <w:t>Z pohľadu meny bol maastrichtský dlh v roku 2019 tvorený z 95,8 % dlhom v eurách a 4,2 %</w:t>
      </w:r>
      <w:r w:rsidRPr="00535FA6">
        <w:t xml:space="preserve"> dlhu pripadlo na iné meny, ktoré sú najmä v štátnom dlhu pri emitovaných dlhopisoch denominovaných v amerických dolároch, japonských jenoch, švajčiarskych frankoch a nórskych korunách.</w:t>
      </w:r>
    </w:p>
    <w:p w14:paraId="6C2519CC" w14:textId="77777777" w:rsidR="006822D1" w:rsidRPr="00535FA6" w:rsidRDefault="006822D1" w:rsidP="006822D1">
      <w:r w:rsidRPr="00535FA6">
        <w:rPr>
          <w:b/>
        </w:rPr>
        <w:t xml:space="preserve">Z hľadiska pôvodnej splatnosti </w:t>
      </w:r>
      <w:r w:rsidRPr="00535FA6">
        <w:t>(dohodnutej pri vzniku dlhu) je maastrichtský dlh tvorený z 1,3 % (599 201 tis. eur) krátkodobým dlhom. Dlh s pôvodnou splatnosťou vyššou ako jeden rok predstavuje 98,7 % (44 602 557 tis. eur).</w:t>
      </w:r>
    </w:p>
    <w:p w14:paraId="665B8B83" w14:textId="77777777" w:rsidR="006822D1" w:rsidRPr="004060FE" w:rsidRDefault="006822D1" w:rsidP="006822D1">
      <w:r w:rsidRPr="004060FE">
        <w:rPr>
          <w:b/>
        </w:rPr>
        <w:t>Z hľadiska teritoriálnej štruktúry</w:t>
      </w:r>
      <w:r w:rsidRPr="004060FE">
        <w:t xml:space="preserve"> majú v držbe väčšinu maastrichtského dlhu verejnej správy SR zahraniční veritelia, a to 57,5 % (26 000 26 tis. eur). V portfóliu tuzemských veriteľov je 42,5 % (19 201 491 tis. eur) maastrichtského dlhu, pričom ide o tuzemské bankové inštitúcie a obchodníkov s cennými papiermi.</w:t>
      </w:r>
    </w:p>
    <w:p w14:paraId="610409B6" w14:textId="77777777" w:rsidR="006822D1" w:rsidRPr="006D5432" w:rsidRDefault="006822D1" w:rsidP="006822D1">
      <w:pPr>
        <w:pStyle w:val="Nadpis3"/>
      </w:pPr>
      <w:bookmarkStart w:id="25" w:name="_Toc39095168"/>
      <w:r w:rsidRPr="006D5432">
        <w:t>Maastrichtský dlh štátnych rozpočtových organizácií</w:t>
      </w:r>
      <w:bookmarkEnd w:id="25"/>
    </w:p>
    <w:p w14:paraId="72F5853F" w14:textId="6F03CB24" w:rsidR="006822D1" w:rsidRPr="00C92A98" w:rsidRDefault="006822D1" w:rsidP="006822D1">
      <w:r w:rsidRPr="006D5432">
        <w:t>Štátny dlh</w:t>
      </w:r>
      <w:r w:rsidR="007710DA">
        <w:t>,</w:t>
      </w:r>
      <w:r w:rsidRPr="006D5432">
        <w:t xml:space="preserve"> ktorý je v správe Ministerstva financií SR, dosiahol v menovitej hodnote ku koncu roka 2019 výšku 43 184 638 tis. eur. </w:t>
      </w:r>
      <w:r w:rsidRPr="00C92A98">
        <w:t>V porovnaní s predchádzajúcim rokom vzrástol o 624 473 tis. eur (o 1,5 %). Hlavnou príčinou zvyšovania štátneho dlhu je v prípade deficitného hospodárenia hotovostný schodok štátneho rozpočtu, ktorý je nutné v priebehu roka financovať externými zdrojmi.</w:t>
      </w:r>
    </w:p>
    <w:p w14:paraId="0E4CDD4D" w14:textId="3E0DF04E" w:rsidR="005D545B" w:rsidRPr="00C92A98" w:rsidRDefault="006822D1" w:rsidP="006822D1">
      <w:r w:rsidRPr="00C92A98">
        <w:t xml:space="preserve">Štátny dlh je v </w:t>
      </w:r>
      <w:r w:rsidRPr="00156FC4">
        <w:t xml:space="preserve">rozhodujúcej miere tvorený záväzkami z emisie štátnych dlhopisov (88,4 %), </w:t>
      </w:r>
      <w:r w:rsidR="00590F0E" w:rsidRPr="00156FC4">
        <w:t xml:space="preserve">prijatými bankovými </w:t>
      </w:r>
      <w:r w:rsidRPr="00156FC4">
        <w:t>úver</w:t>
      </w:r>
      <w:r w:rsidR="00590F0E" w:rsidRPr="00156FC4">
        <w:t>mi</w:t>
      </w:r>
      <w:r w:rsidRPr="00156FC4">
        <w:t xml:space="preserve"> (5,7 %) a záväzkami z</w:t>
      </w:r>
      <w:r w:rsidR="00590F0E" w:rsidRPr="00156FC4">
        <w:t xml:space="preserve"> nástroja </w:t>
      </w:r>
      <w:r w:rsidRPr="00156FC4">
        <w:t>EFSF (4,3 %). Do maastrichtsk</w:t>
      </w:r>
      <w:r w:rsidR="00590F0E" w:rsidRPr="00156FC4">
        <w:t>ého dlhu sa podľa revidovaného m</w:t>
      </w:r>
      <w:r w:rsidRPr="00156FC4">
        <w:t xml:space="preserve">anuálu o vládnom deficite a dlhu zaraďujú </w:t>
      </w:r>
      <w:r>
        <w:t>aj dlhodobé záväzky z obchodného styku avšak v prípade štátneho dlhu m</w:t>
      </w:r>
      <w:r w:rsidR="00156FC4">
        <w:t>alo</w:t>
      </w:r>
      <w:r>
        <w:t xml:space="preserve"> toto preradenie </w:t>
      </w:r>
      <w:r w:rsidR="00156FC4">
        <w:t xml:space="preserve">v roku 2019 </w:t>
      </w:r>
      <w:r>
        <w:t>zanedbateľný vplyv (0,01 %).</w:t>
      </w:r>
    </w:p>
    <w:tbl>
      <w:tblPr>
        <w:tblW w:w="5000" w:type="pct"/>
        <w:tblLayout w:type="fixed"/>
        <w:tblCellMar>
          <w:left w:w="70" w:type="dxa"/>
          <w:right w:w="70" w:type="dxa"/>
        </w:tblCellMar>
        <w:tblLook w:val="04A0" w:firstRow="1" w:lastRow="0" w:firstColumn="1" w:lastColumn="0" w:noHBand="0" w:noVBand="1"/>
      </w:tblPr>
      <w:tblGrid>
        <w:gridCol w:w="4111"/>
        <w:gridCol w:w="1134"/>
        <w:gridCol w:w="1134"/>
        <w:gridCol w:w="1134"/>
        <w:gridCol w:w="990"/>
      </w:tblGrid>
      <w:tr w:rsidR="006822D1" w:rsidRPr="00C92A98" w14:paraId="5E7B4FA5" w14:textId="77777777" w:rsidTr="00156FC4">
        <w:trPr>
          <w:trHeight w:val="330"/>
        </w:trPr>
        <w:tc>
          <w:tcPr>
            <w:tcW w:w="4418" w:type="pct"/>
            <w:gridSpan w:val="4"/>
            <w:tcBorders>
              <w:top w:val="single" w:sz="4" w:space="0" w:color="auto"/>
              <w:left w:val="nil"/>
              <w:bottom w:val="single" w:sz="4" w:space="0" w:color="auto"/>
              <w:right w:val="nil"/>
            </w:tcBorders>
            <w:shd w:val="clear" w:color="000000" w:fill="000000"/>
            <w:noWrap/>
            <w:vAlign w:val="center"/>
            <w:hideMark/>
          </w:tcPr>
          <w:p w14:paraId="0860F931" w14:textId="77777777" w:rsidR="006822D1" w:rsidRPr="00C92A98" w:rsidRDefault="006822D1" w:rsidP="006822D1">
            <w:pPr>
              <w:spacing w:after="0" w:line="240" w:lineRule="auto"/>
              <w:jc w:val="left"/>
              <w:rPr>
                <w:rFonts w:eastAsia="Times New Roman" w:cs="Times New Roman"/>
                <w:b/>
                <w:bCs/>
                <w:color w:val="FFFFFF"/>
                <w:sz w:val="20"/>
                <w:szCs w:val="20"/>
                <w:lang w:eastAsia="sk-SK"/>
              </w:rPr>
            </w:pPr>
            <w:r w:rsidRPr="00C92A98">
              <w:rPr>
                <w:rFonts w:eastAsia="Times New Roman" w:cs="Times New Roman"/>
                <w:b/>
                <w:bCs/>
                <w:color w:val="FFFFFF"/>
                <w:sz w:val="20"/>
                <w:szCs w:val="20"/>
                <w:lang w:eastAsia="sk-SK"/>
              </w:rPr>
              <w:t>Štátny dlh podľa dlhových nástrojov</w:t>
            </w:r>
          </w:p>
        </w:tc>
        <w:tc>
          <w:tcPr>
            <w:tcW w:w="582" w:type="pct"/>
            <w:tcBorders>
              <w:top w:val="single" w:sz="4" w:space="0" w:color="auto"/>
              <w:left w:val="nil"/>
              <w:bottom w:val="single" w:sz="4" w:space="0" w:color="auto"/>
              <w:right w:val="nil"/>
            </w:tcBorders>
            <w:shd w:val="clear" w:color="000000" w:fill="000000"/>
            <w:noWrap/>
            <w:vAlign w:val="center"/>
            <w:hideMark/>
          </w:tcPr>
          <w:p w14:paraId="0B4483A7" w14:textId="77777777" w:rsidR="006822D1" w:rsidRPr="00C92A98" w:rsidRDefault="006822D1" w:rsidP="006822D1">
            <w:pPr>
              <w:spacing w:after="0" w:line="240" w:lineRule="auto"/>
              <w:jc w:val="right"/>
              <w:rPr>
                <w:rFonts w:eastAsia="Times New Roman" w:cs="Times New Roman"/>
                <w:b/>
                <w:bCs/>
                <w:color w:val="FFFFFF"/>
                <w:sz w:val="20"/>
                <w:szCs w:val="20"/>
                <w:lang w:eastAsia="sk-SK"/>
              </w:rPr>
            </w:pPr>
            <w:r w:rsidRPr="00C92A98">
              <w:rPr>
                <w:rFonts w:eastAsia="Times New Roman" w:cs="Times New Roman"/>
                <w:b/>
                <w:bCs/>
                <w:color w:val="FFFFFF"/>
                <w:sz w:val="20"/>
                <w:szCs w:val="20"/>
                <w:lang w:eastAsia="sk-SK"/>
              </w:rPr>
              <w:t>v tis. eur</w:t>
            </w:r>
          </w:p>
        </w:tc>
      </w:tr>
      <w:tr w:rsidR="006822D1" w:rsidRPr="00C92A98" w14:paraId="1E6601C6" w14:textId="77777777" w:rsidTr="00156FC4">
        <w:trPr>
          <w:trHeight w:val="300"/>
        </w:trPr>
        <w:tc>
          <w:tcPr>
            <w:tcW w:w="2417" w:type="pct"/>
            <w:tcBorders>
              <w:top w:val="single" w:sz="4" w:space="0" w:color="auto"/>
              <w:left w:val="nil"/>
              <w:bottom w:val="nil"/>
              <w:right w:val="nil"/>
            </w:tcBorders>
            <w:shd w:val="clear" w:color="000000" w:fill="BFBFBF"/>
            <w:vAlign w:val="center"/>
            <w:hideMark/>
          </w:tcPr>
          <w:p w14:paraId="3BAB4CB3" w14:textId="77777777" w:rsidR="006822D1" w:rsidRPr="00C92A98" w:rsidRDefault="006822D1" w:rsidP="006822D1">
            <w:pPr>
              <w:spacing w:after="0" w:line="240" w:lineRule="auto"/>
              <w:rPr>
                <w:rFonts w:eastAsia="Times New Roman" w:cs="Times New Roman"/>
                <w:b/>
                <w:bCs/>
                <w:sz w:val="20"/>
                <w:szCs w:val="20"/>
                <w:lang w:eastAsia="sk-SK"/>
              </w:rPr>
            </w:pPr>
            <w:r w:rsidRPr="00C92A98">
              <w:rPr>
                <w:rFonts w:eastAsia="Times New Roman" w:cs="Times New Roman"/>
                <w:b/>
                <w:bCs/>
                <w:sz w:val="20"/>
                <w:szCs w:val="20"/>
                <w:lang w:eastAsia="sk-SK"/>
              </w:rPr>
              <w:t> </w:t>
            </w:r>
          </w:p>
        </w:tc>
        <w:tc>
          <w:tcPr>
            <w:tcW w:w="667" w:type="pct"/>
            <w:tcBorders>
              <w:top w:val="single" w:sz="4" w:space="0" w:color="auto"/>
              <w:left w:val="nil"/>
              <w:bottom w:val="nil"/>
              <w:right w:val="nil"/>
            </w:tcBorders>
            <w:shd w:val="clear" w:color="000000" w:fill="BFBFBF"/>
            <w:vAlign w:val="center"/>
            <w:hideMark/>
          </w:tcPr>
          <w:p w14:paraId="35AA4E1D"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k 31.12.2017</w:t>
            </w:r>
          </w:p>
        </w:tc>
        <w:tc>
          <w:tcPr>
            <w:tcW w:w="667" w:type="pct"/>
            <w:tcBorders>
              <w:top w:val="single" w:sz="4" w:space="0" w:color="auto"/>
              <w:left w:val="nil"/>
              <w:bottom w:val="nil"/>
              <w:right w:val="nil"/>
            </w:tcBorders>
            <w:shd w:val="clear" w:color="000000" w:fill="BFBFBF"/>
            <w:vAlign w:val="center"/>
            <w:hideMark/>
          </w:tcPr>
          <w:p w14:paraId="61837544"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k 31.12.2018</w:t>
            </w:r>
          </w:p>
        </w:tc>
        <w:tc>
          <w:tcPr>
            <w:tcW w:w="667" w:type="pct"/>
            <w:tcBorders>
              <w:top w:val="single" w:sz="4" w:space="0" w:color="auto"/>
              <w:left w:val="nil"/>
              <w:bottom w:val="nil"/>
              <w:right w:val="nil"/>
            </w:tcBorders>
            <w:shd w:val="clear" w:color="000000" w:fill="BFBFBF"/>
            <w:vAlign w:val="center"/>
            <w:hideMark/>
          </w:tcPr>
          <w:p w14:paraId="0B369D87"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k 31.12.2019</w:t>
            </w:r>
          </w:p>
        </w:tc>
        <w:tc>
          <w:tcPr>
            <w:tcW w:w="582" w:type="pct"/>
            <w:tcBorders>
              <w:top w:val="single" w:sz="4" w:space="0" w:color="auto"/>
              <w:left w:val="nil"/>
              <w:bottom w:val="nil"/>
              <w:right w:val="nil"/>
            </w:tcBorders>
            <w:shd w:val="clear" w:color="000000" w:fill="BFBFBF"/>
            <w:vAlign w:val="center"/>
            <w:hideMark/>
          </w:tcPr>
          <w:p w14:paraId="49460621"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Zmena</w:t>
            </w:r>
          </w:p>
        </w:tc>
      </w:tr>
      <w:tr w:rsidR="006822D1" w:rsidRPr="00C92A98" w14:paraId="30803E53" w14:textId="77777777" w:rsidTr="00156FC4">
        <w:trPr>
          <w:trHeight w:val="300"/>
        </w:trPr>
        <w:tc>
          <w:tcPr>
            <w:tcW w:w="2417" w:type="pct"/>
            <w:tcBorders>
              <w:top w:val="nil"/>
              <w:left w:val="nil"/>
              <w:bottom w:val="single" w:sz="4" w:space="0" w:color="auto"/>
              <w:right w:val="nil"/>
            </w:tcBorders>
            <w:shd w:val="clear" w:color="000000" w:fill="BFBFBF"/>
            <w:vAlign w:val="center"/>
            <w:hideMark/>
          </w:tcPr>
          <w:p w14:paraId="4A5EBDFB" w14:textId="77777777" w:rsidR="006822D1" w:rsidRPr="00C92A98" w:rsidRDefault="006822D1" w:rsidP="006822D1">
            <w:pPr>
              <w:spacing w:after="0" w:line="240" w:lineRule="auto"/>
              <w:rPr>
                <w:rFonts w:eastAsia="Times New Roman" w:cs="Times New Roman"/>
                <w:b/>
                <w:bCs/>
                <w:sz w:val="20"/>
                <w:szCs w:val="20"/>
                <w:lang w:eastAsia="sk-SK"/>
              </w:rPr>
            </w:pPr>
            <w:r w:rsidRPr="00C92A98">
              <w:rPr>
                <w:rFonts w:eastAsia="Times New Roman" w:cs="Times New Roman"/>
                <w:b/>
                <w:bCs/>
                <w:sz w:val="20"/>
                <w:szCs w:val="20"/>
                <w:lang w:eastAsia="sk-SK"/>
              </w:rPr>
              <w:t> </w:t>
            </w:r>
          </w:p>
        </w:tc>
        <w:tc>
          <w:tcPr>
            <w:tcW w:w="667" w:type="pct"/>
            <w:tcBorders>
              <w:top w:val="nil"/>
              <w:left w:val="nil"/>
              <w:bottom w:val="single" w:sz="4" w:space="0" w:color="auto"/>
              <w:right w:val="nil"/>
            </w:tcBorders>
            <w:shd w:val="clear" w:color="000000" w:fill="BFBFBF"/>
            <w:vAlign w:val="center"/>
            <w:hideMark/>
          </w:tcPr>
          <w:p w14:paraId="2FAB10BD"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1</w:t>
            </w:r>
          </w:p>
        </w:tc>
        <w:tc>
          <w:tcPr>
            <w:tcW w:w="667" w:type="pct"/>
            <w:tcBorders>
              <w:top w:val="nil"/>
              <w:left w:val="nil"/>
              <w:bottom w:val="single" w:sz="4" w:space="0" w:color="auto"/>
              <w:right w:val="nil"/>
            </w:tcBorders>
            <w:shd w:val="clear" w:color="000000" w:fill="BFBFBF"/>
            <w:vAlign w:val="center"/>
            <w:hideMark/>
          </w:tcPr>
          <w:p w14:paraId="50ADF23C"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2</w:t>
            </w:r>
          </w:p>
        </w:tc>
        <w:tc>
          <w:tcPr>
            <w:tcW w:w="667" w:type="pct"/>
            <w:tcBorders>
              <w:top w:val="nil"/>
              <w:left w:val="nil"/>
              <w:bottom w:val="single" w:sz="4" w:space="0" w:color="auto"/>
              <w:right w:val="nil"/>
            </w:tcBorders>
            <w:shd w:val="clear" w:color="000000" w:fill="BFBFBF"/>
            <w:vAlign w:val="center"/>
            <w:hideMark/>
          </w:tcPr>
          <w:p w14:paraId="3C32BDE4"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3</w:t>
            </w:r>
          </w:p>
        </w:tc>
        <w:tc>
          <w:tcPr>
            <w:tcW w:w="582" w:type="pct"/>
            <w:tcBorders>
              <w:top w:val="nil"/>
              <w:left w:val="nil"/>
              <w:bottom w:val="single" w:sz="4" w:space="0" w:color="auto"/>
              <w:right w:val="nil"/>
            </w:tcBorders>
            <w:shd w:val="clear" w:color="000000" w:fill="BFBFBF"/>
            <w:vAlign w:val="center"/>
            <w:hideMark/>
          </w:tcPr>
          <w:p w14:paraId="01ABA25B" w14:textId="77777777" w:rsidR="006822D1" w:rsidRPr="00C92A98" w:rsidRDefault="006822D1" w:rsidP="006822D1">
            <w:pPr>
              <w:spacing w:after="0" w:line="240" w:lineRule="auto"/>
              <w:jc w:val="center"/>
              <w:rPr>
                <w:rFonts w:eastAsia="Times New Roman" w:cs="Times New Roman"/>
                <w:b/>
                <w:bCs/>
                <w:sz w:val="20"/>
                <w:szCs w:val="20"/>
                <w:lang w:eastAsia="sk-SK"/>
              </w:rPr>
            </w:pPr>
            <w:r w:rsidRPr="00C92A98">
              <w:rPr>
                <w:rFonts w:eastAsia="Times New Roman" w:cs="Times New Roman"/>
                <w:b/>
                <w:bCs/>
                <w:sz w:val="20"/>
                <w:szCs w:val="20"/>
                <w:lang w:eastAsia="sk-SK"/>
              </w:rPr>
              <w:t>4=(3-2)</w:t>
            </w:r>
          </w:p>
        </w:tc>
      </w:tr>
      <w:tr w:rsidR="006822D1" w:rsidRPr="00C92A98" w14:paraId="5CC07866" w14:textId="77777777" w:rsidTr="005E1134">
        <w:trPr>
          <w:trHeight w:val="300"/>
        </w:trPr>
        <w:tc>
          <w:tcPr>
            <w:tcW w:w="2417" w:type="pct"/>
            <w:tcBorders>
              <w:top w:val="nil"/>
              <w:left w:val="nil"/>
              <w:bottom w:val="nil"/>
              <w:right w:val="nil"/>
            </w:tcBorders>
            <w:shd w:val="clear" w:color="auto" w:fill="auto"/>
            <w:noWrap/>
            <w:vAlign w:val="bottom"/>
            <w:hideMark/>
          </w:tcPr>
          <w:p w14:paraId="42E3B1A6" w14:textId="77777777" w:rsidR="006822D1" w:rsidRPr="00C92A98" w:rsidRDefault="006822D1" w:rsidP="006822D1">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Štátne dlhopisy</w:t>
            </w:r>
          </w:p>
        </w:tc>
        <w:tc>
          <w:tcPr>
            <w:tcW w:w="667" w:type="pct"/>
            <w:tcBorders>
              <w:top w:val="nil"/>
              <w:left w:val="nil"/>
              <w:bottom w:val="nil"/>
              <w:right w:val="nil"/>
            </w:tcBorders>
            <w:shd w:val="clear" w:color="auto" w:fill="auto"/>
            <w:noWrap/>
            <w:vAlign w:val="bottom"/>
            <w:hideMark/>
          </w:tcPr>
          <w:p w14:paraId="34230054"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37 037 655</w:t>
            </w:r>
          </w:p>
        </w:tc>
        <w:tc>
          <w:tcPr>
            <w:tcW w:w="667" w:type="pct"/>
            <w:tcBorders>
              <w:top w:val="nil"/>
              <w:left w:val="nil"/>
              <w:bottom w:val="nil"/>
              <w:right w:val="nil"/>
            </w:tcBorders>
            <w:shd w:val="clear" w:color="auto" w:fill="auto"/>
            <w:noWrap/>
            <w:vAlign w:val="bottom"/>
            <w:hideMark/>
          </w:tcPr>
          <w:p w14:paraId="3DD053E2"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36 937 291</w:t>
            </w:r>
          </w:p>
        </w:tc>
        <w:tc>
          <w:tcPr>
            <w:tcW w:w="667" w:type="pct"/>
            <w:tcBorders>
              <w:top w:val="nil"/>
              <w:left w:val="nil"/>
              <w:bottom w:val="nil"/>
              <w:right w:val="nil"/>
            </w:tcBorders>
            <w:shd w:val="clear" w:color="auto" w:fill="BFBFBF" w:themeFill="background1" w:themeFillShade="BF"/>
            <w:noWrap/>
            <w:vAlign w:val="bottom"/>
            <w:hideMark/>
          </w:tcPr>
          <w:p w14:paraId="7C2ED5DF"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38 165 775</w:t>
            </w:r>
          </w:p>
        </w:tc>
        <w:tc>
          <w:tcPr>
            <w:tcW w:w="582" w:type="pct"/>
            <w:tcBorders>
              <w:top w:val="nil"/>
              <w:left w:val="nil"/>
              <w:bottom w:val="nil"/>
              <w:right w:val="nil"/>
            </w:tcBorders>
            <w:shd w:val="clear" w:color="auto" w:fill="auto"/>
            <w:noWrap/>
            <w:vAlign w:val="bottom"/>
            <w:hideMark/>
          </w:tcPr>
          <w:p w14:paraId="2BCFC4DF"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1 228 484</w:t>
            </w:r>
          </w:p>
        </w:tc>
      </w:tr>
      <w:tr w:rsidR="001F6F5A" w:rsidRPr="00C92A98" w14:paraId="285A9A4A" w14:textId="77777777" w:rsidTr="005E1134">
        <w:trPr>
          <w:trHeight w:val="300"/>
        </w:trPr>
        <w:tc>
          <w:tcPr>
            <w:tcW w:w="2417" w:type="pct"/>
            <w:tcBorders>
              <w:top w:val="nil"/>
              <w:left w:val="nil"/>
              <w:bottom w:val="nil"/>
              <w:right w:val="nil"/>
            </w:tcBorders>
            <w:shd w:val="clear" w:color="auto" w:fill="auto"/>
            <w:noWrap/>
            <w:vAlign w:val="bottom"/>
            <w:hideMark/>
          </w:tcPr>
          <w:p w14:paraId="284B3F23" w14:textId="77777777" w:rsidR="001F6F5A" w:rsidRPr="00C92A98" w:rsidRDefault="001F6F5A" w:rsidP="0044781D">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Bankové úvery a iné pôžičky</w:t>
            </w:r>
          </w:p>
        </w:tc>
        <w:tc>
          <w:tcPr>
            <w:tcW w:w="667" w:type="pct"/>
            <w:tcBorders>
              <w:top w:val="nil"/>
              <w:left w:val="nil"/>
              <w:bottom w:val="nil"/>
              <w:right w:val="nil"/>
            </w:tcBorders>
            <w:shd w:val="clear" w:color="auto" w:fill="auto"/>
            <w:noWrap/>
            <w:vAlign w:val="bottom"/>
            <w:hideMark/>
          </w:tcPr>
          <w:p w14:paraId="69C1F1BC"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2 293 234</w:t>
            </w:r>
          </w:p>
        </w:tc>
        <w:tc>
          <w:tcPr>
            <w:tcW w:w="667" w:type="pct"/>
            <w:tcBorders>
              <w:top w:val="nil"/>
              <w:left w:val="nil"/>
              <w:bottom w:val="nil"/>
              <w:right w:val="nil"/>
            </w:tcBorders>
            <w:shd w:val="clear" w:color="auto" w:fill="auto"/>
            <w:noWrap/>
            <w:vAlign w:val="bottom"/>
            <w:hideMark/>
          </w:tcPr>
          <w:p w14:paraId="5063B933"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2 280 118</w:t>
            </w:r>
          </w:p>
        </w:tc>
        <w:tc>
          <w:tcPr>
            <w:tcW w:w="667" w:type="pct"/>
            <w:tcBorders>
              <w:top w:val="nil"/>
              <w:left w:val="nil"/>
              <w:bottom w:val="nil"/>
              <w:right w:val="nil"/>
            </w:tcBorders>
            <w:shd w:val="clear" w:color="auto" w:fill="BFBFBF" w:themeFill="background1" w:themeFillShade="BF"/>
            <w:noWrap/>
            <w:vAlign w:val="bottom"/>
            <w:hideMark/>
          </w:tcPr>
          <w:p w14:paraId="1CC4B5B1"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2 471 559</w:t>
            </w:r>
          </w:p>
        </w:tc>
        <w:tc>
          <w:tcPr>
            <w:tcW w:w="582" w:type="pct"/>
            <w:tcBorders>
              <w:top w:val="nil"/>
              <w:left w:val="nil"/>
              <w:bottom w:val="nil"/>
              <w:right w:val="nil"/>
            </w:tcBorders>
            <w:shd w:val="clear" w:color="auto" w:fill="auto"/>
            <w:noWrap/>
            <w:vAlign w:val="bottom"/>
            <w:hideMark/>
          </w:tcPr>
          <w:p w14:paraId="417B0AD0"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191 441</w:t>
            </w:r>
          </w:p>
        </w:tc>
      </w:tr>
      <w:tr w:rsidR="001F6F5A" w:rsidRPr="00C92A98" w14:paraId="1C4E000A" w14:textId="77777777" w:rsidTr="005E1134">
        <w:trPr>
          <w:trHeight w:val="300"/>
        </w:trPr>
        <w:tc>
          <w:tcPr>
            <w:tcW w:w="2417" w:type="pct"/>
            <w:tcBorders>
              <w:top w:val="nil"/>
              <w:left w:val="nil"/>
              <w:bottom w:val="nil"/>
              <w:right w:val="nil"/>
            </w:tcBorders>
            <w:shd w:val="clear" w:color="auto" w:fill="auto"/>
            <w:noWrap/>
            <w:vAlign w:val="bottom"/>
            <w:hideMark/>
          </w:tcPr>
          <w:p w14:paraId="36DDE2B9" w14:textId="77777777" w:rsidR="001F6F5A" w:rsidRPr="00C92A98" w:rsidRDefault="001F6F5A" w:rsidP="0044781D">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Záväzky z EFSF</w:t>
            </w:r>
          </w:p>
        </w:tc>
        <w:tc>
          <w:tcPr>
            <w:tcW w:w="667" w:type="pct"/>
            <w:tcBorders>
              <w:top w:val="nil"/>
              <w:left w:val="nil"/>
              <w:bottom w:val="nil"/>
              <w:right w:val="nil"/>
            </w:tcBorders>
            <w:shd w:val="clear" w:color="auto" w:fill="auto"/>
            <w:noWrap/>
            <w:vAlign w:val="bottom"/>
            <w:hideMark/>
          </w:tcPr>
          <w:p w14:paraId="794FA4E0"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1 880 640</w:t>
            </w:r>
          </w:p>
        </w:tc>
        <w:tc>
          <w:tcPr>
            <w:tcW w:w="667" w:type="pct"/>
            <w:tcBorders>
              <w:top w:val="nil"/>
              <w:left w:val="nil"/>
              <w:bottom w:val="nil"/>
              <w:right w:val="nil"/>
            </w:tcBorders>
            <w:shd w:val="clear" w:color="auto" w:fill="auto"/>
            <w:noWrap/>
            <w:vAlign w:val="bottom"/>
            <w:hideMark/>
          </w:tcPr>
          <w:p w14:paraId="7F752520"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1 880 640</w:t>
            </w:r>
          </w:p>
        </w:tc>
        <w:tc>
          <w:tcPr>
            <w:tcW w:w="667" w:type="pct"/>
            <w:tcBorders>
              <w:top w:val="nil"/>
              <w:left w:val="nil"/>
              <w:bottom w:val="nil"/>
              <w:right w:val="nil"/>
            </w:tcBorders>
            <w:shd w:val="clear" w:color="auto" w:fill="BFBFBF" w:themeFill="background1" w:themeFillShade="BF"/>
            <w:noWrap/>
            <w:vAlign w:val="bottom"/>
            <w:hideMark/>
          </w:tcPr>
          <w:p w14:paraId="4C1E314A"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1 859 323</w:t>
            </w:r>
          </w:p>
        </w:tc>
        <w:tc>
          <w:tcPr>
            <w:tcW w:w="582" w:type="pct"/>
            <w:tcBorders>
              <w:top w:val="nil"/>
              <w:left w:val="nil"/>
              <w:bottom w:val="nil"/>
              <w:right w:val="nil"/>
            </w:tcBorders>
            <w:shd w:val="clear" w:color="auto" w:fill="auto"/>
            <w:noWrap/>
            <w:vAlign w:val="bottom"/>
            <w:hideMark/>
          </w:tcPr>
          <w:p w14:paraId="3D55B6AE"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-21 317</w:t>
            </w:r>
          </w:p>
        </w:tc>
      </w:tr>
      <w:tr w:rsidR="006822D1" w:rsidRPr="00C92A98" w14:paraId="18D8063C" w14:textId="77777777" w:rsidTr="005E1134">
        <w:trPr>
          <w:trHeight w:val="300"/>
        </w:trPr>
        <w:tc>
          <w:tcPr>
            <w:tcW w:w="2417" w:type="pct"/>
            <w:tcBorders>
              <w:top w:val="nil"/>
              <w:left w:val="nil"/>
              <w:bottom w:val="nil"/>
              <w:right w:val="nil"/>
            </w:tcBorders>
            <w:shd w:val="clear" w:color="auto" w:fill="auto"/>
            <w:noWrap/>
            <w:vAlign w:val="bottom"/>
            <w:hideMark/>
          </w:tcPr>
          <w:p w14:paraId="45C2F540" w14:textId="77777777" w:rsidR="006822D1" w:rsidRPr="00C92A98" w:rsidRDefault="006822D1" w:rsidP="006822D1">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Záväzky z vkladov v Štátnej pokladnici</w:t>
            </w:r>
          </w:p>
        </w:tc>
        <w:tc>
          <w:tcPr>
            <w:tcW w:w="667" w:type="pct"/>
            <w:tcBorders>
              <w:top w:val="nil"/>
              <w:left w:val="nil"/>
              <w:bottom w:val="nil"/>
              <w:right w:val="nil"/>
            </w:tcBorders>
            <w:shd w:val="clear" w:color="auto" w:fill="auto"/>
            <w:noWrap/>
            <w:vAlign w:val="bottom"/>
            <w:hideMark/>
          </w:tcPr>
          <w:p w14:paraId="63477B61"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197 977</w:t>
            </w:r>
          </w:p>
        </w:tc>
        <w:tc>
          <w:tcPr>
            <w:tcW w:w="667" w:type="pct"/>
            <w:tcBorders>
              <w:top w:val="nil"/>
              <w:left w:val="nil"/>
              <w:bottom w:val="nil"/>
              <w:right w:val="nil"/>
            </w:tcBorders>
            <w:shd w:val="clear" w:color="auto" w:fill="auto"/>
            <w:noWrap/>
            <w:vAlign w:val="bottom"/>
            <w:hideMark/>
          </w:tcPr>
          <w:p w14:paraId="48551DFE"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290 855</w:t>
            </w:r>
          </w:p>
        </w:tc>
        <w:tc>
          <w:tcPr>
            <w:tcW w:w="667" w:type="pct"/>
            <w:tcBorders>
              <w:top w:val="nil"/>
              <w:left w:val="nil"/>
              <w:bottom w:val="nil"/>
              <w:right w:val="nil"/>
            </w:tcBorders>
            <w:shd w:val="clear" w:color="auto" w:fill="BFBFBF" w:themeFill="background1" w:themeFillShade="BF"/>
            <w:noWrap/>
            <w:vAlign w:val="bottom"/>
            <w:hideMark/>
          </w:tcPr>
          <w:p w14:paraId="046C6661"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251 101</w:t>
            </w:r>
          </w:p>
        </w:tc>
        <w:tc>
          <w:tcPr>
            <w:tcW w:w="582" w:type="pct"/>
            <w:tcBorders>
              <w:top w:val="nil"/>
              <w:left w:val="nil"/>
              <w:bottom w:val="nil"/>
              <w:right w:val="nil"/>
            </w:tcBorders>
            <w:shd w:val="clear" w:color="auto" w:fill="auto"/>
            <w:noWrap/>
            <w:vAlign w:val="bottom"/>
            <w:hideMark/>
          </w:tcPr>
          <w:p w14:paraId="4DA04731"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-39 754</w:t>
            </w:r>
          </w:p>
        </w:tc>
      </w:tr>
      <w:tr w:rsidR="006822D1" w:rsidRPr="00C92A98" w14:paraId="11C40809" w14:textId="77777777" w:rsidTr="005E1134">
        <w:trPr>
          <w:trHeight w:val="300"/>
        </w:trPr>
        <w:tc>
          <w:tcPr>
            <w:tcW w:w="2417" w:type="pct"/>
            <w:tcBorders>
              <w:top w:val="nil"/>
              <w:left w:val="nil"/>
              <w:bottom w:val="nil"/>
              <w:right w:val="nil"/>
            </w:tcBorders>
            <w:shd w:val="clear" w:color="auto" w:fill="auto"/>
            <w:noWrap/>
            <w:vAlign w:val="bottom"/>
            <w:hideMark/>
          </w:tcPr>
          <w:p w14:paraId="3273E0B3" w14:textId="77777777" w:rsidR="006822D1" w:rsidRPr="00C92A98" w:rsidRDefault="006822D1" w:rsidP="006822D1">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Zábezpeky</w:t>
            </w:r>
          </w:p>
        </w:tc>
        <w:tc>
          <w:tcPr>
            <w:tcW w:w="667" w:type="pct"/>
            <w:tcBorders>
              <w:top w:val="nil"/>
              <w:left w:val="nil"/>
              <w:bottom w:val="nil"/>
              <w:right w:val="nil"/>
            </w:tcBorders>
            <w:shd w:val="clear" w:color="auto" w:fill="auto"/>
            <w:noWrap/>
            <w:vAlign w:val="bottom"/>
            <w:hideMark/>
          </w:tcPr>
          <w:p w14:paraId="227FEFA5"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94 083</w:t>
            </w:r>
          </w:p>
        </w:tc>
        <w:tc>
          <w:tcPr>
            <w:tcW w:w="667" w:type="pct"/>
            <w:tcBorders>
              <w:top w:val="nil"/>
              <w:left w:val="nil"/>
              <w:bottom w:val="nil"/>
              <w:right w:val="nil"/>
            </w:tcBorders>
            <w:shd w:val="clear" w:color="auto" w:fill="auto"/>
            <w:noWrap/>
            <w:vAlign w:val="bottom"/>
            <w:hideMark/>
          </w:tcPr>
          <w:p w14:paraId="211964C2"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139 028</w:t>
            </w:r>
          </w:p>
        </w:tc>
        <w:tc>
          <w:tcPr>
            <w:tcW w:w="667" w:type="pct"/>
            <w:tcBorders>
              <w:top w:val="nil"/>
              <w:left w:val="nil"/>
              <w:bottom w:val="nil"/>
              <w:right w:val="nil"/>
            </w:tcBorders>
            <w:shd w:val="clear" w:color="auto" w:fill="BFBFBF" w:themeFill="background1" w:themeFillShade="BF"/>
            <w:noWrap/>
            <w:vAlign w:val="bottom"/>
            <w:hideMark/>
          </w:tcPr>
          <w:p w14:paraId="663B3BD1"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236 009</w:t>
            </w:r>
          </w:p>
        </w:tc>
        <w:tc>
          <w:tcPr>
            <w:tcW w:w="582" w:type="pct"/>
            <w:tcBorders>
              <w:top w:val="nil"/>
              <w:left w:val="nil"/>
              <w:bottom w:val="nil"/>
              <w:right w:val="nil"/>
            </w:tcBorders>
            <w:shd w:val="clear" w:color="auto" w:fill="auto"/>
            <w:noWrap/>
            <w:vAlign w:val="bottom"/>
            <w:hideMark/>
          </w:tcPr>
          <w:p w14:paraId="0972BCDC"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96 981</w:t>
            </w:r>
          </w:p>
        </w:tc>
      </w:tr>
      <w:tr w:rsidR="00156FC4" w:rsidRPr="00C92A98" w14:paraId="56886615" w14:textId="77777777" w:rsidTr="005E1134">
        <w:trPr>
          <w:trHeight w:val="300"/>
        </w:trPr>
        <w:tc>
          <w:tcPr>
            <w:tcW w:w="2417" w:type="pct"/>
            <w:tcBorders>
              <w:top w:val="nil"/>
              <w:left w:val="nil"/>
              <w:bottom w:val="nil"/>
              <w:right w:val="nil"/>
            </w:tcBorders>
            <w:shd w:val="clear" w:color="auto" w:fill="auto"/>
            <w:noWrap/>
            <w:vAlign w:val="bottom"/>
            <w:hideMark/>
          </w:tcPr>
          <w:p w14:paraId="5561E996" w14:textId="77777777" w:rsidR="00156FC4" w:rsidRPr="00C92A98" w:rsidRDefault="00156FC4" w:rsidP="00C704A7">
            <w:pPr>
              <w:spacing w:after="0" w:line="240" w:lineRule="auto"/>
              <w:jc w:val="left"/>
              <w:rPr>
                <w:rFonts w:eastAsia="Times New Roman" w:cs="Times New Roman"/>
                <w:sz w:val="20"/>
                <w:szCs w:val="20"/>
                <w:lang w:eastAsia="sk-SK"/>
              </w:rPr>
            </w:pPr>
            <w:proofErr w:type="spellStart"/>
            <w:r>
              <w:rPr>
                <w:rFonts w:eastAsia="Times New Roman" w:cs="Times New Roman"/>
                <w:sz w:val="20"/>
                <w:szCs w:val="20"/>
                <w:lang w:eastAsia="sk-SK"/>
              </w:rPr>
              <w:t>Im</w:t>
            </w:r>
            <w:r w:rsidRPr="00C92A98">
              <w:rPr>
                <w:rFonts w:eastAsia="Times New Roman" w:cs="Times New Roman"/>
                <w:sz w:val="20"/>
                <w:szCs w:val="20"/>
                <w:lang w:eastAsia="sk-SK"/>
              </w:rPr>
              <w:t>put</w:t>
            </w:r>
            <w:proofErr w:type="spellEnd"/>
            <w:r w:rsidRPr="00C92A98">
              <w:rPr>
                <w:rFonts w:eastAsia="Times New Roman" w:cs="Times New Roman"/>
                <w:sz w:val="20"/>
                <w:szCs w:val="20"/>
                <w:lang w:eastAsia="sk-SK"/>
              </w:rPr>
              <w:t xml:space="preserve"> pôžičky z EOSA</w:t>
            </w:r>
          </w:p>
        </w:tc>
        <w:tc>
          <w:tcPr>
            <w:tcW w:w="667" w:type="pct"/>
            <w:tcBorders>
              <w:top w:val="nil"/>
              <w:left w:val="nil"/>
              <w:bottom w:val="nil"/>
              <w:right w:val="nil"/>
            </w:tcBorders>
            <w:shd w:val="clear" w:color="auto" w:fill="auto"/>
            <w:noWrap/>
            <w:vAlign w:val="bottom"/>
            <w:hideMark/>
          </w:tcPr>
          <w:p w14:paraId="284B05EC" w14:textId="77777777" w:rsidR="00156FC4" w:rsidRPr="00C92A98" w:rsidRDefault="00156FC4" w:rsidP="00C704A7">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261 917</w:t>
            </w:r>
          </w:p>
        </w:tc>
        <w:tc>
          <w:tcPr>
            <w:tcW w:w="667" w:type="pct"/>
            <w:tcBorders>
              <w:top w:val="nil"/>
              <w:left w:val="nil"/>
              <w:bottom w:val="nil"/>
              <w:right w:val="nil"/>
            </w:tcBorders>
            <w:shd w:val="clear" w:color="auto" w:fill="auto"/>
            <w:noWrap/>
            <w:vAlign w:val="bottom"/>
            <w:hideMark/>
          </w:tcPr>
          <w:p w14:paraId="612EEDD3" w14:textId="77777777" w:rsidR="00156FC4" w:rsidRPr="00C92A98" w:rsidRDefault="00156FC4" w:rsidP="00C704A7">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227 832</w:t>
            </w:r>
          </w:p>
        </w:tc>
        <w:tc>
          <w:tcPr>
            <w:tcW w:w="667" w:type="pct"/>
            <w:tcBorders>
              <w:top w:val="nil"/>
              <w:left w:val="nil"/>
              <w:bottom w:val="nil"/>
              <w:right w:val="nil"/>
            </w:tcBorders>
            <w:shd w:val="clear" w:color="auto" w:fill="BFBFBF" w:themeFill="background1" w:themeFillShade="BF"/>
            <w:noWrap/>
            <w:vAlign w:val="bottom"/>
            <w:hideMark/>
          </w:tcPr>
          <w:p w14:paraId="60668F3E" w14:textId="77777777" w:rsidR="00156FC4" w:rsidRPr="00C92A98" w:rsidRDefault="00156FC4" w:rsidP="00C704A7">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197 217</w:t>
            </w:r>
          </w:p>
        </w:tc>
        <w:tc>
          <w:tcPr>
            <w:tcW w:w="582" w:type="pct"/>
            <w:tcBorders>
              <w:top w:val="nil"/>
              <w:left w:val="nil"/>
              <w:bottom w:val="nil"/>
              <w:right w:val="nil"/>
            </w:tcBorders>
            <w:shd w:val="clear" w:color="auto" w:fill="auto"/>
            <w:noWrap/>
            <w:vAlign w:val="bottom"/>
            <w:hideMark/>
          </w:tcPr>
          <w:p w14:paraId="59922453" w14:textId="77777777" w:rsidR="00156FC4" w:rsidRPr="00C92A98" w:rsidRDefault="00156FC4" w:rsidP="00C704A7">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-30 615</w:t>
            </w:r>
          </w:p>
        </w:tc>
      </w:tr>
      <w:tr w:rsidR="006822D1" w:rsidRPr="00C92A98" w14:paraId="2CF5B37F" w14:textId="77777777" w:rsidTr="005E1134">
        <w:trPr>
          <w:trHeight w:val="300"/>
        </w:trPr>
        <w:tc>
          <w:tcPr>
            <w:tcW w:w="2417" w:type="pct"/>
            <w:tcBorders>
              <w:top w:val="nil"/>
              <w:left w:val="nil"/>
              <w:bottom w:val="nil"/>
              <w:right w:val="nil"/>
            </w:tcBorders>
            <w:shd w:val="clear" w:color="auto" w:fill="auto"/>
            <w:noWrap/>
            <w:vAlign w:val="bottom"/>
            <w:hideMark/>
          </w:tcPr>
          <w:p w14:paraId="2874F905" w14:textId="77777777" w:rsidR="006822D1" w:rsidRPr="00C92A98" w:rsidRDefault="006822D1" w:rsidP="006822D1">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Dlhodobé záväzky z obchodného styku a prijaté preddavky</w:t>
            </w:r>
          </w:p>
        </w:tc>
        <w:tc>
          <w:tcPr>
            <w:tcW w:w="667" w:type="pct"/>
            <w:tcBorders>
              <w:top w:val="nil"/>
              <w:left w:val="nil"/>
              <w:bottom w:val="nil"/>
              <w:right w:val="nil"/>
            </w:tcBorders>
            <w:shd w:val="clear" w:color="auto" w:fill="auto"/>
            <w:noWrap/>
            <w:vAlign w:val="bottom"/>
            <w:hideMark/>
          </w:tcPr>
          <w:p w14:paraId="2A81EDB0"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4 240</w:t>
            </w:r>
          </w:p>
        </w:tc>
        <w:tc>
          <w:tcPr>
            <w:tcW w:w="667" w:type="pct"/>
            <w:tcBorders>
              <w:top w:val="nil"/>
              <w:left w:val="nil"/>
              <w:bottom w:val="nil"/>
              <w:right w:val="nil"/>
            </w:tcBorders>
            <w:shd w:val="clear" w:color="auto" w:fill="auto"/>
            <w:noWrap/>
            <w:vAlign w:val="bottom"/>
            <w:hideMark/>
          </w:tcPr>
          <w:p w14:paraId="55884D9B"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4 401</w:t>
            </w:r>
          </w:p>
        </w:tc>
        <w:tc>
          <w:tcPr>
            <w:tcW w:w="667" w:type="pct"/>
            <w:tcBorders>
              <w:top w:val="nil"/>
              <w:left w:val="nil"/>
              <w:bottom w:val="nil"/>
              <w:right w:val="nil"/>
            </w:tcBorders>
            <w:shd w:val="clear" w:color="auto" w:fill="BFBFBF" w:themeFill="background1" w:themeFillShade="BF"/>
            <w:noWrap/>
            <w:vAlign w:val="bottom"/>
            <w:hideMark/>
          </w:tcPr>
          <w:p w14:paraId="691616E3"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3 654</w:t>
            </w:r>
          </w:p>
        </w:tc>
        <w:tc>
          <w:tcPr>
            <w:tcW w:w="582" w:type="pct"/>
            <w:tcBorders>
              <w:top w:val="nil"/>
              <w:left w:val="nil"/>
              <w:bottom w:val="nil"/>
              <w:right w:val="nil"/>
            </w:tcBorders>
            <w:shd w:val="clear" w:color="auto" w:fill="auto"/>
            <w:noWrap/>
            <w:vAlign w:val="bottom"/>
            <w:hideMark/>
          </w:tcPr>
          <w:p w14:paraId="0F78EBAB" w14:textId="77777777" w:rsidR="006822D1" w:rsidRPr="00C92A98" w:rsidRDefault="006822D1" w:rsidP="006822D1">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-747</w:t>
            </w:r>
          </w:p>
        </w:tc>
      </w:tr>
      <w:tr w:rsidR="001F6F5A" w:rsidRPr="00C92A98" w14:paraId="7A184081" w14:textId="77777777" w:rsidTr="005E1134">
        <w:trPr>
          <w:trHeight w:val="300"/>
        </w:trPr>
        <w:tc>
          <w:tcPr>
            <w:tcW w:w="2417" w:type="pct"/>
            <w:tcBorders>
              <w:top w:val="nil"/>
              <w:left w:val="nil"/>
              <w:bottom w:val="single" w:sz="4" w:space="0" w:color="auto"/>
              <w:right w:val="nil"/>
            </w:tcBorders>
            <w:shd w:val="clear" w:color="auto" w:fill="auto"/>
            <w:noWrap/>
            <w:vAlign w:val="bottom"/>
            <w:hideMark/>
          </w:tcPr>
          <w:p w14:paraId="2CF58877" w14:textId="77777777" w:rsidR="001F6F5A" w:rsidRPr="00C92A98" w:rsidRDefault="001F6F5A" w:rsidP="0044781D">
            <w:pPr>
              <w:spacing w:after="0" w:line="240" w:lineRule="auto"/>
              <w:jc w:val="left"/>
              <w:rPr>
                <w:rFonts w:eastAsia="Times New Roman" w:cs="Times New Roman"/>
                <w:sz w:val="20"/>
                <w:szCs w:val="20"/>
                <w:lang w:eastAsia="sk-SK"/>
              </w:rPr>
            </w:pPr>
            <w:r w:rsidRPr="00C92A98">
              <w:rPr>
                <w:rFonts w:eastAsia="Times New Roman" w:cs="Times New Roman"/>
                <w:sz w:val="20"/>
                <w:szCs w:val="20"/>
                <w:lang w:eastAsia="sk-SK"/>
              </w:rPr>
              <w:t>Štátne pokladničné poukážky</w:t>
            </w:r>
          </w:p>
        </w:tc>
        <w:tc>
          <w:tcPr>
            <w:tcW w:w="667" w:type="pct"/>
            <w:tcBorders>
              <w:top w:val="nil"/>
              <w:left w:val="nil"/>
              <w:bottom w:val="single" w:sz="4" w:space="0" w:color="auto"/>
              <w:right w:val="nil"/>
            </w:tcBorders>
            <w:shd w:val="clear" w:color="auto" w:fill="auto"/>
            <w:noWrap/>
            <w:vAlign w:val="bottom"/>
            <w:hideMark/>
          </w:tcPr>
          <w:p w14:paraId="6280FCB1"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0</w:t>
            </w:r>
          </w:p>
        </w:tc>
        <w:tc>
          <w:tcPr>
            <w:tcW w:w="667" w:type="pct"/>
            <w:tcBorders>
              <w:top w:val="nil"/>
              <w:left w:val="nil"/>
              <w:bottom w:val="single" w:sz="4" w:space="0" w:color="auto"/>
              <w:right w:val="nil"/>
            </w:tcBorders>
            <w:shd w:val="clear" w:color="auto" w:fill="auto"/>
            <w:noWrap/>
            <w:vAlign w:val="bottom"/>
            <w:hideMark/>
          </w:tcPr>
          <w:p w14:paraId="096B0CBD"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800 000</w:t>
            </w:r>
          </w:p>
        </w:tc>
        <w:tc>
          <w:tcPr>
            <w:tcW w:w="667" w:type="pct"/>
            <w:tcBorders>
              <w:top w:val="nil"/>
              <w:left w:val="nil"/>
              <w:bottom w:val="single" w:sz="4" w:space="0" w:color="auto"/>
              <w:right w:val="nil"/>
            </w:tcBorders>
            <w:shd w:val="clear" w:color="auto" w:fill="BFBFBF" w:themeFill="background1" w:themeFillShade="BF"/>
            <w:noWrap/>
            <w:vAlign w:val="bottom"/>
            <w:hideMark/>
          </w:tcPr>
          <w:p w14:paraId="6AD45A7E"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0</w:t>
            </w:r>
          </w:p>
        </w:tc>
        <w:tc>
          <w:tcPr>
            <w:tcW w:w="582" w:type="pct"/>
            <w:tcBorders>
              <w:top w:val="nil"/>
              <w:left w:val="nil"/>
              <w:bottom w:val="single" w:sz="4" w:space="0" w:color="auto"/>
              <w:right w:val="nil"/>
            </w:tcBorders>
            <w:shd w:val="clear" w:color="auto" w:fill="auto"/>
            <w:noWrap/>
            <w:vAlign w:val="bottom"/>
            <w:hideMark/>
          </w:tcPr>
          <w:p w14:paraId="6FA07793" w14:textId="77777777" w:rsidR="001F6F5A" w:rsidRPr="00C92A98" w:rsidRDefault="001F6F5A" w:rsidP="0044781D">
            <w:pPr>
              <w:spacing w:after="0" w:line="240" w:lineRule="auto"/>
              <w:jc w:val="right"/>
              <w:rPr>
                <w:rFonts w:eastAsia="Times New Roman" w:cs="Times New Roman"/>
                <w:sz w:val="20"/>
                <w:szCs w:val="20"/>
                <w:lang w:eastAsia="sk-SK"/>
              </w:rPr>
            </w:pPr>
            <w:r w:rsidRPr="00C92A98">
              <w:rPr>
                <w:rFonts w:eastAsia="Times New Roman" w:cs="Times New Roman"/>
                <w:sz w:val="20"/>
                <w:szCs w:val="20"/>
                <w:lang w:eastAsia="sk-SK"/>
              </w:rPr>
              <w:t>-800 000</w:t>
            </w:r>
          </w:p>
        </w:tc>
      </w:tr>
      <w:tr w:rsidR="006822D1" w:rsidRPr="00C92A98" w14:paraId="7B0D5279" w14:textId="77777777" w:rsidTr="005E1134">
        <w:trPr>
          <w:trHeight w:val="300"/>
        </w:trPr>
        <w:tc>
          <w:tcPr>
            <w:tcW w:w="2417" w:type="pct"/>
            <w:tcBorders>
              <w:top w:val="single" w:sz="4" w:space="0" w:color="auto"/>
              <w:left w:val="nil"/>
              <w:bottom w:val="single" w:sz="4" w:space="0" w:color="auto"/>
              <w:right w:val="nil"/>
            </w:tcBorders>
            <w:shd w:val="clear" w:color="auto" w:fill="auto"/>
            <w:noWrap/>
            <w:vAlign w:val="bottom"/>
            <w:hideMark/>
          </w:tcPr>
          <w:p w14:paraId="5768F1F0" w14:textId="77777777" w:rsidR="006822D1" w:rsidRPr="00C92A98" w:rsidRDefault="006822D1" w:rsidP="006822D1">
            <w:pPr>
              <w:spacing w:after="0" w:line="240" w:lineRule="auto"/>
              <w:jc w:val="left"/>
              <w:rPr>
                <w:rFonts w:eastAsia="Times New Roman" w:cs="Times New Roman"/>
                <w:b/>
                <w:bCs/>
                <w:sz w:val="20"/>
                <w:szCs w:val="20"/>
                <w:lang w:eastAsia="sk-SK"/>
              </w:rPr>
            </w:pPr>
            <w:r w:rsidRPr="00C92A98">
              <w:rPr>
                <w:rFonts w:eastAsia="Times New Roman" w:cs="Times New Roman"/>
                <w:b/>
                <w:bCs/>
                <w:sz w:val="20"/>
                <w:szCs w:val="20"/>
                <w:lang w:eastAsia="sk-SK"/>
              </w:rPr>
              <w:t>Spolu dlh</w:t>
            </w:r>
          </w:p>
        </w:tc>
        <w:tc>
          <w:tcPr>
            <w:tcW w:w="667" w:type="pct"/>
            <w:tcBorders>
              <w:top w:val="single" w:sz="4" w:space="0" w:color="auto"/>
              <w:left w:val="nil"/>
              <w:bottom w:val="single" w:sz="4" w:space="0" w:color="auto"/>
              <w:right w:val="nil"/>
            </w:tcBorders>
            <w:shd w:val="clear" w:color="auto" w:fill="auto"/>
            <w:noWrap/>
            <w:vAlign w:val="bottom"/>
            <w:hideMark/>
          </w:tcPr>
          <w:p w14:paraId="701674F4" w14:textId="77777777" w:rsidR="006822D1" w:rsidRPr="00C92A98" w:rsidRDefault="006822D1" w:rsidP="006822D1">
            <w:pPr>
              <w:spacing w:after="0" w:line="240" w:lineRule="auto"/>
              <w:jc w:val="right"/>
              <w:rPr>
                <w:rFonts w:eastAsia="Times New Roman" w:cs="Times New Roman"/>
                <w:b/>
                <w:bCs/>
                <w:sz w:val="20"/>
                <w:szCs w:val="20"/>
                <w:lang w:eastAsia="sk-SK"/>
              </w:rPr>
            </w:pPr>
            <w:r w:rsidRPr="00C92A98">
              <w:rPr>
                <w:rFonts w:eastAsia="Times New Roman" w:cs="Times New Roman"/>
                <w:b/>
                <w:bCs/>
                <w:sz w:val="20"/>
                <w:szCs w:val="20"/>
                <w:lang w:eastAsia="sk-SK"/>
              </w:rPr>
              <w:t>41 769 746</w:t>
            </w:r>
          </w:p>
        </w:tc>
        <w:tc>
          <w:tcPr>
            <w:tcW w:w="667" w:type="pct"/>
            <w:tcBorders>
              <w:top w:val="single" w:sz="4" w:space="0" w:color="auto"/>
              <w:left w:val="nil"/>
              <w:bottom w:val="single" w:sz="4" w:space="0" w:color="auto"/>
              <w:right w:val="nil"/>
            </w:tcBorders>
            <w:shd w:val="clear" w:color="auto" w:fill="auto"/>
            <w:noWrap/>
            <w:vAlign w:val="bottom"/>
            <w:hideMark/>
          </w:tcPr>
          <w:p w14:paraId="28919CA5" w14:textId="77777777" w:rsidR="006822D1" w:rsidRPr="00C92A98" w:rsidRDefault="006822D1" w:rsidP="006822D1">
            <w:pPr>
              <w:spacing w:after="0" w:line="240" w:lineRule="auto"/>
              <w:jc w:val="right"/>
              <w:rPr>
                <w:rFonts w:eastAsia="Times New Roman" w:cs="Times New Roman"/>
                <w:b/>
                <w:bCs/>
                <w:sz w:val="20"/>
                <w:szCs w:val="20"/>
                <w:lang w:eastAsia="sk-SK"/>
              </w:rPr>
            </w:pPr>
            <w:r w:rsidRPr="00C92A98">
              <w:rPr>
                <w:rFonts w:eastAsia="Times New Roman" w:cs="Times New Roman"/>
                <w:b/>
                <w:bCs/>
                <w:sz w:val="20"/>
                <w:szCs w:val="20"/>
                <w:lang w:eastAsia="sk-SK"/>
              </w:rPr>
              <w:t>42 560 165</w:t>
            </w:r>
          </w:p>
        </w:tc>
        <w:tc>
          <w:tcPr>
            <w:tcW w:w="667" w:type="pct"/>
            <w:tcBorders>
              <w:top w:val="single" w:sz="4" w:space="0" w:color="auto"/>
              <w:left w:val="nil"/>
              <w:bottom w:val="single" w:sz="4" w:space="0" w:color="auto"/>
              <w:right w:val="nil"/>
            </w:tcBorders>
            <w:shd w:val="clear" w:color="auto" w:fill="BFBFBF" w:themeFill="background1" w:themeFillShade="BF"/>
            <w:noWrap/>
            <w:vAlign w:val="bottom"/>
            <w:hideMark/>
          </w:tcPr>
          <w:p w14:paraId="75331DE9" w14:textId="77777777" w:rsidR="006822D1" w:rsidRPr="00C92A98" w:rsidRDefault="006822D1" w:rsidP="006822D1">
            <w:pPr>
              <w:spacing w:after="0" w:line="240" w:lineRule="auto"/>
              <w:jc w:val="right"/>
              <w:rPr>
                <w:rFonts w:eastAsia="Times New Roman" w:cs="Times New Roman"/>
                <w:b/>
                <w:bCs/>
                <w:sz w:val="20"/>
                <w:szCs w:val="20"/>
                <w:lang w:eastAsia="sk-SK"/>
              </w:rPr>
            </w:pPr>
            <w:r w:rsidRPr="00C92A98">
              <w:rPr>
                <w:rFonts w:eastAsia="Times New Roman" w:cs="Times New Roman"/>
                <w:b/>
                <w:bCs/>
                <w:sz w:val="20"/>
                <w:szCs w:val="20"/>
                <w:lang w:eastAsia="sk-SK"/>
              </w:rPr>
              <w:t>43 184 638</w:t>
            </w:r>
          </w:p>
        </w:tc>
        <w:tc>
          <w:tcPr>
            <w:tcW w:w="582" w:type="pct"/>
            <w:tcBorders>
              <w:top w:val="single" w:sz="4" w:space="0" w:color="auto"/>
              <w:left w:val="nil"/>
              <w:bottom w:val="single" w:sz="4" w:space="0" w:color="auto"/>
              <w:right w:val="nil"/>
            </w:tcBorders>
            <w:shd w:val="clear" w:color="auto" w:fill="auto"/>
            <w:noWrap/>
            <w:vAlign w:val="bottom"/>
            <w:hideMark/>
          </w:tcPr>
          <w:p w14:paraId="450F67C9" w14:textId="77777777" w:rsidR="006822D1" w:rsidRPr="00C92A98" w:rsidRDefault="006822D1" w:rsidP="006822D1">
            <w:pPr>
              <w:spacing w:after="0" w:line="240" w:lineRule="auto"/>
              <w:jc w:val="right"/>
              <w:rPr>
                <w:rFonts w:eastAsia="Times New Roman" w:cs="Times New Roman"/>
                <w:b/>
                <w:bCs/>
                <w:sz w:val="20"/>
                <w:szCs w:val="20"/>
                <w:lang w:eastAsia="sk-SK"/>
              </w:rPr>
            </w:pPr>
            <w:r w:rsidRPr="00C92A98">
              <w:rPr>
                <w:rFonts w:eastAsia="Times New Roman" w:cs="Times New Roman"/>
                <w:b/>
                <w:bCs/>
                <w:sz w:val="20"/>
                <w:szCs w:val="20"/>
                <w:lang w:eastAsia="sk-SK"/>
              </w:rPr>
              <w:t>624 473</w:t>
            </w:r>
          </w:p>
        </w:tc>
      </w:tr>
    </w:tbl>
    <w:p w14:paraId="4921DE99" w14:textId="77777777" w:rsidR="006822D1" w:rsidRPr="00C92A98" w:rsidRDefault="006822D1" w:rsidP="006822D1">
      <w:pPr>
        <w:ind w:left="6372"/>
        <w:jc w:val="right"/>
        <w:rPr>
          <w:sz w:val="18"/>
          <w:szCs w:val="18"/>
        </w:rPr>
      </w:pPr>
      <w:r w:rsidRPr="00C92A98">
        <w:rPr>
          <w:sz w:val="18"/>
          <w:szCs w:val="18"/>
        </w:rPr>
        <w:t>Zdroj: MF SR, ARDAL</w:t>
      </w:r>
    </w:p>
    <w:p w14:paraId="33656A20" w14:textId="6C06D1B0" w:rsidR="006822D1" w:rsidRPr="00E727EF" w:rsidRDefault="006822D1" w:rsidP="006822D1">
      <w:r w:rsidRPr="00E727EF">
        <w:t xml:space="preserve">Ministerstvo financií SR v mene Slovenskej republiky prijíma úvery od medzinárodných finančných inštitúcií, a to na </w:t>
      </w:r>
      <w:r w:rsidRPr="00156FC4">
        <w:t xml:space="preserve">podporu národných projektov v oblasti budovania cestnej infraštruktúry, životného prostredia, poľnohospodárstva, informatizácie a podobne. Z prostriedkov sa spolufinancujú aj </w:t>
      </w:r>
      <w:r w:rsidR="00E727EF" w:rsidRPr="00156FC4">
        <w:t xml:space="preserve">spoločné </w:t>
      </w:r>
      <w:r w:rsidRPr="00156FC4">
        <w:t>projekty</w:t>
      </w:r>
      <w:r w:rsidR="00E727EF" w:rsidRPr="00156FC4">
        <w:t xml:space="preserve"> SR a EÚ</w:t>
      </w:r>
      <w:r w:rsidRPr="00156FC4">
        <w:t xml:space="preserve"> financované európskymi štrukturálnymi fondmi a Kohéznym fondom. Z hodnoty týchto </w:t>
      </w:r>
      <w:r w:rsidRPr="00E727EF">
        <w:t xml:space="preserve">úverov predstavujú úvery od Európskej investičnej banky sumu 1 998 327 tis. eur a úvery od Rozvojovej banky Rady Európy 450 000 tis. eur. V roku 2019 boli z ďalších úverových </w:t>
      </w:r>
      <w:proofErr w:type="spellStart"/>
      <w:r w:rsidRPr="00E727EF">
        <w:t>tranží</w:t>
      </w:r>
      <w:proofErr w:type="spellEnd"/>
      <w:r w:rsidRPr="00E727EF">
        <w:t xml:space="preserve"> prijaté prostriedky vo výške 301 000 tis. eur.</w:t>
      </w:r>
    </w:p>
    <w:p w14:paraId="54A51F98" w14:textId="1E7731E2" w:rsidR="006822D1" w:rsidRPr="00E20F44" w:rsidRDefault="006822D1" w:rsidP="006822D1">
      <w:r w:rsidRPr="00E20F44">
        <w:rPr>
          <w:b/>
        </w:rPr>
        <w:t>Z hľadiska pôvodnej splatnosti</w:t>
      </w:r>
      <w:r w:rsidRPr="00E20F44">
        <w:t xml:space="preserve"> je štátny dlh z 98,9 % dlhodobý (42 697 573 tis. eur). Krátkodobý štátny dlh, ktorý predstavuje len 1,1 % je tvorený zábezpekami vo výške 236 009 tis. eur (z toho 108 340 tis. eur tvorí pasívny </w:t>
      </w:r>
      <w:proofErr w:type="spellStart"/>
      <w:r w:rsidRPr="00E20F44">
        <w:t>kolaterál</w:t>
      </w:r>
      <w:proofErr w:type="spellEnd"/>
      <w:r w:rsidRPr="00E20F44">
        <w:t xml:space="preserve"> z derivátových operácií uskutočnených na zabezpečenie dlhu v cudzej mene proti kurzovému riziku) a záväzkami z vkladov tých klientov Štátnej pokladnice, ktorí nie sú zaradení v sektore verejnej správy, v </w:t>
      </w:r>
      <w:r w:rsidRPr="00D07E14">
        <w:t>hodnote 251 101 tis. eur. V</w:t>
      </w:r>
      <w:r w:rsidR="00A04B0C" w:rsidRPr="00D07E14">
        <w:t> roku 2018</w:t>
      </w:r>
      <w:r w:rsidRPr="00D07E14">
        <w:t xml:space="preserve"> podstatnú časť krátkodobého štátneho dlhu tvorili štátne </w:t>
      </w:r>
      <w:r w:rsidR="00A04B0C" w:rsidRPr="00D07E14">
        <w:t xml:space="preserve">pokladničné </w:t>
      </w:r>
      <w:r w:rsidRPr="00D07E14">
        <w:t>poukážky</w:t>
      </w:r>
      <w:r w:rsidRPr="00E20F44">
        <w:t xml:space="preserve">. V roku 2019 však štátne pokladničné poukážky emitované neboli. Podrobnú štruktúru štátneho dlhu podľa pôvodnej splatnosti </w:t>
      </w:r>
      <w:r w:rsidR="00A04B0C">
        <w:t>poskytuje nasledujúci prehľad</w:t>
      </w:r>
      <w:r w:rsidRPr="00E20F44">
        <w:t>.</w:t>
      </w:r>
    </w:p>
    <w:tbl>
      <w:tblPr>
        <w:tblW w:w="5000" w:type="pct"/>
        <w:tblCellMar>
          <w:left w:w="70" w:type="dxa"/>
          <w:right w:w="70" w:type="dxa"/>
        </w:tblCellMar>
        <w:tblLook w:val="04A0" w:firstRow="1" w:lastRow="0" w:firstColumn="1" w:lastColumn="0" w:noHBand="0" w:noVBand="1"/>
      </w:tblPr>
      <w:tblGrid>
        <w:gridCol w:w="2649"/>
        <w:gridCol w:w="1464"/>
        <w:gridCol w:w="1480"/>
        <w:gridCol w:w="1447"/>
        <w:gridCol w:w="1463"/>
      </w:tblGrid>
      <w:tr w:rsidR="006822D1" w:rsidRPr="008414B4" w14:paraId="450413A2" w14:textId="77777777" w:rsidTr="006822D1">
        <w:trPr>
          <w:trHeight w:val="300"/>
        </w:trPr>
        <w:tc>
          <w:tcPr>
            <w:tcW w:w="4140" w:type="pct"/>
            <w:gridSpan w:val="4"/>
            <w:tcBorders>
              <w:top w:val="single" w:sz="4" w:space="0" w:color="auto"/>
              <w:left w:val="nil"/>
              <w:bottom w:val="single" w:sz="4" w:space="0" w:color="auto"/>
              <w:right w:val="nil"/>
            </w:tcBorders>
            <w:shd w:val="clear" w:color="000000" w:fill="000000"/>
            <w:noWrap/>
            <w:vAlign w:val="center"/>
            <w:hideMark/>
          </w:tcPr>
          <w:p w14:paraId="5DB9FF7B" w14:textId="77777777" w:rsidR="006822D1" w:rsidRPr="008414B4" w:rsidRDefault="006822D1" w:rsidP="006822D1">
            <w:pPr>
              <w:spacing w:after="0" w:line="240" w:lineRule="auto"/>
              <w:jc w:val="left"/>
              <w:rPr>
                <w:rFonts w:eastAsia="Times New Roman" w:cs="Times New Roman"/>
                <w:b/>
                <w:bCs/>
                <w:color w:val="FFFFFF"/>
                <w:sz w:val="20"/>
                <w:szCs w:val="20"/>
                <w:lang w:eastAsia="sk-SK"/>
              </w:rPr>
            </w:pPr>
            <w:r w:rsidRPr="008414B4">
              <w:rPr>
                <w:rFonts w:eastAsia="Times New Roman" w:cs="Times New Roman"/>
                <w:b/>
                <w:bCs/>
                <w:color w:val="FFFFFF"/>
                <w:sz w:val="20"/>
                <w:szCs w:val="20"/>
                <w:lang w:eastAsia="sk-SK"/>
              </w:rPr>
              <w:t>Štátny dlh podľa pôvodnej splatnosti</w:t>
            </w:r>
          </w:p>
        </w:tc>
        <w:tc>
          <w:tcPr>
            <w:tcW w:w="860" w:type="pct"/>
            <w:tcBorders>
              <w:top w:val="single" w:sz="4" w:space="0" w:color="auto"/>
              <w:left w:val="nil"/>
              <w:bottom w:val="single" w:sz="4" w:space="0" w:color="auto"/>
              <w:right w:val="nil"/>
            </w:tcBorders>
            <w:shd w:val="clear" w:color="000000" w:fill="000000"/>
            <w:noWrap/>
            <w:vAlign w:val="center"/>
            <w:hideMark/>
          </w:tcPr>
          <w:p w14:paraId="438AF5CA" w14:textId="1DB93936" w:rsidR="006822D1" w:rsidRPr="008414B4" w:rsidRDefault="006967E9" w:rsidP="006967E9">
            <w:pPr>
              <w:spacing w:after="0" w:line="240" w:lineRule="auto"/>
              <w:jc w:val="center"/>
              <w:rPr>
                <w:rFonts w:eastAsia="Times New Roman" w:cs="Times New Roman"/>
                <w:b/>
                <w:bCs/>
                <w:color w:val="FFFFFF"/>
                <w:sz w:val="20"/>
                <w:szCs w:val="20"/>
                <w:lang w:eastAsia="sk-SK"/>
              </w:rPr>
            </w:pPr>
            <w:r>
              <w:rPr>
                <w:rFonts w:eastAsia="Times New Roman" w:cs="Times New Roman"/>
                <w:b/>
                <w:bCs/>
                <w:color w:val="FFFFFF"/>
                <w:sz w:val="20"/>
                <w:szCs w:val="20"/>
                <w:lang w:eastAsia="sk-SK"/>
              </w:rPr>
              <w:t xml:space="preserve">      </w:t>
            </w:r>
            <w:r w:rsidR="006822D1" w:rsidRPr="008414B4">
              <w:rPr>
                <w:rFonts w:eastAsia="Times New Roman" w:cs="Times New Roman"/>
                <w:b/>
                <w:bCs/>
                <w:color w:val="FFFFFF"/>
                <w:sz w:val="20"/>
                <w:szCs w:val="20"/>
                <w:lang w:eastAsia="sk-SK"/>
              </w:rPr>
              <w:t>v %</w:t>
            </w:r>
          </w:p>
        </w:tc>
      </w:tr>
      <w:tr w:rsidR="006822D1" w:rsidRPr="008414B4" w14:paraId="276A43BC" w14:textId="77777777" w:rsidTr="006822D1">
        <w:trPr>
          <w:trHeight w:val="300"/>
        </w:trPr>
        <w:tc>
          <w:tcPr>
            <w:tcW w:w="1558" w:type="pct"/>
            <w:tcBorders>
              <w:top w:val="single" w:sz="4" w:space="0" w:color="auto"/>
              <w:left w:val="nil"/>
              <w:bottom w:val="nil"/>
              <w:right w:val="nil"/>
            </w:tcBorders>
            <w:shd w:val="clear" w:color="000000" w:fill="BFBFBF"/>
            <w:vAlign w:val="center"/>
            <w:hideMark/>
          </w:tcPr>
          <w:p w14:paraId="4872121B" w14:textId="77777777" w:rsidR="006822D1" w:rsidRPr="008414B4" w:rsidRDefault="006822D1" w:rsidP="006822D1">
            <w:pPr>
              <w:spacing w:after="0" w:line="240" w:lineRule="auto"/>
              <w:rPr>
                <w:rFonts w:eastAsia="Times New Roman" w:cs="Times New Roman"/>
                <w:b/>
                <w:bCs/>
                <w:sz w:val="20"/>
                <w:szCs w:val="20"/>
                <w:lang w:eastAsia="sk-SK"/>
              </w:rPr>
            </w:pPr>
            <w:r w:rsidRPr="008414B4">
              <w:rPr>
                <w:rFonts w:eastAsia="Times New Roman" w:cs="Times New Roman"/>
                <w:b/>
                <w:bCs/>
                <w:sz w:val="20"/>
                <w:szCs w:val="20"/>
                <w:lang w:eastAsia="sk-SK"/>
              </w:rPr>
              <w:t> </w:t>
            </w:r>
          </w:p>
        </w:tc>
        <w:tc>
          <w:tcPr>
            <w:tcW w:w="861" w:type="pct"/>
            <w:vMerge w:val="restart"/>
            <w:tcBorders>
              <w:top w:val="single" w:sz="4" w:space="0" w:color="auto"/>
              <w:left w:val="nil"/>
              <w:bottom w:val="single" w:sz="4" w:space="0" w:color="000000"/>
              <w:right w:val="nil"/>
            </w:tcBorders>
            <w:shd w:val="clear" w:color="000000" w:fill="BFBFBF"/>
            <w:vAlign w:val="center"/>
            <w:hideMark/>
          </w:tcPr>
          <w:p w14:paraId="5B2D70FF" w14:textId="77777777" w:rsidR="006822D1" w:rsidRPr="008414B4" w:rsidRDefault="006822D1" w:rsidP="006822D1">
            <w:pPr>
              <w:spacing w:after="0" w:line="240" w:lineRule="auto"/>
              <w:jc w:val="center"/>
              <w:rPr>
                <w:rFonts w:eastAsia="Times New Roman" w:cs="Times New Roman"/>
                <w:b/>
                <w:bCs/>
                <w:sz w:val="20"/>
                <w:szCs w:val="20"/>
                <w:lang w:eastAsia="sk-SK"/>
              </w:rPr>
            </w:pPr>
            <w:r w:rsidRPr="008414B4">
              <w:rPr>
                <w:rFonts w:eastAsia="Times New Roman" w:cs="Times New Roman"/>
                <w:b/>
                <w:bCs/>
                <w:sz w:val="20"/>
                <w:szCs w:val="20"/>
                <w:lang w:eastAsia="sk-SK"/>
              </w:rPr>
              <w:t>Štátne dlhopisy a ŠPP</w:t>
            </w:r>
          </w:p>
        </w:tc>
        <w:tc>
          <w:tcPr>
            <w:tcW w:w="870" w:type="pct"/>
            <w:vMerge w:val="restart"/>
            <w:tcBorders>
              <w:top w:val="single" w:sz="4" w:space="0" w:color="auto"/>
              <w:left w:val="nil"/>
              <w:bottom w:val="single" w:sz="4" w:space="0" w:color="000000"/>
              <w:right w:val="nil"/>
            </w:tcBorders>
            <w:shd w:val="clear" w:color="000000" w:fill="BFBFBF"/>
            <w:vAlign w:val="center"/>
            <w:hideMark/>
          </w:tcPr>
          <w:p w14:paraId="7954C2A5" w14:textId="77777777" w:rsidR="006822D1" w:rsidRPr="008414B4" w:rsidRDefault="006822D1" w:rsidP="006822D1">
            <w:pPr>
              <w:spacing w:after="0" w:line="240" w:lineRule="auto"/>
              <w:jc w:val="center"/>
              <w:rPr>
                <w:rFonts w:eastAsia="Times New Roman" w:cs="Times New Roman"/>
                <w:b/>
                <w:bCs/>
                <w:sz w:val="20"/>
                <w:szCs w:val="20"/>
                <w:lang w:eastAsia="sk-SK"/>
              </w:rPr>
            </w:pPr>
            <w:r w:rsidRPr="008414B4">
              <w:rPr>
                <w:rFonts w:eastAsia="Times New Roman" w:cs="Times New Roman"/>
                <w:b/>
                <w:bCs/>
                <w:sz w:val="20"/>
                <w:szCs w:val="20"/>
                <w:lang w:eastAsia="sk-SK"/>
              </w:rPr>
              <w:t>Bankové úvery a iné pôžičky</w:t>
            </w:r>
          </w:p>
        </w:tc>
        <w:tc>
          <w:tcPr>
            <w:tcW w:w="850" w:type="pct"/>
            <w:vMerge w:val="restart"/>
            <w:tcBorders>
              <w:top w:val="single" w:sz="4" w:space="0" w:color="auto"/>
              <w:left w:val="nil"/>
              <w:bottom w:val="single" w:sz="4" w:space="0" w:color="000000"/>
              <w:right w:val="nil"/>
            </w:tcBorders>
            <w:shd w:val="clear" w:color="000000" w:fill="BFBFBF"/>
            <w:vAlign w:val="center"/>
            <w:hideMark/>
          </w:tcPr>
          <w:p w14:paraId="43BC363E" w14:textId="77777777" w:rsidR="006822D1" w:rsidRPr="008414B4" w:rsidRDefault="006822D1" w:rsidP="006822D1">
            <w:pPr>
              <w:spacing w:after="0" w:line="240" w:lineRule="auto"/>
              <w:jc w:val="center"/>
              <w:rPr>
                <w:rFonts w:eastAsia="Times New Roman" w:cs="Times New Roman"/>
                <w:b/>
                <w:bCs/>
                <w:sz w:val="20"/>
                <w:szCs w:val="20"/>
                <w:lang w:eastAsia="sk-SK"/>
              </w:rPr>
            </w:pPr>
            <w:r w:rsidRPr="008414B4">
              <w:rPr>
                <w:rFonts w:eastAsia="Times New Roman" w:cs="Times New Roman"/>
                <w:b/>
                <w:bCs/>
                <w:sz w:val="20"/>
                <w:szCs w:val="20"/>
                <w:lang w:eastAsia="sk-SK"/>
              </w:rPr>
              <w:t>Ostatné záväzky</w:t>
            </w:r>
          </w:p>
        </w:tc>
        <w:tc>
          <w:tcPr>
            <w:tcW w:w="860" w:type="pct"/>
            <w:vMerge w:val="restart"/>
            <w:tcBorders>
              <w:top w:val="single" w:sz="4" w:space="0" w:color="auto"/>
              <w:left w:val="nil"/>
              <w:bottom w:val="single" w:sz="4" w:space="0" w:color="000000"/>
              <w:right w:val="nil"/>
            </w:tcBorders>
            <w:shd w:val="clear" w:color="000000" w:fill="BFBFBF"/>
            <w:vAlign w:val="center"/>
            <w:hideMark/>
          </w:tcPr>
          <w:p w14:paraId="2679BD92" w14:textId="77777777" w:rsidR="006822D1" w:rsidRPr="008414B4" w:rsidRDefault="006822D1" w:rsidP="006822D1">
            <w:pPr>
              <w:spacing w:after="0" w:line="240" w:lineRule="auto"/>
              <w:jc w:val="center"/>
              <w:rPr>
                <w:rFonts w:eastAsia="Times New Roman" w:cs="Times New Roman"/>
                <w:b/>
                <w:bCs/>
                <w:sz w:val="20"/>
                <w:szCs w:val="20"/>
                <w:lang w:eastAsia="sk-SK"/>
              </w:rPr>
            </w:pPr>
            <w:r w:rsidRPr="008414B4">
              <w:rPr>
                <w:rFonts w:eastAsia="Times New Roman" w:cs="Times New Roman"/>
                <w:b/>
                <w:bCs/>
                <w:sz w:val="20"/>
                <w:szCs w:val="20"/>
                <w:lang w:eastAsia="sk-SK"/>
              </w:rPr>
              <w:t>Spolu</w:t>
            </w:r>
          </w:p>
        </w:tc>
      </w:tr>
      <w:tr w:rsidR="006822D1" w:rsidRPr="008414B4" w14:paraId="52C300D9" w14:textId="77777777" w:rsidTr="006822D1">
        <w:trPr>
          <w:trHeight w:val="300"/>
        </w:trPr>
        <w:tc>
          <w:tcPr>
            <w:tcW w:w="1558" w:type="pct"/>
            <w:tcBorders>
              <w:top w:val="nil"/>
              <w:left w:val="nil"/>
              <w:bottom w:val="single" w:sz="4" w:space="0" w:color="auto"/>
              <w:right w:val="nil"/>
            </w:tcBorders>
            <w:shd w:val="clear" w:color="000000" w:fill="BFBFBF"/>
            <w:vAlign w:val="center"/>
            <w:hideMark/>
          </w:tcPr>
          <w:p w14:paraId="32B557E4" w14:textId="77777777" w:rsidR="006822D1" w:rsidRPr="008414B4" w:rsidRDefault="006822D1" w:rsidP="006822D1">
            <w:pPr>
              <w:spacing w:after="0" w:line="240" w:lineRule="auto"/>
              <w:rPr>
                <w:rFonts w:eastAsia="Times New Roman" w:cs="Times New Roman"/>
                <w:b/>
                <w:bCs/>
                <w:sz w:val="20"/>
                <w:szCs w:val="20"/>
                <w:lang w:eastAsia="sk-SK"/>
              </w:rPr>
            </w:pPr>
            <w:r w:rsidRPr="008414B4">
              <w:rPr>
                <w:rFonts w:eastAsia="Times New Roman" w:cs="Times New Roman"/>
                <w:b/>
                <w:bCs/>
                <w:sz w:val="20"/>
                <w:szCs w:val="20"/>
                <w:lang w:eastAsia="sk-SK"/>
              </w:rPr>
              <w:t> </w:t>
            </w:r>
          </w:p>
        </w:tc>
        <w:tc>
          <w:tcPr>
            <w:tcW w:w="861" w:type="pct"/>
            <w:vMerge/>
            <w:tcBorders>
              <w:top w:val="single" w:sz="4" w:space="0" w:color="auto"/>
              <w:left w:val="nil"/>
              <w:bottom w:val="single" w:sz="4" w:space="0" w:color="000000"/>
              <w:right w:val="nil"/>
            </w:tcBorders>
            <w:vAlign w:val="center"/>
            <w:hideMark/>
          </w:tcPr>
          <w:p w14:paraId="71F9A270" w14:textId="77777777" w:rsidR="006822D1" w:rsidRPr="008414B4" w:rsidRDefault="006822D1" w:rsidP="006822D1">
            <w:pPr>
              <w:spacing w:after="0" w:line="240" w:lineRule="auto"/>
              <w:jc w:val="left"/>
              <w:rPr>
                <w:rFonts w:eastAsia="Times New Roman" w:cs="Times New Roman"/>
                <w:b/>
                <w:bCs/>
                <w:sz w:val="20"/>
                <w:szCs w:val="20"/>
                <w:lang w:eastAsia="sk-SK"/>
              </w:rPr>
            </w:pPr>
          </w:p>
        </w:tc>
        <w:tc>
          <w:tcPr>
            <w:tcW w:w="870" w:type="pct"/>
            <w:vMerge/>
            <w:tcBorders>
              <w:top w:val="single" w:sz="4" w:space="0" w:color="auto"/>
              <w:left w:val="nil"/>
              <w:bottom w:val="single" w:sz="4" w:space="0" w:color="000000"/>
              <w:right w:val="nil"/>
            </w:tcBorders>
            <w:vAlign w:val="center"/>
            <w:hideMark/>
          </w:tcPr>
          <w:p w14:paraId="10D99003" w14:textId="77777777" w:rsidR="006822D1" w:rsidRPr="008414B4" w:rsidRDefault="006822D1" w:rsidP="006822D1">
            <w:pPr>
              <w:spacing w:after="0" w:line="240" w:lineRule="auto"/>
              <w:jc w:val="left"/>
              <w:rPr>
                <w:rFonts w:eastAsia="Times New Roman" w:cs="Times New Roman"/>
                <w:b/>
                <w:bCs/>
                <w:sz w:val="20"/>
                <w:szCs w:val="20"/>
                <w:lang w:eastAsia="sk-SK"/>
              </w:rPr>
            </w:pPr>
          </w:p>
        </w:tc>
        <w:tc>
          <w:tcPr>
            <w:tcW w:w="850" w:type="pct"/>
            <w:vMerge/>
            <w:tcBorders>
              <w:top w:val="single" w:sz="4" w:space="0" w:color="auto"/>
              <w:left w:val="nil"/>
              <w:bottom w:val="single" w:sz="4" w:space="0" w:color="000000"/>
              <w:right w:val="nil"/>
            </w:tcBorders>
            <w:vAlign w:val="center"/>
            <w:hideMark/>
          </w:tcPr>
          <w:p w14:paraId="0576772B" w14:textId="77777777" w:rsidR="006822D1" w:rsidRPr="008414B4" w:rsidRDefault="006822D1" w:rsidP="006822D1">
            <w:pPr>
              <w:spacing w:after="0" w:line="240" w:lineRule="auto"/>
              <w:jc w:val="left"/>
              <w:rPr>
                <w:rFonts w:eastAsia="Times New Roman" w:cs="Times New Roman"/>
                <w:b/>
                <w:bCs/>
                <w:sz w:val="20"/>
                <w:szCs w:val="20"/>
                <w:lang w:eastAsia="sk-SK"/>
              </w:rPr>
            </w:pPr>
          </w:p>
        </w:tc>
        <w:tc>
          <w:tcPr>
            <w:tcW w:w="860" w:type="pct"/>
            <w:vMerge/>
            <w:tcBorders>
              <w:top w:val="single" w:sz="4" w:space="0" w:color="auto"/>
              <w:left w:val="nil"/>
              <w:bottom w:val="single" w:sz="4" w:space="0" w:color="000000"/>
              <w:right w:val="nil"/>
            </w:tcBorders>
            <w:vAlign w:val="center"/>
            <w:hideMark/>
          </w:tcPr>
          <w:p w14:paraId="2CC66951" w14:textId="77777777" w:rsidR="006822D1" w:rsidRPr="008414B4" w:rsidRDefault="006822D1" w:rsidP="006822D1">
            <w:pPr>
              <w:spacing w:after="0" w:line="240" w:lineRule="auto"/>
              <w:jc w:val="left"/>
              <w:rPr>
                <w:rFonts w:eastAsia="Times New Roman" w:cs="Times New Roman"/>
                <w:b/>
                <w:bCs/>
                <w:sz w:val="20"/>
                <w:szCs w:val="20"/>
                <w:lang w:eastAsia="sk-SK"/>
              </w:rPr>
            </w:pPr>
          </w:p>
        </w:tc>
      </w:tr>
      <w:tr w:rsidR="006822D1" w:rsidRPr="008414B4" w14:paraId="5BE5DBFF" w14:textId="77777777" w:rsidTr="006822D1">
        <w:trPr>
          <w:trHeight w:val="300"/>
        </w:trPr>
        <w:tc>
          <w:tcPr>
            <w:tcW w:w="1558" w:type="pct"/>
            <w:tcBorders>
              <w:top w:val="nil"/>
              <w:left w:val="nil"/>
              <w:bottom w:val="nil"/>
              <w:right w:val="nil"/>
            </w:tcBorders>
            <w:shd w:val="clear" w:color="auto" w:fill="auto"/>
            <w:noWrap/>
            <w:vAlign w:val="bottom"/>
            <w:hideMark/>
          </w:tcPr>
          <w:p w14:paraId="1E04560F"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Do 1 roka</w:t>
            </w:r>
          </w:p>
        </w:tc>
        <w:tc>
          <w:tcPr>
            <w:tcW w:w="861" w:type="pct"/>
            <w:tcBorders>
              <w:top w:val="nil"/>
              <w:left w:val="nil"/>
              <w:bottom w:val="nil"/>
              <w:right w:val="nil"/>
            </w:tcBorders>
            <w:shd w:val="clear" w:color="auto" w:fill="auto"/>
            <w:noWrap/>
            <w:vAlign w:val="bottom"/>
            <w:hideMark/>
          </w:tcPr>
          <w:p w14:paraId="27662D08"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70" w:type="pct"/>
            <w:tcBorders>
              <w:top w:val="nil"/>
              <w:left w:val="nil"/>
              <w:bottom w:val="nil"/>
              <w:right w:val="nil"/>
            </w:tcBorders>
            <w:shd w:val="clear" w:color="auto" w:fill="auto"/>
            <w:noWrap/>
            <w:vAlign w:val="bottom"/>
            <w:hideMark/>
          </w:tcPr>
          <w:p w14:paraId="15DA4C7F"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50" w:type="pct"/>
            <w:tcBorders>
              <w:top w:val="nil"/>
              <w:left w:val="nil"/>
              <w:bottom w:val="nil"/>
              <w:right w:val="nil"/>
            </w:tcBorders>
            <w:shd w:val="clear" w:color="auto" w:fill="auto"/>
            <w:noWrap/>
            <w:vAlign w:val="bottom"/>
            <w:hideMark/>
          </w:tcPr>
          <w:p w14:paraId="72B56DA3"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99,2</w:t>
            </w:r>
          </w:p>
        </w:tc>
        <w:tc>
          <w:tcPr>
            <w:tcW w:w="860" w:type="pct"/>
            <w:tcBorders>
              <w:top w:val="nil"/>
              <w:left w:val="nil"/>
              <w:bottom w:val="nil"/>
              <w:right w:val="nil"/>
            </w:tcBorders>
            <w:shd w:val="clear" w:color="000000" w:fill="BFBFBF"/>
            <w:noWrap/>
            <w:vAlign w:val="bottom"/>
            <w:hideMark/>
          </w:tcPr>
          <w:p w14:paraId="353C0DB0"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1,1</w:t>
            </w:r>
          </w:p>
        </w:tc>
      </w:tr>
      <w:tr w:rsidR="006822D1" w:rsidRPr="008414B4" w14:paraId="07483EBA" w14:textId="77777777" w:rsidTr="006822D1">
        <w:trPr>
          <w:trHeight w:val="300"/>
        </w:trPr>
        <w:tc>
          <w:tcPr>
            <w:tcW w:w="1558" w:type="pct"/>
            <w:tcBorders>
              <w:top w:val="nil"/>
              <w:left w:val="nil"/>
              <w:bottom w:val="nil"/>
              <w:right w:val="nil"/>
            </w:tcBorders>
            <w:shd w:val="clear" w:color="auto" w:fill="auto"/>
            <w:noWrap/>
            <w:vAlign w:val="bottom"/>
            <w:hideMark/>
          </w:tcPr>
          <w:p w14:paraId="1C35B548"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Do 5 rokov</w:t>
            </w:r>
          </w:p>
        </w:tc>
        <w:tc>
          <w:tcPr>
            <w:tcW w:w="861" w:type="pct"/>
            <w:tcBorders>
              <w:top w:val="nil"/>
              <w:left w:val="nil"/>
              <w:bottom w:val="nil"/>
              <w:right w:val="nil"/>
            </w:tcBorders>
            <w:shd w:val="clear" w:color="auto" w:fill="auto"/>
            <w:noWrap/>
            <w:vAlign w:val="bottom"/>
            <w:hideMark/>
          </w:tcPr>
          <w:p w14:paraId="5378575C"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70" w:type="pct"/>
            <w:tcBorders>
              <w:top w:val="nil"/>
              <w:left w:val="nil"/>
              <w:bottom w:val="nil"/>
              <w:right w:val="nil"/>
            </w:tcBorders>
            <w:shd w:val="clear" w:color="auto" w:fill="auto"/>
            <w:noWrap/>
            <w:vAlign w:val="bottom"/>
            <w:hideMark/>
          </w:tcPr>
          <w:p w14:paraId="4ABC33D8"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4,3</w:t>
            </w:r>
          </w:p>
        </w:tc>
        <w:tc>
          <w:tcPr>
            <w:tcW w:w="850" w:type="pct"/>
            <w:tcBorders>
              <w:top w:val="nil"/>
              <w:left w:val="nil"/>
              <w:bottom w:val="nil"/>
              <w:right w:val="nil"/>
            </w:tcBorders>
            <w:shd w:val="clear" w:color="auto" w:fill="auto"/>
            <w:noWrap/>
            <w:vAlign w:val="bottom"/>
            <w:hideMark/>
          </w:tcPr>
          <w:p w14:paraId="311DD3FD"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0,8</w:t>
            </w:r>
          </w:p>
        </w:tc>
        <w:tc>
          <w:tcPr>
            <w:tcW w:w="860" w:type="pct"/>
            <w:tcBorders>
              <w:top w:val="nil"/>
              <w:left w:val="nil"/>
              <w:bottom w:val="nil"/>
              <w:right w:val="nil"/>
            </w:tcBorders>
            <w:shd w:val="clear" w:color="000000" w:fill="BFBFBF"/>
            <w:noWrap/>
            <w:vAlign w:val="bottom"/>
            <w:hideMark/>
          </w:tcPr>
          <w:p w14:paraId="605A67AD"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0,4</w:t>
            </w:r>
          </w:p>
        </w:tc>
      </w:tr>
      <w:tr w:rsidR="006822D1" w:rsidRPr="008414B4" w14:paraId="4615CD83" w14:textId="77777777" w:rsidTr="006822D1">
        <w:trPr>
          <w:trHeight w:val="300"/>
        </w:trPr>
        <w:tc>
          <w:tcPr>
            <w:tcW w:w="1558" w:type="pct"/>
            <w:tcBorders>
              <w:top w:val="nil"/>
              <w:left w:val="nil"/>
              <w:bottom w:val="nil"/>
              <w:right w:val="nil"/>
            </w:tcBorders>
            <w:shd w:val="clear" w:color="auto" w:fill="auto"/>
            <w:noWrap/>
            <w:vAlign w:val="bottom"/>
            <w:hideMark/>
          </w:tcPr>
          <w:p w14:paraId="799B281A"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Do 7 rokov</w:t>
            </w:r>
          </w:p>
        </w:tc>
        <w:tc>
          <w:tcPr>
            <w:tcW w:w="861" w:type="pct"/>
            <w:tcBorders>
              <w:top w:val="nil"/>
              <w:left w:val="nil"/>
              <w:bottom w:val="nil"/>
              <w:right w:val="nil"/>
            </w:tcBorders>
            <w:shd w:val="clear" w:color="auto" w:fill="auto"/>
            <w:noWrap/>
            <w:vAlign w:val="bottom"/>
            <w:hideMark/>
          </w:tcPr>
          <w:p w14:paraId="505E7909"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70" w:type="pct"/>
            <w:tcBorders>
              <w:top w:val="nil"/>
              <w:left w:val="nil"/>
              <w:bottom w:val="nil"/>
              <w:right w:val="nil"/>
            </w:tcBorders>
            <w:shd w:val="clear" w:color="auto" w:fill="auto"/>
            <w:noWrap/>
            <w:vAlign w:val="bottom"/>
            <w:hideMark/>
          </w:tcPr>
          <w:p w14:paraId="53563765"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1,7</w:t>
            </w:r>
          </w:p>
        </w:tc>
        <w:tc>
          <w:tcPr>
            <w:tcW w:w="850" w:type="pct"/>
            <w:tcBorders>
              <w:top w:val="nil"/>
              <w:left w:val="nil"/>
              <w:bottom w:val="nil"/>
              <w:right w:val="nil"/>
            </w:tcBorders>
            <w:shd w:val="clear" w:color="auto" w:fill="auto"/>
            <w:noWrap/>
            <w:vAlign w:val="bottom"/>
            <w:hideMark/>
          </w:tcPr>
          <w:p w14:paraId="2D97F176"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3917188E"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0,2</w:t>
            </w:r>
          </w:p>
        </w:tc>
      </w:tr>
      <w:tr w:rsidR="006822D1" w:rsidRPr="008414B4" w14:paraId="245B7B55" w14:textId="77777777" w:rsidTr="006822D1">
        <w:trPr>
          <w:trHeight w:val="300"/>
        </w:trPr>
        <w:tc>
          <w:tcPr>
            <w:tcW w:w="1558" w:type="pct"/>
            <w:tcBorders>
              <w:top w:val="nil"/>
              <w:left w:val="nil"/>
              <w:bottom w:val="nil"/>
              <w:right w:val="nil"/>
            </w:tcBorders>
            <w:shd w:val="clear" w:color="auto" w:fill="auto"/>
            <w:noWrap/>
            <w:vAlign w:val="bottom"/>
            <w:hideMark/>
          </w:tcPr>
          <w:p w14:paraId="4D79F0D5"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Do 10 rokov</w:t>
            </w:r>
          </w:p>
        </w:tc>
        <w:tc>
          <w:tcPr>
            <w:tcW w:w="861" w:type="pct"/>
            <w:tcBorders>
              <w:top w:val="nil"/>
              <w:left w:val="nil"/>
              <w:bottom w:val="nil"/>
              <w:right w:val="nil"/>
            </w:tcBorders>
            <w:shd w:val="clear" w:color="auto" w:fill="auto"/>
            <w:noWrap/>
            <w:vAlign w:val="bottom"/>
            <w:hideMark/>
          </w:tcPr>
          <w:p w14:paraId="5A18F7D7"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7,9</w:t>
            </w:r>
          </w:p>
        </w:tc>
        <w:tc>
          <w:tcPr>
            <w:tcW w:w="870" w:type="pct"/>
            <w:tcBorders>
              <w:top w:val="nil"/>
              <w:left w:val="nil"/>
              <w:bottom w:val="nil"/>
              <w:right w:val="nil"/>
            </w:tcBorders>
            <w:shd w:val="clear" w:color="auto" w:fill="auto"/>
            <w:noWrap/>
            <w:vAlign w:val="bottom"/>
            <w:hideMark/>
          </w:tcPr>
          <w:p w14:paraId="0AE8D27E"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3,3</w:t>
            </w:r>
          </w:p>
        </w:tc>
        <w:tc>
          <w:tcPr>
            <w:tcW w:w="850" w:type="pct"/>
            <w:tcBorders>
              <w:top w:val="nil"/>
              <w:left w:val="nil"/>
              <w:bottom w:val="nil"/>
              <w:right w:val="nil"/>
            </w:tcBorders>
            <w:shd w:val="clear" w:color="auto" w:fill="auto"/>
            <w:noWrap/>
            <w:vAlign w:val="bottom"/>
            <w:hideMark/>
          </w:tcPr>
          <w:p w14:paraId="20DFE805"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48D4BCCA"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7,3</w:t>
            </w:r>
          </w:p>
        </w:tc>
      </w:tr>
      <w:tr w:rsidR="006822D1" w:rsidRPr="008414B4" w14:paraId="7EE93204" w14:textId="77777777" w:rsidTr="006822D1">
        <w:trPr>
          <w:trHeight w:val="300"/>
        </w:trPr>
        <w:tc>
          <w:tcPr>
            <w:tcW w:w="1558" w:type="pct"/>
            <w:tcBorders>
              <w:top w:val="nil"/>
              <w:left w:val="nil"/>
              <w:bottom w:val="nil"/>
              <w:right w:val="nil"/>
            </w:tcBorders>
            <w:shd w:val="clear" w:color="auto" w:fill="auto"/>
            <w:noWrap/>
            <w:vAlign w:val="bottom"/>
            <w:hideMark/>
          </w:tcPr>
          <w:p w14:paraId="64973F92"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Do 15 rokov</w:t>
            </w:r>
          </w:p>
        </w:tc>
        <w:tc>
          <w:tcPr>
            <w:tcW w:w="861" w:type="pct"/>
            <w:tcBorders>
              <w:top w:val="nil"/>
              <w:left w:val="nil"/>
              <w:bottom w:val="nil"/>
              <w:right w:val="nil"/>
            </w:tcBorders>
            <w:shd w:val="clear" w:color="auto" w:fill="auto"/>
            <w:noWrap/>
            <w:vAlign w:val="bottom"/>
            <w:hideMark/>
          </w:tcPr>
          <w:p w14:paraId="196EC01F"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44,1</w:t>
            </w:r>
          </w:p>
        </w:tc>
        <w:tc>
          <w:tcPr>
            <w:tcW w:w="870" w:type="pct"/>
            <w:tcBorders>
              <w:top w:val="nil"/>
              <w:left w:val="nil"/>
              <w:bottom w:val="nil"/>
              <w:right w:val="nil"/>
            </w:tcBorders>
            <w:shd w:val="clear" w:color="auto" w:fill="auto"/>
            <w:noWrap/>
            <w:vAlign w:val="bottom"/>
            <w:hideMark/>
          </w:tcPr>
          <w:p w14:paraId="48CD374F"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6,0</w:t>
            </w:r>
          </w:p>
        </w:tc>
        <w:tc>
          <w:tcPr>
            <w:tcW w:w="850" w:type="pct"/>
            <w:tcBorders>
              <w:top w:val="nil"/>
              <w:left w:val="nil"/>
              <w:bottom w:val="nil"/>
              <w:right w:val="nil"/>
            </w:tcBorders>
            <w:shd w:val="clear" w:color="auto" w:fill="auto"/>
            <w:noWrap/>
            <w:vAlign w:val="bottom"/>
            <w:hideMark/>
          </w:tcPr>
          <w:p w14:paraId="03CFA792"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505C45A9"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39,7</w:t>
            </w:r>
          </w:p>
        </w:tc>
      </w:tr>
      <w:tr w:rsidR="006822D1" w:rsidRPr="008414B4" w14:paraId="60C15A4C" w14:textId="77777777" w:rsidTr="006822D1">
        <w:trPr>
          <w:trHeight w:val="300"/>
        </w:trPr>
        <w:tc>
          <w:tcPr>
            <w:tcW w:w="1558" w:type="pct"/>
            <w:tcBorders>
              <w:top w:val="nil"/>
              <w:left w:val="nil"/>
              <w:bottom w:val="nil"/>
              <w:right w:val="nil"/>
            </w:tcBorders>
            <w:shd w:val="clear" w:color="auto" w:fill="auto"/>
            <w:noWrap/>
            <w:vAlign w:val="bottom"/>
            <w:hideMark/>
          </w:tcPr>
          <w:p w14:paraId="5330CA8C"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Do 29 rokov</w:t>
            </w:r>
          </w:p>
        </w:tc>
        <w:tc>
          <w:tcPr>
            <w:tcW w:w="861" w:type="pct"/>
            <w:tcBorders>
              <w:top w:val="nil"/>
              <w:left w:val="nil"/>
              <w:bottom w:val="nil"/>
              <w:right w:val="nil"/>
            </w:tcBorders>
            <w:shd w:val="clear" w:color="auto" w:fill="auto"/>
            <w:noWrap/>
            <w:vAlign w:val="bottom"/>
            <w:hideMark/>
          </w:tcPr>
          <w:p w14:paraId="11D749E2"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42,2</w:t>
            </w:r>
          </w:p>
        </w:tc>
        <w:tc>
          <w:tcPr>
            <w:tcW w:w="870" w:type="pct"/>
            <w:tcBorders>
              <w:top w:val="nil"/>
              <w:left w:val="nil"/>
              <w:bottom w:val="nil"/>
              <w:right w:val="nil"/>
            </w:tcBorders>
            <w:shd w:val="clear" w:color="auto" w:fill="auto"/>
            <w:noWrap/>
            <w:vAlign w:val="bottom"/>
            <w:hideMark/>
          </w:tcPr>
          <w:p w14:paraId="0B3A2198"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43,6</w:t>
            </w:r>
          </w:p>
        </w:tc>
        <w:tc>
          <w:tcPr>
            <w:tcW w:w="850" w:type="pct"/>
            <w:tcBorders>
              <w:top w:val="nil"/>
              <w:left w:val="nil"/>
              <w:bottom w:val="nil"/>
              <w:right w:val="nil"/>
            </w:tcBorders>
            <w:shd w:val="clear" w:color="auto" w:fill="auto"/>
            <w:noWrap/>
            <w:vAlign w:val="bottom"/>
            <w:hideMark/>
          </w:tcPr>
          <w:p w14:paraId="50278A6D"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17F65902"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41,9</w:t>
            </w:r>
          </w:p>
        </w:tc>
      </w:tr>
      <w:tr w:rsidR="006822D1" w:rsidRPr="008414B4" w14:paraId="1CC1F508" w14:textId="77777777" w:rsidTr="00280521">
        <w:trPr>
          <w:trHeight w:val="300"/>
        </w:trPr>
        <w:tc>
          <w:tcPr>
            <w:tcW w:w="1558" w:type="pct"/>
            <w:tcBorders>
              <w:top w:val="nil"/>
              <w:left w:val="nil"/>
              <w:bottom w:val="single" w:sz="4" w:space="0" w:color="auto"/>
              <w:right w:val="nil"/>
            </w:tcBorders>
            <w:shd w:val="clear" w:color="auto" w:fill="auto"/>
            <w:noWrap/>
            <w:vAlign w:val="bottom"/>
            <w:hideMark/>
          </w:tcPr>
          <w:p w14:paraId="74B1F4C4" w14:textId="77777777" w:rsidR="006822D1" w:rsidRPr="008414B4" w:rsidRDefault="006822D1" w:rsidP="006822D1">
            <w:pPr>
              <w:spacing w:after="0" w:line="240" w:lineRule="auto"/>
              <w:jc w:val="left"/>
              <w:rPr>
                <w:rFonts w:eastAsia="Times New Roman" w:cs="Times New Roman"/>
                <w:sz w:val="20"/>
                <w:szCs w:val="20"/>
                <w:lang w:eastAsia="sk-SK"/>
              </w:rPr>
            </w:pPr>
            <w:r w:rsidRPr="008414B4">
              <w:rPr>
                <w:rFonts w:eastAsia="Times New Roman" w:cs="Times New Roman"/>
                <w:sz w:val="20"/>
                <w:szCs w:val="20"/>
                <w:lang w:eastAsia="sk-SK"/>
              </w:rPr>
              <w:t>30 rokov a viac</w:t>
            </w:r>
          </w:p>
        </w:tc>
        <w:tc>
          <w:tcPr>
            <w:tcW w:w="861" w:type="pct"/>
            <w:tcBorders>
              <w:top w:val="nil"/>
              <w:left w:val="nil"/>
              <w:bottom w:val="single" w:sz="4" w:space="0" w:color="auto"/>
              <w:right w:val="nil"/>
            </w:tcBorders>
            <w:shd w:val="clear" w:color="auto" w:fill="auto"/>
            <w:noWrap/>
            <w:vAlign w:val="bottom"/>
            <w:hideMark/>
          </w:tcPr>
          <w:p w14:paraId="6A07F744"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5,8</w:t>
            </w:r>
          </w:p>
        </w:tc>
        <w:tc>
          <w:tcPr>
            <w:tcW w:w="870" w:type="pct"/>
            <w:tcBorders>
              <w:top w:val="nil"/>
              <w:left w:val="nil"/>
              <w:bottom w:val="single" w:sz="4" w:space="0" w:color="auto"/>
              <w:right w:val="nil"/>
            </w:tcBorders>
            <w:shd w:val="clear" w:color="auto" w:fill="auto"/>
            <w:noWrap/>
            <w:vAlign w:val="bottom"/>
            <w:hideMark/>
          </w:tcPr>
          <w:p w14:paraId="4EA5D37A"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41,1</w:t>
            </w:r>
          </w:p>
        </w:tc>
        <w:tc>
          <w:tcPr>
            <w:tcW w:w="850" w:type="pct"/>
            <w:tcBorders>
              <w:top w:val="nil"/>
              <w:left w:val="nil"/>
              <w:bottom w:val="single" w:sz="4" w:space="0" w:color="auto"/>
              <w:right w:val="nil"/>
            </w:tcBorders>
            <w:shd w:val="clear" w:color="auto" w:fill="auto"/>
            <w:noWrap/>
            <w:vAlign w:val="bottom"/>
            <w:hideMark/>
          </w:tcPr>
          <w:p w14:paraId="4AAEDF1D"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0,0</w:t>
            </w:r>
          </w:p>
        </w:tc>
        <w:tc>
          <w:tcPr>
            <w:tcW w:w="860" w:type="pct"/>
            <w:tcBorders>
              <w:top w:val="nil"/>
              <w:left w:val="nil"/>
              <w:bottom w:val="single" w:sz="4" w:space="0" w:color="auto"/>
              <w:right w:val="nil"/>
            </w:tcBorders>
            <w:shd w:val="clear" w:color="000000" w:fill="BFBFBF"/>
            <w:noWrap/>
            <w:vAlign w:val="bottom"/>
            <w:hideMark/>
          </w:tcPr>
          <w:p w14:paraId="31B235AD" w14:textId="77777777" w:rsidR="006822D1" w:rsidRPr="008414B4" w:rsidRDefault="006822D1" w:rsidP="006822D1">
            <w:pPr>
              <w:spacing w:after="0" w:line="240" w:lineRule="auto"/>
              <w:jc w:val="right"/>
              <w:rPr>
                <w:rFonts w:eastAsia="Times New Roman" w:cs="Times New Roman"/>
                <w:sz w:val="20"/>
                <w:szCs w:val="20"/>
                <w:lang w:eastAsia="sk-SK"/>
              </w:rPr>
            </w:pPr>
            <w:r w:rsidRPr="008414B4">
              <w:rPr>
                <w:rFonts w:eastAsia="Times New Roman" w:cs="Times New Roman"/>
                <w:sz w:val="20"/>
                <w:szCs w:val="20"/>
                <w:lang w:eastAsia="sk-SK"/>
              </w:rPr>
              <w:t>9,4</w:t>
            </w:r>
          </w:p>
        </w:tc>
      </w:tr>
      <w:tr w:rsidR="006822D1" w:rsidRPr="008414B4" w14:paraId="2845E1FA" w14:textId="77777777" w:rsidTr="00280521">
        <w:trPr>
          <w:trHeight w:val="300"/>
        </w:trPr>
        <w:tc>
          <w:tcPr>
            <w:tcW w:w="1558" w:type="pct"/>
            <w:tcBorders>
              <w:top w:val="single" w:sz="4" w:space="0" w:color="auto"/>
              <w:left w:val="nil"/>
              <w:bottom w:val="single" w:sz="4" w:space="0" w:color="auto"/>
              <w:right w:val="nil"/>
            </w:tcBorders>
            <w:shd w:val="clear" w:color="auto" w:fill="auto"/>
            <w:noWrap/>
            <w:vAlign w:val="bottom"/>
            <w:hideMark/>
          </w:tcPr>
          <w:p w14:paraId="57E1FCCF" w14:textId="77777777" w:rsidR="006822D1" w:rsidRPr="008414B4" w:rsidRDefault="006822D1" w:rsidP="006822D1">
            <w:pPr>
              <w:spacing w:after="0" w:line="240" w:lineRule="auto"/>
              <w:jc w:val="left"/>
              <w:rPr>
                <w:rFonts w:eastAsia="Times New Roman" w:cs="Times New Roman"/>
                <w:b/>
                <w:bCs/>
                <w:sz w:val="20"/>
                <w:szCs w:val="20"/>
                <w:lang w:eastAsia="sk-SK"/>
              </w:rPr>
            </w:pPr>
            <w:r w:rsidRPr="008414B4">
              <w:rPr>
                <w:rFonts w:eastAsia="Times New Roman" w:cs="Times New Roman"/>
                <w:b/>
                <w:bCs/>
                <w:sz w:val="20"/>
                <w:szCs w:val="20"/>
                <w:lang w:eastAsia="sk-SK"/>
              </w:rPr>
              <w:t>Spolu</w:t>
            </w:r>
          </w:p>
        </w:tc>
        <w:tc>
          <w:tcPr>
            <w:tcW w:w="861" w:type="pct"/>
            <w:tcBorders>
              <w:top w:val="single" w:sz="4" w:space="0" w:color="auto"/>
              <w:left w:val="nil"/>
              <w:bottom w:val="single" w:sz="4" w:space="0" w:color="auto"/>
              <w:right w:val="nil"/>
            </w:tcBorders>
            <w:shd w:val="clear" w:color="auto" w:fill="auto"/>
            <w:noWrap/>
            <w:vAlign w:val="bottom"/>
            <w:hideMark/>
          </w:tcPr>
          <w:p w14:paraId="13AC874A" w14:textId="77777777" w:rsidR="006822D1" w:rsidRPr="008414B4" w:rsidRDefault="006822D1" w:rsidP="006822D1">
            <w:pPr>
              <w:spacing w:after="0" w:line="240" w:lineRule="auto"/>
              <w:jc w:val="right"/>
              <w:rPr>
                <w:rFonts w:eastAsia="Times New Roman" w:cs="Times New Roman"/>
                <w:b/>
                <w:bCs/>
                <w:sz w:val="20"/>
                <w:szCs w:val="20"/>
                <w:lang w:eastAsia="sk-SK"/>
              </w:rPr>
            </w:pPr>
            <w:r w:rsidRPr="008414B4">
              <w:rPr>
                <w:rFonts w:eastAsia="Times New Roman" w:cs="Times New Roman"/>
                <w:b/>
                <w:bCs/>
                <w:sz w:val="20"/>
                <w:szCs w:val="20"/>
                <w:lang w:eastAsia="sk-SK"/>
              </w:rPr>
              <w:t>100,0</w:t>
            </w:r>
          </w:p>
        </w:tc>
        <w:tc>
          <w:tcPr>
            <w:tcW w:w="870" w:type="pct"/>
            <w:tcBorders>
              <w:top w:val="single" w:sz="4" w:space="0" w:color="auto"/>
              <w:left w:val="nil"/>
              <w:bottom w:val="single" w:sz="4" w:space="0" w:color="auto"/>
              <w:right w:val="nil"/>
            </w:tcBorders>
            <w:shd w:val="clear" w:color="auto" w:fill="auto"/>
            <w:noWrap/>
            <w:vAlign w:val="bottom"/>
            <w:hideMark/>
          </w:tcPr>
          <w:p w14:paraId="5CCEDF8C" w14:textId="77777777" w:rsidR="006822D1" w:rsidRPr="008414B4" w:rsidRDefault="006822D1" w:rsidP="006822D1">
            <w:pPr>
              <w:spacing w:after="0" w:line="240" w:lineRule="auto"/>
              <w:jc w:val="right"/>
              <w:rPr>
                <w:rFonts w:eastAsia="Times New Roman" w:cs="Times New Roman"/>
                <w:b/>
                <w:bCs/>
                <w:sz w:val="20"/>
                <w:szCs w:val="20"/>
                <w:lang w:eastAsia="sk-SK"/>
              </w:rPr>
            </w:pPr>
            <w:r w:rsidRPr="008414B4">
              <w:rPr>
                <w:rFonts w:eastAsia="Times New Roman" w:cs="Times New Roman"/>
                <w:b/>
                <w:bCs/>
                <w:sz w:val="20"/>
                <w:szCs w:val="20"/>
                <w:lang w:eastAsia="sk-SK"/>
              </w:rPr>
              <w:t>100,0</w:t>
            </w:r>
          </w:p>
        </w:tc>
        <w:tc>
          <w:tcPr>
            <w:tcW w:w="850" w:type="pct"/>
            <w:tcBorders>
              <w:top w:val="single" w:sz="4" w:space="0" w:color="auto"/>
              <w:left w:val="nil"/>
              <w:bottom w:val="single" w:sz="4" w:space="0" w:color="auto"/>
              <w:right w:val="nil"/>
            </w:tcBorders>
            <w:shd w:val="clear" w:color="auto" w:fill="auto"/>
            <w:noWrap/>
            <w:vAlign w:val="bottom"/>
            <w:hideMark/>
          </w:tcPr>
          <w:p w14:paraId="0762EA82" w14:textId="77777777" w:rsidR="006822D1" w:rsidRPr="008414B4" w:rsidRDefault="006822D1" w:rsidP="006822D1">
            <w:pPr>
              <w:spacing w:after="0" w:line="240" w:lineRule="auto"/>
              <w:jc w:val="right"/>
              <w:rPr>
                <w:rFonts w:eastAsia="Times New Roman" w:cs="Times New Roman"/>
                <w:b/>
                <w:bCs/>
                <w:sz w:val="20"/>
                <w:szCs w:val="20"/>
                <w:lang w:eastAsia="sk-SK"/>
              </w:rPr>
            </w:pPr>
            <w:r w:rsidRPr="008414B4">
              <w:rPr>
                <w:rFonts w:eastAsia="Times New Roman" w:cs="Times New Roman"/>
                <w:b/>
                <w:bCs/>
                <w:sz w:val="20"/>
                <w:szCs w:val="20"/>
                <w:lang w:eastAsia="sk-SK"/>
              </w:rPr>
              <w:t>100,0</w:t>
            </w:r>
          </w:p>
        </w:tc>
        <w:tc>
          <w:tcPr>
            <w:tcW w:w="860" w:type="pct"/>
            <w:tcBorders>
              <w:top w:val="single" w:sz="4" w:space="0" w:color="auto"/>
              <w:left w:val="nil"/>
              <w:bottom w:val="single" w:sz="4" w:space="0" w:color="auto"/>
              <w:right w:val="nil"/>
            </w:tcBorders>
            <w:shd w:val="clear" w:color="000000" w:fill="BFBFBF"/>
            <w:noWrap/>
            <w:vAlign w:val="bottom"/>
            <w:hideMark/>
          </w:tcPr>
          <w:p w14:paraId="78CB3F3C" w14:textId="77777777" w:rsidR="006822D1" w:rsidRPr="008414B4" w:rsidRDefault="006822D1" w:rsidP="006822D1">
            <w:pPr>
              <w:spacing w:after="0" w:line="240" w:lineRule="auto"/>
              <w:jc w:val="right"/>
              <w:rPr>
                <w:rFonts w:eastAsia="Times New Roman" w:cs="Times New Roman"/>
                <w:b/>
                <w:bCs/>
                <w:sz w:val="20"/>
                <w:szCs w:val="20"/>
                <w:lang w:eastAsia="sk-SK"/>
              </w:rPr>
            </w:pPr>
            <w:r w:rsidRPr="008414B4">
              <w:rPr>
                <w:rFonts w:eastAsia="Times New Roman" w:cs="Times New Roman"/>
                <w:b/>
                <w:bCs/>
                <w:sz w:val="20"/>
                <w:szCs w:val="20"/>
                <w:lang w:eastAsia="sk-SK"/>
              </w:rPr>
              <w:t>100,0</w:t>
            </w:r>
          </w:p>
        </w:tc>
      </w:tr>
    </w:tbl>
    <w:p w14:paraId="1BFAECFE" w14:textId="77777777" w:rsidR="006822D1" w:rsidRPr="00194C83" w:rsidRDefault="006822D1" w:rsidP="006822D1">
      <w:pPr>
        <w:jc w:val="right"/>
        <w:rPr>
          <w:sz w:val="20"/>
          <w:szCs w:val="20"/>
          <w:highlight w:val="yellow"/>
        </w:rPr>
      </w:pPr>
      <w:r w:rsidRPr="008414B4">
        <w:rPr>
          <w:sz w:val="20"/>
          <w:szCs w:val="20"/>
        </w:rPr>
        <w:t>Zdroj: MF SR, ARDAL</w:t>
      </w:r>
    </w:p>
    <w:p w14:paraId="5532B33C" w14:textId="77777777" w:rsidR="006822D1" w:rsidRPr="00731DCF" w:rsidRDefault="006822D1" w:rsidP="006822D1">
      <w:pPr>
        <w:pStyle w:val="Nadpis3"/>
      </w:pPr>
      <w:bookmarkStart w:id="26" w:name="_Toc39095169"/>
      <w:r w:rsidRPr="00731DCF">
        <w:t>Maastrichtský dlh ostatných subjektov verejnej správy</w:t>
      </w:r>
      <w:bookmarkEnd w:id="26"/>
    </w:p>
    <w:p w14:paraId="1512EF7F" w14:textId="77777777" w:rsidR="006822D1" w:rsidRPr="00194C83" w:rsidRDefault="006822D1" w:rsidP="006822D1">
      <w:pPr>
        <w:rPr>
          <w:highlight w:val="yellow"/>
        </w:rPr>
      </w:pPr>
      <w:r w:rsidRPr="00731DCF">
        <w:t xml:space="preserve">Konsolidovaná hodnota maastrichtského dlhu ostatných subjektov verejnej správy k 31.12.2019 dosiahla 2 017 120 tis. eur. Bez akýchkoľvek úverov a pôžičiek boli ku koncu roka 2019 Slovenský pozemkový fond, Slovenská konsolidačná, a. s., Slovenské národné stredisko pre ľudské práva, Audiovizuálny fond, Úrad pre dohľad nad výkonom auditu, Tlačová agentúra Slovenskej republiky, </w:t>
      </w:r>
      <w:proofErr w:type="spellStart"/>
      <w:r w:rsidRPr="00731DCF">
        <w:t>Danubiana</w:t>
      </w:r>
      <w:proofErr w:type="spellEnd"/>
      <w:r w:rsidRPr="00731DCF">
        <w:t>, Recyklačný fond, Fond pre podporu vzdelávania, Fond na podporu umenia, Rada pre riešenie krízových situácií, Úrad komisára pre deti, Úrad komisára pre osoby so zdravotným postihnutím, Fond na podporu kultúry národnostných menšín, MH Invest, s. r. o. a Slovenská reštrukturalizačná, s. r. o. Nasledujúci opis dlhu zložiek verejnej správy je na nekonsolidovanej báze.</w:t>
      </w:r>
    </w:p>
    <w:p w14:paraId="127AA7CB" w14:textId="62F84202" w:rsidR="006822D1" w:rsidRPr="0096030E" w:rsidRDefault="006822D1" w:rsidP="006822D1">
      <w:r w:rsidRPr="0096030E">
        <w:t xml:space="preserve">Dlh </w:t>
      </w:r>
      <w:r w:rsidRPr="0096030E">
        <w:rPr>
          <w:b/>
        </w:rPr>
        <w:t xml:space="preserve">príspevkových organizácií ústrednej správy </w:t>
      </w:r>
      <w:r w:rsidRPr="0096030E">
        <w:t>dosiahol v roku 2019 hodnotu</w:t>
      </w:r>
      <w:r w:rsidRPr="0096030E">
        <w:rPr>
          <w:b/>
        </w:rPr>
        <w:t xml:space="preserve"> </w:t>
      </w:r>
      <w:r w:rsidRPr="0096030E">
        <w:t xml:space="preserve">1 733 tis. eur. Je tvorený zábezpekami v hodnote 1 452 tis. eur a finančným lízingom v hodnote 281 tis. eur. Oproti stavu dlhu v roku 2018 sa dlh v roku 2019 znížil o 14 421 tis. eur. </w:t>
      </w:r>
      <w:r>
        <w:t>Je</w:t>
      </w:r>
      <w:r w:rsidRPr="0096030E">
        <w:t xml:space="preserve"> to spôsobené splatením návratných finančných výpomocí, ktoré poskytlo Ministerstvo pôdohospodárstva a rozvoja vidieka SR Agentúre pre rozvoj vidieka a Národnému lesníckemu centru, pričom nové </w:t>
      </w:r>
      <w:r>
        <w:t xml:space="preserve">návratné finančné výpomoci </w:t>
      </w:r>
      <w:r w:rsidRPr="0096030E">
        <w:t>neboli poskytnuté. Vysoký stav dlhu v roku 201</w:t>
      </w:r>
      <w:r w:rsidR="00A73023">
        <w:t>8</w:t>
      </w:r>
      <w:r w:rsidRPr="0096030E">
        <w:t xml:space="preserve"> bol spôsobený zaradením </w:t>
      </w:r>
      <w:r w:rsidRPr="00C26A07">
        <w:t>dlhodobých záväzkov z obchodného styku a prijatých preddavkov do maastrichtského</w:t>
      </w:r>
      <w:r w:rsidR="00305F9B" w:rsidRPr="00C26A07">
        <w:t xml:space="preserve"> dlhu (na základe aplikácie </w:t>
      </w:r>
      <w:r w:rsidR="00C26A07">
        <w:t>nového</w:t>
      </w:r>
      <w:r w:rsidR="00305F9B" w:rsidRPr="00305F9B">
        <w:t xml:space="preserve"> </w:t>
      </w:r>
      <w:r w:rsidR="00305F9B">
        <w:t>m</w:t>
      </w:r>
      <w:r w:rsidRPr="0096030E">
        <w:t>anuálu o vládnom deficite a dlhu), ktoré</w:t>
      </w:r>
      <w:r>
        <w:t> </w:t>
      </w:r>
      <w:r w:rsidRPr="0096030E">
        <w:t>k 31.12.2018 dosiahli výšku 13 895 tis. eur. Tieto záväzky boli v pri</w:t>
      </w:r>
      <w:r>
        <w:t>e</w:t>
      </w:r>
      <w:r w:rsidRPr="0096030E">
        <w:t xml:space="preserve">behu roka 2019 uhradené v plnej miere a ku koncu roka 2019 </w:t>
      </w:r>
      <w:r>
        <w:t>je ich stav nulový</w:t>
      </w:r>
      <w:r w:rsidRPr="0096030E">
        <w:t>.</w:t>
      </w:r>
    </w:p>
    <w:p w14:paraId="0683C342" w14:textId="22CC2CEC" w:rsidR="006822D1" w:rsidRPr="00194C83" w:rsidRDefault="006822D1" w:rsidP="006822D1">
      <w:pPr>
        <w:rPr>
          <w:highlight w:val="yellow"/>
        </w:rPr>
      </w:pPr>
      <w:r w:rsidRPr="00447F08">
        <w:rPr>
          <w:b/>
        </w:rPr>
        <w:t xml:space="preserve">Exportno-importná banka Slovenskej republiky </w:t>
      </w:r>
      <w:r w:rsidRPr="00447F08">
        <w:t xml:space="preserve">prispela k zvýšeniu maastrichtského dlhu v roku 2019 sumou 124 462 tis. eur. Oproti </w:t>
      </w:r>
      <w:r w:rsidR="00A02569">
        <w:t>predchádzajúcemu</w:t>
      </w:r>
      <w:r w:rsidRPr="00447F08">
        <w:t xml:space="preserve"> roku dlh tohto subjektu vzrástol o 114 341 tis. eur. </w:t>
      </w:r>
      <w:r>
        <w:t>Nárast bol</w:t>
      </w:r>
      <w:r w:rsidRPr="00447F08">
        <w:t xml:space="preserve"> v podstatnej miere </w:t>
      </w:r>
      <w:r>
        <w:t>spôsobený</w:t>
      </w:r>
      <w:r w:rsidRPr="00447F08">
        <w:t xml:space="preserve"> načerpaním bankových úverov od Európskej investičnej banky v celkovej výške 50 000 tis. eur a od Slovenskej záručnej a rozvojovej banky vo výške 60 000 tis</w:t>
      </w:r>
      <w:r>
        <w:t>. eur. Z titulu postúpenej pohľadávky, teda záväzku voči bankovému subjektu, sa dlh Eximbanky zvýšil o 6 786 tis. eur. Záväzky voči klientom dosiahli k 31.12.2019 hodnotu 4 863 tis. eur a zábezpeky 32 tis. eur.</w:t>
      </w:r>
    </w:p>
    <w:p w14:paraId="07E66A69" w14:textId="77777777" w:rsidR="006822D1" w:rsidRPr="003F336D" w:rsidRDefault="006822D1" w:rsidP="006822D1">
      <w:r w:rsidRPr="003F336D">
        <w:rPr>
          <w:b/>
        </w:rPr>
        <w:t>Obchodné spoločnosti štátu</w:t>
      </w:r>
      <w:r w:rsidRPr="003F336D">
        <w:t xml:space="preserve"> (patriace do ústrednej správy) majú po štátnom dlhu najväčší podiel na konsolidovanom dlhu verejnej správy (1,6 %). Do skupiny obchodných spoločností štátu sú zaradené spoločnosti ako napríklad MH Manažment, a. s., MH Invest, s. r. o., MH Invest II, s. r. o., Jadrová a vyraďovacia spoločnosť, a. s., Železnice Slovenskej republiky, Železničná spoločnosť, a. s. a Národná diaľničná spoločnosť, a. s.</w:t>
      </w:r>
    </w:p>
    <w:p w14:paraId="2D8CF0CC" w14:textId="0D81BADF" w:rsidR="006822D1" w:rsidRPr="008D1377" w:rsidRDefault="006822D1" w:rsidP="006822D1">
      <w:r w:rsidRPr="008D1377">
        <w:t xml:space="preserve">Dlh </w:t>
      </w:r>
      <w:r w:rsidRPr="008D1377">
        <w:rPr>
          <w:b/>
        </w:rPr>
        <w:t>Železničnej spoločnosti Slovensko, a. s. (ŽSSK)</w:t>
      </w:r>
      <w:r w:rsidRPr="008D1377">
        <w:t>, ktorý dosiahol v roku 2019 hodnotu 455 337 tis. eur, medziročne vzrástol o 68 949 tis. eur z dôvodu čerpania nových úverov</w:t>
      </w:r>
      <w:r w:rsidR="00850FFD">
        <w:t xml:space="preserve">. Načerpanie prostriedkov je nevyhnuté pre </w:t>
      </w:r>
      <w:r w:rsidR="00C26A07">
        <w:t>financovanie zámerov</w:t>
      </w:r>
      <w:r w:rsidR="00850FFD">
        <w:t xml:space="preserve"> zrýchlenia a skvalitnenia osobnej dopravy, s čím sú spojené nároky na modernizáciu, obnovu a údržbu vozňov a rušňov</w:t>
      </w:r>
      <w:r w:rsidRPr="008D1377">
        <w:t>. Dlh ŽSSK tvoria v prevažnej miere bankové úvery od tuzemských veriteľov vo výške 430 781 tis. eur, dlhodobé finančné výpomoci od medzinárodnej spoločnosti EUROFIMA</w:t>
      </w:r>
      <w:r w:rsidR="00B90B86">
        <w:rPr>
          <w:rStyle w:val="Odkaznapoznmkupodiarou"/>
        </w:rPr>
        <w:footnoteReference w:id="19"/>
      </w:r>
      <w:r w:rsidRPr="008D1377">
        <w:t>, ktorých výška sa prostredníctvom splátok postupne znížila na hodnotu 24 106 tis. eur a krátkodobé zábezpeky v hodnote 450 tis. eur.</w:t>
      </w:r>
      <w:r w:rsidR="00D84794">
        <w:t xml:space="preserve"> </w:t>
      </w:r>
    </w:p>
    <w:p w14:paraId="12FE93DC" w14:textId="43A33B4D" w:rsidR="006822D1" w:rsidRPr="008D1377" w:rsidRDefault="006822D1" w:rsidP="006822D1">
      <w:r w:rsidRPr="008D1377">
        <w:t xml:space="preserve">Vývoj dlhu </w:t>
      </w:r>
      <w:r w:rsidRPr="008D1377">
        <w:rPr>
          <w:b/>
        </w:rPr>
        <w:t>Národnej diaľničnej spoločnosti, a. s.</w:t>
      </w:r>
      <w:r w:rsidR="00A64224">
        <w:rPr>
          <w:b/>
        </w:rPr>
        <w:t xml:space="preserve">, </w:t>
      </w:r>
      <w:r w:rsidR="00A64224" w:rsidRPr="00A64224">
        <w:t>ktorej hlavnou činnosťou je údržba a rozvoj diaľničnej siete</w:t>
      </w:r>
      <w:r w:rsidR="00A64224">
        <w:rPr>
          <w:b/>
        </w:rPr>
        <w:t>,</w:t>
      </w:r>
      <w:r w:rsidRPr="008D1377">
        <w:t xml:space="preserve"> mal pozitívny vplyv na maastrichtský dlh verejnej správy. Medziročný pokles dlhu o 41 865 tis. eur na úroveň 127 370 tis. eur bol spôsobený splácaním </w:t>
      </w:r>
      <w:r w:rsidR="00C26A07">
        <w:t xml:space="preserve">predchádzajúcich </w:t>
      </w:r>
      <w:r w:rsidRPr="008D1377">
        <w:t>bankových úverov</w:t>
      </w:r>
      <w:r w:rsidR="00C26A07">
        <w:t xml:space="preserve"> (d</w:t>
      </w:r>
      <w:r w:rsidRPr="008D1377">
        <w:t>osiahli výšku 111 532 tis. eur</w:t>
      </w:r>
      <w:r w:rsidR="00C26A07">
        <w:t>)</w:t>
      </w:r>
      <w:r w:rsidRPr="008D1377">
        <w:t xml:space="preserve">. Zvyšných 3 366 tis. eur pripadá na krátkodobé zábezpeky </w:t>
      </w:r>
      <w:r>
        <w:t xml:space="preserve">a </w:t>
      </w:r>
      <w:r w:rsidRPr="008D1377">
        <w:t>dlhodobé záväzky z obchodného styku</w:t>
      </w:r>
      <w:r>
        <w:t xml:space="preserve"> a prijaté preddavky</w:t>
      </w:r>
      <w:r w:rsidRPr="008D1377">
        <w:t>, ktorých stav sa oproti minulému roku znížil o 5 965 tis. eur na súčasnú hodnotu 12 472 tis. eur.</w:t>
      </w:r>
    </w:p>
    <w:p w14:paraId="4B7B18EA" w14:textId="6072B720" w:rsidR="006822D1" w:rsidRPr="00194C83" w:rsidRDefault="006822D1" w:rsidP="006822D1">
      <w:pPr>
        <w:rPr>
          <w:b/>
          <w:highlight w:val="yellow"/>
        </w:rPr>
      </w:pPr>
      <w:r w:rsidRPr="00EF6797">
        <w:t xml:space="preserve">Dlh </w:t>
      </w:r>
      <w:r w:rsidRPr="00EF6797">
        <w:rPr>
          <w:b/>
        </w:rPr>
        <w:t>Železníc Slovenskej republiky (ŽSR)</w:t>
      </w:r>
      <w:r w:rsidR="00AF5529">
        <w:rPr>
          <w:b/>
        </w:rPr>
        <w:t xml:space="preserve">, </w:t>
      </w:r>
      <w:r w:rsidR="00AF5529" w:rsidRPr="00AF5529">
        <w:t>ktoré spravujú železničnú infraštruktúru vo vlastníctve štátu a zabezpečujú prepravné a </w:t>
      </w:r>
      <w:r w:rsidR="00AF5529">
        <w:t>doprav</w:t>
      </w:r>
      <w:r w:rsidR="00AF5529" w:rsidRPr="00AF5529">
        <w:t>né služby,</w:t>
      </w:r>
      <w:r w:rsidRPr="00EF6797">
        <w:rPr>
          <w:b/>
        </w:rPr>
        <w:t xml:space="preserve"> </w:t>
      </w:r>
      <w:r w:rsidRPr="00EF6797">
        <w:t xml:space="preserve">dosiahol v roku 2019 hodnotu 131 080 tis. eur, čo je o 47 862 tis. eur viac </w:t>
      </w:r>
      <w:r>
        <w:t xml:space="preserve">oproti stavu </w:t>
      </w:r>
      <w:r w:rsidRPr="00EF6797">
        <w:t xml:space="preserve">v roku 2018. </w:t>
      </w:r>
      <w:r>
        <w:t>Dlh predstavujú v prevažnej miere dlhodobé bankové úvery od tuzemských veriteľov vo výške 107 741 tis. eur, ktorých hodnota sa oproti minulému</w:t>
      </w:r>
      <w:r w:rsidR="00C26A07">
        <w:t xml:space="preserve"> roku zvýšila o 45 000 tis. eur</w:t>
      </w:r>
      <w:r>
        <w:t xml:space="preserve"> z dôvodu čerpania nových úverov. Zvyšnú časť dlhu tvoria krátkodobé zábezpeky vo výške 2 201 tis. eur a dlhodobé záväzky z obchodného styku a prijaté preddavky, ktorých stav oproti minulému roku vzrástol o 1 501 tis. eur na súčasných 21 138 tis. eur.</w:t>
      </w:r>
      <w:r w:rsidR="00C26A07">
        <w:t xml:space="preserve"> ŽSR obdobne ako NDS financuje úvermi rozvoj a obnovu dopravnej </w:t>
      </w:r>
      <w:r w:rsidR="00961CC4">
        <w:t>infraštruktúry, v jej prípade koľajovú infraštruktúru (pri rýchlosť 160 km/h), vlakové stanice</w:t>
      </w:r>
      <w:r w:rsidR="00AD2C5F">
        <w:t>, nástupištia</w:t>
      </w:r>
      <w:r w:rsidR="00961CC4">
        <w:t xml:space="preserve"> a </w:t>
      </w:r>
      <w:r w:rsidR="00AD2C5F">
        <w:t>ďalšie</w:t>
      </w:r>
      <w:r w:rsidR="00961CC4">
        <w:t xml:space="preserve"> prislúchajúce objekty. </w:t>
      </w:r>
    </w:p>
    <w:p w14:paraId="4C77B97A" w14:textId="77777777" w:rsidR="006822D1" w:rsidRPr="00D42CA8" w:rsidRDefault="006822D1" w:rsidP="006822D1">
      <w:r w:rsidRPr="00D42CA8">
        <w:t xml:space="preserve">Dlh spoločnosti </w:t>
      </w:r>
      <w:r w:rsidRPr="00D42CA8">
        <w:rPr>
          <w:b/>
        </w:rPr>
        <w:t>MH Manažment, a. s.,</w:t>
      </w:r>
      <w:r w:rsidRPr="00D42CA8">
        <w:t xml:space="preserve"> ktorý vznikol z emisie dlhopisov Fondu národného majetku v roku 1996, predstavuje 15 214 tis. eur. Oproti roku 2018 sa úroveň dlhu nezmenila.</w:t>
      </w:r>
    </w:p>
    <w:p w14:paraId="28134973" w14:textId="77777777" w:rsidR="006822D1" w:rsidRPr="00D42CA8" w:rsidRDefault="006822D1" w:rsidP="006822D1">
      <w:r w:rsidRPr="00D42CA8">
        <w:t>Dlh spoločnosti</w:t>
      </w:r>
      <w:r w:rsidRPr="00D42CA8">
        <w:rPr>
          <w:b/>
        </w:rPr>
        <w:t xml:space="preserve"> MH Invest II, s. r. o</w:t>
      </w:r>
      <w:r w:rsidRPr="00D42CA8">
        <w:t>. tvorí v prevažnej miere návratná finančná výpomoc poskytnutá zo štátneho rozpočtu vo výške 2 720 tis. eur, ktorá bola prevedená zo spoločnosti MH Invest, s. r. o. Krátkodobé zábezpeky v hodnote 10 tis. eur predstavujú zvyšnú časť dlhu.</w:t>
      </w:r>
    </w:p>
    <w:p w14:paraId="06F5893D" w14:textId="77777777" w:rsidR="006822D1" w:rsidRPr="00D42CA8" w:rsidRDefault="006822D1" w:rsidP="006822D1">
      <w:r w:rsidRPr="00D42CA8">
        <w:rPr>
          <w:b/>
        </w:rPr>
        <w:t xml:space="preserve">Jadrová a vyraďovacia spoločnosť, a. s., </w:t>
      </w:r>
      <w:r w:rsidRPr="00D42CA8">
        <w:t>spôsobila zvýšenie maastrichtského dlhu verejnej správy o 8 975 tis. eur, z čoho podstatnú časť predstavujú dlhodobé záväzky z obchodného styku a prijaté preddavky vo výške 7 000 tis. eur, 1 972</w:t>
      </w:r>
      <w:r>
        <w:t> tis. eur predstavujú zábezpeky a</w:t>
      </w:r>
      <w:r w:rsidRPr="00D42CA8">
        <w:t xml:space="preserve"> zvyšné 3 tis. eur tvorí bankový úver.</w:t>
      </w:r>
    </w:p>
    <w:p w14:paraId="149E8F14" w14:textId="77777777" w:rsidR="006822D1" w:rsidRPr="00620CA5" w:rsidRDefault="006822D1" w:rsidP="006822D1">
      <w:r w:rsidRPr="00620CA5">
        <w:t xml:space="preserve">Dlh </w:t>
      </w:r>
      <w:r w:rsidRPr="00620CA5">
        <w:rPr>
          <w:b/>
        </w:rPr>
        <w:t>verejných vysokých škôl</w:t>
      </w:r>
      <w:r w:rsidRPr="00620CA5">
        <w:t xml:space="preserve"> sa oproti predchádzajúcemu roku znížil o 114 tis. eur. Z celkovej výšky 5 439 tis. eur, 2 084 tis. eur pripadá na bankové úvery poskytnuté tuzemskými bankami, 983 tis. eur tvoria prevažne krátkodobé zábezpeky a 72 tis. eur predstavuje dlhodobý finančný prenájom. Záväzok vo forme návratnej finančnej výpomoci poskytnutej zo štátneho rozpočtu </w:t>
      </w:r>
      <w:r>
        <w:t xml:space="preserve">Univerzite Pavla Jozefa Šafárika v Košiciach </w:t>
      </w:r>
      <w:r w:rsidRPr="00620CA5">
        <w:t>sa z pôvodných 3 000 tis. eur postupných splácaním znížil na 2 300 tis. eur.</w:t>
      </w:r>
    </w:p>
    <w:p w14:paraId="21E3A24C" w14:textId="749353AD" w:rsidR="006822D1" w:rsidRPr="00194C83" w:rsidRDefault="006822D1" w:rsidP="006822D1">
      <w:pPr>
        <w:rPr>
          <w:highlight w:val="yellow"/>
        </w:rPr>
      </w:pPr>
      <w:r w:rsidRPr="0038394B">
        <w:t xml:space="preserve">Dlh </w:t>
      </w:r>
      <w:r w:rsidRPr="0038394B">
        <w:rPr>
          <w:b/>
        </w:rPr>
        <w:t>ústredných zdravotníckych zariadení</w:t>
      </w:r>
      <w:r w:rsidRPr="0038394B">
        <w:t xml:space="preserve"> medziročne vzrástol oproti stavu za rok 2018 o </w:t>
      </w:r>
      <w:r>
        <w:t>27</w:t>
      </w:r>
      <w:r w:rsidRPr="0038394B">
        <w:t> </w:t>
      </w:r>
      <w:r>
        <w:t>317</w:t>
      </w:r>
      <w:r w:rsidRPr="0038394B">
        <w:t> tis. eur. Dlh vo výške 179 535 tis. eur tvoria v rozhodujúcej miere pôžičky od</w:t>
      </w:r>
      <w:r w:rsidR="001C3737">
        <w:t> </w:t>
      </w:r>
      <w:r w:rsidRPr="0038394B">
        <w:t xml:space="preserve">nebankových subjektov vo výške 127 398 tis. eur. Stav </w:t>
      </w:r>
      <w:r>
        <w:t>týchto pôžičiek sa oproti min</w:t>
      </w:r>
      <w:r w:rsidRPr="0038394B">
        <w:t xml:space="preserve">ulému roku zvýšil o 5 244 tis. eur. </w:t>
      </w:r>
      <w:r>
        <w:t>Dlh ústredných zdravotníckych zariadení ďalej tvoria bankové úvery, ktorých stav medziročne vzrástol o 23 726 tis. eur na úroveň 45 913 tis. eur</w:t>
      </w:r>
      <w:r w:rsidR="00F51AD0">
        <w:t xml:space="preserve"> (</w:t>
      </w:r>
      <w:r w:rsidR="00401151">
        <w:t xml:space="preserve">napr. </w:t>
      </w:r>
      <w:r w:rsidR="003A599A">
        <w:t xml:space="preserve">Národný ústav srdcových a cievnych chorôb, a. s. čerpal </w:t>
      </w:r>
      <w:r w:rsidR="00F51AD0">
        <w:t>bankový úver vo výške 19 506 tis. eur</w:t>
      </w:r>
      <w:r>
        <w:t xml:space="preserve">, </w:t>
      </w:r>
      <w:r w:rsidR="00F51AD0">
        <w:t xml:space="preserve">Stredoslovenský ústav srdcových a cievnych chorôb, a. s. </w:t>
      </w:r>
      <w:r w:rsidR="00401151">
        <w:t xml:space="preserve">čerpal bankový úver </w:t>
      </w:r>
      <w:r w:rsidR="00F51AD0">
        <w:t>vo výške 13 216 tis. eur</w:t>
      </w:r>
      <w:r w:rsidR="003A599A">
        <w:t>),</w:t>
      </w:r>
      <w:r w:rsidR="00F51AD0">
        <w:t xml:space="preserve"> </w:t>
      </w:r>
      <w:r>
        <w:t xml:space="preserve">zábezpeky vo výške 2 453 tis. eur, návratné finančné výpomoci vo </w:t>
      </w:r>
      <w:r w:rsidR="003A599A">
        <w:t>hodnote</w:t>
      </w:r>
      <w:r>
        <w:t xml:space="preserve"> 1 828 tis. eur a finančný prenájom vo výške  93 tis. eur. Dlhodobé záväzky z obchodného styku a prijaté preddavky zvyšujú úroveň dlhu ústredných zdravotníckych zariadení o 1 850 tis. eur.</w:t>
      </w:r>
    </w:p>
    <w:p w14:paraId="34D601A5" w14:textId="77777777" w:rsidR="006822D1" w:rsidRPr="007F04EA" w:rsidRDefault="006822D1" w:rsidP="006822D1">
      <w:r w:rsidRPr="007F04EA">
        <w:rPr>
          <w:b/>
        </w:rPr>
        <w:t>Ostatné subjekty verejnej správy</w:t>
      </w:r>
      <w:r w:rsidRPr="007F04EA">
        <w:t xml:space="preserve"> vykazujú dlh vo výške 367 527 tis. eur, pričom takmer celú hodnotu tvorí dlh </w:t>
      </w:r>
      <w:r w:rsidRPr="007F04EA">
        <w:rPr>
          <w:b/>
        </w:rPr>
        <w:t xml:space="preserve">Agentúry pre núdzové zásoby ropy a ropných výrobkov </w:t>
      </w:r>
      <w:r w:rsidRPr="007F04EA">
        <w:t>v podobe návratnej finančnej výpomoci zo štátnych finančných aktív vo výške 365 000 tis. eur. Jej úroveň oproti stavu v roku 2018 klesla o 45 000 tis. eur, z dôvodu úhrady splátky. Finančná výpomoc je na úrovni celej verejnej správy predmetom konsolidácie.</w:t>
      </w:r>
    </w:p>
    <w:p w14:paraId="1109EE16" w14:textId="05DE4526" w:rsidR="006822D1" w:rsidRDefault="006822D1" w:rsidP="006822D1">
      <w:pPr>
        <w:rPr>
          <w:highlight w:val="yellow"/>
        </w:rPr>
      </w:pPr>
      <w:r w:rsidRPr="009634AF">
        <w:t xml:space="preserve">Dlh </w:t>
      </w:r>
      <w:r w:rsidRPr="009634AF">
        <w:rPr>
          <w:b/>
        </w:rPr>
        <w:t xml:space="preserve">obcí </w:t>
      </w:r>
      <w:r w:rsidRPr="009634AF">
        <w:t>(vrátane ich rozpočtových organizácií)</w:t>
      </w:r>
      <w:r w:rsidRPr="009634AF">
        <w:rPr>
          <w:b/>
        </w:rPr>
        <w:t xml:space="preserve"> </w:t>
      </w:r>
      <w:r w:rsidRPr="009634AF">
        <w:t>dosiahol v roku 2019 výšku 1 490 908 tis. eur. Oproti stavu v roku 2018 bol vyšší o</w:t>
      </w:r>
      <w:r>
        <w:t> 18 006 </w:t>
      </w:r>
      <w:r w:rsidRPr="009634AF">
        <w:t xml:space="preserve">tis. eur. </w:t>
      </w:r>
      <w:r w:rsidRPr="00B30A84">
        <w:t>Rozhodujúcu časť dlhu obcí tvoria bankové úvery a iné pôžičky vo výške 1 487 818 tis. eur, pričom 743 561 tis. eur poskytol Štátny fond rozvoja bývania a 948 tis. eur Environmentálny fond. Mestám Košice (15 200 tis. eur), Bratislava časť Staré Mesto (2 000 tis. eur), Martin (1 750 tis. eur), Bardejov (800 tis. eur) a Kežmarok 3 500 tis. eur boli poskytnuté návratné finančné výpomoci zo štátnych finančných aktív. Úvery poskytnuté zo Štátneho fondu rozvoja bývania, z Environmentálneho fondu, zo štátneho rozpočtu a návratné finančné výpomoci podliehajú konsolidácii. Z hľadiska splatnosti má dlh obcí prevažne dlhodobý charakter (97,3 %) a prevažná časť dlhu obcí je v rukách domácich veriteľov (96,7 %).</w:t>
      </w:r>
    </w:p>
    <w:tbl>
      <w:tblPr>
        <w:tblW w:w="5000" w:type="pct"/>
        <w:tblLayout w:type="fixed"/>
        <w:tblCellMar>
          <w:left w:w="70" w:type="dxa"/>
          <w:right w:w="70" w:type="dxa"/>
        </w:tblCellMar>
        <w:tblLook w:val="04A0" w:firstRow="1" w:lastRow="0" w:firstColumn="1" w:lastColumn="0" w:noHBand="0" w:noVBand="1"/>
      </w:tblPr>
      <w:tblGrid>
        <w:gridCol w:w="4330"/>
        <w:gridCol w:w="1119"/>
        <w:gridCol w:w="1119"/>
        <w:gridCol w:w="1117"/>
        <w:gridCol w:w="818"/>
      </w:tblGrid>
      <w:tr w:rsidR="006071C9" w:rsidRPr="006071C9" w14:paraId="4D97E835" w14:textId="77777777" w:rsidTr="006071C9">
        <w:trPr>
          <w:trHeight w:val="424"/>
        </w:trPr>
        <w:tc>
          <w:tcPr>
            <w:tcW w:w="5000" w:type="pct"/>
            <w:gridSpan w:val="5"/>
            <w:tcBorders>
              <w:top w:val="single" w:sz="4" w:space="0" w:color="auto"/>
              <w:left w:val="nil"/>
              <w:bottom w:val="single" w:sz="4" w:space="0" w:color="auto"/>
              <w:right w:val="nil"/>
            </w:tcBorders>
            <w:shd w:val="clear" w:color="000000" w:fill="000000"/>
            <w:noWrap/>
            <w:vAlign w:val="center"/>
            <w:hideMark/>
          </w:tcPr>
          <w:p w14:paraId="18B75DD8" w14:textId="222F9EDF" w:rsidR="006071C9" w:rsidRPr="006071C9" w:rsidRDefault="006071C9" w:rsidP="006071C9">
            <w:pPr>
              <w:spacing w:after="0" w:line="240" w:lineRule="auto"/>
              <w:jc w:val="left"/>
              <w:rPr>
                <w:rFonts w:eastAsia="Times New Roman" w:cs="Times New Roman"/>
                <w:b/>
                <w:bCs/>
                <w:color w:val="FFFFFF"/>
                <w:sz w:val="20"/>
                <w:szCs w:val="20"/>
                <w:lang w:eastAsia="sk-SK"/>
              </w:rPr>
            </w:pPr>
            <w:r w:rsidRPr="006071C9">
              <w:rPr>
                <w:rFonts w:eastAsia="Times New Roman" w:cs="Times New Roman"/>
                <w:b/>
                <w:bCs/>
                <w:color w:val="FFFFFF"/>
                <w:sz w:val="20"/>
                <w:szCs w:val="20"/>
                <w:lang w:eastAsia="sk-SK"/>
              </w:rPr>
              <w:t>Dlh obcí podľa dlhového nástroja</w:t>
            </w:r>
            <w:r>
              <w:rPr>
                <w:rFonts w:eastAsia="Times New Roman" w:cs="Times New Roman"/>
                <w:b/>
                <w:bCs/>
                <w:color w:val="FFFFFF"/>
                <w:sz w:val="20"/>
                <w:szCs w:val="20"/>
                <w:lang w:eastAsia="sk-SK"/>
              </w:rPr>
              <w:t xml:space="preserve">                                                                                           </w:t>
            </w:r>
            <w:r w:rsidRPr="006071C9">
              <w:rPr>
                <w:rFonts w:eastAsia="Times New Roman" w:cs="Times New Roman"/>
                <w:b/>
                <w:bCs/>
                <w:color w:val="FFFFFF"/>
                <w:sz w:val="20"/>
                <w:szCs w:val="20"/>
                <w:lang w:eastAsia="sk-SK"/>
              </w:rPr>
              <w:t>v tis. eur</w:t>
            </w:r>
          </w:p>
        </w:tc>
      </w:tr>
      <w:tr w:rsidR="006822D1" w:rsidRPr="006071C9" w14:paraId="529EE537" w14:textId="77777777" w:rsidTr="006071C9">
        <w:trPr>
          <w:trHeight w:val="300"/>
        </w:trPr>
        <w:tc>
          <w:tcPr>
            <w:tcW w:w="2546" w:type="pct"/>
            <w:tcBorders>
              <w:top w:val="single" w:sz="4" w:space="0" w:color="auto"/>
              <w:left w:val="nil"/>
              <w:bottom w:val="nil"/>
              <w:right w:val="nil"/>
            </w:tcBorders>
            <w:shd w:val="clear" w:color="000000" w:fill="BFBFBF"/>
            <w:vAlign w:val="center"/>
            <w:hideMark/>
          </w:tcPr>
          <w:p w14:paraId="57B410B2" w14:textId="77777777" w:rsidR="006822D1" w:rsidRPr="006071C9" w:rsidRDefault="006822D1" w:rsidP="006822D1">
            <w:pPr>
              <w:spacing w:after="0" w:line="240" w:lineRule="auto"/>
              <w:rPr>
                <w:rFonts w:eastAsia="Times New Roman" w:cs="Times New Roman"/>
                <w:b/>
                <w:bCs/>
                <w:sz w:val="20"/>
                <w:szCs w:val="20"/>
                <w:lang w:eastAsia="sk-SK"/>
              </w:rPr>
            </w:pPr>
            <w:r w:rsidRPr="006071C9">
              <w:rPr>
                <w:rFonts w:eastAsia="Times New Roman" w:cs="Times New Roman"/>
                <w:b/>
                <w:bCs/>
                <w:sz w:val="20"/>
                <w:szCs w:val="20"/>
                <w:lang w:eastAsia="sk-SK"/>
              </w:rPr>
              <w:t> </w:t>
            </w:r>
          </w:p>
        </w:tc>
        <w:tc>
          <w:tcPr>
            <w:tcW w:w="658" w:type="pct"/>
            <w:tcBorders>
              <w:top w:val="single" w:sz="4" w:space="0" w:color="auto"/>
              <w:left w:val="nil"/>
              <w:bottom w:val="nil"/>
              <w:right w:val="nil"/>
            </w:tcBorders>
            <w:shd w:val="clear" w:color="000000" w:fill="BFBFBF"/>
            <w:vAlign w:val="center"/>
            <w:hideMark/>
          </w:tcPr>
          <w:p w14:paraId="31F15588"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k 31.12.2017</w:t>
            </w:r>
          </w:p>
        </w:tc>
        <w:tc>
          <w:tcPr>
            <w:tcW w:w="658" w:type="pct"/>
            <w:tcBorders>
              <w:top w:val="single" w:sz="4" w:space="0" w:color="auto"/>
              <w:left w:val="nil"/>
              <w:bottom w:val="nil"/>
              <w:right w:val="nil"/>
            </w:tcBorders>
            <w:shd w:val="clear" w:color="000000" w:fill="BFBFBF"/>
            <w:vAlign w:val="center"/>
            <w:hideMark/>
          </w:tcPr>
          <w:p w14:paraId="126B0638"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k 31.12.2018</w:t>
            </w:r>
          </w:p>
        </w:tc>
        <w:tc>
          <w:tcPr>
            <w:tcW w:w="657" w:type="pct"/>
            <w:tcBorders>
              <w:top w:val="single" w:sz="4" w:space="0" w:color="auto"/>
              <w:left w:val="nil"/>
              <w:bottom w:val="nil"/>
              <w:right w:val="nil"/>
            </w:tcBorders>
            <w:shd w:val="clear" w:color="000000" w:fill="BFBFBF"/>
            <w:vAlign w:val="center"/>
            <w:hideMark/>
          </w:tcPr>
          <w:p w14:paraId="2EDA5495"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k 31.12.2019</w:t>
            </w:r>
          </w:p>
        </w:tc>
        <w:tc>
          <w:tcPr>
            <w:tcW w:w="481" w:type="pct"/>
            <w:tcBorders>
              <w:top w:val="single" w:sz="4" w:space="0" w:color="auto"/>
              <w:left w:val="nil"/>
              <w:bottom w:val="nil"/>
              <w:right w:val="nil"/>
            </w:tcBorders>
            <w:shd w:val="clear" w:color="000000" w:fill="BFBFBF"/>
            <w:vAlign w:val="center"/>
            <w:hideMark/>
          </w:tcPr>
          <w:p w14:paraId="08EBA17D"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Zmena</w:t>
            </w:r>
          </w:p>
        </w:tc>
      </w:tr>
      <w:tr w:rsidR="006822D1" w:rsidRPr="006071C9" w14:paraId="03B8B3BF" w14:textId="77777777" w:rsidTr="006071C9">
        <w:trPr>
          <w:trHeight w:val="300"/>
        </w:trPr>
        <w:tc>
          <w:tcPr>
            <w:tcW w:w="2546" w:type="pct"/>
            <w:tcBorders>
              <w:top w:val="nil"/>
              <w:left w:val="nil"/>
              <w:bottom w:val="single" w:sz="4" w:space="0" w:color="auto"/>
              <w:right w:val="nil"/>
            </w:tcBorders>
            <w:shd w:val="clear" w:color="000000" w:fill="BFBFBF"/>
            <w:vAlign w:val="center"/>
            <w:hideMark/>
          </w:tcPr>
          <w:p w14:paraId="34CC60A6" w14:textId="77777777" w:rsidR="006822D1" w:rsidRPr="006071C9" w:rsidRDefault="006822D1" w:rsidP="006822D1">
            <w:pPr>
              <w:spacing w:after="0" w:line="240" w:lineRule="auto"/>
              <w:rPr>
                <w:rFonts w:eastAsia="Times New Roman" w:cs="Times New Roman"/>
                <w:b/>
                <w:bCs/>
                <w:sz w:val="20"/>
                <w:szCs w:val="20"/>
                <w:lang w:eastAsia="sk-SK"/>
              </w:rPr>
            </w:pPr>
            <w:r w:rsidRPr="006071C9">
              <w:rPr>
                <w:rFonts w:eastAsia="Times New Roman" w:cs="Times New Roman"/>
                <w:b/>
                <w:bCs/>
                <w:sz w:val="20"/>
                <w:szCs w:val="20"/>
                <w:lang w:eastAsia="sk-SK"/>
              </w:rPr>
              <w:t> </w:t>
            </w:r>
          </w:p>
        </w:tc>
        <w:tc>
          <w:tcPr>
            <w:tcW w:w="658" w:type="pct"/>
            <w:tcBorders>
              <w:top w:val="nil"/>
              <w:left w:val="nil"/>
              <w:bottom w:val="single" w:sz="4" w:space="0" w:color="auto"/>
              <w:right w:val="nil"/>
            </w:tcBorders>
            <w:shd w:val="clear" w:color="000000" w:fill="BFBFBF"/>
            <w:vAlign w:val="center"/>
            <w:hideMark/>
          </w:tcPr>
          <w:p w14:paraId="1FA488D6"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1</w:t>
            </w:r>
          </w:p>
        </w:tc>
        <w:tc>
          <w:tcPr>
            <w:tcW w:w="658" w:type="pct"/>
            <w:tcBorders>
              <w:top w:val="nil"/>
              <w:left w:val="nil"/>
              <w:bottom w:val="single" w:sz="4" w:space="0" w:color="auto"/>
              <w:right w:val="nil"/>
            </w:tcBorders>
            <w:shd w:val="clear" w:color="000000" w:fill="BFBFBF"/>
            <w:vAlign w:val="center"/>
            <w:hideMark/>
          </w:tcPr>
          <w:p w14:paraId="06224CFE"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2</w:t>
            </w:r>
          </w:p>
        </w:tc>
        <w:tc>
          <w:tcPr>
            <w:tcW w:w="657" w:type="pct"/>
            <w:tcBorders>
              <w:top w:val="nil"/>
              <w:left w:val="nil"/>
              <w:bottom w:val="single" w:sz="4" w:space="0" w:color="auto"/>
              <w:right w:val="nil"/>
            </w:tcBorders>
            <w:shd w:val="clear" w:color="000000" w:fill="BFBFBF"/>
            <w:vAlign w:val="center"/>
            <w:hideMark/>
          </w:tcPr>
          <w:p w14:paraId="6CF0582E"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3</w:t>
            </w:r>
          </w:p>
        </w:tc>
        <w:tc>
          <w:tcPr>
            <w:tcW w:w="481" w:type="pct"/>
            <w:tcBorders>
              <w:top w:val="nil"/>
              <w:left w:val="nil"/>
              <w:bottom w:val="single" w:sz="4" w:space="0" w:color="auto"/>
              <w:right w:val="nil"/>
            </w:tcBorders>
            <w:shd w:val="clear" w:color="000000" w:fill="BFBFBF"/>
            <w:vAlign w:val="center"/>
            <w:hideMark/>
          </w:tcPr>
          <w:p w14:paraId="5B73C77B" w14:textId="77777777" w:rsidR="006822D1" w:rsidRPr="006071C9" w:rsidRDefault="006822D1" w:rsidP="006822D1">
            <w:pPr>
              <w:spacing w:after="0" w:line="240" w:lineRule="auto"/>
              <w:jc w:val="center"/>
              <w:rPr>
                <w:rFonts w:eastAsia="Times New Roman" w:cs="Times New Roman"/>
                <w:b/>
                <w:bCs/>
                <w:sz w:val="20"/>
                <w:szCs w:val="20"/>
                <w:lang w:eastAsia="sk-SK"/>
              </w:rPr>
            </w:pPr>
            <w:r w:rsidRPr="006071C9">
              <w:rPr>
                <w:rFonts w:eastAsia="Times New Roman" w:cs="Times New Roman"/>
                <w:b/>
                <w:bCs/>
                <w:sz w:val="20"/>
                <w:szCs w:val="20"/>
                <w:lang w:eastAsia="sk-SK"/>
              </w:rPr>
              <w:t>4=(3-2)</w:t>
            </w:r>
          </w:p>
        </w:tc>
      </w:tr>
      <w:tr w:rsidR="00DF52A4" w:rsidRPr="006071C9" w14:paraId="78B35D90" w14:textId="77777777" w:rsidTr="0044781D">
        <w:trPr>
          <w:trHeight w:val="300"/>
        </w:trPr>
        <w:tc>
          <w:tcPr>
            <w:tcW w:w="2546" w:type="pct"/>
            <w:tcBorders>
              <w:top w:val="nil"/>
              <w:left w:val="nil"/>
              <w:bottom w:val="nil"/>
              <w:right w:val="nil"/>
            </w:tcBorders>
            <w:shd w:val="clear" w:color="auto" w:fill="auto"/>
            <w:noWrap/>
            <w:vAlign w:val="bottom"/>
            <w:hideMark/>
          </w:tcPr>
          <w:p w14:paraId="27C13DC1" w14:textId="77777777" w:rsidR="00DF52A4" w:rsidRPr="006071C9" w:rsidRDefault="00DF52A4"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Pôžičky zo ŠFRB (konsoliduje sa)</w:t>
            </w:r>
          </w:p>
        </w:tc>
        <w:tc>
          <w:tcPr>
            <w:tcW w:w="658" w:type="pct"/>
            <w:tcBorders>
              <w:top w:val="nil"/>
              <w:left w:val="nil"/>
              <w:bottom w:val="nil"/>
              <w:right w:val="nil"/>
            </w:tcBorders>
            <w:shd w:val="clear" w:color="auto" w:fill="auto"/>
            <w:noWrap/>
            <w:vAlign w:val="bottom"/>
            <w:hideMark/>
          </w:tcPr>
          <w:p w14:paraId="3B6AD0D5"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715 340</w:t>
            </w:r>
          </w:p>
        </w:tc>
        <w:tc>
          <w:tcPr>
            <w:tcW w:w="658" w:type="pct"/>
            <w:tcBorders>
              <w:top w:val="nil"/>
              <w:left w:val="nil"/>
              <w:bottom w:val="nil"/>
              <w:right w:val="nil"/>
            </w:tcBorders>
            <w:shd w:val="clear" w:color="auto" w:fill="auto"/>
            <w:noWrap/>
            <w:vAlign w:val="bottom"/>
            <w:hideMark/>
          </w:tcPr>
          <w:p w14:paraId="0BDA4C4E"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728 099</w:t>
            </w:r>
          </w:p>
        </w:tc>
        <w:tc>
          <w:tcPr>
            <w:tcW w:w="657" w:type="pct"/>
            <w:tcBorders>
              <w:top w:val="nil"/>
              <w:left w:val="nil"/>
              <w:bottom w:val="nil"/>
              <w:right w:val="nil"/>
            </w:tcBorders>
            <w:shd w:val="clear" w:color="000000" w:fill="BFBFBF"/>
            <w:noWrap/>
            <w:vAlign w:val="bottom"/>
            <w:hideMark/>
          </w:tcPr>
          <w:p w14:paraId="50AE0668"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743 561</w:t>
            </w:r>
          </w:p>
        </w:tc>
        <w:tc>
          <w:tcPr>
            <w:tcW w:w="481" w:type="pct"/>
            <w:tcBorders>
              <w:top w:val="nil"/>
              <w:left w:val="nil"/>
              <w:bottom w:val="nil"/>
              <w:right w:val="nil"/>
            </w:tcBorders>
            <w:shd w:val="clear" w:color="auto" w:fill="auto"/>
            <w:noWrap/>
            <w:vAlign w:val="bottom"/>
            <w:hideMark/>
          </w:tcPr>
          <w:p w14:paraId="3F3894DB"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15 462</w:t>
            </w:r>
          </w:p>
        </w:tc>
      </w:tr>
      <w:tr w:rsidR="006822D1" w:rsidRPr="006071C9" w14:paraId="0E95B489" w14:textId="77777777" w:rsidTr="006071C9">
        <w:trPr>
          <w:trHeight w:val="300"/>
        </w:trPr>
        <w:tc>
          <w:tcPr>
            <w:tcW w:w="2546" w:type="pct"/>
            <w:tcBorders>
              <w:top w:val="nil"/>
              <w:left w:val="nil"/>
              <w:bottom w:val="nil"/>
              <w:right w:val="nil"/>
            </w:tcBorders>
            <w:shd w:val="clear" w:color="auto" w:fill="auto"/>
            <w:noWrap/>
            <w:vAlign w:val="bottom"/>
            <w:hideMark/>
          </w:tcPr>
          <w:p w14:paraId="7187B6BC" w14:textId="77777777" w:rsidR="006822D1" w:rsidRPr="006071C9" w:rsidRDefault="006822D1" w:rsidP="006822D1">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Bankové úvery</w:t>
            </w:r>
          </w:p>
        </w:tc>
        <w:tc>
          <w:tcPr>
            <w:tcW w:w="658" w:type="pct"/>
            <w:tcBorders>
              <w:top w:val="nil"/>
              <w:left w:val="nil"/>
              <w:bottom w:val="nil"/>
              <w:right w:val="nil"/>
            </w:tcBorders>
            <w:shd w:val="clear" w:color="auto" w:fill="auto"/>
            <w:noWrap/>
            <w:vAlign w:val="bottom"/>
            <w:hideMark/>
          </w:tcPr>
          <w:p w14:paraId="7E7A4780"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575 211</w:t>
            </w:r>
          </w:p>
        </w:tc>
        <w:tc>
          <w:tcPr>
            <w:tcW w:w="658" w:type="pct"/>
            <w:tcBorders>
              <w:top w:val="nil"/>
              <w:left w:val="nil"/>
              <w:bottom w:val="nil"/>
              <w:right w:val="nil"/>
            </w:tcBorders>
            <w:shd w:val="clear" w:color="auto" w:fill="auto"/>
            <w:noWrap/>
            <w:vAlign w:val="bottom"/>
            <w:hideMark/>
          </w:tcPr>
          <w:p w14:paraId="3415E76C"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628 608</w:t>
            </w:r>
          </w:p>
        </w:tc>
        <w:tc>
          <w:tcPr>
            <w:tcW w:w="657" w:type="pct"/>
            <w:tcBorders>
              <w:top w:val="nil"/>
              <w:left w:val="nil"/>
              <w:bottom w:val="nil"/>
              <w:right w:val="nil"/>
            </w:tcBorders>
            <w:shd w:val="clear" w:color="000000" w:fill="BFBFBF"/>
            <w:noWrap/>
            <w:vAlign w:val="bottom"/>
            <w:hideMark/>
          </w:tcPr>
          <w:p w14:paraId="475BDFB1"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655 959</w:t>
            </w:r>
          </w:p>
        </w:tc>
        <w:tc>
          <w:tcPr>
            <w:tcW w:w="481" w:type="pct"/>
            <w:tcBorders>
              <w:top w:val="nil"/>
              <w:left w:val="nil"/>
              <w:bottom w:val="nil"/>
              <w:right w:val="nil"/>
            </w:tcBorders>
            <w:shd w:val="clear" w:color="auto" w:fill="auto"/>
            <w:noWrap/>
            <w:vAlign w:val="bottom"/>
            <w:hideMark/>
          </w:tcPr>
          <w:p w14:paraId="2AA171C1"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27 351</w:t>
            </w:r>
          </w:p>
        </w:tc>
      </w:tr>
      <w:tr w:rsidR="00DF52A4" w:rsidRPr="006071C9" w14:paraId="7208DBF7" w14:textId="77777777" w:rsidTr="0044781D">
        <w:trPr>
          <w:trHeight w:val="300"/>
        </w:trPr>
        <w:tc>
          <w:tcPr>
            <w:tcW w:w="2546" w:type="pct"/>
            <w:tcBorders>
              <w:top w:val="nil"/>
              <w:left w:val="nil"/>
              <w:bottom w:val="nil"/>
              <w:right w:val="nil"/>
            </w:tcBorders>
            <w:shd w:val="clear" w:color="auto" w:fill="auto"/>
            <w:noWrap/>
            <w:vAlign w:val="bottom"/>
            <w:hideMark/>
          </w:tcPr>
          <w:p w14:paraId="42EE4CDF" w14:textId="77777777" w:rsidR="00DF52A4" w:rsidRPr="006071C9" w:rsidRDefault="00DF52A4"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Finančné výpomoci</w:t>
            </w:r>
          </w:p>
        </w:tc>
        <w:tc>
          <w:tcPr>
            <w:tcW w:w="658" w:type="pct"/>
            <w:tcBorders>
              <w:top w:val="nil"/>
              <w:left w:val="nil"/>
              <w:bottom w:val="nil"/>
              <w:right w:val="nil"/>
            </w:tcBorders>
            <w:shd w:val="clear" w:color="auto" w:fill="auto"/>
            <w:noWrap/>
            <w:vAlign w:val="bottom"/>
            <w:hideMark/>
          </w:tcPr>
          <w:p w14:paraId="4B07E4F9"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34 221</w:t>
            </w:r>
          </w:p>
        </w:tc>
        <w:tc>
          <w:tcPr>
            <w:tcW w:w="658" w:type="pct"/>
            <w:tcBorders>
              <w:top w:val="nil"/>
              <w:left w:val="nil"/>
              <w:bottom w:val="nil"/>
              <w:right w:val="nil"/>
            </w:tcBorders>
            <w:shd w:val="clear" w:color="auto" w:fill="auto"/>
            <w:noWrap/>
            <w:vAlign w:val="bottom"/>
            <w:hideMark/>
          </w:tcPr>
          <w:p w14:paraId="08E7F5C2"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46 549</w:t>
            </w:r>
          </w:p>
        </w:tc>
        <w:tc>
          <w:tcPr>
            <w:tcW w:w="657" w:type="pct"/>
            <w:tcBorders>
              <w:top w:val="nil"/>
              <w:left w:val="nil"/>
              <w:bottom w:val="nil"/>
              <w:right w:val="nil"/>
            </w:tcBorders>
            <w:shd w:val="clear" w:color="000000" w:fill="BFBFBF"/>
            <w:noWrap/>
            <w:vAlign w:val="bottom"/>
            <w:hideMark/>
          </w:tcPr>
          <w:p w14:paraId="45CBCA06"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25 209</w:t>
            </w:r>
          </w:p>
        </w:tc>
        <w:tc>
          <w:tcPr>
            <w:tcW w:w="481" w:type="pct"/>
            <w:tcBorders>
              <w:top w:val="nil"/>
              <w:left w:val="nil"/>
              <w:bottom w:val="nil"/>
              <w:right w:val="nil"/>
            </w:tcBorders>
            <w:shd w:val="clear" w:color="auto" w:fill="auto"/>
            <w:noWrap/>
            <w:vAlign w:val="bottom"/>
            <w:hideMark/>
          </w:tcPr>
          <w:p w14:paraId="36122B03"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-21 340</w:t>
            </w:r>
          </w:p>
        </w:tc>
      </w:tr>
      <w:tr w:rsidR="00DF52A4" w:rsidRPr="006071C9" w14:paraId="6766691B" w14:textId="77777777" w:rsidTr="0044781D">
        <w:trPr>
          <w:trHeight w:val="300"/>
        </w:trPr>
        <w:tc>
          <w:tcPr>
            <w:tcW w:w="2546" w:type="pct"/>
            <w:tcBorders>
              <w:top w:val="nil"/>
              <w:left w:val="nil"/>
              <w:bottom w:val="nil"/>
              <w:right w:val="nil"/>
            </w:tcBorders>
            <w:shd w:val="clear" w:color="auto" w:fill="auto"/>
            <w:noWrap/>
            <w:vAlign w:val="bottom"/>
            <w:hideMark/>
          </w:tcPr>
          <w:p w14:paraId="58EB96AE" w14:textId="77777777" w:rsidR="00DF52A4" w:rsidRPr="006071C9" w:rsidRDefault="00DF52A4" w:rsidP="0044781D">
            <w:pPr>
              <w:spacing w:after="0" w:line="240" w:lineRule="auto"/>
              <w:ind w:firstLineChars="200" w:firstLine="400"/>
              <w:jc w:val="left"/>
              <w:rPr>
                <w:rFonts w:eastAsia="Times New Roman" w:cs="Times New Roman"/>
                <w:sz w:val="20"/>
                <w:szCs w:val="20"/>
                <w:lang w:eastAsia="sk-SK"/>
              </w:rPr>
            </w:pPr>
            <w:r w:rsidRPr="006071C9">
              <w:rPr>
                <w:rFonts w:eastAsia="Times New Roman" w:cs="Times New Roman"/>
                <w:sz w:val="20"/>
                <w:szCs w:val="20"/>
                <w:lang w:eastAsia="sk-SK"/>
              </w:rPr>
              <w:t>z toho: NFV z VPS a ŠD (konsoliduje sa)</w:t>
            </w:r>
          </w:p>
        </w:tc>
        <w:tc>
          <w:tcPr>
            <w:tcW w:w="658" w:type="pct"/>
            <w:tcBorders>
              <w:top w:val="nil"/>
              <w:left w:val="nil"/>
              <w:bottom w:val="nil"/>
              <w:right w:val="nil"/>
            </w:tcBorders>
            <w:shd w:val="clear" w:color="auto" w:fill="auto"/>
            <w:noWrap/>
            <w:vAlign w:val="bottom"/>
            <w:hideMark/>
          </w:tcPr>
          <w:p w14:paraId="6100661A"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30 785</w:t>
            </w:r>
          </w:p>
        </w:tc>
        <w:tc>
          <w:tcPr>
            <w:tcW w:w="658" w:type="pct"/>
            <w:tcBorders>
              <w:top w:val="nil"/>
              <w:left w:val="nil"/>
              <w:bottom w:val="nil"/>
              <w:right w:val="nil"/>
            </w:tcBorders>
            <w:shd w:val="clear" w:color="auto" w:fill="auto"/>
            <w:noWrap/>
            <w:vAlign w:val="bottom"/>
            <w:hideMark/>
          </w:tcPr>
          <w:p w14:paraId="6759EBEE"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46 315</w:t>
            </w:r>
          </w:p>
        </w:tc>
        <w:tc>
          <w:tcPr>
            <w:tcW w:w="657" w:type="pct"/>
            <w:tcBorders>
              <w:top w:val="nil"/>
              <w:left w:val="nil"/>
              <w:bottom w:val="nil"/>
              <w:right w:val="nil"/>
            </w:tcBorders>
            <w:shd w:val="clear" w:color="000000" w:fill="BFBFBF"/>
            <w:noWrap/>
            <w:vAlign w:val="bottom"/>
            <w:hideMark/>
          </w:tcPr>
          <w:p w14:paraId="7FBCE64B"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23 250</w:t>
            </w:r>
          </w:p>
        </w:tc>
        <w:tc>
          <w:tcPr>
            <w:tcW w:w="481" w:type="pct"/>
            <w:tcBorders>
              <w:top w:val="nil"/>
              <w:left w:val="nil"/>
              <w:bottom w:val="nil"/>
              <w:right w:val="nil"/>
            </w:tcBorders>
            <w:shd w:val="clear" w:color="auto" w:fill="auto"/>
            <w:noWrap/>
            <w:vAlign w:val="bottom"/>
            <w:hideMark/>
          </w:tcPr>
          <w:p w14:paraId="0CDBCD7A"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-23 065</w:t>
            </w:r>
          </w:p>
        </w:tc>
      </w:tr>
      <w:tr w:rsidR="00DF52A4" w:rsidRPr="006071C9" w14:paraId="41111813" w14:textId="77777777" w:rsidTr="0044781D">
        <w:trPr>
          <w:trHeight w:val="300"/>
        </w:trPr>
        <w:tc>
          <w:tcPr>
            <w:tcW w:w="2546" w:type="pct"/>
            <w:tcBorders>
              <w:top w:val="nil"/>
              <w:left w:val="nil"/>
              <w:bottom w:val="nil"/>
              <w:right w:val="nil"/>
            </w:tcBorders>
            <w:shd w:val="clear" w:color="auto" w:fill="auto"/>
            <w:noWrap/>
            <w:vAlign w:val="bottom"/>
            <w:hideMark/>
          </w:tcPr>
          <w:p w14:paraId="5EDB1BF4" w14:textId="77777777" w:rsidR="00DF52A4" w:rsidRPr="006071C9" w:rsidRDefault="00DF52A4" w:rsidP="00DF52A4">
            <w:pPr>
              <w:spacing w:after="0" w:line="240" w:lineRule="auto"/>
              <w:ind w:leftChars="-1" w:left="-2" w:firstLine="1"/>
              <w:jc w:val="left"/>
              <w:rPr>
                <w:rFonts w:eastAsia="Times New Roman" w:cs="Times New Roman"/>
                <w:sz w:val="20"/>
                <w:szCs w:val="20"/>
                <w:lang w:eastAsia="sk-SK"/>
              </w:rPr>
            </w:pPr>
            <w:r w:rsidRPr="006071C9">
              <w:rPr>
                <w:rFonts w:eastAsia="Times New Roman" w:cs="Times New Roman"/>
                <w:sz w:val="20"/>
                <w:szCs w:val="20"/>
                <w:lang w:eastAsia="sk-SK"/>
              </w:rPr>
              <w:t xml:space="preserve">od </w:t>
            </w:r>
            <w:proofErr w:type="spellStart"/>
            <w:r w:rsidRPr="006071C9">
              <w:rPr>
                <w:rFonts w:eastAsia="Times New Roman" w:cs="Times New Roman"/>
                <w:sz w:val="20"/>
                <w:szCs w:val="20"/>
                <w:lang w:eastAsia="sk-SK"/>
              </w:rPr>
              <w:t>ostat</w:t>
            </w:r>
            <w:proofErr w:type="spellEnd"/>
            <w:r w:rsidRPr="006071C9">
              <w:rPr>
                <w:rFonts w:eastAsia="Times New Roman" w:cs="Times New Roman"/>
                <w:sz w:val="20"/>
                <w:szCs w:val="20"/>
                <w:lang w:eastAsia="sk-SK"/>
              </w:rPr>
              <w:t xml:space="preserve">. </w:t>
            </w:r>
            <w:proofErr w:type="spellStart"/>
            <w:r w:rsidRPr="006071C9">
              <w:rPr>
                <w:rFonts w:eastAsia="Times New Roman" w:cs="Times New Roman"/>
                <w:sz w:val="20"/>
                <w:szCs w:val="20"/>
                <w:lang w:eastAsia="sk-SK"/>
              </w:rPr>
              <w:t>subj</w:t>
            </w:r>
            <w:proofErr w:type="spellEnd"/>
            <w:r w:rsidRPr="006071C9">
              <w:rPr>
                <w:rFonts w:eastAsia="Times New Roman" w:cs="Times New Roman"/>
                <w:sz w:val="20"/>
                <w:szCs w:val="20"/>
                <w:lang w:eastAsia="sk-SK"/>
              </w:rPr>
              <w:t>. verejnej správy (konsoliduje sa)</w:t>
            </w:r>
          </w:p>
        </w:tc>
        <w:tc>
          <w:tcPr>
            <w:tcW w:w="658" w:type="pct"/>
            <w:tcBorders>
              <w:top w:val="nil"/>
              <w:left w:val="nil"/>
              <w:bottom w:val="nil"/>
              <w:right w:val="nil"/>
            </w:tcBorders>
            <w:shd w:val="clear" w:color="auto" w:fill="auto"/>
            <w:noWrap/>
            <w:vAlign w:val="bottom"/>
            <w:hideMark/>
          </w:tcPr>
          <w:p w14:paraId="16CC561B"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2 528</w:t>
            </w:r>
          </w:p>
        </w:tc>
        <w:tc>
          <w:tcPr>
            <w:tcW w:w="658" w:type="pct"/>
            <w:tcBorders>
              <w:top w:val="nil"/>
              <w:left w:val="nil"/>
              <w:bottom w:val="nil"/>
              <w:right w:val="nil"/>
            </w:tcBorders>
            <w:shd w:val="clear" w:color="auto" w:fill="auto"/>
            <w:noWrap/>
            <w:vAlign w:val="bottom"/>
            <w:hideMark/>
          </w:tcPr>
          <w:p w14:paraId="381003F4"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234</w:t>
            </w:r>
          </w:p>
        </w:tc>
        <w:tc>
          <w:tcPr>
            <w:tcW w:w="657" w:type="pct"/>
            <w:tcBorders>
              <w:top w:val="nil"/>
              <w:left w:val="nil"/>
              <w:bottom w:val="nil"/>
              <w:right w:val="nil"/>
            </w:tcBorders>
            <w:shd w:val="clear" w:color="000000" w:fill="BFBFBF"/>
            <w:noWrap/>
            <w:vAlign w:val="bottom"/>
            <w:hideMark/>
          </w:tcPr>
          <w:p w14:paraId="59747FAE"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1 959</w:t>
            </w:r>
          </w:p>
        </w:tc>
        <w:tc>
          <w:tcPr>
            <w:tcW w:w="481" w:type="pct"/>
            <w:tcBorders>
              <w:top w:val="nil"/>
              <w:left w:val="nil"/>
              <w:bottom w:val="nil"/>
              <w:right w:val="nil"/>
            </w:tcBorders>
            <w:shd w:val="clear" w:color="auto" w:fill="auto"/>
            <w:noWrap/>
            <w:vAlign w:val="bottom"/>
            <w:hideMark/>
          </w:tcPr>
          <w:p w14:paraId="65532075" w14:textId="77777777" w:rsidR="00DF52A4" w:rsidRPr="006071C9" w:rsidRDefault="00DF52A4"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1 725</w:t>
            </w:r>
          </w:p>
        </w:tc>
      </w:tr>
      <w:tr w:rsidR="00A43638" w:rsidRPr="006071C9" w14:paraId="33C5382E" w14:textId="77777777" w:rsidTr="0044781D">
        <w:trPr>
          <w:trHeight w:val="300"/>
        </w:trPr>
        <w:tc>
          <w:tcPr>
            <w:tcW w:w="2546" w:type="pct"/>
            <w:tcBorders>
              <w:top w:val="nil"/>
              <w:left w:val="nil"/>
              <w:bottom w:val="nil"/>
              <w:right w:val="nil"/>
            </w:tcBorders>
            <w:shd w:val="clear" w:color="auto" w:fill="auto"/>
            <w:noWrap/>
            <w:vAlign w:val="bottom"/>
            <w:hideMark/>
          </w:tcPr>
          <w:p w14:paraId="6D6CBB89" w14:textId="77777777" w:rsidR="00A43638" w:rsidRPr="006071C9" w:rsidRDefault="00A43638"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Zábezpeky</w:t>
            </w:r>
          </w:p>
        </w:tc>
        <w:tc>
          <w:tcPr>
            <w:tcW w:w="658" w:type="pct"/>
            <w:tcBorders>
              <w:top w:val="nil"/>
              <w:left w:val="nil"/>
              <w:bottom w:val="nil"/>
              <w:right w:val="nil"/>
            </w:tcBorders>
            <w:shd w:val="clear" w:color="auto" w:fill="auto"/>
            <w:noWrap/>
            <w:vAlign w:val="bottom"/>
            <w:hideMark/>
          </w:tcPr>
          <w:p w14:paraId="7F636F7A"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15 323</w:t>
            </w:r>
          </w:p>
        </w:tc>
        <w:tc>
          <w:tcPr>
            <w:tcW w:w="658" w:type="pct"/>
            <w:tcBorders>
              <w:top w:val="nil"/>
              <w:left w:val="nil"/>
              <w:bottom w:val="nil"/>
              <w:right w:val="nil"/>
            </w:tcBorders>
            <w:shd w:val="clear" w:color="auto" w:fill="auto"/>
            <w:noWrap/>
            <w:vAlign w:val="bottom"/>
            <w:hideMark/>
          </w:tcPr>
          <w:p w14:paraId="24B88D23"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20 940</w:t>
            </w:r>
          </w:p>
        </w:tc>
        <w:tc>
          <w:tcPr>
            <w:tcW w:w="657" w:type="pct"/>
            <w:tcBorders>
              <w:top w:val="nil"/>
              <w:left w:val="nil"/>
              <w:bottom w:val="nil"/>
              <w:right w:val="nil"/>
            </w:tcBorders>
            <w:shd w:val="clear" w:color="000000" w:fill="BFBFBF"/>
            <w:noWrap/>
            <w:vAlign w:val="bottom"/>
            <w:hideMark/>
          </w:tcPr>
          <w:p w14:paraId="570B4E42"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22 747</w:t>
            </w:r>
          </w:p>
        </w:tc>
        <w:tc>
          <w:tcPr>
            <w:tcW w:w="481" w:type="pct"/>
            <w:tcBorders>
              <w:top w:val="nil"/>
              <w:left w:val="nil"/>
              <w:bottom w:val="nil"/>
              <w:right w:val="nil"/>
            </w:tcBorders>
            <w:shd w:val="clear" w:color="auto" w:fill="auto"/>
            <w:noWrap/>
            <w:vAlign w:val="bottom"/>
            <w:hideMark/>
          </w:tcPr>
          <w:p w14:paraId="67C60BF2"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1 807</w:t>
            </w:r>
          </w:p>
        </w:tc>
      </w:tr>
      <w:tr w:rsidR="00A43638" w:rsidRPr="006071C9" w14:paraId="61B069E9" w14:textId="77777777" w:rsidTr="0044781D">
        <w:trPr>
          <w:trHeight w:val="300"/>
        </w:trPr>
        <w:tc>
          <w:tcPr>
            <w:tcW w:w="2546" w:type="pct"/>
            <w:tcBorders>
              <w:top w:val="nil"/>
              <w:left w:val="nil"/>
              <w:bottom w:val="nil"/>
              <w:right w:val="nil"/>
            </w:tcBorders>
            <w:shd w:val="clear" w:color="auto" w:fill="auto"/>
            <w:noWrap/>
            <w:vAlign w:val="bottom"/>
            <w:hideMark/>
          </w:tcPr>
          <w:p w14:paraId="06E45219" w14:textId="77777777" w:rsidR="00A43638" w:rsidRPr="006071C9" w:rsidRDefault="00A43638"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Dlhodobé záväzky z obchodného styku a prijaté preddavky</w:t>
            </w:r>
          </w:p>
        </w:tc>
        <w:tc>
          <w:tcPr>
            <w:tcW w:w="658" w:type="pct"/>
            <w:tcBorders>
              <w:top w:val="nil"/>
              <w:left w:val="nil"/>
              <w:bottom w:val="nil"/>
              <w:right w:val="nil"/>
            </w:tcBorders>
            <w:shd w:val="clear" w:color="auto" w:fill="auto"/>
            <w:noWrap/>
            <w:vAlign w:val="bottom"/>
            <w:hideMark/>
          </w:tcPr>
          <w:p w14:paraId="002E3BD0"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16 566</w:t>
            </w:r>
          </w:p>
        </w:tc>
        <w:tc>
          <w:tcPr>
            <w:tcW w:w="658" w:type="pct"/>
            <w:tcBorders>
              <w:top w:val="nil"/>
              <w:left w:val="nil"/>
              <w:bottom w:val="nil"/>
              <w:right w:val="nil"/>
            </w:tcBorders>
            <w:shd w:val="clear" w:color="auto" w:fill="auto"/>
            <w:noWrap/>
            <w:vAlign w:val="bottom"/>
            <w:hideMark/>
          </w:tcPr>
          <w:p w14:paraId="08B94CEB"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17 902</w:t>
            </w:r>
          </w:p>
        </w:tc>
        <w:tc>
          <w:tcPr>
            <w:tcW w:w="657" w:type="pct"/>
            <w:tcBorders>
              <w:top w:val="nil"/>
              <w:left w:val="nil"/>
              <w:bottom w:val="nil"/>
              <w:right w:val="nil"/>
            </w:tcBorders>
            <w:shd w:val="clear" w:color="000000" w:fill="BFBFBF"/>
            <w:noWrap/>
            <w:vAlign w:val="bottom"/>
            <w:hideMark/>
          </w:tcPr>
          <w:p w14:paraId="47C8893F"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17 490</w:t>
            </w:r>
          </w:p>
        </w:tc>
        <w:tc>
          <w:tcPr>
            <w:tcW w:w="481" w:type="pct"/>
            <w:tcBorders>
              <w:top w:val="nil"/>
              <w:left w:val="nil"/>
              <w:bottom w:val="nil"/>
              <w:right w:val="nil"/>
            </w:tcBorders>
            <w:shd w:val="clear" w:color="auto" w:fill="auto"/>
            <w:noWrap/>
            <w:vAlign w:val="bottom"/>
            <w:hideMark/>
          </w:tcPr>
          <w:p w14:paraId="73460EBD"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-412</w:t>
            </w:r>
          </w:p>
        </w:tc>
      </w:tr>
      <w:tr w:rsidR="00A43638" w:rsidRPr="006071C9" w14:paraId="76011894" w14:textId="77777777" w:rsidTr="0044781D">
        <w:trPr>
          <w:trHeight w:val="300"/>
        </w:trPr>
        <w:tc>
          <w:tcPr>
            <w:tcW w:w="2546" w:type="pct"/>
            <w:tcBorders>
              <w:top w:val="nil"/>
              <w:left w:val="nil"/>
              <w:bottom w:val="nil"/>
              <w:right w:val="nil"/>
            </w:tcBorders>
            <w:shd w:val="clear" w:color="auto" w:fill="auto"/>
            <w:noWrap/>
            <w:vAlign w:val="bottom"/>
            <w:hideMark/>
          </w:tcPr>
          <w:p w14:paraId="13C4E345" w14:textId="77777777" w:rsidR="00A43638" w:rsidRPr="006071C9" w:rsidRDefault="00A43638"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Investičné dodávateľské úvery a dodávateľské úvery</w:t>
            </w:r>
          </w:p>
        </w:tc>
        <w:tc>
          <w:tcPr>
            <w:tcW w:w="658" w:type="pct"/>
            <w:tcBorders>
              <w:top w:val="nil"/>
              <w:left w:val="nil"/>
              <w:bottom w:val="nil"/>
              <w:right w:val="nil"/>
            </w:tcBorders>
            <w:shd w:val="clear" w:color="auto" w:fill="auto"/>
            <w:noWrap/>
            <w:vAlign w:val="bottom"/>
            <w:hideMark/>
          </w:tcPr>
          <w:p w14:paraId="034F77CE"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9 542</w:t>
            </w:r>
          </w:p>
        </w:tc>
        <w:tc>
          <w:tcPr>
            <w:tcW w:w="658" w:type="pct"/>
            <w:tcBorders>
              <w:top w:val="nil"/>
              <w:left w:val="nil"/>
              <w:bottom w:val="nil"/>
              <w:right w:val="nil"/>
            </w:tcBorders>
            <w:shd w:val="clear" w:color="auto" w:fill="auto"/>
            <w:noWrap/>
            <w:vAlign w:val="bottom"/>
            <w:hideMark/>
          </w:tcPr>
          <w:p w14:paraId="1AB3D3FC"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17 610</w:t>
            </w:r>
          </w:p>
        </w:tc>
        <w:tc>
          <w:tcPr>
            <w:tcW w:w="657" w:type="pct"/>
            <w:tcBorders>
              <w:top w:val="nil"/>
              <w:left w:val="nil"/>
              <w:bottom w:val="nil"/>
              <w:right w:val="nil"/>
            </w:tcBorders>
            <w:shd w:val="clear" w:color="000000" w:fill="BFBFBF"/>
            <w:noWrap/>
            <w:vAlign w:val="bottom"/>
            <w:hideMark/>
          </w:tcPr>
          <w:p w14:paraId="7FD81C39"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12 106</w:t>
            </w:r>
          </w:p>
        </w:tc>
        <w:tc>
          <w:tcPr>
            <w:tcW w:w="481" w:type="pct"/>
            <w:tcBorders>
              <w:top w:val="nil"/>
              <w:left w:val="nil"/>
              <w:bottom w:val="nil"/>
              <w:right w:val="nil"/>
            </w:tcBorders>
            <w:shd w:val="clear" w:color="auto" w:fill="auto"/>
            <w:noWrap/>
            <w:vAlign w:val="bottom"/>
            <w:hideMark/>
          </w:tcPr>
          <w:p w14:paraId="20BFB7F6"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-5 504</w:t>
            </w:r>
          </w:p>
        </w:tc>
      </w:tr>
      <w:tr w:rsidR="00A43638" w:rsidRPr="006071C9" w14:paraId="0B35E6F2" w14:textId="77777777" w:rsidTr="0044781D">
        <w:trPr>
          <w:trHeight w:val="300"/>
        </w:trPr>
        <w:tc>
          <w:tcPr>
            <w:tcW w:w="2546" w:type="pct"/>
            <w:tcBorders>
              <w:top w:val="nil"/>
              <w:left w:val="nil"/>
              <w:bottom w:val="nil"/>
              <w:right w:val="nil"/>
            </w:tcBorders>
            <w:shd w:val="clear" w:color="auto" w:fill="auto"/>
            <w:noWrap/>
            <w:vAlign w:val="bottom"/>
            <w:hideMark/>
          </w:tcPr>
          <w:p w14:paraId="3716A30E" w14:textId="77777777" w:rsidR="00A43638" w:rsidRPr="006071C9" w:rsidRDefault="00A43638"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Finančný prenájom</w:t>
            </w:r>
          </w:p>
        </w:tc>
        <w:tc>
          <w:tcPr>
            <w:tcW w:w="658" w:type="pct"/>
            <w:tcBorders>
              <w:top w:val="nil"/>
              <w:left w:val="nil"/>
              <w:bottom w:val="nil"/>
              <w:right w:val="nil"/>
            </w:tcBorders>
            <w:shd w:val="clear" w:color="auto" w:fill="auto"/>
            <w:noWrap/>
            <w:vAlign w:val="bottom"/>
            <w:hideMark/>
          </w:tcPr>
          <w:p w14:paraId="7A7A10E5"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5 701</w:t>
            </w:r>
          </w:p>
        </w:tc>
        <w:tc>
          <w:tcPr>
            <w:tcW w:w="658" w:type="pct"/>
            <w:tcBorders>
              <w:top w:val="nil"/>
              <w:left w:val="nil"/>
              <w:bottom w:val="nil"/>
              <w:right w:val="nil"/>
            </w:tcBorders>
            <w:shd w:val="clear" w:color="auto" w:fill="auto"/>
            <w:noWrap/>
            <w:vAlign w:val="bottom"/>
            <w:hideMark/>
          </w:tcPr>
          <w:p w14:paraId="37E725F7"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5 343</w:t>
            </w:r>
          </w:p>
        </w:tc>
        <w:tc>
          <w:tcPr>
            <w:tcW w:w="657" w:type="pct"/>
            <w:tcBorders>
              <w:top w:val="nil"/>
              <w:left w:val="nil"/>
              <w:bottom w:val="nil"/>
              <w:right w:val="nil"/>
            </w:tcBorders>
            <w:shd w:val="clear" w:color="000000" w:fill="BFBFBF"/>
            <w:noWrap/>
            <w:vAlign w:val="bottom"/>
            <w:hideMark/>
          </w:tcPr>
          <w:p w14:paraId="39A8497A"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5 236</w:t>
            </w:r>
          </w:p>
        </w:tc>
        <w:tc>
          <w:tcPr>
            <w:tcW w:w="481" w:type="pct"/>
            <w:tcBorders>
              <w:top w:val="nil"/>
              <w:left w:val="nil"/>
              <w:bottom w:val="nil"/>
              <w:right w:val="nil"/>
            </w:tcBorders>
            <w:shd w:val="clear" w:color="auto" w:fill="auto"/>
            <w:noWrap/>
            <w:vAlign w:val="bottom"/>
            <w:hideMark/>
          </w:tcPr>
          <w:p w14:paraId="08179182"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-107</w:t>
            </w:r>
          </w:p>
        </w:tc>
      </w:tr>
      <w:tr w:rsidR="00A43638" w:rsidRPr="006071C9" w14:paraId="2E509814" w14:textId="77777777" w:rsidTr="0044781D">
        <w:trPr>
          <w:trHeight w:val="300"/>
        </w:trPr>
        <w:tc>
          <w:tcPr>
            <w:tcW w:w="2546" w:type="pct"/>
            <w:tcBorders>
              <w:top w:val="nil"/>
              <w:left w:val="nil"/>
              <w:bottom w:val="nil"/>
              <w:right w:val="nil"/>
            </w:tcBorders>
            <w:shd w:val="clear" w:color="auto" w:fill="auto"/>
            <w:noWrap/>
            <w:vAlign w:val="bottom"/>
            <w:hideMark/>
          </w:tcPr>
          <w:p w14:paraId="13EFB20C" w14:textId="77777777" w:rsidR="00A43638" w:rsidRPr="006071C9" w:rsidRDefault="00A43638"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Ostatné nebankové pôžičky</w:t>
            </w:r>
          </w:p>
        </w:tc>
        <w:tc>
          <w:tcPr>
            <w:tcW w:w="658" w:type="pct"/>
            <w:tcBorders>
              <w:top w:val="nil"/>
              <w:left w:val="nil"/>
              <w:bottom w:val="nil"/>
              <w:right w:val="nil"/>
            </w:tcBorders>
            <w:shd w:val="clear" w:color="auto" w:fill="auto"/>
            <w:noWrap/>
            <w:vAlign w:val="bottom"/>
            <w:hideMark/>
          </w:tcPr>
          <w:p w14:paraId="6D8E250A"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3 351</w:t>
            </w:r>
          </w:p>
        </w:tc>
        <w:tc>
          <w:tcPr>
            <w:tcW w:w="658" w:type="pct"/>
            <w:tcBorders>
              <w:top w:val="nil"/>
              <w:left w:val="nil"/>
              <w:bottom w:val="nil"/>
              <w:right w:val="nil"/>
            </w:tcBorders>
            <w:shd w:val="clear" w:color="auto" w:fill="auto"/>
            <w:noWrap/>
            <w:vAlign w:val="bottom"/>
            <w:hideMark/>
          </w:tcPr>
          <w:p w14:paraId="012FD0B2"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3 901</w:t>
            </w:r>
          </w:p>
        </w:tc>
        <w:tc>
          <w:tcPr>
            <w:tcW w:w="657" w:type="pct"/>
            <w:tcBorders>
              <w:top w:val="nil"/>
              <w:left w:val="nil"/>
              <w:bottom w:val="nil"/>
              <w:right w:val="nil"/>
            </w:tcBorders>
            <w:shd w:val="clear" w:color="000000" w:fill="BFBFBF"/>
            <w:noWrap/>
            <w:vAlign w:val="bottom"/>
            <w:hideMark/>
          </w:tcPr>
          <w:p w14:paraId="2265EB0C"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4 562</w:t>
            </w:r>
          </w:p>
        </w:tc>
        <w:tc>
          <w:tcPr>
            <w:tcW w:w="481" w:type="pct"/>
            <w:tcBorders>
              <w:top w:val="nil"/>
              <w:left w:val="nil"/>
              <w:bottom w:val="nil"/>
              <w:right w:val="nil"/>
            </w:tcBorders>
            <w:shd w:val="clear" w:color="auto" w:fill="auto"/>
            <w:noWrap/>
            <w:vAlign w:val="bottom"/>
            <w:hideMark/>
          </w:tcPr>
          <w:p w14:paraId="3AF6EF8C"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661</w:t>
            </w:r>
          </w:p>
        </w:tc>
      </w:tr>
      <w:tr w:rsidR="00A43638" w:rsidRPr="006071C9" w14:paraId="4277264C" w14:textId="77777777" w:rsidTr="0044781D">
        <w:trPr>
          <w:trHeight w:val="300"/>
        </w:trPr>
        <w:tc>
          <w:tcPr>
            <w:tcW w:w="2546" w:type="pct"/>
            <w:tcBorders>
              <w:top w:val="nil"/>
              <w:left w:val="nil"/>
              <w:bottom w:val="nil"/>
              <w:right w:val="nil"/>
            </w:tcBorders>
            <w:shd w:val="clear" w:color="auto" w:fill="auto"/>
            <w:noWrap/>
            <w:vAlign w:val="bottom"/>
            <w:hideMark/>
          </w:tcPr>
          <w:p w14:paraId="6A1435C6" w14:textId="77777777" w:rsidR="00A43638" w:rsidRPr="006071C9" w:rsidRDefault="00A43638" w:rsidP="0044781D">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Cenné papiere</w:t>
            </w:r>
          </w:p>
        </w:tc>
        <w:tc>
          <w:tcPr>
            <w:tcW w:w="658" w:type="pct"/>
            <w:tcBorders>
              <w:top w:val="nil"/>
              <w:left w:val="nil"/>
              <w:bottom w:val="nil"/>
              <w:right w:val="nil"/>
            </w:tcBorders>
            <w:shd w:val="clear" w:color="auto" w:fill="auto"/>
            <w:noWrap/>
            <w:vAlign w:val="bottom"/>
            <w:hideMark/>
          </w:tcPr>
          <w:p w14:paraId="245FD17C"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3 014</w:t>
            </w:r>
          </w:p>
        </w:tc>
        <w:tc>
          <w:tcPr>
            <w:tcW w:w="658" w:type="pct"/>
            <w:tcBorders>
              <w:top w:val="nil"/>
              <w:left w:val="nil"/>
              <w:bottom w:val="nil"/>
              <w:right w:val="nil"/>
            </w:tcBorders>
            <w:shd w:val="clear" w:color="auto" w:fill="auto"/>
            <w:noWrap/>
            <w:vAlign w:val="bottom"/>
            <w:hideMark/>
          </w:tcPr>
          <w:p w14:paraId="0AF452C0"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2 839</w:t>
            </w:r>
          </w:p>
        </w:tc>
        <w:tc>
          <w:tcPr>
            <w:tcW w:w="657" w:type="pct"/>
            <w:tcBorders>
              <w:top w:val="nil"/>
              <w:left w:val="nil"/>
              <w:bottom w:val="nil"/>
              <w:right w:val="nil"/>
            </w:tcBorders>
            <w:shd w:val="clear" w:color="000000" w:fill="BFBFBF"/>
            <w:noWrap/>
            <w:vAlign w:val="bottom"/>
            <w:hideMark/>
          </w:tcPr>
          <w:p w14:paraId="5A1734EA"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3 090</w:t>
            </w:r>
          </w:p>
        </w:tc>
        <w:tc>
          <w:tcPr>
            <w:tcW w:w="481" w:type="pct"/>
            <w:tcBorders>
              <w:top w:val="nil"/>
              <w:left w:val="nil"/>
              <w:bottom w:val="nil"/>
              <w:right w:val="nil"/>
            </w:tcBorders>
            <w:shd w:val="clear" w:color="auto" w:fill="auto"/>
            <w:noWrap/>
            <w:vAlign w:val="bottom"/>
            <w:hideMark/>
          </w:tcPr>
          <w:p w14:paraId="4755D271" w14:textId="77777777" w:rsidR="00A43638" w:rsidRPr="006071C9" w:rsidRDefault="00A43638" w:rsidP="0044781D">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251</w:t>
            </w:r>
          </w:p>
        </w:tc>
      </w:tr>
      <w:tr w:rsidR="006822D1" w:rsidRPr="006071C9" w14:paraId="4CF45FFD" w14:textId="77777777" w:rsidTr="00280521">
        <w:trPr>
          <w:trHeight w:val="300"/>
        </w:trPr>
        <w:tc>
          <w:tcPr>
            <w:tcW w:w="2546" w:type="pct"/>
            <w:tcBorders>
              <w:top w:val="nil"/>
              <w:left w:val="nil"/>
              <w:bottom w:val="single" w:sz="4" w:space="0" w:color="auto"/>
              <w:right w:val="nil"/>
            </w:tcBorders>
            <w:shd w:val="clear" w:color="auto" w:fill="auto"/>
            <w:noWrap/>
            <w:vAlign w:val="bottom"/>
            <w:hideMark/>
          </w:tcPr>
          <w:p w14:paraId="4B7788A4" w14:textId="77777777" w:rsidR="006822D1" w:rsidRPr="006071C9" w:rsidRDefault="006822D1" w:rsidP="006822D1">
            <w:pPr>
              <w:spacing w:after="0" w:line="240" w:lineRule="auto"/>
              <w:jc w:val="left"/>
              <w:rPr>
                <w:rFonts w:eastAsia="Times New Roman" w:cs="Times New Roman"/>
                <w:sz w:val="20"/>
                <w:szCs w:val="20"/>
                <w:lang w:eastAsia="sk-SK"/>
              </w:rPr>
            </w:pPr>
            <w:r w:rsidRPr="006071C9">
              <w:rPr>
                <w:rFonts w:eastAsia="Times New Roman" w:cs="Times New Roman"/>
                <w:sz w:val="20"/>
                <w:szCs w:val="20"/>
                <w:lang w:eastAsia="sk-SK"/>
              </w:rPr>
              <w:t>Pôžičky z ENVF (konsoliduje sa)</w:t>
            </w:r>
          </w:p>
        </w:tc>
        <w:tc>
          <w:tcPr>
            <w:tcW w:w="658" w:type="pct"/>
            <w:tcBorders>
              <w:top w:val="nil"/>
              <w:left w:val="nil"/>
              <w:bottom w:val="single" w:sz="4" w:space="0" w:color="auto"/>
              <w:right w:val="nil"/>
            </w:tcBorders>
            <w:shd w:val="clear" w:color="auto" w:fill="auto"/>
            <w:noWrap/>
            <w:vAlign w:val="bottom"/>
            <w:hideMark/>
          </w:tcPr>
          <w:p w14:paraId="43C1DDF6"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1 276</w:t>
            </w:r>
          </w:p>
        </w:tc>
        <w:tc>
          <w:tcPr>
            <w:tcW w:w="658" w:type="pct"/>
            <w:tcBorders>
              <w:top w:val="nil"/>
              <w:left w:val="nil"/>
              <w:bottom w:val="single" w:sz="4" w:space="0" w:color="auto"/>
              <w:right w:val="nil"/>
            </w:tcBorders>
            <w:shd w:val="clear" w:color="auto" w:fill="auto"/>
            <w:noWrap/>
            <w:vAlign w:val="bottom"/>
            <w:hideMark/>
          </w:tcPr>
          <w:p w14:paraId="7F6CECCC"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1 111</w:t>
            </w:r>
          </w:p>
        </w:tc>
        <w:tc>
          <w:tcPr>
            <w:tcW w:w="657" w:type="pct"/>
            <w:tcBorders>
              <w:top w:val="nil"/>
              <w:left w:val="nil"/>
              <w:bottom w:val="single" w:sz="4" w:space="0" w:color="auto"/>
              <w:right w:val="nil"/>
            </w:tcBorders>
            <w:shd w:val="clear" w:color="000000" w:fill="BFBFBF"/>
            <w:noWrap/>
            <w:vAlign w:val="bottom"/>
            <w:hideMark/>
          </w:tcPr>
          <w:p w14:paraId="10C5446D"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948</w:t>
            </w:r>
          </w:p>
        </w:tc>
        <w:tc>
          <w:tcPr>
            <w:tcW w:w="481" w:type="pct"/>
            <w:tcBorders>
              <w:top w:val="nil"/>
              <w:left w:val="nil"/>
              <w:bottom w:val="single" w:sz="4" w:space="0" w:color="auto"/>
              <w:right w:val="nil"/>
            </w:tcBorders>
            <w:shd w:val="clear" w:color="auto" w:fill="auto"/>
            <w:noWrap/>
            <w:vAlign w:val="bottom"/>
            <w:hideMark/>
          </w:tcPr>
          <w:p w14:paraId="7ADEB5E1" w14:textId="77777777" w:rsidR="006822D1" w:rsidRPr="006071C9" w:rsidRDefault="006822D1" w:rsidP="006822D1">
            <w:pPr>
              <w:spacing w:after="0" w:line="240" w:lineRule="auto"/>
              <w:jc w:val="right"/>
              <w:rPr>
                <w:rFonts w:eastAsia="Times New Roman" w:cs="Times New Roman"/>
                <w:sz w:val="20"/>
                <w:szCs w:val="20"/>
                <w:lang w:eastAsia="sk-SK"/>
              </w:rPr>
            </w:pPr>
            <w:r w:rsidRPr="006071C9">
              <w:rPr>
                <w:rFonts w:eastAsia="Times New Roman" w:cs="Times New Roman"/>
                <w:sz w:val="20"/>
                <w:szCs w:val="20"/>
                <w:lang w:eastAsia="sk-SK"/>
              </w:rPr>
              <w:t>-163</w:t>
            </w:r>
          </w:p>
        </w:tc>
      </w:tr>
      <w:tr w:rsidR="006822D1" w:rsidRPr="006071C9" w14:paraId="0F0DE477" w14:textId="77777777" w:rsidTr="00280521">
        <w:trPr>
          <w:trHeight w:val="300"/>
        </w:trPr>
        <w:tc>
          <w:tcPr>
            <w:tcW w:w="2546" w:type="pct"/>
            <w:tcBorders>
              <w:top w:val="single" w:sz="4" w:space="0" w:color="auto"/>
              <w:left w:val="nil"/>
              <w:bottom w:val="single" w:sz="4" w:space="0" w:color="auto"/>
              <w:right w:val="nil"/>
            </w:tcBorders>
            <w:shd w:val="clear" w:color="auto" w:fill="auto"/>
            <w:noWrap/>
            <w:vAlign w:val="bottom"/>
            <w:hideMark/>
          </w:tcPr>
          <w:p w14:paraId="33283F89" w14:textId="77777777" w:rsidR="006822D1" w:rsidRPr="006071C9" w:rsidRDefault="006822D1" w:rsidP="006822D1">
            <w:pPr>
              <w:spacing w:after="0" w:line="240" w:lineRule="auto"/>
              <w:jc w:val="left"/>
              <w:rPr>
                <w:rFonts w:eastAsia="Times New Roman" w:cs="Times New Roman"/>
                <w:b/>
                <w:bCs/>
                <w:sz w:val="20"/>
                <w:szCs w:val="20"/>
                <w:lang w:eastAsia="sk-SK"/>
              </w:rPr>
            </w:pPr>
            <w:r w:rsidRPr="006071C9">
              <w:rPr>
                <w:rFonts w:eastAsia="Times New Roman" w:cs="Times New Roman"/>
                <w:b/>
                <w:bCs/>
                <w:sz w:val="20"/>
                <w:szCs w:val="20"/>
                <w:lang w:eastAsia="sk-SK"/>
              </w:rPr>
              <w:t>Spolu nekonsolidovaný dlh obcí</w:t>
            </w:r>
          </w:p>
        </w:tc>
        <w:tc>
          <w:tcPr>
            <w:tcW w:w="658" w:type="pct"/>
            <w:tcBorders>
              <w:top w:val="single" w:sz="4" w:space="0" w:color="auto"/>
              <w:left w:val="nil"/>
              <w:bottom w:val="single" w:sz="4" w:space="0" w:color="auto"/>
              <w:right w:val="nil"/>
            </w:tcBorders>
            <w:shd w:val="clear" w:color="auto" w:fill="auto"/>
            <w:noWrap/>
            <w:vAlign w:val="bottom"/>
            <w:hideMark/>
          </w:tcPr>
          <w:p w14:paraId="2A1A34A7"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1 379 545</w:t>
            </w:r>
          </w:p>
        </w:tc>
        <w:tc>
          <w:tcPr>
            <w:tcW w:w="658" w:type="pct"/>
            <w:tcBorders>
              <w:top w:val="single" w:sz="4" w:space="0" w:color="auto"/>
              <w:left w:val="nil"/>
              <w:bottom w:val="single" w:sz="4" w:space="0" w:color="auto"/>
              <w:right w:val="nil"/>
            </w:tcBorders>
            <w:shd w:val="clear" w:color="auto" w:fill="auto"/>
            <w:noWrap/>
            <w:vAlign w:val="bottom"/>
            <w:hideMark/>
          </w:tcPr>
          <w:p w14:paraId="4A62A1E4"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1 472 902</w:t>
            </w:r>
          </w:p>
        </w:tc>
        <w:tc>
          <w:tcPr>
            <w:tcW w:w="657" w:type="pct"/>
            <w:tcBorders>
              <w:top w:val="single" w:sz="4" w:space="0" w:color="auto"/>
              <w:left w:val="nil"/>
              <w:bottom w:val="single" w:sz="4" w:space="0" w:color="auto"/>
              <w:right w:val="nil"/>
            </w:tcBorders>
            <w:shd w:val="clear" w:color="000000" w:fill="BFBFBF"/>
            <w:noWrap/>
            <w:vAlign w:val="bottom"/>
            <w:hideMark/>
          </w:tcPr>
          <w:p w14:paraId="44E97CA6"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1 490 908</w:t>
            </w:r>
          </w:p>
        </w:tc>
        <w:tc>
          <w:tcPr>
            <w:tcW w:w="481" w:type="pct"/>
            <w:tcBorders>
              <w:top w:val="single" w:sz="4" w:space="0" w:color="auto"/>
              <w:left w:val="nil"/>
              <w:bottom w:val="single" w:sz="4" w:space="0" w:color="auto"/>
              <w:right w:val="nil"/>
            </w:tcBorders>
            <w:shd w:val="clear" w:color="auto" w:fill="auto"/>
            <w:noWrap/>
            <w:vAlign w:val="bottom"/>
            <w:hideMark/>
          </w:tcPr>
          <w:p w14:paraId="4C5FB775"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18 006</w:t>
            </w:r>
          </w:p>
        </w:tc>
      </w:tr>
      <w:tr w:rsidR="006822D1" w:rsidRPr="006071C9" w14:paraId="33707484" w14:textId="77777777" w:rsidTr="00280521">
        <w:trPr>
          <w:trHeight w:val="359"/>
        </w:trPr>
        <w:tc>
          <w:tcPr>
            <w:tcW w:w="2546" w:type="pct"/>
            <w:tcBorders>
              <w:top w:val="single" w:sz="4" w:space="0" w:color="auto"/>
              <w:left w:val="nil"/>
              <w:bottom w:val="single" w:sz="4" w:space="0" w:color="auto"/>
              <w:right w:val="nil"/>
            </w:tcBorders>
            <w:shd w:val="clear" w:color="auto" w:fill="auto"/>
            <w:vAlign w:val="bottom"/>
            <w:hideMark/>
          </w:tcPr>
          <w:p w14:paraId="23025E5B" w14:textId="73650931" w:rsidR="006822D1" w:rsidRPr="006071C9" w:rsidRDefault="006822D1" w:rsidP="00632F5D">
            <w:pPr>
              <w:spacing w:after="0" w:line="240" w:lineRule="auto"/>
              <w:jc w:val="left"/>
              <w:rPr>
                <w:rFonts w:eastAsia="Times New Roman" w:cs="Times New Roman"/>
                <w:b/>
                <w:bCs/>
                <w:sz w:val="20"/>
                <w:szCs w:val="20"/>
                <w:lang w:eastAsia="sk-SK"/>
              </w:rPr>
            </w:pPr>
            <w:r w:rsidRPr="006071C9">
              <w:rPr>
                <w:rFonts w:eastAsia="Times New Roman" w:cs="Times New Roman"/>
                <w:b/>
                <w:bCs/>
                <w:sz w:val="20"/>
                <w:szCs w:val="20"/>
                <w:lang w:eastAsia="sk-SK"/>
              </w:rPr>
              <w:t xml:space="preserve">Konsolidovaný príspevok obcí do dlhu </w:t>
            </w:r>
            <w:r w:rsidR="00632F5D">
              <w:rPr>
                <w:rFonts w:eastAsia="Times New Roman" w:cs="Times New Roman"/>
                <w:b/>
                <w:bCs/>
                <w:sz w:val="20"/>
                <w:szCs w:val="20"/>
                <w:lang w:eastAsia="sk-SK"/>
              </w:rPr>
              <w:t>VS</w:t>
            </w:r>
          </w:p>
        </w:tc>
        <w:tc>
          <w:tcPr>
            <w:tcW w:w="658" w:type="pct"/>
            <w:tcBorders>
              <w:top w:val="single" w:sz="4" w:space="0" w:color="auto"/>
              <w:left w:val="nil"/>
              <w:bottom w:val="single" w:sz="4" w:space="0" w:color="auto"/>
              <w:right w:val="nil"/>
            </w:tcBorders>
            <w:shd w:val="clear" w:color="auto" w:fill="auto"/>
            <w:noWrap/>
            <w:vAlign w:val="bottom"/>
            <w:hideMark/>
          </w:tcPr>
          <w:p w14:paraId="2CEA9A95"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629 616</w:t>
            </w:r>
          </w:p>
        </w:tc>
        <w:tc>
          <w:tcPr>
            <w:tcW w:w="658" w:type="pct"/>
            <w:tcBorders>
              <w:top w:val="single" w:sz="4" w:space="0" w:color="auto"/>
              <w:left w:val="nil"/>
              <w:bottom w:val="single" w:sz="4" w:space="0" w:color="auto"/>
              <w:right w:val="nil"/>
            </w:tcBorders>
            <w:shd w:val="clear" w:color="auto" w:fill="auto"/>
            <w:noWrap/>
            <w:vAlign w:val="bottom"/>
            <w:hideMark/>
          </w:tcPr>
          <w:p w14:paraId="3F391195"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697 143</w:t>
            </w:r>
          </w:p>
        </w:tc>
        <w:tc>
          <w:tcPr>
            <w:tcW w:w="657" w:type="pct"/>
            <w:tcBorders>
              <w:top w:val="single" w:sz="4" w:space="0" w:color="auto"/>
              <w:left w:val="nil"/>
              <w:bottom w:val="single" w:sz="4" w:space="0" w:color="auto"/>
              <w:right w:val="nil"/>
            </w:tcBorders>
            <w:shd w:val="clear" w:color="000000" w:fill="BFBFBF"/>
            <w:noWrap/>
            <w:vAlign w:val="bottom"/>
            <w:hideMark/>
          </w:tcPr>
          <w:p w14:paraId="0B64579A"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721 190</w:t>
            </w:r>
          </w:p>
        </w:tc>
        <w:tc>
          <w:tcPr>
            <w:tcW w:w="481" w:type="pct"/>
            <w:tcBorders>
              <w:top w:val="single" w:sz="4" w:space="0" w:color="auto"/>
              <w:left w:val="nil"/>
              <w:bottom w:val="single" w:sz="4" w:space="0" w:color="auto"/>
              <w:right w:val="nil"/>
            </w:tcBorders>
            <w:shd w:val="clear" w:color="auto" w:fill="auto"/>
            <w:noWrap/>
            <w:vAlign w:val="bottom"/>
            <w:hideMark/>
          </w:tcPr>
          <w:p w14:paraId="23815396" w14:textId="77777777" w:rsidR="006822D1" w:rsidRPr="006071C9" w:rsidRDefault="006822D1" w:rsidP="006822D1">
            <w:pPr>
              <w:spacing w:after="0" w:line="240" w:lineRule="auto"/>
              <w:jc w:val="right"/>
              <w:rPr>
                <w:rFonts w:eastAsia="Times New Roman" w:cs="Times New Roman"/>
                <w:b/>
                <w:bCs/>
                <w:sz w:val="20"/>
                <w:szCs w:val="20"/>
                <w:lang w:eastAsia="sk-SK"/>
              </w:rPr>
            </w:pPr>
            <w:r w:rsidRPr="006071C9">
              <w:rPr>
                <w:rFonts w:eastAsia="Times New Roman" w:cs="Times New Roman"/>
                <w:b/>
                <w:bCs/>
                <w:sz w:val="20"/>
                <w:szCs w:val="20"/>
                <w:lang w:eastAsia="sk-SK"/>
              </w:rPr>
              <w:t>24 047</w:t>
            </w:r>
          </w:p>
        </w:tc>
      </w:tr>
    </w:tbl>
    <w:p w14:paraId="7C32A951" w14:textId="77777777" w:rsidR="006822D1" w:rsidRPr="00D273E6" w:rsidRDefault="006822D1" w:rsidP="006822D1">
      <w:pPr>
        <w:spacing w:after="0"/>
        <w:jc w:val="right"/>
        <w:rPr>
          <w:sz w:val="18"/>
          <w:szCs w:val="18"/>
        </w:rPr>
      </w:pPr>
      <w:r w:rsidRPr="00D273E6">
        <w:rPr>
          <w:sz w:val="18"/>
          <w:szCs w:val="18"/>
        </w:rPr>
        <w:t>Zdroj: MF SR</w:t>
      </w:r>
    </w:p>
    <w:p w14:paraId="3E967F90" w14:textId="46C34900" w:rsidR="006822D1" w:rsidRPr="00E01755" w:rsidRDefault="006822D1" w:rsidP="00E01755">
      <w:pPr>
        <w:spacing w:before="120"/>
      </w:pPr>
      <w:r w:rsidRPr="00E01755">
        <w:t xml:space="preserve">Zvýšenie dlhu obcí a miest bolo spôsobené hlavne zvýšením bankových úverov o 27 351 tis. eur,  zábezpeky vzrástli o 1 807 tis. eur a ostatné nebankové pôžičky o 661 tis. eur. Čerpanie úverov zo ŠFRB sa úhrnom zvýšilo o 15 462 tis. eur. Zo štátnych finančných aktív boli v priebehu roka 2019 poskytnuté </w:t>
      </w:r>
      <w:r w:rsidR="00053C7A" w:rsidRPr="00E01755">
        <w:t>návratné finančné výpomoci</w:t>
      </w:r>
      <w:r w:rsidRPr="00E01755">
        <w:t xml:space="preserve"> vo výške 3 500 tis. eur, zároveň boli splatené </w:t>
      </w:r>
      <w:r w:rsidR="00053C7A" w:rsidRPr="00E01755">
        <w:t>výpomoci poskytnuté v predchádzajúcich rokoch v </w:t>
      </w:r>
      <w:r w:rsidRPr="00E01755">
        <w:t xml:space="preserve">celkovej výške 26 656 tis. eur. </w:t>
      </w:r>
    </w:p>
    <w:p w14:paraId="12C16342" w14:textId="44A394F7" w:rsidR="006822D1" w:rsidRPr="00E01755" w:rsidRDefault="006822D1" w:rsidP="00E01755">
      <w:r w:rsidRPr="00E01755">
        <w:t xml:space="preserve">Dlhodobé záväzky z obchodného styku a prijaté preddavky </w:t>
      </w:r>
      <w:r w:rsidR="00AE6122" w:rsidRPr="00E01755">
        <w:t xml:space="preserve">sa na dlhu obcí a ich rozpočtových organizácií podieľajú sumou </w:t>
      </w:r>
      <w:r w:rsidRPr="00E01755">
        <w:t>17 490 tis. eur.</w:t>
      </w:r>
    </w:p>
    <w:p w14:paraId="200999FE" w14:textId="0D4C333C" w:rsidR="00C24665" w:rsidRDefault="006822D1" w:rsidP="006822D1">
      <w:r w:rsidRPr="00AF69A9">
        <w:rPr>
          <w:b/>
        </w:rPr>
        <w:t xml:space="preserve">Vyššie územné celky </w:t>
      </w:r>
      <w:r w:rsidRPr="00AF69A9">
        <w:t>(vrátane ich rozpočtových organizácií)</w:t>
      </w:r>
      <w:r w:rsidRPr="00AF69A9">
        <w:rPr>
          <w:b/>
        </w:rPr>
        <w:t xml:space="preserve"> </w:t>
      </w:r>
      <w:r w:rsidRPr="00AF69A9">
        <w:t xml:space="preserve">sa podieľajú na dlhu verejnej správy hodnotou 391 001 tis. eur, čo je o 28 182 tis. eur viac ako v predchádzajúcom roku. Dlh VÚC tvoria bankové úvery vo výške 374 453 tis. eur, návratné finančné výpomoci v celkovej sume 15 500 tis. eur, prijaté zábezpeky v hodnote 945 tis. eur a dlhodobé záväzky z obchodného styku a prijaté preddavky vo výške 103 tis. eur. </w:t>
      </w:r>
      <w:r w:rsidRPr="00755819">
        <w:t xml:space="preserve">Z celkového dlhu predstavujú záväzky voči domácim veriteľom 206 357 tis. eur (52,8 %) a voči zahraničným veriteľom 184 644 tis. eur (47,2 %). Úvermi od zahraničných veriteľov disponuje Bratislavský (33 369 tis. eur), Trenčiansky (3 964 tis. eur), Žilinský (47 531 tis. eur), Prešovský (59 903 tis. eur) a Košický samosprávny kraj (39 877 tis. eur). Z hľadiska pôvodnej splatnosti je dlh </w:t>
      </w:r>
      <w:r w:rsidR="0015169B">
        <w:t>VÚC</w:t>
      </w:r>
      <w:r w:rsidRPr="00755819">
        <w:t xml:space="preserve"> takmer v celej hodnote tvorený dlhodobými záväzkami (99,8 %).</w:t>
      </w:r>
    </w:p>
    <w:p w14:paraId="3F563BF2" w14:textId="77777777" w:rsidR="00C24665" w:rsidRDefault="00C24665">
      <w:pPr>
        <w:spacing w:after="160" w:line="259" w:lineRule="auto"/>
        <w:jc w:val="left"/>
      </w:pPr>
      <w:r>
        <w:br w:type="page"/>
      </w:r>
    </w:p>
    <w:tbl>
      <w:tblPr>
        <w:tblW w:w="4942" w:type="pct"/>
        <w:tblLayout w:type="fixed"/>
        <w:tblCellMar>
          <w:left w:w="70" w:type="dxa"/>
          <w:right w:w="70" w:type="dxa"/>
        </w:tblCellMar>
        <w:tblLook w:val="04A0" w:firstRow="1" w:lastRow="0" w:firstColumn="1" w:lastColumn="0" w:noHBand="0" w:noVBand="1"/>
      </w:tblPr>
      <w:tblGrid>
        <w:gridCol w:w="2132"/>
        <w:gridCol w:w="1440"/>
        <w:gridCol w:w="1694"/>
        <w:gridCol w:w="30"/>
        <w:gridCol w:w="1652"/>
        <w:gridCol w:w="1456"/>
      </w:tblGrid>
      <w:tr w:rsidR="006822D1" w:rsidRPr="00AF69A9" w14:paraId="432BE318" w14:textId="77777777" w:rsidTr="001908BA">
        <w:trPr>
          <w:trHeight w:val="424"/>
        </w:trPr>
        <w:tc>
          <w:tcPr>
            <w:tcW w:w="4134" w:type="pct"/>
            <w:gridSpan w:val="5"/>
            <w:tcBorders>
              <w:top w:val="single" w:sz="4" w:space="0" w:color="auto"/>
              <w:left w:val="nil"/>
              <w:bottom w:val="single" w:sz="4" w:space="0" w:color="auto"/>
              <w:right w:val="nil"/>
            </w:tcBorders>
            <w:shd w:val="clear" w:color="000000" w:fill="000000"/>
            <w:noWrap/>
            <w:vAlign w:val="center"/>
            <w:hideMark/>
          </w:tcPr>
          <w:p w14:paraId="2B6575E6" w14:textId="6D848F19" w:rsidR="006822D1" w:rsidRPr="00AF69A9" w:rsidRDefault="006822D1" w:rsidP="00437773">
            <w:pPr>
              <w:spacing w:after="0" w:line="240" w:lineRule="auto"/>
              <w:jc w:val="left"/>
              <w:rPr>
                <w:rFonts w:eastAsia="Times New Roman" w:cs="Times New Roman"/>
                <w:b/>
                <w:bCs/>
                <w:color w:val="FFFFFF"/>
                <w:sz w:val="20"/>
                <w:szCs w:val="20"/>
                <w:lang w:eastAsia="sk-SK"/>
              </w:rPr>
            </w:pPr>
            <w:r w:rsidRPr="00AF69A9">
              <w:rPr>
                <w:rFonts w:eastAsia="Times New Roman" w:cs="Times New Roman"/>
                <w:b/>
                <w:bCs/>
                <w:color w:val="FFFFFF"/>
                <w:sz w:val="20"/>
                <w:szCs w:val="20"/>
                <w:lang w:eastAsia="sk-SK"/>
              </w:rPr>
              <w:t xml:space="preserve">Dlh VÚC </w:t>
            </w:r>
            <w:r w:rsidR="00437773" w:rsidRPr="006071C9">
              <w:rPr>
                <w:rFonts w:eastAsia="Times New Roman" w:cs="Times New Roman"/>
                <w:b/>
                <w:bCs/>
                <w:color w:val="FFFFFF"/>
                <w:sz w:val="20"/>
                <w:szCs w:val="20"/>
                <w:lang w:eastAsia="sk-SK"/>
              </w:rPr>
              <w:t>podľa dlhového nástroja</w:t>
            </w:r>
            <w:r w:rsidR="00437773">
              <w:rPr>
                <w:rFonts w:eastAsia="Times New Roman" w:cs="Times New Roman"/>
                <w:b/>
                <w:bCs/>
                <w:color w:val="FFFFFF"/>
                <w:sz w:val="20"/>
                <w:szCs w:val="20"/>
                <w:lang w:eastAsia="sk-SK"/>
              </w:rPr>
              <w:t xml:space="preserve"> </w:t>
            </w:r>
            <w:r w:rsidRPr="00AF69A9">
              <w:rPr>
                <w:rFonts w:eastAsia="Times New Roman" w:cs="Times New Roman"/>
                <w:b/>
                <w:bCs/>
                <w:color w:val="FFFFFF"/>
                <w:sz w:val="20"/>
                <w:szCs w:val="20"/>
                <w:lang w:eastAsia="sk-SK"/>
              </w:rPr>
              <w:t>k 31.</w:t>
            </w:r>
            <w:r w:rsidR="00280521">
              <w:rPr>
                <w:rFonts w:eastAsia="Times New Roman" w:cs="Times New Roman"/>
                <w:b/>
                <w:bCs/>
                <w:color w:val="FFFFFF"/>
                <w:sz w:val="20"/>
                <w:szCs w:val="20"/>
                <w:lang w:eastAsia="sk-SK"/>
              </w:rPr>
              <w:t xml:space="preserve"> </w:t>
            </w:r>
            <w:r w:rsidRPr="00AF69A9">
              <w:rPr>
                <w:rFonts w:eastAsia="Times New Roman" w:cs="Times New Roman"/>
                <w:b/>
                <w:bCs/>
                <w:color w:val="FFFFFF"/>
                <w:sz w:val="20"/>
                <w:szCs w:val="20"/>
                <w:lang w:eastAsia="sk-SK"/>
              </w:rPr>
              <w:t>12.</w:t>
            </w:r>
            <w:r w:rsidR="00280521">
              <w:rPr>
                <w:rFonts w:eastAsia="Times New Roman" w:cs="Times New Roman"/>
                <w:b/>
                <w:bCs/>
                <w:color w:val="FFFFFF"/>
                <w:sz w:val="20"/>
                <w:szCs w:val="20"/>
                <w:lang w:eastAsia="sk-SK"/>
              </w:rPr>
              <w:t xml:space="preserve"> </w:t>
            </w:r>
            <w:r w:rsidRPr="00AF69A9">
              <w:rPr>
                <w:rFonts w:eastAsia="Times New Roman" w:cs="Times New Roman"/>
                <w:b/>
                <w:bCs/>
                <w:color w:val="FFFFFF"/>
                <w:sz w:val="20"/>
                <w:szCs w:val="20"/>
                <w:lang w:eastAsia="sk-SK"/>
              </w:rPr>
              <w:t>2019</w:t>
            </w:r>
          </w:p>
        </w:tc>
        <w:tc>
          <w:tcPr>
            <w:tcW w:w="866" w:type="pct"/>
            <w:tcBorders>
              <w:top w:val="single" w:sz="4" w:space="0" w:color="auto"/>
              <w:left w:val="nil"/>
              <w:bottom w:val="single" w:sz="4" w:space="0" w:color="auto"/>
              <w:right w:val="nil"/>
            </w:tcBorders>
            <w:shd w:val="clear" w:color="000000" w:fill="000000"/>
            <w:noWrap/>
            <w:vAlign w:val="center"/>
            <w:hideMark/>
          </w:tcPr>
          <w:p w14:paraId="6E68BD1D" w14:textId="77777777" w:rsidR="006822D1" w:rsidRPr="00AF69A9" w:rsidRDefault="006822D1" w:rsidP="00E5093C">
            <w:pPr>
              <w:spacing w:after="0" w:line="240" w:lineRule="auto"/>
              <w:jc w:val="center"/>
              <w:rPr>
                <w:rFonts w:eastAsia="Times New Roman" w:cs="Times New Roman"/>
                <w:b/>
                <w:bCs/>
                <w:color w:val="FFFFFF"/>
                <w:sz w:val="20"/>
                <w:szCs w:val="20"/>
                <w:lang w:eastAsia="sk-SK"/>
              </w:rPr>
            </w:pPr>
            <w:r w:rsidRPr="00AF69A9">
              <w:rPr>
                <w:rFonts w:eastAsia="Times New Roman" w:cs="Times New Roman"/>
                <w:b/>
                <w:bCs/>
                <w:color w:val="FFFFFF"/>
                <w:sz w:val="20"/>
                <w:szCs w:val="20"/>
                <w:lang w:eastAsia="sk-SK"/>
              </w:rPr>
              <w:t>v tis. eur</w:t>
            </w:r>
          </w:p>
        </w:tc>
      </w:tr>
      <w:tr w:rsidR="006822D1" w:rsidRPr="00AF69A9" w14:paraId="6C5F4A57" w14:textId="77777777" w:rsidTr="00097736">
        <w:trPr>
          <w:trHeight w:val="360"/>
        </w:trPr>
        <w:tc>
          <w:tcPr>
            <w:tcW w:w="1268" w:type="pct"/>
            <w:tcBorders>
              <w:top w:val="single" w:sz="4" w:space="0" w:color="auto"/>
              <w:left w:val="nil"/>
              <w:bottom w:val="nil"/>
              <w:right w:val="nil"/>
            </w:tcBorders>
            <w:shd w:val="clear" w:color="000000" w:fill="BFBFBF"/>
            <w:noWrap/>
            <w:vAlign w:val="center"/>
            <w:hideMark/>
          </w:tcPr>
          <w:p w14:paraId="05B3D661" w14:textId="6581E7F7" w:rsidR="006822D1" w:rsidRPr="00AF69A9" w:rsidRDefault="00432C31" w:rsidP="006822D1">
            <w:pPr>
              <w:spacing w:after="0" w:line="240" w:lineRule="auto"/>
              <w:rPr>
                <w:rFonts w:eastAsia="Times New Roman" w:cs="Times New Roman"/>
                <w:b/>
                <w:bCs/>
                <w:sz w:val="20"/>
                <w:szCs w:val="20"/>
                <w:lang w:eastAsia="sk-SK"/>
              </w:rPr>
            </w:pPr>
            <w:r>
              <w:rPr>
                <w:rFonts w:eastAsia="Times New Roman" w:cs="Times New Roman"/>
                <w:b/>
                <w:bCs/>
                <w:sz w:val="20"/>
                <w:szCs w:val="20"/>
                <w:lang w:eastAsia="sk-SK"/>
              </w:rPr>
              <w:t>VÚC</w:t>
            </w:r>
          </w:p>
        </w:tc>
        <w:tc>
          <w:tcPr>
            <w:tcW w:w="857" w:type="pct"/>
            <w:tcBorders>
              <w:top w:val="single" w:sz="4" w:space="0" w:color="auto"/>
              <w:left w:val="nil"/>
              <w:bottom w:val="nil"/>
              <w:right w:val="nil"/>
            </w:tcBorders>
            <w:shd w:val="clear" w:color="000000" w:fill="BFBFBF"/>
            <w:noWrap/>
            <w:vAlign w:val="center"/>
            <w:hideMark/>
          </w:tcPr>
          <w:p w14:paraId="5F3405BA" w14:textId="77777777" w:rsidR="006822D1" w:rsidRPr="00AF69A9" w:rsidRDefault="006822D1" w:rsidP="003056F8">
            <w:pPr>
              <w:spacing w:after="0" w:line="240" w:lineRule="auto"/>
              <w:jc w:val="center"/>
              <w:rPr>
                <w:rFonts w:eastAsia="Times New Roman" w:cs="Times New Roman"/>
                <w:b/>
                <w:bCs/>
                <w:sz w:val="20"/>
                <w:szCs w:val="20"/>
                <w:lang w:eastAsia="sk-SK"/>
              </w:rPr>
            </w:pPr>
            <w:r w:rsidRPr="00AF69A9">
              <w:rPr>
                <w:rFonts w:eastAsia="Times New Roman" w:cs="Times New Roman"/>
                <w:b/>
                <w:bCs/>
                <w:sz w:val="20"/>
                <w:szCs w:val="20"/>
                <w:lang w:eastAsia="sk-SK"/>
              </w:rPr>
              <w:t>Bankové úvery</w:t>
            </w:r>
          </w:p>
        </w:tc>
        <w:tc>
          <w:tcPr>
            <w:tcW w:w="1026" w:type="pct"/>
            <w:gridSpan w:val="2"/>
            <w:tcBorders>
              <w:top w:val="single" w:sz="4" w:space="0" w:color="auto"/>
              <w:left w:val="nil"/>
              <w:bottom w:val="nil"/>
              <w:right w:val="nil"/>
            </w:tcBorders>
            <w:shd w:val="clear" w:color="000000" w:fill="BFBFBF"/>
            <w:noWrap/>
            <w:vAlign w:val="center"/>
            <w:hideMark/>
          </w:tcPr>
          <w:p w14:paraId="69CC9D24" w14:textId="77777777" w:rsidR="006822D1" w:rsidRPr="00AF69A9" w:rsidRDefault="006822D1" w:rsidP="003056F8">
            <w:pPr>
              <w:spacing w:after="0" w:line="240" w:lineRule="auto"/>
              <w:jc w:val="center"/>
              <w:rPr>
                <w:rFonts w:eastAsia="Times New Roman" w:cs="Times New Roman"/>
                <w:b/>
                <w:bCs/>
                <w:sz w:val="20"/>
                <w:szCs w:val="20"/>
                <w:lang w:eastAsia="sk-SK"/>
              </w:rPr>
            </w:pPr>
            <w:r w:rsidRPr="00AF69A9">
              <w:rPr>
                <w:rFonts w:eastAsia="Times New Roman" w:cs="Times New Roman"/>
                <w:b/>
                <w:bCs/>
                <w:sz w:val="20"/>
                <w:szCs w:val="20"/>
                <w:lang w:eastAsia="sk-SK"/>
              </w:rPr>
              <w:t>Návratné fin. výpomoci</w:t>
            </w:r>
          </w:p>
        </w:tc>
        <w:tc>
          <w:tcPr>
            <w:tcW w:w="983" w:type="pct"/>
            <w:tcBorders>
              <w:top w:val="single" w:sz="4" w:space="0" w:color="auto"/>
              <w:left w:val="nil"/>
              <w:bottom w:val="nil"/>
              <w:right w:val="nil"/>
            </w:tcBorders>
            <w:shd w:val="clear" w:color="000000" w:fill="BFBFBF"/>
            <w:noWrap/>
            <w:vAlign w:val="center"/>
            <w:hideMark/>
          </w:tcPr>
          <w:p w14:paraId="69B54F7C" w14:textId="77777777" w:rsidR="006822D1" w:rsidRPr="00AF69A9" w:rsidRDefault="006822D1" w:rsidP="003056F8">
            <w:pPr>
              <w:spacing w:after="0" w:line="240" w:lineRule="auto"/>
              <w:jc w:val="center"/>
              <w:rPr>
                <w:rFonts w:eastAsia="Times New Roman" w:cs="Times New Roman"/>
                <w:b/>
                <w:bCs/>
                <w:sz w:val="20"/>
                <w:szCs w:val="20"/>
                <w:lang w:eastAsia="sk-SK"/>
              </w:rPr>
            </w:pPr>
            <w:r w:rsidRPr="00AF69A9">
              <w:rPr>
                <w:rFonts w:eastAsia="Times New Roman" w:cs="Times New Roman"/>
                <w:b/>
                <w:bCs/>
                <w:sz w:val="20"/>
                <w:szCs w:val="20"/>
                <w:lang w:eastAsia="sk-SK"/>
              </w:rPr>
              <w:t>Ostatné dlhové nástroje</w:t>
            </w:r>
          </w:p>
        </w:tc>
        <w:tc>
          <w:tcPr>
            <w:tcW w:w="866" w:type="pct"/>
            <w:tcBorders>
              <w:top w:val="single" w:sz="4" w:space="0" w:color="auto"/>
              <w:left w:val="nil"/>
              <w:bottom w:val="nil"/>
              <w:right w:val="nil"/>
            </w:tcBorders>
            <w:shd w:val="clear" w:color="000000" w:fill="BFBFBF"/>
            <w:noWrap/>
            <w:vAlign w:val="center"/>
            <w:hideMark/>
          </w:tcPr>
          <w:p w14:paraId="6BB726FB" w14:textId="77777777" w:rsidR="006822D1" w:rsidRPr="00AF69A9" w:rsidRDefault="006822D1" w:rsidP="003056F8">
            <w:pPr>
              <w:spacing w:after="0" w:line="240" w:lineRule="auto"/>
              <w:jc w:val="center"/>
              <w:rPr>
                <w:rFonts w:eastAsia="Times New Roman" w:cs="Times New Roman"/>
                <w:b/>
                <w:bCs/>
                <w:sz w:val="20"/>
                <w:szCs w:val="20"/>
                <w:lang w:eastAsia="sk-SK"/>
              </w:rPr>
            </w:pPr>
            <w:r w:rsidRPr="00AF69A9">
              <w:rPr>
                <w:rFonts w:eastAsia="Times New Roman" w:cs="Times New Roman"/>
                <w:b/>
                <w:bCs/>
                <w:sz w:val="20"/>
                <w:szCs w:val="20"/>
                <w:lang w:eastAsia="sk-SK"/>
              </w:rPr>
              <w:t>Spolu</w:t>
            </w:r>
          </w:p>
        </w:tc>
      </w:tr>
      <w:tr w:rsidR="00097736" w:rsidRPr="00AF69A9" w14:paraId="04B69AF6" w14:textId="77777777" w:rsidTr="00097736">
        <w:trPr>
          <w:trHeight w:val="300"/>
        </w:trPr>
        <w:tc>
          <w:tcPr>
            <w:tcW w:w="1268" w:type="pct"/>
            <w:tcBorders>
              <w:top w:val="nil"/>
              <w:left w:val="nil"/>
              <w:bottom w:val="nil"/>
              <w:right w:val="nil"/>
            </w:tcBorders>
            <w:shd w:val="clear" w:color="auto" w:fill="auto"/>
            <w:noWrap/>
            <w:vAlign w:val="bottom"/>
            <w:hideMark/>
          </w:tcPr>
          <w:p w14:paraId="44CC5C8E" w14:textId="77777777" w:rsidR="00097736" w:rsidRPr="00AF69A9" w:rsidRDefault="00097736" w:rsidP="00FC07F3">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Žilinský</w:t>
            </w:r>
          </w:p>
        </w:tc>
        <w:tc>
          <w:tcPr>
            <w:tcW w:w="857" w:type="pct"/>
            <w:tcBorders>
              <w:top w:val="nil"/>
              <w:left w:val="nil"/>
              <w:bottom w:val="nil"/>
              <w:right w:val="nil"/>
            </w:tcBorders>
            <w:shd w:val="clear" w:color="auto" w:fill="auto"/>
            <w:noWrap/>
            <w:vAlign w:val="bottom"/>
            <w:hideMark/>
          </w:tcPr>
          <w:p w14:paraId="6F0780AF"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80 751</w:t>
            </w:r>
          </w:p>
        </w:tc>
        <w:tc>
          <w:tcPr>
            <w:tcW w:w="1026" w:type="pct"/>
            <w:gridSpan w:val="2"/>
            <w:tcBorders>
              <w:top w:val="nil"/>
              <w:left w:val="nil"/>
              <w:bottom w:val="nil"/>
              <w:right w:val="nil"/>
            </w:tcBorders>
            <w:shd w:val="clear" w:color="auto" w:fill="auto"/>
            <w:noWrap/>
            <w:vAlign w:val="bottom"/>
            <w:hideMark/>
          </w:tcPr>
          <w:p w14:paraId="0DE0B642"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2 500</w:t>
            </w:r>
          </w:p>
        </w:tc>
        <w:tc>
          <w:tcPr>
            <w:tcW w:w="983" w:type="pct"/>
            <w:tcBorders>
              <w:top w:val="nil"/>
              <w:left w:val="nil"/>
              <w:bottom w:val="nil"/>
              <w:right w:val="nil"/>
            </w:tcBorders>
            <w:shd w:val="clear" w:color="auto" w:fill="auto"/>
            <w:noWrap/>
            <w:vAlign w:val="bottom"/>
            <w:hideMark/>
          </w:tcPr>
          <w:p w14:paraId="00BCBF0C"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254</w:t>
            </w:r>
          </w:p>
        </w:tc>
        <w:tc>
          <w:tcPr>
            <w:tcW w:w="866" w:type="pct"/>
            <w:tcBorders>
              <w:top w:val="nil"/>
              <w:left w:val="nil"/>
              <w:bottom w:val="nil"/>
              <w:right w:val="nil"/>
            </w:tcBorders>
            <w:shd w:val="clear" w:color="000000" w:fill="BFBFBF"/>
            <w:noWrap/>
            <w:vAlign w:val="bottom"/>
            <w:hideMark/>
          </w:tcPr>
          <w:p w14:paraId="63F9E442"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83 505</w:t>
            </w:r>
          </w:p>
        </w:tc>
      </w:tr>
      <w:tr w:rsidR="00097736" w:rsidRPr="00AF69A9" w14:paraId="13A2CA8C" w14:textId="77777777" w:rsidTr="00FC07F3">
        <w:trPr>
          <w:trHeight w:val="300"/>
        </w:trPr>
        <w:tc>
          <w:tcPr>
            <w:tcW w:w="1268" w:type="pct"/>
            <w:tcBorders>
              <w:top w:val="nil"/>
              <w:left w:val="nil"/>
              <w:bottom w:val="nil"/>
              <w:right w:val="nil"/>
            </w:tcBorders>
            <w:shd w:val="clear" w:color="auto" w:fill="auto"/>
            <w:noWrap/>
            <w:vAlign w:val="bottom"/>
            <w:hideMark/>
          </w:tcPr>
          <w:p w14:paraId="4A48E2CD" w14:textId="77777777" w:rsidR="00097736" w:rsidRPr="00AF69A9" w:rsidRDefault="00097736" w:rsidP="00FC07F3">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Prešovský</w:t>
            </w:r>
          </w:p>
        </w:tc>
        <w:tc>
          <w:tcPr>
            <w:tcW w:w="857" w:type="pct"/>
            <w:tcBorders>
              <w:top w:val="nil"/>
              <w:left w:val="nil"/>
              <w:bottom w:val="nil"/>
              <w:right w:val="nil"/>
            </w:tcBorders>
            <w:shd w:val="clear" w:color="auto" w:fill="auto"/>
            <w:noWrap/>
            <w:vAlign w:val="bottom"/>
            <w:hideMark/>
          </w:tcPr>
          <w:p w14:paraId="6931AD6F"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61 432</w:t>
            </w:r>
          </w:p>
        </w:tc>
        <w:tc>
          <w:tcPr>
            <w:tcW w:w="1026" w:type="pct"/>
            <w:gridSpan w:val="2"/>
            <w:tcBorders>
              <w:top w:val="nil"/>
              <w:left w:val="nil"/>
              <w:bottom w:val="nil"/>
              <w:right w:val="nil"/>
            </w:tcBorders>
            <w:shd w:val="clear" w:color="auto" w:fill="auto"/>
            <w:noWrap/>
            <w:vAlign w:val="bottom"/>
            <w:hideMark/>
          </w:tcPr>
          <w:p w14:paraId="31D768CC"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5 000</w:t>
            </w:r>
          </w:p>
        </w:tc>
        <w:tc>
          <w:tcPr>
            <w:tcW w:w="983" w:type="pct"/>
            <w:tcBorders>
              <w:top w:val="nil"/>
              <w:left w:val="nil"/>
              <w:bottom w:val="nil"/>
              <w:right w:val="nil"/>
            </w:tcBorders>
            <w:shd w:val="clear" w:color="auto" w:fill="auto"/>
            <w:noWrap/>
            <w:vAlign w:val="bottom"/>
            <w:hideMark/>
          </w:tcPr>
          <w:p w14:paraId="2FDC1C0C"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134</w:t>
            </w:r>
          </w:p>
        </w:tc>
        <w:tc>
          <w:tcPr>
            <w:tcW w:w="866" w:type="pct"/>
            <w:tcBorders>
              <w:top w:val="nil"/>
              <w:left w:val="nil"/>
              <w:bottom w:val="nil"/>
              <w:right w:val="nil"/>
            </w:tcBorders>
            <w:shd w:val="clear" w:color="000000" w:fill="BFBFBF"/>
            <w:noWrap/>
            <w:vAlign w:val="bottom"/>
            <w:hideMark/>
          </w:tcPr>
          <w:p w14:paraId="2A2CCC35"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66 566</w:t>
            </w:r>
          </w:p>
        </w:tc>
      </w:tr>
      <w:tr w:rsidR="00097736" w:rsidRPr="00AF69A9" w14:paraId="578F18D0" w14:textId="77777777" w:rsidTr="00FC07F3">
        <w:trPr>
          <w:trHeight w:val="300"/>
        </w:trPr>
        <w:tc>
          <w:tcPr>
            <w:tcW w:w="1268" w:type="pct"/>
            <w:tcBorders>
              <w:top w:val="nil"/>
              <w:left w:val="nil"/>
              <w:bottom w:val="nil"/>
              <w:right w:val="nil"/>
            </w:tcBorders>
            <w:shd w:val="clear" w:color="auto" w:fill="auto"/>
            <w:noWrap/>
            <w:vAlign w:val="bottom"/>
            <w:hideMark/>
          </w:tcPr>
          <w:p w14:paraId="46800721" w14:textId="77777777" w:rsidR="00097736" w:rsidRPr="00AF69A9" w:rsidRDefault="00097736" w:rsidP="00FC07F3">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Trnavský</w:t>
            </w:r>
          </w:p>
        </w:tc>
        <w:tc>
          <w:tcPr>
            <w:tcW w:w="857" w:type="pct"/>
            <w:tcBorders>
              <w:top w:val="nil"/>
              <w:left w:val="nil"/>
              <w:bottom w:val="nil"/>
              <w:right w:val="nil"/>
            </w:tcBorders>
            <w:shd w:val="clear" w:color="auto" w:fill="auto"/>
            <w:noWrap/>
            <w:vAlign w:val="bottom"/>
            <w:hideMark/>
          </w:tcPr>
          <w:p w14:paraId="389E62D1"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54 541</w:t>
            </w:r>
          </w:p>
        </w:tc>
        <w:tc>
          <w:tcPr>
            <w:tcW w:w="1026" w:type="pct"/>
            <w:gridSpan w:val="2"/>
            <w:tcBorders>
              <w:top w:val="nil"/>
              <w:left w:val="nil"/>
              <w:bottom w:val="nil"/>
              <w:right w:val="nil"/>
            </w:tcBorders>
            <w:shd w:val="clear" w:color="auto" w:fill="auto"/>
            <w:noWrap/>
            <w:vAlign w:val="bottom"/>
            <w:hideMark/>
          </w:tcPr>
          <w:p w14:paraId="2F41BFFF" w14:textId="77777777" w:rsidR="00097736" w:rsidRPr="00AF69A9" w:rsidRDefault="00097736" w:rsidP="00FC07F3">
            <w:pPr>
              <w:spacing w:after="0" w:line="240" w:lineRule="auto"/>
              <w:jc w:val="right"/>
              <w:rPr>
                <w:rFonts w:eastAsia="Times New Roman" w:cs="Times New Roman"/>
                <w:sz w:val="20"/>
                <w:szCs w:val="20"/>
                <w:lang w:eastAsia="sk-SK"/>
              </w:rPr>
            </w:pPr>
            <w:r>
              <w:rPr>
                <w:rFonts w:eastAsia="Times New Roman" w:cs="Times New Roman"/>
                <w:sz w:val="20"/>
                <w:szCs w:val="20"/>
                <w:lang w:eastAsia="sk-SK"/>
              </w:rPr>
              <w:t>0</w:t>
            </w:r>
          </w:p>
        </w:tc>
        <w:tc>
          <w:tcPr>
            <w:tcW w:w="983" w:type="pct"/>
            <w:tcBorders>
              <w:top w:val="nil"/>
              <w:left w:val="nil"/>
              <w:bottom w:val="nil"/>
              <w:right w:val="nil"/>
            </w:tcBorders>
            <w:shd w:val="clear" w:color="auto" w:fill="auto"/>
            <w:noWrap/>
            <w:vAlign w:val="bottom"/>
            <w:hideMark/>
          </w:tcPr>
          <w:p w14:paraId="086F6BD6"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0</w:t>
            </w:r>
          </w:p>
        </w:tc>
        <w:tc>
          <w:tcPr>
            <w:tcW w:w="866" w:type="pct"/>
            <w:tcBorders>
              <w:top w:val="nil"/>
              <w:left w:val="nil"/>
              <w:bottom w:val="nil"/>
              <w:right w:val="nil"/>
            </w:tcBorders>
            <w:shd w:val="clear" w:color="000000" w:fill="BFBFBF"/>
            <w:noWrap/>
            <w:vAlign w:val="bottom"/>
            <w:hideMark/>
          </w:tcPr>
          <w:p w14:paraId="3588AE2F"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54 541</w:t>
            </w:r>
          </w:p>
        </w:tc>
      </w:tr>
      <w:tr w:rsidR="006822D1" w:rsidRPr="00AF69A9" w14:paraId="640F21E9" w14:textId="77777777" w:rsidTr="00097736">
        <w:trPr>
          <w:trHeight w:val="300"/>
        </w:trPr>
        <w:tc>
          <w:tcPr>
            <w:tcW w:w="1268" w:type="pct"/>
            <w:tcBorders>
              <w:top w:val="nil"/>
              <w:left w:val="nil"/>
              <w:bottom w:val="nil"/>
              <w:right w:val="nil"/>
            </w:tcBorders>
            <w:shd w:val="clear" w:color="auto" w:fill="auto"/>
            <w:noWrap/>
            <w:vAlign w:val="bottom"/>
            <w:hideMark/>
          </w:tcPr>
          <w:p w14:paraId="1EB3DFD2" w14:textId="77777777" w:rsidR="006822D1" w:rsidRPr="00AF69A9" w:rsidRDefault="006822D1" w:rsidP="006822D1">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Bratislavský</w:t>
            </w:r>
          </w:p>
        </w:tc>
        <w:tc>
          <w:tcPr>
            <w:tcW w:w="857" w:type="pct"/>
            <w:tcBorders>
              <w:top w:val="nil"/>
              <w:left w:val="nil"/>
              <w:bottom w:val="nil"/>
              <w:right w:val="nil"/>
            </w:tcBorders>
            <w:shd w:val="clear" w:color="auto" w:fill="auto"/>
            <w:noWrap/>
            <w:vAlign w:val="bottom"/>
            <w:hideMark/>
          </w:tcPr>
          <w:p w14:paraId="759E4AA3"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53 581</w:t>
            </w:r>
          </w:p>
        </w:tc>
        <w:tc>
          <w:tcPr>
            <w:tcW w:w="1026" w:type="pct"/>
            <w:gridSpan w:val="2"/>
            <w:tcBorders>
              <w:top w:val="nil"/>
              <w:left w:val="nil"/>
              <w:bottom w:val="nil"/>
              <w:right w:val="nil"/>
            </w:tcBorders>
            <w:shd w:val="clear" w:color="auto" w:fill="auto"/>
            <w:noWrap/>
            <w:vAlign w:val="bottom"/>
            <w:hideMark/>
          </w:tcPr>
          <w:p w14:paraId="54A236C4" w14:textId="41F60D14" w:rsidR="006822D1" w:rsidRPr="00AF69A9" w:rsidRDefault="003056F8" w:rsidP="006822D1">
            <w:pPr>
              <w:spacing w:after="0" w:line="240" w:lineRule="auto"/>
              <w:jc w:val="right"/>
              <w:rPr>
                <w:rFonts w:eastAsia="Times New Roman" w:cs="Times New Roman"/>
                <w:sz w:val="20"/>
                <w:szCs w:val="20"/>
                <w:lang w:eastAsia="sk-SK"/>
              </w:rPr>
            </w:pPr>
            <w:r>
              <w:rPr>
                <w:rFonts w:eastAsia="Times New Roman" w:cs="Times New Roman"/>
                <w:sz w:val="20"/>
                <w:szCs w:val="20"/>
                <w:lang w:eastAsia="sk-SK"/>
              </w:rPr>
              <w:t>0</w:t>
            </w:r>
          </w:p>
        </w:tc>
        <w:tc>
          <w:tcPr>
            <w:tcW w:w="983" w:type="pct"/>
            <w:tcBorders>
              <w:top w:val="nil"/>
              <w:left w:val="nil"/>
              <w:bottom w:val="nil"/>
              <w:right w:val="nil"/>
            </w:tcBorders>
            <w:shd w:val="clear" w:color="auto" w:fill="auto"/>
            <w:noWrap/>
            <w:vAlign w:val="bottom"/>
            <w:hideMark/>
          </w:tcPr>
          <w:p w14:paraId="6E1BD83D"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27</w:t>
            </w:r>
          </w:p>
        </w:tc>
        <w:tc>
          <w:tcPr>
            <w:tcW w:w="866" w:type="pct"/>
            <w:tcBorders>
              <w:top w:val="nil"/>
              <w:left w:val="nil"/>
              <w:bottom w:val="nil"/>
              <w:right w:val="nil"/>
            </w:tcBorders>
            <w:shd w:val="clear" w:color="000000" w:fill="BFBFBF"/>
            <w:noWrap/>
            <w:vAlign w:val="bottom"/>
            <w:hideMark/>
          </w:tcPr>
          <w:p w14:paraId="3D439099"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53 608</w:t>
            </w:r>
          </w:p>
        </w:tc>
      </w:tr>
      <w:tr w:rsidR="006822D1" w:rsidRPr="00AF69A9" w14:paraId="6689407D" w14:textId="77777777" w:rsidTr="00097736">
        <w:trPr>
          <w:trHeight w:val="300"/>
        </w:trPr>
        <w:tc>
          <w:tcPr>
            <w:tcW w:w="1268" w:type="pct"/>
            <w:tcBorders>
              <w:top w:val="nil"/>
              <w:left w:val="nil"/>
              <w:bottom w:val="nil"/>
              <w:right w:val="nil"/>
            </w:tcBorders>
            <w:shd w:val="clear" w:color="auto" w:fill="auto"/>
            <w:noWrap/>
            <w:vAlign w:val="bottom"/>
            <w:hideMark/>
          </w:tcPr>
          <w:p w14:paraId="45F9FE80" w14:textId="77777777" w:rsidR="006822D1" w:rsidRPr="00AF69A9" w:rsidRDefault="006822D1" w:rsidP="006822D1">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Trenčiansky</w:t>
            </w:r>
          </w:p>
        </w:tc>
        <w:tc>
          <w:tcPr>
            <w:tcW w:w="857" w:type="pct"/>
            <w:tcBorders>
              <w:top w:val="nil"/>
              <w:left w:val="nil"/>
              <w:bottom w:val="nil"/>
              <w:right w:val="nil"/>
            </w:tcBorders>
            <w:shd w:val="clear" w:color="auto" w:fill="auto"/>
            <w:noWrap/>
            <w:vAlign w:val="bottom"/>
            <w:hideMark/>
          </w:tcPr>
          <w:p w14:paraId="22A54B0B"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45 850</w:t>
            </w:r>
          </w:p>
        </w:tc>
        <w:tc>
          <w:tcPr>
            <w:tcW w:w="1008" w:type="pct"/>
            <w:tcBorders>
              <w:top w:val="nil"/>
              <w:left w:val="nil"/>
              <w:bottom w:val="nil"/>
              <w:right w:val="nil"/>
            </w:tcBorders>
            <w:shd w:val="clear" w:color="auto" w:fill="auto"/>
            <w:noWrap/>
            <w:vAlign w:val="bottom"/>
            <w:hideMark/>
          </w:tcPr>
          <w:p w14:paraId="3A3CB6F8" w14:textId="0EADA4E8" w:rsidR="006822D1" w:rsidRPr="00AF69A9" w:rsidRDefault="003056F8" w:rsidP="006822D1">
            <w:pPr>
              <w:spacing w:after="0" w:line="240" w:lineRule="auto"/>
              <w:jc w:val="right"/>
              <w:rPr>
                <w:rFonts w:eastAsia="Times New Roman" w:cs="Times New Roman"/>
                <w:sz w:val="20"/>
                <w:szCs w:val="20"/>
                <w:lang w:eastAsia="sk-SK"/>
              </w:rPr>
            </w:pPr>
            <w:r>
              <w:rPr>
                <w:rFonts w:eastAsia="Times New Roman" w:cs="Times New Roman"/>
                <w:sz w:val="20"/>
                <w:szCs w:val="20"/>
                <w:lang w:eastAsia="sk-SK"/>
              </w:rPr>
              <w:t>0</w:t>
            </w:r>
          </w:p>
        </w:tc>
        <w:tc>
          <w:tcPr>
            <w:tcW w:w="1001" w:type="pct"/>
            <w:gridSpan w:val="2"/>
            <w:tcBorders>
              <w:top w:val="nil"/>
              <w:left w:val="nil"/>
              <w:bottom w:val="nil"/>
              <w:right w:val="nil"/>
            </w:tcBorders>
            <w:shd w:val="clear" w:color="auto" w:fill="auto"/>
            <w:noWrap/>
            <w:vAlign w:val="bottom"/>
            <w:hideMark/>
          </w:tcPr>
          <w:p w14:paraId="464416FE"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495</w:t>
            </w:r>
          </w:p>
        </w:tc>
        <w:tc>
          <w:tcPr>
            <w:tcW w:w="866" w:type="pct"/>
            <w:tcBorders>
              <w:top w:val="nil"/>
              <w:left w:val="nil"/>
              <w:bottom w:val="nil"/>
              <w:right w:val="nil"/>
            </w:tcBorders>
            <w:shd w:val="clear" w:color="000000" w:fill="BFBFBF"/>
            <w:noWrap/>
            <w:vAlign w:val="bottom"/>
            <w:hideMark/>
          </w:tcPr>
          <w:p w14:paraId="3D32F261"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46 345</w:t>
            </w:r>
          </w:p>
        </w:tc>
      </w:tr>
      <w:tr w:rsidR="00097736" w:rsidRPr="00AF69A9" w14:paraId="6F6B31B2" w14:textId="77777777" w:rsidTr="00FC07F3">
        <w:trPr>
          <w:trHeight w:val="300"/>
        </w:trPr>
        <w:tc>
          <w:tcPr>
            <w:tcW w:w="1268" w:type="pct"/>
            <w:tcBorders>
              <w:top w:val="nil"/>
              <w:left w:val="nil"/>
              <w:bottom w:val="nil"/>
              <w:right w:val="nil"/>
            </w:tcBorders>
            <w:shd w:val="clear" w:color="auto" w:fill="auto"/>
            <w:noWrap/>
            <w:vAlign w:val="bottom"/>
            <w:hideMark/>
          </w:tcPr>
          <w:p w14:paraId="69492EAC" w14:textId="77777777" w:rsidR="00097736" w:rsidRPr="00AF69A9" w:rsidRDefault="00097736" w:rsidP="00FC07F3">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Košický</w:t>
            </w:r>
          </w:p>
        </w:tc>
        <w:tc>
          <w:tcPr>
            <w:tcW w:w="857" w:type="pct"/>
            <w:tcBorders>
              <w:top w:val="nil"/>
              <w:left w:val="nil"/>
              <w:bottom w:val="nil"/>
              <w:right w:val="nil"/>
            </w:tcBorders>
            <w:shd w:val="clear" w:color="auto" w:fill="auto"/>
            <w:noWrap/>
            <w:vAlign w:val="bottom"/>
            <w:hideMark/>
          </w:tcPr>
          <w:p w14:paraId="3790599F"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41 198</w:t>
            </w:r>
          </w:p>
        </w:tc>
        <w:tc>
          <w:tcPr>
            <w:tcW w:w="1026" w:type="pct"/>
            <w:gridSpan w:val="2"/>
            <w:tcBorders>
              <w:top w:val="nil"/>
              <w:left w:val="nil"/>
              <w:bottom w:val="nil"/>
              <w:right w:val="nil"/>
            </w:tcBorders>
            <w:shd w:val="clear" w:color="auto" w:fill="auto"/>
            <w:noWrap/>
            <w:vAlign w:val="bottom"/>
            <w:hideMark/>
          </w:tcPr>
          <w:p w14:paraId="37CAFA22" w14:textId="77777777" w:rsidR="00097736" w:rsidRPr="00AF69A9" w:rsidRDefault="00097736" w:rsidP="00FC07F3">
            <w:pPr>
              <w:spacing w:after="0" w:line="240" w:lineRule="auto"/>
              <w:jc w:val="right"/>
              <w:rPr>
                <w:rFonts w:eastAsia="Times New Roman" w:cs="Times New Roman"/>
                <w:sz w:val="20"/>
                <w:szCs w:val="20"/>
                <w:lang w:eastAsia="sk-SK"/>
              </w:rPr>
            </w:pPr>
            <w:r>
              <w:rPr>
                <w:rFonts w:eastAsia="Times New Roman" w:cs="Times New Roman"/>
                <w:sz w:val="20"/>
                <w:szCs w:val="20"/>
                <w:lang w:eastAsia="sk-SK"/>
              </w:rPr>
              <w:t>0</w:t>
            </w:r>
          </w:p>
        </w:tc>
        <w:tc>
          <w:tcPr>
            <w:tcW w:w="983" w:type="pct"/>
            <w:tcBorders>
              <w:top w:val="nil"/>
              <w:left w:val="nil"/>
              <w:bottom w:val="nil"/>
              <w:right w:val="nil"/>
            </w:tcBorders>
            <w:shd w:val="clear" w:color="auto" w:fill="auto"/>
            <w:noWrap/>
            <w:vAlign w:val="bottom"/>
            <w:hideMark/>
          </w:tcPr>
          <w:p w14:paraId="00EACE3C"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65</w:t>
            </w:r>
          </w:p>
        </w:tc>
        <w:tc>
          <w:tcPr>
            <w:tcW w:w="866" w:type="pct"/>
            <w:tcBorders>
              <w:top w:val="nil"/>
              <w:left w:val="nil"/>
              <w:bottom w:val="nil"/>
              <w:right w:val="nil"/>
            </w:tcBorders>
            <w:shd w:val="clear" w:color="000000" w:fill="BFBFBF"/>
            <w:noWrap/>
            <w:vAlign w:val="bottom"/>
            <w:hideMark/>
          </w:tcPr>
          <w:p w14:paraId="4AF68C25"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41 263</w:t>
            </w:r>
          </w:p>
        </w:tc>
      </w:tr>
      <w:tr w:rsidR="00097736" w:rsidRPr="00AF69A9" w14:paraId="28BF6141" w14:textId="77777777" w:rsidTr="00FC07F3">
        <w:trPr>
          <w:trHeight w:val="300"/>
        </w:trPr>
        <w:tc>
          <w:tcPr>
            <w:tcW w:w="1268" w:type="pct"/>
            <w:tcBorders>
              <w:top w:val="nil"/>
              <w:left w:val="nil"/>
              <w:bottom w:val="nil"/>
              <w:right w:val="nil"/>
            </w:tcBorders>
            <w:shd w:val="clear" w:color="auto" w:fill="auto"/>
            <w:noWrap/>
            <w:vAlign w:val="bottom"/>
            <w:hideMark/>
          </w:tcPr>
          <w:p w14:paraId="24933238" w14:textId="77777777" w:rsidR="00097736" w:rsidRPr="00AF69A9" w:rsidRDefault="00097736" w:rsidP="00FC07F3">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Banskobystrický</w:t>
            </w:r>
          </w:p>
        </w:tc>
        <w:tc>
          <w:tcPr>
            <w:tcW w:w="857" w:type="pct"/>
            <w:tcBorders>
              <w:top w:val="nil"/>
              <w:left w:val="nil"/>
              <w:bottom w:val="nil"/>
              <w:right w:val="nil"/>
            </w:tcBorders>
            <w:shd w:val="clear" w:color="auto" w:fill="auto"/>
            <w:noWrap/>
            <w:vAlign w:val="bottom"/>
            <w:hideMark/>
          </w:tcPr>
          <w:p w14:paraId="3DFA500E"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19 739</w:t>
            </w:r>
          </w:p>
        </w:tc>
        <w:tc>
          <w:tcPr>
            <w:tcW w:w="1026" w:type="pct"/>
            <w:gridSpan w:val="2"/>
            <w:tcBorders>
              <w:top w:val="nil"/>
              <w:left w:val="nil"/>
              <w:bottom w:val="nil"/>
              <w:right w:val="nil"/>
            </w:tcBorders>
            <w:shd w:val="clear" w:color="auto" w:fill="auto"/>
            <w:noWrap/>
            <w:vAlign w:val="bottom"/>
            <w:hideMark/>
          </w:tcPr>
          <w:p w14:paraId="46DE0E64"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8 000</w:t>
            </w:r>
          </w:p>
        </w:tc>
        <w:tc>
          <w:tcPr>
            <w:tcW w:w="983" w:type="pct"/>
            <w:tcBorders>
              <w:top w:val="nil"/>
              <w:left w:val="nil"/>
              <w:bottom w:val="nil"/>
              <w:right w:val="nil"/>
            </w:tcBorders>
            <w:shd w:val="clear" w:color="auto" w:fill="auto"/>
            <w:noWrap/>
            <w:vAlign w:val="bottom"/>
            <w:hideMark/>
          </w:tcPr>
          <w:p w14:paraId="4FDADBFB"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35</w:t>
            </w:r>
          </w:p>
        </w:tc>
        <w:tc>
          <w:tcPr>
            <w:tcW w:w="866" w:type="pct"/>
            <w:tcBorders>
              <w:top w:val="nil"/>
              <w:left w:val="nil"/>
              <w:bottom w:val="nil"/>
              <w:right w:val="nil"/>
            </w:tcBorders>
            <w:shd w:val="clear" w:color="000000" w:fill="BFBFBF"/>
            <w:noWrap/>
            <w:vAlign w:val="bottom"/>
            <w:hideMark/>
          </w:tcPr>
          <w:p w14:paraId="1A361B3B" w14:textId="77777777" w:rsidR="00097736" w:rsidRPr="00AF69A9" w:rsidRDefault="00097736" w:rsidP="00FC07F3">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27 773</w:t>
            </w:r>
          </w:p>
        </w:tc>
      </w:tr>
      <w:tr w:rsidR="006822D1" w:rsidRPr="00AF69A9" w14:paraId="73A1B53F" w14:textId="77777777" w:rsidTr="00280521">
        <w:trPr>
          <w:trHeight w:val="300"/>
        </w:trPr>
        <w:tc>
          <w:tcPr>
            <w:tcW w:w="1268" w:type="pct"/>
            <w:tcBorders>
              <w:top w:val="nil"/>
              <w:left w:val="nil"/>
              <w:bottom w:val="single" w:sz="4" w:space="0" w:color="auto"/>
              <w:right w:val="nil"/>
            </w:tcBorders>
            <w:shd w:val="clear" w:color="auto" w:fill="auto"/>
            <w:noWrap/>
            <w:vAlign w:val="bottom"/>
            <w:hideMark/>
          </w:tcPr>
          <w:p w14:paraId="3A7BDFAA" w14:textId="77777777" w:rsidR="006822D1" w:rsidRPr="00AF69A9" w:rsidRDefault="006822D1" w:rsidP="006822D1">
            <w:pPr>
              <w:spacing w:after="0" w:line="240" w:lineRule="auto"/>
              <w:jc w:val="left"/>
              <w:rPr>
                <w:rFonts w:eastAsia="Times New Roman" w:cs="Times New Roman"/>
                <w:sz w:val="20"/>
                <w:szCs w:val="20"/>
                <w:lang w:eastAsia="sk-SK"/>
              </w:rPr>
            </w:pPr>
            <w:r w:rsidRPr="00AF69A9">
              <w:rPr>
                <w:rFonts w:eastAsia="Times New Roman" w:cs="Times New Roman"/>
                <w:sz w:val="20"/>
                <w:szCs w:val="20"/>
                <w:lang w:eastAsia="sk-SK"/>
              </w:rPr>
              <w:t>Nitriansky</w:t>
            </w:r>
          </w:p>
        </w:tc>
        <w:tc>
          <w:tcPr>
            <w:tcW w:w="857" w:type="pct"/>
            <w:tcBorders>
              <w:top w:val="nil"/>
              <w:left w:val="nil"/>
              <w:bottom w:val="single" w:sz="4" w:space="0" w:color="auto"/>
              <w:right w:val="nil"/>
            </w:tcBorders>
            <w:shd w:val="clear" w:color="auto" w:fill="auto"/>
            <w:noWrap/>
            <w:vAlign w:val="bottom"/>
            <w:hideMark/>
          </w:tcPr>
          <w:p w14:paraId="3D4057F2"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17 361</w:t>
            </w:r>
          </w:p>
        </w:tc>
        <w:tc>
          <w:tcPr>
            <w:tcW w:w="1026" w:type="pct"/>
            <w:gridSpan w:val="2"/>
            <w:tcBorders>
              <w:top w:val="nil"/>
              <w:left w:val="nil"/>
              <w:bottom w:val="single" w:sz="4" w:space="0" w:color="auto"/>
              <w:right w:val="nil"/>
            </w:tcBorders>
            <w:shd w:val="clear" w:color="auto" w:fill="auto"/>
            <w:noWrap/>
            <w:vAlign w:val="bottom"/>
            <w:hideMark/>
          </w:tcPr>
          <w:p w14:paraId="687ABAED" w14:textId="52A28F06" w:rsidR="006822D1" w:rsidRPr="00AF69A9" w:rsidRDefault="003056F8" w:rsidP="006822D1">
            <w:pPr>
              <w:spacing w:after="0" w:line="240" w:lineRule="auto"/>
              <w:jc w:val="right"/>
              <w:rPr>
                <w:rFonts w:eastAsia="Times New Roman" w:cs="Times New Roman"/>
                <w:sz w:val="20"/>
                <w:szCs w:val="20"/>
                <w:lang w:eastAsia="sk-SK"/>
              </w:rPr>
            </w:pPr>
            <w:r>
              <w:rPr>
                <w:rFonts w:eastAsia="Times New Roman" w:cs="Times New Roman"/>
                <w:sz w:val="20"/>
                <w:szCs w:val="20"/>
                <w:lang w:eastAsia="sk-SK"/>
              </w:rPr>
              <w:t>0</w:t>
            </w:r>
          </w:p>
        </w:tc>
        <w:tc>
          <w:tcPr>
            <w:tcW w:w="983" w:type="pct"/>
            <w:tcBorders>
              <w:top w:val="nil"/>
              <w:left w:val="nil"/>
              <w:bottom w:val="single" w:sz="4" w:space="0" w:color="auto"/>
              <w:right w:val="nil"/>
            </w:tcBorders>
            <w:shd w:val="clear" w:color="auto" w:fill="auto"/>
            <w:noWrap/>
            <w:vAlign w:val="bottom"/>
            <w:hideMark/>
          </w:tcPr>
          <w:p w14:paraId="4761F209"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39</w:t>
            </w:r>
          </w:p>
        </w:tc>
        <w:tc>
          <w:tcPr>
            <w:tcW w:w="866" w:type="pct"/>
            <w:tcBorders>
              <w:top w:val="nil"/>
              <w:left w:val="nil"/>
              <w:bottom w:val="single" w:sz="4" w:space="0" w:color="auto"/>
              <w:right w:val="nil"/>
            </w:tcBorders>
            <w:shd w:val="clear" w:color="000000" w:fill="BFBFBF"/>
            <w:noWrap/>
            <w:vAlign w:val="bottom"/>
            <w:hideMark/>
          </w:tcPr>
          <w:p w14:paraId="138F183E" w14:textId="77777777" w:rsidR="006822D1" w:rsidRPr="00AF69A9" w:rsidRDefault="006822D1" w:rsidP="006822D1">
            <w:pPr>
              <w:spacing w:after="0" w:line="240" w:lineRule="auto"/>
              <w:jc w:val="right"/>
              <w:rPr>
                <w:rFonts w:eastAsia="Times New Roman" w:cs="Times New Roman"/>
                <w:sz w:val="20"/>
                <w:szCs w:val="20"/>
                <w:lang w:eastAsia="sk-SK"/>
              </w:rPr>
            </w:pPr>
            <w:r w:rsidRPr="00AF69A9">
              <w:rPr>
                <w:rFonts w:eastAsia="Times New Roman" w:cs="Times New Roman"/>
                <w:sz w:val="20"/>
                <w:szCs w:val="20"/>
                <w:lang w:eastAsia="sk-SK"/>
              </w:rPr>
              <w:t>17 400</w:t>
            </w:r>
          </w:p>
        </w:tc>
      </w:tr>
      <w:tr w:rsidR="006822D1" w:rsidRPr="00AF69A9" w14:paraId="0AA57367" w14:textId="77777777" w:rsidTr="00280521">
        <w:trPr>
          <w:trHeight w:val="300"/>
        </w:trPr>
        <w:tc>
          <w:tcPr>
            <w:tcW w:w="1268" w:type="pct"/>
            <w:tcBorders>
              <w:top w:val="single" w:sz="4" w:space="0" w:color="auto"/>
              <w:left w:val="nil"/>
              <w:bottom w:val="single" w:sz="4" w:space="0" w:color="auto"/>
              <w:right w:val="nil"/>
            </w:tcBorders>
            <w:shd w:val="clear" w:color="auto" w:fill="auto"/>
            <w:noWrap/>
            <w:vAlign w:val="bottom"/>
            <w:hideMark/>
          </w:tcPr>
          <w:p w14:paraId="45E6F0AF" w14:textId="77777777" w:rsidR="006822D1" w:rsidRPr="00AF69A9" w:rsidRDefault="006822D1" w:rsidP="006822D1">
            <w:pPr>
              <w:spacing w:after="0" w:line="240" w:lineRule="auto"/>
              <w:jc w:val="left"/>
              <w:rPr>
                <w:rFonts w:eastAsia="Times New Roman" w:cs="Times New Roman"/>
                <w:b/>
                <w:bCs/>
                <w:sz w:val="20"/>
                <w:szCs w:val="20"/>
                <w:lang w:eastAsia="sk-SK"/>
              </w:rPr>
            </w:pPr>
            <w:r w:rsidRPr="00AF69A9">
              <w:rPr>
                <w:rFonts w:eastAsia="Times New Roman" w:cs="Times New Roman"/>
                <w:b/>
                <w:bCs/>
                <w:sz w:val="20"/>
                <w:szCs w:val="20"/>
                <w:lang w:eastAsia="sk-SK"/>
              </w:rPr>
              <w:t>Spolu VÚC</w:t>
            </w:r>
          </w:p>
        </w:tc>
        <w:tc>
          <w:tcPr>
            <w:tcW w:w="857" w:type="pct"/>
            <w:tcBorders>
              <w:top w:val="single" w:sz="4" w:space="0" w:color="auto"/>
              <w:left w:val="nil"/>
              <w:bottom w:val="single" w:sz="4" w:space="0" w:color="auto"/>
              <w:right w:val="nil"/>
            </w:tcBorders>
            <w:shd w:val="clear" w:color="auto" w:fill="auto"/>
            <w:noWrap/>
            <w:vAlign w:val="bottom"/>
            <w:hideMark/>
          </w:tcPr>
          <w:p w14:paraId="47AC3673" w14:textId="77777777" w:rsidR="006822D1" w:rsidRPr="00AF69A9" w:rsidRDefault="006822D1" w:rsidP="006822D1">
            <w:pPr>
              <w:spacing w:after="0" w:line="240" w:lineRule="auto"/>
              <w:jc w:val="right"/>
              <w:rPr>
                <w:rFonts w:eastAsia="Times New Roman" w:cs="Times New Roman"/>
                <w:b/>
                <w:bCs/>
                <w:sz w:val="20"/>
                <w:szCs w:val="20"/>
                <w:lang w:eastAsia="sk-SK"/>
              </w:rPr>
            </w:pPr>
            <w:r w:rsidRPr="00AF69A9">
              <w:rPr>
                <w:rFonts w:eastAsia="Times New Roman" w:cs="Times New Roman"/>
                <w:b/>
                <w:bCs/>
                <w:sz w:val="20"/>
                <w:szCs w:val="20"/>
                <w:lang w:eastAsia="sk-SK"/>
              </w:rPr>
              <w:t>374 453</w:t>
            </w:r>
          </w:p>
        </w:tc>
        <w:tc>
          <w:tcPr>
            <w:tcW w:w="1026" w:type="pct"/>
            <w:gridSpan w:val="2"/>
            <w:tcBorders>
              <w:top w:val="single" w:sz="4" w:space="0" w:color="auto"/>
              <w:left w:val="nil"/>
              <w:bottom w:val="single" w:sz="4" w:space="0" w:color="auto"/>
              <w:right w:val="nil"/>
            </w:tcBorders>
            <w:shd w:val="clear" w:color="auto" w:fill="auto"/>
            <w:noWrap/>
            <w:vAlign w:val="bottom"/>
            <w:hideMark/>
          </w:tcPr>
          <w:p w14:paraId="34B1C18E" w14:textId="77777777" w:rsidR="006822D1" w:rsidRPr="00AF69A9" w:rsidRDefault="006822D1" w:rsidP="006822D1">
            <w:pPr>
              <w:spacing w:after="0" w:line="240" w:lineRule="auto"/>
              <w:jc w:val="right"/>
              <w:rPr>
                <w:rFonts w:eastAsia="Times New Roman" w:cs="Times New Roman"/>
                <w:b/>
                <w:bCs/>
                <w:sz w:val="20"/>
                <w:szCs w:val="20"/>
                <w:lang w:eastAsia="sk-SK"/>
              </w:rPr>
            </w:pPr>
            <w:r w:rsidRPr="00AF69A9">
              <w:rPr>
                <w:rFonts w:eastAsia="Times New Roman" w:cs="Times New Roman"/>
                <w:b/>
                <w:bCs/>
                <w:sz w:val="20"/>
                <w:szCs w:val="20"/>
                <w:lang w:eastAsia="sk-SK"/>
              </w:rPr>
              <w:t>15 500</w:t>
            </w:r>
          </w:p>
        </w:tc>
        <w:tc>
          <w:tcPr>
            <w:tcW w:w="983" w:type="pct"/>
            <w:tcBorders>
              <w:top w:val="single" w:sz="4" w:space="0" w:color="auto"/>
              <w:left w:val="nil"/>
              <w:bottom w:val="single" w:sz="4" w:space="0" w:color="auto"/>
              <w:right w:val="nil"/>
            </w:tcBorders>
            <w:shd w:val="clear" w:color="auto" w:fill="auto"/>
            <w:noWrap/>
            <w:vAlign w:val="bottom"/>
            <w:hideMark/>
          </w:tcPr>
          <w:p w14:paraId="225B2E05" w14:textId="77777777" w:rsidR="006822D1" w:rsidRPr="00AF69A9" w:rsidRDefault="006822D1" w:rsidP="006822D1">
            <w:pPr>
              <w:spacing w:after="0" w:line="240" w:lineRule="auto"/>
              <w:jc w:val="right"/>
              <w:rPr>
                <w:rFonts w:eastAsia="Times New Roman" w:cs="Times New Roman"/>
                <w:b/>
                <w:bCs/>
                <w:sz w:val="20"/>
                <w:szCs w:val="20"/>
                <w:lang w:eastAsia="sk-SK"/>
              </w:rPr>
            </w:pPr>
            <w:r w:rsidRPr="00AF69A9">
              <w:rPr>
                <w:rFonts w:eastAsia="Times New Roman" w:cs="Times New Roman"/>
                <w:b/>
                <w:bCs/>
                <w:sz w:val="20"/>
                <w:szCs w:val="20"/>
                <w:lang w:eastAsia="sk-SK"/>
              </w:rPr>
              <w:t>1 048</w:t>
            </w:r>
          </w:p>
        </w:tc>
        <w:tc>
          <w:tcPr>
            <w:tcW w:w="866" w:type="pct"/>
            <w:tcBorders>
              <w:top w:val="single" w:sz="4" w:space="0" w:color="auto"/>
              <w:left w:val="nil"/>
              <w:bottom w:val="single" w:sz="4" w:space="0" w:color="auto"/>
              <w:right w:val="nil"/>
            </w:tcBorders>
            <w:shd w:val="clear" w:color="000000" w:fill="BFBFBF"/>
            <w:noWrap/>
            <w:vAlign w:val="bottom"/>
            <w:hideMark/>
          </w:tcPr>
          <w:p w14:paraId="1F012998" w14:textId="77777777" w:rsidR="006822D1" w:rsidRPr="00AF69A9" w:rsidRDefault="006822D1" w:rsidP="006822D1">
            <w:pPr>
              <w:spacing w:after="0" w:line="240" w:lineRule="auto"/>
              <w:jc w:val="right"/>
              <w:rPr>
                <w:rFonts w:eastAsia="Times New Roman" w:cs="Times New Roman"/>
                <w:b/>
                <w:bCs/>
                <w:sz w:val="20"/>
                <w:szCs w:val="20"/>
                <w:lang w:eastAsia="sk-SK"/>
              </w:rPr>
            </w:pPr>
            <w:r w:rsidRPr="00AF69A9">
              <w:rPr>
                <w:rFonts w:eastAsia="Times New Roman" w:cs="Times New Roman"/>
                <w:b/>
                <w:bCs/>
                <w:sz w:val="20"/>
                <w:szCs w:val="20"/>
                <w:lang w:eastAsia="sk-SK"/>
              </w:rPr>
              <w:t>391 001</w:t>
            </w:r>
          </w:p>
        </w:tc>
      </w:tr>
    </w:tbl>
    <w:p w14:paraId="0848FF54" w14:textId="77777777" w:rsidR="006822D1" w:rsidRPr="00AF69A9" w:rsidRDefault="006822D1" w:rsidP="006822D1">
      <w:pPr>
        <w:jc w:val="right"/>
        <w:rPr>
          <w:sz w:val="18"/>
          <w:szCs w:val="18"/>
        </w:rPr>
      </w:pPr>
      <w:r w:rsidRPr="00AF69A9">
        <w:rPr>
          <w:sz w:val="18"/>
          <w:szCs w:val="18"/>
        </w:rPr>
        <w:t>Zdroj: MF SR</w:t>
      </w:r>
    </w:p>
    <w:p w14:paraId="435A020F" w14:textId="073A4A70" w:rsidR="00053C7A" w:rsidRPr="00053C7A" w:rsidRDefault="00053C7A" w:rsidP="00053C7A">
      <w:r w:rsidRPr="00053C7A">
        <w:t xml:space="preserve">VÚC čerpajú bankové úvery najmä za účelom </w:t>
      </w:r>
      <w:proofErr w:type="spellStart"/>
      <w:r w:rsidRPr="00053C7A">
        <w:t>predfinancovania</w:t>
      </w:r>
      <w:proofErr w:type="spellEnd"/>
      <w:r w:rsidRPr="00053C7A">
        <w:t xml:space="preserve"> investičných projektov financovaných z európskych štrukturálnych a investičných fondov, napríklad na obnovu budov samosprávnych krajov (hlavne školských zariadení)</w:t>
      </w:r>
      <w:r>
        <w:t xml:space="preserve"> </w:t>
      </w:r>
      <w:r w:rsidRPr="00053C7A">
        <w:t>s cieľom zníženia ich energetickej náročnosti a celkovej modernizácie, na obnovu cestnej infraštruktúry a na refundáciu už vynaložených investičných výdavkov. Medziročne vzrástli bankové</w:t>
      </w:r>
      <w:r>
        <w:t xml:space="preserve"> úvery úhrnom o 13 128 tis. eur. V</w:t>
      </w:r>
      <w:r w:rsidRPr="00053C7A">
        <w:t>iaceré (najmä) dlhodobé úvery</w:t>
      </w:r>
      <w:r>
        <w:t xml:space="preserve"> </w:t>
      </w:r>
      <w:r w:rsidRPr="00053C7A">
        <w:t>boli priebežne splácané, ale boli prijaté aj nové úvery. Bratislavský samosprávny kraj prijal ďalšie úvery od Európskej investičnej banky spolu za 7 000 tis. eur, Trenčiansky samosprávny kraj prijal ďalší dlhodobý úver od</w:t>
      </w:r>
      <w:r>
        <w:t xml:space="preserve"> Rozvojovej banky Rady Európy vo </w:t>
      </w:r>
      <w:r w:rsidRPr="00053C7A">
        <w:t>výške 3 963 tis. eur (obdobne ako v roku 2018), Žilinský samosprávny kraj prijal nový dlhodobý úver od Rozvojovej banky Rady Európy vo výške 18 000 tis. eur a krátkodobý úver od</w:t>
      </w:r>
      <w:r>
        <w:t> </w:t>
      </w:r>
      <w:r w:rsidRPr="00053C7A">
        <w:t>tuzemskej banky vo výške 1 400 tis. eur.</w:t>
      </w:r>
    </w:p>
    <w:p w14:paraId="245D69C4" w14:textId="56E71AEC" w:rsidR="006C7170" w:rsidRPr="00460D41" w:rsidRDefault="006822D1" w:rsidP="006822D1">
      <w:r w:rsidRPr="00460D41">
        <w:rPr>
          <w:b/>
        </w:rPr>
        <w:t>Dopravné podniky</w:t>
      </w:r>
      <w:r w:rsidRPr="00460D41">
        <w:t xml:space="preserve"> </w:t>
      </w:r>
      <w:r w:rsidRPr="00460D41">
        <w:rPr>
          <w:b/>
        </w:rPr>
        <w:t>miestnej samosprávy</w:t>
      </w:r>
      <w:r w:rsidRPr="00460D41">
        <w:t xml:space="preserve"> mali v roku 2019 dlh vo výške 61 289 tis. eur, čo znamená zníženie o 14 950 tis. eur oproti stavu v roku 2018. Väčšinu dlhu tvoria domáce bankové úvery v hodnote 60 </w:t>
      </w:r>
      <w:r w:rsidR="000909A0">
        <w:t>909 tis. eur. Zvyšok predstavujú</w:t>
      </w:r>
      <w:r w:rsidRPr="00460D41">
        <w:t xml:space="preserve"> dlhodobé záväzky z obchodného styku a prijaté preddavky (368 tis. eur)</w:t>
      </w:r>
      <w:r w:rsidR="000909A0">
        <w:t xml:space="preserve"> a </w:t>
      </w:r>
      <w:r w:rsidR="000909A0" w:rsidRPr="00460D41">
        <w:t>fi</w:t>
      </w:r>
      <w:r w:rsidR="000909A0">
        <w:t>nančný prenájom (12 tis. eur)</w:t>
      </w:r>
      <w:r w:rsidRPr="00460D41">
        <w:t xml:space="preserve">. Dlh dopravných podnikov v celom rozsahu tvoria záväzky so splatnosťou dlhšou ako jeden rok. </w:t>
      </w:r>
      <w:r w:rsidR="006C7170" w:rsidRPr="006C7170">
        <w:t>Bankové úvery čerpajú dopravné podniky za účelom postupnej obnovy vozového parku (autobusy, trolejbusy, električky) ako aj obnovu prislúchajúcej infraštruktúry (trakčné vedenia, depá a podobne). Väčšina z komerčných úverov má zároveň dojednanú formu zabezpečenia v podobe nakúpeného investičného majetku alebo peňažnými pohľadávkami z obchodného styku (napr. zo zmlúv o službách v mestskej hromadnej doprave).</w:t>
      </w:r>
    </w:p>
    <w:p w14:paraId="29554F24" w14:textId="116BCAB3" w:rsidR="006822D1" w:rsidRPr="001F75E2" w:rsidRDefault="006822D1" w:rsidP="006822D1">
      <w:r w:rsidRPr="001F75E2">
        <w:t xml:space="preserve">Dlh </w:t>
      </w:r>
      <w:r w:rsidRPr="001D0D92">
        <w:rPr>
          <w:b/>
        </w:rPr>
        <w:t xml:space="preserve">zdravotníckych zariadení miestnej samosprávy </w:t>
      </w:r>
      <w:r w:rsidRPr="001D0D92">
        <w:t>klesol oproti stavu v roku 2019 o 430 tis. eur na </w:t>
      </w:r>
      <w:r w:rsidR="004F3825" w:rsidRPr="001D0D92">
        <w:t>aktuálnych</w:t>
      </w:r>
      <w:r w:rsidRPr="001D0D92">
        <w:t xml:space="preserve"> 3 042 tis</w:t>
      </w:r>
      <w:r w:rsidRPr="001F75E2">
        <w:t xml:space="preserve">. eur. Dlh týchto subjektov v rozhodujúcej miere tvoria pôžičky od nebankových subjektov v hodnote 2 356 tis. eur. Bankové úvery klesli o 179 tis. eur na úroveň 277 tis. eur, pôžičky poskytnuté nemocniciam z Environmentálneho fondu podliehajúce konsolidácii predstavujú 186 tis. eur. </w:t>
      </w:r>
    </w:p>
    <w:p w14:paraId="6414765C" w14:textId="77777777" w:rsidR="00A61343" w:rsidRPr="00054BE4" w:rsidRDefault="00A61343" w:rsidP="004567F7"/>
    <w:p w14:paraId="222A5A9F" w14:textId="77777777" w:rsidR="005F5B88" w:rsidRPr="00C24665" w:rsidRDefault="005F5B88" w:rsidP="0042635A">
      <w:pPr>
        <w:pStyle w:val="Nadpis2"/>
      </w:pPr>
      <w:bookmarkStart w:id="27" w:name="_Toc6415639"/>
      <w:bookmarkStart w:id="28" w:name="_Toc39095170"/>
      <w:r w:rsidRPr="00C24665">
        <w:t xml:space="preserve">Porovnanie salda a dlhu verejnej </w:t>
      </w:r>
      <w:r w:rsidR="008254BE" w:rsidRPr="00C24665">
        <w:t>správy v Európskej únii</w:t>
      </w:r>
      <w:bookmarkEnd w:id="27"/>
      <w:bookmarkEnd w:id="28"/>
    </w:p>
    <w:p w14:paraId="3A749276" w14:textId="2F0CA934" w:rsidR="00D572CA" w:rsidRPr="00526558" w:rsidRDefault="00D572CA" w:rsidP="00D572CA">
      <w:pPr>
        <w:rPr>
          <w:color w:val="FF0000"/>
        </w:rPr>
      </w:pPr>
      <w:bookmarkStart w:id="29" w:name="_Toc6415640"/>
      <w:r w:rsidRPr="005B5E0A">
        <w:t>V rámci Európs</w:t>
      </w:r>
      <w:r w:rsidR="00DF30C6">
        <w:t>kej únie (27</w:t>
      </w:r>
      <w:r w:rsidR="00D612F7">
        <w:t xml:space="preserve"> krajín) v roku 2019</w:t>
      </w:r>
      <w:r w:rsidRPr="005B5E0A">
        <w:rPr>
          <w:color w:val="FF0000"/>
        </w:rPr>
        <w:t xml:space="preserve"> </w:t>
      </w:r>
      <w:r>
        <w:t>dosiahlo</w:t>
      </w:r>
      <w:r w:rsidR="00D612F7">
        <w:t xml:space="preserve"> 7</w:t>
      </w:r>
      <w:r w:rsidRPr="000E65CB">
        <w:t xml:space="preserve"> krajín </w:t>
      </w:r>
      <w:r w:rsidRPr="005B5E0A">
        <w:t>vyšší schodok a</w:t>
      </w:r>
      <w:r w:rsidRPr="00526558">
        <w:rPr>
          <w:color w:val="FF0000"/>
        </w:rPr>
        <w:t> </w:t>
      </w:r>
      <w:r>
        <w:t>1</w:t>
      </w:r>
      <w:r w:rsidR="00D612F7">
        <w:t>6</w:t>
      </w:r>
      <w:r w:rsidRPr="000E65CB">
        <w:t xml:space="preserve"> k</w:t>
      </w:r>
      <w:r w:rsidRPr="005B5E0A">
        <w:t xml:space="preserve">rajín dosiahlo vyšší dlh verejnej správy ako Slovenská republika. </w:t>
      </w:r>
      <w:r w:rsidRPr="005B5E0A">
        <w:rPr>
          <w:b/>
        </w:rPr>
        <w:t>Priemerný schodok EÚ 2</w:t>
      </w:r>
      <w:r w:rsidR="00DF30C6">
        <w:rPr>
          <w:b/>
        </w:rPr>
        <w:t>7</w:t>
      </w:r>
      <w:r w:rsidRPr="005B5E0A">
        <w:rPr>
          <w:b/>
        </w:rPr>
        <w:t xml:space="preserve"> bol </w:t>
      </w:r>
      <w:r>
        <w:rPr>
          <w:b/>
        </w:rPr>
        <w:t>0,6</w:t>
      </w:r>
      <w:r w:rsidRPr="000E65CB">
        <w:rPr>
          <w:b/>
        </w:rPr>
        <w:t xml:space="preserve"> % </w:t>
      </w:r>
      <w:r w:rsidRPr="005B5E0A">
        <w:rPr>
          <w:b/>
        </w:rPr>
        <w:t>HDP</w:t>
      </w:r>
      <w:r w:rsidRPr="005B5E0A">
        <w:t xml:space="preserve"> (Slovensko</w:t>
      </w:r>
      <w:r w:rsidRPr="00526558">
        <w:rPr>
          <w:color w:val="FF0000"/>
        </w:rPr>
        <w:t> </w:t>
      </w:r>
      <w:r w:rsidR="00D612F7">
        <w:t>1,3</w:t>
      </w:r>
      <w:r w:rsidRPr="005B5E0A">
        <w:t> % HDP) a </w:t>
      </w:r>
      <w:r w:rsidRPr="005B5E0A">
        <w:rPr>
          <w:b/>
        </w:rPr>
        <w:t>pri</w:t>
      </w:r>
      <w:r w:rsidR="00DF30C6">
        <w:rPr>
          <w:b/>
        </w:rPr>
        <w:t>emerný dlh verejnej správy EÚ 27</w:t>
      </w:r>
      <w:r w:rsidRPr="005B5E0A">
        <w:rPr>
          <w:b/>
        </w:rPr>
        <w:t xml:space="preserve"> bol </w:t>
      </w:r>
      <w:r w:rsidR="00D612F7">
        <w:rPr>
          <w:b/>
        </w:rPr>
        <w:t>77,8</w:t>
      </w:r>
      <w:r w:rsidRPr="000E65CB">
        <w:rPr>
          <w:b/>
        </w:rPr>
        <w:t> % HDP</w:t>
      </w:r>
      <w:r w:rsidRPr="000E65CB">
        <w:t xml:space="preserve"> </w:t>
      </w:r>
      <w:r w:rsidRPr="005B5E0A">
        <w:t xml:space="preserve">(Slovensko </w:t>
      </w:r>
      <w:r w:rsidR="00D612F7">
        <w:t>48,0</w:t>
      </w:r>
      <w:r w:rsidRPr="005B5E0A">
        <w:t> % HDP)</w:t>
      </w:r>
      <w:r w:rsidRPr="005B5E0A">
        <w:rPr>
          <w:rFonts w:cs="Book Antiqua"/>
        </w:rPr>
        <w:t xml:space="preserve"> </w:t>
      </w:r>
      <w:r w:rsidRPr="005B5E0A">
        <w:t>v roku 201</w:t>
      </w:r>
      <w:r w:rsidR="00D612F7">
        <w:t>9</w:t>
      </w:r>
      <w:r w:rsidRPr="005B5E0A">
        <w:t>.</w:t>
      </w:r>
    </w:p>
    <w:tbl>
      <w:tblPr>
        <w:tblW w:w="8594" w:type="dxa"/>
        <w:tblCellMar>
          <w:left w:w="70" w:type="dxa"/>
          <w:right w:w="70" w:type="dxa"/>
        </w:tblCellMar>
        <w:tblLook w:val="04A0" w:firstRow="1" w:lastRow="0" w:firstColumn="1" w:lastColumn="0" w:noHBand="0" w:noVBand="1"/>
      </w:tblPr>
      <w:tblGrid>
        <w:gridCol w:w="1753"/>
        <w:gridCol w:w="662"/>
        <w:gridCol w:w="919"/>
        <w:gridCol w:w="728"/>
        <w:gridCol w:w="1753"/>
        <w:gridCol w:w="962"/>
        <w:gridCol w:w="897"/>
        <w:gridCol w:w="920"/>
      </w:tblGrid>
      <w:tr w:rsidR="00BC45B8" w:rsidRPr="00BC45B8" w14:paraId="14224E48" w14:textId="77777777" w:rsidTr="00BD79E7">
        <w:trPr>
          <w:trHeight w:val="291"/>
        </w:trPr>
        <w:tc>
          <w:tcPr>
            <w:tcW w:w="4062" w:type="dxa"/>
            <w:gridSpan w:val="4"/>
            <w:tcBorders>
              <w:top w:val="single" w:sz="4" w:space="0" w:color="auto"/>
              <w:left w:val="single" w:sz="4" w:space="0" w:color="auto"/>
              <w:bottom w:val="nil"/>
              <w:right w:val="nil"/>
            </w:tcBorders>
            <w:shd w:val="clear" w:color="000000" w:fill="000000"/>
            <w:noWrap/>
            <w:vAlign w:val="center"/>
            <w:hideMark/>
          </w:tcPr>
          <w:p w14:paraId="59006E2B" w14:textId="620D5672" w:rsidR="00BC45B8" w:rsidRPr="00BC45B8" w:rsidRDefault="00DF30C6" w:rsidP="00BC45B8">
            <w:pPr>
              <w:spacing w:after="0" w:line="240" w:lineRule="auto"/>
              <w:jc w:val="left"/>
              <w:rPr>
                <w:rFonts w:eastAsia="Times New Roman" w:cs="Times New Roman"/>
                <w:b/>
                <w:bCs/>
                <w:color w:val="FFFFFF"/>
                <w:sz w:val="20"/>
                <w:szCs w:val="20"/>
                <w:lang w:eastAsia="sk-SK"/>
              </w:rPr>
            </w:pPr>
            <w:r>
              <w:rPr>
                <w:rFonts w:eastAsia="Times New Roman" w:cs="Times New Roman"/>
                <w:b/>
                <w:bCs/>
                <w:color w:val="FFFFFF"/>
                <w:sz w:val="20"/>
                <w:szCs w:val="20"/>
                <w:lang w:eastAsia="sk-SK"/>
              </w:rPr>
              <w:t>Saldo verejnej správy v EÚ 27</w:t>
            </w:r>
            <w:r w:rsidR="00BC45B8" w:rsidRPr="00BC45B8">
              <w:rPr>
                <w:rFonts w:eastAsia="Times New Roman" w:cs="Times New Roman"/>
                <w:b/>
                <w:bCs/>
                <w:color w:val="FFFFFF"/>
                <w:sz w:val="20"/>
                <w:szCs w:val="20"/>
                <w:lang w:eastAsia="sk-SK"/>
              </w:rPr>
              <w:t xml:space="preserve"> (% HDP)</w:t>
            </w:r>
          </w:p>
        </w:tc>
        <w:tc>
          <w:tcPr>
            <w:tcW w:w="4532" w:type="dxa"/>
            <w:gridSpan w:val="4"/>
            <w:tcBorders>
              <w:top w:val="single" w:sz="4" w:space="0" w:color="auto"/>
              <w:left w:val="single" w:sz="4" w:space="0" w:color="auto"/>
              <w:bottom w:val="nil"/>
              <w:right w:val="single" w:sz="4" w:space="0" w:color="000000"/>
            </w:tcBorders>
            <w:shd w:val="clear" w:color="000000" w:fill="000000"/>
            <w:noWrap/>
            <w:vAlign w:val="center"/>
            <w:hideMark/>
          </w:tcPr>
          <w:p w14:paraId="008F4A4E" w14:textId="65E282B9" w:rsidR="00BC45B8" w:rsidRPr="00BC45B8" w:rsidRDefault="00DF30C6" w:rsidP="00BC45B8">
            <w:pPr>
              <w:spacing w:after="0" w:line="240" w:lineRule="auto"/>
              <w:jc w:val="center"/>
              <w:rPr>
                <w:rFonts w:eastAsia="Times New Roman" w:cs="Times New Roman"/>
                <w:b/>
                <w:bCs/>
                <w:color w:val="FFFFFF"/>
                <w:sz w:val="20"/>
                <w:szCs w:val="20"/>
                <w:lang w:eastAsia="sk-SK"/>
              </w:rPr>
            </w:pPr>
            <w:r>
              <w:rPr>
                <w:rFonts w:eastAsia="Times New Roman" w:cs="Times New Roman"/>
                <w:b/>
                <w:bCs/>
                <w:color w:val="FFFFFF"/>
                <w:sz w:val="20"/>
                <w:szCs w:val="20"/>
                <w:lang w:eastAsia="sk-SK"/>
              </w:rPr>
              <w:t>Dlh verejnej správy v EÚ 27</w:t>
            </w:r>
            <w:r w:rsidR="00BC45B8" w:rsidRPr="00BC45B8">
              <w:rPr>
                <w:rFonts w:eastAsia="Times New Roman" w:cs="Times New Roman"/>
                <w:b/>
                <w:bCs/>
                <w:color w:val="FFFFFF"/>
                <w:sz w:val="20"/>
                <w:szCs w:val="20"/>
                <w:lang w:eastAsia="sk-SK"/>
              </w:rPr>
              <w:t xml:space="preserve"> (% HDP)</w:t>
            </w:r>
          </w:p>
        </w:tc>
      </w:tr>
      <w:tr w:rsidR="00BC45B8" w:rsidRPr="00BC45B8" w14:paraId="2291FE7C" w14:textId="77777777" w:rsidTr="00BB4DD7">
        <w:trPr>
          <w:trHeight w:val="282"/>
        </w:trPr>
        <w:tc>
          <w:tcPr>
            <w:tcW w:w="1753" w:type="dxa"/>
            <w:tcBorders>
              <w:top w:val="nil"/>
              <w:left w:val="single" w:sz="4" w:space="0" w:color="auto"/>
              <w:right w:val="nil"/>
            </w:tcBorders>
            <w:shd w:val="clear" w:color="000000" w:fill="C0C0C0"/>
            <w:vAlign w:val="center"/>
            <w:hideMark/>
          </w:tcPr>
          <w:p w14:paraId="0321DFA0" w14:textId="77777777" w:rsidR="00BC45B8" w:rsidRPr="00BC45B8" w:rsidRDefault="00BC45B8" w:rsidP="00BC45B8">
            <w:pPr>
              <w:spacing w:after="0" w:line="240" w:lineRule="auto"/>
              <w:jc w:val="left"/>
              <w:rPr>
                <w:rFonts w:eastAsia="Times New Roman" w:cs="Times New Roman"/>
                <w:b/>
                <w:bCs/>
                <w:sz w:val="20"/>
                <w:szCs w:val="20"/>
                <w:lang w:eastAsia="sk-SK"/>
              </w:rPr>
            </w:pPr>
            <w:r w:rsidRPr="00BC45B8">
              <w:rPr>
                <w:rFonts w:eastAsia="Times New Roman" w:cs="Times New Roman"/>
                <w:b/>
                <w:bCs/>
                <w:sz w:val="20"/>
                <w:szCs w:val="20"/>
                <w:lang w:eastAsia="sk-SK"/>
              </w:rPr>
              <w:t> </w:t>
            </w:r>
          </w:p>
        </w:tc>
        <w:tc>
          <w:tcPr>
            <w:tcW w:w="2309" w:type="dxa"/>
            <w:gridSpan w:val="3"/>
            <w:tcBorders>
              <w:top w:val="nil"/>
              <w:left w:val="nil"/>
              <w:right w:val="nil"/>
            </w:tcBorders>
            <w:shd w:val="clear" w:color="000000" w:fill="C0C0C0"/>
            <w:noWrap/>
            <w:vAlign w:val="center"/>
            <w:hideMark/>
          </w:tcPr>
          <w:p w14:paraId="458CB655" w14:textId="7474A4E2" w:rsidR="00BC45B8" w:rsidRPr="00BC45B8" w:rsidRDefault="00BC45B8" w:rsidP="00BC45B8">
            <w:pPr>
              <w:spacing w:after="0" w:line="240" w:lineRule="auto"/>
              <w:jc w:val="left"/>
              <w:rPr>
                <w:rFonts w:eastAsia="Times New Roman" w:cs="Times New Roman"/>
                <w:b/>
                <w:bCs/>
                <w:sz w:val="20"/>
                <w:szCs w:val="20"/>
                <w:lang w:eastAsia="sk-SK"/>
              </w:rPr>
            </w:pPr>
          </w:p>
        </w:tc>
        <w:tc>
          <w:tcPr>
            <w:tcW w:w="1753" w:type="dxa"/>
            <w:tcBorders>
              <w:top w:val="nil"/>
              <w:left w:val="single" w:sz="4" w:space="0" w:color="auto"/>
              <w:right w:val="nil"/>
            </w:tcBorders>
            <w:shd w:val="clear" w:color="000000" w:fill="C0C0C0"/>
            <w:vAlign w:val="center"/>
            <w:hideMark/>
          </w:tcPr>
          <w:p w14:paraId="423BBBBA" w14:textId="77777777" w:rsidR="00BC45B8" w:rsidRPr="00BC45B8" w:rsidRDefault="00BC45B8" w:rsidP="00BC45B8">
            <w:pPr>
              <w:spacing w:after="0" w:line="240" w:lineRule="auto"/>
              <w:jc w:val="left"/>
              <w:rPr>
                <w:rFonts w:eastAsia="Times New Roman" w:cs="Times New Roman"/>
                <w:b/>
                <w:bCs/>
                <w:sz w:val="20"/>
                <w:szCs w:val="20"/>
                <w:lang w:eastAsia="sk-SK"/>
              </w:rPr>
            </w:pPr>
            <w:r w:rsidRPr="00BC45B8">
              <w:rPr>
                <w:rFonts w:eastAsia="Times New Roman" w:cs="Times New Roman"/>
                <w:b/>
                <w:bCs/>
                <w:sz w:val="20"/>
                <w:szCs w:val="20"/>
                <w:lang w:eastAsia="sk-SK"/>
              </w:rPr>
              <w:t> </w:t>
            </w:r>
          </w:p>
        </w:tc>
        <w:tc>
          <w:tcPr>
            <w:tcW w:w="2779" w:type="dxa"/>
            <w:gridSpan w:val="3"/>
            <w:tcBorders>
              <w:top w:val="nil"/>
              <w:left w:val="nil"/>
              <w:right w:val="single" w:sz="4" w:space="0" w:color="000000"/>
            </w:tcBorders>
            <w:shd w:val="clear" w:color="000000" w:fill="C0C0C0"/>
            <w:noWrap/>
            <w:vAlign w:val="center"/>
            <w:hideMark/>
          </w:tcPr>
          <w:p w14:paraId="089DA365" w14:textId="39E661E5" w:rsidR="00BC45B8" w:rsidRPr="00BC45B8" w:rsidRDefault="00BC45B8" w:rsidP="00BC45B8">
            <w:pPr>
              <w:spacing w:after="0" w:line="240" w:lineRule="auto"/>
              <w:jc w:val="left"/>
              <w:rPr>
                <w:rFonts w:eastAsia="Times New Roman" w:cs="Times New Roman"/>
                <w:b/>
                <w:bCs/>
                <w:sz w:val="20"/>
                <w:szCs w:val="20"/>
                <w:lang w:eastAsia="sk-SK"/>
              </w:rPr>
            </w:pPr>
          </w:p>
        </w:tc>
      </w:tr>
      <w:tr w:rsidR="00BD79E7" w:rsidRPr="00BC45B8" w14:paraId="5DB194DC" w14:textId="77777777" w:rsidTr="00BB4DD7">
        <w:trPr>
          <w:trHeight w:val="279"/>
        </w:trPr>
        <w:tc>
          <w:tcPr>
            <w:tcW w:w="1753" w:type="dxa"/>
            <w:tcBorders>
              <w:top w:val="nil"/>
              <w:left w:val="single" w:sz="4" w:space="0" w:color="auto"/>
              <w:bottom w:val="single" w:sz="4" w:space="0" w:color="auto"/>
              <w:right w:val="nil"/>
            </w:tcBorders>
            <w:shd w:val="clear" w:color="000000" w:fill="C0C0C0"/>
            <w:vAlign w:val="center"/>
            <w:hideMark/>
          </w:tcPr>
          <w:p w14:paraId="55DC95A4" w14:textId="77777777" w:rsidR="00BC45B8" w:rsidRPr="00BC45B8" w:rsidRDefault="00BC45B8" w:rsidP="00BC45B8">
            <w:pPr>
              <w:spacing w:after="0" w:line="240" w:lineRule="auto"/>
              <w:jc w:val="left"/>
              <w:rPr>
                <w:rFonts w:eastAsia="Times New Roman" w:cs="Times New Roman"/>
                <w:b/>
                <w:bCs/>
                <w:sz w:val="20"/>
                <w:szCs w:val="20"/>
                <w:lang w:eastAsia="sk-SK"/>
              </w:rPr>
            </w:pPr>
            <w:r w:rsidRPr="00BC45B8">
              <w:rPr>
                <w:rFonts w:eastAsia="Times New Roman" w:cs="Times New Roman"/>
                <w:b/>
                <w:bCs/>
                <w:sz w:val="20"/>
                <w:szCs w:val="20"/>
                <w:lang w:eastAsia="sk-SK"/>
              </w:rPr>
              <w:t> </w:t>
            </w:r>
          </w:p>
        </w:tc>
        <w:tc>
          <w:tcPr>
            <w:tcW w:w="662" w:type="dxa"/>
            <w:tcBorders>
              <w:top w:val="nil"/>
              <w:left w:val="nil"/>
              <w:bottom w:val="single" w:sz="4" w:space="0" w:color="auto"/>
              <w:right w:val="nil"/>
            </w:tcBorders>
            <w:shd w:val="clear" w:color="000000" w:fill="C0C0C0"/>
            <w:vAlign w:val="center"/>
            <w:hideMark/>
          </w:tcPr>
          <w:p w14:paraId="0A659012"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2017</w:t>
            </w:r>
          </w:p>
        </w:tc>
        <w:tc>
          <w:tcPr>
            <w:tcW w:w="919" w:type="dxa"/>
            <w:tcBorders>
              <w:top w:val="nil"/>
              <w:left w:val="nil"/>
              <w:bottom w:val="single" w:sz="4" w:space="0" w:color="auto"/>
              <w:right w:val="nil"/>
            </w:tcBorders>
            <w:shd w:val="clear" w:color="000000" w:fill="C0C0C0"/>
            <w:vAlign w:val="center"/>
            <w:hideMark/>
          </w:tcPr>
          <w:p w14:paraId="7554ADB2"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2018</w:t>
            </w:r>
          </w:p>
        </w:tc>
        <w:tc>
          <w:tcPr>
            <w:tcW w:w="728" w:type="dxa"/>
            <w:tcBorders>
              <w:top w:val="nil"/>
              <w:left w:val="nil"/>
              <w:bottom w:val="single" w:sz="4" w:space="0" w:color="auto"/>
              <w:right w:val="nil"/>
            </w:tcBorders>
            <w:shd w:val="clear" w:color="000000" w:fill="C0C0C0"/>
            <w:vAlign w:val="center"/>
            <w:hideMark/>
          </w:tcPr>
          <w:p w14:paraId="4C98777B"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2019</w:t>
            </w:r>
          </w:p>
        </w:tc>
        <w:tc>
          <w:tcPr>
            <w:tcW w:w="1753" w:type="dxa"/>
            <w:tcBorders>
              <w:top w:val="nil"/>
              <w:left w:val="single" w:sz="4" w:space="0" w:color="auto"/>
              <w:bottom w:val="single" w:sz="4" w:space="0" w:color="auto"/>
              <w:right w:val="nil"/>
            </w:tcBorders>
            <w:shd w:val="clear" w:color="000000" w:fill="C0C0C0"/>
            <w:vAlign w:val="center"/>
            <w:hideMark/>
          </w:tcPr>
          <w:p w14:paraId="102C803B" w14:textId="77777777" w:rsidR="00BC45B8" w:rsidRPr="00BC45B8" w:rsidRDefault="00BC45B8" w:rsidP="00BC45B8">
            <w:pPr>
              <w:spacing w:after="0" w:line="240" w:lineRule="auto"/>
              <w:jc w:val="left"/>
              <w:rPr>
                <w:rFonts w:eastAsia="Times New Roman" w:cs="Times New Roman"/>
                <w:b/>
                <w:bCs/>
                <w:sz w:val="20"/>
                <w:szCs w:val="20"/>
                <w:lang w:eastAsia="sk-SK"/>
              </w:rPr>
            </w:pPr>
            <w:r w:rsidRPr="00BC45B8">
              <w:rPr>
                <w:rFonts w:eastAsia="Times New Roman" w:cs="Times New Roman"/>
                <w:b/>
                <w:bCs/>
                <w:sz w:val="20"/>
                <w:szCs w:val="20"/>
                <w:lang w:eastAsia="sk-SK"/>
              </w:rPr>
              <w:t> </w:t>
            </w:r>
          </w:p>
        </w:tc>
        <w:tc>
          <w:tcPr>
            <w:tcW w:w="962" w:type="dxa"/>
            <w:tcBorders>
              <w:top w:val="nil"/>
              <w:left w:val="nil"/>
              <w:bottom w:val="single" w:sz="4" w:space="0" w:color="auto"/>
              <w:right w:val="nil"/>
            </w:tcBorders>
            <w:shd w:val="clear" w:color="000000" w:fill="C0C0C0"/>
            <w:vAlign w:val="center"/>
            <w:hideMark/>
          </w:tcPr>
          <w:p w14:paraId="1640030B"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2017</w:t>
            </w:r>
          </w:p>
        </w:tc>
        <w:tc>
          <w:tcPr>
            <w:tcW w:w="897" w:type="dxa"/>
            <w:tcBorders>
              <w:top w:val="nil"/>
              <w:left w:val="nil"/>
              <w:bottom w:val="single" w:sz="4" w:space="0" w:color="auto"/>
              <w:right w:val="nil"/>
            </w:tcBorders>
            <w:shd w:val="clear" w:color="000000" w:fill="C0C0C0"/>
            <w:vAlign w:val="center"/>
            <w:hideMark/>
          </w:tcPr>
          <w:p w14:paraId="30C18BE6"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2018</w:t>
            </w:r>
          </w:p>
        </w:tc>
        <w:tc>
          <w:tcPr>
            <w:tcW w:w="920" w:type="dxa"/>
            <w:tcBorders>
              <w:top w:val="nil"/>
              <w:left w:val="nil"/>
              <w:bottom w:val="single" w:sz="4" w:space="0" w:color="auto"/>
              <w:right w:val="single" w:sz="4" w:space="0" w:color="auto"/>
            </w:tcBorders>
            <w:shd w:val="clear" w:color="000000" w:fill="C0C0C0"/>
            <w:vAlign w:val="center"/>
            <w:hideMark/>
          </w:tcPr>
          <w:p w14:paraId="0C20B44D"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2019</w:t>
            </w:r>
          </w:p>
        </w:tc>
      </w:tr>
      <w:tr w:rsidR="00BC45B8" w:rsidRPr="00BC45B8" w14:paraId="3559F8BD" w14:textId="77777777" w:rsidTr="00BB4DD7">
        <w:trPr>
          <w:trHeight w:val="279"/>
        </w:trPr>
        <w:tc>
          <w:tcPr>
            <w:tcW w:w="1753" w:type="dxa"/>
            <w:tcBorders>
              <w:top w:val="single" w:sz="4" w:space="0" w:color="auto"/>
              <w:left w:val="single" w:sz="4" w:space="0" w:color="auto"/>
              <w:bottom w:val="nil"/>
              <w:right w:val="nil"/>
            </w:tcBorders>
            <w:shd w:val="clear" w:color="auto" w:fill="auto"/>
            <w:noWrap/>
            <w:vAlign w:val="center"/>
            <w:hideMark/>
          </w:tcPr>
          <w:p w14:paraId="00A8A02E" w14:textId="498F35BA" w:rsidR="00BC45B8" w:rsidRPr="00BC45B8" w:rsidRDefault="00DF30C6" w:rsidP="00791BB7">
            <w:pPr>
              <w:spacing w:after="0" w:line="240" w:lineRule="auto"/>
              <w:ind w:firstLine="67"/>
              <w:jc w:val="left"/>
              <w:rPr>
                <w:rFonts w:eastAsia="Times New Roman" w:cs="Times New Roman"/>
                <w:b/>
                <w:bCs/>
                <w:sz w:val="20"/>
                <w:szCs w:val="20"/>
                <w:lang w:eastAsia="sk-SK"/>
              </w:rPr>
            </w:pPr>
            <w:r>
              <w:rPr>
                <w:rFonts w:eastAsia="Times New Roman" w:cs="Times New Roman"/>
                <w:b/>
                <w:bCs/>
                <w:sz w:val="20"/>
                <w:szCs w:val="20"/>
                <w:lang w:eastAsia="sk-SK"/>
              </w:rPr>
              <w:t>EÚ (27</w:t>
            </w:r>
            <w:r w:rsidR="00BC45B8" w:rsidRPr="00BC45B8">
              <w:rPr>
                <w:rFonts w:eastAsia="Times New Roman" w:cs="Times New Roman"/>
                <w:b/>
                <w:bCs/>
                <w:sz w:val="20"/>
                <w:szCs w:val="20"/>
                <w:lang w:eastAsia="sk-SK"/>
              </w:rPr>
              <w:t xml:space="preserve"> krajín)</w:t>
            </w:r>
          </w:p>
        </w:tc>
        <w:tc>
          <w:tcPr>
            <w:tcW w:w="662" w:type="dxa"/>
            <w:tcBorders>
              <w:top w:val="single" w:sz="4" w:space="0" w:color="auto"/>
              <w:left w:val="nil"/>
              <w:bottom w:val="nil"/>
              <w:right w:val="nil"/>
            </w:tcBorders>
            <w:shd w:val="clear" w:color="auto" w:fill="auto"/>
            <w:noWrap/>
            <w:vAlign w:val="center"/>
            <w:hideMark/>
          </w:tcPr>
          <w:p w14:paraId="6015B989"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-0,8</w:t>
            </w:r>
          </w:p>
        </w:tc>
        <w:tc>
          <w:tcPr>
            <w:tcW w:w="919" w:type="dxa"/>
            <w:tcBorders>
              <w:top w:val="single" w:sz="4" w:space="0" w:color="auto"/>
              <w:left w:val="nil"/>
              <w:bottom w:val="nil"/>
              <w:right w:val="nil"/>
            </w:tcBorders>
            <w:shd w:val="clear" w:color="auto" w:fill="auto"/>
            <w:noWrap/>
            <w:vAlign w:val="center"/>
            <w:hideMark/>
          </w:tcPr>
          <w:p w14:paraId="3C7B98C8"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-0,4</w:t>
            </w:r>
          </w:p>
        </w:tc>
        <w:tc>
          <w:tcPr>
            <w:tcW w:w="728" w:type="dxa"/>
            <w:tcBorders>
              <w:top w:val="single" w:sz="4" w:space="0" w:color="auto"/>
              <w:left w:val="nil"/>
              <w:bottom w:val="nil"/>
              <w:right w:val="nil"/>
            </w:tcBorders>
            <w:shd w:val="clear" w:color="auto" w:fill="auto"/>
            <w:noWrap/>
            <w:vAlign w:val="center"/>
            <w:hideMark/>
          </w:tcPr>
          <w:p w14:paraId="6CA1180E"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-0,6</w:t>
            </w:r>
          </w:p>
        </w:tc>
        <w:tc>
          <w:tcPr>
            <w:tcW w:w="1753" w:type="dxa"/>
            <w:tcBorders>
              <w:top w:val="single" w:sz="4" w:space="0" w:color="auto"/>
              <w:left w:val="single" w:sz="4" w:space="0" w:color="auto"/>
              <w:bottom w:val="nil"/>
              <w:right w:val="nil"/>
            </w:tcBorders>
            <w:shd w:val="clear" w:color="auto" w:fill="auto"/>
            <w:noWrap/>
            <w:vAlign w:val="center"/>
            <w:hideMark/>
          </w:tcPr>
          <w:p w14:paraId="7B24C466" w14:textId="09D5AC7E" w:rsidR="00BC45B8" w:rsidRPr="00BC45B8" w:rsidRDefault="00DF30C6" w:rsidP="00791BB7">
            <w:pPr>
              <w:spacing w:after="0" w:line="240" w:lineRule="auto"/>
              <w:ind w:left="116"/>
              <w:jc w:val="left"/>
              <w:rPr>
                <w:rFonts w:eastAsia="Times New Roman" w:cs="Times New Roman"/>
                <w:b/>
                <w:bCs/>
                <w:sz w:val="20"/>
                <w:szCs w:val="20"/>
                <w:lang w:eastAsia="sk-SK"/>
              </w:rPr>
            </w:pPr>
            <w:r>
              <w:rPr>
                <w:rFonts w:eastAsia="Times New Roman" w:cs="Times New Roman"/>
                <w:b/>
                <w:bCs/>
                <w:sz w:val="20"/>
                <w:szCs w:val="20"/>
                <w:lang w:eastAsia="sk-SK"/>
              </w:rPr>
              <w:t>EÚ (27</w:t>
            </w:r>
            <w:r w:rsidR="00BC45B8" w:rsidRPr="00BC45B8">
              <w:rPr>
                <w:rFonts w:eastAsia="Times New Roman" w:cs="Times New Roman"/>
                <w:b/>
                <w:bCs/>
                <w:sz w:val="20"/>
                <w:szCs w:val="20"/>
                <w:lang w:eastAsia="sk-SK"/>
              </w:rPr>
              <w:t xml:space="preserve"> krajín)</w:t>
            </w:r>
          </w:p>
        </w:tc>
        <w:tc>
          <w:tcPr>
            <w:tcW w:w="962" w:type="dxa"/>
            <w:tcBorders>
              <w:top w:val="single" w:sz="4" w:space="0" w:color="auto"/>
              <w:left w:val="nil"/>
              <w:bottom w:val="nil"/>
              <w:right w:val="nil"/>
            </w:tcBorders>
            <w:shd w:val="clear" w:color="auto" w:fill="auto"/>
            <w:noWrap/>
            <w:vAlign w:val="center"/>
            <w:hideMark/>
          </w:tcPr>
          <w:p w14:paraId="4C8F6BE0"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81,6</w:t>
            </w:r>
          </w:p>
        </w:tc>
        <w:tc>
          <w:tcPr>
            <w:tcW w:w="897" w:type="dxa"/>
            <w:tcBorders>
              <w:top w:val="single" w:sz="4" w:space="0" w:color="auto"/>
              <w:left w:val="nil"/>
              <w:bottom w:val="nil"/>
              <w:right w:val="nil"/>
            </w:tcBorders>
            <w:shd w:val="clear" w:color="auto" w:fill="auto"/>
            <w:noWrap/>
            <w:vAlign w:val="center"/>
            <w:hideMark/>
          </w:tcPr>
          <w:p w14:paraId="352A3CBA"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79,6</w:t>
            </w:r>
          </w:p>
        </w:tc>
        <w:tc>
          <w:tcPr>
            <w:tcW w:w="920" w:type="dxa"/>
            <w:tcBorders>
              <w:top w:val="single" w:sz="4" w:space="0" w:color="auto"/>
              <w:left w:val="nil"/>
              <w:bottom w:val="nil"/>
              <w:right w:val="single" w:sz="4" w:space="0" w:color="auto"/>
            </w:tcBorders>
            <w:shd w:val="clear" w:color="auto" w:fill="auto"/>
            <w:noWrap/>
            <w:vAlign w:val="center"/>
            <w:hideMark/>
          </w:tcPr>
          <w:p w14:paraId="306888EF"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77,8</w:t>
            </w:r>
          </w:p>
        </w:tc>
      </w:tr>
      <w:tr w:rsidR="00BC45B8" w:rsidRPr="00BC45B8" w14:paraId="76B68B00"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57A8422D" w14:textId="77777777" w:rsidR="00BC45B8" w:rsidRPr="00BC45B8" w:rsidRDefault="00BC45B8" w:rsidP="00791BB7">
            <w:pPr>
              <w:spacing w:after="0" w:line="240" w:lineRule="auto"/>
              <w:ind w:firstLine="67"/>
              <w:jc w:val="left"/>
              <w:rPr>
                <w:rFonts w:eastAsia="Times New Roman" w:cs="Times New Roman"/>
                <w:b/>
                <w:bCs/>
                <w:sz w:val="20"/>
                <w:szCs w:val="20"/>
                <w:lang w:eastAsia="sk-SK"/>
              </w:rPr>
            </w:pPr>
            <w:r w:rsidRPr="00BC45B8">
              <w:rPr>
                <w:rFonts w:eastAsia="Times New Roman" w:cs="Times New Roman"/>
                <w:b/>
                <w:bCs/>
                <w:sz w:val="20"/>
                <w:szCs w:val="20"/>
                <w:lang w:eastAsia="sk-SK"/>
              </w:rPr>
              <w:t>Euro zóna</w:t>
            </w:r>
          </w:p>
        </w:tc>
        <w:tc>
          <w:tcPr>
            <w:tcW w:w="662" w:type="dxa"/>
            <w:tcBorders>
              <w:top w:val="nil"/>
              <w:left w:val="nil"/>
              <w:bottom w:val="nil"/>
              <w:right w:val="nil"/>
            </w:tcBorders>
            <w:shd w:val="clear" w:color="auto" w:fill="auto"/>
            <w:noWrap/>
            <w:vAlign w:val="center"/>
            <w:hideMark/>
          </w:tcPr>
          <w:p w14:paraId="6CFF982E"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-1,0</w:t>
            </w:r>
          </w:p>
        </w:tc>
        <w:tc>
          <w:tcPr>
            <w:tcW w:w="919" w:type="dxa"/>
            <w:tcBorders>
              <w:top w:val="nil"/>
              <w:left w:val="nil"/>
              <w:bottom w:val="nil"/>
              <w:right w:val="nil"/>
            </w:tcBorders>
            <w:shd w:val="clear" w:color="auto" w:fill="auto"/>
            <w:noWrap/>
            <w:vAlign w:val="center"/>
            <w:hideMark/>
          </w:tcPr>
          <w:p w14:paraId="247E02C4"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-0,5</w:t>
            </w:r>
          </w:p>
        </w:tc>
        <w:tc>
          <w:tcPr>
            <w:tcW w:w="728" w:type="dxa"/>
            <w:tcBorders>
              <w:top w:val="nil"/>
              <w:left w:val="nil"/>
              <w:bottom w:val="nil"/>
              <w:right w:val="nil"/>
            </w:tcBorders>
            <w:shd w:val="clear" w:color="auto" w:fill="auto"/>
            <w:noWrap/>
            <w:vAlign w:val="center"/>
            <w:hideMark/>
          </w:tcPr>
          <w:p w14:paraId="113CDBF8"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-0,6</w:t>
            </w:r>
          </w:p>
        </w:tc>
        <w:tc>
          <w:tcPr>
            <w:tcW w:w="1753" w:type="dxa"/>
            <w:tcBorders>
              <w:top w:val="nil"/>
              <w:left w:val="single" w:sz="4" w:space="0" w:color="auto"/>
              <w:bottom w:val="nil"/>
              <w:right w:val="nil"/>
            </w:tcBorders>
            <w:shd w:val="clear" w:color="auto" w:fill="auto"/>
            <w:noWrap/>
            <w:vAlign w:val="center"/>
            <w:hideMark/>
          </w:tcPr>
          <w:p w14:paraId="66CF6680" w14:textId="77777777" w:rsidR="00BC45B8" w:rsidRPr="00BC45B8" w:rsidRDefault="00BC45B8" w:rsidP="00791BB7">
            <w:pPr>
              <w:spacing w:after="0" w:line="240" w:lineRule="auto"/>
              <w:ind w:left="116"/>
              <w:jc w:val="left"/>
              <w:rPr>
                <w:rFonts w:eastAsia="Times New Roman" w:cs="Times New Roman"/>
                <w:b/>
                <w:bCs/>
                <w:sz w:val="20"/>
                <w:szCs w:val="20"/>
                <w:lang w:eastAsia="sk-SK"/>
              </w:rPr>
            </w:pPr>
            <w:r w:rsidRPr="00BC45B8">
              <w:rPr>
                <w:rFonts w:eastAsia="Times New Roman" w:cs="Times New Roman"/>
                <w:b/>
                <w:bCs/>
                <w:sz w:val="20"/>
                <w:szCs w:val="20"/>
                <w:lang w:eastAsia="sk-SK"/>
              </w:rPr>
              <w:t>Euro zóna</w:t>
            </w:r>
          </w:p>
        </w:tc>
        <w:tc>
          <w:tcPr>
            <w:tcW w:w="962" w:type="dxa"/>
            <w:tcBorders>
              <w:top w:val="nil"/>
              <w:left w:val="nil"/>
              <w:bottom w:val="nil"/>
              <w:right w:val="nil"/>
            </w:tcBorders>
            <w:shd w:val="clear" w:color="auto" w:fill="auto"/>
            <w:noWrap/>
            <w:vAlign w:val="center"/>
            <w:hideMark/>
          </w:tcPr>
          <w:p w14:paraId="3D9C1930"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87,8</w:t>
            </w:r>
          </w:p>
        </w:tc>
        <w:tc>
          <w:tcPr>
            <w:tcW w:w="897" w:type="dxa"/>
            <w:tcBorders>
              <w:top w:val="nil"/>
              <w:left w:val="nil"/>
              <w:bottom w:val="nil"/>
              <w:right w:val="nil"/>
            </w:tcBorders>
            <w:shd w:val="clear" w:color="auto" w:fill="auto"/>
            <w:noWrap/>
            <w:vAlign w:val="center"/>
            <w:hideMark/>
          </w:tcPr>
          <w:p w14:paraId="287F145D"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85,8</w:t>
            </w:r>
          </w:p>
        </w:tc>
        <w:tc>
          <w:tcPr>
            <w:tcW w:w="920" w:type="dxa"/>
            <w:tcBorders>
              <w:top w:val="nil"/>
              <w:left w:val="nil"/>
              <w:bottom w:val="nil"/>
              <w:right w:val="single" w:sz="4" w:space="0" w:color="auto"/>
            </w:tcBorders>
            <w:shd w:val="clear" w:color="auto" w:fill="auto"/>
            <w:noWrap/>
            <w:vAlign w:val="center"/>
            <w:hideMark/>
          </w:tcPr>
          <w:p w14:paraId="2E3D0A07"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84,1</w:t>
            </w:r>
          </w:p>
        </w:tc>
      </w:tr>
      <w:tr w:rsidR="00BC45B8" w:rsidRPr="00BC45B8" w14:paraId="300BBE17"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53FF84BF"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Rumunsko</w:t>
            </w:r>
          </w:p>
        </w:tc>
        <w:tc>
          <w:tcPr>
            <w:tcW w:w="662" w:type="dxa"/>
            <w:tcBorders>
              <w:top w:val="nil"/>
              <w:left w:val="nil"/>
              <w:bottom w:val="nil"/>
              <w:right w:val="nil"/>
            </w:tcBorders>
            <w:shd w:val="clear" w:color="auto" w:fill="auto"/>
            <w:noWrap/>
            <w:vAlign w:val="center"/>
            <w:hideMark/>
          </w:tcPr>
          <w:p w14:paraId="0C94761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-2,6</w:t>
            </w:r>
          </w:p>
        </w:tc>
        <w:tc>
          <w:tcPr>
            <w:tcW w:w="919" w:type="dxa"/>
            <w:tcBorders>
              <w:top w:val="nil"/>
              <w:left w:val="nil"/>
              <w:bottom w:val="nil"/>
              <w:right w:val="nil"/>
            </w:tcBorders>
            <w:shd w:val="clear" w:color="auto" w:fill="auto"/>
            <w:noWrap/>
            <w:vAlign w:val="center"/>
            <w:hideMark/>
          </w:tcPr>
          <w:p w14:paraId="36824C7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-2,9</w:t>
            </w:r>
          </w:p>
        </w:tc>
        <w:tc>
          <w:tcPr>
            <w:tcW w:w="728" w:type="dxa"/>
            <w:tcBorders>
              <w:top w:val="nil"/>
              <w:left w:val="nil"/>
              <w:bottom w:val="nil"/>
              <w:right w:val="nil"/>
            </w:tcBorders>
            <w:shd w:val="clear" w:color="auto" w:fill="auto"/>
            <w:noWrap/>
            <w:vAlign w:val="center"/>
            <w:hideMark/>
          </w:tcPr>
          <w:p w14:paraId="3FBCF08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-4,3</w:t>
            </w:r>
          </w:p>
        </w:tc>
        <w:tc>
          <w:tcPr>
            <w:tcW w:w="1753" w:type="dxa"/>
            <w:tcBorders>
              <w:top w:val="nil"/>
              <w:left w:val="single" w:sz="4" w:space="0" w:color="auto"/>
              <w:bottom w:val="nil"/>
              <w:right w:val="nil"/>
            </w:tcBorders>
            <w:shd w:val="clear" w:color="auto" w:fill="auto"/>
            <w:noWrap/>
            <w:vAlign w:val="center"/>
            <w:hideMark/>
          </w:tcPr>
          <w:p w14:paraId="4E63A5A9"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Grécko</w:t>
            </w:r>
          </w:p>
        </w:tc>
        <w:tc>
          <w:tcPr>
            <w:tcW w:w="962" w:type="dxa"/>
            <w:tcBorders>
              <w:top w:val="nil"/>
              <w:left w:val="nil"/>
              <w:bottom w:val="nil"/>
              <w:right w:val="nil"/>
            </w:tcBorders>
            <w:shd w:val="clear" w:color="auto" w:fill="auto"/>
            <w:noWrap/>
            <w:vAlign w:val="center"/>
            <w:hideMark/>
          </w:tcPr>
          <w:p w14:paraId="5FD7169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176,2</w:t>
            </w:r>
          </w:p>
        </w:tc>
        <w:tc>
          <w:tcPr>
            <w:tcW w:w="897" w:type="dxa"/>
            <w:tcBorders>
              <w:top w:val="nil"/>
              <w:left w:val="nil"/>
              <w:bottom w:val="nil"/>
              <w:right w:val="nil"/>
            </w:tcBorders>
            <w:shd w:val="clear" w:color="auto" w:fill="auto"/>
            <w:noWrap/>
            <w:vAlign w:val="center"/>
            <w:hideMark/>
          </w:tcPr>
          <w:p w14:paraId="598A82A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181,2</w:t>
            </w:r>
          </w:p>
        </w:tc>
        <w:tc>
          <w:tcPr>
            <w:tcW w:w="920" w:type="dxa"/>
            <w:tcBorders>
              <w:top w:val="nil"/>
              <w:left w:val="nil"/>
              <w:bottom w:val="nil"/>
              <w:right w:val="single" w:sz="4" w:space="0" w:color="auto"/>
            </w:tcBorders>
            <w:shd w:val="clear" w:color="auto" w:fill="auto"/>
            <w:noWrap/>
            <w:vAlign w:val="center"/>
            <w:hideMark/>
          </w:tcPr>
          <w:p w14:paraId="31C3652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176,6</w:t>
            </w:r>
          </w:p>
        </w:tc>
      </w:tr>
      <w:tr w:rsidR="00BC45B8" w:rsidRPr="00BC45B8" w14:paraId="19AB208F"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4D88520B"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Francúzsko</w:t>
            </w:r>
          </w:p>
        </w:tc>
        <w:tc>
          <w:tcPr>
            <w:tcW w:w="662" w:type="dxa"/>
            <w:tcBorders>
              <w:top w:val="nil"/>
              <w:left w:val="nil"/>
              <w:bottom w:val="nil"/>
              <w:right w:val="nil"/>
            </w:tcBorders>
            <w:shd w:val="clear" w:color="auto" w:fill="auto"/>
            <w:noWrap/>
            <w:vAlign w:val="center"/>
            <w:hideMark/>
          </w:tcPr>
          <w:p w14:paraId="01C05A1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-2,9</w:t>
            </w:r>
          </w:p>
        </w:tc>
        <w:tc>
          <w:tcPr>
            <w:tcW w:w="919" w:type="dxa"/>
            <w:tcBorders>
              <w:top w:val="nil"/>
              <w:left w:val="nil"/>
              <w:bottom w:val="nil"/>
              <w:right w:val="nil"/>
            </w:tcBorders>
            <w:shd w:val="clear" w:color="auto" w:fill="auto"/>
            <w:noWrap/>
            <w:vAlign w:val="center"/>
            <w:hideMark/>
          </w:tcPr>
          <w:p w14:paraId="4B4D2C5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-2,3</w:t>
            </w:r>
          </w:p>
        </w:tc>
        <w:tc>
          <w:tcPr>
            <w:tcW w:w="728" w:type="dxa"/>
            <w:tcBorders>
              <w:top w:val="nil"/>
              <w:left w:val="nil"/>
              <w:bottom w:val="nil"/>
              <w:right w:val="nil"/>
            </w:tcBorders>
            <w:shd w:val="clear" w:color="auto" w:fill="auto"/>
            <w:noWrap/>
            <w:vAlign w:val="center"/>
            <w:hideMark/>
          </w:tcPr>
          <w:p w14:paraId="6AAB462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-3,0</w:t>
            </w:r>
          </w:p>
        </w:tc>
        <w:tc>
          <w:tcPr>
            <w:tcW w:w="1753" w:type="dxa"/>
            <w:tcBorders>
              <w:top w:val="nil"/>
              <w:left w:val="single" w:sz="4" w:space="0" w:color="auto"/>
              <w:bottom w:val="nil"/>
              <w:right w:val="nil"/>
            </w:tcBorders>
            <w:shd w:val="clear" w:color="auto" w:fill="auto"/>
            <w:noWrap/>
            <w:vAlign w:val="center"/>
            <w:hideMark/>
          </w:tcPr>
          <w:p w14:paraId="47AFEFC8"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Taliansko</w:t>
            </w:r>
          </w:p>
        </w:tc>
        <w:tc>
          <w:tcPr>
            <w:tcW w:w="962" w:type="dxa"/>
            <w:tcBorders>
              <w:top w:val="nil"/>
              <w:left w:val="nil"/>
              <w:bottom w:val="nil"/>
              <w:right w:val="nil"/>
            </w:tcBorders>
            <w:shd w:val="clear" w:color="auto" w:fill="auto"/>
            <w:noWrap/>
            <w:vAlign w:val="center"/>
            <w:hideMark/>
          </w:tcPr>
          <w:p w14:paraId="438EB7C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134,1</w:t>
            </w:r>
          </w:p>
        </w:tc>
        <w:tc>
          <w:tcPr>
            <w:tcW w:w="897" w:type="dxa"/>
            <w:tcBorders>
              <w:top w:val="nil"/>
              <w:left w:val="nil"/>
              <w:bottom w:val="nil"/>
              <w:right w:val="nil"/>
            </w:tcBorders>
            <w:shd w:val="clear" w:color="auto" w:fill="auto"/>
            <w:noWrap/>
            <w:vAlign w:val="center"/>
            <w:hideMark/>
          </w:tcPr>
          <w:p w14:paraId="552D2B4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134,8</w:t>
            </w:r>
          </w:p>
        </w:tc>
        <w:tc>
          <w:tcPr>
            <w:tcW w:w="920" w:type="dxa"/>
            <w:tcBorders>
              <w:top w:val="nil"/>
              <w:left w:val="nil"/>
              <w:bottom w:val="nil"/>
              <w:right w:val="single" w:sz="4" w:space="0" w:color="auto"/>
            </w:tcBorders>
            <w:shd w:val="clear" w:color="auto" w:fill="auto"/>
            <w:noWrap/>
            <w:vAlign w:val="center"/>
            <w:hideMark/>
          </w:tcPr>
          <w:p w14:paraId="40E12DE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134,8</w:t>
            </w:r>
          </w:p>
        </w:tc>
      </w:tr>
      <w:tr w:rsidR="00BC45B8" w:rsidRPr="00BC45B8" w14:paraId="0BB519B8"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550CCA6A"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Španielsko</w:t>
            </w:r>
          </w:p>
        </w:tc>
        <w:tc>
          <w:tcPr>
            <w:tcW w:w="662" w:type="dxa"/>
            <w:tcBorders>
              <w:top w:val="nil"/>
              <w:left w:val="nil"/>
              <w:bottom w:val="nil"/>
              <w:right w:val="nil"/>
            </w:tcBorders>
            <w:shd w:val="clear" w:color="auto" w:fill="auto"/>
            <w:noWrap/>
            <w:vAlign w:val="center"/>
            <w:hideMark/>
          </w:tcPr>
          <w:p w14:paraId="66BE34C0"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-3,0</w:t>
            </w:r>
          </w:p>
        </w:tc>
        <w:tc>
          <w:tcPr>
            <w:tcW w:w="919" w:type="dxa"/>
            <w:tcBorders>
              <w:top w:val="nil"/>
              <w:left w:val="nil"/>
              <w:bottom w:val="nil"/>
              <w:right w:val="nil"/>
            </w:tcBorders>
            <w:shd w:val="clear" w:color="auto" w:fill="auto"/>
            <w:noWrap/>
            <w:vAlign w:val="center"/>
            <w:hideMark/>
          </w:tcPr>
          <w:p w14:paraId="29FA875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-2,5</w:t>
            </w:r>
          </w:p>
        </w:tc>
        <w:tc>
          <w:tcPr>
            <w:tcW w:w="728" w:type="dxa"/>
            <w:tcBorders>
              <w:top w:val="nil"/>
              <w:left w:val="nil"/>
              <w:bottom w:val="nil"/>
              <w:right w:val="nil"/>
            </w:tcBorders>
            <w:shd w:val="clear" w:color="auto" w:fill="auto"/>
            <w:noWrap/>
            <w:vAlign w:val="center"/>
            <w:hideMark/>
          </w:tcPr>
          <w:p w14:paraId="0B26C31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-2,8</w:t>
            </w:r>
          </w:p>
        </w:tc>
        <w:tc>
          <w:tcPr>
            <w:tcW w:w="1753" w:type="dxa"/>
            <w:tcBorders>
              <w:top w:val="nil"/>
              <w:left w:val="single" w:sz="4" w:space="0" w:color="auto"/>
              <w:bottom w:val="nil"/>
              <w:right w:val="nil"/>
            </w:tcBorders>
            <w:shd w:val="clear" w:color="auto" w:fill="auto"/>
            <w:noWrap/>
            <w:vAlign w:val="center"/>
            <w:hideMark/>
          </w:tcPr>
          <w:p w14:paraId="691607F7"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Portugalsko</w:t>
            </w:r>
          </w:p>
        </w:tc>
        <w:tc>
          <w:tcPr>
            <w:tcW w:w="962" w:type="dxa"/>
            <w:tcBorders>
              <w:top w:val="nil"/>
              <w:left w:val="nil"/>
              <w:bottom w:val="nil"/>
              <w:right w:val="nil"/>
            </w:tcBorders>
            <w:shd w:val="clear" w:color="auto" w:fill="auto"/>
            <w:noWrap/>
            <w:vAlign w:val="center"/>
            <w:hideMark/>
          </w:tcPr>
          <w:p w14:paraId="0D3C6FB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126,1</w:t>
            </w:r>
          </w:p>
        </w:tc>
        <w:tc>
          <w:tcPr>
            <w:tcW w:w="897" w:type="dxa"/>
            <w:tcBorders>
              <w:top w:val="nil"/>
              <w:left w:val="nil"/>
              <w:bottom w:val="nil"/>
              <w:right w:val="nil"/>
            </w:tcBorders>
            <w:shd w:val="clear" w:color="auto" w:fill="auto"/>
            <w:noWrap/>
            <w:vAlign w:val="center"/>
            <w:hideMark/>
          </w:tcPr>
          <w:p w14:paraId="62958E6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122,0</w:t>
            </w:r>
          </w:p>
        </w:tc>
        <w:tc>
          <w:tcPr>
            <w:tcW w:w="920" w:type="dxa"/>
            <w:tcBorders>
              <w:top w:val="nil"/>
              <w:left w:val="nil"/>
              <w:bottom w:val="nil"/>
              <w:right w:val="single" w:sz="4" w:space="0" w:color="auto"/>
            </w:tcBorders>
            <w:shd w:val="clear" w:color="auto" w:fill="auto"/>
            <w:noWrap/>
            <w:vAlign w:val="center"/>
            <w:hideMark/>
          </w:tcPr>
          <w:p w14:paraId="1E85BD1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117,7</w:t>
            </w:r>
          </w:p>
        </w:tc>
      </w:tr>
      <w:tr w:rsidR="00BC45B8" w:rsidRPr="00BC45B8" w14:paraId="2726FE18"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3DA857F3" w14:textId="0B3EC88E" w:rsidR="00BC45B8" w:rsidRPr="00BC45B8" w:rsidRDefault="002C534E" w:rsidP="00791BB7">
            <w:pPr>
              <w:spacing w:after="0" w:line="240" w:lineRule="auto"/>
              <w:ind w:firstLine="67"/>
              <w:jc w:val="left"/>
              <w:rPr>
                <w:rFonts w:eastAsia="Times New Roman" w:cs="Times New Roman"/>
                <w:sz w:val="20"/>
                <w:szCs w:val="20"/>
                <w:lang w:eastAsia="sk-SK"/>
              </w:rPr>
            </w:pPr>
            <w:r>
              <w:rPr>
                <w:rFonts w:eastAsia="Times New Roman" w:cs="Times New Roman"/>
                <w:sz w:val="20"/>
                <w:szCs w:val="20"/>
                <w:lang w:eastAsia="sk-SK"/>
              </w:rPr>
              <w:t>Veľká Británia</w:t>
            </w:r>
          </w:p>
        </w:tc>
        <w:tc>
          <w:tcPr>
            <w:tcW w:w="662" w:type="dxa"/>
            <w:tcBorders>
              <w:top w:val="nil"/>
              <w:left w:val="nil"/>
              <w:bottom w:val="nil"/>
              <w:right w:val="nil"/>
            </w:tcBorders>
            <w:shd w:val="clear" w:color="auto" w:fill="auto"/>
            <w:noWrap/>
            <w:vAlign w:val="center"/>
            <w:hideMark/>
          </w:tcPr>
          <w:p w14:paraId="7E42D047"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-2,5</w:t>
            </w:r>
          </w:p>
        </w:tc>
        <w:tc>
          <w:tcPr>
            <w:tcW w:w="919" w:type="dxa"/>
            <w:tcBorders>
              <w:top w:val="nil"/>
              <w:left w:val="nil"/>
              <w:bottom w:val="nil"/>
              <w:right w:val="nil"/>
            </w:tcBorders>
            <w:shd w:val="clear" w:color="auto" w:fill="auto"/>
            <w:noWrap/>
            <w:vAlign w:val="center"/>
            <w:hideMark/>
          </w:tcPr>
          <w:p w14:paraId="643D2D2D"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-2,2</w:t>
            </w:r>
          </w:p>
        </w:tc>
        <w:tc>
          <w:tcPr>
            <w:tcW w:w="728" w:type="dxa"/>
            <w:tcBorders>
              <w:top w:val="nil"/>
              <w:left w:val="nil"/>
              <w:bottom w:val="nil"/>
              <w:right w:val="nil"/>
            </w:tcBorders>
            <w:shd w:val="clear" w:color="auto" w:fill="auto"/>
            <w:noWrap/>
            <w:vAlign w:val="center"/>
            <w:hideMark/>
          </w:tcPr>
          <w:p w14:paraId="19FAFB14"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-2,1</w:t>
            </w:r>
          </w:p>
        </w:tc>
        <w:tc>
          <w:tcPr>
            <w:tcW w:w="1753" w:type="dxa"/>
            <w:tcBorders>
              <w:top w:val="nil"/>
              <w:left w:val="single" w:sz="4" w:space="0" w:color="auto"/>
              <w:bottom w:val="nil"/>
              <w:right w:val="nil"/>
            </w:tcBorders>
            <w:shd w:val="clear" w:color="auto" w:fill="auto"/>
            <w:noWrap/>
            <w:vAlign w:val="center"/>
            <w:hideMark/>
          </w:tcPr>
          <w:p w14:paraId="4C7EFF0A"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Belgicko</w:t>
            </w:r>
          </w:p>
        </w:tc>
        <w:tc>
          <w:tcPr>
            <w:tcW w:w="962" w:type="dxa"/>
            <w:tcBorders>
              <w:top w:val="nil"/>
              <w:left w:val="nil"/>
              <w:bottom w:val="nil"/>
              <w:right w:val="nil"/>
            </w:tcBorders>
            <w:shd w:val="clear" w:color="auto" w:fill="auto"/>
            <w:noWrap/>
            <w:vAlign w:val="center"/>
            <w:hideMark/>
          </w:tcPr>
          <w:p w14:paraId="3F0AF521"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101,7</w:t>
            </w:r>
          </w:p>
        </w:tc>
        <w:tc>
          <w:tcPr>
            <w:tcW w:w="897" w:type="dxa"/>
            <w:tcBorders>
              <w:top w:val="nil"/>
              <w:left w:val="nil"/>
              <w:bottom w:val="nil"/>
              <w:right w:val="nil"/>
            </w:tcBorders>
            <w:shd w:val="clear" w:color="auto" w:fill="auto"/>
            <w:noWrap/>
            <w:vAlign w:val="center"/>
            <w:hideMark/>
          </w:tcPr>
          <w:p w14:paraId="226ACC4E"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99,8</w:t>
            </w:r>
          </w:p>
        </w:tc>
        <w:tc>
          <w:tcPr>
            <w:tcW w:w="920" w:type="dxa"/>
            <w:tcBorders>
              <w:top w:val="nil"/>
              <w:left w:val="nil"/>
              <w:bottom w:val="nil"/>
              <w:right w:val="single" w:sz="4" w:space="0" w:color="auto"/>
            </w:tcBorders>
            <w:shd w:val="clear" w:color="auto" w:fill="auto"/>
            <w:noWrap/>
            <w:vAlign w:val="center"/>
            <w:hideMark/>
          </w:tcPr>
          <w:p w14:paraId="762C9397"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98,6</w:t>
            </w:r>
          </w:p>
        </w:tc>
      </w:tr>
      <w:tr w:rsidR="00BC45B8" w:rsidRPr="00BC45B8" w14:paraId="1FF37006"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1DEEAA79"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Maďarsko</w:t>
            </w:r>
          </w:p>
        </w:tc>
        <w:tc>
          <w:tcPr>
            <w:tcW w:w="662" w:type="dxa"/>
            <w:tcBorders>
              <w:top w:val="nil"/>
              <w:left w:val="nil"/>
              <w:bottom w:val="nil"/>
              <w:right w:val="nil"/>
            </w:tcBorders>
            <w:shd w:val="clear" w:color="auto" w:fill="auto"/>
            <w:noWrap/>
            <w:vAlign w:val="center"/>
            <w:hideMark/>
          </w:tcPr>
          <w:p w14:paraId="680EAFEF"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-2,5</w:t>
            </w:r>
          </w:p>
        </w:tc>
        <w:tc>
          <w:tcPr>
            <w:tcW w:w="919" w:type="dxa"/>
            <w:tcBorders>
              <w:top w:val="nil"/>
              <w:left w:val="nil"/>
              <w:bottom w:val="nil"/>
              <w:right w:val="nil"/>
            </w:tcBorders>
            <w:shd w:val="clear" w:color="auto" w:fill="auto"/>
            <w:noWrap/>
            <w:vAlign w:val="center"/>
            <w:hideMark/>
          </w:tcPr>
          <w:p w14:paraId="168044B6"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-2,1</w:t>
            </w:r>
          </w:p>
        </w:tc>
        <w:tc>
          <w:tcPr>
            <w:tcW w:w="728" w:type="dxa"/>
            <w:tcBorders>
              <w:top w:val="nil"/>
              <w:left w:val="nil"/>
              <w:bottom w:val="nil"/>
              <w:right w:val="nil"/>
            </w:tcBorders>
            <w:shd w:val="clear" w:color="auto" w:fill="auto"/>
            <w:noWrap/>
            <w:vAlign w:val="center"/>
            <w:hideMark/>
          </w:tcPr>
          <w:p w14:paraId="51D8A846"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-2,0</w:t>
            </w:r>
          </w:p>
        </w:tc>
        <w:tc>
          <w:tcPr>
            <w:tcW w:w="1753" w:type="dxa"/>
            <w:tcBorders>
              <w:top w:val="nil"/>
              <w:left w:val="single" w:sz="4" w:space="0" w:color="auto"/>
              <w:bottom w:val="nil"/>
              <w:right w:val="nil"/>
            </w:tcBorders>
            <w:shd w:val="clear" w:color="auto" w:fill="auto"/>
            <w:noWrap/>
            <w:vAlign w:val="center"/>
            <w:hideMark/>
          </w:tcPr>
          <w:p w14:paraId="7FBC5B12"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Francúzsko</w:t>
            </w:r>
          </w:p>
        </w:tc>
        <w:tc>
          <w:tcPr>
            <w:tcW w:w="962" w:type="dxa"/>
            <w:tcBorders>
              <w:top w:val="nil"/>
              <w:left w:val="nil"/>
              <w:bottom w:val="nil"/>
              <w:right w:val="nil"/>
            </w:tcBorders>
            <w:shd w:val="clear" w:color="auto" w:fill="auto"/>
            <w:noWrap/>
            <w:vAlign w:val="center"/>
            <w:hideMark/>
          </w:tcPr>
          <w:p w14:paraId="77FEB2FA"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98,3</w:t>
            </w:r>
          </w:p>
        </w:tc>
        <w:tc>
          <w:tcPr>
            <w:tcW w:w="897" w:type="dxa"/>
            <w:tcBorders>
              <w:top w:val="nil"/>
              <w:left w:val="nil"/>
              <w:bottom w:val="nil"/>
              <w:right w:val="nil"/>
            </w:tcBorders>
            <w:shd w:val="clear" w:color="auto" w:fill="auto"/>
            <w:noWrap/>
            <w:vAlign w:val="center"/>
            <w:hideMark/>
          </w:tcPr>
          <w:p w14:paraId="01252154"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98,1</w:t>
            </w:r>
          </w:p>
        </w:tc>
        <w:tc>
          <w:tcPr>
            <w:tcW w:w="920" w:type="dxa"/>
            <w:tcBorders>
              <w:top w:val="nil"/>
              <w:left w:val="nil"/>
              <w:bottom w:val="nil"/>
              <w:right w:val="single" w:sz="4" w:space="0" w:color="auto"/>
            </w:tcBorders>
            <w:shd w:val="clear" w:color="auto" w:fill="auto"/>
            <w:noWrap/>
            <w:vAlign w:val="center"/>
            <w:hideMark/>
          </w:tcPr>
          <w:p w14:paraId="087C346A"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98,1</w:t>
            </w:r>
          </w:p>
        </w:tc>
      </w:tr>
      <w:tr w:rsidR="00BC45B8" w:rsidRPr="00BC45B8" w14:paraId="72DB8AC0"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591D46EB"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Belgicko</w:t>
            </w:r>
          </w:p>
        </w:tc>
        <w:tc>
          <w:tcPr>
            <w:tcW w:w="662" w:type="dxa"/>
            <w:tcBorders>
              <w:top w:val="nil"/>
              <w:left w:val="nil"/>
              <w:bottom w:val="nil"/>
              <w:right w:val="nil"/>
            </w:tcBorders>
            <w:shd w:val="clear" w:color="auto" w:fill="auto"/>
            <w:noWrap/>
            <w:vAlign w:val="center"/>
            <w:hideMark/>
          </w:tcPr>
          <w:p w14:paraId="5336986C"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-0,7</w:t>
            </w:r>
          </w:p>
        </w:tc>
        <w:tc>
          <w:tcPr>
            <w:tcW w:w="919" w:type="dxa"/>
            <w:tcBorders>
              <w:top w:val="nil"/>
              <w:left w:val="nil"/>
              <w:bottom w:val="nil"/>
              <w:right w:val="nil"/>
            </w:tcBorders>
            <w:shd w:val="clear" w:color="auto" w:fill="auto"/>
            <w:noWrap/>
            <w:vAlign w:val="center"/>
            <w:hideMark/>
          </w:tcPr>
          <w:p w14:paraId="708250BB"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-0,8</w:t>
            </w:r>
          </w:p>
        </w:tc>
        <w:tc>
          <w:tcPr>
            <w:tcW w:w="728" w:type="dxa"/>
            <w:tcBorders>
              <w:top w:val="nil"/>
              <w:left w:val="nil"/>
              <w:bottom w:val="nil"/>
              <w:right w:val="nil"/>
            </w:tcBorders>
            <w:shd w:val="clear" w:color="auto" w:fill="auto"/>
            <w:noWrap/>
            <w:vAlign w:val="center"/>
            <w:hideMark/>
          </w:tcPr>
          <w:p w14:paraId="52600C8B"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-1,9</w:t>
            </w:r>
          </w:p>
        </w:tc>
        <w:tc>
          <w:tcPr>
            <w:tcW w:w="1753" w:type="dxa"/>
            <w:tcBorders>
              <w:top w:val="nil"/>
              <w:left w:val="single" w:sz="4" w:space="0" w:color="auto"/>
              <w:bottom w:val="nil"/>
              <w:right w:val="nil"/>
            </w:tcBorders>
            <w:shd w:val="clear" w:color="auto" w:fill="auto"/>
            <w:noWrap/>
            <w:vAlign w:val="center"/>
            <w:hideMark/>
          </w:tcPr>
          <w:p w14:paraId="49CE1F04"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Španielsko</w:t>
            </w:r>
          </w:p>
        </w:tc>
        <w:tc>
          <w:tcPr>
            <w:tcW w:w="962" w:type="dxa"/>
            <w:tcBorders>
              <w:top w:val="nil"/>
              <w:left w:val="nil"/>
              <w:bottom w:val="nil"/>
              <w:right w:val="nil"/>
            </w:tcBorders>
            <w:shd w:val="clear" w:color="auto" w:fill="auto"/>
            <w:noWrap/>
            <w:vAlign w:val="center"/>
            <w:hideMark/>
          </w:tcPr>
          <w:p w14:paraId="0388B339"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98,6</w:t>
            </w:r>
          </w:p>
        </w:tc>
        <w:tc>
          <w:tcPr>
            <w:tcW w:w="897" w:type="dxa"/>
            <w:tcBorders>
              <w:top w:val="nil"/>
              <w:left w:val="nil"/>
              <w:bottom w:val="nil"/>
              <w:right w:val="nil"/>
            </w:tcBorders>
            <w:shd w:val="clear" w:color="auto" w:fill="auto"/>
            <w:noWrap/>
            <w:vAlign w:val="center"/>
            <w:hideMark/>
          </w:tcPr>
          <w:p w14:paraId="2E505239"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97,6</w:t>
            </w:r>
          </w:p>
        </w:tc>
        <w:tc>
          <w:tcPr>
            <w:tcW w:w="920" w:type="dxa"/>
            <w:tcBorders>
              <w:top w:val="nil"/>
              <w:left w:val="nil"/>
              <w:bottom w:val="nil"/>
              <w:right w:val="single" w:sz="4" w:space="0" w:color="auto"/>
            </w:tcBorders>
            <w:shd w:val="clear" w:color="auto" w:fill="auto"/>
            <w:noWrap/>
            <w:vAlign w:val="center"/>
            <w:hideMark/>
          </w:tcPr>
          <w:p w14:paraId="5A6F173E"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95,5</w:t>
            </w:r>
          </w:p>
        </w:tc>
      </w:tr>
      <w:tr w:rsidR="00BC45B8" w:rsidRPr="00BC45B8" w14:paraId="265F3F5A"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6B66D0CC"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Taliansko</w:t>
            </w:r>
          </w:p>
        </w:tc>
        <w:tc>
          <w:tcPr>
            <w:tcW w:w="662" w:type="dxa"/>
            <w:tcBorders>
              <w:top w:val="nil"/>
              <w:left w:val="nil"/>
              <w:bottom w:val="nil"/>
              <w:right w:val="nil"/>
            </w:tcBorders>
            <w:shd w:val="clear" w:color="auto" w:fill="auto"/>
            <w:noWrap/>
            <w:vAlign w:val="center"/>
            <w:hideMark/>
          </w:tcPr>
          <w:p w14:paraId="6265156C"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-2,4</w:t>
            </w:r>
          </w:p>
        </w:tc>
        <w:tc>
          <w:tcPr>
            <w:tcW w:w="919" w:type="dxa"/>
            <w:tcBorders>
              <w:top w:val="nil"/>
              <w:left w:val="nil"/>
              <w:bottom w:val="nil"/>
              <w:right w:val="nil"/>
            </w:tcBorders>
            <w:shd w:val="clear" w:color="auto" w:fill="auto"/>
            <w:noWrap/>
            <w:vAlign w:val="center"/>
            <w:hideMark/>
          </w:tcPr>
          <w:p w14:paraId="5AF3BF0D"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-2,2</w:t>
            </w:r>
          </w:p>
        </w:tc>
        <w:tc>
          <w:tcPr>
            <w:tcW w:w="728" w:type="dxa"/>
            <w:tcBorders>
              <w:top w:val="nil"/>
              <w:left w:val="nil"/>
              <w:bottom w:val="nil"/>
              <w:right w:val="nil"/>
            </w:tcBorders>
            <w:shd w:val="clear" w:color="auto" w:fill="auto"/>
            <w:noWrap/>
            <w:vAlign w:val="center"/>
            <w:hideMark/>
          </w:tcPr>
          <w:p w14:paraId="53F5485D"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-1,6</w:t>
            </w:r>
          </w:p>
        </w:tc>
        <w:tc>
          <w:tcPr>
            <w:tcW w:w="1753" w:type="dxa"/>
            <w:tcBorders>
              <w:top w:val="nil"/>
              <w:left w:val="single" w:sz="4" w:space="0" w:color="auto"/>
              <w:bottom w:val="nil"/>
              <w:right w:val="nil"/>
            </w:tcBorders>
            <w:shd w:val="clear" w:color="auto" w:fill="auto"/>
            <w:noWrap/>
            <w:vAlign w:val="center"/>
            <w:hideMark/>
          </w:tcPr>
          <w:p w14:paraId="03E5EE2E"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Cyprus</w:t>
            </w:r>
          </w:p>
        </w:tc>
        <w:tc>
          <w:tcPr>
            <w:tcW w:w="962" w:type="dxa"/>
            <w:tcBorders>
              <w:top w:val="nil"/>
              <w:left w:val="nil"/>
              <w:bottom w:val="nil"/>
              <w:right w:val="nil"/>
            </w:tcBorders>
            <w:shd w:val="clear" w:color="auto" w:fill="auto"/>
            <w:noWrap/>
            <w:vAlign w:val="center"/>
            <w:hideMark/>
          </w:tcPr>
          <w:p w14:paraId="26EF1EBF"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93,9</w:t>
            </w:r>
          </w:p>
        </w:tc>
        <w:tc>
          <w:tcPr>
            <w:tcW w:w="897" w:type="dxa"/>
            <w:tcBorders>
              <w:top w:val="nil"/>
              <w:left w:val="nil"/>
              <w:bottom w:val="nil"/>
              <w:right w:val="nil"/>
            </w:tcBorders>
            <w:shd w:val="clear" w:color="auto" w:fill="auto"/>
            <w:noWrap/>
            <w:vAlign w:val="center"/>
            <w:hideMark/>
          </w:tcPr>
          <w:p w14:paraId="3E7B5C87"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100,6</w:t>
            </w:r>
          </w:p>
        </w:tc>
        <w:tc>
          <w:tcPr>
            <w:tcW w:w="920" w:type="dxa"/>
            <w:tcBorders>
              <w:top w:val="nil"/>
              <w:left w:val="nil"/>
              <w:bottom w:val="nil"/>
              <w:right w:val="single" w:sz="4" w:space="0" w:color="auto"/>
            </w:tcBorders>
            <w:shd w:val="clear" w:color="auto" w:fill="auto"/>
            <w:noWrap/>
            <w:vAlign w:val="center"/>
            <w:hideMark/>
          </w:tcPr>
          <w:p w14:paraId="1D998A66"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95,5</w:t>
            </w:r>
          </w:p>
        </w:tc>
      </w:tr>
      <w:tr w:rsidR="00BC45B8" w:rsidRPr="00BC45B8" w14:paraId="3C98D550"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2F0E206F" w14:textId="77777777" w:rsidR="00BC45B8" w:rsidRPr="00BC45B8" w:rsidRDefault="00BC45B8" w:rsidP="00791BB7">
            <w:pPr>
              <w:spacing w:after="0" w:line="240" w:lineRule="auto"/>
              <w:ind w:firstLine="67"/>
              <w:jc w:val="left"/>
              <w:rPr>
                <w:rFonts w:eastAsia="Times New Roman" w:cs="Times New Roman"/>
                <w:b/>
                <w:bCs/>
                <w:sz w:val="20"/>
                <w:szCs w:val="20"/>
                <w:lang w:eastAsia="sk-SK"/>
              </w:rPr>
            </w:pPr>
            <w:r w:rsidRPr="00BC45B8">
              <w:rPr>
                <w:rFonts w:eastAsia="Times New Roman" w:cs="Times New Roman"/>
                <w:b/>
                <w:bCs/>
                <w:sz w:val="20"/>
                <w:szCs w:val="20"/>
                <w:lang w:eastAsia="sk-SK"/>
              </w:rPr>
              <w:t>Slovensko</w:t>
            </w:r>
          </w:p>
        </w:tc>
        <w:tc>
          <w:tcPr>
            <w:tcW w:w="662" w:type="dxa"/>
            <w:tcBorders>
              <w:top w:val="nil"/>
              <w:left w:val="nil"/>
              <w:bottom w:val="nil"/>
              <w:right w:val="nil"/>
            </w:tcBorders>
            <w:shd w:val="clear" w:color="auto" w:fill="auto"/>
            <w:noWrap/>
            <w:vAlign w:val="center"/>
            <w:hideMark/>
          </w:tcPr>
          <w:p w14:paraId="4BFF19C4"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-1,0</w:t>
            </w:r>
          </w:p>
        </w:tc>
        <w:tc>
          <w:tcPr>
            <w:tcW w:w="919" w:type="dxa"/>
            <w:tcBorders>
              <w:top w:val="nil"/>
              <w:left w:val="nil"/>
              <w:bottom w:val="nil"/>
              <w:right w:val="nil"/>
            </w:tcBorders>
            <w:shd w:val="clear" w:color="auto" w:fill="auto"/>
            <w:noWrap/>
            <w:vAlign w:val="center"/>
            <w:hideMark/>
          </w:tcPr>
          <w:p w14:paraId="148C4D12"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-1,0</w:t>
            </w:r>
          </w:p>
        </w:tc>
        <w:tc>
          <w:tcPr>
            <w:tcW w:w="728" w:type="dxa"/>
            <w:tcBorders>
              <w:top w:val="nil"/>
              <w:left w:val="nil"/>
              <w:bottom w:val="nil"/>
              <w:right w:val="nil"/>
            </w:tcBorders>
            <w:shd w:val="clear" w:color="auto" w:fill="auto"/>
            <w:noWrap/>
            <w:vAlign w:val="center"/>
            <w:hideMark/>
          </w:tcPr>
          <w:p w14:paraId="65756F59" w14:textId="77777777" w:rsidR="00BC45B8" w:rsidRPr="00BC45B8" w:rsidRDefault="00BC45B8" w:rsidP="00BC45B8">
            <w:pPr>
              <w:spacing w:after="0" w:line="240" w:lineRule="auto"/>
              <w:jc w:val="center"/>
              <w:rPr>
                <w:rFonts w:eastAsia="Times New Roman" w:cs="Times New Roman"/>
                <w:b/>
                <w:bCs/>
                <w:sz w:val="20"/>
                <w:szCs w:val="20"/>
                <w:lang w:eastAsia="sk-SK"/>
              </w:rPr>
            </w:pPr>
            <w:r w:rsidRPr="00BC45B8">
              <w:rPr>
                <w:rFonts w:eastAsia="Times New Roman" w:cs="Times New Roman"/>
                <w:b/>
                <w:bCs/>
                <w:sz w:val="20"/>
                <w:szCs w:val="20"/>
                <w:lang w:eastAsia="sk-SK"/>
              </w:rPr>
              <w:t>-1,3</w:t>
            </w:r>
          </w:p>
        </w:tc>
        <w:tc>
          <w:tcPr>
            <w:tcW w:w="1753" w:type="dxa"/>
            <w:tcBorders>
              <w:top w:val="nil"/>
              <w:left w:val="single" w:sz="4" w:space="0" w:color="auto"/>
              <w:bottom w:val="nil"/>
              <w:right w:val="nil"/>
            </w:tcBorders>
            <w:shd w:val="clear" w:color="auto" w:fill="auto"/>
            <w:noWrap/>
            <w:vAlign w:val="center"/>
            <w:hideMark/>
          </w:tcPr>
          <w:p w14:paraId="653D91EE" w14:textId="2DF7E4B8" w:rsidR="00BC45B8" w:rsidRPr="00BC45B8" w:rsidRDefault="002C534E" w:rsidP="00791BB7">
            <w:pPr>
              <w:spacing w:after="0" w:line="240" w:lineRule="auto"/>
              <w:ind w:left="116"/>
              <w:jc w:val="left"/>
              <w:rPr>
                <w:rFonts w:eastAsia="Times New Roman" w:cs="Times New Roman"/>
                <w:sz w:val="20"/>
                <w:szCs w:val="20"/>
                <w:lang w:eastAsia="sk-SK"/>
              </w:rPr>
            </w:pPr>
            <w:r>
              <w:rPr>
                <w:rFonts w:eastAsia="Times New Roman" w:cs="Times New Roman"/>
                <w:sz w:val="20"/>
                <w:szCs w:val="20"/>
                <w:lang w:eastAsia="sk-SK"/>
              </w:rPr>
              <w:t>Veľká Británia</w:t>
            </w:r>
          </w:p>
        </w:tc>
        <w:tc>
          <w:tcPr>
            <w:tcW w:w="962" w:type="dxa"/>
            <w:tcBorders>
              <w:top w:val="nil"/>
              <w:left w:val="nil"/>
              <w:bottom w:val="nil"/>
              <w:right w:val="nil"/>
            </w:tcBorders>
            <w:shd w:val="clear" w:color="auto" w:fill="auto"/>
            <w:noWrap/>
            <w:vAlign w:val="center"/>
            <w:hideMark/>
          </w:tcPr>
          <w:p w14:paraId="0614472F"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86,2</w:t>
            </w:r>
          </w:p>
        </w:tc>
        <w:tc>
          <w:tcPr>
            <w:tcW w:w="897" w:type="dxa"/>
            <w:tcBorders>
              <w:top w:val="nil"/>
              <w:left w:val="nil"/>
              <w:bottom w:val="nil"/>
              <w:right w:val="nil"/>
            </w:tcBorders>
            <w:shd w:val="clear" w:color="auto" w:fill="auto"/>
            <w:noWrap/>
            <w:vAlign w:val="center"/>
            <w:hideMark/>
          </w:tcPr>
          <w:p w14:paraId="52FB82E1"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85,7</w:t>
            </w:r>
          </w:p>
        </w:tc>
        <w:tc>
          <w:tcPr>
            <w:tcW w:w="920" w:type="dxa"/>
            <w:tcBorders>
              <w:top w:val="nil"/>
              <w:left w:val="nil"/>
              <w:bottom w:val="nil"/>
              <w:right w:val="single" w:sz="4" w:space="0" w:color="auto"/>
            </w:tcBorders>
            <w:shd w:val="clear" w:color="auto" w:fill="auto"/>
            <w:noWrap/>
            <w:vAlign w:val="center"/>
            <w:hideMark/>
          </w:tcPr>
          <w:p w14:paraId="15D8E368" w14:textId="77777777" w:rsidR="00BC45B8" w:rsidRPr="00BC45B8" w:rsidRDefault="00BC45B8" w:rsidP="00BC45B8">
            <w:pPr>
              <w:spacing w:after="0" w:line="240" w:lineRule="auto"/>
              <w:jc w:val="center"/>
              <w:rPr>
                <w:rFonts w:eastAsia="Times New Roman" w:cs="Times New Roman"/>
                <w:sz w:val="20"/>
                <w:szCs w:val="20"/>
                <w:lang w:eastAsia="sk-SK"/>
              </w:rPr>
            </w:pPr>
            <w:r w:rsidRPr="00BC45B8">
              <w:rPr>
                <w:rFonts w:eastAsia="Times New Roman" w:cs="Times New Roman"/>
                <w:sz w:val="20"/>
                <w:szCs w:val="20"/>
                <w:lang w:eastAsia="sk-SK"/>
              </w:rPr>
              <w:t>85,4</w:t>
            </w:r>
          </w:p>
        </w:tc>
      </w:tr>
      <w:tr w:rsidR="00BC45B8" w:rsidRPr="00BC45B8" w14:paraId="41DB1966"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4E3C314F"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Fínsko</w:t>
            </w:r>
          </w:p>
        </w:tc>
        <w:tc>
          <w:tcPr>
            <w:tcW w:w="662" w:type="dxa"/>
            <w:tcBorders>
              <w:top w:val="nil"/>
              <w:left w:val="nil"/>
              <w:bottom w:val="nil"/>
              <w:right w:val="nil"/>
            </w:tcBorders>
            <w:shd w:val="clear" w:color="auto" w:fill="auto"/>
            <w:noWrap/>
            <w:vAlign w:val="center"/>
            <w:hideMark/>
          </w:tcPr>
          <w:p w14:paraId="763C75F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-0,7</w:t>
            </w:r>
          </w:p>
        </w:tc>
        <w:tc>
          <w:tcPr>
            <w:tcW w:w="919" w:type="dxa"/>
            <w:tcBorders>
              <w:top w:val="nil"/>
              <w:left w:val="nil"/>
              <w:bottom w:val="nil"/>
              <w:right w:val="nil"/>
            </w:tcBorders>
            <w:shd w:val="clear" w:color="auto" w:fill="auto"/>
            <w:noWrap/>
            <w:vAlign w:val="center"/>
            <w:hideMark/>
          </w:tcPr>
          <w:p w14:paraId="088695D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-0,9</w:t>
            </w:r>
          </w:p>
        </w:tc>
        <w:tc>
          <w:tcPr>
            <w:tcW w:w="728" w:type="dxa"/>
            <w:tcBorders>
              <w:top w:val="nil"/>
              <w:left w:val="nil"/>
              <w:bottom w:val="nil"/>
              <w:right w:val="nil"/>
            </w:tcBorders>
            <w:shd w:val="clear" w:color="auto" w:fill="auto"/>
            <w:noWrap/>
            <w:vAlign w:val="center"/>
            <w:hideMark/>
          </w:tcPr>
          <w:p w14:paraId="2E30395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-1,1</w:t>
            </w:r>
          </w:p>
        </w:tc>
        <w:tc>
          <w:tcPr>
            <w:tcW w:w="1753" w:type="dxa"/>
            <w:tcBorders>
              <w:top w:val="nil"/>
              <w:left w:val="single" w:sz="4" w:space="0" w:color="auto"/>
              <w:bottom w:val="nil"/>
              <w:right w:val="nil"/>
            </w:tcBorders>
            <w:shd w:val="clear" w:color="auto" w:fill="auto"/>
            <w:noWrap/>
            <w:vAlign w:val="center"/>
            <w:hideMark/>
          </w:tcPr>
          <w:p w14:paraId="0B14BAB1"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Chorvátsko</w:t>
            </w:r>
          </w:p>
        </w:tc>
        <w:tc>
          <w:tcPr>
            <w:tcW w:w="962" w:type="dxa"/>
            <w:tcBorders>
              <w:top w:val="nil"/>
              <w:left w:val="nil"/>
              <w:bottom w:val="nil"/>
              <w:right w:val="nil"/>
            </w:tcBorders>
            <w:shd w:val="clear" w:color="auto" w:fill="auto"/>
            <w:noWrap/>
            <w:vAlign w:val="center"/>
            <w:hideMark/>
          </w:tcPr>
          <w:p w14:paraId="354AC3F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77,8</w:t>
            </w:r>
          </w:p>
        </w:tc>
        <w:tc>
          <w:tcPr>
            <w:tcW w:w="897" w:type="dxa"/>
            <w:tcBorders>
              <w:top w:val="nil"/>
              <w:left w:val="nil"/>
              <w:bottom w:val="nil"/>
              <w:right w:val="nil"/>
            </w:tcBorders>
            <w:shd w:val="clear" w:color="auto" w:fill="auto"/>
            <w:noWrap/>
            <w:vAlign w:val="center"/>
            <w:hideMark/>
          </w:tcPr>
          <w:p w14:paraId="104D706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74,7</w:t>
            </w:r>
          </w:p>
        </w:tc>
        <w:tc>
          <w:tcPr>
            <w:tcW w:w="920" w:type="dxa"/>
            <w:tcBorders>
              <w:top w:val="nil"/>
              <w:left w:val="nil"/>
              <w:bottom w:val="nil"/>
              <w:right w:val="single" w:sz="4" w:space="0" w:color="auto"/>
            </w:tcBorders>
            <w:shd w:val="clear" w:color="auto" w:fill="auto"/>
            <w:noWrap/>
            <w:vAlign w:val="center"/>
            <w:hideMark/>
          </w:tcPr>
          <w:p w14:paraId="05DE727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73,2</w:t>
            </w:r>
          </w:p>
        </w:tc>
      </w:tr>
      <w:tr w:rsidR="00BC45B8" w:rsidRPr="00BC45B8" w14:paraId="680398B6"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0D6A3ECA"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Poľsko</w:t>
            </w:r>
          </w:p>
        </w:tc>
        <w:tc>
          <w:tcPr>
            <w:tcW w:w="662" w:type="dxa"/>
            <w:tcBorders>
              <w:top w:val="nil"/>
              <w:left w:val="nil"/>
              <w:bottom w:val="nil"/>
              <w:right w:val="nil"/>
            </w:tcBorders>
            <w:shd w:val="clear" w:color="auto" w:fill="auto"/>
            <w:noWrap/>
            <w:vAlign w:val="center"/>
            <w:hideMark/>
          </w:tcPr>
          <w:p w14:paraId="3FF791F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-1,5</w:t>
            </w:r>
          </w:p>
        </w:tc>
        <w:tc>
          <w:tcPr>
            <w:tcW w:w="919" w:type="dxa"/>
            <w:tcBorders>
              <w:top w:val="nil"/>
              <w:left w:val="nil"/>
              <w:bottom w:val="nil"/>
              <w:right w:val="nil"/>
            </w:tcBorders>
            <w:shd w:val="clear" w:color="auto" w:fill="auto"/>
            <w:noWrap/>
            <w:vAlign w:val="center"/>
            <w:hideMark/>
          </w:tcPr>
          <w:p w14:paraId="17A78E9E"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-0,2</w:t>
            </w:r>
          </w:p>
        </w:tc>
        <w:tc>
          <w:tcPr>
            <w:tcW w:w="728" w:type="dxa"/>
            <w:tcBorders>
              <w:top w:val="nil"/>
              <w:left w:val="nil"/>
              <w:bottom w:val="nil"/>
              <w:right w:val="nil"/>
            </w:tcBorders>
            <w:shd w:val="clear" w:color="auto" w:fill="auto"/>
            <w:noWrap/>
            <w:vAlign w:val="center"/>
            <w:hideMark/>
          </w:tcPr>
          <w:p w14:paraId="12170DB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-0,7</w:t>
            </w:r>
          </w:p>
        </w:tc>
        <w:tc>
          <w:tcPr>
            <w:tcW w:w="1753" w:type="dxa"/>
            <w:tcBorders>
              <w:top w:val="nil"/>
              <w:left w:val="single" w:sz="4" w:space="0" w:color="auto"/>
              <w:bottom w:val="nil"/>
              <w:right w:val="nil"/>
            </w:tcBorders>
            <w:shd w:val="clear" w:color="auto" w:fill="auto"/>
            <w:noWrap/>
            <w:vAlign w:val="center"/>
            <w:hideMark/>
          </w:tcPr>
          <w:p w14:paraId="1976799B"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Rakúsko</w:t>
            </w:r>
          </w:p>
        </w:tc>
        <w:tc>
          <w:tcPr>
            <w:tcW w:w="962" w:type="dxa"/>
            <w:tcBorders>
              <w:top w:val="nil"/>
              <w:left w:val="nil"/>
              <w:bottom w:val="nil"/>
              <w:right w:val="nil"/>
            </w:tcBorders>
            <w:shd w:val="clear" w:color="auto" w:fill="auto"/>
            <w:noWrap/>
            <w:vAlign w:val="center"/>
            <w:hideMark/>
          </w:tcPr>
          <w:p w14:paraId="7123EB6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78,3</w:t>
            </w:r>
          </w:p>
        </w:tc>
        <w:tc>
          <w:tcPr>
            <w:tcW w:w="897" w:type="dxa"/>
            <w:tcBorders>
              <w:top w:val="nil"/>
              <w:left w:val="nil"/>
              <w:bottom w:val="nil"/>
              <w:right w:val="nil"/>
            </w:tcBorders>
            <w:shd w:val="clear" w:color="auto" w:fill="auto"/>
            <w:noWrap/>
            <w:vAlign w:val="center"/>
            <w:hideMark/>
          </w:tcPr>
          <w:p w14:paraId="0A0A9BD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74,0</w:t>
            </w:r>
          </w:p>
        </w:tc>
        <w:tc>
          <w:tcPr>
            <w:tcW w:w="920" w:type="dxa"/>
            <w:tcBorders>
              <w:top w:val="nil"/>
              <w:left w:val="nil"/>
              <w:bottom w:val="nil"/>
              <w:right w:val="single" w:sz="4" w:space="0" w:color="auto"/>
            </w:tcBorders>
            <w:shd w:val="clear" w:color="auto" w:fill="auto"/>
            <w:noWrap/>
            <w:vAlign w:val="center"/>
            <w:hideMark/>
          </w:tcPr>
          <w:p w14:paraId="5408933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70,4</w:t>
            </w:r>
          </w:p>
        </w:tc>
      </w:tr>
      <w:tr w:rsidR="00BC45B8" w:rsidRPr="00BC45B8" w14:paraId="429289B0"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6D067D1E"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Estónsko</w:t>
            </w:r>
          </w:p>
        </w:tc>
        <w:tc>
          <w:tcPr>
            <w:tcW w:w="662" w:type="dxa"/>
            <w:tcBorders>
              <w:top w:val="nil"/>
              <w:left w:val="nil"/>
              <w:bottom w:val="nil"/>
              <w:right w:val="nil"/>
            </w:tcBorders>
            <w:shd w:val="clear" w:color="auto" w:fill="auto"/>
            <w:noWrap/>
            <w:vAlign w:val="center"/>
            <w:hideMark/>
          </w:tcPr>
          <w:p w14:paraId="2CFAE38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-0,8</w:t>
            </w:r>
          </w:p>
        </w:tc>
        <w:tc>
          <w:tcPr>
            <w:tcW w:w="919" w:type="dxa"/>
            <w:tcBorders>
              <w:top w:val="nil"/>
              <w:left w:val="nil"/>
              <w:bottom w:val="nil"/>
              <w:right w:val="nil"/>
            </w:tcBorders>
            <w:shd w:val="clear" w:color="auto" w:fill="auto"/>
            <w:noWrap/>
            <w:vAlign w:val="center"/>
            <w:hideMark/>
          </w:tcPr>
          <w:p w14:paraId="2FF7A72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-0,6</w:t>
            </w:r>
          </w:p>
        </w:tc>
        <w:tc>
          <w:tcPr>
            <w:tcW w:w="728" w:type="dxa"/>
            <w:tcBorders>
              <w:top w:val="nil"/>
              <w:left w:val="nil"/>
              <w:bottom w:val="nil"/>
              <w:right w:val="nil"/>
            </w:tcBorders>
            <w:shd w:val="clear" w:color="auto" w:fill="auto"/>
            <w:noWrap/>
            <w:vAlign w:val="center"/>
            <w:hideMark/>
          </w:tcPr>
          <w:p w14:paraId="4AD47FB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-0,3</w:t>
            </w:r>
          </w:p>
        </w:tc>
        <w:tc>
          <w:tcPr>
            <w:tcW w:w="1753" w:type="dxa"/>
            <w:tcBorders>
              <w:top w:val="nil"/>
              <w:left w:val="single" w:sz="4" w:space="0" w:color="auto"/>
              <w:bottom w:val="nil"/>
              <w:right w:val="nil"/>
            </w:tcBorders>
            <w:shd w:val="clear" w:color="auto" w:fill="auto"/>
            <w:noWrap/>
            <w:vAlign w:val="center"/>
            <w:hideMark/>
          </w:tcPr>
          <w:p w14:paraId="5533CB85"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Maďarsko</w:t>
            </w:r>
          </w:p>
        </w:tc>
        <w:tc>
          <w:tcPr>
            <w:tcW w:w="962" w:type="dxa"/>
            <w:tcBorders>
              <w:top w:val="nil"/>
              <w:left w:val="nil"/>
              <w:bottom w:val="nil"/>
              <w:right w:val="nil"/>
            </w:tcBorders>
            <w:shd w:val="clear" w:color="auto" w:fill="auto"/>
            <w:noWrap/>
            <w:vAlign w:val="center"/>
            <w:hideMark/>
          </w:tcPr>
          <w:p w14:paraId="3F1390D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72,9</w:t>
            </w:r>
          </w:p>
        </w:tc>
        <w:tc>
          <w:tcPr>
            <w:tcW w:w="897" w:type="dxa"/>
            <w:tcBorders>
              <w:top w:val="nil"/>
              <w:left w:val="nil"/>
              <w:bottom w:val="nil"/>
              <w:right w:val="nil"/>
            </w:tcBorders>
            <w:shd w:val="clear" w:color="auto" w:fill="auto"/>
            <w:noWrap/>
            <w:vAlign w:val="center"/>
            <w:hideMark/>
          </w:tcPr>
          <w:p w14:paraId="6CA7AA85"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70,2</w:t>
            </w:r>
          </w:p>
        </w:tc>
        <w:tc>
          <w:tcPr>
            <w:tcW w:w="920" w:type="dxa"/>
            <w:tcBorders>
              <w:top w:val="nil"/>
              <w:left w:val="nil"/>
              <w:bottom w:val="nil"/>
              <w:right w:val="single" w:sz="4" w:space="0" w:color="auto"/>
            </w:tcBorders>
            <w:shd w:val="clear" w:color="auto" w:fill="auto"/>
            <w:noWrap/>
            <w:vAlign w:val="center"/>
            <w:hideMark/>
          </w:tcPr>
          <w:p w14:paraId="77458F2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66,3</w:t>
            </w:r>
          </w:p>
        </w:tc>
      </w:tr>
      <w:tr w:rsidR="00BC45B8" w:rsidRPr="00BC45B8" w14:paraId="54F7FA62"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0AB904C6"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Lotyšsko</w:t>
            </w:r>
          </w:p>
        </w:tc>
        <w:tc>
          <w:tcPr>
            <w:tcW w:w="662" w:type="dxa"/>
            <w:tcBorders>
              <w:top w:val="nil"/>
              <w:left w:val="nil"/>
              <w:bottom w:val="nil"/>
              <w:right w:val="nil"/>
            </w:tcBorders>
            <w:shd w:val="clear" w:color="auto" w:fill="auto"/>
            <w:noWrap/>
            <w:vAlign w:val="center"/>
            <w:hideMark/>
          </w:tcPr>
          <w:p w14:paraId="76F8DF9E"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-0,8</w:t>
            </w:r>
          </w:p>
        </w:tc>
        <w:tc>
          <w:tcPr>
            <w:tcW w:w="919" w:type="dxa"/>
            <w:tcBorders>
              <w:top w:val="nil"/>
              <w:left w:val="nil"/>
              <w:bottom w:val="nil"/>
              <w:right w:val="nil"/>
            </w:tcBorders>
            <w:shd w:val="clear" w:color="auto" w:fill="auto"/>
            <w:noWrap/>
            <w:vAlign w:val="center"/>
            <w:hideMark/>
          </w:tcPr>
          <w:p w14:paraId="44A7995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-0,8</w:t>
            </w:r>
          </w:p>
        </w:tc>
        <w:tc>
          <w:tcPr>
            <w:tcW w:w="728" w:type="dxa"/>
            <w:tcBorders>
              <w:top w:val="nil"/>
              <w:left w:val="nil"/>
              <w:bottom w:val="nil"/>
              <w:right w:val="nil"/>
            </w:tcBorders>
            <w:shd w:val="clear" w:color="auto" w:fill="auto"/>
            <w:noWrap/>
            <w:vAlign w:val="center"/>
            <w:hideMark/>
          </w:tcPr>
          <w:p w14:paraId="6CB3BDC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-0,2</w:t>
            </w:r>
          </w:p>
        </w:tc>
        <w:tc>
          <w:tcPr>
            <w:tcW w:w="1753" w:type="dxa"/>
            <w:tcBorders>
              <w:top w:val="nil"/>
              <w:left w:val="single" w:sz="4" w:space="0" w:color="auto"/>
              <w:bottom w:val="nil"/>
              <w:right w:val="nil"/>
            </w:tcBorders>
            <w:shd w:val="clear" w:color="auto" w:fill="auto"/>
            <w:noWrap/>
            <w:vAlign w:val="center"/>
            <w:hideMark/>
          </w:tcPr>
          <w:p w14:paraId="46848D8E"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Slovinsko</w:t>
            </w:r>
          </w:p>
        </w:tc>
        <w:tc>
          <w:tcPr>
            <w:tcW w:w="962" w:type="dxa"/>
            <w:tcBorders>
              <w:top w:val="nil"/>
              <w:left w:val="nil"/>
              <w:bottom w:val="nil"/>
              <w:right w:val="nil"/>
            </w:tcBorders>
            <w:shd w:val="clear" w:color="auto" w:fill="auto"/>
            <w:noWrap/>
            <w:vAlign w:val="center"/>
            <w:hideMark/>
          </w:tcPr>
          <w:p w14:paraId="663749A4"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74,1</w:t>
            </w:r>
          </w:p>
        </w:tc>
        <w:tc>
          <w:tcPr>
            <w:tcW w:w="897" w:type="dxa"/>
            <w:tcBorders>
              <w:top w:val="nil"/>
              <w:left w:val="nil"/>
              <w:bottom w:val="nil"/>
              <w:right w:val="nil"/>
            </w:tcBorders>
            <w:shd w:val="clear" w:color="auto" w:fill="auto"/>
            <w:noWrap/>
            <w:vAlign w:val="center"/>
            <w:hideMark/>
          </w:tcPr>
          <w:p w14:paraId="7210F63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70,4</w:t>
            </w:r>
          </w:p>
        </w:tc>
        <w:tc>
          <w:tcPr>
            <w:tcW w:w="920" w:type="dxa"/>
            <w:tcBorders>
              <w:top w:val="nil"/>
              <w:left w:val="nil"/>
              <w:bottom w:val="nil"/>
              <w:right w:val="single" w:sz="4" w:space="0" w:color="auto"/>
            </w:tcBorders>
            <w:shd w:val="clear" w:color="auto" w:fill="auto"/>
            <w:noWrap/>
            <w:vAlign w:val="center"/>
            <w:hideMark/>
          </w:tcPr>
          <w:p w14:paraId="0FC35DF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66,1</w:t>
            </w:r>
          </w:p>
        </w:tc>
      </w:tr>
      <w:tr w:rsidR="00BC45B8" w:rsidRPr="00BC45B8" w14:paraId="032ADD8D"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484D69E7"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Portugalsko</w:t>
            </w:r>
          </w:p>
        </w:tc>
        <w:tc>
          <w:tcPr>
            <w:tcW w:w="662" w:type="dxa"/>
            <w:tcBorders>
              <w:top w:val="nil"/>
              <w:left w:val="nil"/>
              <w:bottom w:val="nil"/>
              <w:right w:val="nil"/>
            </w:tcBorders>
            <w:shd w:val="clear" w:color="auto" w:fill="auto"/>
            <w:noWrap/>
            <w:vAlign w:val="center"/>
            <w:hideMark/>
          </w:tcPr>
          <w:p w14:paraId="5CE496C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-3,0</w:t>
            </w:r>
          </w:p>
        </w:tc>
        <w:tc>
          <w:tcPr>
            <w:tcW w:w="919" w:type="dxa"/>
            <w:tcBorders>
              <w:top w:val="nil"/>
              <w:left w:val="nil"/>
              <w:bottom w:val="nil"/>
              <w:right w:val="nil"/>
            </w:tcBorders>
            <w:shd w:val="clear" w:color="auto" w:fill="auto"/>
            <w:noWrap/>
            <w:vAlign w:val="center"/>
            <w:hideMark/>
          </w:tcPr>
          <w:p w14:paraId="48789A7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-0,4</w:t>
            </w:r>
          </w:p>
        </w:tc>
        <w:tc>
          <w:tcPr>
            <w:tcW w:w="728" w:type="dxa"/>
            <w:tcBorders>
              <w:top w:val="nil"/>
              <w:left w:val="nil"/>
              <w:bottom w:val="nil"/>
              <w:right w:val="nil"/>
            </w:tcBorders>
            <w:shd w:val="clear" w:color="auto" w:fill="auto"/>
            <w:noWrap/>
            <w:vAlign w:val="center"/>
            <w:hideMark/>
          </w:tcPr>
          <w:p w14:paraId="55CBC3F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0,2</w:t>
            </w:r>
          </w:p>
        </w:tc>
        <w:tc>
          <w:tcPr>
            <w:tcW w:w="1753" w:type="dxa"/>
            <w:tcBorders>
              <w:top w:val="nil"/>
              <w:left w:val="single" w:sz="4" w:space="0" w:color="auto"/>
              <w:bottom w:val="nil"/>
              <w:right w:val="nil"/>
            </w:tcBorders>
            <w:shd w:val="clear" w:color="auto" w:fill="auto"/>
            <w:noWrap/>
            <w:vAlign w:val="center"/>
            <w:hideMark/>
          </w:tcPr>
          <w:p w14:paraId="0528CB2C"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Nemecko</w:t>
            </w:r>
          </w:p>
        </w:tc>
        <w:tc>
          <w:tcPr>
            <w:tcW w:w="962" w:type="dxa"/>
            <w:tcBorders>
              <w:top w:val="nil"/>
              <w:left w:val="nil"/>
              <w:bottom w:val="nil"/>
              <w:right w:val="nil"/>
            </w:tcBorders>
            <w:shd w:val="clear" w:color="auto" w:fill="auto"/>
            <w:noWrap/>
            <w:vAlign w:val="center"/>
            <w:hideMark/>
          </w:tcPr>
          <w:p w14:paraId="0907099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65,3</w:t>
            </w:r>
          </w:p>
        </w:tc>
        <w:tc>
          <w:tcPr>
            <w:tcW w:w="897" w:type="dxa"/>
            <w:tcBorders>
              <w:top w:val="nil"/>
              <w:left w:val="nil"/>
              <w:bottom w:val="nil"/>
              <w:right w:val="nil"/>
            </w:tcBorders>
            <w:shd w:val="clear" w:color="auto" w:fill="auto"/>
            <w:noWrap/>
            <w:vAlign w:val="center"/>
            <w:hideMark/>
          </w:tcPr>
          <w:p w14:paraId="6E06A41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61,9</w:t>
            </w:r>
          </w:p>
        </w:tc>
        <w:tc>
          <w:tcPr>
            <w:tcW w:w="920" w:type="dxa"/>
            <w:tcBorders>
              <w:top w:val="nil"/>
              <w:left w:val="nil"/>
              <w:bottom w:val="nil"/>
              <w:right w:val="single" w:sz="4" w:space="0" w:color="auto"/>
            </w:tcBorders>
            <w:shd w:val="clear" w:color="auto" w:fill="auto"/>
            <w:noWrap/>
            <w:vAlign w:val="center"/>
            <w:hideMark/>
          </w:tcPr>
          <w:p w14:paraId="0FD1EAD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59,8</w:t>
            </w:r>
          </w:p>
        </w:tc>
      </w:tr>
      <w:tr w:rsidR="00BC45B8" w:rsidRPr="00BC45B8" w14:paraId="6212D6F5"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1E821A7B"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Česká republika</w:t>
            </w:r>
          </w:p>
        </w:tc>
        <w:tc>
          <w:tcPr>
            <w:tcW w:w="662" w:type="dxa"/>
            <w:tcBorders>
              <w:top w:val="nil"/>
              <w:left w:val="nil"/>
              <w:bottom w:val="nil"/>
              <w:right w:val="nil"/>
            </w:tcBorders>
            <w:shd w:val="clear" w:color="auto" w:fill="auto"/>
            <w:noWrap/>
            <w:vAlign w:val="center"/>
            <w:hideMark/>
          </w:tcPr>
          <w:p w14:paraId="003E9344"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1,5</w:t>
            </w:r>
          </w:p>
        </w:tc>
        <w:tc>
          <w:tcPr>
            <w:tcW w:w="919" w:type="dxa"/>
            <w:tcBorders>
              <w:top w:val="nil"/>
              <w:left w:val="nil"/>
              <w:bottom w:val="nil"/>
              <w:right w:val="nil"/>
            </w:tcBorders>
            <w:shd w:val="clear" w:color="auto" w:fill="auto"/>
            <w:noWrap/>
            <w:vAlign w:val="center"/>
            <w:hideMark/>
          </w:tcPr>
          <w:p w14:paraId="7BA4531E"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0,9</w:t>
            </w:r>
          </w:p>
        </w:tc>
        <w:tc>
          <w:tcPr>
            <w:tcW w:w="728" w:type="dxa"/>
            <w:tcBorders>
              <w:top w:val="nil"/>
              <w:left w:val="nil"/>
              <w:bottom w:val="nil"/>
              <w:right w:val="nil"/>
            </w:tcBorders>
            <w:shd w:val="clear" w:color="auto" w:fill="auto"/>
            <w:noWrap/>
            <w:vAlign w:val="center"/>
            <w:hideMark/>
          </w:tcPr>
          <w:p w14:paraId="6A15A7A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0,3</w:t>
            </w:r>
          </w:p>
        </w:tc>
        <w:tc>
          <w:tcPr>
            <w:tcW w:w="1753" w:type="dxa"/>
            <w:tcBorders>
              <w:top w:val="nil"/>
              <w:left w:val="single" w:sz="4" w:space="0" w:color="auto"/>
              <w:bottom w:val="nil"/>
              <w:right w:val="nil"/>
            </w:tcBorders>
            <w:shd w:val="clear" w:color="auto" w:fill="auto"/>
            <w:noWrap/>
            <w:vAlign w:val="center"/>
            <w:hideMark/>
          </w:tcPr>
          <w:p w14:paraId="5BCE70C9"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Fínsko</w:t>
            </w:r>
          </w:p>
        </w:tc>
        <w:tc>
          <w:tcPr>
            <w:tcW w:w="962" w:type="dxa"/>
            <w:tcBorders>
              <w:top w:val="nil"/>
              <w:left w:val="nil"/>
              <w:bottom w:val="nil"/>
              <w:right w:val="nil"/>
            </w:tcBorders>
            <w:shd w:val="clear" w:color="auto" w:fill="auto"/>
            <w:noWrap/>
            <w:vAlign w:val="center"/>
            <w:hideMark/>
          </w:tcPr>
          <w:p w14:paraId="19C9C02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61,3</w:t>
            </w:r>
          </w:p>
        </w:tc>
        <w:tc>
          <w:tcPr>
            <w:tcW w:w="897" w:type="dxa"/>
            <w:tcBorders>
              <w:top w:val="nil"/>
              <w:left w:val="nil"/>
              <w:bottom w:val="nil"/>
              <w:right w:val="nil"/>
            </w:tcBorders>
            <w:shd w:val="clear" w:color="auto" w:fill="auto"/>
            <w:noWrap/>
            <w:vAlign w:val="center"/>
            <w:hideMark/>
          </w:tcPr>
          <w:p w14:paraId="6BDDC95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59,6</w:t>
            </w:r>
          </w:p>
        </w:tc>
        <w:tc>
          <w:tcPr>
            <w:tcW w:w="920" w:type="dxa"/>
            <w:tcBorders>
              <w:top w:val="nil"/>
              <w:left w:val="nil"/>
              <w:bottom w:val="nil"/>
              <w:right w:val="single" w:sz="4" w:space="0" w:color="auto"/>
            </w:tcBorders>
            <w:shd w:val="clear" w:color="auto" w:fill="auto"/>
            <w:noWrap/>
            <w:vAlign w:val="center"/>
            <w:hideMark/>
          </w:tcPr>
          <w:p w14:paraId="3683319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59,4</w:t>
            </w:r>
          </w:p>
        </w:tc>
      </w:tr>
      <w:tr w:rsidR="00BC45B8" w:rsidRPr="00BC45B8" w14:paraId="39623394"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07CD5212"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Litva</w:t>
            </w:r>
          </w:p>
        </w:tc>
        <w:tc>
          <w:tcPr>
            <w:tcW w:w="662" w:type="dxa"/>
            <w:tcBorders>
              <w:top w:val="nil"/>
              <w:left w:val="nil"/>
              <w:bottom w:val="nil"/>
              <w:right w:val="nil"/>
            </w:tcBorders>
            <w:shd w:val="clear" w:color="auto" w:fill="auto"/>
            <w:noWrap/>
            <w:vAlign w:val="center"/>
            <w:hideMark/>
          </w:tcPr>
          <w:p w14:paraId="6AD22094"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0,5</w:t>
            </w:r>
          </w:p>
        </w:tc>
        <w:tc>
          <w:tcPr>
            <w:tcW w:w="919" w:type="dxa"/>
            <w:tcBorders>
              <w:top w:val="nil"/>
              <w:left w:val="nil"/>
              <w:bottom w:val="nil"/>
              <w:right w:val="nil"/>
            </w:tcBorders>
            <w:shd w:val="clear" w:color="auto" w:fill="auto"/>
            <w:noWrap/>
            <w:vAlign w:val="center"/>
            <w:hideMark/>
          </w:tcPr>
          <w:p w14:paraId="1A38B5C5"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0,6</w:t>
            </w:r>
          </w:p>
        </w:tc>
        <w:tc>
          <w:tcPr>
            <w:tcW w:w="728" w:type="dxa"/>
            <w:tcBorders>
              <w:top w:val="nil"/>
              <w:left w:val="nil"/>
              <w:bottom w:val="nil"/>
              <w:right w:val="nil"/>
            </w:tcBorders>
            <w:shd w:val="clear" w:color="auto" w:fill="auto"/>
            <w:noWrap/>
            <w:vAlign w:val="center"/>
            <w:hideMark/>
          </w:tcPr>
          <w:p w14:paraId="0CA1FE8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0,3</w:t>
            </w:r>
          </w:p>
        </w:tc>
        <w:tc>
          <w:tcPr>
            <w:tcW w:w="1753" w:type="dxa"/>
            <w:tcBorders>
              <w:top w:val="nil"/>
              <w:left w:val="single" w:sz="4" w:space="0" w:color="auto"/>
              <w:bottom w:val="nil"/>
              <w:right w:val="nil"/>
            </w:tcBorders>
            <w:shd w:val="clear" w:color="auto" w:fill="auto"/>
            <w:noWrap/>
            <w:vAlign w:val="center"/>
            <w:hideMark/>
          </w:tcPr>
          <w:p w14:paraId="3DAEC1E9"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Írsko</w:t>
            </w:r>
          </w:p>
        </w:tc>
        <w:tc>
          <w:tcPr>
            <w:tcW w:w="962" w:type="dxa"/>
            <w:tcBorders>
              <w:top w:val="nil"/>
              <w:left w:val="nil"/>
              <w:bottom w:val="nil"/>
              <w:right w:val="nil"/>
            </w:tcBorders>
            <w:shd w:val="clear" w:color="auto" w:fill="auto"/>
            <w:noWrap/>
            <w:vAlign w:val="center"/>
            <w:hideMark/>
          </w:tcPr>
          <w:p w14:paraId="7451CFF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67,7</w:t>
            </w:r>
          </w:p>
        </w:tc>
        <w:tc>
          <w:tcPr>
            <w:tcW w:w="897" w:type="dxa"/>
            <w:tcBorders>
              <w:top w:val="nil"/>
              <w:left w:val="nil"/>
              <w:bottom w:val="nil"/>
              <w:right w:val="nil"/>
            </w:tcBorders>
            <w:shd w:val="clear" w:color="auto" w:fill="auto"/>
            <w:noWrap/>
            <w:vAlign w:val="center"/>
            <w:hideMark/>
          </w:tcPr>
          <w:p w14:paraId="01A381F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63,5</w:t>
            </w:r>
          </w:p>
        </w:tc>
        <w:tc>
          <w:tcPr>
            <w:tcW w:w="920" w:type="dxa"/>
            <w:tcBorders>
              <w:top w:val="nil"/>
              <w:left w:val="nil"/>
              <w:bottom w:val="nil"/>
              <w:right w:val="single" w:sz="4" w:space="0" w:color="auto"/>
            </w:tcBorders>
            <w:shd w:val="clear" w:color="auto" w:fill="auto"/>
            <w:noWrap/>
            <w:vAlign w:val="center"/>
            <w:hideMark/>
          </w:tcPr>
          <w:p w14:paraId="78BE58D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58,8</w:t>
            </w:r>
          </w:p>
        </w:tc>
      </w:tr>
      <w:tr w:rsidR="00BC45B8" w:rsidRPr="00BC45B8" w14:paraId="2EBDF08F"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07617821"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Írsko</w:t>
            </w:r>
          </w:p>
        </w:tc>
        <w:tc>
          <w:tcPr>
            <w:tcW w:w="662" w:type="dxa"/>
            <w:tcBorders>
              <w:top w:val="nil"/>
              <w:left w:val="nil"/>
              <w:bottom w:val="nil"/>
              <w:right w:val="nil"/>
            </w:tcBorders>
            <w:shd w:val="clear" w:color="auto" w:fill="auto"/>
            <w:noWrap/>
            <w:vAlign w:val="center"/>
            <w:hideMark/>
          </w:tcPr>
          <w:p w14:paraId="414A48C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-0,3</w:t>
            </w:r>
          </w:p>
        </w:tc>
        <w:tc>
          <w:tcPr>
            <w:tcW w:w="919" w:type="dxa"/>
            <w:tcBorders>
              <w:top w:val="nil"/>
              <w:left w:val="nil"/>
              <w:bottom w:val="nil"/>
              <w:right w:val="nil"/>
            </w:tcBorders>
            <w:shd w:val="clear" w:color="auto" w:fill="auto"/>
            <w:noWrap/>
            <w:vAlign w:val="center"/>
            <w:hideMark/>
          </w:tcPr>
          <w:p w14:paraId="59D6DC5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0,1</w:t>
            </w:r>
          </w:p>
        </w:tc>
        <w:tc>
          <w:tcPr>
            <w:tcW w:w="728" w:type="dxa"/>
            <w:tcBorders>
              <w:top w:val="nil"/>
              <w:left w:val="nil"/>
              <w:bottom w:val="nil"/>
              <w:right w:val="nil"/>
            </w:tcBorders>
            <w:shd w:val="clear" w:color="auto" w:fill="auto"/>
            <w:noWrap/>
            <w:vAlign w:val="center"/>
            <w:hideMark/>
          </w:tcPr>
          <w:p w14:paraId="22D11FC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0,4</w:t>
            </w:r>
          </w:p>
        </w:tc>
        <w:tc>
          <w:tcPr>
            <w:tcW w:w="1753" w:type="dxa"/>
            <w:tcBorders>
              <w:top w:val="nil"/>
              <w:left w:val="single" w:sz="4" w:space="0" w:color="auto"/>
              <w:bottom w:val="nil"/>
              <w:right w:val="nil"/>
            </w:tcBorders>
            <w:shd w:val="clear" w:color="auto" w:fill="auto"/>
            <w:noWrap/>
            <w:vAlign w:val="center"/>
            <w:hideMark/>
          </w:tcPr>
          <w:p w14:paraId="4BBDB58B"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Holandsko</w:t>
            </w:r>
          </w:p>
        </w:tc>
        <w:tc>
          <w:tcPr>
            <w:tcW w:w="962" w:type="dxa"/>
            <w:tcBorders>
              <w:top w:val="nil"/>
              <w:left w:val="nil"/>
              <w:bottom w:val="nil"/>
              <w:right w:val="nil"/>
            </w:tcBorders>
            <w:shd w:val="clear" w:color="auto" w:fill="auto"/>
            <w:noWrap/>
            <w:vAlign w:val="center"/>
            <w:hideMark/>
          </w:tcPr>
          <w:p w14:paraId="47EA669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56,9</w:t>
            </w:r>
          </w:p>
        </w:tc>
        <w:tc>
          <w:tcPr>
            <w:tcW w:w="897" w:type="dxa"/>
            <w:tcBorders>
              <w:top w:val="nil"/>
              <w:left w:val="nil"/>
              <w:bottom w:val="nil"/>
              <w:right w:val="nil"/>
            </w:tcBorders>
            <w:shd w:val="clear" w:color="auto" w:fill="auto"/>
            <w:noWrap/>
            <w:vAlign w:val="center"/>
            <w:hideMark/>
          </w:tcPr>
          <w:p w14:paraId="066DB70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52,4</w:t>
            </w:r>
          </w:p>
        </w:tc>
        <w:tc>
          <w:tcPr>
            <w:tcW w:w="920" w:type="dxa"/>
            <w:tcBorders>
              <w:top w:val="nil"/>
              <w:left w:val="nil"/>
              <w:bottom w:val="nil"/>
              <w:right w:val="single" w:sz="4" w:space="0" w:color="auto"/>
            </w:tcBorders>
            <w:shd w:val="clear" w:color="auto" w:fill="auto"/>
            <w:noWrap/>
            <w:vAlign w:val="center"/>
            <w:hideMark/>
          </w:tcPr>
          <w:p w14:paraId="3A14103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48,6</w:t>
            </w:r>
          </w:p>
        </w:tc>
      </w:tr>
      <w:tr w:rsidR="00BC45B8" w:rsidRPr="00BC45B8" w14:paraId="216ECF41"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47C25FBC"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Chorvátsko</w:t>
            </w:r>
          </w:p>
        </w:tc>
        <w:tc>
          <w:tcPr>
            <w:tcW w:w="662" w:type="dxa"/>
            <w:tcBorders>
              <w:top w:val="nil"/>
              <w:left w:val="nil"/>
              <w:bottom w:val="nil"/>
              <w:right w:val="nil"/>
            </w:tcBorders>
            <w:shd w:val="clear" w:color="auto" w:fill="auto"/>
            <w:noWrap/>
            <w:vAlign w:val="center"/>
            <w:hideMark/>
          </w:tcPr>
          <w:p w14:paraId="06DF9B9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0,8</w:t>
            </w:r>
          </w:p>
        </w:tc>
        <w:tc>
          <w:tcPr>
            <w:tcW w:w="919" w:type="dxa"/>
            <w:tcBorders>
              <w:top w:val="nil"/>
              <w:left w:val="nil"/>
              <w:bottom w:val="nil"/>
              <w:right w:val="nil"/>
            </w:tcBorders>
            <w:shd w:val="clear" w:color="auto" w:fill="auto"/>
            <w:noWrap/>
            <w:vAlign w:val="center"/>
            <w:hideMark/>
          </w:tcPr>
          <w:p w14:paraId="4B5FF59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0,2</w:t>
            </w:r>
          </w:p>
        </w:tc>
        <w:tc>
          <w:tcPr>
            <w:tcW w:w="728" w:type="dxa"/>
            <w:tcBorders>
              <w:top w:val="nil"/>
              <w:left w:val="nil"/>
              <w:bottom w:val="nil"/>
              <w:right w:val="nil"/>
            </w:tcBorders>
            <w:shd w:val="clear" w:color="auto" w:fill="auto"/>
            <w:noWrap/>
            <w:vAlign w:val="center"/>
            <w:hideMark/>
          </w:tcPr>
          <w:p w14:paraId="3B5CD175"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0,4</w:t>
            </w:r>
          </w:p>
        </w:tc>
        <w:tc>
          <w:tcPr>
            <w:tcW w:w="1753" w:type="dxa"/>
            <w:tcBorders>
              <w:top w:val="nil"/>
              <w:left w:val="single" w:sz="4" w:space="0" w:color="auto"/>
              <w:bottom w:val="nil"/>
              <w:right w:val="nil"/>
            </w:tcBorders>
            <w:shd w:val="clear" w:color="auto" w:fill="auto"/>
            <w:noWrap/>
            <w:vAlign w:val="center"/>
            <w:hideMark/>
          </w:tcPr>
          <w:p w14:paraId="72DC5329" w14:textId="77777777" w:rsidR="00BC45B8" w:rsidRPr="00BC45B8" w:rsidRDefault="00BC45B8" w:rsidP="00791BB7">
            <w:pPr>
              <w:spacing w:after="0" w:line="240" w:lineRule="auto"/>
              <w:ind w:left="116"/>
              <w:jc w:val="left"/>
              <w:rPr>
                <w:rFonts w:eastAsia="Times New Roman" w:cs="Times New Roman"/>
                <w:b/>
                <w:bCs/>
                <w:sz w:val="20"/>
                <w:szCs w:val="20"/>
                <w:lang w:eastAsia="sk-SK"/>
              </w:rPr>
            </w:pPr>
            <w:r w:rsidRPr="00BC45B8">
              <w:rPr>
                <w:rFonts w:eastAsia="Times New Roman" w:cs="Times New Roman"/>
                <w:b/>
                <w:bCs/>
                <w:sz w:val="20"/>
                <w:szCs w:val="20"/>
                <w:lang w:eastAsia="sk-SK"/>
              </w:rPr>
              <w:t>Slovensko</w:t>
            </w:r>
          </w:p>
        </w:tc>
        <w:tc>
          <w:tcPr>
            <w:tcW w:w="962" w:type="dxa"/>
            <w:tcBorders>
              <w:top w:val="nil"/>
              <w:left w:val="nil"/>
              <w:bottom w:val="nil"/>
              <w:right w:val="nil"/>
            </w:tcBorders>
            <w:shd w:val="clear" w:color="auto" w:fill="auto"/>
            <w:noWrap/>
            <w:vAlign w:val="center"/>
            <w:hideMark/>
          </w:tcPr>
          <w:p w14:paraId="096F4E0C"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51,3</w:t>
            </w:r>
          </w:p>
        </w:tc>
        <w:tc>
          <w:tcPr>
            <w:tcW w:w="897" w:type="dxa"/>
            <w:tcBorders>
              <w:top w:val="nil"/>
              <w:left w:val="nil"/>
              <w:bottom w:val="nil"/>
              <w:right w:val="nil"/>
            </w:tcBorders>
            <w:shd w:val="clear" w:color="auto" w:fill="auto"/>
            <w:noWrap/>
            <w:vAlign w:val="center"/>
            <w:hideMark/>
          </w:tcPr>
          <w:p w14:paraId="0E11E978"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49,4</w:t>
            </w:r>
          </w:p>
        </w:tc>
        <w:tc>
          <w:tcPr>
            <w:tcW w:w="920" w:type="dxa"/>
            <w:tcBorders>
              <w:top w:val="nil"/>
              <w:left w:val="nil"/>
              <w:bottom w:val="nil"/>
              <w:right w:val="single" w:sz="4" w:space="0" w:color="auto"/>
            </w:tcBorders>
            <w:shd w:val="clear" w:color="auto" w:fill="auto"/>
            <w:noWrap/>
            <w:vAlign w:val="center"/>
            <w:hideMark/>
          </w:tcPr>
          <w:p w14:paraId="60366287" w14:textId="77777777" w:rsidR="00BC45B8" w:rsidRPr="00BC45B8" w:rsidRDefault="00BC45B8" w:rsidP="00BC45B8">
            <w:pPr>
              <w:spacing w:after="0" w:line="240" w:lineRule="auto"/>
              <w:jc w:val="center"/>
              <w:rPr>
                <w:rFonts w:eastAsia="Times New Roman" w:cs="Times New Roman"/>
                <w:b/>
                <w:bCs/>
                <w:color w:val="000000"/>
                <w:sz w:val="20"/>
                <w:szCs w:val="20"/>
                <w:lang w:eastAsia="sk-SK"/>
              </w:rPr>
            </w:pPr>
            <w:r w:rsidRPr="00BC45B8">
              <w:rPr>
                <w:rFonts w:eastAsia="Times New Roman" w:cs="Times New Roman"/>
                <w:b/>
                <w:bCs/>
                <w:color w:val="000000"/>
                <w:sz w:val="20"/>
                <w:szCs w:val="20"/>
                <w:lang w:eastAsia="sk-SK"/>
              </w:rPr>
              <w:t>48,0</w:t>
            </w:r>
          </w:p>
        </w:tc>
      </w:tr>
      <w:tr w:rsidR="00BC45B8" w:rsidRPr="00BC45B8" w14:paraId="3B1EF668"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3311ADE8"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Malta</w:t>
            </w:r>
          </w:p>
        </w:tc>
        <w:tc>
          <w:tcPr>
            <w:tcW w:w="662" w:type="dxa"/>
            <w:tcBorders>
              <w:top w:val="nil"/>
              <w:left w:val="nil"/>
              <w:bottom w:val="nil"/>
              <w:right w:val="nil"/>
            </w:tcBorders>
            <w:shd w:val="clear" w:color="auto" w:fill="auto"/>
            <w:noWrap/>
            <w:vAlign w:val="center"/>
            <w:hideMark/>
          </w:tcPr>
          <w:p w14:paraId="4849671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3,3</w:t>
            </w:r>
          </w:p>
        </w:tc>
        <w:tc>
          <w:tcPr>
            <w:tcW w:w="919" w:type="dxa"/>
            <w:tcBorders>
              <w:top w:val="nil"/>
              <w:left w:val="nil"/>
              <w:bottom w:val="nil"/>
              <w:right w:val="nil"/>
            </w:tcBorders>
            <w:shd w:val="clear" w:color="auto" w:fill="auto"/>
            <w:noWrap/>
            <w:vAlign w:val="center"/>
            <w:hideMark/>
          </w:tcPr>
          <w:p w14:paraId="43048D9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1,9</w:t>
            </w:r>
          </w:p>
        </w:tc>
        <w:tc>
          <w:tcPr>
            <w:tcW w:w="728" w:type="dxa"/>
            <w:tcBorders>
              <w:top w:val="nil"/>
              <w:left w:val="nil"/>
              <w:bottom w:val="nil"/>
              <w:right w:val="nil"/>
            </w:tcBorders>
            <w:shd w:val="clear" w:color="auto" w:fill="auto"/>
            <w:noWrap/>
            <w:vAlign w:val="center"/>
            <w:hideMark/>
          </w:tcPr>
          <w:p w14:paraId="20B9729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0,5</w:t>
            </w:r>
          </w:p>
        </w:tc>
        <w:tc>
          <w:tcPr>
            <w:tcW w:w="1753" w:type="dxa"/>
            <w:tcBorders>
              <w:top w:val="nil"/>
              <w:left w:val="single" w:sz="4" w:space="0" w:color="auto"/>
              <w:bottom w:val="nil"/>
              <w:right w:val="nil"/>
            </w:tcBorders>
            <w:shd w:val="clear" w:color="auto" w:fill="auto"/>
            <w:noWrap/>
            <w:vAlign w:val="center"/>
            <w:hideMark/>
          </w:tcPr>
          <w:p w14:paraId="056EBBD1"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Poľsko</w:t>
            </w:r>
          </w:p>
        </w:tc>
        <w:tc>
          <w:tcPr>
            <w:tcW w:w="962" w:type="dxa"/>
            <w:tcBorders>
              <w:top w:val="nil"/>
              <w:left w:val="nil"/>
              <w:bottom w:val="nil"/>
              <w:right w:val="nil"/>
            </w:tcBorders>
            <w:shd w:val="clear" w:color="auto" w:fill="auto"/>
            <w:noWrap/>
            <w:vAlign w:val="center"/>
            <w:hideMark/>
          </w:tcPr>
          <w:p w14:paraId="0427FF0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50,6</w:t>
            </w:r>
          </w:p>
        </w:tc>
        <w:tc>
          <w:tcPr>
            <w:tcW w:w="897" w:type="dxa"/>
            <w:tcBorders>
              <w:top w:val="nil"/>
              <w:left w:val="nil"/>
              <w:bottom w:val="nil"/>
              <w:right w:val="nil"/>
            </w:tcBorders>
            <w:shd w:val="clear" w:color="auto" w:fill="auto"/>
            <w:noWrap/>
            <w:vAlign w:val="center"/>
            <w:hideMark/>
          </w:tcPr>
          <w:p w14:paraId="0D7012B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48,8</w:t>
            </w:r>
          </w:p>
        </w:tc>
        <w:tc>
          <w:tcPr>
            <w:tcW w:w="920" w:type="dxa"/>
            <w:tcBorders>
              <w:top w:val="nil"/>
              <w:left w:val="nil"/>
              <w:bottom w:val="nil"/>
              <w:right w:val="single" w:sz="4" w:space="0" w:color="auto"/>
            </w:tcBorders>
            <w:shd w:val="clear" w:color="auto" w:fill="auto"/>
            <w:noWrap/>
            <w:vAlign w:val="center"/>
            <w:hideMark/>
          </w:tcPr>
          <w:p w14:paraId="1F8B393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46,0</w:t>
            </w:r>
          </w:p>
        </w:tc>
      </w:tr>
      <w:tr w:rsidR="00BC45B8" w:rsidRPr="00BC45B8" w14:paraId="0835960E"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2DDFBE30"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Slovinsko</w:t>
            </w:r>
          </w:p>
        </w:tc>
        <w:tc>
          <w:tcPr>
            <w:tcW w:w="662" w:type="dxa"/>
            <w:tcBorders>
              <w:top w:val="nil"/>
              <w:left w:val="nil"/>
              <w:bottom w:val="nil"/>
              <w:right w:val="nil"/>
            </w:tcBorders>
            <w:shd w:val="clear" w:color="auto" w:fill="auto"/>
            <w:noWrap/>
            <w:vAlign w:val="center"/>
            <w:hideMark/>
          </w:tcPr>
          <w:p w14:paraId="7B8FF91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0,0</w:t>
            </w:r>
          </w:p>
        </w:tc>
        <w:tc>
          <w:tcPr>
            <w:tcW w:w="919" w:type="dxa"/>
            <w:tcBorders>
              <w:top w:val="nil"/>
              <w:left w:val="nil"/>
              <w:bottom w:val="nil"/>
              <w:right w:val="nil"/>
            </w:tcBorders>
            <w:shd w:val="clear" w:color="auto" w:fill="auto"/>
            <w:noWrap/>
            <w:vAlign w:val="center"/>
            <w:hideMark/>
          </w:tcPr>
          <w:p w14:paraId="5D532C3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0,7</w:t>
            </w:r>
          </w:p>
        </w:tc>
        <w:tc>
          <w:tcPr>
            <w:tcW w:w="728" w:type="dxa"/>
            <w:tcBorders>
              <w:top w:val="nil"/>
              <w:left w:val="nil"/>
              <w:bottom w:val="nil"/>
              <w:right w:val="nil"/>
            </w:tcBorders>
            <w:shd w:val="clear" w:color="auto" w:fill="auto"/>
            <w:noWrap/>
            <w:vAlign w:val="center"/>
            <w:hideMark/>
          </w:tcPr>
          <w:p w14:paraId="5AD4EE0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0,5</w:t>
            </w:r>
          </w:p>
        </w:tc>
        <w:tc>
          <w:tcPr>
            <w:tcW w:w="1753" w:type="dxa"/>
            <w:tcBorders>
              <w:top w:val="nil"/>
              <w:left w:val="single" w:sz="4" w:space="0" w:color="auto"/>
              <w:bottom w:val="nil"/>
              <w:right w:val="nil"/>
            </w:tcBorders>
            <w:shd w:val="clear" w:color="auto" w:fill="auto"/>
            <w:noWrap/>
            <w:vAlign w:val="center"/>
            <w:hideMark/>
          </w:tcPr>
          <w:p w14:paraId="35BBB85D"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Malta</w:t>
            </w:r>
          </w:p>
        </w:tc>
        <w:tc>
          <w:tcPr>
            <w:tcW w:w="962" w:type="dxa"/>
            <w:tcBorders>
              <w:top w:val="nil"/>
              <w:left w:val="nil"/>
              <w:bottom w:val="nil"/>
              <w:right w:val="nil"/>
            </w:tcBorders>
            <w:shd w:val="clear" w:color="auto" w:fill="auto"/>
            <w:noWrap/>
            <w:vAlign w:val="center"/>
            <w:hideMark/>
          </w:tcPr>
          <w:p w14:paraId="7D9CA85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50,3</w:t>
            </w:r>
          </w:p>
        </w:tc>
        <w:tc>
          <w:tcPr>
            <w:tcW w:w="897" w:type="dxa"/>
            <w:tcBorders>
              <w:top w:val="nil"/>
              <w:left w:val="nil"/>
              <w:bottom w:val="nil"/>
              <w:right w:val="nil"/>
            </w:tcBorders>
            <w:shd w:val="clear" w:color="auto" w:fill="auto"/>
            <w:noWrap/>
            <w:vAlign w:val="center"/>
            <w:hideMark/>
          </w:tcPr>
          <w:p w14:paraId="7DF3FD2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45,6</w:t>
            </w:r>
          </w:p>
        </w:tc>
        <w:tc>
          <w:tcPr>
            <w:tcW w:w="920" w:type="dxa"/>
            <w:tcBorders>
              <w:top w:val="nil"/>
              <w:left w:val="nil"/>
              <w:bottom w:val="nil"/>
              <w:right w:val="single" w:sz="4" w:space="0" w:color="auto"/>
            </w:tcBorders>
            <w:shd w:val="clear" w:color="auto" w:fill="auto"/>
            <w:noWrap/>
            <w:vAlign w:val="center"/>
            <w:hideMark/>
          </w:tcPr>
          <w:p w14:paraId="1443CDA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43,1</w:t>
            </w:r>
          </w:p>
        </w:tc>
      </w:tr>
      <w:tr w:rsidR="00BC45B8" w:rsidRPr="00BC45B8" w14:paraId="5A51446F"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0ACA3968"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Švédsko</w:t>
            </w:r>
          </w:p>
        </w:tc>
        <w:tc>
          <w:tcPr>
            <w:tcW w:w="662" w:type="dxa"/>
            <w:tcBorders>
              <w:top w:val="nil"/>
              <w:left w:val="nil"/>
              <w:bottom w:val="nil"/>
              <w:right w:val="nil"/>
            </w:tcBorders>
            <w:shd w:val="clear" w:color="auto" w:fill="auto"/>
            <w:noWrap/>
            <w:vAlign w:val="center"/>
            <w:hideMark/>
          </w:tcPr>
          <w:p w14:paraId="0B09059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1,4</w:t>
            </w:r>
          </w:p>
        </w:tc>
        <w:tc>
          <w:tcPr>
            <w:tcW w:w="919" w:type="dxa"/>
            <w:tcBorders>
              <w:top w:val="nil"/>
              <w:left w:val="nil"/>
              <w:bottom w:val="nil"/>
              <w:right w:val="nil"/>
            </w:tcBorders>
            <w:shd w:val="clear" w:color="auto" w:fill="auto"/>
            <w:noWrap/>
            <w:vAlign w:val="center"/>
            <w:hideMark/>
          </w:tcPr>
          <w:p w14:paraId="7428AEF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0,8</w:t>
            </w:r>
          </w:p>
        </w:tc>
        <w:tc>
          <w:tcPr>
            <w:tcW w:w="728" w:type="dxa"/>
            <w:tcBorders>
              <w:top w:val="nil"/>
              <w:left w:val="nil"/>
              <w:bottom w:val="nil"/>
              <w:right w:val="nil"/>
            </w:tcBorders>
            <w:shd w:val="clear" w:color="auto" w:fill="auto"/>
            <w:noWrap/>
            <w:vAlign w:val="center"/>
            <w:hideMark/>
          </w:tcPr>
          <w:p w14:paraId="57CD71F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0,5</w:t>
            </w:r>
          </w:p>
        </w:tc>
        <w:tc>
          <w:tcPr>
            <w:tcW w:w="1753" w:type="dxa"/>
            <w:tcBorders>
              <w:top w:val="nil"/>
              <w:left w:val="single" w:sz="4" w:space="0" w:color="auto"/>
              <w:bottom w:val="nil"/>
              <w:right w:val="nil"/>
            </w:tcBorders>
            <w:shd w:val="clear" w:color="auto" w:fill="auto"/>
            <w:noWrap/>
            <w:vAlign w:val="center"/>
            <w:hideMark/>
          </w:tcPr>
          <w:p w14:paraId="7F9A76D5"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Lotyšsko</w:t>
            </w:r>
          </w:p>
        </w:tc>
        <w:tc>
          <w:tcPr>
            <w:tcW w:w="962" w:type="dxa"/>
            <w:tcBorders>
              <w:top w:val="nil"/>
              <w:left w:val="nil"/>
              <w:bottom w:val="nil"/>
              <w:right w:val="nil"/>
            </w:tcBorders>
            <w:shd w:val="clear" w:color="auto" w:fill="auto"/>
            <w:noWrap/>
            <w:vAlign w:val="center"/>
            <w:hideMark/>
          </w:tcPr>
          <w:p w14:paraId="63CDC29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39,3</w:t>
            </w:r>
          </w:p>
        </w:tc>
        <w:tc>
          <w:tcPr>
            <w:tcW w:w="897" w:type="dxa"/>
            <w:tcBorders>
              <w:top w:val="nil"/>
              <w:left w:val="nil"/>
              <w:bottom w:val="nil"/>
              <w:right w:val="nil"/>
            </w:tcBorders>
            <w:shd w:val="clear" w:color="auto" w:fill="auto"/>
            <w:noWrap/>
            <w:vAlign w:val="center"/>
            <w:hideMark/>
          </w:tcPr>
          <w:p w14:paraId="67AFD6F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37,2</w:t>
            </w:r>
          </w:p>
        </w:tc>
        <w:tc>
          <w:tcPr>
            <w:tcW w:w="920" w:type="dxa"/>
            <w:tcBorders>
              <w:top w:val="nil"/>
              <w:left w:val="nil"/>
              <w:bottom w:val="nil"/>
              <w:right w:val="single" w:sz="4" w:space="0" w:color="auto"/>
            </w:tcBorders>
            <w:shd w:val="clear" w:color="auto" w:fill="auto"/>
            <w:noWrap/>
            <w:vAlign w:val="center"/>
            <w:hideMark/>
          </w:tcPr>
          <w:p w14:paraId="5FD71BC5"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36,9</w:t>
            </w:r>
          </w:p>
        </w:tc>
      </w:tr>
      <w:tr w:rsidR="00BC45B8" w:rsidRPr="00BC45B8" w14:paraId="68506BA8"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7ABB376E"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Rakúsko</w:t>
            </w:r>
          </w:p>
        </w:tc>
        <w:tc>
          <w:tcPr>
            <w:tcW w:w="662" w:type="dxa"/>
            <w:tcBorders>
              <w:top w:val="nil"/>
              <w:left w:val="nil"/>
              <w:bottom w:val="nil"/>
              <w:right w:val="nil"/>
            </w:tcBorders>
            <w:shd w:val="clear" w:color="auto" w:fill="auto"/>
            <w:noWrap/>
            <w:vAlign w:val="center"/>
            <w:hideMark/>
          </w:tcPr>
          <w:p w14:paraId="7B4A606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-0,8</w:t>
            </w:r>
          </w:p>
        </w:tc>
        <w:tc>
          <w:tcPr>
            <w:tcW w:w="919" w:type="dxa"/>
            <w:tcBorders>
              <w:top w:val="nil"/>
              <w:left w:val="nil"/>
              <w:bottom w:val="nil"/>
              <w:right w:val="nil"/>
            </w:tcBorders>
            <w:shd w:val="clear" w:color="auto" w:fill="auto"/>
            <w:noWrap/>
            <w:vAlign w:val="center"/>
            <w:hideMark/>
          </w:tcPr>
          <w:p w14:paraId="6F607F51"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0,2</w:t>
            </w:r>
          </w:p>
        </w:tc>
        <w:tc>
          <w:tcPr>
            <w:tcW w:w="728" w:type="dxa"/>
            <w:tcBorders>
              <w:top w:val="nil"/>
              <w:left w:val="nil"/>
              <w:bottom w:val="nil"/>
              <w:right w:val="nil"/>
            </w:tcBorders>
            <w:shd w:val="clear" w:color="auto" w:fill="auto"/>
            <w:noWrap/>
            <w:vAlign w:val="center"/>
            <w:hideMark/>
          </w:tcPr>
          <w:p w14:paraId="6401400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0,7</w:t>
            </w:r>
          </w:p>
        </w:tc>
        <w:tc>
          <w:tcPr>
            <w:tcW w:w="1753" w:type="dxa"/>
            <w:tcBorders>
              <w:top w:val="nil"/>
              <w:left w:val="single" w:sz="4" w:space="0" w:color="auto"/>
              <w:bottom w:val="nil"/>
              <w:right w:val="nil"/>
            </w:tcBorders>
            <w:shd w:val="clear" w:color="auto" w:fill="auto"/>
            <w:noWrap/>
            <w:vAlign w:val="center"/>
            <w:hideMark/>
          </w:tcPr>
          <w:p w14:paraId="1F026B9E"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Litva</w:t>
            </w:r>
          </w:p>
        </w:tc>
        <w:tc>
          <w:tcPr>
            <w:tcW w:w="962" w:type="dxa"/>
            <w:tcBorders>
              <w:top w:val="nil"/>
              <w:left w:val="nil"/>
              <w:bottom w:val="nil"/>
              <w:right w:val="nil"/>
            </w:tcBorders>
            <w:shd w:val="clear" w:color="auto" w:fill="auto"/>
            <w:noWrap/>
            <w:vAlign w:val="center"/>
            <w:hideMark/>
          </w:tcPr>
          <w:p w14:paraId="3AE757C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39,1</w:t>
            </w:r>
          </w:p>
        </w:tc>
        <w:tc>
          <w:tcPr>
            <w:tcW w:w="897" w:type="dxa"/>
            <w:tcBorders>
              <w:top w:val="nil"/>
              <w:left w:val="nil"/>
              <w:bottom w:val="nil"/>
              <w:right w:val="nil"/>
            </w:tcBorders>
            <w:shd w:val="clear" w:color="auto" w:fill="auto"/>
            <w:noWrap/>
            <w:vAlign w:val="center"/>
            <w:hideMark/>
          </w:tcPr>
          <w:p w14:paraId="581F3CC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33,8</w:t>
            </w:r>
          </w:p>
        </w:tc>
        <w:tc>
          <w:tcPr>
            <w:tcW w:w="920" w:type="dxa"/>
            <w:tcBorders>
              <w:top w:val="nil"/>
              <w:left w:val="nil"/>
              <w:bottom w:val="nil"/>
              <w:right w:val="single" w:sz="4" w:space="0" w:color="auto"/>
            </w:tcBorders>
            <w:shd w:val="clear" w:color="auto" w:fill="auto"/>
            <w:noWrap/>
            <w:vAlign w:val="center"/>
            <w:hideMark/>
          </w:tcPr>
          <w:p w14:paraId="416C06D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36,3</w:t>
            </w:r>
          </w:p>
        </w:tc>
      </w:tr>
      <w:tr w:rsidR="00BC45B8" w:rsidRPr="00BC45B8" w14:paraId="0720CB96"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703EF348"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Nemecko</w:t>
            </w:r>
          </w:p>
        </w:tc>
        <w:tc>
          <w:tcPr>
            <w:tcW w:w="662" w:type="dxa"/>
            <w:tcBorders>
              <w:top w:val="nil"/>
              <w:left w:val="nil"/>
              <w:bottom w:val="nil"/>
              <w:right w:val="nil"/>
            </w:tcBorders>
            <w:shd w:val="clear" w:color="auto" w:fill="auto"/>
            <w:noWrap/>
            <w:vAlign w:val="center"/>
            <w:hideMark/>
          </w:tcPr>
          <w:p w14:paraId="3A07F68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1,2</w:t>
            </w:r>
          </w:p>
        </w:tc>
        <w:tc>
          <w:tcPr>
            <w:tcW w:w="919" w:type="dxa"/>
            <w:tcBorders>
              <w:top w:val="nil"/>
              <w:left w:val="nil"/>
              <w:bottom w:val="nil"/>
              <w:right w:val="nil"/>
            </w:tcBorders>
            <w:shd w:val="clear" w:color="auto" w:fill="auto"/>
            <w:noWrap/>
            <w:vAlign w:val="center"/>
            <w:hideMark/>
          </w:tcPr>
          <w:p w14:paraId="5E89B67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1,9</w:t>
            </w:r>
          </w:p>
        </w:tc>
        <w:tc>
          <w:tcPr>
            <w:tcW w:w="728" w:type="dxa"/>
            <w:tcBorders>
              <w:top w:val="nil"/>
              <w:left w:val="nil"/>
              <w:bottom w:val="nil"/>
              <w:right w:val="nil"/>
            </w:tcBorders>
            <w:shd w:val="clear" w:color="auto" w:fill="auto"/>
            <w:noWrap/>
            <w:vAlign w:val="center"/>
            <w:hideMark/>
          </w:tcPr>
          <w:p w14:paraId="6429E51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1,4</w:t>
            </w:r>
          </w:p>
        </w:tc>
        <w:tc>
          <w:tcPr>
            <w:tcW w:w="1753" w:type="dxa"/>
            <w:tcBorders>
              <w:top w:val="nil"/>
              <w:left w:val="single" w:sz="4" w:space="0" w:color="auto"/>
              <w:bottom w:val="nil"/>
              <w:right w:val="nil"/>
            </w:tcBorders>
            <w:shd w:val="clear" w:color="auto" w:fill="auto"/>
            <w:noWrap/>
            <w:vAlign w:val="center"/>
            <w:hideMark/>
          </w:tcPr>
          <w:p w14:paraId="3647B3B3"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Rumunsko</w:t>
            </w:r>
          </w:p>
        </w:tc>
        <w:tc>
          <w:tcPr>
            <w:tcW w:w="962" w:type="dxa"/>
            <w:tcBorders>
              <w:top w:val="nil"/>
              <w:left w:val="nil"/>
              <w:bottom w:val="nil"/>
              <w:right w:val="nil"/>
            </w:tcBorders>
            <w:shd w:val="clear" w:color="auto" w:fill="auto"/>
            <w:noWrap/>
            <w:vAlign w:val="center"/>
            <w:hideMark/>
          </w:tcPr>
          <w:p w14:paraId="77C5A0E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35,1</w:t>
            </w:r>
          </w:p>
        </w:tc>
        <w:tc>
          <w:tcPr>
            <w:tcW w:w="897" w:type="dxa"/>
            <w:tcBorders>
              <w:top w:val="nil"/>
              <w:left w:val="nil"/>
              <w:bottom w:val="nil"/>
              <w:right w:val="nil"/>
            </w:tcBorders>
            <w:shd w:val="clear" w:color="auto" w:fill="auto"/>
            <w:noWrap/>
            <w:vAlign w:val="center"/>
            <w:hideMark/>
          </w:tcPr>
          <w:p w14:paraId="73BADE09"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34,7</w:t>
            </w:r>
          </w:p>
        </w:tc>
        <w:tc>
          <w:tcPr>
            <w:tcW w:w="920" w:type="dxa"/>
            <w:tcBorders>
              <w:top w:val="nil"/>
              <w:left w:val="nil"/>
              <w:bottom w:val="nil"/>
              <w:right w:val="single" w:sz="4" w:space="0" w:color="auto"/>
            </w:tcBorders>
            <w:shd w:val="clear" w:color="auto" w:fill="auto"/>
            <w:noWrap/>
            <w:vAlign w:val="center"/>
            <w:hideMark/>
          </w:tcPr>
          <w:p w14:paraId="62E505E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35,2</w:t>
            </w:r>
          </w:p>
        </w:tc>
      </w:tr>
      <w:tr w:rsidR="00BC45B8" w:rsidRPr="00BC45B8" w14:paraId="59D02748"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102EEA59"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Grécko</w:t>
            </w:r>
          </w:p>
        </w:tc>
        <w:tc>
          <w:tcPr>
            <w:tcW w:w="662" w:type="dxa"/>
            <w:tcBorders>
              <w:top w:val="nil"/>
              <w:left w:val="nil"/>
              <w:bottom w:val="nil"/>
              <w:right w:val="nil"/>
            </w:tcBorders>
            <w:shd w:val="clear" w:color="auto" w:fill="auto"/>
            <w:noWrap/>
            <w:vAlign w:val="center"/>
            <w:hideMark/>
          </w:tcPr>
          <w:p w14:paraId="72E11C4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0,7</w:t>
            </w:r>
          </w:p>
        </w:tc>
        <w:tc>
          <w:tcPr>
            <w:tcW w:w="919" w:type="dxa"/>
            <w:tcBorders>
              <w:top w:val="nil"/>
              <w:left w:val="nil"/>
              <w:bottom w:val="nil"/>
              <w:right w:val="nil"/>
            </w:tcBorders>
            <w:shd w:val="clear" w:color="auto" w:fill="auto"/>
            <w:noWrap/>
            <w:vAlign w:val="center"/>
            <w:hideMark/>
          </w:tcPr>
          <w:p w14:paraId="4107396B"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1,0</w:t>
            </w:r>
          </w:p>
        </w:tc>
        <w:tc>
          <w:tcPr>
            <w:tcW w:w="728" w:type="dxa"/>
            <w:tcBorders>
              <w:top w:val="nil"/>
              <w:left w:val="nil"/>
              <w:bottom w:val="nil"/>
              <w:right w:val="nil"/>
            </w:tcBorders>
            <w:shd w:val="clear" w:color="auto" w:fill="auto"/>
            <w:noWrap/>
            <w:vAlign w:val="center"/>
            <w:hideMark/>
          </w:tcPr>
          <w:p w14:paraId="4D32A57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1,5</w:t>
            </w:r>
          </w:p>
        </w:tc>
        <w:tc>
          <w:tcPr>
            <w:tcW w:w="1753" w:type="dxa"/>
            <w:tcBorders>
              <w:top w:val="nil"/>
              <w:left w:val="single" w:sz="4" w:space="0" w:color="auto"/>
              <w:bottom w:val="nil"/>
              <w:right w:val="nil"/>
            </w:tcBorders>
            <w:shd w:val="clear" w:color="auto" w:fill="auto"/>
            <w:noWrap/>
            <w:vAlign w:val="center"/>
            <w:hideMark/>
          </w:tcPr>
          <w:p w14:paraId="2B03DAFF"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Švédsko</w:t>
            </w:r>
          </w:p>
        </w:tc>
        <w:tc>
          <w:tcPr>
            <w:tcW w:w="962" w:type="dxa"/>
            <w:tcBorders>
              <w:top w:val="nil"/>
              <w:left w:val="nil"/>
              <w:bottom w:val="nil"/>
              <w:right w:val="nil"/>
            </w:tcBorders>
            <w:shd w:val="clear" w:color="auto" w:fill="auto"/>
            <w:noWrap/>
            <w:vAlign w:val="center"/>
            <w:hideMark/>
          </w:tcPr>
          <w:p w14:paraId="4DF524A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40,8</w:t>
            </w:r>
          </w:p>
        </w:tc>
        <w:tc>
          <w:tcPr>
            <w:tcW w:w="897" w:type="dxa"/>
            <w:tcBorders>
              <w:top w:val="nil"/>
              <w:left w:val="nil"/>
              <w:bottom w:val="nil"/>
              <w:right w:val="nil"/>
            </w:tcBorders>
            <w:shd w:val="clear" w:color="auto" w:fill="auto"/>
            <w:noWrap/>
            <w:vAlign w:val="center"/>
            <w:hideMark/>
          </w:tcPr>
          <w:p w14:paraId="508C077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38,8</w:t>
            </w:r>
          </w:p>
        </w:tc>
        <w:tc>
          <w:tcPr>
            <w:tcW w:w="920" w:type="dxa"/>
            <w:tcBorders>
              <w:top w:val="nil"/>
              <w:left w:val="nil"/>
              <w:bottom w:val="nil"/>
              <w:right w:val="single" w:sz="4" w:space="0" w:color="auto"/>
            </w:tcBorders>
            <w:shd w:val="clear" w:color="auto" w:fill="auto"/>
            <w:noWrap/>
            <w:vAlign w:val="center"/>
            <w:hideMark/>
          </w:tcPr>
          <w:p w14:paraId="2707302E"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35,1</w:t>
            </w:r>
          </w:p>
        </w:tc>
      </w:tr>
      <w:tr w:rsidR="00BC45B8" w:rsidRPr="00BC45B8" w14:paraId="28A1F895"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217FD571"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Cyprus</w:t>
            </w:r>
          </w:p>
        </w:tc>
        <w:tc>
          <w:tcPr>
            <w:tcW w:w="662" w:type="dxa"/>
            <w:tcBorders>
              <w:top w:val="nil"/>
              <w:left w:val="nil"/>
              <w:bottom w:val="nil"/>
              <w:right w:val="nil"/>
            </w:tcBorders>
            <w:shd w:val="clear" w:color="auto" w:fill="auto"/>
            <w:noWrap/>
            <w:vAlign w:val="center"/>
            <w:hideMark/>
          </w:tcPr>
          <w:p w14:paraId="402C1330"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2,0</w:t>
            </w:r>
          </w:p>
        </w:tc>
        <w:tc>
          <w:tcPr>
            <w:tcW w:w="919" w:type="dxa"/>
            <w:tcBorders>
              <w:top w:val="nil"/>
              <w:left w:val="nil"/>
              <w:bottom w:val="nil"/>
              <w:right w:val="nil"/>
            </w:tcBorders>
            <w:shd w:val="clear" w:color="auto" w:fill="auto"/>
            <w:noWrap/>
            <w:vAlign w:val="center"/>
            <w:hideMark/>
          </w:tcPr>
          <w:p w14:paraId="75E8E8A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-3,7</w:t>
            </w:r>
          </w:p>
        </w:tc>
        <w:tc>
          <w:tcPr>
            <w:tcW w:w="728" w:type="dxa"/>
            <w:tcBorders>
              <w:top w:val="nil"/>
              <w:left w:val="nil"/>
              <w:bottom w:val="nil"/>
              <w:right w:val="nil"/>
            </w:tcBorders>
            <w:shd w:val="clear" w:color="auto" w:fill="auto"/>
            <w:noWrap/>
            <w:vAlign w:val="center"/>
            <w:hideMark/>
          </w:tcPr>
          <w:p w14:paraId="0333700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1,7</w:t>
            </w:r>
          </w:p>
        </w:tc>
        <w:tc>
          <w:tcPr>
            <w:tcW w:w="1753" w:type="dxa"/>
            <w:tcBorders>
              <w:top w:val="nil"/>
              <w:left w:val="single" w:sz="4" w:space="0" w:color="auto"/>
              <w:bottom w:val="nil"/>
              <w:right w:val="nil"/>
            </w:tcBorders>
            <w:shd w:val="clear" w:color="auto" w:fill="auto"/>
            <w:noWrap/>
            <w:vAlign w:val="center"/>
            <w:hideMark/>
          </w:tcPr>
          <w:p w14:paraId="675D3FC3"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Dánsko</w:t>
            </w:r>
          </w:p>
        </w:tc>
        <w:tc>
          <w:tcPr>
            <w:tcW w:w="962" w:type="dxa"/>
            <w:tcBorders>
              <w:top w:val="nil"/>
              <w:left w:val="nil"/>
              <w:bottom w:val="nil"/>
              <w:right w:val="nil"/>
            </w:tcBorders>
            <w:shd w:val="clear" w:color="auto" w:fill="auto"/>
            <w:noWrap/>
            <w:vAlign w:val="center"/>
            <w:hideMark/>
          </w:tcPr>
          <w:p w14:paraId="7F6414C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35,8</w:t>
            </w:r>
          </w:p>
        </w:tc>
        <w:tc>
          <w:tcPr>
            <w:tcW w:w="897" w:type="dxa"/>
            <w:tcBorders>
              <w:top w:val="nil"/>
              <w:left w:val="nil"/>
              <w:bottom w:val="nil"/>
              <w:right w:val="nil"/>
            </w:tcBorders>
            <w:shd w:val="clear" w:color="auto" w:fill="auto"/>
            <w:noWrap/>
            <w:vAlign w:val="center"/>
            <w:hideMark/>
          </w:tcPr>
          <w:p w14:paraId="3D7DE73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33,9</w:t>
            </w:r>
          </w:p>
        </w:tc>
        <w:tc>
          <w:tcPr>
            <w:tcW w:w="920" w:type="dxa"/>
            <w:tcBorders>
              <w:top w:val="nil"/>
              <w:left w:val="nil"/>
              <w:bottom w:val="nil"/>
              <w:right w:val="single" w:sz="4" w:space="0" w:color="auto"/>
            </w:tcBorders>
            <w:shd w:val="clear" w:color="auto" w:fill="auto"/>
            <w:noWrap/>
            <w:vAlign w:val="center"/>
            <w:hideMark/>
          </w:tcPr>
          <w:p w14:paraId="221C096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33,2</w:t>
            </w:r>
          </w:p>
        </w:tc>
      </w:tr>
      <w:tr w:rsidR="00BC45B8" w:rsidRPr="00BC45B8" w14:paraId="4266103F"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68CA3422"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Holandsko</w:t>
            </w:r>
          </w:p>
        </w:tc>
        <w:tc>
          <w:tcPr>
            <w:tcW w:w="662" w:type="dxa"/>
            <w:tcBorders>
              <w:top w:val="nil"/>
              <w:left w:val="nil"/>
              <w:bottom w:val="nil"/>
              <w:right w:val="nil"/>
            </w:tcBorders>
            <w:shd w:val="clear" w:color="auto" w:fill="auto"/>
            <w:noWrap/>
            <w:vAlign w:val="center"/>
            <w:hideMark/>
          </w:tcPr>
          <w:p w14:paraId="303EEB8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1,3</w:t>
            </w:r>
          </w:p>
        </w:tc>
        <w:tc>
          <w:tcPr>
            <w:tcW w:w="919" w:type="dxa"/>
            <w:tcBorders>
              <w:top w:val="nil"/>
              <w:left w:val="nil"/>
              <w:bottom w:val="nil"/>
              <w:right w:val="nil"/>
            </w:tcBorders>
            <w:shd w:val="clear" w:color="auto" w:fill="auto"/>
            <w:noWrap/>
            <w:vAlign w:val="center"/>
            <w:hideMark/>
          </w:tcPr>
          <w:p w14:paraId="78DF229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1,4</w:t>
            </w:r>
          </w:p>
        </w:tc>
        <w:tc>
          <w:tcPr>
            <w:tcW w:w="728" w:type="dxa"/>
            <w:tcBorders>
              <w:top w:val="nil"/>
              <w:left w:val="nil"/>
              <w:bottom w:val="nil"/>
              <w:right w:val="nil"/>
            </w:tcBorders>
            <w:shd w:val="clear" w:color="auto" w:fill="auto"/>
            <w:noWrap/>
            <w:vAlign w:val="center"/>
            <w:hideMark/>
          </w:tcPr>
          <w:p w14:paraId="233FC930"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1,7</w:t>
            </w:r>
          </w:p>
        </w:tc>
        <w:tc>
          <w:tcPr>
            <w:tcW w:w="1753" w:type="dxa"/>
            <w:tcBorders>
              <w:top w:val="nil"/>
              <w:left w:val="single" w:sz="4" w:space="0" w:color="auto"/>
              <w:bottom w:val="nil"/>
              <w:right w:val="nil"/>
            </w:tcBorders>
            <w:shd w:val="clear" w:color="auto" w:fill="auto"/>
            <w:noWrap/>
            <w:vAlign w:val="center"/>
            <w:hideMark/>
          </w:tcPr>
          <w:p w14:paraId="6115FC7E"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Česká republika</w:t>
            </w:r>
          </w:p>
        </w:tc>
        <w:tc>
          <w:tcPr>
            <w:tcW w:w="962" w:type="dxa"/>
            <w:tcBorders>
              <w:top w:val="nil"/>
              <w:left w:val="nil"/>
              <w:bottom w:val="nil"/>
              <w:right w:val="nil"/>
            </w:tcBorders>
            <w:shd w:val="clear" w:color="auto" w:fill="auto"/>
            <w:noWrap/>
            <w:vAlign w:val="center"/>
            <w:hideMark/>
          </w:tcPr>
          <w:p w14:paraId="2384679C"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34,7</w:t>
            </w:r>
          </w:p>
        </w:tc>
        <w:tc>
          <w:tcPr>
            <w:tcW w:w="897" w:type="dxa"/>
            <w:tcBorders>
              <w:top w:val="nil"/>
              <w:left w:val="nil"/>
              <w:bottom w:val="nil"/>
              <w:right w:val="nil"/>
            </w:tcBorders>
            <w:shd w:val="clear" w:color="auto" w:fill="auto"/>
            <w:noWrap/>
            <w:vAlign w:val="center"/>
            <w:hideMark/>
          </w:tcPr>
          <w:p w14:paraId="29878C7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32,6</w:t>
            </w:r>
          </w:p>
        </w:tc>
        <w:tc>
          <w:tcPr>
            <w:tcW w:w="920" w:type="dxa"/>
            <w:tcBorders>
              <w:top w:val="nil"/>
              <w:left w:val="nil"/>
              <w:bottom w:val="nil"/>
              <w:right w:val="single" w:sz="4" w:space="0" w:color="auto"/>
            </w:tcBorders>
            <w:shd w:val="clear" w:color="auto" w:fill="auto"/>
            <w:noWrap/>
            <w:vAlign w:val="center"/>
            <w:hideMark/>
          </w:tcPr>
          <w:p w14:paraId="50254F75"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30,8</w:t>
            </w:r>
          </w:p>
        </w:tc>
      </w:tr>
      <w:tr w:rsidR="00BC45B8" w:rsidRPr="00BC45B8" w14:paraId="234F1A36"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608A2B6F"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Bulharsko</w:t>
            </w:r>
          </w:p>
        </w:tc>
        <w:tc>
          <w:tcPr>
            <w:tcW w:w="662" w:type="dxa"/>
            <w:tcBorders>
              <w:top w:val="nil"/>
              <w:left w:val="nil"/>
              <w:bottom w:val="nil"/>
              <w:right w:val="nil"/>
            </w:tcBorders>
            <w:shd w:val="clear" w:color="auto" w:fill="auto"/>
            <w:noWrap/>
            <w:vAlign w:val="center"/>
            <w:hideMark/>
          </w:tcPr>
          <w:p w14:paraId="2FB1266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1,1</w:t>
            </w:r>
          </w:p>
        </w:tc>
        <w:tc>
          <w:tcPr>
            <w:tcW w:w="919" w:type="dxa"/>
            <w:tcBorders>
              <w:top w:val="nil"/>
              <w:left w:val="nil"/>
              <w:bottom w:val="nil"/>
              <w:right w:val="nil"/>
            </w:tcBorders>
            <w:shd w:val="clear" w:color="auto" w:fill="auto"/>
            <w:noWrap/>
            <w:vAlign w:val="center"/>
            <w:hideMark/>
          </w:tcPr>
          <w:p w14:paraId="3A1B188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2,0</w:t>
            </w:r>
          </w:p>
        </w:tc>
        <w:tc>
          <w:tcPr>
            <w:tcW w:w="728" w:type="dxa"/>
            <w:tcBorders>
              <w:top w:val="nil"/>
              <w:left w:val="nil"/>
              <w:bottom w:val="nil"/>
              <w:right w:val="nil"/>
            </w:tcBorders>
            <w:shd w:val="clear" w:color="auto" w:fill="auto"/>
            <w:noWrap/>
            <w:vAlign w:val="center"/>
            <w:hideMark/>
          </w:tcPr>
          <w:p w14:paraId="3C88EE7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2,1</w:t>
            </w:r>
          </w:p>
        </w:tc>
        <w:tc>
          <w:tcPr>
            <w:tcW w:w="1753" w:type="dxa"/>
            <w:tcBorders>
              <w:top w:val="nil"/>
              <w:left w:val="single" w:sz="4" w:space="0" w:color="auto"/>
              <w:bottom w:val="nil"/>
              <w:right w:val="nil"/>
            </w:tcBorders>
            <w:shd w:val="clear" w:color="auto" w:fill="auto"/>
            <w:noWrap/>
            <w:vAlign w:val="center"/>
            <w:hideMark/>
          </w:tcPr>
          <w:p w14:paraId="6C3091D5"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Luxembursko</w:t>
            </w:r>
          </w:p>
        </w:tc>
        <w:tc>
          <w:tcPr>
            <w:tcW w:w="962" w:type="dxa"/>
            <w:tcBorders>
              <w:top w:val="nil"/>
              <w:left w:val="nil"/>
              <w:bottom w:val="nil"/>
              <w:right w:val="nil"/>
            </w:tcBorders>
            <w:shd w:val="clear" w:color="auto" w:fill="auto"/>
            <w:noWrap/>
            <w:vAlign w:val="center"/>
            <w:hideMark/>
          </w:tcPr>
          <w:p w14:paraId="1E579357"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22,3</w:t>
            </w:r>
          </w:p>
        </w:tc>
        <w:tc>
          <w:tcPr>
            <w:tcW w:w="897" w:type="dxa"/>
            <w:tcBorders>
              <w:top w:val="nil"/>
              <w:left w:val="nil"/>
              <w:bottom w:val="nil"/>
              <w:right w:val="nil"/>
            </w:tcBorders>
            <w:shd w:val="clear" w:color="auto" w:fill="auto"/>
            <w:noWrap/>
            <w:vAlign w:val="center"/>
            <w:hideMark/>
          </w:tcPr>
          <w:p w14:paraId="20BC26EE"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21,0</w:t>
            </w:r>
          </w:p>
        </w:tc>
        <w:tc>
          <w:tcPr>
            <w:tcW w:w="920" w:type="dxa"/>
            <w:tcBorders>
              <w:top w:val="nil"/>
              <w:left w:val="nil"/>
              <w:bottom w:val="nil"/>
              <w:right w:val="single" w:sz="4" w:space="0" w:color="auto"/>
            </w:tcBorders>
            <w:shd w:val="clear" w:color="auto" w:fill="auto"/>
            <w:noWrap/>
            <w:vAlign w:val="center"/>
            <w:hideMark/>
          </w:tcPr>
          <w:p w14:paraId="6D2E4662"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22,1</w:t>
            </w:r>
          </w:p>
        </w:tc>
      </w:tr>
      <w:tr w:rsidR="00BC45B8" w:rsidRPr="00BC45B8" w14:paraId="483F1184" w14:textId="77777777" w:rsidTr="00BD79E7">
        <w:trPr>
          <w:trHeight w:val="279"/>
        </w:trPr>
        <w:tc>
          <w:tcPr>
            <w:tcW w:w="1753" w:type="dxa"/>
            <w:tcBorders>
              <w:top w:val="nil"/>
              <w:left w:val="single" w:sz="4" w:space="0" w:color="auto"/>
              <w:bottom w:val="nil"/>
              <w:right w:val="nil"/>
            </w:tcBorders>
            <w:shd w:val="clear" w:color="auto" w:fill="auto"/>
            <w:noWrap/>
            <w:vAlign w:val="center"/>
            <w:hideMark/>
          </w:tcPr>
          <w:p w14:paraId="2CAD3FCB"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Luxembursko</w:t>
            </w:r>
          </w:p>
        </w:tc>
        <w:tc>
          <w:tcPr>
            <w:tcW w:w="662" w:type="dxa"/>
            <w:tcBorders>
              <w:top w:val="nil"/>
              <w:left w:val="nil"/>
              <w:bottom w:val="nil"/>
              <w:right w:val="nil"/>
            </w:tcBorders>
            <w:shd w:val="clear" w:color="auto" w:fill="auto"/>
            <w:noWrap/>
            <w:vAlign w:val="center"/>
            <w:hideMark/>
          </w:tcPr>
          <w:p w14:paraId="0D750EB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1,3</w:t>
            </w:r>
          </w:p>
        </w:tc>
        <w:tc>
          <w:tcPr>
            <w:tcW w:w="919" w:type="dxa"/>
            <w:tcBorders>
              <w:top w:val="nil"/>
              <w:left w:val="nil"/>
              <w:bottom w:val="nil"/>
              <w:right w:val="nil"/>
            </w:tcBorders>
            <w:shd w:val="clear" w:color="auto" w:fill="auto"/>
            <w:noWrap/>
            <w:vAlign w:val="center"/>
            <w:hideMark/>
          </w:tcPr>
          <w:p w14:paraId="5EC320C8"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3,1</w:t>
            </w:r>
          </w:p>
        </w:tc>
        <w:tc>
          <w:tcPr>
            <w:tcW w:w="728" w:type="dxa"/>
            <w:tcBorders>
              <w:top w:val="nil"/>
              <w:left w:val="nil"/>
              <w:bottom w:val="nil"/>
              <w:right w:val="nil"/>
            </w:tcBorders>
            <w:shd w:val="clear" w:color="auto" w:fill="auto"/>
            <w:noWrap/>
            <w:vAlign w:val="center"/>
            <w:hideMark/>
          </w:tcPr>
          <w:p w14:paraId="7ECD745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2,2</w:t>
            </w:r>
          </w:p>
        </w:tc>
        <w:tc>
          <w:tcPr>
            <w:tcW w:w="1753" w:type="dxa"/>
            <w:tcBorders>
              <w:top w:val="nil"/>
              <w:left w:val="single" w:sz="4" w:space="0" w:color="auto"/>
              <w:bottom w:val="nil"/>
              <w:right w:val="nil"/>
            </w:tcBorders>
            <w:shd w:val="clear" w:color="auto" w:fill="auto"/>
            <w:noWrap/>
            <w:vAlign w:val="center"/>
            <w:hideMark/>
          </w:tcPr>
          <w:p w14:paraId="2AF62094"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Bulharsko</w:t>
            </w:r>
          </w:p>
        </w:tc>
        <w:tc>
          <w:tcPr>
            <w:tcW w:w="962" w:type="dxa"/>
            <w:tcBorders>
              <w:top w:val="nil"/>
              <w:left w:val="nil"/>
              <w:bottom w:val="nil"/>
              <w:right w:val="nil"/>
            </w:tcBorders>
            <w:shd w:val="clear" w:color="auto" w:fill="auto"/>
            <w:noWrap/>
            <w:vAlign w:val="center"/>
            <w:hideMark/>
          </w:tcPr>
          <w:p w14:paraId="3F4C8CEE"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25,3</w:t>
            </w:r>
          </w:p>
        </w:tc>
        <w:tc>
          <w:tcPr>
            <w:tcW w:w="897" w:type="dxa"/>
            <w:tcBorders>
              <w:top w:val="nil"/>
              <w:left w:val="nil"/>
              <w:bottom w:val="nil"/>
              <w:right w:val="nil"/>
            </w:tcBorders>
            <w:shd w:val="clear" w:color="auto" w:fill="auto"/>
            <w:noWrap/>
            <w:vAlign w:val="center"/>
            <w:hideMark/>
          </w:tcPr>
          <w:p w14:paraId="76C76504"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22,3</w:t>
            </w:r>
          </w:p>
        </w:tc>
        <w:tc>
          <w:tcPr>
            <w:tcW w:w="920" w:type="dxa"/>
            <w:tcBorders>
              <w:top w:val="nil"/>
              <w:left w:val="nil"/>
              <w:bottom w:val="nil"/>
              <w:right w:val="single" w:sz="4" w:space="0" w:color="auto"/>
            </w:tcBorders>
            <w:shd w:val="clear" w:color="auto" w:fill="auto"/>
            <w:noWrap/>
            <w:vAlign w:val="center"/>
            <w:hideMark/>
          </w:tcPr>
          <w:p w14:paraId="5A7B537F"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20,4</w:t>
            </w:r>
          </w:p>
        </w:tc>
      </w:tr>
      <w:tr w:rsidR="00BC45B8" w:rsidRPr="00BC45B8" w14:paraId="225934F2" w14:textId="77777777" w:rsidTr="00BD79E7">
        <w:trPr>
          <w:trHeight w:val="279"/>
        </w:trPr>
        <w:tc>
          <w:tcPr>
            <w:tcW w:w="1753" w:type="dxa"/>
            <w:tcBorders>
              <w:top w:val="nil"/>
              <w:left w:val="single" w:sz="4" w:space="0" w:color="auto"/>
              <w:bottom w:val="single" w:sz="4" w:space="0" w:color="auto"/>
              <w:right w:val="nil"/>
            </w:tcBorders>
            <w:shd w:val="clear" w:color="auto" w:fill="auto"/>
            <w:noWrap/>
            <w:vAlign w:val="center"/>
            <w:hideMark/>
          </w:tcPr>
          <w:p w14:paraId="368FE1C0" w14:textId="77777777" w:rsidR="00BC45B8" w:rsidRPr="00BC45B8" w:rsidRDefault="00BC45B8" w:rsidP="00791BB7">
            <w:pPr>
              <w:spacing w:after="0" w:line="240" w:lineRule="auto"/>
              <w:ind w:firstLine="67"/>
              <w:jc w:val="left"/>
              <w:rPr>
                <w:rFonts w:eastAsia="Times New Roman" w:cs="Times New Roman"/>
                <w:sz w:val="20"/>
                <w:szCs w:val="20"/>
                <w:lang w:eastAsia="sk-SK"/>
              </w:rPr>
            </w:pPr>
            <w:r w:rsidRPr="00BC45B8">
              <w:rPr>
                <w:rFonts w:eastAsia="Times New Roman" w:cs="Times New Roman"/>
                <w:sz w:val="20"/>
                <w:szCs w:val="20"/>
                <w:lang w:eastAsia="sk-SK"/>
              </w:rPr>
              <w:t>Dánsko</w:t>
            </w:r>
          </w:p>
        </w:tc>
        <w:tc>
          <w:tcPr>
            <w:tcW w:w="662" w:type="dxa"/>
            <w:tcBorders>
              <w:top w:val="nil"/>
              <w:left w:val="nil"/>
              <w:bottom w:val="single" w:sz="4" w:space="0" w:color="auto"/>
              <w:right w:val="nil"/>
            </w:tcBorders>
            <w:shd w:val="clear" w:color="auto" w:fill="auto"/>
            <w:noWrap/>
            <w:vAlign w:val="center"/>
            <w:hideMark/>
          </w:tcPr>
          <w:p w14:paraId="48D452B3"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1,8</w:t>
            </w:r>
          </w:p>
        </w:tc>
        <w:tc>
          <w:tcPr>
            <w:tcW w:w="919" w:type="dxa"/>
            <w:tcBorders>
              <w:top w:val="nil"/>
              <w:left w:val="nil"/>
              <w:bottom w:val="single" w:sz="4" w:space="0" w:color="auto"/>
              <w:right w:val="nil"/>
            </w:tcBorders>
            <w:shd w:val="clear" w:color="auto" w:fill="auto"/>
            <w:noWrap/>
            <w:vAlign w:val="center"/>
            <w:hideMark/>
          </w:tcPr>
          <w:p w14:paraId="14756F9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0,7</w:t>
            </w:r>
          </w:p>
        </w:tc>
        <w:tc>
          <w:tcPr>
            <w:tcW w:w="728" w:type="dxa"/>
            <w:tcBorders>
              <w:top w:val="nil"/>
              <w:left w:val="nil"/>
              <w:bottom w:val="single" w:sz="4" w:space="0" w:color="auto"/>
              <w:right w:val="nil"/>
            </w:tcBorders>
            <w:shd w:val="clear" w:color="auto" w:fill="auto"/>
            <w:noWrap/>
            <w:vAlign w:val="center"/>
            <w:hideMark/>
          </w:tcPr>
          <w:p w14:paraId="784720DD"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3,7</w:t>
            </w:r>
          </w:p>
        </w:tc>
        <w:tc>
          <w:tcPr>
            <w:tcW w:w="1753" w:type="dxa"/>
            <w:tcBorders>
              <w:top w:val="nil"/>
              <w:left w:val="single" w:sz="4" w:space="0" w:color="auto"/>
              <w:bottom w:val="single" w:sz="4" w:space="0" w:color="auto"/>
              <w:right w:val="nil"/>
            </w:tcBorders>
            <w:shd w:val="clear" w:color="auto" w:fill="auto"/>
            <w:noWrap/>
            <w:vAlign w:val="center"/>
            <w:hideMark/>
          </w:tcPr>
          <w:p w14:paraId="5BC4A7C8" w14:textId="77777777" w:rsidR="00BC45B8" w:rsidRPr="00BC45B8" w:rsidRDefault="00BC45B8" w:rsidP="00791BB7">
            <w:pPr>
              <w:spacing w:after="0" w:line="240" w:lineRule="auto"/>
              <w:ind w:left="116"/>
              <w:jc w:val="left"/>
              <w:rPr>
                <w:rFonts w:eastAsia="Times New Roman" w:cs="Times New Roman"/>
                <w:sz w:val="20"/>
                <w:szCs w:val="20"/>
                <w:lang w:eastAsia="sk-SK"/>
              </w:rPr>
            </w:pPr>
            <w:r w:rsidRPr="00BC45B8">
              <w:rPr>
                <w:rFonts w:eastAsia="Times New Roman" w:cs="Times New Roman"/>
                <w:sz w:val="20"/>
                <w:szCs w:val="20"/>
                <w:lang w:eastAsia="sk-SK"/>
              </w:rPr>
              <w:t>Estónsko</w:t>
            </w:r>
          </w:p>
        </w:tc>
        <w:tc>
          <w:tcPr>
            <w:tcW w:w="962" w:type="dxa"/>
            <w:tcBorders>
              <w:top w:val="nil"/>
              <w:left w:val="nil"/>
              <w:bottom w:val="single" w:sz="4" w:space="0" w:color="auto"/>
              <w:right w:val="nil"/>
            </w:tcBorders>
            <w:shd w:val="clear" w:color="auto" w:fill="auto"/>
            <w:noWrap/>
            <w:vAlign w:val="center"/>
            <w:hideMark/>
          </w:tcPr>
          <w:p w14:paraId="22659A45"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9,3</w:t>
            </w:r>
          </w:p>
        </w:tc>
        <w:tc>
          <w:tcPr>
            <w:tcW w:w="897" w:type="dxa"/>
            <w:tcBorders>
              <w:top w:val="nil"/>
              <w:left w:val="nil"/>
              <w:bottom w:val="single" w:sz="4" w:space="0" w:color="auto"/>
              <w:right w:val="nil"/>
            </w:tcBorders>
            <w:shd w:val="clear" w:color="auto" w:fill="auto"/>
            <w:noWrap/>
            <w:vAlign w:val="center"/>
            <w:hideMark/>
          </w:tcPr>
          <w:p w14:paraId="2EDC1126"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8,4</w:t>
            </w:r>
          </w:p>
        </w:tc>
        <w:tc>
          <w:tcPr>
            <w:tcW w:w="920" w:type="dxa"/>
            <w:tcBorders>
              <w:top w:val="nil"/>
              <w:left w:val="nil"/>
              <w:bottom w:val="single" w:sz="4" w:space="0" w:color="auto"/>
              <w:right w:val="single" w:sz="4" w:space="0" w:color="auto"/>
            </w:tcBorders>
            <w:shd w:val="clear" w:color="auto" w:fill="auto"/>
            <w:noWrap/>
            <w:vAlign w:val="center"/>
            <w:hideMark/>
          </w:tcPr>
          <w:p w14:paraId="4B8AAE9A" w14:textId="77777777" w:rsidR="00BC45B8" w:rsidRPr="00BC45B8" w:rsidRDefault="00BC45B8" w:rsidP="00BC45B8">
            <w:pPr>
              <w:spacing w:after="0" w:line="240" w:lineRule="auto"/>
              <w:jc w:val="center"/>
              <w:rPr>
                <w:rFonts w:eastAsia="Times New Roman" w:cs="Times New Roman"/>
                <w:color w:val="000000"/>
                <w:sz w:val="20"/>
                <w:szCs w:val="20"/>
                <w:lang w:eastAsia="sk-SK"/>
              </w:rPr>
            </w:pPr>
            <w:r w:rsidRPr="00BC45B8">
              <w:rPr>
                <w:rFonts w:eastAsia="Times New Roman" w:cs="Times New Roman"/>
                <w:color w:val="000000"/>
                <w:sz w:val="20"/>
                <w:szCs w:val="20"/>
                <w:lang w:eastAsia="sk-SK"/>
              </w:rPr>
              <w:t>8,4</w:t>
            </w:r>
          </w:p>
        </w:tc>
      </w:tr>
      <w:tr w:rsidR="00FB329C" w:rsidRPr="00BC45B8" w14:paraId="51466D89" w14:textId="77777777" w:rsidTr="003A0393">
        <w:trPr>
          <w:trHeight w:val="227"/>
        </w:trPr>
        <w:tc>
          <w:tcPr>
            <w:tcW w:w="8594" w:type="dxa"/>
            <w:gridSpan w:val="8"/>
            <w:tcBorders>
              <w:top w:val="nil"/>
              <w:left w:val="nil"/>
              <w:bottom w:val="nil"/>
              <w:right w:val="nil"/>
            </w:tcBorders>
            <w:shd w:val="clear" w:color="auto" w:fill="auto"/>
            <w:noWrap/>
            <w:vAlign w:val="bottom"/>
            <w:hideMark/>
          </w:tcPr>
          <w:p w14:paraId="091001BE" w14:textId="461F8D52" w:rsidR="00FB329C" w:rsidRPr="004344F0" w:rsidRDefault="00FB329C" w:rsidP="00FB329C">
            <w:pPr>
              <w:spacing w:after="0" w:line="240" w:lineRule="auto"/>
              <w:ind w:firstLine="7296"/>
              <w:jc w:val="left"/>
              <w:rPr>
                <w:rFonts w:eastAsia="Times New Roman" w:cs="Times New Roman"/>
                <w:color w:val="000000"/>
                <w:sz w:val="18"/>
                <w:szCs w:val="18"/>
                <w:lang w:eastAsia="sk-SK"/>
              </w:rPr>
            </w:pPr>
            <w:r w:rsidRPr="004344F0">
              <w:rPr>
                <w:rFonts w:eastAsia="Times New Roman" w:cs="Times New Roman"/>
                <w:iCs/>
                <w:color w:val="000000"/>
                <w:sz w:val="18"/>
                <w:szCs w:val="18"/>
                <w:lang w:eastAsia="sk-SK"/>
              </w:rPr>
              <w:t xml:space="preserve">Zdroj: </w:t>
            </w:r>
            <w:proofErr w:type="spellStart"/>
            <w:r w:rsidRPr="004344F0">
              <w:rPr>
                <w:rFonts w:eastAsia="Times New Roman" w:cs="Times New Roman"/>
                <w:iCs/>
                <w:color w:val="000000"/>
                <w:sz w:val="18"/>
                <w:szCs w:val="18"/>
                <w:lang w:eastAsia="sk-SK"/>
              </w:rPr>
              <w:t>Eurostat</w:t>
            </w:r>
            <w:proofErr w:type="spellEnd"/>
          </w:p>
          <w:p w14:paraId="67D0D348" w14:textId="1FD3527B" w:rsidR="00FB329C" w:rsidRPr="00FB329C" w:rsidRDefault="00FB329C" w:rsidP="00FB329C">
            <w:pPr>
              <w:spacing w:after="0" w:line="240" w:lineRule="auto"/>
              <w:jc w:val="left"/>
              <w:rPr>
                <w:rFonts w:eastAsia="Times New Roman" w:cs="Times New Roman"/>
                <w:i/>
                <w:iCs/>
                <w:color w:val="000000"/>
                <w:sz w:val="18"/>
                <w:szCs w:val="18"/>
                <w:lang w:eastAsia="sk-SK"/>
              </w:rPr>
            </w:pPr>
            <w:r w:rsidRPr="00FB329C">
              <w:rPr>
                <w:rFonts w:eastAsia="Times New Roman" w:cs="Times New Roman"/>
                <w:color w:val="000000"/>
                <w:sz w:val="18"/>
                <w:szCs w:val="18"/>
                <w:lang w:eastAsia="sk-SK"/>
              </w:rPr>
              <w:t xml:space="preserve">Priemerné hodnoty sú vykazované za EU 27 (bez Veľkej Británie). V tabuľke sú hodnoty za Veľkú Britániu uvedené posledný krát pre porovnanie.                                                                      </w:t>
            </w:r>
            <w:r>
              <w:rPr>
                <w:rFonts w:eastAsia="Times New Roman" w:cs="Times New Roman"/>
                <w:color w:val="000000"/>
                <w:sz w:val="18"/>
                <w:szCs w:val="18"/>
                <w:lang w:eastAsia="sk-SK"/>
              </w:rPr>
              <w:t xml:space="preserve">       </w:t>
            </w:r>
            <w:r w:rsidRPr="00FB329C">
              <w:rPr>
                <w:rFonts w:eastAsia="Times New Roman" w:cs="Times New Roman"/>
                <w:color w:val="000000"/>
                <w:sz w:val="18"/>
                <w:szCs w:val="18"/>
                <w:lang w:eastAsia="sk-SK"/>
              </w:rPr>
              <w:t xml:space="preserve"> </w:t>
            </w:r>
          </w:p>
        </w:tc>
      </w:tr>
      <w:tr w:rsidR="00FB329C" w:rsidRPr="00BC45B8" w14:paraId="54EAE571" w14:textId="77777777" w:rsidTr="003A0393">
        <w:trPr>
          <w:trHeight w:val="227"/>
        </w:trPr>
        <w:tc>
          <w:tcPr>
            <w:tcW w:w="8594" w:type="dxa"/>
            <w:gridSpan w:val="8"/>
            <w:tcBorders>
              <w:top w:val="nil"/>
              <w:left w:val="nil"/>
              <w:bottom w:val="nil"/>
              <w:right w:val="nil"/>
            </w:tcBorders>
            <w:shd w:val="clear" w:color="auto" w:fill="auto"/>
            <w:noWrap/>
            <w:vAlign w:val="bottom"/>
          </w:tcPr>
          <w:p w14:paraId="3BA21ACC" w14:textId="77777777" w:rsidR="00FB329C" w:rsidRPr="00FB329C" w:rsidRDefault="00FB329C" w:rsidP="00FB329C">
            <w:pPr>
              <w:spacing w:after="0" w:line="240" w:lineRule="auto"/>
              <w:jc w:val="left"/>
              <w:rPr>
                <w:rFonts w:eastAsia="Times New Roman" w:cs="Times New Roman"/>
                <w:i/>
                <w:iCs/>
                <w:color w:val="000000"/>
                <w:sz w:val="18"/>
                <w:szCs w:val="18"/>
                <w:lang w:eastAsia="sk-SK"/>
              </w:rPr>
            </w:pPr>
          </w:p>
        </w:tc>
      </w:tr>
    </w:tbl>
    <w:p w14:paraId="2FDCC116" w14:textId="77777777" w:rsidR="00A06265" w:rsidRDefault="00FF67E2" w:rsidP="00FF67E2">
      <w:r w:rsidRPr="005B5E0A">
        <w:t xml:space="preserve">Najvyššie schodky verejnej </w:t>
      </w:r>
      <w:r>
        <w:t>správy v rámci EÚ 27 v roku 2019</w:t>
      </w:r>
      <w:r w:rsidRPr="005B5E0A">
        <w:t xml:space="preserve"> vykázali</w:t>
      </w:r>
      <w:r w:rsidRPr="00526558">
        <w:rPr>
          <w:color w:val="FF0000"/>
        </w:rPr>
        <w:t xml:space="preserve"> </w:t>
      </w:r>
      <w:r>
        <w:t>krajiny</w:t>
      </w:r>
      <w:r w:rsidRPr="000E65CB">
        <w:t xml:space="preserve"> ako Ru</w:t>
      </w:r>
      <w:r>
        <w:t>munsko 4,3 </w:t>
      </w:r>
      <w:r w:rsidRPr="000E65CB">
        <w:t>%</w:t>
      </w:r>
      <w:r>
        <w:t>,</w:t>
      </w:r>
      <w:r w:rsidRPr="000E65CB">
        <w:t xml:space="preserve"> HDP</w:t>
      </w:r>
      <w:r>
        <w:t xml:space="preserve">, Francúzsko 3,0 </w:t>
      </w:r>
      <w:r w:rsidRPr="000E65CB">
        <w:t> % HDP</w:t>
      </w:r>
      <w:r>
        <w:t>, Španielsko 2,8</w:t>
      </w:r>
      <w:r w:rsidRPr="000E65CB">
        <w:t> % HDP</w:t>
      </w:r>
      <w:r>
        <w:t>, Veľká Británia 2,1 % HDP a Maďarsko 2,0 % HDP.</w:t>
      </w:r>
      <w:r w:rsidR="00A06265">
        <w:t xml:space="preserve"> </w:t>
      </w:r>
      <w:r>
        <w:t>16</w:t>
      </w:r>
      <w:r w:rsidRPr="00B36C2C">
        <w:t xml:space="preserve"> krajín vykázalo prebytok </w:t>
      </w:r>
      <w:r>
        <w:t>a žiadna krajina ne</w:t>
      </w:r>
      <w:r w:rsidRPr="00B36C2C">
        <w:t>hospodáril</w:t>
      </w:r>
      <w:r>
        <w:t>o</w:t>
      </w:r>
      <w:r w:rsidRPr="00B36C2C">
        <w:t xml:space="preserve"> s vyrovnaným rozpočtom.</w:t>
      </w:r>
      <w:r>
        <w:t xml:space="preserve"> </w:t>
      </w:r>
      <w:r w:rsidRPr="005B5E0A">
        <w:t>Najväčší prebytok</w:t>
      </w:r>
      <w:r>
        <w:t xml:space="preserve"> vykázalo Dánsko (3,7 % HDP), Luxembursko (2,2 % HDP),</w:t>
      </w:r>
      <w:r w:rsidRPr="00C07336">
        <w:t xml:space="preserve"> </w:t>
      </w:r>
      <w:r>
        <w:t>Bulharsko (2,1 % HDP),  Holandsko (1,7 % HDP).</w:t>
      </w:r>
    </w:p>
    <w:p w14:paraId="14A8DDDD" w14:textId="42E82ADB" w:rsidR="00FF67E2" w:rsidRPr="00526558" w:rsidRDefault="00FF67E2" w:rsidP="00FF67E2">
      <w:pPr>
        <w:rPr>
          <w:color w:val="FF0000"/>
        </w:rPr>
      </w:pPr>
      <w:r>
        <w:t xml:space="preserve">Za </w:t>
      </w:r>
      <w:r w:rsidR="00F61685">
        <w:t xml:space="preserve">krajinu, ktorá medziročne najviac zlepšila svoje hospodárenie </w:t>
      </w:r>
      <w:r>
        <w:t>môžeme považovať Cyprus</w:t>
      </w:r>
      <w:r w:rsidR="00F61685">
        <w:t>,</w:t>
      </w:r>
      <w:r w:rsidR="005861B1">
        <w:t xml:space="preserve"> s medziročnou zmenou prebytku </w:t>
      </w:r>
      <w:r>
        <w:t>o 5,4 p.</w:t>
      </w:r>
      <w:r w:rsidR="005861B1">
        <w:t xml:space="preserve"> </w:t>
      </w:r>
      <w:r>
        <w:t>b.</w:t>
      </w:r>
      <w:r w:rsidR="005861B1">
        <w:t>, na 1,7 % HDP za rok 2019</w:t>
      </w:r>
      <w:r>
        <w:t>.</w:t>
      </w:r>
    </w:p>
    <w:p w14:paraId="2D542AF2" w14:textId="77D273CA" w:rsidR="00FF67E2" w:rsidRDefault="00FF67E2" w:rsidP="00FF67E2">
      <w:r w:rsidRPr="005B5E0A">
        <w:t>Najvyšší dlh verejnej správy v roku 201</w:t>
      </w:r>
      <w:r>
        <w:t>9</w:t>
      </w:r>
      <w:r w:rsidRPr="005B5E0A">
        <w:t xml:space="preserve"> vykázalo </w:t>
      </w:r>
      <w:r>
        <w:t>opäť Grécko 176,6</w:t>
      </w:r>
      <w:r w:rsidRPr="004C2B68">
        <w:t> % HDP</w:t>
      </w:r>
      <w:r>
        <w:t xml:space="preserve"> (medziročne došlo k poklesu o 4,6 p.</w:t>
      </w:r>
      <w:r w:rsidR="005861B1">
        <w:t xml:space="preserve"> </w:t>
      </w:r>
      <w:r>
        <w:t>b.)</w:t>
      </w:r>
      <w:r w:rsidRPr="004C2B68">
        <w:t xml:space="preserve">, Taliansko </w:t>
      </w:r>
      <w:r>
        <w:t>134,8 % HDP a Portugalsko 117,7</w:t>
      </w:r>
      <w:r w:rsidRPr="004C2B68">
        <w:t xml:space="preserve"> % HDP. </w:t>
      </w:r>
    </w:p>
    <w:p w14:paraId="48477BD3" w14:textId="11006095" w:rsidR="00BC45B8" w:rsidRDefault="00FF67E2" w:rsidP="00FF67E2">
      <w:r w:rsidRPr="005B5E0A">
        <w:t xml:space="preserve">Najnižší dlh vykázalo </w:t>
      </w:r>
      <w:r>
        <w:t xml:space="preserve">opäť </w:t>
      </w:r>
      <w:r w:rsidRPr="0033608E">
        <w:t xml:space="preserve">Estónsko vo výške </w:t>
      </w:r>
      <w:r>
        <w:t>8,4 % HDP, Bulharsko 20,4 % HDP a Luxembursko 22,1 % HDP</w:t>
      </w:r>
      <w:r w:rsidRPr="0033608E">
        <w:t>.</w:t>
      </w:r>
      <w:r>
        <w:t xml:space="preserve"> Medziročne dosiahli rovnaký dlh krajiny Taliansko, Francúzsko a Estónsko.</w:t>
      </w:r>
      <w:r w:rsidRPr="0033608E">
        <w:t xml:space="preserve"> Slovensko </w:t>
      </w:r>
      <w:r>
        <w:t>so svojím dlhom 48,0</w:t>
      </w:r>
      <w:r w:rsidRPr="005B5E0A">
        <w:t xml:space="preserve"> % </w:t>
      </w:r>
      <w:r w:rsidRPr="0033608E">
        <w:t>HDP patrí medzi krajiny s nižším dlhom, čo je dôležité z pohľadu dlhodobej udržateľnosti verejných financií.</w:t>
      </w:r>
    </w:p>
    <w:p w14:paraId="79663AAB" w14:textId="77777777" w:rsidR="00BC45B8" w:rsidRDefault="00BC45B8" w:rsidP="007F1ABE"/>
    <w:p w14:paraId="25C934C7" w14:textId="0FBE339B" w:rsidR="008254BE" w:rsidRDefault="008254BE" w:rsidP="008D5E94">
      <w:pPr>
        <w:pStyle w:val="Nadpis1"/>
        <w:ind w:left="709"/>
      </w:pPr>
      <w:bookmarkStart w:id="30" w:name="_Toc39095171"/>
      <w:r>
        <w:t xml:space="preserve">Hospodárenie </w:t>
      </w:r>
      <w:r w:rsidRPr="00ED135D">
        <w:t>štátneho</w:t>
      </w:r>
      <w:r>
        <w:t xml:space="preserve"> rozpočtu na hotovostn</w:t>
      </w:r>
      <w:r w:rsidR="00476126">
        <w:t>om</w:t>
      </w:r>
      <w:r>
        <w:t xml:space="preserve"> </w:t>
      </w:r>
      <w:r w:rsidR="00476126">
        <w:t>princípe</w:t>
      </w:r>
      <w:bookmarkEnd w:id="29"/>
      <w:bookmarkEnd w:id="30"/>
    </w:p>
    <w:p w14:paraId="5A9569A0" w14:textId="77777777" w:rsidR="00EA177A" w:rsidRPr="00D95480" w:rsidRDefault="00EA177A" w:rsidP="00EA177A">
      <w:r w:rsidRPr="00D95480">
        <w:t>Štátny rozpočet je základnou súčasťou rozpočtu verejnej správy a zabezpečuje sa ním financovanie hlavných funkcií štátu v príslušnom rozpočtovom roku. Štátny rozpočet schvaľuje parlament zákonom o štátnom rozpočte, ktorým sa určuje najmä výška príjmov štátneho rozpočtu, limit výdavkov štátneho rozpočtu, maximálna výška rozpočtovaného schodku alebo minimálna výška rozpočtovaného prebytku štátneho rozpočtu, ak nie sú príjmy a výdavky vyrovnané</w:t>
      </w:r>
      <w:r w:rsidRPr="00D95480">
        <w:rPr>
          <w:sz w:val="18"/>
          <w:szCs w:val="18"/>
        </w:rPr>
        <w:t>.</w:t>
      </w:r>
      <w:r w:rsidRPr="00D95480">
        <w:t xml:space="preserve"> </w:t>
      </w:r>
    </w:p>
    <w:p w14:paraId="3101F2E5" w14:textId="3289EC26" w:rsidR="00EA177A" w:rsidRPr="00D95480" w:rsidRDefault="00EA177A" w:rsidP="00EA177A">
      <w:pPr>
        <w:rPr>
          <w:rFonts w:cs="Times New Roman"/>
        </w:rPr>
      </w:pPr>
      <w:r w:rsidRPr="00D95480">
        <w:rPr>
          <w:rFonts w:cs="Times New Roman"/>
        </w:rPr>
        <w:t xml:space="preserve">Plnenie príjmov štátneho rozpočtu ako aj realizácia výdavkov štátneho rozpočtu v hotovostnom vyjadrení významne ovplyvňuje aj hospodárenie celej verejnej správy v metodike ESA 2010. Legislatívne zmeny ako aj prijaté opatrenia a zámery vlády SR uvedené v kapitole 2 sa vo väčšine prípadov realizujú práve cez príjmy a výdavky štátneho rozpočtu (napr. zmeny v daňovej legislatíve, opatrenia v oblasti odmeňovania verejnej správy a podobne). Nasledujúci text hodnotí príjmy a výdavky štátneho rozpočtu, teda štátnych rozpočtových organizácií na hotovostnom princípe v porovnaní so zákonom </w:t>
      </w:r>
      <w:r w:rsidR="002059E7">
        <w:rPr>
          <w:rFonts w:cs="Times New Roman"/>
        </w:rPr>
        <w:t xml:space="preserve">č. 370/2018 Z. z. </w:t>
      </w:r>
      <w:r w:rsidRPr="00D95480">
        <w:rPr>
          <w:rFonts w:cs="Times New Roman"/>
        </w:rPr>
        <w:t xml:space="preserve">o štátnom rozpočte na </w:t>
      </w:r>
      <w:r w:rsidR="002059E7">
        <w:rPr>
          <w:rFonts w:cs="Times New Roman"/>
        </w:rPr>
        <w:t xml:space="preserve">rok 2019 </w:t>
      </w:r>
      <w:r w:rsidR="002059E7" w:rsidRPr="002059E7">
        <w:t>(ďalej len ,,zákon o štátnom rozpočte“)</w:t>
      </w:r>
      <w:r w:rsidRPr="002059E7">
        <w:rPr>
          <w:rFonts w:cs="Times New Roman"/>
        </w:rPr>
        <w:t>. Prekročenie alebo nenaplnenie rozpočtovaných</w:t>
      </w:r>
      <w:r w:rsidRPr="00D95480">
        <w:rPr>
          <w:rFonts w:cs="Times New Roman"/>
        </w:rPr>
        <w:t xml:space="preserve"> príjmov a výdavkov je nutné vnímať v kontexte faktorov uvedených v kapitole 2.  </w:t>
      </w:r>
    </w:p>
    <w:p w14:paraId="32D017E1" w14:textId="44BC5758" w:rsidR="00EA177A" w:rsidRDefault="00EA177A" w:rsidP="00EA177A">
      <w:r w:rsidRPr="00D95480">
        <w:rPr>
          <w:b/>
        </w:rPr>
        <w:t xml:space="preserve">Základné rozpočtové ukazovatele štátneho rozpočtu pre rok 2019 boli stanovené zákonom o štátnom rozpočte na rok 2019, ktorý určil celkové príjmy štátneho rozpočtu v hotovostnom vyjadrení </w:t>
      </w:r>
      <w:r>
        <w:rPr>
          <w:b/>
        </w:rPr>
        <w:t>sumou 15 497 654 </w:t>
      </w:r>
      <w:r w:rsidRPr="00DF13B6">
        <w:rPr>
          <w:b/>
        </w:rPr>
        <w:t>tis.</w:t>
      </w:r>
      <w:r>
        <w:rPr>
          <w:b/>
        </w:rPr>
        <w:t> </w:t>
      </w:r>
      <w:r w:rsidRPr="00DF13B6">
        <w:rPr>
          <w:b/>
        </w:rPr>
        <w:t>eur a celkové výdavky sumou 17 538</w:t>
      </w:r>
      <w:r>
        <w:rPr>
          <w:b/>
        </w:rPr>
        <w:t> </w:t>
      </w:r>
      <w:r w:rsidRPr="00DF13B6">
        <w:rPr>
          <w:b/>
        </w:rPr>
        <w:t>901</w:t>
      </w:r>
      <w:r>
        <w:rPr>
          <w:b/>
        </w:rPr>
        <w:t> </w:t>
      </w:r>
      <w:r w:rsidRPr="00DF13B6">
        <w:rPr>
          <w:b/>
        </w:rPr>
        <w:t>tis. eur</w:t>
      </w:r>
      <w:r w:rsidRPr="00DF13B6">
        <w:t xml:space="preserve">. </w:t>
      </w:r>
      <w:r w:rsidRPr="00DF13B6">
        <w:rPr>
          <w:b/>
        </w:rPr>
        <w:t>Schodok štátneho rozpo</w:t>
      </w:r>
      <w:r>
        <w:rPr>
          <w:b/>
        </w:rPr>
        <w:t>čtu sa tým určil vo výške 2 041 247 </w:t>
      </w:r>
      <w:r w:rsidRPr="00DF13B6">
        <w:rPr>
          <w:b/>
        </w:rPr>
        <w:t>tis.</w:t>
      </w:r>
      <w:r>
        <w:rPr>
          <w:b/>
        </w:rPr>
        <w:t> </w:t>
      </w:r>
      <w:r w:rsidRPr="00DF13B6">
        <w:rPr>
          <w:b/>
        </w:rPr>
        <w:t>eur.</w:t>
      </w:r>
      <w:r w:rsidRPr="00DF13B6">
        <w:t xml:space="preserve"> </w:t>
      </w:r>
    </w:p>
    <w:p w14:paraId="7430E0A9" w14:textId="77777777" w:rsidR="00EA177A" w:rsidRPr="00815F5B" w:rsidRDefault="00EA177A" w:rsidP="00EA177A">
      <w:r>
        <w:rPr>
          <w:b/>
        </w:rPr>
        <w:t>Skutočne d</w:t>
      </w:r>
      <w:r w:rsidRPr="00815F5B">
        <w:rPr>
          <w:b/>
        </w:rPr>
        <w:t>osiahnuté hotovostné príjmy štátneho rozpočtu</w:t>
      </w:r>
      <w:r>
        <w:t xml:space="preserve"> vo výške 15 825 535 </w:t>
      </w:r>
      <w:r w:rsidRPr="00815F5B">
        <w:t>tis. eur boli oproti schválenému rozpočtu vyššie o</w:t>
      </w:r>
      <w:r>
        <w:t> </w:t>
      </w:r>
      <w:r w:rsidRPr="00815F5B">
        <w:t>327</w:t>
      </w:r>
      <w:r>
        <w:t> </w:t>
      </w:r>
      <w:r w:rsidRPr="00815F5B">
        <w:t>881 tis.</w:t>
      </w:r>
      <w:r>
        <w:t> </w:t>
      </w:r>
      <w:r w:rsidRPr="00815F5B">
        <w:t xml:space="preserve">eur a oproti skutočnosti roku 2018 boli </w:t>
      </w:r>
      <w:r w:rsidRPr="004D59D2">
        <w:t>vyššie</w:t>
      </w:r>
      <w:r>
        <w:t xml:space="preserve"> o 444 522 </w:t>
      </w:r>
      <w:r w:rsidRPr="00815F5B">
        <w:t>tis. eur. Plnenie celkových príjmov štá</w:t>
      </w:r>
      <w:r>
        <w:t>tneho rozpočtu tak dosiahlo 102,1 </w:t>
      </w:r>
      <w:r w:rsidRPr="00815F5B">
        <w:t xml:space="preserve">%. </w:t>
      </w:r>
    </w:p>
    <w:p w14:paraId="1227B001" w14:textId="77777777" w:rsidR="00EA177A" w:rsidRPr="00D95480" w:rsidRDefault="00EA177A" w:rsidP="00EA177A">
      <w:r>
        <w:rPr>
          <w:b/>
        </w:rPr>
        <w:t>Skutočne</w:t>
      </w:r>
      <w:r w:rsidRPr="004D59D2">
        <w:rPr>
          <w:b/>
        </w:rPr>
        <w:t xml:space="preserve"> </w:t>
      </w:r>
      <w:r>
        <w:rPr>
          <w:b/>
        </w:rPr>
        <w:t>d</w:t>
      </w:r>
      <w:r w:rsidRPr="004D59D2">
        <w:rPr>
          <w:b/>
        </w:rPr>
        <w:t>osiahnuté hotovostné výdavky štátneho rozpočtu</w:t>
      </w:r>
      <w:r w:rsidRPr="004D59D2">
        <w:t xml:space="preserve"> vo výške 18 027 016 tis. eur boli vyššie ako v schválenom rozpočte, a to o 488 115 tis. eur, pričom medziročne sa zvýšili o </w:t>
      </w:r>
      <w:r w:rsidRPr="002E2EBF">
        <w:t>1 463 761 tis. eur. Plnenie celkových výdavkov štátneho rozpočtu tak dosiahlo 102,8 % ich pôvodne rozpočtovanej hodnoty.</w:t>
      </w:r>
    </w:p>
    <w:p w14:paraId="1797CC8A" w14:textId="77777777" w:rsidR="00EA177A" w:rsidRPr="00D95480" w:rsidRDefault="00EA177A" w:rsidP="00EA177A">
      <w:pPr>
        <w:rPr>
          <w:b/>
          <w:bCs/>
        </w:rPr>
      </w:pPr>
      <w:r w:rsidRPr="00D95480">
        <w:rPr>
          <w:b/>
        </w:rPr>
        <w:t xml:space="preserve">Schodok štátneho rozpočtu na </w:t>
      </w:r>
      <w:r w:rsidRPr="00D95480">
        <w:rPr>
          <w:rFonts w:cs="Times New Roman"/>
          <w:b/>
        </w:rPr>
        <w:t>hotovostnom princípe</w:t>
      </w:r>
      <w:r w:rsidRPr="00D95480">
        <w:rPr>
          <w:b/>
        </w:rPr>
        <w:t xml:space="preserve"> vo výške 2 201 481 tis. eur je vo vzťahu k pôvodne schválenému rozpočtu vyšší o 160 234 tis. eur a v</w:t>
      </w:r>
      <w:r w:rsidRPr="00D95480">
        <w:rPr>
          <w:b/>
          <w:bCs/>
        </w:rPr>
        <w:t>o vzťahu k upravenému rozpočtu je vykázaný schodok nižší o 108 978 tis. eur.</w:t>
      </w:r>
    </w:p>
    <w:p w14:paraId="3855A5BF" w14:textId="63685496" w:rsidR="00EA177A" w:rsidRDefault="00EA177A" w:rsidP="008D5E94">
      <w:r w:rsidRPr="00D95480">
        <w:t xml:space="preserve">Súhrnný prehľad o rozpočtovaných a skutočne dosiahnutých základných rozpočtových ukazovateľoch v roku 2019 a za predchádzajúce dva roky na </w:t>
      </w:r>
      <w:r w:rsidRPr="00D95480">
        <w:rPr>
          <w:rFonts w:cs="Times New Roman"/>
        </w:rPr>
        <w:t>hotovostnom princípe</w:t>
      </w:r>
      <w:r w:rsidRPr="00D95480">
        <w:t xml:space="preserve"> poskytujú </w:t>
      </w:r>
      <w:r w:rsidRPr="00B06599">
        <w:t>nasledovné údaje:</w:t>
      </w:r>
    </w:p>
    <w:tbl>
      <w:tblPr>
        <w:tblW w:w="8517" w:type="dxa"/>
        <w:tblCellMar>
          <w:left w:w="70" w:type="dxa"/>
          <w:right w:w="70" w:type="dxa"/>
        </w:tblCellMar>
        <w:tblLook w:val="04A0" w:firstRow="1" w:lastRow="0" w:firstColumn="1" w:lastColumn="0" w:noHBand="0" w:noVBand="1"/>
      </w:tblPr>
      <w:tblGrid>
        <w:gridCol w:w="2127"/>
        <w:gridCol w:w="1170"/>
        <w:gridCol w:w="1004"/>
        <w:gridCol w:w="1002"/>
        <w:gridCol w:w="1148"/>
        <w:gridCol w:w="1062"/>
        <w:gridCol w:w="1004"/>
      </w:tblGrid>
      <w:tr w:rsidR="00EA177A" w:rsidRPr="00DF124D" w14:paraId="229F1DAE" w14:textId="77777777" w:rsidTr="006D5C28">
        <w:trPr>
          <w:trHeight w:val="467"/>
        </w:trPr>
        <w:tc>
          <w:tcPr>
            <w:tcW w:w="8517" w:type="dxa"/>
            <w:gridSpan w:val="7"/>
            <w:tcBorders>
              <w:top w:val="nil"/>
              <w:left w:val="nil"/>
              <w:bottom w:val="nil"/>
              <w:right w:val="nil"/>
            </w:tcBorders>
            <w:shd w:val="clear" w:color="000000" w:fill="000000"/>
            <w:vAlign w:val="center"/>
            <w:hideMark/>
          </w:tcPr>
          <w:p w14:paraId="3273E183" w14:textId="1731DAA4" w:rsidR="00EA177A" w:rsidRPr="00DF124D" w:rsidRDefault="00EA177A" w:rsidP="006D5C28">
            <w:pPr>
              <w:spacing w:after="0" w:line="240" w:lineRule="auto"/>
              <w:jc w:val="left"/>
              <w:rPr>
                <w:rFonts w:eastAsia="Times New Roman" w:cs="Times New Roman"/>
                <w:b/>
                <w:bCs/>
                <w:sz w:val="18"/>
                <w:szCs w:val="18"/>
                <w:lang w:eastAsia="sk-SK"/>
              </w:rPr>
            </w:pPr>
            <w:r w:rsidRPr="00DF124D">
              <w:rPr>
                <w:rFonts w:eastAsia="Times New Roman" w:cs="Times New Roman"/>
                <w:b/>
                <w:bCs/>
                <w:sz w:val="18"/>
                <w:szCs w:val="18"/>
                <w:lang w:eastAsia="sk-SK"/>
              </w:rPr>
              <w:t>Štátny rozpočet na hotovostn</w:t>
            </w:r>
            <w:r w:rsidR="006D5C28">
              <w:rPr>
                <w:rFonts w:eastAsia="Times New Roman" w:cs="Times New Roman"/>
                <w:b/>
                <w:bCs/>
                <w:sz w:val="18"/>
                <w:szCs w:val="18"/>
                <w:lang w:eastAsia="sk-SK"/>
              </w:rPr>
              <w:t>om princípe</w:t>
            </w:r>
            <w:r w:rsidRPr="00DF124D">
              <w:rPr>
                <w:rFonts w:eastAsia="Times New Roman" w:cs="Times New Roman"/>
                <w:b/>
                <w:bCs/>
                <w:sz w:val="18"/>
                <w:szCs w:val="18"/>
                <w:lang w:eastAsia="sk-SK"/>
              </w:rPr>
              <w:t xml:space="preserve">                                            </w:t>
            </w:r>
            <w:r>
              <w:rPr>
                <w:rFonts w:eastAsia="Times New Roman" w:cs="Times New Roman"/>
                <w:b/>
                <w:bCs/>
                <w:sz w:val="18"/>
                <w:szCs w:val="18"/>
                <w:lang w:eastAsia="sk-SK"/>
              </w:rPr>
              <w:t xml:space="preserve">         </w:t>
            </w:r>
            <w:r w:rsidRPr="00DF124D">
              <w:rPr>
                <w:rFonts w:eastAsia="Times New Roman" w:cs="Times New Roman"/>
                <w:b/>
                <w:bCs/>
                <w:sz w:val="18"/>
                <w:szCs w:val="18"/>
                <w:lang w:eastAsia="sk-SK"/>
              </w:rPr>
              <w:t xml:space="preserve">                                            v tis. eur</w:t>
            </w:r>
          </w:p>
        </w:tc>
      </w:tr>
      <w:tr w:rsidR="00EA177A" w:rsidRPr="00DF124D" w14:paraId="2A5CAD65" w14:textId="77777777" w:rsidTr="001726E9">
        <w:trPr>
          <w:trHeight w:val="589"/>
        </w:trPr>
        <w:tc>
          <w:tcPr>
            <w:tcW w:w="4301" w:type="dxa"/>
            <w:gridSpan w:val="3"/>
            <w:tcBorders>
              <w:top w:val="nil"/>
              <w:left w:val="nil"/>
              <w:bottom w:val="nil"/>
              <w:right w:val="nil"/>
            </w:tcBorders>
            <w:shd w:val="clear" w:color="000000" w:fill="BFBFBF"/>
            <w:vAlign w:val="center"/>
            <w:hideMark/>
          </w:tcPr>
          <w:p w14:paraId="4D4273CD" w14:textId="77777777" w:rsidR="00EA177A" w:rsidRPr="00DF124D" w:rsidRDefault="00EA177A" w:rsidP="00C704A7">
            <w:pPr>
              <w:spacing w:after="0" w:line="240" w:lineRule="auto"/>
              <w:jc w:val="center"/>
              <w:rPr>
                <w:rFonts w:eastAsia="Times New Roman" w:cs="Times New Roman"/>
                <w:b/>
                <w:bCs/>
                <w:sz w:val="18"/>
                <w:szCs w:val="18"/>
                <w:lang w:eastAsia="sk-SK"/>
              </w:rPr>
            </w:pPr>
            <w:r>
              <w:rPr>
                <w:rFonts w:eastAsia="Times New Roman" w:cs="Times New Roman"/>
                <w:b/>
                <w:bCs/>
                <w:sz w:val="18"/>
                <w:szCs w:val="18"/>
                <w:lang w:eastAsia="sk-SK"/>
              </w:rPr>
              <w:t xml:space="preserve">                                                  </w:t>
            </w:r>
            <w:r w:rsidRPr="00DF124D">
              <w:rPr>
                <w:rFonts w:eastAsia="Times New Roman" w:cs="Times New Roman"/>
                <w:b/>
                <w:bCs/>
                <w:sz w:val="18"/>
                <w:szCs w:val="18"/>
                <w:lang w:eastAsia="sk-SK"/>
              </w:rPr>
              <w:t>Skutočnosť</w:t>
            </w:r>
          </w:p>
        </w:tc>
        <w:tc>
          <w:tcPr>
            <w:tcW w:w="2150" w:type="dxa"/>
            <w:gridSpan w:val="2"/>
            <w:tcBorders>
              <w:top w:val="nil"/>
              <w:left w:val="nil"/>
              <w:bottom w:val="nil"/>
              <w:right w:val="nil"/>
            </w:tcBorders>
            <w:shd w:val="clear" w:color="000000" w:fill="BFBFBF"/>
            <w:vAlign w:val="center"/>
            <w:hideMark/>
          </w:tcPr>
          <w:p w14:paraId="09616647"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Rozpočet 2019</w:t>
            </w:r>
          </w:p>
        </w:tc>
        <w:tc>
          <w:tcPr>
            <w:tcW w:w="1062" w:type="dxa"/>
            <w:tcBorders>
              <w:top w:val="nil"/>
              <w:left w:val="nil"/>
              <w:bottom w:val="nil"/>
              <w:right w:val="nil"/>
            </w:tcBorders>
            <w:shd w:val="clear" w:color="000000" w:fill="BFBFBF"/>
            <w:vAlign w:val="center"/>
            <w:hideMark/>
          </w:tcPr>
          <w:p w14:paraId="789D6D5C"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Skutočnosť</w:t>
            </w:r>
          </w:p>
        </w:tc>
        <w:tc>
          <w:tcPr>
            <w:tcW w:w="1004" w:type="dxa"/>
            <w:tcBorders>
              <w:top w:val="nil"/>
              <w:left w:val="nil"/>
              <w:bottom w:val="nil"/>
              <w:right w:val="nil"/>
            </w:tcBorders>
            <w:shd w:val="clear" w:color="000000" w:fill="BFBFBF"/>
            <w:vAlign w:val="center"/>
            <w:hideMark/>
          </w:tcPr>
          <w:p w14:paraId="4A794BC5"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Rozdiel</w:t>
            </w:r>
          </w:p>
        </w:tc>
      </w:tr>
      <w:tr w:rsidR="00EA177A" w:rsidRPr="00DF124D" w14:paraId="6AADAB65" w14:textId="77777777" w:rsidTr="001726E9">
        <w:trPr>
          <w:trHeight w:val="368"/>
        </w:trPr>
        <w:tc>
          <w:tcPr>
            <w:tcW w:w="2127" w:type="dxa"/>
            <w:tcBorders>
              <w:top w:val="nil"/>
              <w:left w:val="nil"/>
              <w:bottom w:val="nil"/>
              <w:right w:val="nil"/>
            </w:tcBorders>
            <w:shd w:val="clear" w:color="000000" w:fill="BFBFBF"/>
            <w:vAlign w:val="center"/>
            <w:hideMark/>
          </w:tcPr>
          <w:p w14:paraId="4074B397" w14:textId="77777777" w:rsidR="00EA177A" w:rsidRPr="00DF124D" w:rsidRDefault="00EA177A" w:rsidP="00C704A7">
            <w:pPr>
              <w:spacing w:after="0" w:line="240" w:lineRule="auto"/>
              <w:jc w:val="left"/>
              <w:rPr>
                <w:rFonts w:eastAsia="Times New Roman" w:cs="Times New Roman"/>
                <w:b/>
                <w:bCs/>
                <w:sz w:val="18"/>
                <w:szCs w:val="18"/>
                <w:lang w:eastAsia="sk-SK"/>
              </w:rPr>
            </w:pPr>
            <w:r w:rsidRPr="00DF124D">
              <w:rPr>
                <w:rFonts w:eastAsia="Times New Roman" w:cs="Times New Roman"/>
                <w:b/>
                <w:bCs/>
                <w:sz w:val="18"/>
                <w:szCs w:val="18"/>
                <w:lang w:eastAsia="sk-SK"/>
              </w:rPr>
              <w:t> </w:t>
            </w:r>
          </w:p>
        </w:tc>
        <w:tc>
          <w:tcPr>
            <w:tcW w:w="1170" w:type="dxa"/>
            <w:tcBorders>
              <w:top w:val="nil"/>
              <w:left w:val="nil"/>
              <w:bottom w:val="nil"/>
              <w:right w:val="nil"/>
            </w:tcBorders>
            <w:shd w:val="clear" w:color="000000" w:fill="BFBFBF"/>
            <w:vAlign w:val="center"/>
            <w:hideMark/>
          </w:tcPr>
          <w:p w14:paraId="581A6EA9"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2017</w:t>
            </w:r>
          </w:p>
        </w:tc>
        <w:tc>
          <w:tcPr>
            <w:tcW w:w="1004" w:type="dxa"/>
            <w:tcBorders>
              <w:top w:val="nil"/>
              <w:left w:val="nil"/>
              <w:bottom w:val="nil"/>
              <w:right w:val="nil"/>
            </w:tcBorders>
            <w:shd w:val="clear" w:color="000000" w:fill="BFBFBF"/>
            <w:vAlign w:val="center"/>
            <w:hideMark/>
          </w:tcPr>
          <w:p w14:paraId="09143C30"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2018</w:t>
            </w:r>
          </w:p>
        </w:tc>
        <w:tc>
          <w:tcPr>
            <w:tcW w:w="1002" w:type="dxa"/>
            <w:tcBorders>
              <w:top w:val="nil"/>
              <w:left w:val="nil"/>
              <w:bottom w:val="nil"/>
              <w:right w:val="nil"/>
            </w:tcBorders>
            <w:shd w:val="clear" w:color="000000" w:fill="BFBFBF"/>
            <w:vAlign w:val="center"/>
            <w:hideMark/>
          </w:tcPr>
          <w:p w14:paraId="6855BB67"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Schválený</w:t>
            </w:r>
          </w:p>
        </w:tc>
        <w:tc>
          <w:tcPr>
            <w:tcW w:w="1148" w:type="dxa"/>
            <w:tcBorders>
              <w:top w:val="nil"/>
              <w:left w:val="nil"/>
              <w:bottom w:val="nil"/>
              <w:right w:val="nil"/>
            </w:tcBorders>
            <w:shd w:val="clear" w:color="000000" w:fill="BFBFBF"/>
            <w:vAlign w:val="center"/>
            <w:hideMark/>
          </w:tcPr>
          <w:p w14:paraId="3C034093"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Upravený</w:t>
            </w:r>
          </w:p>
        </w:tc>
        <w:tc>
          <w:tcPr>
            <w:tcW w:w="1062" w:type="dxa"/>
            <w:tcBorders>
              <w:top w:val="nil"/>
              <w:left w:val="nil"/>
              <w:bottom w:val="nil"/>
              <w:right w:val="nil"/>
            </w:tcBorders>
            <w:shd w:val="clear" w:color="000000" w:fill="BFBFBF"/>
            <w:vAlign w:val="center"/>
            <w:hideMark/>
          </w:tcPr>
          <w:p w14:paraId="63D11F4B"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2019</w:t>
            </w:r>
          </w:p>
        </w:tc>
        <w:tc>
          <w:tcPr>
            <w:tcW w:w="1004" w:type="dxa"/>
            <w:tcBorders>
              <w:top w:val="nil"/>
              <w:left w:val="nil"/>
              <w:bottom w:val="nil"/>
              <w:right w:val="nil"/>
            </w:tcBorders>
            <w:shd w:val="clear" w:color="000000" w:fill="BFBFBF"/>
            <w:vAlign w:val="center"/>
            <w:hideMark/>
          </w:tcPr>
          <w:p w14:paraId="68AA5C8E"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 </w:t>
            </w:r>
          </w:p>
        </w:tc>
      </w:tr>
      <w:tr w:rsidR="00EA177A" w:rsidRPr="00DF124D" w14:paraId="6390C892" w14:textId="77777777" w:rsidTr="001726E9">
        <w:trPr>
          <w:trHeight w:val="387"/>
        </w:trPr>
        <w:tc>
          <w:tcPr>
            <w:tcW w:w="2127" w:type="dxa"/>
            <w:tcBorders>
              <w:top w:val="nil"/>
              <w:left w:val="nil"/>
              <w:bottom w:val="single" w:sz="8" w:space="0" w:color="auto"/>
              <w:right w:val="nil"/>
            </w:tcBorders>
            <w:shd w:val="clear" w:color="000000" w:fill="BFBFBF"/>
            <w:vAlign w:val="center"/>
            <w:hideMark/>
          </w:tcPr>
          <w:p w14:paraId="23952C8B" w14:textId="77777777" w:rsidR="00EA177A" w:rsidRPr="00DF124D" w:rsidRDefault="00EA177A" w:rsidP="00C704A7">
            <w:pPr>
              <w:spacing w:after="0" w:line="240" w:lineRule="auto"/>
              <w:jc w:val="left"/>
              <w:rPr>
                <w:rFonts w:eastAsia="Times New Roman" w:cs="Times New Roman"/>
                <w:b/>
                <w:bCs/>
                <w:sz w:val="18"/>
                <w:szCs w:val="18"/>
                <w:lang w:eastAsia="sk-SK"/>
              </w:rPr>
            </w:pPr>
            <w:r w:rsidRPr="00DF124D">
              <w:rPr>
                <w:rFonts w:eastAsia="Times New Roman" w:cs="Times New Roman"/>
                <w:b/>
                <w:bCs/>
                <w:sz w:val="18"/>
                <w:szCs w:val="18"/>
                <w:lang w:eastAsia="sk-SK"/>
              </w:rPr>
              <w:t> </w:t>
            </w:r>
          </w:p>
        </w:tc>
        <w:tc>
          <w:tcPr>
            <w:tcW w:w="1170" w:type="dxa"/>
            <w:tcBorders>
              <w:top w:val="nil"/>
              <w:left w:val="nil"/>
              <w:bottom w:val="single" w:sz="8" w:space="0" w:color="auto"/>
              <w:right w:val="nil"/>
            </w:tcBorders>
            <w:shd w:val="clear" w:color="000000" w:fill="BFBFBF"/>
            <w:vAlign w:val="center"/>
            <w:hideMark/>
          </w:tcPr>
          <w:p w14:paraId="2CDA84B9"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1</w:t>
            </w:r>
          </w:p>
        </w:tc>
        <w:tc>
          <w:tcPr>
            <w:tcW w:w="1004" w:type="dxa"/>
            <w:tcBorders>
              <w:top w:val="nil"/>
              <w:left w:val="nil"/>
              <w:bottom w:val="single" w:sz="8" w:space="0" w:color="auto"/>
              <w:right w:val="nil"/>
            </w:tcBorders>
            <w:shd w:val="clear" w:color="000000" w:fill="BFBFBF"/>
            <w:vAlign w:val="center"/>
            <w:hideMark/>
          </w:tcPr>
          <w:p w14:paraId="562277D6"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2</w:t>
            </w:r>
          </w:p>
        </w:tc>
        <w:tc>
          <w:tcPr>
            <w:tcW w:w="1002" w:type="dxa"/>
            <w:tcBorders>
              <w:top w:val="nil"/>
              <w:left w:val="nil"/>
              <w:bottom w:val="single" w:sz="8" w:space="0" w:color="auto"/>
              <w:right w:val="nil"/>
            </w:tcBorders>
            <w:shd w:val="clear" w:color="000000" w:fill="BFBFBF"/>
            <w:vAlign w:val="center"/>
            <w:hideMark/>
          </w:tcPr>
          <w:p w14:paraId="035C234A"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3</w:t>
            </w:r>
          </w:p>
        </w:tc>
        <w:tc>
          <w:tcPr>
            <w:tcW w:w="1148" w:type="dxa"/>
            <w:tcBorders>
              <w:top w:val="nil"/>
              <w:left w:val="nil"/>
              <w:bottom w:val="single" w:sz="8" w:space="0" w:color="auto"/>
              <w:right w:val="nil"/>
            </w:tcBorders>
            <w:shd w:val="clear" w:color="000000" w:fill="BFBFBF"/>
            <w:vAlign w:val="center"/>
            <w:hideMark/>
          </w:tcPr>
          <w:p w14:paraId="00C2797F"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4</w:t>
            </w:r>
          </w:p>
        </w:tc>
        <w:tc>
          <w:tcPr>
            <w:tcW w:w="1062" w:type="dxa"/>
            <w:tcBorders>
              <w:top w:val="nil"/>
              <w:left w:val="nil"/>
              <w:bottom w:val="single" w:sz="8" w:space="0" w:color="auto"/>
              <w:right w:val="nil"/>
            </w:tcBorders>
            <w:shd w:val="clear" w:color="000000" w:fill="BFBFBF"/>
            <w:vAlign w:val="center"/>
            <w:hideMark/>
          </w:tcPr>
          <w:p w14:paraId="3FBBA5AC"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5</w:t>
            </w:r>
          </w:p>
        </w:tc>
        <w:tc>
          <w:tcPr>
            <w:tcW w:w="1004" w:type="dxa"/>
            <w:tcBorders>
              <w:top w:val="nil"/>
              <w:left w:val="nil"/>
              <w:bottom w:val="single" w:sz="8" w:space="0" w:color="auto"/>
              <w:right w:val="nil"/>
            </w:tcBorders>
            <w:shd w:val="clear" w:color="000000" w:fill="BFBFBF"/>
            <w:vAlign w:val="center"/>
            <w:hideMark/>
          </w:tcPr>
          <w:p w14:paraId="1CCF9B98" w14:textId="77777777" w:rsidR="00EA177A" w:rsidRPr="00DF124D" w:rsidRDefault="00EA177A" w:rsidP="00C704A7">
            <w:pPr>
              <w:spacing w:after="0" w:line="240" w:lineRule="auto"/>
              <w:jc w:val="center"/>
              <w:rPr>
                <w:rFonts w:eastAsia="Times New Roman" w:cs="Times New Roman"/>
                <w:b/>
                <w:bCs/>
                <w:sz w:val="18"/>
                <w:szCs w:val="18"/>
                <w:lang w:eastAsia="sk-SK"/>
              </w:rPr>
            </w:pPr>
            <w:r w:rsidRPr="00DF124D">
              <w:rPr>
                <w:rFonts w:eastAsia="Times New Roman" w:cs="Times New Roman"/>
                <w:b/>
                <w:bCs/>
                <w:sz w:val="18"/>
                <w:szCs w:val="18"/>
                <w:lang w:eastAsia="sk-SK"/>
              </w:rPr>
              <w:t>6=5-3</w:t>
            </w:r>
          </w:p>
        </w:tc>
      </w:tr>
      <w:tr w:rsidR="00EA177A" w:rsidRPr="00DF124D" w14:paraId="75B85679" w14:textId="77777777" w:rsidTr="005E1134">
        <w:trPr>
          <w:trHeight w:val="368"/>
        </w:trPr>
        <w:tc>
          <w:tcPr>
            <w:tcW w:w="2127" w:type="dxa"/>
            <w:tcBorders>
              <w:top w:val="nil"/>
              <w:left w:val="nil"/>
              <w:bottom w:val="nil"/>
              <w:right w:val="nil"/>
            </w:tcBorders>
            <w:shd w:val="clear" w:color="auto" w:fill="auto"/>
            <w:noWrap/>
            <w:vAlign w:val="center"/>
            <w:hideMark/>
          </w:tcPr>
          <w:p w14:paraId="446B6547" w14:textId="77777777" w:rsidR="00EA177A" w:rsidRPr="00DF124D" w:rsidRDefault="00EA177A" w:rsidP="00C704A7">
            <w:pPr>
              <w:spacing w:after="0" w:line="240" w:lineRule="auto"/>
              <w:rPr>
                <w:rFonts w:eastAsia="Times New Roman" w:cs="Times New Roman"/>
                <w:b/>
                <w:bCs/>
                <w:sz w:val="18"/>
                <w:szCs w:val="18"/>
                <w:lang w:eastAsia="sk-SK"/>
              </w:rPr>
            </w:pPr>
            <w:r w:rsidRPr="00DF124D">
              <w:rPr>
                <w:rFonts w:eastAsia="Times New Roman" w:cs="Times New Roman"/>
                <w:b/>
                <w:bCs/>
                <w:sz w:val="18"/>
                <w:szCs w:val="18"/>
                <w:lang w:eastAsia="sk-SK"/>
              </w:rPr>
              <w:t>Príjmy spolu</w:t>
            </w:r>
          </w:p>
        </w:tc>
        <w:tc>
          <w:tcPr>
            <w:tcW w:w="1170" w:type="dxa"/>
            <w:tcBorders>
              <w:top w:val="nil"/>
              <w:left w:val="nil"/>
              <w:bottom w:val="nil"/>
              <w:right w:val="nil"/>
            </w:tcBorders>
            <w:shd w:val="clear" w:color="auto" w:fill="auto"/>
            <w:vAlign w:val="center"/>
          </w:tcPr>
          <w:p w14:paraId="67191F45"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14 014 129</w:t>
            </w:r>
          </w:p>
        </w:tc>
        <w:tc>
          <w:tcPr>
            <w:tcW w:w="1004" w:type="dxa"/>
            <w:tcBorders>
              <w:top w:val="nil"/>
              <w:left w:val="nil"/>
              <w:bottom w:val="nil"/>
              <w:right w:val="nil"/>
            </w:tcBorders>
            <w:shd w:val="clear" w:color="auto" w:fill="auto"/>
            <w:noWrap/>
            <w:vAlign w:val="center"/>
          </w:tcPr>
          <w:p w14:paraId="49D18909"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15 381 013</w:t>
            </w:r>
          </w:p>
        </w:tc>
        <w:tc>
          <w:tcPr>
            <w:tcW w:w="1002" w:type="dxa"/>
            <w:tcBorders>
              <w:top w:val="nil"/>
              <w:left w:val="nil"/>
              <w:bottom w:val="nil"/>
              <w:right w:val="nil"/>
            </w:tcBorders>
            <w:shd w:val="clear" w:color="auto" w:fill="auto"/>
            <w:noWrap/>
            <w:vAlign w:val="center"/>
          </w:tcPr>
          <w:p w14:paraId="0682F87D"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15 497 654</w:t>
            </w:r>
          </w:p>
        </w:tc>
        <w:tc>
          <w:tcPr>
            <w:tcW w:w="1148" w:type="dxa"/>
            <w:tcBorders>
              <w:top w:val="nil"/>
              <w:left w:val="nil"/>
              <w:bottom w:val="nil"/>
              <w:right w:val="nil"/>
            </w:tcBorders>
            <w:shd w:val="clear" w:color="auto" w:fill="auto"/>
            <w:noWrap/>
            <w:vAlign w:val="center"/>
          </w:tcPr>
          <w:p w14:paraId="69837B32"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15 943 099</w:t>
            </w:r>
          </w:p>
        </w:tc>
        <w:tc>
          <w:tcPr>
            <w:tcW w:w="1062" w:type="dxa"/>
            <w:tcBorders>
              <w:top w:val="nil"/>
              <w:left w:val="nil"/>
              <w:bottom w:val="nil"/>
              <w:right w:val="nil"/>
            </w:tcBorders>
            <w:shd w:val="clear" w:color="auto" w:fill="BFBFBF" w:themeFill="background1" w:themeFillShade="BF"/>
            <w:vAlign w:val="center"/>
          </w:tcPr>
          <w:p w14:paraId="741A184F"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15 825 535</w:t>
            </w:r>
          </w:p>
        </w:tc>
        <w:tc>
          <w:tcPr>
            <w:tcW w:w="1004" w:type="dxa"/>
            <w:tcBorders>
              <w:top w:val="nil"/>
              <w:left w:val="nil"/>
              <w:bottom w:val="nil"/>
              <w:right w:val="nil"/>
            </w:tcBorders>
            <w:shd w:val="clear" w:color="auto" w:fill="auto"/>
            <w:noWrap/>
            <w:vAlign w:val="center"/>
          </w:tcPr>
          <w:p w14:paraId="2823852A"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327 881</w:t>
            </w:r>
          </w:p>
        </w:tc>
      </w:tr>
      <w:tr w:rsidR="00EA177A" w:rsidRPr="00DF124D" w14:paraId="0740539E" w14:textId="77777777" w:rsidTr="005E1134">
        <w:trPr>
          <w:trHeight w:val="368"/>
        </w:trPr>
        <w:tc>
          <w:tcPr>
            <w:tcW w:w="2127" w:type="dxa"/>
            <w:tcBorders>
              <w:top w:val="nil"/>
              <w:left w:val="nil"/>
              <w:bottom w:val="nil"/>
              <w:right w:val="nil"/>
            </w:tcBorders>
            <w:shd w:val="clear" w:color="auto" w:fill="auto"/>
            <w:noWrap/>
            <w:vAlign w:val="center"/>
            <w:hideMark/>
          </w:tcPr>
          <w:p w14:paraId="3BDA6554" w14:textId="77777777" w:rsidR="00EA177A" w:rsidRPr="00DF124D" w:rsidRDefault="00EA177A" w:rsidP="00C704A7">
            <w:pPr>
              <w:spacing w:after="0" w:line="240" w:lineRule="auto"/>
              <w:rPr>
                <w:rFonts w:eastAsia="Times New Roman" w:cs="Times New Roman"/>
                <w:sz w:val="18"/>
                <w:szCs w:val="18"/>
                <w:lang w:eastAsia="sk-SK"/>
              </w:rPr>
            </w:pPr>
            <w:r w:rsidRPr="00DF124D">
              <w:rPr>
                <w:rFonts w:eastAsia="Times New Roman" w:cs="Times New Roman"/>
                <w:sz w:val="18"/>
                <w:szCs w:val="18"/>
                <w:lang w:eastAsia="sk-SK"/>
              </w:rPr>
              <w:t>v tom: daňové príjmy</w:t>
            </w:r>
          </w:p>
        </w:tc>
        <w:tc>
          <w:tcPr>
            <w:tcW w:w="1170" w:type="dxa"/>
            <w:tcBorders>
              <w:top w:val="nil"/>
              <w:left w:val="nil"/>
              <w:bottom w:val="nil"/>
              <w:right w:val="nil"/>
            </w:tcBorders>
            <w:shd w:val="clear" w:color="auto" w:fill="auto"/>
            <w:vAlign w:val="center"/>
          </w:tcPr>
          <w:p w14:paraId="446E2DA5"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11 152 310</w:t>
            </w:r>
          </w:p>
        </w:tc>
        <w:tc>
          <w:tcPr>
            <w:tcW w:w="1004" w:type="dxa"/>
            <w:tcBorders>
              <w:top w:val="nil"/>
              <w:left w:val="nil"/>
              <w:bottom w:val="nil"/>
              <w:right w:val="nil"/>
            </w:tcBorders>
            <w:shd w:val="clear" w:color="auto" w:fill="auto"/>
            <w:noWrap/>
            <w:vAlign w:val="center"/>
          </w:tcPr>
          <w:p w14:paraId="51D9DC85"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11 965 782</w:t>
            </w:r>
          </w:p>
        </w:tc>
        <w:tc>
          <w:tcPr>
            <w:tcW w:w="1002" w:type="dxa"/>
            <w:tcBorders>
              <w:top w:val="nil"/>
              <w:left w:val="nil"/>
              <w:bottom w:val="nil"/>
              <w:right w:val="nil"/>
            </w:tcBorders>
            <w:shd w:val="clear" w:color="auto" w:fill="auto"/>
            <w:noWrap/>
            <w:vAlign w:val="center"/>
          </w:tcPr>
          <w:p w14:paraId="2DEDC265"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12 464 557</w:t>
            </w:r>
          </w:p>
        </w:tc>
        <w:tc>
          <w:tcPr>
            <w:tcW w:w="1148" w:type="dxa"/>
            <w:tcBorders>
              <w:top w:val="nil"/>
              <w:left w:val="nil"/>
              <w:bottom w:val="nil"/>
              <w:right w:val="nil"/>
            </w:tcBorders>
            <w:shd w:val="clear" w:color="auto" w:fill="auto"/>
            <w:noWrap/>
            <w:vAlign w:val="center"/>
          </w:tcPr>
          <w:p w14:paraId="15475BA2"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12 464 557</w:t>
            </w:r>
          </w:p>
        </w:tc>
        <w:tc>
          <w:tcPr>
            <w:tcW w:w="1062" w:type="dxa"/>
            <w:tcBorders>
              <w:top w:val="nil"/>
              <w:left w:val="nil"/>
              <w:bottom w:val="nil"/>
              <w:right w:val="nil"/>
            </w:tcBorders>
            <w:shd w:val="clear" w:color="auto" w:fill="BFBFBF" w:themeFill="background1" w:themeFillShade="BF"/>
            <w:noWrap/>
            <w:vAlign w:val="center"/>
          </w:tcPr>
          <w:p w14:paraId="6D931F81"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12 336 444</w:t>
            </w:r>
          </w:p>
        </w:tc>
        <w:tc>
          <w:tcPr>
            <w:tcW w:w="1004" w:type="dxa"/>
            <w:tcBorders>
              <w:top w:val="nil"/>
              <w:left w:val="nil"/>
              <w:bottom w:val="nil"/>
              <w:right w:val="nil"/>
            </w:tcBorders>
            <w:shd w:val="clear" w:color="auto" w:fill="auto"/>
            <w:noWrap/>
            <w:vAlign w:val="center"/>
          </w:tcPr>
          <w:p w14:paraId="402C86E8"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-128 113</w:t>
            </w:r>
          </w:p>
        </w:tc>
      </w:tr>
      <w:tr w:rsidR="00EA177A" w:rsidRPr="00DF124D" w14:paraId="565263A2" w14:textId="77777777" w:rsidTr="005E1134">
        <w:trPr>
          <w:trHeight w:val="368"/>
        </w:trPr>
        <w:tc>
          <w:tcPr>
            <w:tcW w:w="2127" w:type="dxa"/>
            <w:tcBorders>
              <w:top w:val="nil"/>
              <w:left w:val="nil"/>
              <w:bottom w:val="nil"/>
              <w:right w:val="nil"/>
            </w:tcBorders>
            <w:shd w:val="clear" w:color="auto" w:fill="auto"/>
            <w:noWrap/>
            <w:vAlign w:val="center"/>
            <w:hideMark/>
          </w:tcPr>
          <w:p w14:paraId="49D48600" w14:textId="77777777" w:rsidR="00EA177A" w:rsidRPr="00DF124D" w:rsidRDefault="00EA177A" w:rsidP="00C704A7">
            <w:pPr>
              <w:spacing w:after="0" w:line="240" w:lineRule="auto"/>
              <w:rPr>
                <w:rFonts w:eastAsia="Times New Roman" w:cs="Times New Roman"/>
                <w:sz w:val="18"/>
                <w:szCs w:val="18"/>
                <w:lang w:eastAsia="sk-SK"/>
              </w:rPr>
            </w:pPr>
            <w:r w:rsidRPr="00DF124D">
              <w:rPr>
                <w:rFonts w:eastAsia="Times New Roman" w:cs="Times New Roman"/>
                <w:sz w:val="18"/>
                <w:szCs w:val="18"/>
                <w:lang w:eastAsia="sk-SK"/>
              </w:rPr>
              <w:t xml:space="preserve">            nedaňové príjmy</w:t>
            </w:r>
          </w:p>
        </w:tc>
        <w:tc>
          <w:tcPr>
            <w:tcW w:w="1170" w:type="dxa"/>
            <w:tcBorders>
              <w:top w:val="nil"/>
              <w:left w:val="nil"/>
              <w:bottom w:val="nil"/>
              <w:right w:val="nil"/>
            </w:tcBorders>
            <w:shd w:val="clear" w:color="auto" w:fill="auto"/>
            <w:vAlign w:val="center"/>
          </w:tcPr>
          <w:p w14:paraId="79259147"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1 385 457</w:t>
            </w:r>
          </w:p>
        </w:tc>
        <w:tc>
          <w:tcPr>
            <w:tcW w:w="1004" w:type="dxa"/>
            <w:tcBorders>
              <w:top w:val="nil"/>
              <w:left w:val="nil"/>
              <w:bottom w:val="nil"/>
              <w:right w:val="nil"/>
            </w:tcBorders>
            <w:shd w:val="clear" w:color="auto" w:fill="auto"/>
            <w:noWrap/>
            <w:vAlign w:val="center"/>
          </w:tcPr>
          <w:p w14:paraId="3143447C"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1 211 597</w:t>
            </w:r>
          </w:p>
        </w:tc>
        <w:tc>
          <w:tcPr>
            <w:tcW w:w="1002" w:type="dxa"/>
            <w:tcBorders>
              <w:top w:val="nil"/>
              <w:left w:val="nil"/>
              <w:bottom w:val="nil"/>
              <w:right w:val="nil"/>
            </w:tcBorders>
            <w:shd w:val="clear" w:color="auto" w:fill="auto"/>
            <w:noWrap/>
            <w:vAlign w:val="center"/>
          </w:tcPr>
          <w:p w14:paraId="7CA70DE7"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1 331 345</w:t>
            </w:r>
          </w:p>
        </w:tc>
        <w:tc>
          <w:tcPr>
            <w:tcW w:w="1148" w:type="dxa"/>
            <w:tcBorders>
              <w:top w:val="nil"/>
              <w:left w:val="nil"/>
              <w:bottom w:val="nil"/>
              <w:right w:val="nil"/>
            </w:tcBorders>
            <w:shd w:val="clear" w:color="auto" w:fill="auto"/>
            <w:noWrap/>
            <w:vAlign w:val="center"/>
          </w:tcPr>
          <w:p w14:paraId="2FCD5459"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1 316 547</w:t>
            </w:r>
          </w:p>
        </w:tc>
        <w:tc>
          <w:tcPr>
            <w:tcW w:w="1062" w:type="dxa"/>
            <w:tcBorders>
              <w:top w:val="nil"/>
              <w:left w:val="nil"/>
              <w:bottom w:val="nil"/>
              <w:right w:val="nil"/>
            </w:tcBorders>
            <w:shd w:val="clear" w:color="auto" w:fill="BFBFBF" w:themeFill="background1" w:themeFillShade="BF"/>
            <w:noWrap/>
            <w:vAlign w:val="center"/>
          </w:tcPr>
          <w:p w14:paraId="7329B6DE"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1 327 516</w:t>
            </w:r>
          </w:p>
        </w:tc>
        <w:tc>
          <w:tcPr>
            <w:tcW w:w="1004" w:type="dxa"/>
            <w:tcBorders>
              <w:top w:val="nil"/>
              <w:left w:val="nil"/>
              <w:bottom w:val="nil"/>
              <w:right w:val="nil"/>
            </w:tcBorders>
            <w:shd w:val="clear" w:color="auto" w:fill="auto"/>
            <w:noWrap/>
            <w:vAlign w:val="center"/>
          </w:tcPr>
          <w:p w14:paraId="22594901"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-3 829</w:t>
            </w:r>
          </w:p>
        </w:tc>
      </w:tr>
      <w:tr w:rsidR="00EA177A" w:rsidRPr="00DF124D" w14:paraId="542854A5" w14:textId="77777777" w:rsidTr="005E1134">
        <w:trPr>
          <w:trHeight w:val="368"/>
        </w:trPr>
        <w:tc>
          <w:tcPr>
            <w:tcW w:w="2127" w:type="dxa"/>
            <w:tcBorders>
              <w:top w:val="nil"/>
              <w:left w:val="nil"/>
              <w:bottom w:val="nil"/>
              <w:right w:val="nil"/>
            </w:tcBorders>
            <w:shd w:val="clear" w:color="auto" w:fill="auto"/>
            <w:noWrap/>
            <w:vAlign w:val="center"/>
            <w:hideMark/>
          </w:tcPr>
          <w:p w14:paraId="31C52780" w14:textId="77777777" w:rsidR="00EA177A" w:rsidRPr="00DF124D" w:rsidRDefault="00EA177A" w:rsidP="00C704A7">
            <w:pPr>
              <w:spacing w:after="0" w:line="240" w:lineRule="auto"/>
              <w:rPr>
                <w:rFonts w:eastAsia="Times New Roman" w:cs="Times New Roman"/>
                <w:sz w:val="18"/>
                <w:szCs w:val="18"/>
                <w:lang w:eastAsia="sk-SK"/>
              </w:rPr>
            </w:pPr>
            <w:r w:rsidRPr="00DF124D">
              <w:rPr>
                <w:rFonts w:eastAsia="Times New Roman" w:cs="Times New Roman"/>
                <w:sz w:val="18"/>
                <w:szCs w:val="18"/>
                <w:lang w:eastAsia="sk-SK"/>
              </w:rPr>
              <w:t xml:space="preserve">            granty a transfery</w:t>
            </w:r>
          </w:p>
        </w:tc>
        <w:tc>
          <w:tcPr>
            <w:tcW w:w="1170" w:type="dxa"/>
            <w:tcBorders>
              <w:top w:val="nil"/>
              <w:left w:val="nil"/>
              <w:bottom w:val="nil"/>
              <w:right w:val="nil"/>
            </w:tcBorders>
            <w:shd w:val="clear" w:color="auto" w:fill="auto"/>
            <w:vAlign w:val="center"/>
          </w:tcPr>
          <w:p w14:paraId="738937AF"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1 476 362</w:t>
            </w:r>
          </w:p>
        </w:tc>
        <w:tc>
          <w:tcPr>
            <w:tcW w:w="1004" w:type="dxa"/>
            <w:tcBorders>
              <w:top w:val="nil"/>
              <w:left w:val="nil"/>
              <w:bottom w:val="nil"/>
              <w:right w:val="nil"/>
            </w:tcBorders>
            <w:shd w:val="clear" w:color="auto" w:fill="auto"/>
            <w:noWrap/>
            <w:vAlign w:val="center"/>
          </w:tcPr>
          <w:p w14:paraId="722A1AC6"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2 203 634</w:t>
            </w:r>
          </w:p>
        </w:tc>
        <w:tc>
          <w:tcPr>
            <w:tcW w:w="1002" w:type="dxa"/>
            <w:tcBorders>
              <w:top w:val="nil"/>
              <w:left w:val="nil"/>
              <w:bottom w:val="nil"/>
              <w:right w:val="nil"/>
            </w:tcBorders>
            <w:shd w:val="clear" w:color="auto" w:fill="auto"/>
            <w:noWrap/>
            <w:vAlign w:val="center"/>
          </w:tcPr>
          <w:p w14:paraId="545214D7"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1 701 752</w:t>
            </w:r>
          </w:p>
        </w:tc>
        <w:tc>
          <w:tcPr>
            <w:tcW w:w="1148" w:type="dxa"/>
            <w:tcBorders>
              <w:top w:val="nil"/>
              <w:left w:val="nil"/>
              <w:bottom w:val="nil"/>
              <w:right w:val="nil"/>
            </w:tcBorders>
            <w:shd w:val="clear" w:color="auto" w:fill="auto"/>
            <w:noWrap/>
            <w:vAlign w:val="center"/>
          </w:tcPr>
          <w:p w14:paraId="6BF66022"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2 161 995</w:t>
            </w:r>
          </w:p>
        </w:tc>
        <w:tc>
          <w:tcPr>
            <w:tcW w:w="1062" w:type="dxa"/>
            <w:tcBorders>
              <w:top w:val="nil"/>
              <w:left w:val="nil"/>
              <w:bottom w:val="nil"/>
              <w:right w:val="nil"/>
            </w:tcBorders>
            <w:shd w:val="clear" w:color="auto" w:fill="BFBFBF" w:themeFill="background1" w:themeFillShade="BF"/>
            <w:noWrap/>
            <w:vAlign w:val="center"/>
          </w:tcPr>
          <w:p w14:paraId="65D2E4FF"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2 161 575</w:t>
            </w:r>
          </w:p>
        </w:tc>
        <w:tc>
          <w:tcPr>
            <w:tcW w:w="1004" w:type="dxa"/>
            <w:tcBorders>
              <w:top w:val="nil"/>
              <w:left w:val="nil"/>
              <w:bottom w:val="nil"/>
              <w:right w:val="nil"/>
            </w:tcBorders>
            <w:shd w:val="clear" w:color="auto" w:fill="auto"/>
            <w:noWrap/>
            <w:vAlign w:val="center"/>
          </w:tcPr>
          <w:p w14:paraId="66A7F329"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459 823</w:t>
            </w:r>
          </w:p>
        </w:tc>
      </w:tr>
      <w:tr w:rsidR="00EA177A" w:rsidRPr="00DF124D" w14:paraId="48C7E16D" w14:textId="77777777" w:rsidTr="005E1134">
        <w:trPr>
          <w:trHeight w:val="368"/>
        </w:trPr>
        <w:tc>
          <w:tcPr>
            <w:tcW w:w="2127" w:type="dxa"/>
            <w:tcBorders>
              <w:top w:val="nil"/>
              <w:left w:val="nil"/>
              <w:bottom w:val="nil"/>
              <w:right w:val="nil"/>
            </w:tcBorders>
            <w:shd w:val="clear" w:color="auto" w:fill="auto"/>
            <w:noWrap/>
            <w:vAlign w:val="center"/>
            <w:hideMark/>
          </w:tcPr>
          <w:p w14:paraId="2A44153C" w14:textId="77777777" w:rsidR="00EA177A" w:rsidRPr="00DF124D" w:rsidRDefault="00EA177A" w:rsidP="00C704A7">
            <w:pPr>
              <w:spacing w:after="0" w:line="240" w:lineRule="auto"/>
              <w:rPr>
                <w:rFonts w:eastAsia="Times New Roman" w:cs="Times New Roman"/>
                <w:b/>
                <w:bCs/>
                <w:sz w:val="18"/>
                <w:szCs w:val="18"/>
                <w:lang w:eastAsia="sk-SK"/>
              </w:rPr>
            </w:pPr>
            <w:r w:rsidRPr="00DF124D">
              <w:rPr>
                <w:rFonts w:eastAsia="Times New Roman" w:cs="Times New Roman"/>
                <w:b/>
                <w:bCs/>
                <w:sz w:val="18"/>
                <w:szCs w:val="18"/>
                <w:lang w:eastAsia="sk-SK"/>
              </w:rPr>
              <w:t>Výdavky spolu</w:t>
            </w:r>
          </w:p>
        </w:tc>
        <w:tc>
          <w:tcPr>
            <w:tcW w:w="1170" w:type="dxa"/>
            <w:tcBorders>
              <w:top w:val="nil"/>
              <w:left w:val="nil"/>
              <w:bottom w:val="nil"/>
              <w:right w:val="nil"/>
            </w:tcBorders>
            <w:shd w:val="clear" w:color="auto" w:fill="auto"/>
            <w:vAlign w:val="center"/>
          </w:tcPr>
          <w:p w14:paraId="10EF69BA"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15 234 261</w:t>
            </w:r>
          </w:p>
        </w:tc>
        <w:tc>
          <w:tcPr>
            <w:tcW w:w="1004" w:type="dxa"/>
            <w:tcBorders>
              <w:top w:val="nil"/>
              <w:left w:val="nil"/>
              <w:bottom w:val="nil"/>
              <w:right w:val="nil"/>
            </w:tcBorders>
            <w:shd w:val="clear" w:color="auto" w:fill="auto"/>
            <w:noWrap/>
            <w:vAlign w:val="center"/>
          </w:tcPr>
          <w:p w14:paraId="4BB7D09F"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16 563 255</w:t>
            </w:r>
          </w:p>
        </w:tc>
        <w:tc>
          <w:tcPr>
            <w:tcW w:w="1002" w:type="dxa"/>
            <w:tcBorders>
              <w:top w:val="nil"/>
              <w:left w:val="nil"/>
              <w:bottom w:val="nil"/>
              <w:right w:val="nil"/>
            </w:tcBorders>
            <w:shd w:val="clear" w:color="auto" w:fill="auto"/>
            <w:noWrap/>
            <w:vAlign w:val="center"/>
          </w:tcPr>
          <w:p w14:paraId="65CB4B9C"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17 538 901</w:t>
            </w:r>
          </w:p>
        </w:tc>
        <w:tc>
          <w:tcPr>
            <w:tcW w:w="1148" w:type="dxa"/>
            <w:tcBorders>
              <w:top w:val="nil"/>
              <w:left w:val="nil"/>
              <w:bottom w:val="nil"/>
              <w:right w:val="nil"/>
            </w:tcBorders>
            <w:shd w:val="clear" w:color="auto" w:fill="auto"/>
            <w:noWrap/>
            <w:vAlign w:val="center"/>
          </w:tcPr>
          <w:p w14:paraId="4320966F"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18 253 558</w:t>
            </w:r>
          </w:p>
        </w:tc>
        <w:tc>
          <w:tcPr>
            <w:tcW w:w="1062" w:type="dxa"/>
            <w:tcBorders>
              <w:top w:val="nil"/>
              <w:left w:val="nil"/>
              <w:bottom w:val="nil"/>
              <w:right w:val="nil"/>
            </w:tcBorders>
            <w:shd w:val="clear" w:color="auto" w:fill="BFBFBF" w:themeFill="background1" w:themeFillShade="BF"/>
            <w:noWrap/>
            <w:vAlign w:val="center"/>
          </w:tcPr>
          <w:p w14:paraId="5437F657"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18 027 016</w:t>
            </w:r>
          </w:p>
        </w:tc>
        <w:tc>
          <w:tcPr>
            <w:tcW w:w="1004" w:type="dxa"/>
            <w:tcBorders>
              <w:top w:val="nil"/>
              <w:left w:val="nil"/>
              <w:bottom w:val="nil"/>
              <w:right w:val="nil"/>
            </w:tcBorders>
            <w:shd w:val="clear" w:color="auto" w:fill="auto"/>
            <w:noWrap/>
            <w:vAlign w:val="center"/>
          </w:tcPr>
          <w:p w14:paraId="01F25588"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488 115</w:t>
            </w:r>
          </w:p>
        </w:tc>
      </w:tr>
      <w:tr w:rsidR="00EA177A" w:rsidRPr="00DF124D" w14:paraId="63A6782B" w14:textId="77777777" w:rsidTr="005E1134">
        <w:trPr>
          <w:trHeight w:val="368"/>
        </w:trPr>
        <w:tc>
          <w:tcPr>
            <w:tcW w:w="2127" w:type="dxa"/>
            <w:tcBorders>
              <w:top w:val="nil"/>
              <w:left w:val="nil"/>
              <w:bottom w:val="nil"/>
              <w:right w:val="nil"/>
            </w:tcBorders>
            <w:shd w:val="clear" w:color="auto" w:fill="auto"/>
            <w:noWrap/>
            <w:vAlign w:val="center"/>
            <w:hideMark/>
          </w:tcPr>
          <w:p w14:paraId="371FF415" w14:textId="77777777" w:rsidR="00EA177A" w:rsidRPr="00DF124D" w:rsidRDefault="00EA177A" w:rsidP="00C704A7">
            <w:pPr>
              <w:spacing w:after="0" w:line="240" w:lineRule="auto"/>
              <w:rPr>
                <w:rFonts w:eastAsia="Times New Roman" w:cs="Times New Roman"/>
                <w:sz w:val="18"/>
                <w:szCs w:val="18"/>
                <w:lang w:eastAsia="sk-SK"/>
              </w:rPr>
            </w:pPr>
            <w:r w:rsidRPr="00DF124D">
              <w:rPr>
                <w:rFonts w:eastAsia="Times New Roman" w:cs="Times New Roman"/>
                <w:sz w:val="18"/>
                <w:szCs w:val="18"/>
                <w:lang w:eastAsia="sk-SK"/>
              </w:rPr>
              <w:t>v tom: bežné výdavky</w:t>
            </w:r>
          </w:p>
        </w:tc>
        <w:tc>
          <w:tcPr>
            <w:tcW w:w="1170" w:type="dxa"/>
            <w:tcBorders>
              <w:top w:val="nil"/>
              <w:left w:val="nil"/>
              <w:bottom w:val="nil"/>
              <w:right w:val="nil"/>
            </w:tcBorders>
            <w:shd w:val="clear" w:color="auto" w:fill="auto"/>
            <w:vAlign w:val="center"/>
          </w:tcPr>
          <w:p w14:paraId="5FE3A02B"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13 681 468</w:t>
            </w:r>
          </w:p>
        </w:tc>
        <w:tc>
          <w:tcPr>
            <w:tcW w:w="1004" w:type="dxa"/>
            <w:tcBorders>
              <w:top w:val="nil"/>
              <w:left w:val="nil"/>
              <w:bottom w:val="nil"/>
              <w:right w:val="nil"/>
            </w:tcBorders>
            <w:shd w:val="clear" w:color="auto" w:fill="auto"/>
            <w:noWrap/>
            <w:vAlign w:val="center"/>
          </w:tcPr>
          <w:p w14:paraId="3A8489F5"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14 160 931</w:t>
            </w:r>
          </w:p>
        </w:tc>
        <w:tc>
          <w:tcPr>
            <w:tcW w:w="1002" w:type="dxa"/>
            <w:tcBorders>
              <w:top w:val="nil"/>
              <w:left w:val="nil"/>
              <w:bottom w:val="nil"/>
              <w:right w:val="nil"/>
            </w:tcBorders>
            <w:shd w:val="clear" w:color="auto" w:fill="auto"/>
            <w:noWrap/>
            <w:vAlign w:val="center"/>
          </w:tcPr>
          <w:p w14:paraId="09AD4AE8"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15 250 323</w:t>
            </w:r>
          </w:p>
        </w:tc>
        <w:tc>
          <w:tcPr>
            <w:tcW w:w="1148" w:type="dxa"/>
            <w:tcBorders>
              <w:top w:val="nil"/>
              <w:left w:val="nil"/>
              <w:bottom w:val="nil"/>
              <w:right w:val="nil"/>
            </w:tcBorders>
            <w:shd w:val="clear" w:color="auto" w:fill="auto"/>
            <w:noWrap/>
            <w:vAlign w:val="center"/>
          </w:tcPr>
          <w:p w14:paraId="581F6405"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15 394 342</w:t>
            </w:r>
          </w:p>
        </w:tc>
        <w:tc>
          <w:tcPr>
            <w:tcW w:w="1062" w:type="dxa"/>
            <w:tcBorders>
              <w:top w:val="nil"/>
              <w:left w:val="nil"/>
              <w:bottom w:val="nil"/>
              <w:right w:val="nil"/>
            </w:tcBorders>
            <w:shd w:val="clear" w:color="auto" w:fill="BFBFBF" w:themeFill="background1" w:themeFillShade="BF"/>
            <w:noWrap/>
            <w:vAlign w:val="center"/>
          </w:tcPr>
          <w:p w14:paraId="474D076E"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15 168 067</w:t>
            </w:r>
          </w:p>
        </w:tc>
        <w:tc>
          <w:tcPr>
            <w:tcW w:w="1004" w:type="dxa"/>
            <w:tcBorders>
              <w:top w:val="nil"/>
              <w:left w:val="nil"/>
              <w:bottom w:val="nil"/>
              <w:right w:val="nil"/>
            </w:tcBorders>
            <w:shd w:val="clear" w:color="auto" w:fill="auto"/>
            <w:noWrap/>
            <w:vAlign w:val="center"/>
          </w:tcPr>
          <w:p w14:paraId="7122EB36"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-82 256</w:t>
            </w:r>
          </w:p>
        </w:tc>
      </w:tr>
      <w:tr w:rsidR="00EA177A" w:rsidRPr="00DF124D" w14:paraId="53375B26" w14:textId="77777777" w:rsidTr="005E1134">
        <w:trPr>
          <w:trHeight w:val="387"/>
        </w:trPr>
        <w:tc>
          <w:tcPr>
            <w:tcW w:w="2127" w:type="dxa"/>
            <w:tcBorders>
              <w:top w:val="nil"/>
              <w:left w:val="nil"/>
              <w:bottom w:val="single" w:sz="8" w:space="0" w:color="auto"/>
              <w:right w:val="nil"/>
            </w:tcBorders>
            <w:shd w:val="clear" w:color="auto" w:fill="auto"/>
            <w:noWrap/>
            <w:vAlign w:val="center"/>
            <w:hideMark/>
          </w:tcPr>
          <w:p w14:paraId="045CE5B6" w14:textId="77777777" w:rsidR="00EA177A" w:rsidRPr="00DF124D" w:rsidRDefault="00EA177A" w:rsidP="00C704A7">
            <w:pPr>
              <w:spacing w:after="0" w:line="240" w:lineRule="auto"/>
              <w:rPr>
                <w:rFonts w:eastAsia="Times New Roman" w:cs="Times New Roman"/>
                <w:sz w:val="18"/>
                <w:szCs w:val="18"/>
                <w:lang w:eastAsia="sk-SK"/>
              </w:rPr>
            </w:pPr>
            <w:r w:rsidRPr="00DF124D">
              <w:rPr>
                <w:rFonts w:eastAsia="Times New Roman" w:cs="Times New Roman"/>
                <w:sz w:val="18"/>
                <w:szCs w:val="18"/>
                <w:lang w:eastAsia="sk-SK"/>
              </w:rPr>
              <w:t xml:space="preserve">            kapitálové výdavky</w:t>
            </w:r>
          </w:p>
        </w:tc>
        <w:tc>
          <w:tcPr>
            <w:tcW w:w="1170" w:type="dxa"/>
            <w:tcBorders>
              <w:top w:val="nil"/>
              <w:left w:val="nil"/>
              <w:bottom w:val="single" w:sz="8" w:space="0" w:color="auto"/>
              <w:right w:val="nil"/>
            </w:tcBorders>
            <w:shd w:val="clear" w:color="auto" w:fill="auto"/>
            <w:vAlign w:val="center"/>
          </w:tcPr>
          <w:p w14:paraId="7AE533A8"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1 552 793</w:t>
            </w:r>
          </w:p>
        </w:tc>
        <w:tc>
          <w:tcPr>
            <w:tcW w:w="1004" w:type="dxa"/>
            <w:tcBorders>
              <w:top w:val="nil"/>
              <w:left w:val="nil"/>
              <w:bottom w:val="single" w:sz="8" w:space="0" w:color="auto"/>
              <w:right w:val="nil"/>
            </w:tcBorders>
            <w:shd w:val="clear" w:color="auto" w:fill="auto"/>
            <w:noWrap/>
            <w:vAlign w:val="center"/>
          </w:tcPr>
          <w:p w14:paraId="45FBAB3E" w14:textId="77777777" w:rsidR="00EA177A" w:rsidRPr="00DF124D" w:rsidRDefault="00EA177A" w:rsidP="00C704A7">
            <w:pPr>
              <w:spacing w:after="0" w:line="240" w:lineRule="auto"/>
              <w:jc w:val="right"/>
              <w:rPr>
                <w:rFonts w:eastAsia="Times New Roman" w:cs="Times New Roman"/>
                <w:sz w:val="18"/>
                <w:szCs w:val="18"/>
                <w:lang w:eastAsia="sk-SK"/>
              </w:rPr>
            </w:pPr>
            <w:r w:rsidRPr="00DF124D">
              <w:rPr>
                <w:rFonts w:eastAsia="Times New Roman" w:cs="Times New Roman"/>
                <w:sz w:val="18"/>
                <w:szCs w:val="18"/>
                <w:lang w:eastAsia="sk-SK"/>
              </w:rPr>
              <w:t>2 402 324</w:t>
            </w:r>
          </w:p>
        </w:tc>
        <w:tc>
          <w:tcPr>
            <w:tcW w:w="1002" w:type="dxa"/>
            <w:tcBorders>
              <w:top w:val="nil"/>
              <w:left w:val="nil"/>
              <w:bottom w:val="single" w:sz="8" w:space="0" w:color="auto"/>
              <w:right w:val="nil"/>
            </w:tcBorders>
            <w:shd w:val="clear" w:color="auto" w:fill="auto"/>
            <w:noWrap/>
            <w:vAlign w:val="center"/>
          </w:tcPr>
          <w:p w14:paraId="62E54310"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2 288 578</w:t>
            </w:r>
          </w:p>
        </w:tc>
        <w:tc>
          <w:tcPr>
            <w:tcW w:w="1148" w:type="dxa"/>
            <w:tcBorders>
              <w:top w:val="nil"/>
              <w:left w:val="nil"/>
              <w:bottom w:val="single" w:sz="8" w:space="0" w:color="auto"/>
              <w:right w:val="nil"/>
            </w:tcBorders>
            <w:shd w:val="clear" w:color="auto" w:fill="auto"/>
            <w:noWrap/>
            <w:vAlign w:val="center"/>
          </w:tcPr>
          <w:p w14:paraId="104A98FA"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2 859 216</w:t>
            </w:r>
          </w:p>
        </w:tc>
        <w:tc>
          <w:tcPr>
            <w:tcW w:w="1062" w:type="dxa"/>
            <w:tcBorders>
              <w:top w:val="nil"/>
              <w:left w:val="nil"/>
              <w:bottom w:val="single" w:sz="8" w:space="0" w:color="auto"/>
              <w:right w:val="nil"/>
            </w:tcBorders>
            <w:shd w:val="clear" w:color="auto" w:fill="BFBFBF" w:themeFill="background1" w:themeFillShade="BF"/>
            <w:noWrap/>
            <w:vAlign w:val="center"/>
          </w:tcPr>
          <w:p w14:paraId="18DB7255" w14:textId="77777777" w:rsidR="00EA177A" w:rsidRPr="00DF124D" w:rsidRDefault="00EA177A" w:rsidP="00C704A7">
            <w:pPr>
              <w:spacing w:after="0" w:line="240" w:lineRule="auto"/>
              <w:jc w:val="right"/>
              <w:rPr>
                <w:rFonts w:eastAsia="Times New Roman" w:cs="Times New Roman"/>
                <w:bCs/>
                <w:sz w:val="18"/>
                <w:szCs w:val="18"/>
                <w:lang w:eastAsia="sk-SK"/>
              </w:rPr>
            </w:pPr>
            <w:r w:rsidRPr="00DF124D">
              <w:rPr>
                <w:rFonts w:eastAsia="Times New Roman" w:cs="Times New Roman"/>
                <w:bCs/>
                <w:sz w:val="18"/>
                <w:szCs w:val="18"/>
                <w:lang w:eastAsia="sk-SK"/>
              </w:rPr>
              <w:t>2 858 949</w:t>
            </w:r>
          </w:p>
        </w:tc>
        <w:tc>
          <w:tcPr>
            <w:tcW w:w="1004" w:type="dxa"/>
            <w:tcBorders>
              <w:top w:val="nil"/>
              <w:left w:val="nil"/>
              <w:bottom w:val="single" w:sz="8" w:space="0" w:color="auto"/>
              <w:right w:val="nil"/>
            </w:tcBorders>
            <w:shd w:val="clear" w:color="auto" w:fill="auto"/>
            <w:noWrap/>
            <w:vAlign w:val="center"/>
          </w:tcPr>
          <w:p w14:paraId="35BDF39B"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570 371</w:t>
            </w:r>
          </w:p>
        </w:tc>
      </w:tr>
      <w:tr w:rsidR="00EA177A" w:rsidRPr="00DF124D" w14:paraId="42F92753" w14:textId="77777777" w:rsidTr="005E1134">
        <w:trPr>
          <w:trHeight w:val="387"/>
        </w:trPr>
        <w:tc>
          <w:tcPr>
            <w:tcW w:w="2127" w:type="dxa"/>
            <w:tcBorders>
              <w:top w:val="nil"/>
              <w:left w:val="nil"/>
              <w:bottom w:val="single" w:sz="8" w:space="0" w:color="auto"/>
              <w:right w:val="nil"/>
            </w:tcBorders>
            <w:shd w:val="clear" w:color="auto" w:fill="auto"/>
            <w:noWrap/>
            <w:vAlign w:val="center"/>
            <w:hideMark/>
          </w:tcPr>
          <w:p w14:paraId="0DB0927B" w14:textId="77777777" w:rsidR="00EA177A" w:rsidRPr="00DF124D" w:rsidRDefault="00EA177A" w:rsidP="00C704A7">
            <w:pPr>
              <w:spacing w:after="0" w:line="240" w:lineRule="auto"/>
              <w:rPr>
                <w:rFonts w:eastAsia="Times New Roman" w:cs="Times New Roman"/>
                <w:b/>
                <w:bCs/>
                <w:sz w:val="18"/>
                <w:szCs w:val="18"/>
                <w:lang w:eastAsia="sk-SK"/>
              </w:rPr>
            </w:pPr>
            <w:r w:rsidRPr="00DF124D">
              <w:rPr>
                <w:rFonts w:eastAsia="Times New Roman" w:cs="Times New Roman"/>
                <w:b/>
                <w:bCs/>
                <w:sz w:val="18"/>
                <w:szCs w:val="18"/>
                <w:lang w:eastAsia="sk-SK"/>
              </w:rPr>
              <w:t>Schodok (-)</w:t>
            </w:r>
          </w:p>
        </w:tc>
        <w:tc>
          <w:tcPr>
            <w:tcW w:w="1170" w:type="dxa"/>
            <w:tcBorders>
              <w:top w:val="nil"/>
              <w:left w:val="nil"/>
              <w:bottom w:val="single" w:sz="8" w:space="0" w:color="auto"/>
              <w:right w:val="nil"/>
            </w:tcBorders>
            <w:shd w:val="clear" w:color="auto" w:fill="auto"/>
            <w:vAlign w:val="center"/>
          </w:tcPr>
          <w:p w14:paraId="49F02BB6"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-1 220 132</w:t>
            </w:r>
          </w:p>
        </w:tc>
        <w:tc>
          <w:tcPr>
            <w:tcW w:w="1004" w:type="dxa"/>
            <w:tcBorders>
              <w:top w:val="nil"/>
              <w:left w:val="nil"/>
              <w:bottom w:val="single" w:sz="8" w:space="0" w:color="auto"/>
              <w:right w:val="nil"/>
            </w:tcBorders>
            <w:shd w:val="clear" w:color="auto" w:fill="auto"/>
            <w:noWrap/>
            <w:vAlign w:val="center"/>
          </w:tcPr>
          <w:p w14:paraId="1DC9B358"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b/>
                <w:bCs/>
                <w:sz w:val="18"/>
                <w:szCs w:val="18"/>
              </w:rPr>
              <w:t>-1 182 242</w:t>
            </w:r>
          </w:p>
        </w:tc>
        <w:tc>
          <w:tcPr>
            <w:tcW w:w="1002" w:type="dxa"/>
            <w:tcBorders>
              <w:top w:val="nil"/>
              <w:left w:val="nil"/>
              <w:bottom w:val="single" w:sz="8" w:space="0" w:color="auto"/>
              <w:right w:val="nil"/>
            </w:tcBorders>
            <w:shd w:val="clear" w:color="auto" w:fill="auto"/>
            <w:noWrap/>
            <w:vAlign w:val="center"/>
          </w:tcPr>
          <w:p w14:paraId="5DF202B8"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-2 041 247</w:t>
            </w:r>
          </w:p>
        </w:tc>
        <w:tc>
          <w:tcPr>
            <w:tcW w:w="1148" w:type="dxa"/>
            <w:tcBorders>
              <w:top w:val="nil"/>
              <w:left w:val="nil"/>
              <w:bottom w:val="single" w:sz="8" w:space="0" w:color="auto"/>
              <w:right w:val="nil"/>
            </w:tcBorders>
            <w:shd w:val="clear" w:color="auto" w:fill="auto"/>
            <w:noWrap/>
            <w:vAlign w:val="center"/>
          </w:tcPr>
          <w:p w14:paraId="285F3F30"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-2 310 459</w:t>
            </w:r>
          </w:p>
        </w:tc>
        <w:tc>
          <w:tcPr>
            <w:tcW w:w="1062" w:type="dxa"/>
            <w:tcBorders>
              <w:top w:val="nil"/>
              <w:left w:val="nil"/>
              <w:bottom w:val="single" w:sz="8" w:space="0" w:color="auto"/>
              <w:right w:val="nil"/>
            </w:tcBorders>
            <w:shd w:val="clear" w:color="auto" w:fill="BFBFBF" w:themeFill="background1" w:themeFillShade="BF"/>
            <w:noWrap/>
            <w:vAlign w:val="center"/>
          </w:tcPr>
          <w:p w14:paraId="6907CEF4"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-2 201 481</w:t>
            </w:r>
          </w:p>
        </w:tc>
        <w:tc>
          <w:tcPr>
            <w:tcW w:w="1004" w:type="dxa"/>
            <w:tcBorders>
              <w:top w:val="nil"/>
              <w:left w:val="nil"/>
              <w:bottom w:val="single" w:sz="8" w:space="0" w:color="auto"/>
              <w:right w:val="nil"/>
            </w:tcBorders>
            <w:shd w:val="clear" w:color="auto" w:fill="auto"/>
            <w:noWrap/>
            <w:vAlign w:val="center"/>
          </w:tcPr>
          <w:p w14:paraId="6B9B6185" w14:textId="77777777" w:rsidR="00EA177A" w:rsidRPr="00DF124D" w:rsidRDefault="00EA177A" w:rsidP="00C704A7">
            <w:pPr>
              <w:spacing w:after="0" w:line="240" w:lineRule="auto"/>
              <w:jc w:val="right"/>
              <w:rPr>
                <w:rFonts w:eastAsia="Times New Roman" w:cs="Times New Roman"/>
                <w:b/>
                <w:bCs/>
                <w:sz w:val="18"/>
                <w:szCs w:val="18"/>
                <w:lang w:eastAsia="sk-SK"/>
              </w:rPr>
            </w:pPr>
            <w:r w:rsidRPr="00DF124D">
              <w:rPr>
                <w:rFonts w:eastAsia="Times New Roman" w:cs="Times New Roman"/>
                <w:b/>
                <w:bCs/>
                <w:sz w:val="18"/>
                <w:szCs w:val="18"/>
                <w:lang w:eastAsia="sk-SK"/>
              </w:rPr>
              <w:t>-160 234</w:t>
            </w:r>
          </w:p>
        </w:tc>
      </w:tr>
    </w:tbl>
    <w:p w14:paraId="6B66664E" w14:textId="77777777" w:rsidR="00EA177A" w:rsidRPr="005B0638" w:rsidRDefault="00EA177A" w:rsidP="00EA177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Zdroj: MF SR</w:t>
      </w:r>
    </w:p>
    <w:p w14:paraId="526F9F4B" w14:textId="77777777" w:rsidR="00EA177A" w:rsidRPr="00ED7150" w:rsidRDefault="00EA177A" w:rsidP="00EA177A">
      <w:r w:rsidRPr="00A17322">
        <w:t>Schválené príjmy</w:t>
      </w:r>
      <w:r w:rsidRPr="00A17322">
        <w:rPr>
          <w:vertAlign w:val="superscript"/>
        </w:rPr>
        <w:footnoteReference w:id="20"/>
      </w:r>
      <w:r w:rsidRPr="00A17322">
        <w:t xml:space="preserve"> štátneho rozpočtu na rok 2019 boli oproti schváleným príjmom na rok 2018 vyššie úhrnom o 1 514</w:t>
      </w:r>
      <w:r>
        <w:t> </w:t>
      </w:r>
      <w:r w:rsidRPr="00A17322">
        <w:t>844</w:t>
      </w:r>
      <w:r>
        <w:t> </w:t>
      </w:r>
      <w:r w:rsidRPr="00A17322">
        <w:t xml:space="preserve">tis. eur, </w:t>
      </w:r>
      <w:r w:rsidRPr="00ED7150">
        <w:t xml:space="preserve">pričom sa predpokladali </w:t>
      </w:r>
      <w:r>
        <w:t>vyššie daňové príjmy o 1 103 </w:t>
      </w:r>
      <w:r w:rsidRPr="00ED7150">
        <w:t>039 tis. eur</w:t>
      </w:r>
      <w:r>
        <w:t>, vyššie</w:t>
      </w:r>
      <w:r w:rsidRPr="00ED7150">
        <w:t xml:space="preserve"> príjmy z grantov a transferov o 289 279 tis. eur </w:t>
      </w:r>
      <w:r>
        <w:t xml:space="preserve">a </w:t>
      </w:r>
      <w:r w:rsidRPr="00ED7150">
        <w:t>vyššie nedaňo</w:t>
      </w:r>
      <w:r>
        <w:t xml:space="preserve">vé </w:t>
      </w:r>
      <w:r w:rsidRPr="00ED7150">
        <w:t>príjm</w:t>
      </w:r>
      <w:r>
        <w:t>y</w:t>
      </w:r>
      <w:r w:rsidRPr="00ED7150">
        <w:t xml:space="preserve"> o</w:t>
      </w:r>
      <w:r>
        <w:t> </w:t>
      </w:r>
      <w:r w:rsidRPr="00ED7150">
        <w:t>122</w:t>
      </w:r>
      <w:r>
        <w:t> </w:t>
      </w:r>
      <w:r w:rsidRPr="00ED7150">
        <w:t>526 tis. eur</w:t>
      </w:r>
      <w:r>
        <w:t>.</w:t>
      </w:r>
    </w:p>
    <w:p w14:paraId="1F3EDBE3" w14:textId="77777777" w:rsidR="00EA177A" w:rsidRDefault="00EA177A" w:rsidP="00EA177A">
      <w:r w:rsidRPr="00A221A7">
        <w:t>Z daňových príjmov bola medziročne rozpočtovaná vyšš</w:t>
      </w:r>
      <w:r>
        <w:t>ia daň z pridanej hodnoty o 550 277 tis. </w:t>
      </w:r>
      <w:r w:rsidRPr="00A221A7">
        <w:t>eur, daň z príjmov právnickej osoby</w:t>
      </w:r>
      <w:r>
        <w:t xml:space="preserve"> </w:t>
      </w:r>
      <w:r w:rsidRPr="00A221A7">
        <w:t>o</w:t>
      </w:r>
      <w:r>
        <w:t> </w:t>
      </w:r>
      <w:r w:rsidRPr="00A221A7">
        <w:t>260</w:t>
      </w:r>
      <w:r>
        <w:t> </w:t>
      </w:r>
      <w:r w:rsidRPr="00A221A7">
        <w:t>669 tis. eur</w:t>
      </w:r>
      <w:r>
        <w:t>,</w:t>
      </w:r>
      <w:r w:rsidRPr="00A221A7">
        <w:t xml:space="preserve"> spotrebn</w:t>
      </w:r>
      <w:r>
        <w:t>é dane vyššie o 81 508 tis. eur (z toho daň z minerálnych olejov o 42 597 tis. eur daň z tabakových výrobkov o 35 472 tis. eur) a iné dane o 202 504 tis. eur (najmä nové dane, z odvodu obchodných reťazcov 112 504 tis. eur).</w:t>
      </w:r>
    </w:p>
    <w:p w14:paraId="49864C8F" w14:textId="77777777" w:rsidR="00EA177A" w:rsidRPr="008A6AE8" w:rsidRDefault="00EA177A" w:rsidP="00EA177A">
      <w:r w:rsidRPr="00E64052">
        <w:t xml:space="preserve">Príjmy z grantov a transferov sú takmer zo 100 % tvorené transfermi z rozpočtu Európskej únie. </w:t>
      </w:r>
      <w:r w:rsidRPr="006D686E">
        <w:t xml:space="preserve">V porovnaní s rokom 2018 sa rozpočtovali vyššie o 289 279 tis. eur. V rámci tuzemských transferov sa </w:t>
      </w:r>
      <w:r w:rsidRPr="008A6AE8">
        <w:t xml:space="preserve">rozpočtoval medziročne vyšší transfer zo zdravotných poisťovní </w:t>
      </w:r>
      <w:r>
        <w:t>(</w:t>
      </w:r>
      <w:r w:rsidRPr="008A6AE8">
        <w:t>o </w:t>
      </w:r>
      <w:r>
        <w:t>1 </w:t>
      </w:r>
      <w:r w:rsidRPr="008A6AE8">
        <w:t>632</w:t>
      </w:r>
      <w:r>
        <w:t> </w:t>
      </w:r>
      <w:r w:rsidRPr="008A6AE8">
        <w:t>tis.</w:t>
      </w:r>
      <w:r>
        <w:t> </w:t>
      </w:r>
      <w:r w:rsidRPr="008A6AE8">
        <w:t>eur</w:t>
      </w:r>
      <w:r>
        <w:t>) a zo Slovenského pozemkového fondu (o 1 245 tis. eur)</w:t>
      </w:r>
      <w:r w:rsidRPr="008A6AE8">
        <w:t>.</w:t>
      </w:r>
    </w:p>
    <w:p w14:paraId="4033F386" w14:textId="77777777" w:rsidR="00EA177A" w:rsidRPr="003B4404" w:rsidRDefault="00EA177A" w:rsidP="00EA177A">
      <w:r w:rsidRPr="003B4404">
        <w:t xml:space="preserve">Z nedaňových príjmov sa medziročne vyššie rozpočtovali </w:t>
      </w:r>
      <w:r>
        <w:t>ostatné poplatky o 99 539 tis. eur,</w:t>
      </w:r>
      <w:r w:rsidRPr="003B4404">
        <w:t xml:space="preserve"> administratívne </w:t>
      </w:r>
      <w:r>
        <w:t xml:space="preserve">poplatky </w:t>
      </w:r>
      <w:r w:rsidRPr="003B4404">
        <w:t xml:space="preserve">o 66 548 tis. eur a iné </w:t>
      </w:r>
      <w:r>
        <w:t>ne</w:t>
      </w:r>
      <w:r w:rsidRPr="003B4404">
        <w:t>daňové príjmy o 35 980 tis. eur</w:t>
      </w:r>
      <w:r>
        <w:t>.</w:t>
      </w:r>
    </w:p>
    <w:p w14:paraId="241232E6" w14:textId="77777777" w:rsidR="00EA177A" w:rsidRPr="002A6B3C" w:rsidRDefault="00EA177A" w:rsidP="00EA177A">
      <w:r w:rsidRPr="002A6B3C">
        <w:t>V medziročnom porovnaní schválených výdavkov štátneho rozpočtu na roky 2019 a 2018 sa pre</w:t>
      </w:r>
      <w:r>
        <w:t>dpokladalo ich zvýšenie o 1 583 </w:t>
      </w:r>
      <w:r w:rsidRPr="002A6B3C">
        <w:t>18</w:t>
      </w:r>
      <w:r w:rsidRPr="0046282D">
        <w:t>7</w:t>
      </w:r>
      <w:r>
        <w:t> </w:t>
      </w:r>
      <w:r w:rsidRPr="002A6B3C">
        <w:t>tis.</w:t>
      </w:r>
      <w:r>
        <w:t> </w:t>
      </w:r>
      <w:r w:rsidRPr="002A6B3C">
        <w:t>eur. Bežné výdavky sa rozpočtovali medziročne vyššie o 626 024 tis. eur a kapitálové výdavky vyššie o 957</w:t>
      </w:r>
      <w:r>
        <w:t> </w:t>
      </w:r>
      <w:r w:rsidRPr="002A6B3C">
        <w:t>163</w:t>
      </w:r>
      <w:r>
        <w:t> </w:t>
      </w:r>
      <w:r w:rsidRPr="002A6B3C">
        <w:t>tis. eur.</w:t>
      </w:r>
    </w:p>
    <w:p w14:paraId="69376583" w14:textId="77777777" w:rsidR="00EA177A" w:rsidRPr="00E77A00" w:rsidRDefault="00EA177A" w:rsidP="00EA177A">
      <w:r w:rsidRPr="00E77A00">
        <w:t>Z bežných výdavkov boli predpokladané vyššie výdavky na tovary a služby a o 429</w:t>
      </w:r>
      <w:r>
        <w:t> </w:t>
      </w:r>
      <w:r w:rsidRPr="00E77A00">
        <w:t>537</w:t>
      </w:r>
      <w:r>
        <w:t> </w:t>
      </w:r>
      <w:r w:rsidRPr="00E77A00">
        <w:t>tis. eur, z toho najmä na všeobecné služby o 174</w:t>
      </w:r>
      <w:r>
        <w:t> </w:t>
      </w:r>
      <w:r w:rsidRPr="00E77A00">
        <w:t>829</w:t>
      </w:r>
      <w:r>
        <w:t> </w:t>
      </w:r>
      <w:r w:rsidRPr="00E77A00">
        <w:t>tis.</w:t>
      </w:r>
      <w:r>
        <w:t> </w:t>
      </w:r>
      <w:r w:rsidRPr="00E77A00">
        <w:t>e</w:t>
      </w:r>
      <w:r>
        <w:t>ur a špeciálne služby o 106 401 </w:t>
      </w:r>
      <w:r w:rsidRPr="00E77A00">
        <w:t>tis.</w:t>
      </w:r>
      <w:r>
        <w:t> </w:t>
      </w:r>
      <w:r w:rsidRPr="00E77A00">
        <w:t>eur. Výdavky na mzdy, platy, služobné príjmy a ostatné osobné vyrovnanie sa medziročn</w:t>
      </w:r>
      <w:r>
        <w:t>e rozpočtovali vyššie o 268 163 </w:t>
      </w:r>
      <w:r w:rsidRPr="00E77A00">
        <w:t>tis.</w:t>
      </w:r>
      <w:r>
        <w:t> </w:t>
      </w:r>
      <w:r w:rsidRPr="00E77A00">
        <w:t>eur a poistné a príspevok do poisťovní o 94</w:t>
      </w:r>
      <w:r>
        <w:t> </w:t>
      </w:r>
      <w:r w:rsidRPr="00E77A00">
        <w:t>456</w:t>
      </w:r>
      <w:r>
        <w:t> </w:t>
      </w:r>
      <w:r w:rsidRPr="00E77A00">
        <w:t>tis.</w:t>
      </w:r>
      <w:r>
        <w:t> </w:t>
      </w:r>
      <w:r w:rsidRPr="00E77A00">
        <w:t>eur. Výdavky na zálohy na projekty Európskej únie sa rozpočtovali nižšie o 39</w:t>
      </w:r>
      <w:r>
        <w:t> </w:t>
      </w:r>
      <w:r w:rsidRPr="00E77A00">
        <w:t>573</w:t>
      </w:r>
      <w:r>
        <w:t> </w:t>
      </w:r>
      <w:r w:rsidRPr="00E77A00">
        <w:t xml:space="preserve">tis. eur. </w:t>
      </w:r>
    </w:p>
    <w:p w14:paraId="0D3E4921" w14:textId="77777777" w:rsidR="00EA177A" w:rsidRDefault="00EA177A" w:rsidP="00EA177A">
      <w:r w:rsidRPr="00725EE7">
        <w:t>Výdavky na bežné transfery boli rozpočtované medziročne nižšie o 166 13</w:t>
      </w:r>
      <w:r w:rsidRPr="0046282D">
        <w:t>3</w:t>
      </w:r>
      <w:r w:rsidRPr="00725EE7">
        <w:t xml:space="preserve"> tis. eur, pričom tuzemské bežné transfery v rámci verejnej správy boli nižšie </w:t>
      </w:r>
      <w:r w:rsidRPr="00FC669A">
        <w:t>o</w:t>
      </w:r>
      <w:r>
        <w:t> </w:t>
      </w:r>
      <w:r w:rsidRPr="00FC669A">
        <w:t>338</w:t>
      </w:r>
      <w:r>
        <w:t> </w:t>
      </w:r>
      <w:r w:rsidRPr="00FC669A">
        <w:t>413 tis.</w:t>
      </w:r>
      <w:r>
        <w:t xml:space="preserve"> eur,</w:t>
      </w:r>
      <w:r w:rsidRPr="002D073F">
        <w:t xml:space="preserve"> </w:t>
      </w:r>
      <w:r>
        <w:t>transfery jednotlivcom a neziskovým právnickým osobám vyššie o 54 000 tis. eur a transfery nefinančným subjektom vyššie o 50 707 tis. eur.</w:t>
      </w:r>
    </w:p>
    <w:p w14:paraId="2988381A" w14:textId="77777777" w:rsidR="00EA177A" w:rsidRDefault="00EA177A" w:rsidP="00EA177A">
      <w:r w:rsidRPr="00EE3590">
        <w:t>Kapitálové výdavky sa medziročne rozpočtovali vyššie o 957</w:t>
      </w:r>
      <w:r>
        <w:t> </w:t>
      </w:r>
      <w:r w:rsidRPr="00EE3590">
        <w:t>163</w:t>
      </w:r>
      <w:r>
        <w:t> </w:t>
      </w:r>
      <w:r w:rsidRPr="00EE3590">
        <w:t>tis.</w:t>
      </w:r>
      <w:r>
        <w:t> </w:t>
      </w:r>
      <w:r w:rsidRPr="00EE3590">
        <w:t xml:space="preserve">eur. Z kapitálových výdavkov sa rozpočtovali vyššie </w:t>
      </w:r>
      <w:r>
        <w:t xml:space="preserve">výdavky na </w:t>
      </w:r>
      <w:r w:rsidRPr="00EE3590">
        <w:t>obstarávanie kapitálových aktív</w:t>
      </w:r>
      <w:r>
        <w:t xml:space="preserve"> o 638 794 tis. eur</w:t>
      </w:r>
      <w:r w:rsidRPr="00EE3590">
        <w:t xml:space="preserve"> (napr. nákup strojov, prístrojov, zariadení, techniky o 546</w:t>
      </w:r>
      <w:r>
        <w:t> </w:t>
      </w:r>
      <w:r w:rsidRPr="00EE3590">
        <w:t>365</w:t>
      </w:r>
      <w:r>
        <w:t> </w:t>
      </w:r>
      <w:r w:rsidRPr="00EE3590">
        <w:t>tis.</w:t>
      </w:r>
      <w:r>
        <w:t> </w:t>
      </w:r>
      <w:r w:rsidRPr="00EE3590">
        <w:t>eur</w:t>
      </w:r>
      <w:r>
        <w:t>, z toho v rezorte obrany o 512 126 tis. eur súvisiacich s obstarávaním nových stíhacích lietadiel pre vzdušné sily armády SR</w:t>
      </w:r>
      <w:r w:rsidRPr="00EE3590">
        <w:t>)</w:t>
      </w:r>
      <w:r>
        <w:t xml:space="preserve"> a nižšie výdavky na nákup nákladných vozidiel, ťahačov, prípojných vozidiel o 45 502 tis. eur (v rezorte obrany bol rozpočet medziročne vyšší o 66 305 tis. eur)</w:t>
      </w:r>
      <w:r w:rsidRPr="00EE3590">
        <w:t xml:space="preserve">. Nižšie sa rozpočtovali výdavky na </w:t>
      </w:r>
      <w:r>
        <w:t xml:space="preserve">kapitálové </w:t>
      </w:r>
      <w:r w:rsidRPr="00EE3590">
        <w:t>transfery v rámci verejnej správy a to o 68</w:t>
      </w:r>
      <w:r>
        <w:t> </w:t>
      </w:r>
      <w:r w:rsidRPr="00EE3590">
        <w:t>666</w:t>
      </w:r>
      <w:r>
        <w:t> </w:t>
      </w:r>
      <w:r w:rsidRPr="00EE3590">
        <w:t>tis.</w:t>
      </w:r>
      <w:r>
        <w:t> </w:t>
      </w:r>
      <w:r w:rsidRPr="00EE3590">
        <w:t>eur.</w:t>
      </w:r>
    </w:p>
    <w:p w14:paraId="69DD115D" w14:textId="77777777" w:rsidR="00EA177A" w:rsidRDefault="00EA177A" w:rsidP="00EA177A">
      <w:pPr>
        <w:rPr>
          <w:b/>
        </w:rPr>
      </w:pPr>
      <w:r w:rsidRPr="00FC669A">
        <w:rPr>
          <w:b/>
        </w:rPr>
        <w:t>V priebehu rozpočtového roka 2019 sa vykonali v súlade s rozpočtovými pravidlami rozpočtové opatrenia, ktoré zvýšili celkovo sch</w:t>
      </w:r>
      <w:r>
        <w:rPr>
          <w:b/>
        </w:rPr>
        <w:t>válené príjmy na rok 2019 o 445 </w:t>
      </w:r>
      <w:r w:rsidRPr="00FC669A">
        <w:rPr>
          <w:b/>
        </w:rPr>
        <w:t>445 tis. eur na 15</w:t>
      </w:r>
      <w:r>
        <w:rPr>
          <w:b/>
        </w:rPr>
        <w:t> </w:t>
      </w:r>
      <w:r w:rsidRPr="00FC669A">
        <w:rPr>
          <w:b/>
        </w:rPr>
        <w:t>943</w:t>
      </w:r>
      <w:r>
        <w:rPr>
          <w:b/>
        </w:rPr>
        <w:t> </w:t>
      </w:r>
      <w:r w:rsidRPr="00FC669A">
        <w:rPr>
          <w:b/>
        </w:rPr>
        <w:t>099</w:t>
      </w:r>
      <w:r>
        <w:rPr>
          <w:b/>
        </w:rPr>
        <w:t> </w:t>
      </w:r>
      <w:r w:rsidRPr="00FC669A">
        <w:rPr>
          <w:b/>
        </w:rPr>
        <w:t>tis.</w:t>
      </w:r>
      <w:r>
        <w:rPr>
          <w:b/>
        </w:rPr>
        <w:t> </w:t>
      </w:r>
      <w:r w:rsidRPr="00FC669A">
        <w:rPr>
          <w:b/>
        </w:rPr>
        <w:t>eur a celkové schválené výdavky o</w:t>
      </w:r>
      <w:r>
        <w:rPr>
          <w:b/>
        </w:rPr>
        <w:t> </w:t>
      </w:r>
      <w:r w:rsidRPr="0099193B">
        <w:rPr>
          <w:b/>
        </w:rPr>
        <w:t>714</w:t>
      </w:r>
      <w:r>
        <w:rPr>
          <w:b/>
        </w:rPr>
        <w:t> 657 tis. eur na 18 253 </w:t>
      </w:r>
      <w:r w:rsidRPr="0099193B">
        <w:rPr>
          <w:b/>
        </w:rPr>
        <w:t xml:space="preserve">558 tis. eur. </w:t>
      </w:r>
      <w:r w:rsidRPr="007C0BE7">
        <w:rPr>
          <w:b/>
        </w:rPr>
        <w:t>Plánovaný schodok štátneho rozpočtu po úpravách počas roka 201</w:t>
      </w:r>
      <w:r w:rsidRPr="0046282D">
        <w:rPr>
          <w:b/>
        </w:rPr>
        <w:t>9</w:t>
      </w:r>
      <w:r w:rsidRPr="007C0BE7">
        <w:rPr>
          <w:b/>
        </w:rPr>
        <w:t xml:space="preserve"> mal byť k </w:t>
      </w:r>
      <w:proofErr w:type="spellStart"/>
      <w:r w:rsidRPr="007C0BE7">
        <w:rPr>
          <w:b/>
        </w:rPr>
        <w:t>ultimu</w:t>
      </w:r>
      <w:proofErr w:type="spellEnd"/>
      <w:r w:rsidRPr="007C0BE7">
        <w:rPr>
          <w:b/>
        </w:rPr>
        <w:t xml:space="preserve"> roka vyš</w:t>
      </w:r>
      <w:r>
        <w:rPr>
          <w:b/>
        </w:rPr>
        <w:t>ší oproti schválenému o 269 212 tis. </w:t>
      </w:r>
      <w:r w:rsidRPr="007C0BE7">
        <w:rPr>
          <w:b/>
        </w:rPr>
        <w:t>eur, vo výške 2</w:t>
      </w:r>
      <w:r>
        <w:rPr>
          <w:b/>
        </w:rPr>
        <w:t> </w:t>
      </w:r>
      <w:r w:rsidRPr="007C0BE7">
        <w:rPr>
          <w:b/>
        </w:rPr>
        <w:t>310</w:t>
      </w:r>
      <w:r>
        <w:rPr>
          <w:b/>
        </w:rPr>
        <w:t> 459 tis. </w:t>
      </w:r>
      <w:r w:rsidRPr="007C0BE7">
        <w:rPr>
          <w:b/>
        </w:rPr>
        <w:t xml:space="preserve">eur. </w:t>
      </w:r>
    </w:p>
    <w:p w14:paraId="60F00768" w14:textId="77777777" w:rsidR="00EA177A" w:rsidRPr="00C14F25" w:rsidRDefault="00EA177A" w:rsidP="00EA177A">
      <w:r>
        <w:t>Úpravy rozpočtu sa realizovali</w:t>
      </w:r>
      <w:r w:rsidRPr="00E05564">
        <w:t xml:space="preserve"> na základe aktualizovaných informácií o plnení úloh a požiadaviek jednotlivých kapitol ŠR počas rozpočtového roku, legislatívnych zmien, ktoré môžu priniesť zmenu v príjmoch alebo výdavkoch, ako aj na základe aktuálneho vývoja ekonomiky a verejnýc</w:t>
      </w:r>
      <w:r w:rsidRPr="00C14F25">
        <w:t xml:space="preserve">h financií. </w:t>
      </w:r>
    </w:p>
    <w:p w14:paraId="73590CD3" w14:textId="77777777" w:rsidR="00EA177A" w:rsidRDefault="00EA177A" w:rsidP="00EA177A">
      <w:r w:rsidRPr="00C14F25">
        <w:t>V rámci úprav pôvodne schváleného rozpočtu príjmov</w:t>
      </w:r>
      <w:r>
        <w:t xml:space="preserve"> sa predpokladali príjmy vyššie o 445 445 tis. eur viac a v rámci nich</w:t>
      </w:r>
      <w:r w:rsidRPr="00C14F25">
        <w:t xml:space="preserve"> bolo zohľadnené najmä vyššie plnenie transferov z rozpočtu Európskej únie o</w:t>
      </w:r>
      <w:r>
        <w:t> 461 744 </w:t>
      </w:r>
      <w:r w:rsidRPr="00A24441">
        <w:t>tis.</w:t>
      </w:r>
      <w:r>
        <w:t> </w:t>
      </w:r>
      <w:r w:rsidRPr="00A24441">
        <w:t xml:space="preserve">eur. </w:t>
      </w:r>
      <w:r w:rsidRPr="00396F22">
        <w:t xml:space="preserve">Daňové príjmy zostali bez zmeny a v rámci nedaňových príjmov </w:t>
      </w:r>
      <w:r>
        <w:t>sa očakávali vyššie príjmy z dividend o 34 776 tis. eur. Naopak, nižšie ako rozpočtované príjmy sa očakávali najmä príjmy z predaja kapitálových aktív a príjmy z porušenia predpisov, a to hlavne v kapitole Ministerstva vnútra SR (úhrnom o 39 240 tis. eur).</w:t>
      </w:r>
    </w:p>
    <w:p w14:paraId="3A4DF802" w14:textId="77777777" w:rsidR="00EA177A" w:rsidRDefault="00EA177A" w:rsidP="00EA177A">
      <w:r>
        <w:t>Celková ú</w:t>
      </w:r>
      <w:r w:rsidRPr="00914542">
        <w:t xml:space="preserve">prava rozpočtu výdavkov </w:t>
      </w:r>
      <w:r>
        <w:t xml:space="preserve">predstavovala navýšenie bežných výdavkov o 144 019 tis. eur a kapitálových  výdavkov o 570 638 tis. eur. </w:t>
      </w:r>
    </w:p>
    <w:p w14:paraId="5C303A38" w14:textId="77777777" w:rsidR="00EA177A" w:rsidRPr="00752862" w:rsidRDefault="00EA177A" w:rsidP="00EA177A">
      <w:pPr>
        <w:rPr>
          <w:b/>
        </w:rPr>
      </w:pPr>
      <w:r w:rsidRPr="00752862">
        <w:rPr>
          <w:b/>
        </w:rPr>
        <w:t xml:space="preserve">Schodok štátneho rozpočtu vykázaný k 31. 12. 2019 v sume 2 201 481 tis. eur bol krytý finančnými prostriedkami získanými z predaja štátnych dlhopisov v hodnote 1 900 481 tis. eur a prijatými bankovými úvermi v hodnote 301 000 tis. eur. </w:t>
      </w:r>
    </w:p>
    <w:p w14:paraId="413659D9" w14:textId="77777777" w:rsidR="00EA177A" w:rsidRPr="00E16EEB" w:rsidRDefault="00EA177A" w:rsidP="00EA177A">
      <w:r w:rsidRPr="00E16EEB">
        <w:t>Nasl</w:t>
      </w:r>
      <w:r>
        <w:t xml:space="preserve">edujúce informácie o príjmoch a </w:t>
      </w:r>
      <w:r w:rsidRPr="00E16EEB">
        <w:t>výdavkoch štátneho rozpočtu popisujú ich hotovostné plnenie tak, ako sa prejavili na príjmových a výdavkových účtoch štátnych rozpočtových organizácií v priebehu roka 2019. Komentár k jednotlivým položkám príjmov a výdavkov sa sústredí na opis faktorov majúcich vplyv na ich hotovostné plnenie, pričom porovnanie sa realizuje voči schválenému rozpočtu a skutočnosti predchádzajúceho obdobia.</w:t>
      </w:r>
    </w:p>
    <w:p w14:paraId="5D21BC10" w14:textId="77777777" w:rsidR="00EA177A" w:rsidRDefault="00EA177A" w:rsidP="00EA177A">
      <w:r w:rsidRPr="00E16EEB">
        <w:t>Súčasťou Štátneho záverečného účtu SR je aj tabuľková príloha, ktorá dopĺňa opisnú časť hotovostných príjmov a výdavkov, v členení podľa ekonomickej a organizačnej klasifikácie. Podrobnejšie informácie o príjmoch a výdavkoch jednotlivých kapitol ŠR sú uvedené aj v záverečných účtoch kapitol, ktoré sa zverejňujú na ich webovom sídle.</w:t>
      </w:r>
    </w:p>
    <w:p w14:paraId="0E07C7D3" w14:textId="145B34BF" w:rsidR="00EA177A" w:rsidRDefault="00EA177A" w:rsidP="00EA177A">
      <w:r w:rsidRPr="00E16EEB">
        <w:t>Prípadné číselné rozdiely medzi tabuľkovou prílohou a údajmi v textovej časti záverečného účtu sú spôsobené automatickým zaokrúhľovaním.</w:t>
      </w:r>
    </w:p>
    <w:p w14:paraId="002F60E4" w14:textId="77777777" w:rsidR="00752862" w:rsidRPr="00EA177A" w:rsidRDefault="00752862" w:rsidP="00EA177A"/>
    <w:p w14:paraId="32FA6D11" w14:textId="591C1F6F" w:rsidR="008254BE" w:rsidRDefault="008254BE" w:rsidP="00752862">
      <w:pPr>
        <w:pStyle w:val="Nadpis2"/>
      </w:pPr>
      <w:bookmarkStart w:id="31" w:name="_Toc6415641"/>
      <w:bookmarkStart w:id="32" w:name="_Toc39095172"/>
      <w:r>
        <w:t>Príjmy štátneho rozpočtu</w:t>
      </w:r>
      <w:bookmarkEnd w:id="31"/>
      <w:bookmarkEnd w:id="32"/>
    </w:p>
    <w:p w14:paraId="4C36F68C" w14:textId="77777777" w:rsidR="008254BE" w:rsidRDefault="008254BE" w:rsidP="00752862">
      <w:pPr>
        <w:pStyle w:val="Nadpis3"/>
      </w:pPr>
      <w:bookmarkStart w:id="33" w:name="_Toc6415642"/>
      <w:bookmarkStart w:id="34" w:name="_Toc39095173"/>
      <w:r>
        <w:t>Daňové príjmy</w:t>
      </w:r>
      <w:bookmarkEnd w:id="33"/>
      <w:bookmarkEnd w:id="34"/>
    </w:p>
    <w:p w14:paraId="093BA9B0" w14:textId="77777777" w:rsidR="00EA177A" w:rsidRPr="009A7E73" w:rsidRDefault="00EA177A" w:rsidP="00EA177A">
      <w:r w:rsidRPr="00AD3753">
        <w:t xml:space="preserve">Pre rok 2019 boli daňové príjmy rozpočtované vo </w:t>
      </w:r>
      <w:r w:rsidRPr="009A7E73">
        <w:t xml:space="preserve">výške 12 464 557 tis. eur, čo bolo oproti rozpočtu 2018 viac o 1 103 039 tis. eur. Skutočné daňové príjmy boli však oproti rozpočtu nižšie o 128 113 tis. eur a dosiahli výšku 12 336 444 tis. eur. </w:t>
      </w:r>
    </w:p>
    <w:p w14:paraId="50E96A8D" w14:textId="4964A93D" w:rsidR="00EA177A" w:rsidRPr="000B0EB2" w:rsidRDefault="00EA177A" w:rsidP="00EA177A">
      <w:r w:rsidRPr="009A7E73">
        <w:t xml:space="preserve">Nenaplnenie </w:t>
      </w:r>
      <w:r>
        <w:t>daňových príjmov</w:t>
      </w:r>
      <w:r w:rsidRPr="009A7E73">
        <w:t xml:space="preserve"> bolo spôsobené najmä zrušením </w:t>
      </w:r>
      <w:r>
        <w:t xml:space="preserve">resp. nenaplnením iný daní, s ktorými rozpočet 2019 počítal. Ide najmä o </w:t>
      </w:r>
      <w:r w:rsidRPr="009A7E73">
        <w:t>osobitn</w:t>
      </w:r>
      <w:r>
        <w:t>ý</w:t>
      </w:r>
      <w:r w:rsidRPr="009A7E73">
        <w:t xml:space="preserve"> odvod </w:t>
      </w:r>
      <w:r>
        <w:t>obchodných </w:t>
      </w:r>
      <w:r w:rsidRPr="009A7E73">
        <w:t>reťazcov</w:t>
      </w:r>
      <w:r>
        <w:t xml:space="preserve"> (rozpočet počítal s hotovostným plnením 112 504 </w:t>
      </w:r>
      <w:r w:rsidRPr="009A7E73">
        <w:t>tis. eur) a príjm</w:t>
      </w:r>
      <w:r>
        <w:t>y</w:t>
      </w:r>
      <w:r w:rsidRPr="009A7E73">
        <w:t xml:space="preserve"> zo zavedenia </w:t>
      </w:r>
      <w:proofErr w:type="spellStart"/>
      <w:r w:rsidRPr="009A7E73">
        <w:t>eKasy</w:t>
      </w:r>
      <w:proofErr w:type="spellEnd"/>
      <w:r w:rsidRPr="009A7E73">
        <w:t xml:space="preserve"> a</w:t>
      </w:r>
      <w:r>
        <w:t> </w:t>
      </w:r>
      <w:proofErr w:type="spellStart"/>
      <w:r w:rsidRPr="009A7E73">
        <w:t>nanomarkerov</w:t>
      </w:r>
      <w:proofErr w:type="spellEnd"/>
      <w:r>
        <w:t xml:space="preserve"> (rozpočet predpokladal 90 000 tis. eur)</w:t>
      </w:r>
      <w:r w:rsidRPr="009A7E73">
        <w:t>. Výnos spotrebných daní nedosiahol rozpočtovan</w:t>
      </w:r>
      <w:r>
        <w:t>ú</w:t>
      </w:r>
      <w:r w:rsidRPr="009A7E73">
        <w:t xml:space="preserve"> </w:t>
      </w:r>
      <w:r w:rsidRPr="00603ED0">
        <w:t>hodnot</w:t>
      </w:r>
      <w:r>
        <w:t>u</w:t>
      </w:r>
      <w:r w:rsidRPr="00603ED0">
        <w:t xml:space="preserve"> o</w:t>
      </w:r>
      <w:r>
        <w:t> 59 </w:t>
      </w:r>
      <w:r w:rsidRPr="00603ED0">
        <w:t>451</w:t>
      </w:r>
      <w:r>
        <w:t> </w:t>
      </w:r>
      <w:r w:rsidRPr="00603ED0">
        <w:t>tis.</w:t>
      </w:r>
      <w:r>
        <w:t> </w:t>
      </w:r>
      <w:r w:rsidRPr="00603ED0">
        <w:t>eur</w:t>
      </w:r>
      <w:r>
        <w:t xml:space="preserve"> a daň z motorových vozidiel o 9 132 tis. eur.</w:t>
      </w:r>
      <w:r w:rsidRPr="00603ED0">
        <w:t xml:space="preserve"> Vyššie ako rozpočtované príjmy boli </w:t>
      </w:r>
      <w:r>
        <w:t xml:space="preserve">napríklad </w:t>
      </w:r>
      <w:r w:rsidRPr="00603ED0">
        <w:t xml:space="preserve">pri </w:t>
      </w:r>
      <w:r>
        <w:t>DPH</w:t>
      </w:r>
      <w:r w:rsidRPr="00603ED0">
        <w:t xml:space="preserve"> </w:t>
      </w:r>
      <w:r w:rsidRPr="00180D7C">
        <w:t xml:space="preserve">o </w:t>
      </w:r>
      <w:r w:rsidRPr="00603ED0">
        <w:t>98 426 tis. eur</w:t>
      </w:r>
      <w:r w:rsidR="00AB1731">
        <w:t xml:space="preserve"> a</w:t>
      </w:r>
      <w:r>
        <w:t> </w:t>
      </w:r>
      <w:r w:rsidR="00F90C56">
        <w:t>dani z príjmov právnických osôb</w:t>
      </w:r>
      <w:r w:rsidR="00F90C56">
        <w:br/>
      </w:r>
      <w:r>
        <w:t>o</w:t>
      </w:r>
      <w:r w:rsidR="00AB1731">
        <w:t> 17 683</w:t>
      </w:r>
      <w:r>
        <w:t xml:space="preserve"> tis. eur.</w:t>
      </w:r>
    </w:p>
    <w:p w14:paraId="25A9841B" w14:textId="77777777" w:rsidR="00EA177A" w:rsidRPr="00D95480" w:rsidRDefault="00EA177A" w:rsidP="00EA177A">
      <w:r w:rsidRPr="00DA11F8">
        <w:t xml:space="preserve">Na rozpočtovanie hotovostného príjmu z daní vplýva najmä predpokladaný ekonomický rast a vývoj legislatívnych opatrení v daňovej oblasti, podnikateľského prostredia a zamestnanosti. </w:t>
      </w:r>
      <w:r w:rsidRPr="00CF1F6B">
        <w:t>Rast HDP sa predpokladal na úrovni 4,5 %, v skutočnosti dosiahol podľa predbežných výsledkov 2,3 % (2018: 4,1%).</w:t>
      </w:r>
      <w:r w:rsidRPr="00DA11F8">
        <w:t xml:space="preserve"> </w:t>
      </w:r>
    </w:p>
    <w:p w14:paraId="5A373D23" w14:textId="77777777" w:rsidR="009635A8" w:rsidRDefault="009635A8">
      <w:pPr>
        <w:spacing w:after="160" w:line="259" w:lineRule="auto"/>
        <w:jc w:val="left"/>
        <w:rPr>
          <w:u w:val="single"/>
        </w:rPr>
      </w:pPr>
      <w:r>
        <w:rPr>
          <w:u w:val="single"/>
        </w:rPr>
        <w:br w:type="page"/>
      </w:r>
    </w:p>
    <w:p w14:paraId="733DD453" w14:textId="36FB1A93" w:rsidR="00EA177A" w:rsidRDefault="00EA177A" w:rsidP="00EA177A">
      <w:pPr>
        <w:rPr>
          <w:u w:val="single"/>
        </w:rPr>
      </w:pPr>
      <w:r w:rsidRPr="00D95480">
        <w:rPr>
          <w:u w:val="single"/>
        </w:rPr>
        <w:t>Celkové daňové príjmy štátneho rozpočtu na hotovostnom princípe boli v porovnaní so skutočnosťou v roku 2018 vyššie o 370 662 tis. eur, čo zodpovedá medziroč</w:t>
      </w:r>
      <w:r w:rsidRPr="00175CCE">
        <w:rPr>
          <w:u w:val="single"/>
        </w:rPr>
        <w:t xml:space="preserve">nému rastu na úrovni 3 %. Najvyšší nárast zaznamenali </w:t>
      </w:r>
      <w:r w:rsidRPr="00175CCE">
        <w:rPr>
          <w:i/>
          <w:u w:val="single"/>
        </w:rPr>
        <w:t xml:space="preserve">dane za tovary a služby </w:t>
      </w:r>
      <w:r w:rsidRPr="00175CCE">
        <w:rPr>
          <w:u w:val="single"/>
        </w:rPr>
        <w:t>(383 491 tis. eur)</w:t>
      </w:r>
      <w:r w:rsidRPr="00175CCE">
        <w:rPr>
          <w:i/>
          <w:u w:val="single"/>
        </w:rPr>
        <w:t xml:space="preserve">, </w:t>
      </w:r>
      <w:r w:rsidRPr="00175CCE">
        <w:rPr>
          <w:u w:val="single"/>
        </w:rPr>
        <w:t>z toho</w:t>
      </w:r>
      <w:r w:rsidRPr="00175CCE">
        <w:rPr>
          <w:i/>
          <w:u w:val="single"/>
        </w:rPr>
        <w:t xml:space="preserve"> DPH </w:t>
      </w:r>
      <w:r w:rsidRPr="00175CCE">
        <w:rPr>
          <w:u w:val="single"/>
        </w:rPr>
        <w:t>(315 455 tis. eur).</w:t>
      </w:r>
    </w:p>
    <w:p w14:paraId="6CD1B5DB" w14:textId="77777777" w:rsidR="00EA177A" w:rsidRDefault="00EA177A" w:rsidP="00EA177A">
      <w:pPr>
        <w:rPr>
          <w:sz w:val="18"/>
          <w:szCs w:val="18"/>
        </w:rPr>
      </w:pPr>
      <w:r w:rsidRPr="004F1FB8">
        <w:t>Prehľad o plnení daňových príjmov štátneho rozpočtu poskytujú nasledovné údaje:</w:t>
      </w:r>
    </w:p>
    <w:tbl>
      <w:tblPr>
        <w:tblW w:w="8440" w:type="dxa"/>
        <w:tblInd w:w="55" w:type="dxa"/>
        <w:tblCellMar>
          <w:left w:w="70" w:type="dxa"/>
          <w:right w:w="70" w:type="dxa"/>
        </w:tblCellMar>
        <w:tblLook w:val="04A0" w:firstRow="1" w:lastRow="0" w:firstColumn="1" w:lastColumn="0" w:noHBand="0" w:noVBand="1"/>
      </w:tblPr>
      <w:tblGrid>
        <w:gridCol w:w="2912"/>
        <w:gridCol w:w="992"/>
        <w:gridCol w:w="1025"/>
        <w:gridCol w:w="960"/>
        <w:gridCol w:w="1025"/>
        <w:gridCol w:w="818"/>
        <w:gridCol w:w="708"/>
      </w:tblGrid>
      <w:tr w:rsidR="00EA177A" w:rsidRPr="00094791" w14:paraId="159E9A48" w14:textId="77777777" w:rsidTr="00630581">
        <w:trPr>
          <w:trHeight w:val="533"/>
        </w:trPr>
        <w:tc>
          <w:tcPr>
            <w:tcW w:w="8440" w:type="dxa"/>
            <w:gridSpan w:val="7"/>
            <w:tcBorders>
              <w:top w:val="nil"/>
              <w:left w:val="single" w:sz="8" w:space="0" w:color="auto"/>
              <w:right w:val="nil"/>
            </w:tcBorders>
            <w:shd w:val="clear" w:color="000000" w:fill="000000"/>
            <w:vAlign w:val="center"/>
            <w:hideMark/>
          </w:tcPr>
          <w:p w14:paraId="443A8F77" w14:textId="7CDC1D1B" w:rsidR="00EA177A" w:rsidRPr="00094791" w:rsidRDefault="00EA177A" w:rsidP="00707343">
            <w:pPr>
              <w:spacing w:after="0" w:line="240" w:lineRule="auto"/>
              <w:contextualSpacing/>
              <w:jc w:val="left"/>
              <w:rPr>
                <w:rFonts w:eastAsia="Times New Roman" w:cs="Times New Roman"/>
                <w:b/>
                <w:bCs/>
                <w:color w:val="FFFFFF"/>
                <w:sz w:val="18"/>
                <w:szCs w:val="18"/>
                <w:lang w:eastAsia="sk-SK"/>
              </w:rPr>
            </w:pPr>
            <w:r w:rsidRPr="00094791">
              <w:rPr>
                <w:rFonts w:eastAsia="Times New Roman" w:cs="Times New Roman"/>
                <w:b/>
                <w:bCs/>
                <w:color w:val="FFFFFF"/>
                <w:sz w:val="18"/>
                <w:szCs w:val="18"/>
                <w:lang w:eastAsia="sk-SK"/>
              </w:rPr>
              <w:t xml:space="preserve">Daňové príjmy štátneho rozpočtu </w:t>
            </w:r>
            <w:r w:rsidR="00707343">
              <w:rPr>
                <w:rFonts w:eastAsia="Times New Roman" w:cs="Times New Roman"/>
                <w:b/>
                <w:bCs/>
                <w:color w:val="FFFFFF"/>
                <w:sz w:val="18"/>
                <w:szCs w:val="18"/>
                <w:lang w:eastAsia="sk-SK"/>
              </w:rPr>
              <w:t xml:space="preserve">                                                                                                            v tis. eur</w:t>
            </w:r>
          </w:p>
        </w:tc>
      </w:tr>
      <w:tr w:rsidR="00EA177A" w:rsidRPr="00094791" w14:paraId="1F00B537" w14:textId="77777777" w:rsidTr="00707343">
        <w:trPr>
          <w:trHeight w:val="330"/>
        </w:trPr>
        <w:tc>
          <w:tcPr>
            <w:tcW w:w="2912" w:type="dxa"/>
            <w:tcBorders>
              <w:top w:val="nil"/>
              <w:left w:val="nil"/>
              <w:bottom w:val="nil"/>
              <w:right w:val="nil"/>
            </w:tcBorders>
            <w:shd w:val="pct25" w:color="auto" w:fill="auto"/>
            <w:vAlign w:val="center"/>
            <w:hideMark/>
          </w:tcPr>
          <w:p w14:paraId="00916BAA"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p>
        </w:tc>
        <w:tc>
          <w:tcPr>
            <w:tcW w:w="2017" w:type="dxa"/>
            <w:gridSpan w:val="2"/>
            <w:tcBorders>
              <w:top w:val="nil"/>
              <w:left w:val="nil"/>
              <w:bottom w:val="nil"/>
              <w:right w:val="nil"/>
            </w:tcBorders>
            <w:shd w:val="pct25" w:color="auto" w:fill="auto"/>
            <w:vAlign w:val="center"/>
            <w:hideMark/>
          </w:tcPr>
          <w:p w14:paraId="65DC1260"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Skutočnosť</w:t>
            </w:r>
          </w:p>
        </w:tc>
        <w:tc>
          <w:tcPr>
            <w:tcW w:w="960" w:type="dxa"/>
            <w:tcBorders>
              <w:top w:val="nil"/>
              <w:left w:val="nil"/>
              <w:bottom w:val="nil"/>
              <w:right w:val="nil"/>
            </w:tcBorders>
            <w:shd w:val="pct25" w:color="auto" w:fill="auto"/>
            <w:vAlign w:val="center"/>
            <w:hideMark/>
          </w:tcPr>
          <w:p w14:paraId="46B9E0DD"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Rozpočet</w:t>
            </w:r>
          </w:p>
        </w:tc>
        <w:tc>
          <w:tcPr>
            <w:tcW w:w="1025" w:type="dxa"/>
            <w:tcBorders>
              <w:top w:val="nil"/>
              <w:left w:val="nil"/>
              <w:bottom w:val="nil"/>
              <w:right w:val="nil"/>
            </w:tcBorders>
            <w:shd w:val="pct25" w:color="auto" w:fill="auto"/>
            <w:vAlign w:val="center"/>
            <w:hideMark/>
          </w:tcPr>
          <w:p w14:paraId="63F46A7B"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Skutočnosť</w:t>
            </w:r>
          </w:p>
        </w:tc>
        <w:tc>
          <w:tcPr>
            <w:tcW w:w="1526" w:type="dxa"/>
            <w:gridSpan w:val="2"/>
            <w:tcBorders>
              <w:top w:val="nil"/>
              <w:left w:val="nil"/>
              <w:bottom w:val="nil"/>
              <w:right w:val="nil"/>
            </w:tcBorders>
            <w:shd w:val="pct25" w:color="auto" w:fill="auto"/>
            <w:vAlign w:val="center"/>
            <w:hideMark/>
          </w:tcPr>
          <w:p w14:paraId="32A5D59D"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Rozdiel</w:t>
            </w:r>
            <w:r>
              <w:rPr>
                <w:rFonts w:eastAsia="Times New Roman" w:cs="Times New Roman"/>
                <w:b/>
                <w:sz w:val="18"/>
                <w:szCs w:val="18"/>
                <w:lang w:eastAsia="sk-SK"/>
              </w:rPr>
              <w:t xml:space="preserve"> oproti rozpočtu</w:t>
            </w:r>
          </w:p>
        </w:tc>
      </w:tr>
      <w:tr w:rsidR="00EA177A" w:rsidRPr="00094791" w14:paraId="0949B5B6" w14:textId="77777777" w:rsidTr="00707343">
        <w:trPr>
          <w:trHeight w:val="262"/>
        </w:trPr>
        <w:tc>
          <w:tcPr>
            <w:tcW w:w="2912" w:type="dxa"/>
            <w:tcBorders>
              <w:top w:val="nil"/>
              <w:left w:val="nil"/>
              <w:bottom w:val="nil"/>
              <w:right w:val="nil"/>
            </w:tcBorders>
            <w:shd w:val="pct25" w:color="auto" w:fill="auto"/>
            <w:vAlign w:val="center"/>
            <w:hideMark/>
          </w:tcPr>
          <w:p w14:paraId="7934B5E6"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p>
        </w:tc>
        <w:tc>
          <w:tcPr>
            <w:tcW w:w="992" w:type="dxa"/>
            <w:tcBorders>
              <w:top w:val="nil"/>
              <w:left w:val="nil"/>
              <w:bottom w:val="nil"/>
              <w:right w:val="nil"/>
            </w:tcBorders>
            <w:shd w:val="pct25" w:color="auto" w:fill="auto"/>
            <w:vAlign w:val="center"/>
            <w:hideMark/>
          </w:tcPr>
          <w:p w14:paraId="76333E39"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Pr>
                <w:rFonts w:eastAsia="Times New Roman" w:cs="Times New Roman"/>
                <w:b/>
                <w:sz w:val="18"/>
                <w:szCs w:val="18"/>
                <w:lang w:eastAsia="sk-SK"/>
              </w:rPr>
              <w:t>2017</w:t>
            </w:r>
          </w:p>
        </w:tc>
        <w:tc>
          <w:tcPr>
            <w:tcW w:w="1025" w:type="dxa"/>
            <w:tcBorders>
              <w:top w:val="nil"/>
              <w:left w:val="nil"/>
              <w:bottom w:val="nil"/>
              <w:right w:val="nil"/>
            </w:tcBorders>
            <w:shd w:val="pct25" w:color="auto" w:fill="auto"/>
            <w:vAlign w:val="center"/>
            <w:hideMark/>
          </w:tcPr>
          <w:p w14:paraId="26E712B6"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201</w:t>
            </w:r>
            <w:r>
              <w:rPr>
                <w:rFonts w:eastAsia="Times New Roman" w:cs="Times New Roman"/>
                <w:b/>
                <w:sz w:val="18"/>
                <w:szCs w:val="18"/>
                <w:lang w:eastAsia="sk-SK"/>
              </w:rPr>
              <w:t>8</w:t>
            </w:r>
          </w:p>
        </w:tc>
        <w:tc>
          <w:tcPr>
            <w:tcW w:w="960" w:type="dxa"/>
            <w:tcBorders>
              <w:top w:val="nil"/>
              <w:left w:val="nil"/>
              <w:bottom w:val="nil"/>
              <w:right w:val="nil"/>
            </w:tcBorders>
            <w:shd w:val="pct25" w:color="auto" w:fill="auto"/>
            <w:vAlign w:val="center"/>
            <w:hideMark/>
          </w:tcPr>
          <w:p w14:paraId="09C5894B"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2</w:t>
            </w:r>
            <w:r>
              <w:rPr>
                <w:rFonts w:eastAsia="Times New Roman" w:cs="Times New Roman"/>
                <w:b/>
                <w:sz w:val="18"/>
                <w:szCs w:val="18"/>
                <w:lang w:eastAsia="sk-SK"/>
              </w:rPr>
              <w:t>019</w:t>
            </w:r>
          </w:p>
        </w:tc>
        <w:tc>
          <w:tcPr>
            <w:tcW w:w="1025" w:type="dxa"/>
            <w:tcBorders>
              <w:top w:val="nil"/>
              <w:left w:val="nil"/>
              <w:bottom w:val="nil"/>
              <w:right w:val="nil"/>
            </w:tcBorders>
            <w:shd w:val="pct25" w:color="auto" w:fill="auto"/>
            <w:vAlign w:val="center"/>
            <w:hideMark/>
          </w:tcPr>
          <w:p w14:paraId="7A30A60F"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Pr>
                <w:rFonts w:eastAsia="Times New Roman" w:cs="Times New Roman"/>
                <w:b/>
                <w:sz w:val="18"/>
                <w:szCs w:val="18"/>
                <w:lang w:eastAsia="sk-SK"/>
              </w:rPr>
              <w:t>2019</w:t>
            </w:r>
          </w:p>
        </w:tc>
        <w:tc>
          <w:tcPr>
            <w:tcW w:w="818" w:type="dxa"/>
            <w:tcBorders>
              <w:top w:val="nil"/>
              <w:left w:val="nil"/>
              <w:bottom w:val="nil"/>
              <w:right w:val="nil"/>
            </w:tcBorders>
            <w:shd w:val="pct25" w:color="auto" w:fill="auto"/>
            <w:vAlign w:val="center"/>
            <w:hideMark/>
          </w:tcPr>
          <w:p w14:paraId="375F86E9"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v tis. eur</w:t>
            </w:r>
          </w:p>
        </w:tc>
        <w:tc>
          <w:tcPr>
            <w:tcW w:w="708" w:type="dxa"/>
            <w:tcBorders>
              <w:top w:val="nil"/>
              <w:left w:val="nil"/>
              <w:bottom w:val="nil"/>
              <w:right w:val="nil"/>
            </w:tcBorders>
            <w:shd w:val="pct25" w:color="auto" w:fill="auto"/>
            <w:vAlign w:val="center"/>
            <w:hideMark/>
          </w:tcPr>
          <w:p w14:paraId="66C75D0D"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v %</w:t>
            </w:r>
          </w:p>
        </w:tc>
      </w:tr>
      <w:tr w:rsidR="00EA177A" w:rsidRPr="00094791" w14:paraId="2F0CF112" w14:textId="77777777" w:rsidTr="00707343">
        <w:trPr>
          <w:trHeight w:val="280"/>
        </w:trPr>
        <w:tc>
          <w:tcPr>
            <w:tcW w:w="2912" w:type="dxa"/>
            <w:tcBorders>
              <w:top w:val="nil"/>
              <w:left w:val="nil"/>
              <w:bottom w:val="single" w:sz="8" w:space="0" w:color="auto"/>
              <w:right w:val="nil"/>
            </w:tcBorders>
            <w:shd w:val="pct25" w:color="auto" w:fill="auto"/>
            <w:vAlign w:val="center"/>
            <w:hideMark/>
          </w:tcPr>
          <w:p w14:paraId="6BCCAF80"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p>
        </w:tc>
        <w:tc>
          <w:tcPr>
            <w:tcW w:w="992" w:type="dxa"/>
            <w:tcBorders>
              <w:top w:val="nil"/>
              <w:left w:val="nil"/>
              <w:bottom w:val="single" w:sz="8" w:space="0" w:color="auto"/>
              <w:right w:val="nil"/>
            </w:tcBorders>
            <w:shd w:val="pct25" w:color="auto" w:fill="auto"/>
            <w:vAlign w:val="center"/>
            <w:hideMark/>
          </w:tcPr>
          <w:p w14:paraId="2675BE08"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1</w:t>
            </w:r>
          </w:p>
        </w:tc>
        <w:tc>
          <w:tcPr>
            <w:tcW w:w="1025" w:type="dxa"/>
            <w:tcBorders>
              <w:top w:val="nil"/>
              <w:left w:val="nil"/>
              <w:bottom w:val="single" w:sz="8" w:space="0" w:color="auto"/>
              <w:right w:val="nil"/>
            </w:tcBorders>
            <w:shd w:val="pct25" w:color="auto" w:fill="auto"/>
            <w:vAlign w:val="center"/>
            <w:hideMark/>
          </w:tcPr>
          <w:p w14:paraId="0E080E8D"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2</w:t>
            </w:r>
          </w:p>
        </w:tc>
        <w:tc>
          <w:tcPr>
            <w:tcW w:w="960" w:type="dxa"/>
            <w:tcBorders>
              <w:top w:val="nil"/>
              <w:left w:val="nil"/>
              <w:bottom w:val="single" w:sz="8" w:space="0" w:color="auto"/>
              <w:right w:val="nil"/>
            </w:tcBorders>
            <w:shd w:val="pct25" w:color="auto" w:fill="auto"/>
            <w:vAlign w:val="center"/>
            <w:hideMark/>
          </w:tcPr>
          <w:p w14:paraId="6623024C"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3</w:t>
            </w:r>
          </w:p>
        </w:tc>
        <w:tc>
          <w:tcPr>
            <w:tcW w:w="1025" w:type="dxa"/>
            <w:tcBorders>
              <w:top w:val="nil"/>
              <w:left w:val="nil"/>
              <w:bottom w:val="single" w:sz="8" w:space="0" w:color="auto"/>
              <w:right w:val="nil"/>
            </w:tcBorders>
            <w:shd w:val="pct25" w:color="auto" w:fill="auto"/>
            <w:vAlign w:val="center"/>
            <w:hideMark/>
          </w:tcPr>
          <w:p w14:paraId="681C1DF6"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4</w:t>
            </w:r>
          </w:p>
        </w:tc>
        <w:tc>
          <w:tcPr>
            <w:tcW w:w="818" w:type="dxa"/>
            <w:tcBorders>
              <w:top w:val="nil"/>
              <w:left w:val="nil"/>
              <w:bottom w:val="single" w:sz="8" w:space="0" w:color="auto"/>
              <w:right w:val="nil"/>
            </w:tcBorders>
            <w:shd w:val="pct25" w:color="auto" w:fill="auto"/>
            <w:vAlign w:val="center"/>
            <w:hideMark/>
          </w:tcPr>
          <w:p w14:paraId="19B645FA"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5=4-3</w:t>
            </w:r>
          </w:p>
        </w:tc>
        <w:tc>
          <w:tcPr>
            <w:tcW w:w="708" w:type="dxa"/>
            <w:tcBorders>
              <w:top w:val="nil"/>
              <w:left w:val="nil"/>
              <w:bottom w:val="single" w:sz="8" w:space="0" w:color="auto"/>
              <w:right w:val="nil"/>
            </w:tcBorders>
            <w:shd w:val="pct25" w:color="auto" w:fill="auto"/>
            <w:vAlign w:val="center"/>
            <w:hideMark/>
          </w:tcPr>
          <w:p w14:paraId="00A758F9" w14:textId="77777777" w:rsidR="00EA177A" w:rsidRPr="00094791" w:rsidRDefault="00EA177A" w:rsidP="00C704A7">
            <w:pPr>
              <w:spacing w:after="0" w:line="240" w:lineRule="auto"/>
              <w:contextualSpacing/>
              <w:jc w:val="center"/>
              <w:rPr>
                <w:rFonts w:eastAsia="Times New Roman" w:cs="Times New Roman"/>
                <w:b/>
                <w:sz w:val="18"/>
                <w:szCs w:val="18"/>
                <w:lang w:eastAsia="sk-SK"/>
              </w:rPr>
            </w:pPr>
            <w:r w:rsidRPr="00094791">
              <w:rPr>
                <w:rFonts w:eastAsia="Times New Roman" w:cs="Times New Roman"/>
                <w:b/>
                <w:sz w:val="18"/>
                <w:szCs w:val="18"/>
                <w:lang w:eastAsia="sk-SK"/>
              </w:rPr>
              <w:t>6=4-3</w:t>
            </w:r>
          </w:p>
        </w:tc>
      </w:tr>
      <w:tr w:rsidR="00EA177A" w:rsidRPr="00094791" w14:paraId="3F8AC4A8" w14:textId="77777777" w:rsidTr="0044781D">
        <w:trPr>
          <w:trHeight w:val="330"/>
        </w:trPr>
        <w:tc>
          <w:tcPr>
            <w:tcW w:w="2912" w:type="dxa"/>
            <w:tcBorders>
              <w:top w:val="nil"/>
              <w:left w:val="nil"/>
              <w:bottom w:val="nil"/>
              <w:right w:val="nil"/>
            </w:tcBorders>
            <w:shd w:val="clear" w:color="auto" w:fill="auto"/>
            <w:noWrap/>
            <w:vAlign w:val="center"/>
            <w:hideMark/>
          </w:tcPr>
          <w:p w14:paraId="1E890440" w14:textId="77777777" w:rsidR="00EA177A" w:rsidRPr="00094791" w:rsidRDefault="00EA177A" w:rsidP="00C704A7">
            <w:pPr>
              <w:spacing w:after="0" w:line="240" w:lineRule="auto"/>
              <w:contextualSpacing/>
              <w:jc w:val="left"/>
              <w:rPr>
                <w:rFonts w:eastAsia="Times New Roman" w:cs="Times New Roman"/>
                <w:b/>
                <w:color w:val="000000"/>
                <w:sz w:val="18"/>
                <w:szCs w:val="18"/>
                <w:lang w:eastAsia="sk-SK"/>
              </w:rPr>
            </w:pPr>
            <w:r w:rsidRPr="00094791">
              <w:rPr>
                <w:rFonts w:eastAsia="Times New Roman" w:cs="Times New Roman"/>
                <w:b/>
                <w:color w:val="000000"/>
                <w:sz w:val="18"/>
                <w:szCs w:val="18"/>
                <w:lang w:eastAsia="sk-SK"/>
              </w:rPr>
              <w:t>Dane za tovary a</w:t>
            </w:r>
            <w:r>
              <w:rPr>
                <w:rFonts w:eastAsia="Times New Roman" w:cs="Times New Roman"/>
                <w:b/>
                <w:color w:val="000000"/>
                <w:sz w:val="18"/>
                <w:szCs w:val="18"/>
                <w:lang w:eastAsia="sk-SK"/>
              </w:rPr>
              <w:t> </w:t>
            </w:r>
            <w:r w:rsidRPr="00094791">
              <w:rPr>
                <w:rFonts w:eastAsia="Times New Roman" w:cs="Times New Roman"/>
                <w:b/>
                <w:color w:val="000000"/>
                <w:sz w:val="18"/>
                <w:szCs w:val="18"/>
                <w:lang w:eastAsia="sk-SK"/>
              </w:rPr>
              <w:t>služby</w:t>
            </w:r>
          </w:p>
        </w:tc>
        <w:tc>
          <w:tcPr>
            <w:tcW w:w="992" w:type="dxa"/>
            <w:tcBorders>
              <w:top w:val="nil"/>
              <w:left w:val="nil"/>
              <w:bottom w:val="nil"/>
              <w:right w:val="nil"/>
            </w:tcBorders>
            <w:shd w:val="clear" w:color="auto" w:fill="auto"/>
            <w:noWrap/>
            <w:vAlign w:val="center"/>
            <w:hideMark/>
          </w:tcPr>
          <w:p w14:paraId="0974DFE3"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sz w:val="18"/>
                <w:szCs w:val="18"/>
              </w:rPr>
              <w:t>8 328 646</w:t>
            </w:r>
          </w:p>
        </w:tc>
        <w:tc>
          <w:tcPr>
            <w:tcW w:w="1025" w:type="dxa"/>
            <w:tcBorders>
              <w:top w:val="nil"/>
              <w:left w:val="nil"/>
              <w:bottom w:val="nil"/>
              <w:right w:val="nil"/>
            </w:tcBorders>
            <w:shd w:val="clear" w:color="auto" w:fill="auto"/>
            <w:noWrap/>
            <w:vAlign w:val="center"/>
            <w:hideMark/>
          </w:tcPr>
          <w:p w14:paraId="63BDAE03"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sz w:val="18"/>
                <w:szCs w:val="18"/>
              </w:rPr>
              <w:t>8 919 317</w:t>
            </w:r>
          </w:p>
        </w:tc>
        <w:tc>
          <w:tcPr>
            <w:tcW w:w="960" w:type="dxa"/>
            <w:tcBorders>
              <w:top w:val="nil"/>
              <w:left w:val="nil"/>
              <w:bottom w:val="nil"/>
              <w:right w:val="nil"/>
            </w:tcBorders>
            <w:shd w:val="clear" w:color="000000" w:fill="FFFFFF"/>
            <w:noWrap/>
            <w:vAlign w:val="center"/>
          </w:tcPr>
          <w:p w14:paraId="7EC9A787"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sz w:val="18"/>
                <w:szCs w:val="18"/>
              </w:rPr>
              <w:t>9 275 251</w:t>
            </w:r>
          </w:p>
        </w:tc>
        <w:tc>
          <w:tcPr>
            <w:tcW w:w="1025" w:type="dxa"/>
            <w:tcBorders>
              <w:top w:val="single" w:sz="8" w:space="0" w:color="auto"/>
              <w:left w:val="nil"/>
              <w:bottom w:val="nil"/>
              <w:right w:val="nil"/>
            </w:tcBorders>
            <w:shd w:val="clear" w:color="auto" w:fill="BFBFBF" w:themeFill="background1" w:themeFillShade="BF"/>
            <w:noWrap/>
            <w:vAlign w:val="center"/>
          </w:tcPr>
          <w:p w14:paraId="192CE6EC"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sz w:val="18"/>
                <w:szCs w:val="18"/>
              </w:rPr>
              <w:t>9 302 808</w:t>
            </w:r>
          </w:p>
        </w:tc>
        <w:tc>
          <w:tcPr>
            <w:tcW w:w="818" w:type="dxa"/>
            <w:tcBorders>
              <w:top w:val="nil"/>
              <w:left w:val="nil"/>
              <w:bottom w:val="nil"/>
              <w:right w:val="nil"/>
            </w:tcBorders>
            <w:shd w:val="clear" w:color="000000" w:fill="FFFFFF"/>
            <w:vAlign w:val="center"/>
          </w:tcPr>
          <w:p w14:paraId="6AA3AF64"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sz w:val="18"/>
                <w:szCs w:val="18"/>
              </w:rPr>
              <w:t>27 557</w:t>
            </w:r>
          </w:p>
        </w:tc>
        <w:tc>
          <w:tcPr>
            <w:tcW w:w="708" w:type="dxa"/>
            <w:tcBorders>
              <w:top w:val="nil"/>
              <w:left w:val="nil"/>
              <w:bottom w:val="nil"/>
              <w:right w:val="nil"/>
            </w:tcBorders>
            <w:shd w:val="clear" w:color="000000" w:fill="FFFFFF"/>
            <w:vAlign w:val="center"/>
          </w:tcPr>
          <w:p w14:paraId="248C905B"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color w:val="000000"/>
                <w:sz w:val="18"/>
                <w:szCs w:val="18"/>
              </w:rPr>
              <w:t>0,3</w:t>
            </w:r>
          </w:p>
        </w:tc>
      </w:tr>
      <w:tr w:rsidR="00EA177A" w:rsidRPr="00094791" w14:paraId="1F42F377" w14:textId="77777777" w:rsidTr="0044781D">
        <w:trPr>
          <w:trHeight w:val="330"/>
        </w:trPr>
        <w:tc>
          <w:tcPr>
            <w:tcW w:w="2912" w:type="dxa"/>
            <w:tcBorders>
              <w:top w:val="nil"/>
              <w:left w:val="nil"/>
              <w:bottom w:val="nil"/>
              <w:right w:val="nil"/>
            </w:tcBorders>
            <w:shd w:val="clear" w:color="auto" w:fill="auto"/>
            <w:noWrap/>
            <w:vAlign w:val="center"/>
          </w:tcPr>
          <w:p w14:paraId="49A73374" w14:textId="77777777" w:rsidR="00EA177A" w:rsidRPr="00094791" w:rsidRDefault="00EA177A" w:rsidP="00C704A7">
            <w:pPr>
              <w:spacing w:after="0" w:line="240" w:lineRule="auto"/>
              <w:contextualSpacing/>
              <w:jc w:val="left"/>
              <w:rPr>
                <w:rFonts w:eastAsia="Times New Roman" w:cs="Times New Roman"/>
                <w:color w:val="000000"/>
                <w:sz w:val="18"/>
                <w:szCs w:val="18"/>
                <w:lang w:eastAsia="sk-SK"/>
              </w:rPr>
            </w:pPr>
            <w:r w:rsidRPr="00094791">
              <w:rPr>
                <w:rFonts w:eastAsia="Times New Roman" w:cs="Times New Roman"/>
                <w:color w:val="000000"/>
                <w:sz w:val="18"/>
                <w:szCs w:val="18"/>
                <w:lang w:eastAsia="sk-SK"/>
              </w:rPr>
              <w:t xml:space="preserve">v tom: </w:t>
            </w:r>
          </w:p>
        </w:tc>
        <w:tc>
          <w:tcPr>
            <w:tcW w:w="992" w:type="dxa"/>
            <w:tcBorders>
              <w:top w:val="nil"/>
              <w:left w:val="nil"/>
              <w:bottom w:val="nil"/>
              <w:right w:val="nil"/>
            </w:tcBorders>
            <w:shd w:val="clear" w:color="auto" w:fill="auto"/>
            <w:noWrap/>
            <w:vAlign w:val="center"/>
          </w:tcPr>
          <w:p w14:paraId="2E6DBB7D" w14:textId="77777777" w:rsidR="00EA177A" w:rsidRPr="00094791" w:rsidRDefault="00EA177A" w:rsidP="00C704A7">
            <w:pPr>
              <w:spacing w:after="0" w:line="240" w:lineRule="auto"/>
              <w:contextualSpacing/>
              <w:jc w:val="right"/>
              <w:rPr>
                <w:rFonts w:cs="Times New Roman"/>
                <w:color w:val="000000"/>
                <w:sz w:val="18"/>
                <w:szCs w:val="18"/>
              </w:rPr>
            </w:pPr>
          </w:p>
        </w:tc>
        <w:tc>
          <w:tcPr>
            <w:tcW w:w="1025" w:type="dxa"/>
            <w:tcBorders>
              <w:top w:val="nil"/>
              <w:left w:val="nil"/>
              <w:bottom w:val="nil"/>
              <w:right w:val="nil"/>
            </w:tcBorders>
            <w:shd w:val="clear" w:color="auto" w:fill="auto"/>
            <w:noWrap/>
            <w:vAlign w:val="center"/>
          </w:tcPr>
          <w:p w14:paraId="42BE75CA" w14:textId="77777777" w:rsidR="00EA177A" w:rsidRPr="00094791" w:rsidRDefault="00EA177A" w:rsidP="00C704A7">
            <w:pPr>
              <w:spacing w:after="0" w:line="240" w:lineRule="auto"/>
              <w:contextualSpacing/>
              <w:jc w:val="right"/>
              <w:rPr>
                <w:rFonts w:cs="Times New Roman"/>
                <w:color w:val="000000"/>
                <w:sz w:val="18"/>
                <w:szCs w:val="18"/>
              </w:rPr>
            </w:pPr>
          </w:p>
        </w:tc>
        <w:tc>
          <w:tcPr>
            <w:tcW w:w="960" w:type="dxa"/>
            <w:tcBorders>
              <w:top w:val="nil"/>
              <w:left w:val="nil"/>
              <w:bottom w:val="nil"/>
              <w:right w:val="nil"/>
            </w:tcBorders>
            <w:shd w:val="clear" w:color="auto" w:fill="auto"/>
            <w:noWrap/>
            <w:vAlign w:val="center"/>
          </w:tcPr>
          <w:p w14:paraId="1FB995E2" w14:textId="77777777" w:rsidR="00EA177A" w:rsidRPr="00094791" w:rsidRDefault="00EA177A" w:rsidP="00C704A7">
            <w:pPr>
              <w:spacing w:after="0" w:line="240" w:lineRule="auto"/>
              <w:contextualSpacing/>
              <w:jc w:val="right"/>
              <w:rPr>
                <w:rFonts w:cs="Times New Roman"/>
                <w:color w:val="000000"/>
                <w:sz w:val="18"/>
                <w:szCs w:val="18"/>
              </w:rPr>
            </w:pPr>
          </w:p>
        </w:tc>
        <w:tc>
          <w:tcPr>
            <w:tcW w:w="1025" w:type="dxa"/>
            <w:tcBorders>
              <w:top w:val="nil"/>
              <w:left w:val="nil"/>
              <w:bottom w:val="nil"/>
              <w:right w:val="nil"/>
            </w:tcBorders>
            <w:shd w:val="clear" w:color="auto" w:fill="BFBFBF" w:themeFill="background1" w:themeFillShade="BF"/>
            <w:noWrap/>
            <w:vAlign w:val="center"/>
          </w:tcPr>
          <w:p w14:paraId="2DB7CE3A" w14:textId="77777777" w:rsidR="00EA177A" w:rsidRPr="00094791" w:rsidRDefault="00EA177A" w:rsidP="00C704A7">
            <w:pPr>
              <w:spacing w:after="0" w:line="240" w:lineRule="auto"/>
              <w:contextualSpacing/>
              <w:jc w:val="right"/>
              <w:rPr>
                <w:rFonts w:cs="Times New Roman"/>
                <w:sz w:val="18"/>
                <w:szCs w:val="18"/>
              </w:rPr>
            </w:pPr>
          </w:p>
        </w:tc>
        <w:tc>
          <w:tcPr>
            <w:tcW w:w="818" w:type="dxa"/>
            <w:tcBorders>
              <w:top w:val="nil"/>
              <w:left w:val="nil"/>
              <w:bottom w:val="nil"/>
              <w:right w:val="nil"/>
            </w:tcBorders>
            <w:shd w:val="clear" w:color="auto" w:fill="auto"/>
            <w:noWrap/>
            <w:vAlign w:val="center"/>
          </w:tcPr>
          <w:p w14:paraId="7F6F59B6" w14:textId="77777777" w:rsidR="00EA177A" w:rsidRPr="00094791" w:rsidRDefault="00EA177A" w:rsidP="00C704A7">
            <w:pPr>
              <w:spacing w:after="0" w:line="240" w:lineRule="auto"/>
              <w:contextualSpacing/>
              <w:jc w:val="right"/>
              <w:rPr>
                <w:rFonts w:cs="Times New Roman"/>
                <w:sz w:val="18"/>
                <w:szCs w:val="18"/>
              </w:rPr>
            </w:pPr>
          </w:p>
        </w:tc>
        <w:tc>
          <w:tcPr>
            <w:tcW w:w="708" w:type="dxa"/>
            <w:tcBorders>
              <w:top w:val="nil"/>
              <w:left w:val="nil"/>
              <w:bottom w:val="nil"/>
              <w:right w:val="nil"/>
            </w:tcBorders>
            <w:shd w:val="clear" w:color="auto" w:fill="auto"/>
            <w:noWrap/>
            <w:vAlign w:val="center"/>
          </w:tcPr>
          <w:p w14:paraId="6DD1A8BB" w14:textId="77777777" w:rsidR="00EA177A" w:rsidRPr="00094791" w:rsidRDefault="00EA177A" w:rsidP="00C704A7">
            <w:pPr>
              <w:spacing w:after="0" w:line="240" w:lineRule="auto"/>
              <w:contextualSpacing/>
              <w:jc w:val="right"/>
              <w:rPr>
                <w:rFonts w:cs="Times New Roman"/>
                <w:color w:val="000000"/>
                <w:sz w:val="18"/>
                <w:szCs w:val="18"/>
              </w:rPr>
            </w:pPr>
          </w:p>
        </w:tc>
      </w:tr>
      <w:tr w:rsidR="00EA177A" w:rsidRPr="00094791" w14:paraId="3C2F4D55" w14:textId="77777777" w:rsidTr="0044781D">
        <w:trPr>
          <w:trHeight w:val="330"/>
        </w:trPr>
        <w:tc>
          <w:tcPr>
            <w:tcW w:w="2912" w:type="dxa"/>
            <w:tcBorders>
              <w:top w:val="nil"/>
              <w:left w:val="nil"/>
              <w:bottom w:val="nil"/>
              <w:right w:val="nil"/>
            </w:tcBorders>
            <w:shd w:val="clear" w:color="auto" w:fill="auto"/>
            <w:noWrap/>
            <w:vAlign w:val="center"/>
            <w:hideMark/>
          </w:tcPr>
          <w:p w14:paraId="6682D480" w14:textId="77777777" w:rsidR="00EA177A" w:rsidRPr="00094791" w:rsidRDefault="00EA177A" w:rsidP="00C704A7">
            <w:pPr>
              <w:spacing w:after="0" w:line="240" w:lineRule="auto"/>
              <w:contextualSpacing/>
              <w:jc w:val="left"/>
              <w:rPr>
                <w:rFonts w:eastAsia="Times New Roman" w:cs="Times New Roman"/>
                <w:color w:val="000000"/>
                <w:sz w:val="18"/>
                <w:szCs w:val="18"/>
                <w:lang w:eastAsia="sk-SK"/>
              </w:rPr>
            </w:pPr>
            <w:r>
              <w:rPr>
                <w:rFonts w:eastAsia="Times New Roman" w:cs="Times New Roman"/>
                <w:i/>
                <w:color w:val="000000"/>
                <w:sz w:val="18"/>
                <w:szCs w:val="18"/>
                <w:lang w:eastAsia="sk-SK"/>
              </w:rPr>
              <w:t xml:space="preserve">     </w:t>
            </w:r>
            <w:r w:rsidRPr="00094791">
              <w:rPr>
                <w:rFonts w:eastAsia="Times New Roman" w:cs="Times New Roman"/>
                <w:i/>
                <w:color w:val="000000"/>
                <w:sz w:val="18"/>
                <w:szCs w:val="18"/>
                <w:lang w:eastAsia="sk-SK"/>
              </w:rPr>
              <w:t>DPH</w:t>
            </w:r>
          </w:p>
        </w:tc>
        <w:tc>
          <w:tcPr>
            <w:tcW w:w="992" w:type="dxa"/>
            <w:tcBorders>
              <w:top w:val="nil"/>
              <w:left w:val="nil"/>
              <w:bottom w:val="nil"/>
              <w:right w:val="nil"/>
            </w:tcBorders>
            <w:shd w:val="clear" w:color="auto" w:fill="auto"/>
            <w:noWrap/>
            <w:vAlign w:val="center"/>
            <w:hideMark/>
          </w:tcPr>
          <w:p w14:paraId="441F1C26" w14:textId="77777777" w:rsidR="00EA177A" w:rsidRPr="0092549D" w:rsidRDefault="00EA177A" w:rsidP="00C704A7">
            <w:pPr>
              <w:spacing w:after="0" w:line="240" w:lineRule="auto"/>
              <w:contextualSpacing/>
              <w:jc w:val="right"/>
              <w:rPr>
                <w:rFonts w:eastAsia="Times New Roman" w:cs="Times New Roman"/>
                <w:color w:val="FF0000"/>
                <w:sz w:val="18"/>
                <w:szCs w:val="18"/>
                <w:lang w:eastAsia="sk-SK"/>
              </w:rPr>
            </w:pPr>
            <w:r w:rsidRPr="0092549D">
              <w:rPr>
                <w:rFonts w:cs="Times New Roman"/>
                <w:sz w:val="18"/>
                <w:szCs w:val="18"/>
              </w:rPr>
              <w:t>5 913 368</w:t>
            </w:r>
          </w:p>
        </w:tc>
        <w:tc>
          <w:tcPr>
            <w:tcW w:w="1025" w:type="dxa"/>
            <w:tcBorders>
              <w:top w:val="nil"/>
              <w:left w:val="nil"/>
              <w:bottom w:val="nil"/>
              <w:right w:val="nil"/>
            </w:tcBorders>
            <w:shd w:val="clear" w:color="auto" w:fill="auto"/>
            <w:noWrap/>
            <w:vAlign w:val="center"/>
            <w:hideMark/>
          </w:tcPr>
          <w:p w14:paraId="7887BBFD" w14:textId="77777777" w:rsidR="00EA177A" w:rsidRPr="0092549D" w:rsidRDefault="00EA177A" w:rsidP="00C704A7">
            <w:pPr>
              <w:spacing w:after="0" w:line="240" w:lineRule="auto"/>
              <w:contextualSpacing/>
              <w:jc w:val="right"/>
              <w:rPr>
                <w:rFonts w:eastAsia="Times New Roman" w:cs="Times New Roman"/>
                <w:color w:val="FF0000"/>
                <w:sz w:val="18"/>
                <w:szCs w:val="18"/>
                <w:lang w:eastAsia="sk-SK"/>
              </w:rPr>
            </w:pPr>
            <w:r w:rsidRPr="0092549D">
              <w:rPr>
                <w:rFonts w:cs="Times New Roman"/>
                <w:sz w:val="18"/>
                <w:szCs w:val="18"/>
              </w:rPr>
              <w:t>6 412 426</w:t>
            </w:r>
          </w:p>
        </w:tc>
        <w:tc>
          <w:tcPr>
            <w:tcW w:w="960" w:type="dxa"/>
            <w:tcBorders>
              <w:top w:val="nil"/>
              <w:left w:val="nil"/>
              <w:bottom w:val="nil"/>
              <w:right w:val="nil"/>
            </w:tcBorders>
            <w:shd w:val="clear" w:color="auto" w:fill="auto"/>
            <w:noWrap/>
            <w:vAlign w:val="center"/>
          </w:tcPr>
          <w:p w14:paraId="0A43BF1E" w14:textId="77777777" w:rsidR="00EA177A" w:rsidRPr="0092549D" w:rsidRDefault="00EA177A" w:rsidP="00C704A7">
            <w:pPr>
              <w:spacing w:after="0" w:line="240" w:lineRule="auto"/>
              <w:contextualSpacing/>
              <w:jc w:val="right"/>
              <w:rPr>
                <w:rFonts w:eastAsia="Times New Roman" w:cs="Times New Roman"/>
                <w:color w:val="FF0000"/>
                <w:sz w:val="18"/>
                <w:szCs w:val="18"/>
                <w:lang w:eastAsia="sk-SK"/>
              </w:rPr>
            </w:pPr>
            <w:r w:rsidRPr="0092549D">
              <w:rPr>
                <w:rFonts w:cs="Times New Roman"/>
                <w:sz w:val="18"/>
                <w:szCs w:val="18"/>
              </w:rPr>
              <w:t>6 629 455</w:t>
            </w:r>
          </w:p>
        </w:tc>
        <w:tc>
          <w:tcPr>
            <w:tcW w:w="1025" w:type="dxa"/>
            <w:tcBorders>
              <w:top w:val="nil"/>
              <w:left w:val="nil"/>
              <w:bottom w:val="nil"/>
              <w:right w:val="nil"/>
            </w:tcBorders>
            <w:shd w:val="clear" w:color="auto" w:fill="BFBFBF" w:themeFill="background1" w:themeFillShade="BF"/>
            <w:noWrap/>
            <w:vAlign w:val="center"/>
          </w:tcPr>
          <w:p w14:paraId="64078C15" w14:textId="77777777" w:rsidR="00EA177A" w:rsidRPr="0092549D" w:rsidRDefault="00EA177A" w:rsidP="00C704A7">
            <w:pPr>
              <w:spacing w:after="0" w:line="240" w:lineRule="auto"/>
              <w:contextualSpacing/>
              <w:jc w:val="right"/>
              <w:rPr>
                <w:rFonts w:eastAsia="Times New Roman" w:cs="Times New Roman"/>
                <w:color w:val="FF0000"/>
                <w:sz w:val="18"/>
                <w:szCs w:val="18"/>
                <w:lang w:eastAsia="sk-SK"/>
              </w:rPr>
            </w:pPr>
            <w:r w:rsidRPr="0092549D">
              <w:rPr>
                <w:rFonts w:cs="Times New Roman"/>
                <w:sz w:val="18"/>
                <w:szCs w:val="18"/>
              </w:rPr>
              <w:t>6 727 881</w:t>
            </w:r>
          </w:p>
        </w:tc>
        <w:tc>
          <w:tcPr>
            <w:tcW w:w="818" w:type="dxa"/>
            <w:tcBorders>
              <w:top w:val="nil"/>
              <w:left w:val="nil"/>
              <w:bottom w:val="nil"/>
              <w:right w:val="nil"/>
            </w:tcBorders>
            <w:shd w:val="clear" w:color="auto" w:fill="auto"/>
            <w:noWrap/>
            <w:vAlign w:val="center"/>
          </w:tcPr>
          <w:p w14:paraId="1095E596" w14:textId="77777777" w:rsidR="00EA177A" w:rsidRPr="0092549D" w:rsidRDefault="00EA177A" w:rsidP="00C704A7">
            <w:pPr>
              <w:spacing w:after="0" w:line="240" w:lineRule="auto"/>
              <w:contextualSpacing/>
              <w:jc w:val="right"/>
              <w:rPr>
                <w:rFonts w:eastAsia="Times New Roman" w:cs="Times New Roman"/>
                <w:color w:val="FF0000"/>
                <w:sz w:val="18"/>
                <w:szCs w:val="18"/>
                <w:lang w:eastAsia="sk-SK"/>
              </w:rPr>
            </w:pPr>
            <w:r w:rsidRPr="0092549D">
              <w:rPr>
                <w:rFonts w:cs="Times New Roman"/>
                <w:sz w:val="18"/>
                <w:szCs w:val="18"/>
              </w:rPr>
              <w:t>98 426</w:t>
            </w:r>
          </w:p>
        </w:tc>
        <w:tc>
          <w:tcPr>
            <w:tcW w:w="708" w:type="dxa"/>
            <w:tcBorders>
              <w:top w:val="nil"/>
              <w:left w:val="nil"/>
              <w:bottom w:val="nil"/>
              <w:right w:val="nil"/>
            </w:tcBorders>
            <w:shd w:val="clear" w:color="auto" w:fill="auto"/>
            <w:noWrap/>
            <w:vAlign w:val="center"/>
          </w:tcPr>
          <w:p w14:paraId="61956ACE" w14:textId="77777777" w:rsidR="00EA177A" w:rsidRPr="0092549D" w:rsidRDefault="00EA177A" w:rsidP="00C704A7">
            <w:pPr>
              <w:spacing w:after="0" w:line="240" w:lineRule="auto"/>
              <w:contextualSpacing/>
              <w:jc w:val="right"/>
              <w:rPr>
                <w:rFonts w:eastAsia="Times New Roman" w:cs="Times New Roman"/>
                <w:color w:val="FF0000"/>
                <w:sz w:val="18"/>
                <w:szCs w:val="18"/>
                <w:lang w:eastAsia="sk-SK"/>
              </w:rPr>
            </w:pPr>
            <w:r w:rsidRPr="0092549D">
              <w:rPr>
                <w:rFonts w:cs="Times New Roman"/>
                <w:color w:val="000000"/>
                <w:sz w:val="18"/>
                <w:szCs w:val="18"/>
              </w:rPr>
              <w:t>1,5</w:t>
            </w:r>
          </w:p>
        </w:tc>
      </w:tr>
      <w:tr w:rsidR="00EA177A" w:rsidRPr="00094791" w14:paraId="3D8DACB3" w14:textId="77777777" w:rsidTr="0044781D">
        <w:trPr>
          <w:trHeight w:val="330"/>
        </w:trPr>
        <w:tc>
          <w:tcPr>
            <w:tcW w:w="2912" w:type="dxa"/>
            <w:tcBorders>
              <w:top w:val="nil"/>
              <w:left w:val="nil"/>
              <w:bottom w:val="nil"/>
              <w:right w:val="nil"/>
            </w:tcBorders>
            <w:shd w:val="clear" w:color="auto" w:fill="auto"/>
            <w:noWrap/>
            <w:vAlign w:val="center"/>
            <w:hideMark/>
          </w:tcPr>
          <w:p w14:paraId="7DB69050"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w:t>
            </w:r>
            <w:r w:rsidRPr="00094791">
              <w:rPr>
                <w:rFonts w:eastAsia="Times New Roman" w:cs="Times New Roman"/>
                <w:i/>
                <w:color w:val="000000"/>
                <w:sz w:val="18"/>
                <w:szCs w:val="18"/>
                <w:lang w:eastAsia="sk-SK"/>
              </w:rPr>
              <w:t>spotrebné dane</w:t>
            </w:r>
          </w:p>
        </w:tc>
        <w:tc>
          <w:tcPr>
            <w:tcW w:w="992" w:type="dxa"/>
            <w:tcBorders>
              <w:top w:val="nil"/>
              <w:left w:val="nil"/>
              <w:bottom w:val="nil"/>
              <w:right w:val="nil"/>
            </w:tcBorders>
            <w:shd w:val="clear" w:color="auto" w:fill="auto"/>
            <w:noWrap/>
            <w:vAlign w:val="center"/>
            <w:hideMark/>
          </w:tcPr>
          <w:p w14:paraId="5FCB567B"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2 252 396</w:t>
            </w:r>
          </w:p>
        </w:tc>
        <w:tc>
          <w:tcPr>
            <w:tcW w:w="1025" w:type="dxa"/>
            <w:tcBorders>
              <w:top w:val="nil"/>
              <w:left w:val="nil"/>
              <w:bottom w:val="nil"/>
              <w:right w:val="nil"/>
            </w:tcBorders>
            <w:shd w:val="clear" w:color="auto" w:fill="auto"/>
            <w:noWrap/>
            <w:vAlign w:val="center"/>
            <w:hideMark/>
          </w:tcPr>
          <w:p w14:paraId="16C18B9F"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2 323 521</w:t>
            </w:r>
          </w:p>
        </w:tc>
        <w:tc>
          <w:tcPr>
            <w:tcW w:w="960" w:type="dxa"/>
            <w:tcBorders>
              <w:top w:val="nil"/>
              <w:left w:val="nil"/>
              <w:bottom w:val="nil"/>
              <w:right w:val="nil"/>
            </w:tcBorders>
            <w:shd w:val="clear" w:color="auto" w:fill="auto"/>
            <w:noWrap/>
            <w:vAlign w:val="center"/>
          </w:tcPr>
          <w:p w14:paraId="1A160B8F"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2 417 198</w:t>
            </w:r>
          </w:p>
        </w:tc>
        <w:tc>
          <w:tcPr>
            <w:tcW w:w="1025" w:type="dxa"/>
            <w:tcBorders>
              <w:top w:val="nil"/>
              <w:left w:val="nil"/>
              <w:bottom w:val="nil"/>
              <w:right w:val="nil"/>
            </w:tcBorders>
            <w:shd w:val="clear" w:color="auto" w:fill="BFBFBF" w:themeFill="background1" w:themeFillShade="BF"/>
            <w:noWrap/>
            <w:vAlign w:val="center"/>
          </w:tcPr>
          <w:p w14:paraId="5AC63AA6"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2 357 747</w:t>
            </w:r>
          </w:p>
        </w:tc>
        <w:tc>
          <w:tcPr>
            <w:tcW w:w="818" w:type="dxa"/>
            <w:tcBorders>
              <w:top w:val="nil"/>
              <w:left w:val="nil"/>
              <w:bottom w:val="nil"/>
              <w:right w:val="nil"/>
            </w:tcBorders>
            <w:shd w:val="clear" w:color="000000" w:fill="FFFFFF"/>
            <w:vAlign w:val="center"/>
          </w:tcPr>
          <w:p w14:paraId="01C4DA0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-59 451</w:t>
            </w:r>
          </w:p>
        </w:tc>
        <w:tc>
          <w:tcPr>
            <w:tcW w:w="708" w:type="dxa"/>
            <w:tcBorders>
              <w:top w:val="nil"/>
              <w:left w:val="nil"/>
              <w:bottom w:val="nil"/>
              <w:right w:val="nil"/>
            </w:tcBorders>
            <w:shd w:val="clear" w:color="000000" w:fill="FFFFFF"/>
            <w:vAlign w:val="center"/>
          </w:tcPr>
          <w:p w14:paraId="77EC412F"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-2,5</w:t>
            </w:r>
          </w:p>
        </w:tc>
      </w:tr>
      <w:tr w:rsidR="00EA177A" w:rsidRPr="00094791" w14:paraId="30118377" w14:textId="77777777" w:rsidTr="0044781D">
        <w:trPr>
          <w:trHeight w:val="330"/>
        </w:trPr>
        <w:tc>
          <w:tcPr>
            <w:tcW w:w="2912" w:type="dxa"/>
            <w:tcBorders>
              <w:top w:val="nil"/>
              <w:left w:val="nil"/>
              <w:bottom w:val="nil"/>
              <w:right w:val="nil"/>
            </w:tcBorders>
            <w:shd w:val="clear" w:color="auto" w:fill="auto"/>
            <w:noWrap/>
            <w:vAlign w:val="center"/>
            <w:hideMark/>
          </w:tcPr>
          <w:p w14:paraId="7F272CE9"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dane z používania</w:t>
            </w:r>
            <w:r w:rsidRPr="00094791">
              <w:rPr>
                <w:rFonts w:eastAsia="Times New Roman" w:cs="Times New Roman"/>
                <w:i/>
                <w:color w:val="000000"/>
                <w:sz w:val="18"/>
                <w:szCs w:val="18"/>
                <w:lang w:eastAsia="sk-SK"/>
              </w:rPr>
              <w:t xml:space="preserve">. tovarov a z povolenia </w:t>
            </w:r>
            <w:r>
              <w:rPr>
                <w:rFonts w:eastAsia="Times New Roman" w:cs="Times New Roman"/>
                <w:i/>
                <w:color w:val="000000"/>
                <w:sz w:val="18"/>
                <w:szCs w:val="18"/>
                <w:lang w:eastAsia="sk-SK"/>
              </w:rPr>
              <w:t xml:space="preserve"> </w:t>
            </w:r>
            <w:r w:rsidRPr="00094791">
              <w:rPr>
                <w:rFonts w:eastAsia="Times New Roman" w:cs="Times New Roman"/>
                <w:i/>
                <w:color w:val="000000"/>
                <w:sz w:val="18"/>
                <w:szCs w:val="18"/>
                <w:lang w:eastAsia="sk-SK"/>
              </w:rPr>
              <w:t>na výkon činnosti</w:t>
            </w:r>
          </w:p>
        </w:tc>
        <w:tc>
          <w:tcPr>
            <w:tcW w:w="992" w:type="dxa"/>
            <w:tcBorders>
              <w:top w:val="nil"/>
              <w:left w:val="nil"/>
              <w:bottom w:val="nil"/>
              <w:right w:val="nil"/>
            </w:tcBorders>
            <w:shd w:val="clear" w:color="auto" w:fill="auto"/>
            <w:noWrap/>
            <w:vAlign w:val="center"/>
            <w:hideMark/>
          </w:tcPr>
          <w:p w14:paraId="1CF2D757"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149 943</w:t>
            </w:r>
          </w:p>
        </w:tc>
        <w:tc>
          <w:tcPr>
            <w:tcW w:w="1025" w:type="dxa"/>
            <w:tcBorders>
              <w:top w:val="nil"/>
              <w:left w:val="nil"/>
              <w:bottom w:val="nil"/>
              <w:right w:val="nil"/>
            </w:tcBorders>
            <w:shd w:val="clear" w:color="auto" w:fill="auto"/>
            <w:noWrap/>
            <w:vAlign w:val="center"/>
            <w:hideMark/>
          </w:tcPr>
          <w:p w14:paraId="2B3BDF47"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152 839</w:t>
            </w:r>
          </w:p>
        </w:tc>
        <w:tc>
          <w:tcPr>
            <w:tcW w:w="960" w:type="dxa"/>
            <w:tcBorders>
              <w:top w:val="nil"/>
              <w:left w:val="nil"/>
              <w:bottom w:val="nil"/>
              <w:right w:val="nil"/>
            </w:tcBorders>
            <w:shd w:val="clear" w:color="auto" w:fill="auto"/>
            <w:noWrap/>
            <w:vAlign w:val="center"/>
          </w:tcPr>
          <w:p w14:paraId="32F162E3"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167 128</w:t>
            </w:r>
          </w:p>
        </w:tc>
        <w:tc>
          <w:tcPr>
            <w:tcW w:w="1025" w:type="dxa"/>
            <w:tcBorders>
              <w:top w:val="nil"/>
              <w:left w:val="nil"/>
              <w:bottom w:val="nil"/>
              <w:right w:val="nil"/>
            </w:tcBorders>
            <w:shd w:val="clear" w:color="auto" w:fill="BFBFBF" w:themeFill="background1" w:themeFillShade="BF"/>
            <w:noWrap/>
            <w:vAlign w:val="center"/>
          </w:tcPr>
          <w:p w14:paraId="716B6BDD"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157 996</w:t>
            </w:r>
          </w:p>
        </w:tc>
        <w:tc>
          <w:tcPr>
            <w:tcW w:w="818" w:type="dxa"/>
            <w:tcBorders>
              <w:top w:val="nil"/>
              <w:left w:val="nil"/>
              <w:bottom w:val="nil"/>
              <w:right w:val="nil"/>
            </w:tcBorders>
            <w:shd w:val="clear" w:color="000000" w:fill="FFFFFF"/>
            <w:vAlign w:val="center"/>
          </w:tcPr>
          <w:p w14:paraId="4115EF7A"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-9 132</w:t>
            </w:r>
          </w:p>
        </w:tc>
        <w:tc>
          <w:tcPr>
            <w:tcW w:w="708" w:type="dxa"/>
            <w:tcBorders>
              <w:top w:val="nil"/>
              <w:left w:val="nil"/>
              <w:bottom w:val="nil"/>
              <w:right w:val="nil"/>
            </w:tcBorders>
            <w:shd w:val="clear" w:color="000000" w:fill="FFFFFF"/>
            <w:vAlign w:val="center"/>
          </w:tcPr>
          <w:p w14:paraId="0190EE45"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-5,5</w:t>
            </w:r>
          </w:p>
        </w:tc>
      </w:tr>
      <w:tr w:rsidR="00EA177A" w:rsidRPr="00094791" w14:paraId="032AB0EE" w14:textId="77777777" w:rsidTr="0044781D">
        <w:trPr>
          <w:trHeight w:val="480"/>
        </w:trPr>
        <w:tc>
          <w:tcPr>
            <w:tcW w:w="2912" w:type="dxa"/>
            <w:tcBorders>
              <w:top w:val="nil"/>
              <w:left w:val="nil"/>
              <w:bottom w:val="nil"/>
              <w:right w:val="nil"/>
            </w:tcBorders>
            <w:shd w:val="clear" w:color="auto" w:fill="auto"/>
            <w:vAlign w:val="center"/>
            <w:hideMark/>
          </w:tcPr>
          <w:p w14:paraId="2AED4121"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i</w:t>
            </w:r>
            <w:r w:rsidRPr="00094791">
              <w:rPr>
                <w:rFonts w:eastAsia="Times New Roman" w:cs="Times New Roman"/>
                <w:i/>
                <w:color w:val="000000"/>
                <w:sz w:val="18"/>
                <w:szCs w:val="18"/>
                <w:lang w:eastAsia="sk-SK"/>
              </w:rPr>
              <w:t>né dane za tovary a služby</w:t>
            </w:r>
          </w:p>
        </w:tc>
        <w:tc>
          <w:tcPr>
            <w:tcW w:w="992" w:type="dxa"/>
            <w:tcBorders>
              <w:top w:val="nil"/>
              <w:left w:val="nil"/>
              <w:bottom w:val="nil"/>
              <w:right w:val="nil"/>
            </w:tcBorders>
            <w:shd w:val="clear" w:color="auto" w:fill="auto"/>
            <w:noWrap/>
            <w:vAlign w:val="center"/>
          </w:tcPr>
          <w:p w14:paraId="6AE8463F"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12 939</w:t>
            </w:r>
          </w:p>
        </w:tc>
        <w:tc>
          <w:tcPr>
            <w:tcW w:w="1025" w:type="dxa"/>
            <w:tcBorders>
              <w:top w:val="nil"/>
              <w:left w:val="nil"/>
              <w:bottom w:val="nil"/>
              <w:right w:val="nil"/>
            </w:tcBorders>
            <w:shd w:val="clear" w:color="auto" w:fill="auto"/>
            <w:noWrap/>
            <w:vAlign w:val="center"/>
          </w:tcPr>
          <w:p w14:paraId="6BDBCA5E"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30 530</w:t>
            </w:r>
          </w:p>
        </w:tc>
        <w:tc>
          <w:tcPr>
            <w:tcW w:w="960" w:type="dxa"/>
            <w:tcBorders>
              <w:top w:val="nil"/>
              <w:left w:val="nil"/>
              <w:bottom w:val="nil"/>
              <w:right w:val="nil"/>
            </w:tcBorders>
            <w:shd w:val="clear" w:color="auto" w:fill="auto"/>
            <w:noWrap/>
            <w:vAlign w:val="center"/>
          </w:tcPr>
          <w:p w14:paraId="69EF7AE5"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61 470</w:t>
            </w:r>
          </w:p>
        </w:tc>
        <w:tc>
          <w:tcPr>
            <w:tcW w:w="1025" w:type="dxa"/>
            <w:tcBorders>
              <w:top w:val="nil"/>
              <w:left w:val="nil"/>
              <w:bottom w:val="nil"/>
              <w:right w:val="nil"/>
            </w:tcBorders>
            <w:shd w:val="clear" w:color="auto" w:fill="BFBFBF" w:themeFill="background1" w:themeFillShade="BF"/>
            <w:noWrap/>
            <w:vAlign w:val="center"/>
          </w:tcPr>
          <w:p w14:paraId="234AA20C"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59 184</w:t>
            </w:r>
          </w:p>
        </w:tc>
        <w:tc>
          <w:tcPr>
            <w:tcW w:w="818" w:type="dxa"/>
            <w:tcBorders>
              <w:top w:val="nil"/>
              <w:left w:val="nil"/>
              <w:bottom w:val="nil"/>
              <w:right w:val="nil"/>
            </w:tcBorders>
            <w:shd w:val="clear" w:color="000000" w:fill="FFFFFF"/>
            <w:vAlign w:val="center"/>
          </w:tcPr>
          <w:p w14:paraId="01376DB2" w14:textId="77777777" w:rsidR="00EA177A" w:rsidRPr="0092549D" w:rsidRDefault="00EA177A" w:rsidP="00C704A7">
            <w:pPr>
              <w:spacing w:after="0" w:line="240" w:lineRule="auto"/>
              <w:contextualSpacing/>
              <w:jc w:val="right"/>
              <w:rPr>
                <w:rFonts w:eastAsia="Times New Roman" w:cs="Times New Roman"/>
                <w:i/>
                <w:sz w:val="18"/>
                <w:szCs w:val="18"/>
                <w:lang w:eastAsia="sk-SK"/>
              </w:rPr>
            </w:pPr>
            <w:r w:rsidRPr="0092549D">
              <w:rPr>
                <w:rFonts w:cs="Times New Roman"/>
                <w:sz w:val="18"/>
                <w:szCs w:val="18"/>
              </w:rPr>
              <w:t>-2 286</w:t>
            </w:r>
          </w:p>
        </w:tc>
        <w:tc>
          <w:tcPr>
            <w:tcW w:w="708" w:type="dxa"/>
            <w:tcBorders>
              <w:top w:val="nil"/>
              <w:left w:val="nil"/>
              <w:bottom w:val="nil"/>
              <w:right w:val="nil"/>
            </w:tcBorders>
            <w:shd w:val="clear" w:color="000000" w:fill="FFFFFF"/>
            <w:vAlign w:val="center"/>
          </w:tcPr>
          <w:p w14:paraId="4677F625" w14:textId="77777777" w:rsidR="00EA177A" w:rsidRPr="0092549D" w:rsidRDefault="00EA177A" w:rsidP="00C704A7">
            <w:pPr>
              <w:spacing w:after="0" w:line="240" w:lineRule="auto"/>
              <w:contextualSpacing/>
              <w:jc w:val="right"/>
              <w:rPr>
                <w:rFonts w:eastAsia="Times New Roman" w:cs="Times New Roman"/>
                <w:i/>
                <w:sz w:val="18"/>
                <w:szCs w:val="18"/>
                <w:lang w:eastAsia="sk-SK"/>
              </w:rPr>
            </w:pPr>
            <w:r w:rsidRPr="0092549D">
              <w:rPr>
                <w:rFonts w:cs="Times New Roman"/>
                <w:color w:val="000000"/>
                <w:sz w:val="18"/>
                <w:szCs w:val="18"/>
              </w:rPr>
              <w:t>-3,7</w:t>
            </w:r>
          </w:p>
        </w:tc>
      </w:tr>
      <w:tr w:rsidR="00EA177A" w:rsidRPr="00094791" w14:paraId="0175D51F" w14:textId="77777777" w:rsidTr="0044781D">
        <w:trPr>
          <w:trHeight w:val="330"/>
        </w:trPr>
        <w:tc>
          <w:tcPr>
            <w:tcW w:w="2912" w:type="dxa"/>
            <w:tcBorders>
              <w:top w:val="nil"/>
              <w:left w:val="nil"/>
              <w:bottom w:val="nil"/>
              <w:right w:val="nil"/>
            </w:tcBorders>
            <w:shd w:val="clear" w:color="auto" w:fill="auto"/>
            <w:noWrap/>
            <w:vAlign w:val="center"/>
            <w:hideMark/>
          </w:tcPr>
          <w:p w14:paraId="17D23DFB" w14:textId="77777777" w:rsidR="00EA177A" w:rsidRPr="00094791" w:rsidRDefault="00EA177A" w:rsidP="00C704A7">
            <w:pPr>
              <w:spacing w:after="0" w:line="240" w:lineRule="auto"/>
              <w:contextualSpacing/>
              <w:jc w:val="left"/>
              <w:rPr>
                <w:rFonts w:eastAsia="Times New Roman" w:cs="Times New Roman"/>
                <w:b/>
                <w:color w:val="000000"/>
                <w:sz w:val="18"/>
                <w:szCs w:val="18"/>
                <w:lang w:eastAsia="sk-SK"/>
              </w:rPr>
            </w:pPr>
            <w:r w:rsidRPr="00094791">
              <w:rPr>
                <w:rFonts w:eastAsia="Times New Roman" w:cs="Times New Roman"/>
                <w:b/>
                <w:color w:val="000000"/>
                <w:sz w:val="18"/>
                <w:szCs w:val="18"/>
                <w:lang w:eastAsia="sk-SK"/>
              </w:rPr>
              <w:t>Dane z príjmov a kapitálového majetku</w:t>
            </w:r>
          </w:p>
        </w:tc>
        <w:tc>
          <w:tcPr>
            <w:tcW w:w="992" w:type="dxa"/>
            <w:tcBorders>
              <w:top w:val="nil"/>
              <w:left w:val="nil"/>
              <w:bottom w:val="nil"/>
              <w:right w:val="nil"/>
            </w:tcBorders>
            <w:shd w:val="clear" w:color="auto" w:fill="auto"/>
            <w:noWrap/>
            <w:vAlign w:val="center"/>
            <w:hideMark/>
          </w:tcPr>
          <w:p w14:paraId="77A07D68"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2 787 249</w:t>
            </w:r>
          </w:p>
        </w:tc>
        <w:tc>
          <w:tcPr>
            <w:tcW w:w="1025" w:type="dxa"/>
            <w:tcBorders>
              <w:top w:val="nil"/>
              <w:left w:val="nil"/>
              <w:bottom w:val="nil"/>
              <w:right w:val="nil"/>
            </w:tcBorders>
            <w:shd w:val="clear" w:color="auto" w:fill="auto"/>
            <w:noWrap/>
            <w:vAlign w:val="center"/>
            <w:hideMark/>
          </w:tcPr>
          <w:p w14:paraId="62F7EA9A"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3 015 714</w:t>
            </w:r>
          </w:p>
        </w:tc>
        <w:tc>
          <w:tcPr>
            <w:tcW w:w="960" w:type="dxa"/>
            <w:tcBorders>
              <w:top w:val="nil"/>
              <w:left w:val="nil"/>
              <w:bottom w:val="nil"/>
              <w:right w:val="nil"/>
            </w:tcBorders>
            <w:shd w:val="clear" w:color="auto" w:fill="auto"/>
            <w:noWrap/>
            <w:vAlign w:val="center"/>
          </w:tcPr>
          <w:p w14:paraId="5BEFFE78"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2 952 136</w:t>
            </w:r>
          </w:p>
        </w:tc>
        <w:tc>
          <w:tcPr>
            <w:tcW w:w="1025" w:type="dxa"/>
            <w:tcBorders>
              <w:top w:val="nil"/>
              <w:left w:val="nil"/>
              <w:bottom w:val="nil"/>
              <w:right w:val="nil"/>
            </w:tcBorders>
            <w:shd w:val="clear" w:color="auto" w:fill="BFBFBF" w:themeFill="background1" w:themeFillShade="BF"/>
            <w:noWrap/>
            <w:vAlign w:val="center"/>
          </w:tcPr>
          <w:p w14:paraId="21022A59"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sz w:val="18"/>
                <w:szCs w:val="18"/>
              </w:rPr>
              <w:t>2 989 186</w:t>
            </w:r>
          </w:p>
        </w:tc>
        <w:tc>
          <w:tcPr>
            <w:tcW w:w="818" w:type="dxa"/>
            <w:tcBorders>
              <w:top w:val="nil"/>
              <w:left w:val="nil"/>
              <w:bottom w:val="nil"/>
              <w:right w:val="nil"/>
            </w:tcBorders>
            <w:shd w:val="clear" w:color="000000" w:fill="FFFFFF"/>
            <w:vAlign w:val="center"/>
          </w:tcPr>
          <w:p w14:paraId="6B1F4942"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sz w:val="18"/>
                <w:szCs w:val="18"/>
              </w:rPr>
              <w:t>37 050</w:t>
            </w:r>
          </w:p>
        </w:tc>
        <w:tc>
          <w:tcPr>
            <w:tcW w:w="708" w:type="dxa"/>
            <w:tcBorders>
              <w:top w:val="nil"/>
              <w:left w:val="nil"/>
              <w:bottom w:val="nil"/>
              <w:right w:val="nil"/>
            </w:tcBorders>
            <w:shd w:val="clear" w:color="000000" w:fill="FFFFFF"/>
            <w:vAlign w:val="center"/>
          </w:tcPr>
          <w:p w14:paraId="2A4A5A45"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1,3</w:t>
            </w:r>
          </w:p>
        </w:tc>
      </w:tr>
      <w:tr w:rsidR="00EA177A" w:rsidRPr="00094791" w14:paraId="76C8AF79" w14:textId="77777777" w:rsidTr="0044781D">
        <w:trPr>
          <w:trHeight w:val="330"/>
        </w:trPr>
        <w:tc>
          <w:tcPr>
            <w:tcW w:w="2912" w:type="dxa"/>
            <w:tcBorders>
              <w:top w:val="nil"/>
              <w:left w:val="nil"/>
              <w:bottom w:val="nil"/>
              <w:right w:val="nil"/>
            </w:tcBorders>
            <w:shd w:val="clear" w:color="auto" w:fill="auto"/>
            <w:noWrap/>
            <w:vAlign w:val="center"/>
            <w:hideMark/>
          </w:tcPr>
          <w:p w14:paraId="207DC7C0"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sidRPr="00094791">
              <w:rPr>
                <w:rFonts w:eastAsia="Times New Roman" w:cs="Times New Roman"/>
                <w:color w:val="000000"/>
                <w:sz w:val="18"/>
                <w:szCs w:val="18"/>
                <w:lang w:eastAsia="sk-SK"/>
              </w:rPr>
              <w:t>v tom</w:t>
            </w:r>
            <w:r w:rsidRPr="00094791">
              <w:rPr>
                <w:rFonts w:eastAsia="Times New Roman" w:cs="Times New Roman"/>
                <w:i/>
                <w:color w:val="000000"/>
                <w:sz w:val="18"/>
                <w:szCs w:val="18"/>
                <w:lang w:eastAsia="sk-SK"/>
              </w:rPr>
              <w:t xml:space="preserve">: </w:t>
            </w:r>
          </w:p>
        </w:tc>
        <w:tc>
          <w:tcPr>
            <w:tcW w:w="992" w:type="dxa"/>
            <w:tcBorders>
              <w:top w:val="nil"/>
              <w:left w:val="nil"/>
              <w:bottom w:val="nil"/>
              <w:right w:val="nil"/>
            </w:tcBorders>
            <w:shd w:val="clear" w:color="auto" w:fill="auto"/>
            <w:noWrap/>
            <w:vAlign w:val="center"/>
          </w:tcPr>
          <w:p w14:paraId="1464E127"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1025" w:type="dxa"/>
            <w:tcBorders>
              <w:top w:val="nil"/>
              <w:left w:val="nil"/>
              <w:bottom w:val="nil"/>
              <w:right w:val="nil"/>
            </w:tcBorders>
            <w:shd w:val="clear" w:color="auto" w:fill="auto"/>
            <w:noWrap/>
            <w:vAlign w:val="center"/>
          </w:tcPr>
          <w:p w14:paraId="7D1E505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960" w:type="dxa"/>
            <w:tcBorders>
              <w:top w:val="nil"/>
              <w:left w:val="nil"/>
              <w:bottom w:val="nil"/>
              <w:right w:val="nil"/>
            </w:tcBorders>
            <w:shd w:val="clear" w:color="auto" w:fill="auto"/>
            <w:noWrap/>
            <w:vAlign w:val="center"/>
          </w:tcPr>
          <w:p w14:paraId="0EFC565C"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1025" w:type="dxa"/>
            <w:tcBorders>
              <w:top w:val="nil"/>
              <w:left w:val="nil"/>
              <w:bottom w:val="nil"/>
              <w:right w:val="nil"/>
            </w:tcBorders>
            <w:shd w:val="clear" w:color="auto" w:fill="BFBFBF" w:themeFill="background1" w:themeFillShade="BF"/>
            <w:noWrap/>
            <w:vAlign w:val="center"/>
          </w:tcPr>
          <w:p w14:paraId="0189CD56"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818" w:type="dxa"/>
            <w:tcBorders>
              <w:top w:val="nil"/>
              <w:left w:val="nil"/>
              <w:bottom w:val="nil"/>
              <w:right w:val="nil"/>
            </w:tcBorders>
            <w:shd w:val="clear" w:color="auto" w:fill="auto"/>
            <w:noWrap/>
            <w:vAlign w:val="center"/>
          </w:tcPr>
          <w:p w14:paraId="1E96FB6A"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708" w:type="dxa"/>
            <w:tcBorders>
              <w:top w:val="nil"/>
              <w:left w:val="nil"/>
              <w:bottom w:val="nil"/>
              <w:right w:val="nil"/>
            </w:tcBorders>
            <w:shd w:val="clear" w:color="auto" w:fill="auto"/>
            <w:noWrap/>
            <w:vAlign w:val="center"/>
          </w:tcPr>
          <w:p w14:paraId="2137DA91"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r>
      <w:tr w:rsidR="00EA177A" w:rsidRPr="00094791" w14:paraId="7EBC16FC" w14:textId="77777777" w:rsidTr="0044781D">
        <w:trPr>
          <w:trHeight w:val="330"/>
        </w:trPr>
        <w:tc>
          <w:tcPr>
            <w:tcW w:w="2912" w:type="dxa"/>
            <w:tcBorders>
              <w:top w:val="nil"/>
              <w:left w:val="nil"/>
              <w:bottom w:val="nil"/>
              <w:right w:val="nil"/>
            </w:tcBorders>
            <w:shd w:val="clear" w:color="auto" w:fill="auto"/>
            <w:noWrap/>
            <w:vAlign w:val="center"/>
            <w:hideMark/>
          </w:tcPr>
          <w:p w14:paraId="0C009F65"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w:t>
            </w:r>
            <w:r w:rsidRPr="00094791">
              <w:rPr>
                <w:rFonts w:eastAsia="Times New Roman" w:cs="Times New Roman"/>
                <w:i/>
                <w:color w:val="000000"/>
                <w:sz w:val="18"/>
                <w:szCs w:val="18"/>
                <w:lang w:eastAsia="sk-SK"/>
              </w:rPr>
              <w:t>daň z príjmov FO</w:t>
            </w:r>
          </w:p>
        </w:tc>
        <w:tc>
          <w:tcPr>
            <w:tcW w:w="992" w:type="dxa"/>
            <w:tcBorders>
              <w:top w:val="nil"/>
              <w:left w:val="nil"/>
              <w:bottom w:val="nil"/>
              <w:right w:val="nil"/>
            </w:tcBorders>
            <w:shd w:val="clear" w:color="auto" w:fill="auto"/>
            <w:noWrap/>
            <w:vAlign w:val="center"/>
            <w:hideMark/>
          </w:tcPr>
          <w:p w14:paraId="0EEFAD40"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-8 529</w:t>
            </w:r>
          </w:p>
        </w:tc>
        <w:tc>
          <w:tcPr>
            <w:tcW w:w="1025" w:type="dxa"/>
            <w:tcBorders>
              <w:top w:val="nil"/>
              <w:left w:val="nil"/>
              <w:bottom w:val="nil"/>
              <w:right w:val="nil"/>
            </w:tcBorders>
            <w:shd w:val="clear" w:color="auto" w:fill="auto"/>
            <w:noWrap/>
            <w:vAlign w:val="center"/>
            <w:hideMark/>
          </w:tcPr>
          <w:p w14:paraId="1BD635A3"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10 609</w:t>
            </w:r>
          </w:p>
        </w:tc>
        <w:tc>
          <w:tcPr>
            <w:tcW w:w="960" w:type="dxa"/>
            <w:tcBorders>
              <w:top w:val="nil"/>
              <w:left w:val="nil"/>
              <w:bottom w:val="nil"/>
              <w:right w:val="nil"/>
            </w:tcBorders>
            <w:shd w:val="clear" w:color="auto" w:fill="auto"/>
            <w:noWrap/>
            <w:vAlign w:val="center"/>
          </w:tcPr>
          <w:p w14:paraId="03D46956"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-16 794</w:t>
            </w:r>
          </w:p>
        </w:tc>
        <w:tc>
          <w:tcPr>
            <w:tcW w:w="1025" w:type="dxa"/>
            <w:tcBorders>
              <w:top w:val="nil"/>
              <w:left w:val="nil"/>
              <w:bottom w:val="nil"/>
              <w:right w:val="nil"/>
            </w:tcBorders>
            <w:shd w:val="clear" w:color="auto" w:fill="BFBFBF" w:themeFill="background1" w:themeFillShade="BF"/>
            <w:noWrap/>
            <w:vAlign w:val="center"/>
          </w:tcPr>
          <w:p w14:paraId="06D9C7C9"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-7 404</w:t>
            </w:r>
          </w:p>
        </w:tc>
        <w:tc>
          <w:tcPr>
            <w:tcW w:w="818" w:type="dxa"/>
            <w:tcBorders>
              <w:top w:val="nil"/>
              <w:left w:val="nil"/>
              <w:bottom w:val="nil"/>
              <w:right w:val="nil"/>
            </w:tcBorders>
            <w:shd w:val="clear" w:color="000000" w:fill="FFFFFF"/>
            <w:vAlign w:val="center"/>
          </w:tcPr>
          <w:p w14:paraId="6BD21EB1"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9 390</w:t>
            </w:r>
          </w:p>
        </w:tc>
        <w:tc>
          <w:tcPr>
            <w:tcW w:w="708" w:type="dxa"/>
            <w:tcBorders>
              <w:top w:val="nil"/>
              <w:left w:val="nil"/>
              <w:bottom w:val="nil"/>
              <w:right w:val="nil"/>
            </w:tcBorders>
            <w:shd w:val="clear" w:color="000000" w:fill="FFFFFF"/>
            <w:vAlign w:val="center"/>
          </w:tcPr>
          <w:p w14:paraId="76F060BD"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-55,9</w:t>
            </w:r>
          </w:p>
        </w:tc>
      </w:tr>
      <w:tr w:rsidR="00EA177A" w:rsidRPr="00094791" w14:paraId="3E4F99A5" w14:textId="77777777" w:rsidTr="0044781D">
        <w:trPr>
          <w:trHeight w:val="330"/>
        </w:trPr>
        <w:tc>
          <w:tcPr>
            <w:tcW w:w="2912" w:type="dxa"/>
            <w:tcBorders>
              <w:top w:val="nil"/>
              <w:left w:val="nil"/>
              <w:bottom w:val="nil"/>
              <w:right w:val="nil"/>
            </w:tcBorders>
            <w:shd w:val="clear" w:color="auto" w:fill="auto"/>
            <w:vAlign w:val="center"/>
            <w:hideMark/>
          </w:tcPr>
          <w:p w14:paraId="10CACA25"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w:t>
            </w:r>
            <w:r w:rsidRPr="00094791">
              <w:rPr>
                <w:rFonts w:eastAsia="Times New Roman" w:cs="Times New Roman"/>
                <w:i/>
                <w:color w:val="000000"/>
                <w:sz w:val="18"/>
                <w:szCs w:val="18"/>
                <w:lang w:eastAsia="sk-SK"/>
              </w:rPr>
              <w:t>daň z príjmov PO</w:t>
            </w:r>
          </w:p>
        </w:tc>
        <w:tc>
          <w:tcPr>
            <w:tcW w:w="992" w:type="dxa"/>
            <w:tcBorders>
              <w:top w:val="nil"/>
              <w:left w:val="nil"/>
              <w:bottom w:val="nil"/>
              <w:right w:val="nil"/>
            </w:tcBorders>
            <w:shd w:val="clear" w:color="auto" w:fill="auto"/>
            <w:noWrap/>
            <w:vAlign w:val="center"/>
            <w:hideMark/>
          </w:tcPr>
          <w:p w14:paraId="4EB9A603"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2 601 856</w:t>
            </w:r>
          </w:p>
        </w:tc>
        <w:tc>
          <w:tcPr>
            <w:tcW w:w="1025" w:type="dxa"/>
            <w:tcBorders>
              <w:top w:val="nil"/>
              <w:left w:val="nil"/>
              <w:bottom w:val="nil"/>
              <w:right w:val="nil"/>
            </w:tcBorders>
            <w:shd w:val="clear" w:color="auto" w:fill="auto"/>
            <w:noWrap/>
            <w:vAlign w:val="center"/>
            <w:hideMark/>
          </w:tcPr>
          <w:p w14:paraId="4322A040"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2 795 935</w:t>
            </w:r>
          </w:p>
        </w:tc>
        <w:tc>
          <w:tcPr>
            <w:tcW w:w="960" w:type="dxa"/>
            <w:tcBorders>
              <w:top w:val="nil"/>
              <w:left w:val="nil"/>
              <w:bottom w:val="nil"/>
              <w:right w:val="nil"/>
            </w:tcBorders>
            <w:shd w:val="clear" w:color="auto" w:fill="auto"/>
            <w:noWrap/>
            <w:vAlign w:val="center"/>
          </w:tcPr>
          <w:p w14:paraId="226A84F4"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2 733 291</w:t>
            </w:r>
          </w:p>
        </w:tc>
        <w:tc>
          <w:tcPr>
            <w:tcW w:w="1025" w:type="dxa"/>
            <w:tcBorders>
              <w:top w:val="nil"/>
              <w:left w:val="nil"/>
              <w:bottom w:val="nil"/>
              <w:right w:val="nil"/>
            </w:tcBorders>
            <w:shd w:val="clear" w:color="auto" w:fill="BFBFBF" w:themeFill="background1" w:themeFillShade="BF"/>
            <w:noWrap/>
            <w:vAlign w:val="center"/>
          </w:tcPr>
          <w:p w14:paraId="6B7B45FA"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2 750 974</w:t>
            </w:r>
          </w:p>
        </w:tc>
        <w:tc>
          <w:tcPr>
            <w:tcW w:w="818" w:type="dxa"/>
            <w:tcBorders>
              <w:top w:val="nil"/>
              <w:left w:val="nil"/>
              <w:bottom w:val="nil"/>
              <w:right w:val="nil"/>
            </w:tcBorders>
            <w:shd w:val="clear" w:color="000000" w:fill="FFFFFF"/>
            <w:vAlign w:val="center"/>
          </w:tcPr>
          <w:p w14:paraId="733870A4"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17 683</w:t>
            </w:r>
          </w:p>
        </w:tc>
        <w:tc>
          <w:tcPr>
            <w:tcW w:w="708" w:type="dxa"/>
            <w:tcBorders>
              <w:top w:val="nil"/>
              <w:left w:val="nil"/>
              <w:bottom w:val="nil"/>
              <w:right w:val="nil"/>
            </w:tcBorders>
            <w:shd w:val="clear" w:color="000000" w:fill="FFFFFF"/>
            <w:vAlign w:val="center"/>
          </w:tcPr>
          <w:p w14:paraId="57464846"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0,6</w:t>
            </w:r>
          </w:p>
        </w:tc>
      </w:tr>
      <w:tr w:rsidR="00EA177A" w:rsidRPr="00094791" w14:paraId="4B250B28" w14:textId="77777777" w:rsidTr="0044781D">
        <w:trPr>
          <w:trHeight w:val="330"/>
        </w:trPr>
        <w:tc>
          <w:tcPr>
            <w:tcW w:w="2912" w:type="dxa"/>
            <w:tcBorders>
              <w:top w:val="nil"/>
              <w:left w:val="nil"/>
              <w:bottom w:val="nil"/>
              <w:right w:val="nil"/>
            </w:tcBorders>
            <w:shd w:val="clear" w:color="auto" w:fill="auto"/>
            <w:vAlign w:val="center"/>
            <w:hideMark/>
          </w:tcPr>
          <w:p w14:paraId="0EC61E38"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w:t>
            </w:r>
            <w:r w:rsidRPr="00094791">
              <w:rPr>
                <w:rFonts w:eastAsia="Times New Roman" w:cs="Times New Roman"/>
                <w:i/>
                <w:color w:val="000000"/>
                <w:sz w:val="18"/>
                <w:szCs w:val="18"/>
                <w:lang w:eastAsia="sk-SK"/>
              </w:rPr>
              <w:t>daň z príjmov vyberaná zrážkou</w:t>
            </w:r>
          </w:p>
        </w:tc>
        <w:tc>
          <w:tcPr>
            <w:tcW w:w="992" w:type="dxa"/>
            <w:tcBorders>
              <w:top w:val="nil"/>
              <w:left w:val="nil"/>
              <w:bottom w:val="nil"/>
              <w:right w:val="nil"/>
            </w:tcBorders>
            <w:shd w:val="clear" w:color="auto" w:fill="auto"/>
            <w:noWrap/>
            <w:vAlign w:val="center"/>
            <w:hideMark/>
          </w:tcPr>
          <w:p w14:paraId="61820490"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178 431</w:t>
            </w:r>
          </w:p>
        </w:tc>
        <w:tc>
          <w:tcPr>
            <w:tcW w:w="1025" w:type="dxa"/>
            <w:tcBorders>
              <w:top w:val="nil"/>
              <w:left w:val="nil"/>
              <w:bottom w:val="nil"/>
              <w:right w:val="nil"/>
            </w:tcBorders>
            <w:shd w:val="clear" w:color="auto" w:fill="auto"/>
            <w:noWrap/>
            <w:vAlign w:val="center"/>
            <w:hideMark/>
          </w:tcPr>
          <w:p w14:paraId="53F5E75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209 170</w:t>
            </w:r>
          </w:p>
        </w:tc>
        <w:tc>
          <w:tcPr>
            <w:tcW w:w="960" w:type="dxa"/>
            <w:tcBorders>
              <w:top w:val="nil"/>
              <w:left w:val="nil"/>
              <w:bottom w:val="nil"/>
              <w:right w:val="nil"/>
            </w:tcBorders>
            <w:shd w:val="clear" w:color="auto" w:fill="auto"/>
            <w:noWrap/>
            <w:vAlign w:val="center"/>
          </w:tcPr>
          <w:p w14:paraId="1BB81AEB"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235 639</w:t>
            </w:r>
          </w:p>
        </w:tc>
        <w:tc>
          <w:tcPr>
            <w:tcW w:w="1025" w:type="dxa"/>
            <w:tcBorders>
              <w:top w:val="nil"/>
              <w:left w:val="nil"/>
              <w:bottom w:val="nil"/>
              <w:right w:val="nil"/>
            </w:tcBorders>
            <w:shd w:val="clear" w:color="auto" w:fill="BFBFBF" w:themeFill="background1" w:themeFillShade="BF"/>
            <w:noWrap/>
            <w:vAlign w:val="center"/>
          </w:tcPr>
          <w:p w14:paraId="00ED72F4"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245 615</w:t>
            </w:r>
          </w:p>
        </w:tc>
        <w:tc>
          <w:tcPr>
            <w:tcW w:w="818" w:type="dxa"/>
            <w:tcBorders>
              <w:top w:val="nil"/>
              <w:left w:val="nil"/>
              <w:bottom w:val="nil"/>
              <w:right w:val="nil"/>
            </w:tcBorders>
            <w:shd w:val="clear" w:color="000000" w:fill="FFFFFF"/>
            <w:vAlign w:val="center"/>
          </w:tcPr>
          <w:p w14:paraId="305FBC5B"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sz w:val="18"/>
                <w:szCs w:val="18"/>
              </w:rPr>
              <w:t>9 976</w:t>
            </w:r>
          </w:p>
        </w:tc>
        <w:tc>
          <w:tcPr>
            <w:tcW w:w="708" w:type="dxa"/>
            <w:tcBorders>
              <w:top w:val="nil"/>
              <w:left w:val="nil"/>
              <w:bottom w:val="nil"/>
              <w:right w:val="nil"/>
            </w:tcBorders>
            <w:shd w:val="clear" w:color="000000" w:fill="FFFFFF"/>
            <w:vAlign w:val="center"/>
          </w:tcPr>
          <w:p w14:paraId="63C9ADFF"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sidRPr="0092549D">
              <w:rPr>
                <w:rFonts w:cs="Times New Roman"/>
                <w:color w:val="000000"/>
                <w:sz w:val="18"/>
                <w:szCs w:val="18"/>
              </w:rPr>
              <w:t>4,2</w:t>
            </w:r>
          </w:p>
        </w:tc>
      </w:tr>
      <w:tr w:rsidR="00EA177A" w:rsidRPr="00094791" w14:paraId="734FDEBC" w14:textId="77777777" w:rsidTr="0044781D">
        <w:trPr>
          <w:trHeight w:val="330"/>
        </w:trPr>
        <w:tc>
          <w:tcPr>
            <w:tcW w:w="2912" w:type="dxa"/>
            <w:tcBorders>
              <w:top w:val="nil"/>
              <w:left w:val="nil"/>
              <w:bottom w:val="nil"/>
              <w:right w:val="nil"/>
            </w:tcBorders>
            <w:shd w:val="clear" w:color="auto" w:fill="auto"/>
            <w:vAlign w:val="center"/>
            <w:hideMark/>
          </w:tcPr>
          <w:p w14:paraId="6729D4E5" w14:textId="77777777" w:rsidR="00EA177A" w:rsidRPr="00094791" w:rsidRDefault="00EA177A" w:rsidP="00C704A7">
            <w:pPr>
              <w:spacing w:after="0" w:line="240" w:lineRule="auto"/>
              <w:contextualSpacing/>
              <w:jc w:val="left"/>
              <w:rPr>
                <w:rFonts w:eastAsia="Times New Roman" w:cs="Times New Roman"/>
                <w:b/>
                <w:color w:val="000000"/>
                <w:sz w:val="18"/>
                <w:szCs w:val="18"/>
                <w:lang w:eastAsia="sk-SK"/>
              </w:rPr>
            </w:pPr>
            <w:r w:rsidRPr="00094791">
              <w:rPr>
                <w:rFonts w:eastAsia="Times New Roman" w:cs="Times New Roman"/>
                <w:b/>
                <w:color w:val="000000"/>
                <w:sz w:val="18"/>
                <w:szCs w:val="18"/>
                <w:lang w:eastAsia="sk-SK"/>
              </w:rPr>
              <w:t>Dane z medzinárodného obchodu a</w:t>
            </w:r>
            <w:r>
              <w:rPr>
                <w:rFonts w:eastAsia="Times New Roman" w:cs="Times New Roman"/>
                <w:b/>
                <w:color w:val="000000"/>
                <w:sz w:val="18"/>
                <w:szCs w:val="18"/>
                <w:lang w:eastAsia="sk-SK"/>
              </w:rPr>
              <w:t> </w:t>
            </w:r>
            <w:r w:rsidRPr="00094791">
              <w:rPr>
                <w:rFonts w:eastAsia="Times New Roman" w:cs="Times New Roman"/>
                <w:b/>
                <w:color w:val="000000"/>
                <w:sz w:val="18"/>
                <w:szCs w:val="18"/>
                <w:lang w:eastAsia="sk-SK"/>
              </w:rPr>
              <w:t>transakcií</w:t>
            </w:r>
          </w:p>
        </w:tc>
        <w:tc>
          <w:tcPr>
            <w:tcW w:w="992" w:type="dxa"/>
            <w:tcBorders>
              <w:top w:val="nil"/>
              <w:left w:val="nil"/>
              <w:bottom w:val="nil"/>
              <w:right w:val="nil"/>
            </w:tcBorders>
            <w:shd w:val="clear" w:color="auto" w:fill="auto"/>
            <w:noWrap/>
            <w:vAlign w:val="center"/>
            <w:hideMark/>
          </w:tcPr>
          <w:p w14:paraId="4AD94D73"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22 433</w:t>
            </w:r>
          </w:p>
        </w:tc>
        <w:tc>
          <w:tcPr>
            <w:tcW w:w="1025" w:type="dxa"/>
            <w:tcBorders>
              <w:top w:val="nil"/>
              <w:left w:val="nil"/>
              <w:bottom w:val="nil"/>
              <w:right w:val="nil"/>
            </w:tcBorders>
            <w:shd w:val="clear" w:color="auto" w:fill="auto"/>
            <w:noWrap/>
            <w:vAlign w:val="center"/>
            <w:hideMark/>
          </w:tcPr>
          <w:p w14:paraId="0D7D2313"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23 365</w:t>
            </w:r>
          </w:p>
        </w:tc>
        <w:tc>
          <w:tcPr>
            <w:tcW w:w="960" w:type="dxa"/>
            <w:tcBorders>
              <w:top w:val="nil"/>
              <w:left w:val="nil"/>
              <w:bottom w:val="nil"/>
              <w:right w:val="nil"/>
            </w:tcBorders>
            <w:shd w:val="clear" w:color="auto" w:fill="auto"/>
            <w:noWrap/>
            <w:vAlign w:val="center"/>
          </w:tcPr>
          <w:p w14:paraId="14B751C4"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21 517</w:t>
            </w:r>
          </w:p>
        </w:tc>
        <w:tc>
          <w:tcPr>
            <w:tcW w:w="1025" w:type="dxa"/>
            <w:tcBorders>
              <w:top w:val="nil"/>
              <w:left w:val="nil"/>
              <w:right w:val="nil"/>
            </w:tcBorders>
            <w:shd w:val="clear" w:color="auto" w:fill="BFBFBF" w:themeFill="background1" w:themeFillShade="BF"/>
            <w:noWrap/>
            <w:vAlign w:val="center"/>
          </w:tcPr>
          <w:p w14:paraId="57C89914"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sz w:val="18"/>
                <w:szCs w:val="18"/>
              </w:rPr>
              <w:t>21 079</w:t>
            </w:r>
          </w:p>
        </w:tc>
        <w:tc>
          <w:tcPr>
            <w:tcW w:w="818" w:type="dxa"/>
            <w:tcBorders>
              <w:top w:val="nil"/>
              <w:left w:val="nil"/>
              <w:right w:val="nil"/>
            </w:tcBorders>
            <w:shd w:val="clear" w:color="000000" w:fill="FFFFFF"/>
            <w:vAlign w:val="center"/>
          </w:tcPr>
          <w:p w14:paraId="45A57C0B"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sz w:val="18"/>
                <w:szCs w:val="18"/>
              </w:rPr>
              <w:t>-438</w:t>
            </w:r>
          </w:p>
        </w:tc>
        <w:tc>
          <w:tcPr>
            <w:tcW w:w="708" w:type="dxa"/>
            <w:tcBorders>
              <w:top w:val="nil"/>
              <w:left w:val="nil"/>
              <w:right w:val="nil"/>
            </w:tcBorders>
            <w:shd w:val="clear" w:color="000000" w:fill="FFFFFF"/>
            <w:vAlign w:val="center"/>
          </w:tcPr>
          <w:p w14:paraId="78947B6C"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-2,0</w:t>
            </w:r>
          </w:p>
        </w:tc>
      </w:tr>
      <w:tr w:rsidR="00EA177A" w:rsidRPr="004379C8" w14:paraId="637C2D21" w14:textId="77777777" w:rsidTr="0044781D">
        <w:trPr>
          <w:trHeight w:val="330"/>
        </w:trPr>
        <w:tc>
          <w:tcPr>
            <w:tcW w:w="2912" w:type="dxa"/>
            <w:tcBorders>
              <w:top w:val="nil"/>
              <w:left w:val="nil"/>
              <w:bottom w:val="nil"/>
              <w:right w:val="nil"/>
            </w:tcBorders>
            <w:shd w:val="clear" w:color="auto" w:fill="auto"/>
            <w:noWrap/>
            <w:vAlign w:val="center"/>
            <w:hideMark/>
          </w:tcPr>
          <w:p w14:paraId="5A20BFEA" w14:textId="77777777" w:rsidR="00EA177A" w:rsidRPr="00094791" w:rsidRDefault="00EA177A" w:rsidP="00C704A7">
            <w:pPr>
              <w:spacing w:after="0" w:line="240" w:lineRule="auto"/>
              <w:contextualSpacing/>
              <w:jc w:val="left"/>
              <w:rPr>
                <w:rFonts w:eastAsia="Times New Roman" w:cs="Times New Roman"/>
                <w:b/>
                <w:color w:val="000000"/>
                <w:sz w:val="18"/>
                <w:szCs w:val="18"/>
                <w:lang w:eastAsia="sk-SK"/>
              </w:rPr>
            </w:pPr>
            <w:r>
              <w:rPr>
                <w:rFonts w:eastAsia="Times New Roman" w:cs="Times New Roman"/>
                <w:b/>
                <w:color w:val="000000"/>
                <w:sz w:val="18"/>
                <w:szCs w:val="18"/>
                <w:lang w:eastAsia="sk-SK"/>
              </w:rPr>
              <w:t>Iné dane</w:t>
            </w:r>
          </w:p>
        </w:tc>
        <w:tc>
          <w:tcPr>
            <w:tcW w:w="992" w:type="dxa"/>
            <w:tcBorders>
              <w:top w:val="nil"/>
              <w:left w:val="nil"/>
              <w:bottom w:val="nil"/>
              <w:right w:val="nil"/>
            </w:tcBorders>
            <w:shd w:val="clear" w:color="auto" w:fill="auto"/>
            <w:noWrap/>
            <w:vAlign w:val="center"/>
            <w:hideMark/>
          </w:tcPr>
          <w:p w14:paraId="356F6A52"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p>
        </w:tc>
        <w:tc>
          <w:tcPr>
            <w:tcW w:w="1025" w:type="dxa"/>
            <w:tcBorders>
              <w:top w:val="nil"/>
              <w:left w:val="nil"/>
              <w:bottom w:val="nil"/>
              <w:right w:val="nil"/>
            </w:tcBorders>
            <w:shd w:val="clear" w:color="auto" w:fill="auto"/>
            <w:noWrap/>
            <w:vAlign w:val="center"/>
            <w:hideMark/>
          </w:tcPr>
          <w:p w14:paraId="0E4E9E5D"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Pr>
                <w:rFonts w:cs="Times New Roman"/>
                <w:b/>
                <w:color w:val="000000"/>
                <w:sz w:val="18"/>
                <w:szCs w:val="18"/>
              </w:rPr>
              <w:t>- 8 832</w:t>
            </w:r>
          </w:p>
        </w:tc>
        <w:tc>
          <w:tcPr>
            <w:tcW w:w="960" w:type="dxa"/>
            <w:tcBorders>
              <w:top w:val="nil"/>
              <w:left w:val="nil"/>
              <w:bottom w:val="nil"/>
              <w:right w:val="nil"/>
            </w:tcBorders>
            <w:shd w:val="clear" w:color="auto" w:fill="auto"/>
            <w:noWrap/>
            <w:vAlign w:val="center"/>
          </w:tcPr>
          <w:p w14:paraId="791E0FB4"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Pr>
                <w:rFonts w:cs="Times New Roman"/>
                <w:b/>
                <w:color w:val="000000"/>
                <w:sz w:val="18"/>
                <w:szCs w:val="18"/>
              </w:rPr>
              <w:t>202 504</w:t>
            </w:r>
          </w:p>
        </w:tc>
        <w:tc>
          <w:tcPr>
            <w:tcW w:w="1025" w:type="dxa"/>
            <w:tcBorders>
              <w:top w:val="nil"/>
              <w:left w:val="nil"/>
              <w:bottom w:val="nil"/>
              <w:right w:val="nil"/>
            </w:tcBorders>
            <w:shd w:val="clear" w:color="auto" w:fill="BFBFBF" w:themeFill="background1" w:themeFillShade="BF"/>
            <w:noWrap/>
            <w:vAlign w:val="center"/>
          </w:tcPr>
          <w:p w14:paraId="114D55E5"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Pr>
                <w:rFonts w:cs="Times New Roman"/>
                <w:b/>
                <w:sz w:val="18"/>
                <w:szCs w:val="18"/>
              </w:rPr>
              <w:t>- 908</w:t>
            </w:r>
          </w:p>
        </w:tc>
        <w:tc>
          <w:tcPr>
            <w:tcW w:w="818" w:type="dxa"/>
            <w:tcBorders>
              <w:top w:val="nil"/>
              <w:left w:val="nil"/>
              <w:bottom w:val="nil"/>
              <w:right w:val="nil"/>
            </w:tcBorders>
            <w:shd w:val="clear" w:color="000000" w:fill="FFFFFF"/>
            <w:vAlign w:val="center"/>
          </w:tcPr>
          <w:p w14:paraId="5EE4DC13"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Pr>
                <w:rFonts w:eastAsia="Times New Roman" w:cs="Times New Roman"/>
                <w:b/>
                <w:color w:val="FF0000"/>
                <w:sz w:val="18"/>
                <w:szCs w:val="18"/>
                <w:lang w:eastAsia="sk-SK"/>
              </w:rPr>
              <w:t>-</w:t>
            </w:r>
            <w:r w:rsidRPr="007E6C61">
              <w:rPr>
                <w:rFonts w:eastAsia="Times New Roman" w:cs="Times New Roman"/>
                <w:b/>
                <w:sz w:val="18"/>
                <w:szCs w:val="18"/>
                <w:lang w:eastAsia="sk-SK"/>
              </w:rPr>
              <w:t>203 412</w:t>
            </w:r>
          </w:p>
        </w:tc>
        <w:tc>
          <w:tcPr>
            <w:tcW w:w="708" w:type="dxa"/>
            <w:tcBorders>
              <w:top w:val="nil"/>
              <w:left w:val="nil"/>
              <w:bottom w:val="nil"/>
              <w:right w:val="nil"/>
            </w:tcBorders>
            <w:shd w:val="clear" w:color="000000" w:fill="FFFFFF"/>
            <w:vAlign w:val="center"/>
          </w:tcPr>
          <w:p w14:paraId="0CDBB35A" w14:textId="77777777" w:rsidR="00EA177A" w:rsidRPr="005606C9" w:rsidRDefault="00EA177A" w:rsidP="00C704A7">
            <w:pPr>
              <w:spacing w:after="0" w:line="240" w:lineRule="auto"/>
              <w:contextualSpacing/>
              <w:jc w:val="right"/>
              <w:rPr>
                <w:rFonts w:eastAsia="Times New Roman" w:cs="Times New Roman"/>
                <w:b/>
                <w:sz w:val="18"/>
                <w:szCs w:val="18"/>
                <w:lang w:eastAsia="sk-SK"/>
              </w:rPr>
            </w:pPr>
            <w:r w:rsidRPr="005606C9">
              <w:rPr>
                <w:rFonts w:eastAsia="Times New Roman" w:cs="Times New Roman"/>
                <w:b/>
                <w:sz w:val="18"/>
                <w:szCs w:val="18"/>
                <w:lang w:eastAsia="sk-SK"/>
              </w:rPr>
              <w:t>-100,45</w:t>
            </w:r>
          </w:p>
        </w:tc>
      </w:tr>
      <w:tr w:rsidR="00EA177A" w:rsidRPr="0092549D" w14:paraId="7933B0A6" w14:textId="77777777" w:rsidTr="0044781D">
        <w:trPr>
          <w:trHeight w:val="330"/>
        </w:trPr>
        <w:tc>
          <w:tcPr>
            <w:tcW w:w="2912" w:type="dxa"/>
            <w:tcBorders>
              <w:top w:val="nil"/>
              <w:left w:val="nil"/>
              <w:bottom w:val="nil"/>
              <w:right w:val="nil"/>
            </w:tcBorders>
            <w:shd w:val="clear" w:color="auto" w:fill="auto"/>
            <w:noWrap/>
            <w:vAlign w:val="center"/>
            <w:hideMark/>
          </w:tcPr>
          <w:p w14:paraId="2DDC35FD"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sidRPr="00094791">
              <w:rPr>
                <w:rFonts w:eastAsia="Times New Roman" w:cs="Times New Roman"/>
                <w:color w:val="000000"/>
                <w:sz w:val="18"/>
                <w:szCs w:val="18"/>
                <w:lang w:eastAsia="sk-SK"/>
              </w:rPr>
              <w:t>v tom</w:t>
            </w:r>
            <w:r w:rsidRPr="00094791">
              <w:rPr>
                <w:rFonts w:eastAsia="Times New Roman" w:cs="Times New Roman"/>
                <w:i/>
                <w:color w:val="000000"/>
                <w:sz w:val="18"/>
                <w:szCs w:val="18"/>
                <w:lang w:eastAsia="sk-SK"/>
              </w:rPr>
              <w:t xml:space="preserve">: </w:t>
            </w:r>
          </w:p>
        </w:tc>
        <w:tc>
          <w:tcPr>
            <w:tcW w:w="992" w:type="dxa"/>
            <w:tcBorders>
              <w:top w:val="nil"/>
              <w:left w:val="nil"/>
              <w:bottom w:val="nil"/>
              <w:right w:val="nil"/>
            </w:tcBorders>
            <w:shd w:val="clear" w:color="auto" w:fill="auto"/>
            <w:noWrap/>
            <w:vAlign w:val="center"/>
          </w:tcPr>
          <w:p w14:paraId="740FED1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1025" w:type="dxa"/>
            <w:tcBorders>
              <w:top w:val="nil"/>
              <w:left w:val="nil"/>
              <w:bottom w:val="nil"/>
              <w:right w:val="nil"/>
            </w:tcBorders>
            <w:shd w:val="clear" w:color="auto" w:fill="auto"/>
            <w:noWrap/>
            <w:vAlign w:val="center"/>
          </w:tcPr>
          <w:p w14:paraId="2206B44A"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960" w:type="dxa"/>
            <w:tcBorders>
              <w:top w:val="nil"/>
              <w:left w:val="nil"/>
              <w:bottom w:val="nil"/>
              <w:right w:val="nil"/>
            </w:tcBorders>
            <w:shd w:val="clear" w:color="auto" w:fill="auto"/>
            <w:noWrap/>
            <w:vAlign w:val="center"/>
          </w:tcPr>
          <w:p w14:paraId="763F525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1025" w:type="dxa"/>
            <w:tcBorders>
              <w:top w:val="nil"/>
              <w:left w:val="nil"/>
              <w:bottom w:val="nil"/>
              <w:right w:val="nil"/>
            </w:tcBorders>
            <w:shd w:val="clear" w:color="auto" w:fill="BFBFBF" w:themeFill="background1" w:themeFillShade="BF"/>
            <w:noWrap/>
            <w:vAlign w:val="center"/>
          </w:tcPr>
          <w:p w14:paraId="76461304"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818" w:type="dxa"/>
            <w:tcBorders>
              <w:top w:val="nil"/>
              <w:left w:val="nil"/>
              <w:bottom w:val="nil"/>
              <w:right w:val="nil"/>
            </w:tcBorders>
            <w:shd w:val="clear" w:color="auto" w:fill="auto"/>
            <w:noWrap/>
            <w:vAlign w:val="center"/>
          </w:tcPr>
          <w:p w14:paraId="79546AC6"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708" w:type="dxa"/>
            <w:tcBorders>
              <w:top w:val="nil"/>
              <w:left w:val="nil"/>
              <w:bottom w:val="nil"/>
              <w:right w:val="nil"/>
            </w:tcBorders>
            <w:shd w:val="clear" w:color="auto" w:fill="auto"/>
            <w:noWrap/>
            <w:vAlign w:val="center"/>
          </w:tcPr>
          <w:p w14:paraId="3691248B" w14:textId="77777777" w:rsidR="00EA177A" w:rsidRPr="005606C9" w:rsidRDefault="00EA177A" w:rsidP="00C704A7">
            <w:pPr>
              <w:spacing w:after="0" w:line="240" w:lineRule="auto"/>
              <w:contextualSpacing/>
              <w:jc w:val="right"/>
              <w:rPr>
                <w:rFonts w:eastAsia="Times New Roman" w:cs="Times New Roman"/>
                <w:i/>
                <w:sz w:val="18"/>
                <w:szCs w:val="18"/>
                <w:lang w:eastAsia="sk-SK"/>
              </w:rPr>
            </w:pPr>
          </w:p>
        </w:tc>
      </w:tr>
      <w:tr w:rsidR="00EA177A" w:rsidRPr="0092549D" w14:paraId="4DFC3488" w14:textId="77777777" w:rsidTr="0044781D">
        <w:trPr>
          <w:trHeight w:val="330"/>
        </w:trPr>
        <w:tc>
          <w:tcPr>
            <w:tcW w:w="2912" w:type="dxa"/>
            <w:tcBorders>
              <w:top w:val="nil"/>
              <w:left w:val="nil"/>
              <w:bottom w:val="nil"/>
              <w:right w:val="nil"/>
            </w:tcBorders>
            <w:shd w:val="clear" w:color="auto" w:fill="auto"/>
            <w:noWrap/>
            <w:vAlign w:val="center"/>
            <w:hideMark/>
          </w:tcPr>
          <w:p w14:paraId="4F0CCD6F"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odvod z obchodných reťazcov</w:t>
            </w:r>
          </w:p>
        </w:tc>
        <w:tc>
          <w:tcPr>
            <w:tcW w:w="992" w:type="dxa"/>
            <w:tcBorders>
              <w:top w:val="nil"/>
              <w:left w:val="nil"/>
              <w:bottom w:val="nil"/>
              <w:right w:val="nil"/>
            </w:tcBorders>
            <w:shd w:val="clear" w:color="auto" w:fill="auto"/>
            <w:noWrap/>
            <w:vAlign w:val="center"/>
          </w:tcPr>
          <w:p w14:paraId="3932025A"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1025" w:type="dxa"/>
            <w:tcBorders>
              <w:top w:val="nil"/>
              <w:left w:val="nil"/>
              <w:bottom w:val="nil"/>
              <w:right w:val="nil"/>
            </w:tcBorders>
            <w:shd w:val="clear" w:color="auto" w:fill="auto"/>
            <w:noWrap/>
            <w:vAlign w:val="center"/>
          </w:tcPr>
          <w:p w14:paraId="4E91072B"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960" w:type="dxa"/>
            <w:tcBorders>
              <w:top w:val="nil"/>
              <w:left w:val="nil"/>
              <w:bottom w:val="nil"/>
              <w:right w:val="nil"/>
            </w:tcBorders>
            <w:shd w:val="clear" w:color="auto" w:fill="auto"/>
            <w:noWrap/>
            <w:vAlign w:val="center"/>
          </w:tcPr>
          <w:p w14:paraId="2CCCD99C"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Pr>
                <w:rFonts w:cs="Times New Roman"/>
                <w:color w:val="000000"/>
                <w:sz w:val="18"/>
                <w:szCs w:val="18"/>
              </w:rPr>
              <w:t>112 504</w:t>
            </w:r>
          </w:p>
        </w:tc>
        <w:tc>
          <w:tcPr>
            <w:tcW w:w="1025" w:type="dxa"/>
            <w:tcBorders>
              <w:top w:val="nil"/>
              <w:left w:val="nil"/>
              <w:bottom w:val="nil"/>
              <w:right w:val="nil"/>
            </w:tcBorders>
            <w:shd w:val="clear" w:color="auto" w:fill="BFBFBF" w:themeFill="background1" w:themeFillShade="BF"/>
            <w:noWrap/>
            <w:vAlign w:val="center"/>
          </w:tcPr>
          <w:p w14:paraId="49C4F91B"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Pr>
                <w:rFonts w:cs="Times New Roman"/>
                <w:sz w:val="18"/>
                <w:szCs w:val="18"/>
              </w:rPr>
              <w:t>0</w:t>
            </w:r>
          </w:p>
        </w:tc>
        <w:tc>
          <w:tcPr>
            <w:tcW w:w="818" w:type="dxa"/>
            <w:tcBorders>
              <w:top w:val="nil"/>
              <w:left w:val="nil"/>
              <w:bottom w:val="nil"/>
              <w:right w:val="nil"/>
            </w:tcBorders>
            <w:shd w:val="clear" w:color="000000" w:fill="FFFFFF"/>
            <w:vAlign w:val="center"/>
          </w:tcPr>
          <w:p w14:paraId="24956CEF"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Pr>
                <w:rFonts w:cs="Times New Roman"/>
                <w:sz w:val="18"/>
                <w:szCs w:val="18"/>
              </w:rPr>
              <w:t>-112 504</w:t>
            </w:r>
          </w:p>
        </w:tc>
        <w:tc>
          <w:tcPr>
            <w:tcW w:w="708" w:type="dxa"/>
            <w:tcBorders>
              <w:top w:val="nil"/>
              <w:left w:val="nil"/>
              <w:bottom w:val="nil"/>
              <w:right w:val="nil"/>
            </w:tcBorders>
            <w:shd w:val="clear" w:color="000000" w:fill="FFFFFF"/>
            <w:vAlign w:val="center"/>
          </w:tcPr>
          <w:p w14:paraId="1380C46D" w14:textId="77777777" w:rsidR="00EA177A" w:rsidRPr="005606C9" w:rsidRDefault="00EA177A" w:rsidP="00C704A7">
            <w:pPr>
              <w:spacing w:after="0" w:line="240" w:lineRule="auto"/>
              <w:contextualSpacing/>
              <w:jc w:val="right"/>
              <w:rPr>
                <w:rFonts w:eastAsia="Times New Roman" w:cs="Times New Roman"/>
                <w:sz w:val="18"/>
                <w:szCs w:val="18"/>
                <w:lang w:eastAsia="sk-SK"/>
              </w:rPr>
            </w:pPr>
            <w:r w:rsidRPr="005606C9">
              <w:rPr>
                <w:rFonts w:eastAsia="Times New Roman" w:cs="Times New Roman"/>
                <w:sz w:val="18"/>
                <w:szCs w:val="18"/>
                <w:lang w:eastAsia="sk-SK"/>
              </w:rPr>
              <w:t>-100,00</w:t>
            </w:r>
          </w:p>
        </w:tc>
      </w:tr>
      <w:tr w:rsidR="00EA177A" w:rsidRPr="0092549D" w14:paraId="7C71E06B" w14:textId="77777777" w:rsidTr="0044781D">
        <w:trPr>
          <w:trHeight w:val="330"/>
        </w:trPr>
        <w:tc>
          <w:tcPr>
            <w:tcW w:w="2912" w:type="dxa"/>
            <w:tcBorders>
              <w:top w:val="nil"/>
              <w:left w:val="nil"/>
              <w:bottom w:val="nil"/>
              <w:right w:val="nil"/>
            </w:tcBorders>
            <w:shd w:val="clear" w:color="auto" w:fill="auto"/>
            <w:vAlign w:val="center"/>
            <w:hideMark/>
          </w:tcPr>
          <w:p w14:paraId="5F782251" w14:textId="77777777" w:rsidR="00EA177A" w:rsidRPr="00094791" w:rsidRDefault="00EA177A" w:rsidP="00C704A7">
            <w:pPr>
              <w:spacing w:after="0" w:line="240" w:lineRule="auto"/>
              <w:contextualSpacing/>
              <w:jc w:val="left"/>
              <w:rPr>
                <w:rFonts w:eastAsia="Times New Roman" w:cs="Times New Roman"/>
                <w:i/>
                <w:color w:val="000000"/>
                <w:sz w:val="18"/>
                <w:szCs w:val="18"/>
                <w:lang w:eastAsia="sk-SK"/>
              </w:rPr>
            </w:pPr>
            <w:r>
              <w:rPr>
                <w:rFonts w:eastAsia="Times New Roman" w:cs="Times New Roman"/>
                <w:i/>
                <w:color w:val="000000"/>
                <w:sz w:val="18"/>
                <w:szCs w:val="18"/>
                <w:lang w:eastAsia="sk-SK"/>
              </w:rPr>
              <w:t xml:space="preserve">     ďalšie iné dane</w:t>
            </w:r>
          </w:p>
        </w:tc>
        <w:tc>
          <w:tcPr>
            <w:tcW w:w="992" w:type="dxa"/>
            <w:tcBorders>
              <w:top w:val="nil"/>
              <w:left w:val="nil"/>
              <w:bottom w:val="nil"/>
              <w:right w:val="nil"/>
            </w:tcBorders>
            <w:shd w:val="clear" w:color="auto" w:fill="auto"/>
            <w:noWrap/>
            <w:vAlign w:val="center"/>
          </w:tcPr>
          <w:p w14:paraId="1EC9604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1025" w:type="dxa"/>
            <w:tcBorders>
              <w:top w:val="nil"/>
              <w:left w:val="nil"/>
              <w:bottom w:val="nil"/>
              <w:right w:val="nil"/>
            </w:tcBorders>
            <w:shd w:val="clear" w:color="auto" w:fill="auto"/>
            <w:noWrap/>
            <w:vAlign w:val="center"/>
          </w:tcPr>
          <w:p w14:paraId="2E7E8DDB"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p>
        </w:tc>
        <w:tc>
          <w:tcPr>
            <w:tcW w:w="960" w:type="dxa"/>
            <w:tcBorders>
              <w:top w:val="nil"/>
              <w:left w:val="nil"/>
              <w:bottom w:val="nil"/>
              <w:right w:val="nil"/>
            </w:tcBorders>
            <w:shd w:val="clear" w:color="auto" w:fill="auto"/>
            <w:noWrap/>
            <w:vAlign w:val="center"/>
          </w:tcPr>
          <w:p w14:paraId="4814E825"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Pr>
                <w:rFonts w:cs="Times New Roman"/>
                <w:color w:val="000000"/>
                <w:sz w:val="18"/>
                <w:szCs w:val="18"/>
              </w:rPr>
              <w:t>90 000</w:t>
            </w:r>
          </w:p>
        </w:tc>
        <w:tc>
          <w:tcPr>
            <w:tcW w:w="1025" w:type="dxa"/>
            <w:tcBorders>
              <w:top w:val="nil"/>
              <w:left w:val="nil"/>
              <w:bottom w:val="nil"/>
              <w:right w:val="nil"/>
            </w:tcBorders>
            <w:shd w:val="clear" w:color="auto" w:fill="BFBFBF" w:themeFill="background1" w:themeFillShade="BF"/>
            <w:noWrap/>
            <w:vAlign w:val="center"/>
          </w:tcPr>
          <w:p w14:paraId="651AA842"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Pr>
                <w:rFonts w:cs="Times New Roman"/>
                <w:sz w:val="18"/>
                <w:szCs w:val="18"/>
              </w:rPr>
              <w:t>0</w:t>
            </w:r>
          </w:p>
        </w:tc>
        <w:tc>
          <w:tcPr>
            <w:tcW w:w="818" w:type="dxa"/>
            <w:tcBorders>
              <w:top w:val="nil"/>
              <w:left w:val="nil"/>
              <w:bottom w:val="nil"/>
              <w:right w:val="nil"/>
            </w:tcBorders>
            <w:shd w:val="clear" w:color="000000" w:fill="FFFFFF"/>
            <w:vAlign w:val="center"/>
          </w:tcPr>
          <w:p w14:paraId="4AB5DD7E" w14:textId="77777777" w:rsidR="00EA177A" w:rsidRPr="0092549D" w:rsidRDefault="00EA177A" w:rsidP="00C704A7">
            <w:pPr>
              <w:spacing w:after="0" w:line="240" w:lineRule="auto"/>
              <w:contextualSpacing/>
              <w:jc w:val="right"/>
              <w:rPr>
                <w:rFonts w:eastAsia="Times New Roman" w:cs="Times New Roman"/>
                <w:i/>
                <w:color w:val="FF0000"/>
                <w:sz w:val="18"/>
                <w:szCs w:val="18"/>
                <w:lang w:eastAsia="sk-SK"/>
              </w:rPr>
            </w:pPr>
            <w:r>
              <w:rPr>
                <w:rFonts w:cs="Times New Roman"/>
                <w:sz w:val="18"/>
                <w:szCs w:val="18"/>
              </w:rPr>
              <w:t>-90 000</w:t>
            </w:r>
          </w:p>
        </w:tc>
        <w:tc>
          <w:tcPr>
            <w:tcW w:w="708" w:type="dxa"/>
            <w:tcBorders>
              <w:top w:val="nil"/>
              <w:left w:val="nil"/>
              <w:bottom w:val="nil"/>
              <w:right w:val="nil"/>
            </w:tcBorders>
            <w:shd w:val="clear" w:color="000000" w:fill="FFFFFF"/>
            <w:vAlign w:val="center"/>
          </w:tcPr>
          <w:p w14:paraId="3DFF0BBB" w14:textId="77777777" w:rsidR="00EA177A" w:rsidRPr="005606C9" w:rsidRDefault="00EA177A" w:rsidP="00C704A7">
            <w:pPr>
              <w:spacing w:after="0" w:line="240" w:lineRule="auto"/>
              <w:contextualSpacing/>
              <w:jc w:val="right"/>
              <w:rPr>
                <w:rFonts w:eastAsia="Times New Roman" w:cs="Times New Roman"/>
                <w:sz w:val="18"/>
                <w:szCs w:val="18"/>
                <w:lang w:eastAsia="sk-SK"/>
              </w:rPr>
            </w:pPr>
            <w:r w:rsidRPr="005606C9">
              <w:rPr>
                <w:rFonts w:eastAsia="Times New Roman" w:cs="Times New Roman"/>
                <w:sz w:val="18"/>
                <w:szCs w:val="18"/>
                <w:lang w:eastAsia="sk-SK"/>
              </w:rPr>
              <w:t>-100,00</w:t>
            </w:r>
          </w:p>
        </w:tc>
      </w:tr>
      <w:tr w:rsidR="00EA177A" w:rsidRPr="00094791" w14:paraId="4A70AEA6" w14:textId="77777777" w:rsidTr="0044781D">
        <w:trPr>
          <w:trHeight w:val="330"/>
        </w:trPr>
        <w:tc>
          <w:tcPr>
            <w:tcW w:w="2912" w:type="dxa"/>
            <w:tcBorders>
              <w:top w:val="nil"/>
              <w:left w:val="nil"/>
              <w:bottom w:val="nil"/>
              <w:right w:val="nil"/>
            </w:tcBorders>
            <w:shd w:val="clear" w:color="auto" w:fill="auto"/>
            <w:noWrap/>
            <w:vAlign w:val="center"/>
            <w:hideMark/>
          </w:tcPr>
          <w:p w14:paraId="37BB60C2" w14:textId="77777777" w:rsidR="00EA177A" w:rsidRPr="00094791" w:rsidRDefault="00EA177A" w:rsidP="00C704A7">
            <w:pPr>
              <w:spacing w:after="0" w:line="240" w:lineRule="auto"/>
              <w:contextualSpacing/>
              <w:jc w:val="left"/>
              <w:rPr>
                <w:rFonts w:eastAsia="Times New Roman" w:cs="Times New Roman"/>
                <w:b/>
                <w:color w:val="000000"/>
                <w:sz w:val="18"/>
                <w:szCs w:val="18"/>
                <w:lang w:eastAsia="sk-SK"/>
              </w:rPr>
            </w:pPr>
            <w:r w:rsidRPr="00094791">
              <w:rPr>
                <w:rFonts w:eastAsia="Times New Roman" w:cs="Times New Roman"/>
                <w:b/>
                <w:color w:val="000000"/>
                <w:sz w:val="18"/>
                <w:szCs w:val="18"/>
                <w:lang w:eastAsia="sk-SK"/>
              </w:rPr>
              <w:t xml:space="preserve">Sankcie </w:t>
            </w:r>
            <w:r>
              <w:rPr>
                <w:rFonts w:eastAsia="Times New Roman" w:cs="Times New Roman"/>
                <w:b/>
                <w:color w:val="000000"/>
                <w:sz w:val="18"/>
                <w:szCs w:val="18"/>
                <w:lang w:eastAsia="sk-SK"/>
              </w:rPr>
              <w:t>uložené v daňovom konaní</w:t>
            </w:r>
          </w:p>
        </w:tc>
        <w:tc>
          <w:tcPr>
            <w:tcW w:w="992" w:type="dxa"/>
            <w:tcBorders>
              <w:top w:val="nil"/>
              <w:left w:val="nil"/>
              <w:bottom w:val="nil"/>
              <w:right w:val="nil"/>
            </w:tcBorders>
            <w:shd w:val="clear" w:color="auto" w:fill="auto"/>
            <w:noWrap/>
            <w:vAlign w:val="center"/>
            <w:hideMark/>
          </w:tcPr>
          <w:p w14:paraId="2A7BBDEE"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13</w:t>
            </w:r>
            <w:r>
              <w:rPr>
                <w:rFonts w:cs="Times New Roman"/>
                <w:b/>
                <w:color w:val="000000"/>
                <w:sz w:val="18"/>
                <w:szCs w:val="18"/>
              </w:rPr>
              <w:t> </w:t>
            </w:r>
            <w:r w:rsidRPr="004379C8">
              <w:rPr>
                <w:rFonts w:cs="Times New Roman"/>
                <w:b/>
                <w:color w:val="000000"/>
                <w:sz w:val="18"/>
                <w:szCs w:val="18"/>
              </w:rPr>
              <w:t>963</w:t>
            </w:r>
          </w:p>
        </w:tc>
        <w:tc>
          <w:tcPr>
            <w:tcW w:w="1025" w:type="dxa"/>
            <w:tcBorders>
              <w:top w:val="nil"/>
              <w:left w:val="nil"/>
              <w:bottom w:val="nil"/>
              <w:right w:val="nil"/>
            </w:tcBorders>
            <w:shd w:val="clear" w:color="auto" w:fill="auto"/>
            <w:noWrap/>
            <w:vAlign w:val="center"/>
            <w:hideMark/>
          </w:tcPr>
          <w:p w14:paraId="683229ED"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16</w:t>
            </w:r>
            <w:r>
              <w:rPr>
                <w:rFonts w:cs="Times New Roman"/>
                <w:b/>
                <w:color w:val="000000"/>
                <w:sz w:val="18"/>
                <w:szCs w:val="18"/>
              </w:rPr>
              <w:t> </w:t>
            </w:r>
            <w:r w:rsidRPr="004379C8">
              <w:rPr>
                <w:rFonts w:cs="Times New Roman"/>
                <w:b/>
                <w:color w:val="000000"/>
                <w:sz w:val="18"/>
                <w:szCs w:val="18"/>
              </w:rPr>
              <w:t>204</w:t>
            </w:r>
          </w:p>
        </w:tc>
        <w:tc>
          <w:tcPr>
            <w:tcW w:w="960" w:type="dxa"/>
            <w:tcBorders>
              <w:top w:val="nil"/>
              <w:left w:val="nil"/>
              <w:bottom w:val="nil"/>
              <w:right w:val="nil"/>
            </w:tcBorders>
            <w:shd w:val="clear" w:color="auto" w:fill="auto"/>
            <w:noWrap/>
            <w:vAlign w:val="center"/>
          </w:tcPr>
          <w:p w14:paraId="677F5A76"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13</w:t>
            </w:r>
            <w:r>
              <w:rPr>
                <w:rFonts w:cs="Times New Roman"/>
                <w:b/>
                <w:color w:val="000000"/>
                <w:sz w:val="18"/>
                <w:szCs w:val="18"/>
              </w:rPr>
              <w:t> </w:t>
            </w:r>
            <w:r w:rsidRPr="004379C8">
              <w:rPr>
                <w:rFonts w:cs="Times New Roman"/>
                <w:b/>
                <w:color w:val="000000"/>
                <w:sz w:val="18"/>
                <w:szCs w:val="18"/>
              </w:rPr>
              <w:t>149</w:t>
            </w:r>
          </w:p>
        </w:tc>
        <w:tc>
          <w:tcPr>
            <w:tcW w:w="1025" w:type="dxa"/>
            <w:tcBorders>
              <w:left w:val="nil"/>
              <w:bottom w:val="nil"/>
              <w:right w:val="nil"/>
            </w:tcBorders>
            <w:shd w:val="clear" w:color="auto" w:fill="BFBFBF" w:themeFill="background1" w:themeFillShade="BF"/>
            <w:noWrap/>
            <w:vAlign w:val="center"/>
          </w:tcPr>
          <w:p w14:paraId="1BBE5A41"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sz w:val="18"/>
                <w:szCs w:val="18"/>
              </w:rPr>
              <w:t>24</w:t>
            </w:r>
            <w:r>
              <w:rPr>
                <w:rFonts w:cs="Times New Roman"/>
                <w:b/>
                <w:sz w:val="18"/>
                <w:szCs w:val="18"/>
              </w:rPr>
              <w:t> </w:t>
            </w:r>
            <w:r w:rsidRPr="004379C8">
              <w:rPr>
                <w:rFonts w:cs="Times New Roman"/>
                <w:b/>
                <w:sz w:val="18"/>
                <w:szCs w:val="18"/>
              </w:rPr>
              <w:t>267</w:t>
            </w:r>
          </w:p>
        </w:tc>
        <w:tc>
          <w:tcPr>
            <w:tcW w:w="818" w:type="dxa"/>
            <w:tcBorders>
              <w:left w:val="nil"/>
              <w:bottom w:val="single" w:sz="4" w:space="0" w:color="auto"/>
              <w:right w:val="nil"/>
            </w:tcBorders>
            <w:shd w:val="clear" w:color="auto" w:fill="auto"/>
            <w:noWrap/>
            <w:vAlign w:val="center"/>
          </w:tcPr>
          <w:p w14:paraId="70992CFA"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sz w:val="18"/>
                <w:szCs w:val="18"/>
              </w:rPr>
              <w:t>11 118</w:t>
            </w:r>
          </w:p>
        </w:tc>
        <w:tc>
          <w:tcPr>
            <w:tcW w:w="708" w:type="dxa"/>
            <w:tcBorders>
              <w:left w:val="nil"/>
              <w:bottom w:val="single" w:sz="4" w:space="0" w:color="auto"/>
              <w:right w:val="nil"/>
            </w:tcBorders>
            <w:shd w:val="clear" w:color="000000" w:fill="FFFFFF"/>
            <w:vAlign w:val="center"/>
          </w:tcPr>
          <w:p w14:paraId="3F5F69F5" w14:textId="77777777" w:rsidR="00EA177A" w:rsidRPr="004379C8" w:rsidRDefault="00EA177A" w:rsidP="00C704A7">
            <w:pPr>
              <w:spacing w:after="0" w:line="240" w:lineRule="auto"/>
              <w:contextualSpacing/>
              <w:jc w:val="right"/>
              <w:rPr>
                <w:rFonts w:eastAsia="Times New Roman" w:cs="Times New Roman"/>
                <w:b/>
                <w:color w:val="FF0000"/>
                <w:sz w:val="18"/>
                <w:szCs w:val="18"/>
                <w:lang w:eastAsia="sk-SK"/>
              </w:rPr>
            </w:pPr>
            <w:r w:rsidRPr="004379C8">
              <w:rPr>
                <w:rFonts w:cs="Times New Roman"/>
                <w:b/>
                <w:color w:val="000000"/>
                <w:sz w:val="18"/>
                <w:szCs w:val="18"/>
              </w:rPr>
              <w:t>84,6</w:t>
            </w:r>
          </w:p>
        </w:tc>
      </w:tr>
      <w:tr w:rsidR="00EA177A" w:rsidRPr="00094791" w14:paraId="159D34AE" w14:textId="77777777" w:rsidTr="0044781D">
        <w:trPr>
          <w:trHeight w:val="345"/>
        </w:trPr>
        <w:tc>
          <w:tcPr>
            <w:tcW w:w="2912" w:type="dxa"/>
            <w:tcBorders>
              <w:top w:val="single" w:sz="4" w:space="0" w:color="auto"/>
              <w:left w:val="nil"/>
              <w:bottom w:val="single" w:sz="8" w:space="0" w:color="auto"/>
              <w:right w:val="nil"/>
            </w:tcBorders>
            <w:shd w:val="clear" w:color="000000" w:fill="FFFFFF"/>
            <w:noWrap/>
            <w:vAlign w:val="center"/>
            <w:hideMark/>
          </w:tcPr>
          <w:p w14:paraId="5FE8FD8E" w14:textId="77777777" w:rsidR="00EA177A" w:rsidRPr="00094791" w:rsidRDefault="00EA177A" w:rsidP="00C704A7">
            <w:pPr>
              <w:spacing w:after="0" w:line="240" w:lineRule="auto"/>
              <w:contextualSpacing/>
              <w:jc w:val="left"/>
              <w:rPr>
                <w:rFonts w:eastAsia="Times New Roman" w:cs="Times New Roman"/>
                <w:b/>
                <w:bCs/>
                <w:color w:val="000000"/>
                <w:sz w:val="18"/>
                <w:szCs w:val="18"/>
                <w:lang w:eastAsia="sk-SK"/>
              </w:rPr>
            </w:pPr>
            <w:r w:rsidRPr="00094791">
              <w:rPr>
                <w:rFonts w:eastAsia="Times New Roman" w:cs="Times New Roman"/>
                <w:b/>
                <w:bCs/>
                <w:color w:val="000000"/>
                <w:sz w:val="18"/>
                <w:szCs w:val="18"/>
                <w:lang w:eastAsia="sk-SK"/>
              </w:rPr>
              <w:t>Spolu</w:t>
            </w:r>
          </w:p>
        </w:tc>
        <w:tc>
          <w:tcPr>
            <w:tcW w:w="992" w:type="dxa"/>
            <w:tcBorders>
              <w:top w:val="single" w:sz="4" w:space="0" w:color="auto"/>
              <w:left w:val="nil"/>
              <w:bottom w:val="single" w:sz="8" w:space="0" w:color="auto"/>
              <w:right w:val="nil"/>
            </w:tcBorders>
            <w:shd w:val="clear" w:color="000000" w:fill="FFFFFF"/>
            <w:noWrap/>
            <w:vAlign w:val="center"/>
            <w:hideMark/>
          </w:tcPr>
          <w:p w14:paraId="085415F8" w14:textId="77777777" w:rsidR="00EA177A" w:rsidRPr="0092549D" w:rsidRDefault="00EA177A" w:rsidP="00C704A7">
            <w:pPr>
              <w:spacing w:after="0" w:line="240" w:lineRule="auto"/>
              <w:contextualSpacing/>
              <w:jc w:val="right"/>
              <w:rPr>
                <w:rFonts w:eastAsia="Times New Roman" w:cs="Times New Roman"/>
                <w:b/>
                <w:bCs/>
                <w:color w:val="FF0000"/>
                <w:sz w:val="18"/>
                <w:szCs w:val="18"/>
                <w:lang w:eastAsia="sk-SK"/>
              </w:rPr>
            </w:pPr>
            <w:r w:rsidRPr="0092549D">
              <w:rPr>
                <w:rFonts w:cs="Times New Roman"/>
                <w:b/>
                <w:bCs/>
                <w:sz w:val="18"/>
                <w:szCs w:val="18"/>
              </w:rPr>
              <w:t>11 152 310</w:t>
            </w:r>
          </w:p>
        </w:tc>
        <w:tc>
          <w:tcPr>
            <w:tcW w:w="1025" w:type="dxa"/>
            <w:tcBorders>
              <w:top w:val="single" w:sz="4" w:space="0" w:color="auto"/>
              <w:left w:val="nil"/>
              <w:bottom w:val="single" w:sz="8" w:space="0" w:color="auto"/>
              <w:right w:val="nil"/>
            </w:tcBorders>
            <w:shd w:val="clear" w:color="000000" w:fill="FFFFFF"/>
            <w:noWrap/>
            <w:vAlign w:val="center"/>
            <w:hideMark/>
          </w:tcPr>
          <w:p w14:paraId="1CDB755B" w14:textId="77777777" w:rsidR="00EA177A" w:rsidRPr="0092549D" w:rsidRDefault="00EA177A" w:rsidP="00C704A7">
            <w:pPr>
              <w:spacing w:after="0" w:line="240" w:lineRule="auto"/>
              <w:contextualSpacing/>
              <w:jc w:val="right"/>
              <w:rPr>
                <w:rFonts w:eastAsia="Times New Roman" w:cs="Times New Roman"/>
                <w:b/>
                <w:bCs/>
                <w:color w:val="FF0000"/>
                <w:sz w:val="18"/>
                <w:szCs w:val="18"/>
                <w:lang w:eastAsia="sk-SK"/>
              </w:rPr>
            </w:pPr>
            <w:r w:rsidRPr="0092549D">
              <w:rPr>
                <w:rFonts w:cs="Times New Roman"/>
                <w:b/>
                <w:bCs/>
                <w:sz w:val="18"/>
                <w:szCs w:val="18"/>
              </w:rPr>
              <w:t>11 965 782</w:t>
            </w:r>
          </w:p>
        </w:tc>
        <w:tc>
          <w:tcPr>
            <w:tcW w:w="960" w:type="dxa"/>
            <w:tcBorders>
              <w:top w:val="single" w:sz="4" w:space="0" w:color="auto"/>
              <w:left w:val="nil"/>
              <w:bottom w:val="single" w:sz="8" w:space="0" w:color="auto"/>
              <w:right w:val="nil"/>
            </w:tcBorders>
            <w:shd w:val="clear" w:color="000000" w:fill="FFFFFF"/>
            <w:noWrap/>
            <w:vAlign w:val="center"/>
          </w:tcPr>
          <w:p w14:paraId="2A31E89F" w14:textId="77777777" w:rsidR="00EA177A" w:rsidRPr="0092549D" w:rsidRDefault="00EA177A" w:rsidP="00C704A7">
            <w:pPr>
              <w:spacing w:after="0" w:line="240" w:lineRule="auto"/>
              <w:contextualSpacing/>
              <w:jc w:val="right"/>
              <w:rPr>
                <w:rFonts w:eastAsia="Times New Roman" w:cs="Times New Roman"/>
                <w:b/>
                <w:bCs/>
                <w:color w:val="FF0000"/>
                <w:sz w:val="18"/>
                <w:szCs w:val="18"/>
                <w:lang w:eastAsia="sk-SK"/>
              </w:rPr>
            </w:pPr>
            <w:r w:rsidRPr="0092549D">
              <w:rPr>
                <w:rFonts w:cs="Times New Roman"/>
                <w:b/>
                <w:bCs/>
                <w:sz w:val="18"/>
                <w:szCs w:val="18"/>
              </w:rPr>
              <w:t>12 464 557</w:t>
            </w:r>
          </w:p>
        </w:tc>
        <w:tc>
          <w:tcPr>
            <w:tcW w:w="1025" w:type="dxa"/>
            <w:tcBorders>
              <w:top w:val="single" w:sz="4" w:space="0" w:color="auto"/>
              <w:left w:val="nil"/>
              <w:bottom w:val="single" w:sz="8" w:space="0" w:color="auto"/>
              <w:right w:val="nil"/>
            </w:tcBorders>
            <w:shd w:val="clear" w:color="auto" w:fill="BFBFBF" w:themeFill="background1" w:themeFillShade="BF"/>
            <w:noWrap/>
            <w:vAlign w:val="center"/>
          </w:tcPr>
          <w:p w14:paraId="57B5D6F4" w14:textId="77777777" w:rsidR="00EA177A" w:rsidRPr="0092549D" w:rsidRDefault="00EA177A" w:rsidP="00C704A7">
            <w:pPr>
              <w:spacing w:after="0" w:line="240" w:lineRule="auto"/>
              <w:contextualSpacing/>
              <w:jc w:val="right"/>
              <w:rPr>
                <w:rFonts w:eastAsia="Times New Roman" w:cs="Times New Roman"/>
                <w:b/>
                <w:bCs/>
                <w:color w:val="FF0000"/>
                <w:sz w:val="18"/>
                <w:szCs w:val="18"/>
                <w:lang w:eastAsia="sk-SK"/>
              </w:rPr>
            </w:pPr>
            <w:r w:rsidRPr="0092549D">
              <w:rPr>
                <w:rFonts w:cs="Times New Roman"/>
                <w:b/>
                <w:bCs/>
                <w:sz w:val="18"/>
                <w:szCs w:val="18"/>
              </w:rPr>
              <w:t>12 336 444</w:t>
            </w:r>
          </w:p>
        </w:tc>
        <w:tc>
          <w:tcPr>
            <w:tcW w:w="818" w:type="dxa"/>
            <w:tcBorders>
              <w:top w:val="nil"/>
              <w:left w:val="nil"/>
              <w:bottom w:val="single" w:sz="8" w:space="0" w:color="auto"/>
              <w:right w:val="nil"/>
            </w:tcBorders>
            <w:shd w:val="clear" w:color="000000" w:fill="FFFFFF"/>
            <w:vAlign w:val="center"/>
          </w:tcPr>
          <w:p w14:paraId="76043B82"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bCs/>
                <w:sz w:val="18"/>
                <w:szCs w:val="18"/>
              </w:rPr>
              <w:t>-128 113</w:t>
            </w:r>
          </w:p>
        </w:tc>
        <w:tc>
          <w:tcPr>
            <w:tcW w:w="708" w:type="dxa"/>
            <w:tcBorders>
              <w:top w:val="nil"/>
              <w:left w:val="nil"/>
              <w:bottom w:val="single" w:sz="8" w:space="0" w:color="auto"/>
              <w:right w:val="nil"/>
            </w:tcBorders>
            <w:shd w:val="clear" w:color="000000" w:fill="FFFFFF"/>
            <w:vAlign w:val="center"/>
          </w:tcPr>
          <w:p w14:paraId="1B6BE782" w14:textId="77777777" w:rsidR="00EA177A" w:rsidRPr="0092549D" w:rsidRDefault="00EA177A" w:rsidP="00C704A7">
            <w:pPr>
              <w:spacing w:after="0" w:line="240" w:lineRule="auto"/>
              <w:contextualSpacing/>
              <w:jc w:val="right"/>
              <w:rPr>
                <w:rFonts w:eastAsia="Times New Roman" w:cs="Times New Roman"/>
                <w:b/>
                <w:color w:val="FF0000"/>
                <w:sz w:val="18"/>
                <w:szCs w:val="18"/>
                <w:lang w:eastAsia="sk-SK"/>
              </w:rPr>
            </w:pPr>
            <w:r w:rsidRPr="0092549D">
              <w:rPr>
                <w:rFonts w:cs="Times New Roman"/>
                <w:b/>
                <w:bCs/>
                <w:color w:val="000000"/>
                <w:sz w:val="18"/>
                <w:szCs w:val="18"/>
              </w:rPr>
              <w:t>-1,0</w:t>
            </w:r>
          </w:p>
        </w:tc>
      </w:tr>
    </w:tbl>
    <w:p w14:paraId="4AFAB181" w14:textId="77777777" w:rsidR="00EA177A" w:rsidRDefault="00EA177A" w:rsidP="00EA177A">
      <w:pPr>
        <w:jc w:val="right"/>
        <w:rPr>
          <w:sz w:val="18"/>
          <w:szCs w:val="18"/>
        </w:rPr>
      </w:pPr>
      <w:r w:rsidRPr="00410291">
        <w:rPr>
          <w:sz w:val="18"/>
          <w:szCs w:val="18"/>
        </w:rPr>
        <w:t>Zdroj: MF SR</w:t>
      </w:r>
    </w:p>
    <w:p w14:paraId="4100251D" w14:textId="77777777" w:rsidR="00EA177A" w:rsidRPr="0093602A" w:rsidRDefault="00EA177A" w:rsidP="00EA177A">
      <w:pPr>
        <w:tabs>
          <w:tab w:val="left" w:pos="1134"/>
        </w:tabs>
      </w:pPr>
      <w:r w:rsidRPr="0093602A">
        <w:t>Tak ako v predchádzajúcich rokoch najvyšší podiel z daňových príjmov pripadá na dane za tovary a služby (75,4 %) a na dane z príjmov a kapitálového majetku (24,</w:t>
      </w:r>
      <w:r w:rsidRPr="00180D7C">
        <w:t>2</w:t>
      </w:r>
      <w:r w:rsidRPr="0093602A">
        <w:t> %).</w:t>
      </w:r>
    </w:p>
    <w:p w14:paraId="3D9C937D" w14:textId="77777777" w:rsidR="00EA177A" w:rsidRDefault="00EA177A" w:rsidP="00EA177A">
      <w:pPr>
        <w:tabs>
          <w:tab w:val="left" w:pos="1134"/>
        </w:tabs>
      </w:pPr>
      <w:r w:rsidRPr="00180D7C">
        <w:rPr>
          <w:b/>
          <w:bCs/>
        </w:rPr>
        <w:t>Dane za tovary a služby</w:t>
      </w:r>
      <w:r w:rsidRPr="00180D7C">
        <w:t xml:space="preserve"> sa rozpočtovali vo výške 9 275 251 tis. </w:t>
      </w:r>
      <w:r w:rsidRPr="008D43FF">
        <w:t>e</w:t>
      </w:r>
      <w:r w:rsidRPr="00180D7C">
        <w:t xml:space="preserve">ur, pričom skutočný výnos vo výške 9 302 808 tis. eur je oproti rozpočtu o 27 557 tis. eur vyšší, čo predstavuje plnenie rozpočtu na 100,3 %. Nárast </w:t>
      </w:r>
      <w:r>
        <w:t>príjmu z</w:t>
      </w:r>
      <w:r w:rsidRPr="00180D7C">
        <w:t xml:space="preserve"> DPH o 98 426 </w:t>
      </w:r>
      <w:r w:rsidRPr="005567F9">
        <w:t>tis. eur</w:t>
      </w:r>
      <w:r>
        <w:t xml:space="preserve"> bol na druhej strane korigovaný poklesom príjmu spotrebných daní o 59 451 tis. eur, poklesom príjmu dane z motorových vozidiel o 9 129 tis. eur a príjmu z dane z poistenia o 5 042 tis. eur.  </w:t>
      </w:r>
    </w:p>
    <w:p w14:paraId="3AD306F7" w14:textId="77777777" w:rsidR="00EA177A" w:rsidRPr="00167A79" w:rsidRDefault="00EA177A" w:rsidP="00EA177A">
      <w:pPr>
        <w:tabs>
          <w:tab w:val="left" w:pos="1134"/>
        </w:tabs>
      </w:pPr>
      <w:r w:rsidRPr="005567F9">
        <w:t xml:space="preserve">V porovnaní s rokom 2018 došlo k nárastu hotovostného </w:t>
      </w:r>
      <w:r>
        <w:t>výberu dane za tovary a služby</w:t>
      </w:r>
      <w:r>
        <w:br/>
        <w:t>o 383 491 tis. </w:t>
      </w:r>
      <w:r w:rsidRPr="005567F9">
        <w:t xml:space="preserve">eur, ktorý bol spôsobený najmä medziročným nárastom výberu DPH o 315 455 tis. eur. </w:t>
      </w:r>
    </w:p>
    <w:p w14:paraId="56CD017D" w14:textId="0065F52F" w:rsidR="00EA177A" w:rsidRPr="00180D7C" w:rsidRDefault="00EA177A" w:rsidP="008D5E94">
      <w:pPr>
        <w:rPr>
          <w:rFonts w:cs="Times New Roman"/>
        </w:rPr>
      </w:pPr>
      <w:r>
        <w:rPr>
          <w:b/>
          <w:i/>
        </w:rPr>
        <w:br w:type="page"/>
      </w:r>
      <w:r w:rsidRPr="00167A79">
        <w:rPr>
          <w:b/>
          <w:i/>
        </w:rPr>
        <w:t xml:space="preserve">Daň z pridanej hodnoty (DPH) </w:t>
      </w:r>
      <w:r>
        <w:t>sa rozpočtovala sumou 6 629 </w:t>
      </w:r>
      <w:r w:rsidRPr="00167A79">
        <w:t xml:space="preserve">455 tis. eur a jej skutočný výber vo výške 6 727 881 tis. eur, predstavuje plnenie rozpočtu na úrovni 101,5 %. </w:t>
      </w:r>
      <w:r w:rsidR="00700DE0">
        <w:t>Za vyšším výnosom je najmä vyššia efektivita výberu.</w:t>
      </w:r>
      <w:r w:rsidRPr="00167A79">
        <w:rPr>
          <w:rFonts w:cs="Times New Roman"/>
        </w:rPr>
        <w:t xml:space="preserve"> </w:t>
      </w:r>
    </w:p>
    <w:p w14:paraId="11BEF5D9" w14:textId="77777777" w:rsidR="00EA177A" w:rsidRPr="002116C5" w:rsidRDefault="00EA177A" w:rsidP="00EA177A">
      <w:r w:rsidRPr="002116C5">
        <w:rPr>
          <w:b/>
          <w:i/>
        </w:rPr>
        <w:t xml:space="preserve">Spotrebné dane </w:t>
      </w:r>
      <w:r w:rsidRPr="00CC4166">
        <w:rPr>
          <w:i/>
        </w:rPr>
        <w:t xml:space="preserve">sa </w:t>
      </w:r>
      <w:r w:rsidRPr="002116C5">
        <w:t>rozpočtovali sumou 2 417 198 tis.</w:t>
      </w:r>
      <w:r>
        <w:t> eur. Skutočný príjem bol nižší</w:t>
      </w:r>
      <w:r>
        <w:br/>
      </w:r>
      <w:r w:rsidRPr="002116C5">
        <w:t xml:space="preserve">o 59 451 tis. eur a dosiahol 2 357 747 tis. eur. Výpadok bol zaznamenaný najmä pri spotrebnej dani z minerálnych </w:t>
      </w:r>
      <w:r w:rsidRPr="00B07078">
        <w:t>olejov (</w:t>
      </w:r>
      <w:r w:rsidRPr="00180D7C">
        <w:t>o</w:t>
      </w:r>
      <w:r>
        <w:t> 45 928</w:t>
      </w:r>
      <w:r w:rsidRPr="002116C5">
        <w:t> tis. eur) a spotrebn</w:t>
      </w:r>
      <w:r>
        <w:t>ej dani</w:t>
      </w:r>
      <w:r w:rsidRPr="002116C5">
        <w:t xml:space="preserve"> z tabakových </w:t>
      </w:r>
      <w:r>
        <w:t xml:space="preserve">výrobkov </w:t>
      </w:r>
      <w:r w:rsidRPr="00B07078">
        <w:t>(</w:t>
      </w:r>
      <w:r>
        <w:t>o 10 900 tis. </w:t>
      </w:r>
      <w:r w:rsidRPr="002116C5">
        <w:t xml:space="preserve">eur). Slabší výnos pri minerálnych olejoch je z dôvodu oslabenia ekonomickej aktivity. </w:t>
      </w:r>
      <w:r>
        <w:t xml:space="preserve">Nižší výnos dane z tabakových výrobkov </w:t>
      </w:r>
      <w:r w:rsidRPr="002116C5">
        <w:t>je spôsobený najmä tým, že v januári 2019 bol výnos nižší než očakávania z dôvodu zmeny sadzieb od februára 2019. V porovnaní s rokom 2018 bol celkový výnos spotrebných daní vyšší o 34 226 tis. eur, t.</w:t>
      </w:r>
      <w:r>
        <w:t xml:space="preserve"> </w:t>
      </w:r>
      <w:r w:rsidRPr="002116C5">
        <w:t xml:space="preserve">j. o 1,5 %. </w:t>
      </w:r>
    </w:p>
    <w:p w14:paraId="65EA4CB6" w14:textId="77777777" w:rsidR="00EA177A" w:rsidRDefault="00EA177A" w:rsidP="00EA177A">
      <w:r w:rsidRPr="00B07078">
        <w:rPr>
          <w:b/>
          <w:i/>
        </w:rPr>
        <w:t>Dane z používania tovarov a z povolenia na výkon činnosti</w:t>
      </w:r>
      <w:r w:rsidRPr="00B07078">
        <w:t xml:space="preserve"> boli rozpočtované vo výške </w:t>
      </w:r>
      <w:r>
        <w:t>167 </w:t>
      </w:r>
      <w:r w:rsidRPr="00B07078">
        <w:t>128 tis. eur. V skutočnosti dosiahli výnos</w:t>
      </w:r>
      <w:r w:rsidRPr="00180D7C">
        <w:rPr>
          <w:color w:val="FF0000"/>
        </w:rPr>
        <w:t xml:space="preserve"> </w:t>
      </w:r>
      <w:r w:rsidRPr="00B07078">
        <w:t xml:space="preserve">157 996 tis. eur. </w:t>
      </w:r>
      <w:r>
        <w:t>Takmer celú hodnotu týchto daní tvorí daň z motorových vozidiel</w:t>
      </w:r>
      <w:r w:rsidRPr="00180D7C">
        <w:rPr>
          <w:vertAlign w:val="superscript"/>
        </w:rPr>
        <w:footnoteReference w:id="21"/>
      </w:r>
      <w:r>
        <w:t>, ktorá bola rozpočtovaná na úrovni 167 026 tis. eur a v skutočnosti dosiahla 157 897 tis. eur.</w:t>
      </w:r>
    </w:p>
    <w:p w14:paraId="688DDBE0" w14:textId="77777777" w:rsidR="00EA177A" w:rsidRPr="00180D7C" w:rsidRDefault="00EA177A" w:rsidP="00EA177A">
      <w:pPr>
        <w:rPr>
          <w:color w:val="FF0000"/>
        </w:rPr>
      </w:pPr>
      <w:r w:rsidRPr="00467DFF">
        <w:rPr>
          <w:b/>
          <w:i/>
        </w:rPr>
        <w:t>Iné dane za tovary a služby</w:t>
      </w:r>
      <w:r w:rsidRPr="00467DFF">
        <w:t xml:space="preserve"> predstavuje odvod časti poistného z odvetví neživotného poistenia a daň z poistenia. Výnos </w:t>
      </w:r>
      <w:r w:rsidRPr="00E95DF9">
        <w:t>z odvodu časti poistného bo</w:t>
      </w:r>
      <w:r w:rsidRPr="00E3345C">
        <w:t>l k 31.12.2018 zrušený a pre rok 2019 sa rozpočtovala len posledná pla</w:t>
      </w:r>
      <w:r>
        <w:t>tba za december 2018 vo výške 6 </w:t>
      </w:r>
      <w:r w:rsidRPr="00E3345C">
        <w:t>270</w:t>
      </w:r>
      <w:r>
        <w:t> </w:t>
      </w:r>
      <w:r w:rsidRPr="00E3345C">
        <w:t>tis.</w:t>
      </w:r>
      <w:r>
        <w:t> </w:t>
      </w:r>
      <w:r w:rsidRPr="00E3345C">
        <w:t>eur.</w:t>
      </w:r>
      <w:r>
        <w:t xml:space="preserve"> Tento odvod bol od 1.1.2019 nahradený daňou z poistenia a rozpočtovala sa v objeme 55 </w:t>
      </w:r>
      <w:r w:rsidRPr="00E3345C">
        <w:t>200</w:t>
      </w:r>
      <w:r>
        <w:t> </w:t>
      </w:r>
      <w:r w:rsidRPr="00E3345C">
        <w:t>tis.</w:t>
      </w:r>
      <w:r>
        <w:t> </w:t>
      </w:r>
      <w:r w:rsidRPr="00E3345C">
        <w:t>eur</w:t>
      </w:r>
      <w:r>
        <w:t xml:space="preserve">. V </w:t>
      </w:r>
      <w:r w:rsidRPr="00E3345C">
        <w:t>skutočnos</w:t>
      </w:r>
      <w:r>
        <w:t>ti</w:t>
      </w:r>
      <w:r w:rsidRPr="00E3345C">
        <w:t xml:space="preserve"> bola o 5</w:t>
      </w:r>
      <w:r>
        <w:t> </w:t>
      </w:r>
      <w:r w:rsidRPr="00E3345C">
        <w:t>042</w:t>
      </w:r>
      <w:r>
        <w:t> </w:t>
      </w:r>
      <w:r w:rsidRPr="00E3345C">
        <w:t>tis.</w:t>
      </w:r>
      <w:r>
        <w:t> </w:t>
      </w:r>
      <w:r w:rsidRPr="00E3345C">
        <w:t>eur nižšia.</w:t>
      </w:r>
      <w:r>
        <w:t xml:space="preserve"> Daň z poistenia má charakter nepriamej dane, vyberajú a platia ju do štátneho rozpočtu poisťovne, ktoré ju vyberajú v poistnom. Sadzba dane je určená na 8 % zo základu dane (t. j. zo sumy prijatého poistenia zníženej o daň). Sadzba pri poistení zodpovednosti za škodu spôsobenú prevádzkou motorového vozidla je nulová. </w:t>
      </w:r>
    </w:p>
    <w:p w14:paraId="25390096" w14:textId="77777777" w:rsidR="00EA177A" w:rsidRPr="00351211" w:rsidRDefault="00EA177A" w:rsidP="00EA177A">
      <w:pPr>
        <w:tabs>
          <w:tab w:val="left" w:pos="284"/>
        </w:tabs>
      </w:pPr>
      <w:r w:rsidRPr="00FE7CAD">
        <w:rPr>
          <w:b/>
        </w:rPr>
        <w:t>Dane z príjmov a kapitálového majetku</w:t>
      </w:r>
      <w:r w:rsidRPr="00FE7CAD">
        <w:t xml:space="preserve"> sa rozpočtovali sumou 2 952 136 tis. eur. Skutočný výnos dosiahol 2</w:t>
      </w:r>
      <w:r>
        <w:t> </w:t>
      </w:r>
      <w:r w:rsidRPr="00FE7CAD">
        <w:t>984</w:t>
      </w:r>
      <w:r>
        <w:t> </w:t>
      </w:r>
      <w:r w:rsidRPr="00FE7CAD">
        <w:t>584 tis. eur, resp. 2 989 186</w:t>
      </w:r>
      <w:r w:rsidRPr="00351211">
        <w:t> tis. eur po premietnutí 4 601 tis. eur zo sankcií</w:t>
      </w:r>
      <w:r w:rsidRPr="00FE7CAD">
        <w:rPr>
          <w:vertAlign w:val="superscript"/>
        </w:rPr>
        <w:footnoteReference w:id="22"/>
      </w:r>
      <w:r w:rsidRPr="00FE7CAD">
        <w:t>. Oprot</w:t>
      </w:r>
      <w:r>
        <w:t>i rozpočtu tak boli vyššie o 32 </w:t>
      </w:r>
      <w:r w:rsidRPr="00FE7CAD">
        <w:t>448 tis. eur (r</w:t>
      </w:r>
      <w:r>
        <w:t>esp. o 37 </w:t>
      </w:r>
      <w:r w:rsidRPr="00351211">
        <w:t xml:space="preserve">050 tis. eur). </w:t>
      </w:r>
    </w:p>
    <w:p w14:paraId="16D836AA" w14:textId="77777777" w:rsidR="00EA177A" w:rsidRPr="006914A4" w:rsidRDefault="00EA177A" w:rsidP="00EA177A">
      <w:pPr>
        <w:tabs>
          <w:tab w:val="left" w:pos="284"/>
        </w:tabs>
      </w:pPr>
      <w:r w:rsidRPr="006914A4">
        <w:t>Od roku 2005 je daň z príjmov fyzických osôb podielovou daňou. Od roku 2016 sa celý výnos dane prerozdeľuje stanoveným mechanizmom medzi obce a vyššie územné celky. Podiel obcí na výnose dane z príjmov fyzických osôb je 70 %. Vyšším územným celkom pripadá zvyšných 30 %</w:t>
      </w:r>
      <w:r w:rsidRPr="006914A4">
        <w:rPr>
          <w:b/>
        </w:rPr>
        <w:t xml:space="preserve"> </w:t>
      </w:r>
      <w:r w:rsidRPr="006914A4">
        <w:t xml:space="preserve">z výnosu. Na účte štátneho rozpočtu zostávajú priebežne len časti výnosu dane z dôvodu posunu medzi pripísaním dane na účet ŠR a jej prevedením na obce a vyššie územné celky. </w:t>
      </w:r>
    </w:p>
    <w:p w14:paraId="7FB5C5C3" w14:textId="77777777" w:rsidR="00EA177A" w:rsidRDefault="00EA177A" w:rsidP="00EA177A">
      <w:pPr>
        <w:tabs>
          <w:tab w:val="left" w:pos="284"/>
        </w:tabs>
      </w:pPr>
      <w:r w:rsidRPr="002E2A28">
        <w:t xml:space="preserve">Celkový výnos </w:t>
      </w:r>
      <w:r w:rsidRPr="002E2A28">
        <w:rPr>
          <w:b/>
          <w:i/>
        </w:rPr>
        <w:t>dane z príjmov fyzických osôb</w:t>
      </w:r>
      <w:r w:rsidRPr="002E2A28">
        <w:t xml:space="preserve">, vrátane prevodov do obcí a VÚC, sa rozpočtoval vo výške 3 093 537 tis. eur. Skutočný výnos dane z príjmov fyzických osôb vrátane prevodov do obcí a VÚC dosiahol 3 155 500 tis. eur. </w:t>
      </w:r>
      <w:r w:rsidRPr="00E3345C">
        <w:t>Z toho výnos dane zo závislej činnosti predstavuje 3 108 945 tis. </w:t>
      </w:r>
      <w:r>
        <w:t>eur a výnos dane z podnikania,  SZČO</w:t>
      </w:r>
      <w:r w:rsidRPr="00E3345C">
        <w:t xml:space="preserve"> a z prenájmu 83 456 tis. eur. </w:t>
      </w:r>
      <w:r w:rsidRPr="00E9280A">
        <w:t>P</w:t>
      </w:r>
      <w:r w:rsidRPr="006914A4">
        <w:t>revod do obcí a VÚC predstavoval za rok 2019 spolu 3 167 505 tis. eur, resp. 3 162</w:t>
      </w:r>
      <w:r w:rsidRPr="004F08D4">
        <w:t> 904 tis</w:t>
      </w:r>
      <w:r>
        <w:t>. eur po presune časti sankcií.</w:t>
      </w:r>
    </w:p>
    <w:p w14:paraId="7B70B7E8" w14:textId="77777777" w:rsidR="00EA177A" w:rsidRPr="00E9679E" w:rsidRDefault="00EA177A" w:rsidP="00EA177A">
      <w:pPr>
        <w:rPr>
          <w:bCs/>
        </w:rPr>
      </w:pPr>
      <w:r w:rsidRPr="001561BE">
        <w:rPr>
          <w:b/>
          <w:bCs/>
          <w:i/>
        </w:rPr>
        <w:t xml:space="preserve">Daň z príjmov právnických osôb </w:t>
      </w:r>
      <w:r>
        <w:rPr>
          <w:bCs/>
        </w:rPr>
        <w:t>sa rozpočtovala vo výške 2 733 </w:t>
      </w:r>
      <w:r w:rsidRPr="001561BE">
        <w:rPr>
          <w:bCs/>
        </w:rPr>
        <w:t>291 tis. eur. Skutočný príjem dosiahol 2 750</w:t>
      </w:r>
      <w:r>
        <w:rPr>
          <w:bCs/>
        </w:rPr>
        <w:t> </w:t>
      </w:r>
      <w:r w:rsidRPr="001561BE">
        <w:rPr>
          <w:bCs/>
        </w:rPr>
        <w:t>974</w:t>
      </w:r>
      <w:r>
        <w:rPr>
          <w:bCs/>
        </w:rPr>
        <w:t> </w:t>
      </w:r>
      <w:r w:rsidRPr="001561BE">
        <w:rPr>
          <w:bCs/>
        </w:rPr>
        <w:t>tis.</w:t>
      </w:r>
      <w:r>
        <w:rPr>
          <w:bCs/>
        </w:rPr>
        <w:t> </w:t>
      </w:r>
      <w:r w:rsidRPr="001561BE">
        <w:rPr>
          <w:bCs/>
        </w:rPr>
        <w:t xml:space="preserve">eur, čo predstavuje plnenie rozpočtu na 100,6 %. Plnenie bolo oproti rozpočtu vyššie </w:t>
      </w:r>
      <w:r>
        <w:rPr>
          <w:bCs/>
        </w:rPr>
        <w:t>o 17 </w:t>
      </w:r>
      <w:r w:rsidRPr="001561BE">
        <w:rPr>
          <w:bCs/>
        </w:rPr>
        <w:t xml:space="preserve">683 tis. eur. </w:t>
      </w:r>
      <w:r w:rsidRPr="00E9679E">
        <w:rPr>
          <w:bCs/>
        </w:rPr>
        <w:t xml:space="preserve">Za vyšším výnosom oproti rozpočtu je rast domácej ekonomiky a ziskovosti podnikov, ktoré viedli k lepšiemu vyrovnaniu </w:t>
      </w:r>
      <w:proofErr w:type="spellStart"/>
      <w:r w:rsidRPr="00E9679E">
        <w:rPr>
          <w:bCs/>
        </w:rPr>
        <w:t>korporátnej</w:t>
      </w:r>
      <w:proofErr w:type="spellEnd"/>
      <w:r w:rsidRPr="00E9679E">
        <w:rPr>
          <w:bCs/>
        </w:rPr>
        <w:t xml:space="preserve"> dane za rok 2018. </w:t>
      </w:r>
      <w:r>
        <w:rPr>
          <w:bCs/>
        </w:rPr>
        <w:t xml:space="preserve">Medziročný pokles príjmu z tejto dane o 44 961 tis. eur je nutné vnímať v kontexte spomaľovania rastu ekonomiky ako aj </w:t>
      </w:r>
      <w:r w:rsidRPr="00E9679E">
        <w:rPr>
          <w:bCs/>
        </w:rPr>
        <w:t>kvôli zrušeniu daňovej licencie.</w:t>
      </w:r>
    </w:p>
    <w:p w14:paraId="2E4C390B" w14:textId="77777777" w:rsidR="00EA177A" w:rsidRDefault="00EA177A" w:rsidP="00EA177A">
      <w:pPr>
        <w:rPr>
          <w:bCs/>
        </w:rPr>
      </w:pPr>
      <w:r w:rsidRPr="003B2D34">
        <w:rPr>
          <w:bCs/>
        </w:rPr>
        <w:t>V roku 2019 mali fyzické a právnické osoby možnosť poukázať 2 % (v špecifických prí</w:t>
      </w:r>
      <w:r>
        <w:rPr>
          <w:bCs/>
        </w:rPr>
        <w:t>padoch právnické osoby len 1 </w:t>
      </w:r>
      <w:r w:rsidRPr="003B2D34">
        <w:rPr>
          <w:bCs/>
        </w:rPr>
        <w:t xml:space="preserve">% a fyzické </w:t>
      </w:r>
      <w:r>
        <w:rPr>
          <w:bCs/>
        </w:rPr>
        <w:t xml:space="preserve">osoby 3 %) z odvedenej dane na </w:t>
      </w:r>
      <w:r w:rsidRPr="003B2D34">
        <w:rPr>
          <w:bCs/>
        </w:rPr>
        <w:t>verejnoprospešný účel</w:t>
      </w:r>
      <w:r>
        <w:rPr>
          <w:bCs/>
        </w:rPr>
        <w:br/>
      </w:r>
      <w:r>
        <w:t>(tzv. asignácia dane)</w:t>
      </w:r>
      <w:r>
        <w:rPr>
          <w:rStyle w:val="Odkaznapoznmkupodiarou"/>
        </w:rPr>
        <w:footnoteReference w:id="23"/>
      </w:r>
      <w:r>
        <w:rPr>
          <w:bCs/>
        </w:rPr>
        <w:t>. V </w:t>
      </w:r>
      <w:r w:rsidRPr="003B2D34">
        <w:rPr>
          <w:bCs/>
        </w:rPr>
        <w:t>priebehu roka 2019 bol</w:t>
      </w:r>
      <w:r>
        <w:rPr>
          <w:bCs/>
        </w:rPr>
        <w:t>o týmto spôsobom prevedených 73 </w:t>
      </w:r>
      <w:r w:rsidRPr="003B2D34">
        <w:rPr>
          <w:bCs/>
        </w:rPr>
        <w:t>07</w:t>
      </w:r>
      <w:r>
        <w:rPr>
          <w:bCs/>
        </w:rPr>
        <w:t>1 tis. eur, čo je v porovnaní s minulým rokom nárast o 4 728 tis. eur. Fyzické osoby previedli 36 902 </w:t>
      </w:r>
      <w:r w:rsidRPr="003B2D34">
        <w:rPr>
          <w:bCs/>
        </w:rPr>
        <w:t>t</w:t>
      </w:r>
      <w:r>
        <w:rPr>
          <w:bCs/>
        </w:rPr>
        <w:t>is. eur a právnické osoby 36 170 tis. </w:t>
      </w:r>
      <w:r w:rsidRPr="003B2D34">
        <w:rPr>
          <w:bCs/>
        </w:rPr>
        <w:t>eur.</w:t>
      </w:r>
    </w:p>
    <w:tbl>
      <w:tblPr>
        <w:tblpPr w:leftFromText="141" w:rightFromText="141" w:vertAnchor="text" w:horzAnchor="margin" w:tblpXSpec="center" w:tblpY="59"/>
        <w:tblW w:w="8502" w:type="dxa"/>
        <w:tblCellMar>
          <w:left w:w="70" w:type="dxa"/>
          <w:right w:w="70" w:type="dxa"/>
        </w:tblCellMar>
        <w:tblLook w:val="04A0" w:firstRow="1" w:lastRow="0" w:firstColumn="1" w:lastColumn="0" w:noHBand="0" w:noVBand="1"/>
      </w:tblPr>
      <w:tblGrid>
        <w:gridCol w:w="5241"/>
        <w:gridCol w:w="1138"/>
        <w:gridCol w:w="992"/>
        <w:gridCol w:w="1131"/>
      </w:tblGrid>
      <w:tr w:rsidR="00EA177A" w:rsidRPr="00A54E56" w14:paraId="38703E82" w14:textId="77777777" w:rsidTr="00630581">
        <w:trPr>
          <w:trHeight w:val="420"/>
        </w:trPr>
        <w:tc>
          <w:tcPr>
            <w:tcW w:w="8502" w:type="dxa"/>
            <w:gridSpan w:val="4"/>
            <w:tcBorders>
              <w:top w:val="single" w:sz="4" w:space="0" w:color="auto"/>
              <w:left w:val="nil"/>
              <w:bottom w:val="nil"/>
              <w:right w:val="nil"/>
            </w:tcBorders>
            <w:shd w:val="clear" w:color="000000" w:fill="000000"/>
            <w:noWrap/>
            <w:vAlign w:val="center"/>
          </w:tcPr>
          <w:p w14:paraId="3D3514EB" w14:textId="5DF340DD" w:rsidR="00EA177A" w:rsidRPr="00A54E56" w:rsidRDefault="00EA177A" w:rsidP="00635DB0">
            <w:pPr>
              <w:spacing w:after="0" w:line="240" w:lineRule="auto"/>
              <w:jc w:val="left"/>
              <w:rPr>
                <w:rFonts w:cs="Times New Roman"/>
                <w:b/>
                <w:bCs/>
                <w:sz w:val="20"/>
                <w:szCs w:val="20"/>
              </w:rPr>
            </w:pPr>
            <w:r w:rsidRPr="00A54E56">
              <w:rPr>
                <w:rFonts w:cs="Times New Roman"/>
                <w:b/>
                <w:bCs/>
                <w:sz w:val="20"/>
                <w:szCs w:val="20"/>
              </w:rPr>
              <w:t xml:space="preserve">Prevod podielu dane </w:t>
            </w:r>
            <w:r w:rsidR="00635DB0">
              <w:rPr>
                <w:rFonts w:cs="Times New Roman"/>
                <w:b/>
                <w:bCs/>
                <w:sz w:val="20"/>
                <w:szCs w:val="20"/>
              </w:rPr>
              <w:t xml:space="preserve">                                                                                                                </w:t>
            </w:r>
            <w:r w:rsidRPr="00A54E56">
              <w:rPr>
                <w:rFonts w:cs="Times New Roman"/>
                <w:b/>
                <w:bCs/>
                <w:sz w:val="20"/>
                <w:szCs w:val="20"/>
              </w:rPr>
              <w:t>v tis. e</w:t>
            </w:r>
            <w:r w:rsidR="00635DB0">
              <w:rPr>
                <w:rFonts w:cs="Times New Roman"/>
                <w:b/>
                <w:bCs/>
                <w:sz w:val="20"/>
                <w:szCs w:val="20"/>
              </w:rPr>
              <w:t xml:space="preserve">ur </w:t>
            </w:r>
            <w:r w:rsidRPr="00A54E56">
              <w:rPr>
                <w:rFonts w:cs="Times New Roman"/>
                <w:b/>
                <w:bCs/>
                <w:sz w:val="20"/>
                <w:szCs w:val="20"/>
              </w:rPr>
              <w:t xml:space="preserve">                                                                                                                  </w:t>
            </w:r>
          </w:p>
        </w:tc>
      </w:tr>
      <w:tr w:rsidR="00EA177A" w:rsidRPr="00A54E56" w14:paraId="0F202838" w14:textId="77777777" w:rsidTr="004E78B7">
        <w:trPr>
          <w:trHeight w:val="194"/>
        </w:trPr>
        <w:tc>
          <w:tcPr>
            <w:tcW w:w="5241" w:type="dxa"/>
            <w:tcBorders>
              <w:top w:val="nil"/>
              <w:left w:val="nil"/>
              <w:right w:val="nil"/>
            </w:tcBorders>
            <w:shd w:val="clear" w:color="000000" w:fill="BFBFBF"/>
            <w:noWrap/>
            <w:vAlign w:val="center"/>
          </w:tcPr>
          <w:p w14:paraId="451AD17A" w14:textId="77777777" w:rsidR="00EA177A" w:rsidRPr="00A54E56" w:rsidRDefault="00EA177A" w:rsidP="00C704A7">
            <w:pPr>
              <w:spacing w:after="0" w:line="240" w:lineRule="auto"/>
              <w:contextualSpacing/>
              <w:jc w:val="center"/>
              <w:rPr>
                <w:rFonts w:eastAsia="Times New Roman" w:cs="Times New Roman"/>
                <w:b/>
                <w:sz w:val="20"/>
                <w:szCs w:val="20"/>
                <w:lang w:eastAsia="sk-SK"/>
              </w:rPr>
            </w:pPr>
            <w:r w:rsidRPr="00A54E56">
              <w:rPr>
                <w:rFonts w:eastAsia="Times New Roman" w:cs="Times New Roman"/>
                <w:b/>
                <w:sz w:val="20"/>
                <w:szCs w:val="20"/>
                <w:lang w:eastAsia="sk-SK"/>
              </w:rPr>
              <w:t> </w:t>
            </w:r>
          </w:p>
        </w:tc>
        <w:tc>
          <w:tcPr>
            <w:tcW w:w="3261" w:type="dxa"/>
            <w:gridSpan w:val="3"/>
            <w:tcBorders>
              <w:top w:val="nil"/>
              <w:left w:val="nil"/>
              <w:right w:val="nil"/>
            </w:tcBorders>
            <w:shd w:val="clear" w:color="000000" w:fill="BFBFBF"/>
            <w:noWrap/>
            <w:vAlign w:val="center"/>
          </w:tcPr>
          <w:p w14:paraId="30E2FD67" w14:textId="77777777" w:rsidR="00EA177A" w:rsidRPr="00A54E56" w:rsidRDefault="00EA177A" w:rsidP="00C704A7">
            <w:pPr>
              <w:spacing w:after="0" w:line="240" w:lineRule="auto"/>
              <w:contextualSpacing/>
              <w:jc w:val="center"/>
              <w:rPr>
                <w:rFonts w:eastAsia="Times New Roman" w:cs="Times New Roman"/>
                <w:b/>
                <w:sz w:val="20"/>
                <w:szCs w:val="20"/>
                <w:lang w:eastAsia="sk-SK"/>
              </w:rPr>
            </w:pPr>
            <w:r w:rsidRPr="00A54E56">
              <w:rPr>
                <w:rFonts w:eastAsia="Times New Roman" w:cs="Times New Roman"/>
                <w:b/>
                <w:sz w:val="20"/>
                <w:szCs w:val="20"/>
                <w:lang w:eastAsia="sk-SK"/>
              </w:rPr>
              <w:t>Skutočnosť</w:t>
            </w:r>
          </w:p>
        </w:tc>
      </w:tr>
      <w:tr w:rsidR="00EA177A" w:rsidRPr="00A54E56" w14:paraId="0867EEA6" w14:textId="77777777" w:rsidTr="004E78B7">
        <w:trPr>
          <w:trHeight w:val="352"/>
        </w:trPr>
        <w:tc>
          <w:tcPr>
            <w:tcW w:w="5241" w:type="dxa"/>
            <w:tcBorders>
              <w:top w:val="nil"/>
              <w:left w:val="nil"/>
              <w:bottom w:val="single" w:sz="4" w:space="0" w:color="auto"/>
              <w:right w:val="nil"/>
            </w:tcBorders>
            <w:shd w:val="clear" w:color="000000" w:fill="BFBFBF"/>
            <w:noWrap/>
            <w:vAlign w:val="center"/>
          </w:tcPr>
          <w:p w14:paraId="5FB3B0FA" w14:textId="77777777" w:rsidR="00EA177A" w:rsidRPr="00A54E56" w:rsidRDefault="00EA177A" w:rsidP="00C704A7">
            <w:pPr>
              <w:spacing w:after="0" w:line="240" w:lineRule="auto"/>
              <w:contextualSpacing/>
              <w:jc w:val="center"/>
              <w:rPr>
                <w:rFonts w:eastAsia="Times New Roman" w:cs="Times New Roman"/>
                <w:b/>
                <w:sz w:val="20"/>
                <w:szCs w:val="20"/>
                <w:lang w:eastAsia="sk-SK"/>
              </w:rPr>
            </w:pPr>
            <w:r w:rsidRPr="00A54E56">
              <w:rPr>
                <w:rFonts w:eastAsia="Times New Roman" w:cs="Times New Roman"/>
                <w:b/>
                <w:sz w:val="20"/>
                <w:szCs w:val="20"/>
                <w:lang w:eastAsia="sk-SK"/>
              </w:rPr>
              <w:t> </w:t>
            </w:r>
          </w:p>
        </w:tc>
        <w:tc>
          <w:tcPr>
            <w:tcW w:w="1138" w:type="dxa"/>
            <w:tcBorders>
              <w:top w:val="nil"/>
              <w:left w:val="nil"/>
              <w:bottom w:val="single" w:sz="4" w:space="0" w:color="auto"/>
              <w:right w:val="nil"/>
            </w:tcBorders>
            <w:shd w:val="clear" w:color="000000" w:fill="BFBFBF"/>
            <w:noWrap/>
            <w:vAlign w:val="center"/>
          </w:tcPr>
          <w:p w14:paraId="0B994F59" w14:textId="77777777" w:rsidR="00EA177A" w:rsidRPr="00A54E56" w:rsidRDefault="00EA177A" w:rsidP="00C704A7">
            <w:pPr>
              <w:spacing w:after="0" w:line="240" w:lineRule="auto"/>
              <w:contextualSpacing/>
              <w:jc w:val="center"/>
              <w:rPr>
                <w:rFonts w:eastAsia="Times New Roman" w:cs="Times New Roman"/>
                <w:b/>
                <w:sz w:val="20"/>
                <w:szCs w:val="20"/>
                <w:lang w:eastAsia="sk-SK"/>
              </w:rPr>
            </w:pPr>
            <w:r w:rsidRPr="00A54E56">
              <w:rPr>
                <w:rFonts w:eastAsia="Times New Roman" w:cs="Times New Roman"/>
                <w:b/>
                <w:sz w:val="20"/>
                <w:szCs w:val="20"/>
                <w:lang w:eastAsia="sk-SK"/>
              </w:rPr>
              <w:t>2017</w:t>
            </w:r>
          </w:p>
        </w:tc>
        <w:tc>
          <w:tcPr>
            <w:tcW w:w="992" w:type="dxa"/>
            <w:tcBorders>
              <w:top w:val="nil"/>
              <w:left w:val="nil"/>
              <w:bottom w:val="single" w:sz="4" w:space="0" w:color="auto"/>
              <w:right w:val="nil"/>
            </w:tcBorders>
            <w:shd w:val="clear" w:color="000000" w:fill="BFBFBF"/>
            <w:noWrap/>
            <w:vAlign w:val="center"/>
          </w:tcPr>
          <w:p w14:paraId="1385CBB9" w14:textId="77777777" w:rsidR="00EA177A" w:rsidRPr="00A54E56" w:rsidRDefault="00EA177A" w:rsidP="00C704A7">
            <w:pPr>
              <w:spacing w:after="0" w:line="240" w:lineRule="auto"/>
              <w:contextualSpacing/>
              <w:jc w:val="center"/>
              <w:rPr>
                <w:rFonts w:eastAsia="Times New Roman" w:cs="Times New Roman"/>
                <w:b/>
                <w:sz w:val="20"/>
                <w:szCs w:val="20"/>
                <w:lang w:eastAsia="sk-SK"/>
              </w:rPr>
            </w:pPr>
            <w:r w:rsidRPr="00A54E56">
              <w:rPr>
                <w:rFonts w:eastAsia="Times New Roman" w:cs="Times New Roman"/>
                <w:b/>
                <w:sz w:val="20"/>
                <w:szCs w:val="20"/>
                <w:lang w:eastAsia="sk-SK"/>
              </w:rPr>
              <w:t>2018</w:t>
            </w:r>
          </w:p>
        </w:tc>
        <w:tc>
          <w:tcPr>
            <w:tcW w:w="1131" w:type="dxa"/>
            <w:tcBorders>
              <w:top w:val="nil"/>
              <w:left w:val="nil"/>
              <w:bottom w:val="single" w:sz="4" w:space="0" w:color="auto"/>
              <w:right w:val="nil"/>
            </w:tcBorders>
            <w:shd w:val="clear" w:color="000000" w:fill="BFBFBF"/>
            <w:noWrap/>
            <w:vAlign w:val="center"/>
          </w:tcPr>
          <w:p w14:paraId="0EE52923" w14:textId="77777777" w:rsidR="00EA177A" w:rsidRPr="00A54E56" w:rsidRDefault="00EA177A" w:rsidP="00C704A7">
            <w:pPr>
              <w:spacing w:after="0" w:line="240" w:lineRule="auto"/>
              <w:contextualSpacing/>
              <w:jc w:val="center"/>
              <w:rPr>
                <w:rFonts w:eastAsia="Times New Roman" w:cs="Times New Roman"/>
                <w:b/>
                <w:sz w:val="20"/>
                <w:szCs w:val="20"/>
                <w:lang w:eastAsia="sk-SK"/>
              </w:rPr>
            </w:pPr>
            <w:r w:rsidRPr="00A54E56">
              <w:rPr>
                <w:rFonts w:eastAsia="Times New Roman" w:cs="Times New Roman"/>
                <w:b/>
                <w:sz w:val="20"/>
                <w:szCs w:val="20"/>
                <w:lang w:eastAsia="sk-SK"/>
              </w:rPr>
              <w:t>2019</w:t>
            </w:r>
          </w:p>
        </w:tc>
      </w:tr>
      <w:tr w:rsidR="00EA177A" w:rsidRPr="00A54E56" w14:paraId="20DED6F5" w14:textId="77777777" w:rsidTr="0044781D">
        <w:trPr>
          <w:trHeight w:val="397"/>
        </w:trPr>
        <w:tc>
          <w:tcPr>
            <w:tcW w:w="5241" w:type="dxa"/>
            <w:tcBorders>
              <w:top w:val="single" w:sz="4" w:space="0" w:color="auto"/>
              <w:left w:val="nil"/>
              <w:bottom w:val="nil"/>
              <w:right w:val="nil"/>
            </w:tcBorders>
            <w:shd w:val="clear" w:color="auto" w:fill="auto"/>
            <w:noWrap/>
            <w:vAlign w:val="center"/>
          </w:tcPr>
          <w:p w14:paraId="163AFBFF" w14:textId="77777777" w:rsidR="00EA177A" w:rsidRPr="00A54E56" w:rsidRDefault="00EA177A" w:rsidP="00C704A7">
            <w:pPr>
              <w:spacing w:after="0" w:line="240" w:lineRule="auto"/>
              <w:jc w:val="left"/>
              <w:rPr>
                <w:rFonts w:eastAsia="Times New Roman" w:cs="Times New Roman"/>
                <w:sz w:val="20"/>
                <w:szCs w:val="20"/>
                <w:lang w:eastAsia="sk-SK"/>
              </w:rPr>
            </w:pPr>
            <w:r w:rsidRPr="00A54E56">
              <w:rPr>
                <w:rFonts w:eastAsia="Times New Roman" w:cs="Times New Roman"/>
                <w:sz w:val="20"/>
                <w:szCs w:val="20"/>
                <w:lang w:eastAsia="sk-SK"/>
              </w:rPr>
              <w:t>Prevod podielu dane z príjmov FO na osobitný účel</w:t>
            </w:r>
          </w:p>
        </w:tc>
        <w:tc>
          <w:tcPr>
            <w:tcW w:w="1138" w:type="dxa"/>
            <w:tcBorders>
              <w:top w:val="single" w:sz="4" w:space="0" w:color="auto"/>
              <w:left w:val="nil"/>
              <w:bottom w:val="nil"/>
              <w:right w:val="nil"/>
            </w:tcBorders>
            <w:shd w:val="clear" w:color="auto" w:fill="auto"/>
            <w:noWrap/>
            <w:vAlign w:val="center"/>
          </w:tcPr>
          <w:p w14:paraId="6FE2271F" w14:textId="77777777" w:rsidR="00EA177A" w:rsidRPr="00A54E56" w:rsidRDefault="00EA177A" w:rsidP="00C704A7">
            <w:pPr>
              <w:spacing w:after="0" w:line="240" w:lineRule="auto"/>
              <w:jc w:val="right"/>
              <w:rPr>
                <w:rFonts w:eastAsia="Times New Roman" w:cs="Times New Roman"/>
                <w:sz w:val="20"/>
                <w:szCs w:val="20"/>
                <w:lang w:eastAsia="sk-SK"/>
              </w:rPr>
            </w:pPr>
            <w:r w:rsidRPr="00A54E56">
              <w:rPr>
                <w:rFonts w:cs="Times New Roman"/>
                <w:sz w:val="20"/>
                <w:szCs w:val="20"/>
              </w:rPr>
              <w:t>30 173</w:t>
            </w:r>
          </w:p>
        </w:tc>
        <w:tc>
          <w:tcPr>
            <w:tcW w:w="992" w:type="dxa"/>
            <w:tcBorders>
              <w:top w:val="single" w:sz="4" w:space="0" w:color="auto"/>
              <w:left w:val="nil"/>
              <w:bottom w:val="nil"/>
              <w:right w:val="nil"/>
            </w:tcBorders>
            <w:shd w:val="clear" w:color="auto" w:fill="auto"/>
            <w:noWrap/>
            <w:vAlign w:val="center"/>
          </w:tcPr>
          <w:p w14:paraId="5203C706" w14:textId="77777777" w:rsidR="00EA177A" w:rsidRPr="00A54E56" w:rsidRDefault="00EA177A" w:rsidP="00C704A7">
            <w:pPr>
              <w:spacing w:after="0" w:line="240" w:lineRule="auto"/>
              <w:jc w:val="right"/>
              <w:rPr>
                <w:rFonts w:eastAsia="Times New Roman" w:cs="Times New Roman"/>
                <w:sz w:val="20"/>
                <w:szCs w:val="20"/>
                <w:lang w:eastAsia="sk-SK"/>
              </w:rPr>
            </w:pPr>
            <w:r w:rsidRPr="00A54E56">
              <w:rPr>
                <w:rFonts w:cs="Times New Roman"/>
                <w:sz w:val="20"/>
                <w:szCs w:val="20"/>
              </w:rPr>
              <w:t>32 250</w:t>
            </w:r>
          </w:p>
        </w:tc>
        <w:tc>
          <w:tcPr>
            <w:tcW w:w="1131" w:type="dxa"/>
            <w:tcBorders>
              <w:top w:val="single" w:sz="4" w:space="0" w:color="auto"/>
              <w:left w:val="nil"/>
              <w:bottom w:val="nil"/>
              <w:right w:val="nil"/>
            </w:tcBorders>
            <w:shd w:val="clear" w:color="auto" w:fill="BFBFBF" w:themeFill="background1" w:themeFillShade="BF"/>
            <w:noWrap/>
            <w:vAlign w:val="center"/>
          </w:tcPr>
          <w:p w14:paraId="75F70745" w14:textId="77777777" w:rsidR="00EA177A" w:rsidRPr="00A54E56" w:rsidRDefault="00EA177A" w:rsidP="00C704A7">
            <w:pPr>
              <w:spacing w:after="0" w:line="240" w:lineRule="auto"/>
              <w:jc w:val="right"/>
              <w:rPr>
                <w:rFonts w:eastAsia="Times New Roman" w:cs="Times New Roman"/>
                <w:sz w:val="20"/>
                <w:szCs w:val="20"/>
                <w:lang w:eastAsia="sk-SK"/>
              </w:rPr>
            </w:pPr>
            <w:r w:rsidRPr="00A54E56">
              <w:rPr>
                <w:rFonts w:cs="Times New Roman"/>
                <w:sz w:val="20"/>
                <w:szCs w:val="20"/>
              </w:rPr>
              <w:t>36 902</w:t>
            </w:r>
          </w:p>
        </w:tc>
      </w:tr>
      <w:tr w:rsidR="00EA177A" w:rsidRPr="00A54E56" w14:paraId="1572A404" w14:textId="77777777" w:rsidTr="0044781D">
        <w:trPr>
          <w:trHeight w:val="352"/>
        </w:trPr>
        <w:tc>
          <w:tcPr>
            <w:tcW w:w="5241" w:type="dxa"/>
            <w:tcBorders>
              <w:top w:val="nil"/>
              <w:left w:val="nil"/>
              <w:bottom w:val="single" w:sz="8" w:space="0" w:color="auto"/>
              <w:right w:val="nil"/>
            </w:tcBorders>
            <w:shd w:val="clear" w:color="auto" w:fill="auto"/>
            <w:noWrap/>
            <w:vAlign w:val="center"/>
          </w:tcPr>
          <w:p w14:paraId="1FE93645" w14:textId="77777777" w:rsidR="00EA177A" w:rsidRPr="00A54E56" w:rsidRDefault="00EA177A" w:rsidP="00C704A7">
            <w:pPr>
              <w:spacing w:after="0" w:line="240" w:lineRule="auto"/>
              <w:jc w:val="left"/>
              <w:rPr>
                <w:rFonts w:eastAsia="Times New Roman" w:cs="Times New Roman"/>
                <w:sz w:val="20"/>
                <w:szCs w:val="20"/>
                <w:lang w:eastAsia="sk-SK"/>
              </w:rPr>
            </w:pPr>
            <w:r w:rsidRPr="00A54E56">
              <w:rPr>
                <w:rFonts w:eastAsia="Times New Roman" w:cs="Times New Roman"/>
                <w:sz w:val="20"/>
                <w:szCs w:val="20"/>
                <w:lang w:eastAsia="sk-SK"/>
              </w:rPr>
              <w:t>Prevod podielu dane z príjmov PO na osobitný účel</w:t>
            </w:r>
          </w:p>
        </w:tc>
        <w:tc>
          <w:tcPr>
            <w:tcW w:w="1138" w:type="dxa"/>
            <w:tcBorders>
              <w:top w:val="nil"/>
              <w:left w:val="nil"/>
              <w:bottom w:val="single" w:sz="8" w:space="0" w:color="auto"/>
              <w:right w:val="nil"/>
            </w:tcBorders>
            <w:shd w:val="clear" w:color="auto" w:fill="auto"/>
            <w:noWrap/>
            <w:vAlign w:val="center"/>
          </w:tcPr>
          <w:p w14:paraId="50D3B08F" w14:textId="77777777" w:rsidR="00EA177A" w:rsidRPr="00A54E56" w:rsidRDefault="00EA177A" w:rsidP="00C704A7">
            <w:pPr>
              <w:spacing w:after="0" w:line="240" w:lineRule="auto"/>
              <w:jc w:val="right"/>
              <w:rPr>
                <w:rFonts w:eastAsia="Times New Roman" w:cs="Times New Roman"/>
                <w:sz w:val="20"/>
                <w:szCs w:val="20"/>
                <w:lang w:eastAsia="sk-SK"/>
              </w:rPr>
            </w:pPr>
            <w:r w:rsidRPr="00A54E56">
              <w:rPr>
                <w:rFonts w:cs="Times New Roman"/>
                <w:sz w:val="20"/>
                <w:szCs w:val="20"/>
              </w:rPr>
              <w:t>33 255</w:t>
            </w:r>
          </w:p>
        </w:tc>
        <w:tc>
          <w:tcPr>
            <w:tcW w:w="992" w:type="dxa"/>
            <w:tcBorders>
              <w:top w:val="nil"/>
              <w:left w:val="nil"/>
              <w:bottom w:val="single" w:sz="8" w:space="0" w:color="auto"/>
              <w:right w:val="nil"/>
            </w:tcBorders>
            <w:shd w:val="clear" w:color="auto" w:fill="auto"/>
            <w:noWrap/>
            <w:vAlign w:val="center"/>
          </w:tcPr>
          <w:p w14:paraId="64294054" w14:textId="77777777" w:rsidR="00EA177A" w:rsidRPr="00A54E56" w:rsidRDefault="00EA177A" w:rsidP="00C704A7">
            <w:pPr>
              <w:spacing w:after="0" w:line="240" w:lineRule="auto"/>
              <w:jc w:val="right"/>
              <w:rPr>
                <w:rFonts w:eastAsia="Times New Roman" w:cs="Times New Roman"/>
                <w:sz w:val="20"/>
                <w:szCs w:val="20"/>
                <w:lang w:eastAsia="sk-SK"/>
              </w:rPr>
            </w:pPr>
            <w:r w:rsidRPr="00A54E56">
              <w:rPr>
                <w:rFonts w:cs="Times New Roman"/>
                <w:sz w:val="20"/>
                <w:szCs w:val="20"/>
              </w:rPr>
              <w:t>36 093</w:t>
            </w:r>
          </w:p>
        </w:tc>
        <w:tc>
          <w:tcPr>
            <w:tcW w:w="1131" w:type="dxa"/>
            <w:tcBorders>
              <w:top w:val="nil"/>
              <w:left w:val="nil"/>
              <w:bottom w:val="single" w:sz="8" w:space="0" w:color="auto"/>
              <w:right w:val="nil"/>
            </w:tcBorders>
            <w:shd w:val="clear" w:color="auto" w:fill="BFBFBF" w:themeFill="background1" w:themeFillShade="BF"/>
            <w:noWrap/>
            <w:vAlign w:val="center"/>
          </w:tcPr>
          <w:p w14:paraId="1D95C350" w14:textId="77777777" w:rsidR="00EA177A" w:rsidRPr="00A54E56" w:rsidRDefault="00EA177A" w:rsidP="00C704A7">
            <w:pPr>
              <w:spacing w:after="0" w:line="240" w:lineRule="auto"/>
              <w:jc w:val="right"/>
              <w:rPr>
                <w:rFonts w:eastAsia="Times New Roman" w:cs="Times New Roman"/>
                <w:sz w:val="20"/>
                <w:szCs w:val="20"/>
                <w:lang w:eastAsia="sk-SK"/>
              </w:rPr>
            </w:pPr>
            <w:r w:rsidRPr="00A54E56">
              <w:rPr>
                <w:rFonts w:cs="Times New Roman"/>
                <w:sz w:val="20"/>
                <w:szCs w:val="20"/>
              </w:rPr>
              <w:t>36 170</w:t>
            </w:r>
          </w:p>
        </w:tc>
      </w:tr>
      <w:tr w:rsidR="00EA177A" w:rsidRPr="00A54E56" w14:paraId="75841835" w14:textId="77777777" w:rsidTr="0044781D">
        <w:trPr>
          <w:trHeight w:val="285"/>
        </w:trPr>
        <w:tc>
          <w:tcPr>
            <w:tcW w:w="5241" w:type="dxa"/>
            <w:tcBorders>
              <w:top w:val="single" w:sz="8" w:space="0" w:color="auto"/>
              <w:left w:val="nil"/>
              <w:bottom w:val="single" w:sz="8" w:space="0" w:color="auto"/>
              <w:right w:val="nil"/>
            </w:tcBorders>
            <w:shd w:val="clear" w:color="auto" w:fill="auto"/>
            <w:noWrap/>
            <w:vAlign w:val="center"/>
          </w:tcPr>
          <w:p w14:paraId="6A0AD9A9" w14:textId="77777777" w:rsidR="00EA177A" w:rsidRPr="00A54E56" w:rsidRDefault="00EA177A" w:rsidP="00C704A7">
            <w:pPr>
              <w:spacing w:after="0" w:line="240" w:lineRule="auto"/>
              <w:contextualSpacing/>
              <w:jc w:val="left"/>
              <w:rPr>
                <w:rFonts w:eastAsia="Times New Roman" w:cs="Times New Roman"/>
                <w:b/>
                <w:bCs/>
                <w:sz w:val="20"/>
                <w:szCs w:val="20"/>
                <w:lang w:eastAsia="sk-SK"/>
              </w:rPr>
            </w:pPr>
            <w:r w:rsidRPr="00A54E56">
              <w:rPr>
                <w:rFonts w:eastAsia="Times New Roman" w:cs="Times New Roman"/>
                <w:b/>
                <w:bCs/>
                <w:sz w:val="20"/>
                <w:szCs w:val="20"/>
                <w:lang w:eastAsia="sk-SK"/>
              </w:rPr>
              <w:t>Spolu</w:t>
            </w:r>
          </w:p>
        </w:tc>
        <w:tc>
          <w:tcPr>
            <w:tcW w:w="1138" w:type="dxa"/>
            <w:tcBorders>
              <w:top w:val="single" w:sz="8" w:space="0" w:color="auto"/>
              <w:left w:val="nil"/>
              <w:bottom w:val="single" w:sz="8" w:space="0" w:color="auto"/>
              <w:right w:val="nil"/>
            </w:tcBorders>
            <w:shd w:val="clear" w:color="auto" w:fill="auto"/>
            <w:noWrap/>
            <w:vAlign w:val="center"/>
          </w:tcPr>
          <w:p w14:paraId="3D4D08AE" w14:textId="77777777" w:rsidR="00EA177A" w:rsidRPr="00A54E56" w:rsidRDefault="00EA177A" w:rsidP="00C704A7">
            <w:pPr>
              <w:spacing w:after="0" w:line="240" w:lineRule="auto"/>
              <w:contextualSpacing/>
              <w:jc w:val="right"/>
              <w:rPr>
                <w:rFonts w:eastAsia="Times New Roman" w:cs="Times New Roman"/>
                <w:b/>
                <w:bCs/>
                <w:sz w:val="20"/>
                <w:szCs w:val="20"/>
                <w:lang w:eastAsia="sk-SK"/>
              </w:rPr>
            </w:pPr>
            <w:r w:rsidRPr="00A54E56">
              <w:rPr>
                <w:rFonts w:cs="Times New Roman"/>
                <w:b/>
                <w:bCs/>
                <w:sz w:val="20"/>
                <w:szCs w:val="20"/>
              </w:rPr>
              <w:t>63 429</w:t>
            </w:r>
          </w:p>
        </w:tc>
        <w:tc>
          <w:tcPr>
            <w:tcW w:w="992" w:type="dxa"/>
            <w:tcBorders>
              <w:top w:val="single" w:sz="8" w:space="0" w:color="auto"/>
              <w:left w:val="nil"/>
              <w:bottom w:val="single" w:sz="8" w:space="0" w:color="auto"/>
              <w:right w:val="nil"/>
            </w:tcBorders>
            <w:shd w:val="clear" w:color="auto" w:fill="auto"/>
            <w:noWrap/>
            <w:vAlign w:val="center"/>
          </w:tcPr>
          <w:p w14:paraId="4F52BE59" w14:textId="77777777" w:rsidR="00EA177A" w:rsidRPr="00A54E56" w:rsidRDefault="00EA177A" w:rsidP="00C704A7">
            <w:pPr>
              <w:spacing w:after="0" w:line="240" w:lineRule="auto"/>
              <w:contextualSpacing/>
              <w:jc w:val="right"/>
              <w:rPr>
                <w:rFonts w:eastAsia="Times New Roman" w:cs="Times New Roman"/>
                <w:b/>
                <w:bCs/>
                <w:sz w:val="20"/>
                <w:szCs w:val="20"/>
                <w:lang w:eastAsia="sk-SK"/>
              </w:rPr>
            </w:pPr>
            <w:r w:rsidRPr="00A54E56">
              <w:rPr>
                <w:rFonts w:cs="Times New Roman"/>
                <w:b/>
                <w:bCs/>
                <w:sz w:val="20"/>
                <w:szCs w:val="20"/>
              </w:rPr>
              <w:t>68 343</w:t>
            </w:r>
          </w:p>
        </w:tc>
        <w:tc>
          <w:tcPr>
            <w:tcW w:w="1131" w:type="dxa"/>
            <w:tcBorders>
              <w:top w:val="single" w:sz="8" w:space="0" w:color="auto"/>
              <w:left w:val="nil"/>
              <w:bottom w:val="single" w:sz="8" w:space="0" w:color="auto"/>
              <w:right w:val="nil"/>
            </w:tcBorders>
            <w:shd w:val="clear" w:color="auto" w:fill="BFBFBF" w:themeFill="background1" w:themeFillShade="BF"/>
            <w:noWrap/>
            <w:vAlign w:val="center"/>
          </w:tcPr>
          <w:p w14:paraId="345D2C95" w14:textId="77777777" w:rsidR="00EA177A" w:rsidRPr="00A54E56" w:rsidRDefault="00EA177A" w:rsidP="00C704A7">
            <w:pPr>
              <w:spacing w:after="0" w:line="240" w:lineRule="auto"/>
              <w:contextualSpacing/>
              <w:jc w:val="right"/>
              <w:rPr>
                <w:rFonts w:eastAsia="Times New Roman" w:cs="Times New Roman"/>
                <w:b/>
                <w:bCs/>
                <w:sz w:val="20"/>
                <w:szCs w:val="20"/>
                <w:lang w:eastAsia="sk-SK"/>
              </w:rPr>
            </w:pPr>
            <w:r w:rsidRPr="00A54E56">
              <w:rPr>
                <w:rFonts w:cs="Times New Roman"/>
                <w:b/>
                <w:bCs/>
                <w:sz w:val="20"/>
                <w:szCs w:val="20"/>
              </w:rPr>
              <w:t>73 071</w:t>
            </w:r>
          </w:p>
        </w:tc>
      </w:tr>
    </w:tbl>
    <w:p w14:paraId="67A19F6A" w14:textId="77777777" w:rsidR="00EA177A" w:rsidRPr="00A54E56" w:rsidRDefault="00EA177A" w:rsidP="00EA177A">
      <w:pPr>
        <w:jc w:val="right"/>
        <w:rPr>
          <w:bCs/>
          <w:sz w:val="18"/>
          <w:szCs w:val="18"/>
        </w:rPr>
      </w:pPr>
      <w:r w:rsidRPr="00A54E56">
        <w:rPr>
          <w:bCs/>
          <w:sz w:val="18"/>
          <w:szCs w:val="18"/>
        </w:rPr>
        <w:t>Zdroj: MF SR</w:t>
      </w:r>
    </w:p>
    <w:p w14:paraId="3E6D9095" w14:textId="77777777" w:rsidR="00EA177A" w:rsidRPr="009408BF" w:rsidRDefault="00EA177A" w:rsidP="00EA177A">
      <w:pPr>
        <w:rPr>
          <w:bCs/>
        </w:rPr>
      </w:pPr>
      <w:r w:rsidRPr="009408BF">
        <w:rPr>
          <w:b/>
          <w:bCs/>
          <w:i/>
        </w:rPr>
        <w:t xml:space="preserve">Daň z príjmov vyberaná zrážkou </w:t>
      </w:r>
      <w:r>
        <w:rPr>
          <w:bCs/>
        </w:rPr>
        <w:t>sa rozpočtovala sumou 235 639 tis. </w:t>
      </w:r>
      <w:r w:rsidRPr="009408BF">
        <w:rPr>
          <w:bCs/>
        </w:rPr>
        <w:t>eur, v skutočnosti dosiahla výnos 245</w:t>
      </w:r>
      <w:r>
        <w:rPr>
          <w:bCs/>
        </w:rPr>
        <w:t> </w:t>
      </w:r>
      <w:r w:rsidRPr="009408BF">
        <w:rPr>
          <w:bCs/>
        </w:rPr>
        <w:t>615</w:t>
      </w:r>
      <w:r>
        <w:rPr>
          <w:bCs/>
        </w:rPr>
        <w:t> </w:t>
      </w:r>
      <w:r w:rsidRPr="009408BF">
        <w:rPr>
          <w:bCs/>
        </w:rPr>
        <w:t>tis.</w:t>
      </w:r>
      <w:r>
        <w:rPr>
          <w:bCs/>
        </w:rPr>
        <w:t> </w:t>
      </w:r>
      <w:r w:rsidRPr="009408BF">
        <w:rPr>
          <w:bCs/>
        </w:rPr>
        <w:t>eur. Rozpočtovaný výnos sa naplnil na 104,2</w:t>
      </w:r>
      <w:r>
        <w:rPr>
          <w:bCs/>
        </w:rPr>
        <w:t> %. Vyšší výnos bol najmä z </w:t>
      </w:r>
      <w:r w:rsidRPr="009408BF">
        <w:rPr>
          <w:bCs/>
        </w:rPr>
        <w:t>dôvodu vyššieho výberu daní z dividend. Vyššie plnenie</w:t>
      </w:r>
      <w:r>
        <w:rPr>
          <w:bCs/>
        </w:rPr>
        <w:t xml:space="preserve"> oproti predchádzajúcemu roku v </w:t>
      </w:r>
      <w:r w:rsidRPr="009408BF">
        <w:rPr>
          <w:bCs/>
        </w:rPr>
        <w:t>objeme 36</w:t>
      </w:r>
      <w:r>
        <w:rPr>
          <w:bCs/>
        </w:rPr>
        <w:t> </w:t>
      </w:r>
      <w:r w:rsidRPr="009408BF">
        <w:rPr>
          <w:bCs/>
        </w:rPr>
        <w:t>446</w:t>
      </w:r>
      <w:r>
        <w:rPr>
          <w:bCs/>
        </w:rPr>
        <w:t> </w:t>
      </w:r>
      <w:r w:rsidRPr="009408BF">
        <w:rPr>
          <w:bCs/>
        </w:rPr>
        <w:t>tis. eur je taktiež z dôvodu vyššieho výnosu zo zdanenia dividend.</w:t>
      </w:r>
    </w:p>
    <w:p w14:paraId="0C506D43" w14:textId="77777777" w:rsidR="00EA177A" w:rsidRPr="00D15DFC" w:rsidRDefault="00EA177A" w:rsidP="00EA177A">
      <w:pPr>
        <w:tabs>
          <w:tab w:val="left" w:pos="284"/>
        </w:tabs>
      </w:pPr>
      <w:r w:rsidRPr="009C1D73">
        <w:rPr>
          <w:b/>
        </w:rPr>
        <w:t>Výnos daní z medz</w:t>
      </w:r>
      <w:r w:rsidRPr="00D367F6">
        <w:rPr>
          <w:b/>
        </w:rPr>
        <w:t xml:space="preserve">inárodného obchodu a transakcií </w:t>
      </w:r>
      <w:r w:rsidRPr="00D367F6">
        <w:t xml:space="preserve">sa </w:t>
      </w:r>
      <w:r>
        <w:t>rozpočtoval v celkovej výške 21 </w:t>
      </w:r>
      <w:r w:rsidRPr="00D367F6">
        <w:t>517 tis.</w:t>
      </w:r>
      <w:r>
        <w:t> eur. V skutočnosti dosiahol 21 </w:t>
      </w:r>
      <w:r w:rsidRPr="00D367F6">
        <w:t>079 tis. eur, čo predstavu</w:t>
      </w:r>
      <w:r>
        <w:t>je plnenie štátneho rozpočtu na </w:t>
      </w:r>
      <w:r w:rsidRPr="00D367F6">
        <w:t xml:space="preserve">97,96 %. V porovnaní s rokom 2018 bol </w:t>
      </w:r>
      <w:r w:rsidRPr="00180D7C">
        <w:t>výnos</w:t>
      </w:r>
      <w:r w:rsidRPr="00D15DFC">
        <w:t xml:space="preserve"> o 2</w:t>
      </w:r>
      <w:r>
        <w:t> </w:t>
      </w:r>
      <w:r w:rsidRPr="00D15DFC">
        <w:t>287</w:t>
      </w:r>
      <w:r>
        <w:t> </w:t>
      </w:r>
      <w:r w:rsidRPr="00D15DFC">
        <w:t>tis.</w:t>
      </w:r>
      <w:r>
        <w:t> </w:t>
      </w:r>
      <w:r w:rsidRPr="00D15DFC">
        <w:t>eur nižší.</w:t>
      </w:r>
    </w:p>
    <w:p w14:paraId="7B28D3C0" w14:textId="77777777" w:rsidR="00630581" w:rsidRDefault="00EA177A" w:rsidP="00EA177A">
      <w:pPr>
        <w:tabs>
          <w:tab w:val="left" w:pos="284"/>
        </w:tabs>
      </w:pPr>
      <w:r w:rsidRPr="00D15DFC">
        <w:t>Najväčšiu časť na daniac</w:t>
      </w:r>
      <w:r w:rsidRPr="000303C6">
        <w:t>h z medzinárodného obchodu a transakcií tvorí</w:t>
      </w:r>
      <w:r w:rsidRPr="00180D7C">
        <w:t xml:space="preserve"> výnos z</w:t>
      </w:r>
      <w:r w:rsidRPr="00D15DFC">
        <w:t xml:space="preserve"> podiel</w:t>
      </w:r>
      <w:r w:rsidRPr="00180D7C">
        <w:t>u</w:t>
      </w:r>
      <w:r w:rsidRPr="00D15DFC">
        <w:t xml:space="preserve"> na vybratých finančných prostriedkoch, ktorého s</w:t>
      </w:r>
      <w:r>
        <w:t xml:space="preserve">kutočný výnos vo výške </w:t>
      </w:r>
      <w:r w:rsidRPr="00D15DFC">
        <w:t>21</w:t>
      </w:r>
      <w:r>
        <w:t> </w:t>
      </w:r>
      <w:r w:rsidRPr="00D15DFC">
        <w:t>064 tis. eur preds</w:t>
      </w:r>
      <w:r>
        <w:t>tavuje plnenie rozpočtu na 97,9 </w:t>
      </w:r>
      <w:r w:rsidRPr="00D15DFC">
        <w:t xml:space="preserve">%. </w:t>
      </w:r>
    </w:p>
    <w:p w14:paraId="047C619C" w14:textId="68506921" w:rsidR="00EA177A" w:rsidRPr="00D15DFC" w:rsidRDefault="00EA177A" w:rsidP="00EA177A">
      <w:pPr>
        <w:tabs>
          <w:tab w:val="left" w:pos="284"/>
        </w:tabs>
      </w:pPr>
      <w:r w:rsidRPr="00D15DFC">
        <w:t>Súčasťou daní z medzinárodného obc</w:t>
      </w:r>
      <w:r>
        <w:t>hodu a transakcií je aj výnos z </w:t>
      </w:r>
      <w:r w:rsidRPr="00D15DFC">
        <w:t>dovozného cla, ktoré sa uplatňuje na tovar dovážaný z krajín, ktoré nie sú členom EÚ, a dobeh zrušenej dovoznej prirážky.</w:t>
      </w:r>
    </w:p>
    <w:p w14:paraId="32B94EFA" w14:textId="77777777" w:rsidR="00EA177A" w:rsidRPr="005A744C" w:rsidRDefault="00EA177A" w:rsidP="00EA177A">
      <w:pPr>
        <w:tabs>
          <w:tab w:val="left" w:pos="284"/>
        </w:tabs>
      </w:pPr>
      <w:r w:rsidRPr="000303C6">
        <w:rPr>
          <w:b/>
        </w:rPr>
        <w:t>Ostatné dane</w:t>
      </w:r>
      <w:r w:rsidRPr="000303C6">
        <w:t xml:space="preserve"> boli v rozpočte tvorené príjmom z osobitného odvodu z reťazcov (112</w:t>
      </w:r>
      <w:r>
        <w:t> </w:t>
      </w:r>
      <w:r w:rsidRPr="000303C6">
        <w:t>504</w:t>
      </w:r>
      <w:r>
        <w:t> tis. </w:t>
      </w:r>
      <w:r w:rsidRPr="000303C6">
        <w:t xml:space="preserve">eur) a príjmom zo zavedenia </w:t>
      </w:r>
      <w:proofErr w:type="spellStart"/>
      <w:r w:rsidRPr="000303C6">
        <w:t>eKasy</w:t>
      </w:r>
      <w:proofErr w:type="spellEnd"/>
      <w:r w:rsidRPr="000303C6">
        <w:t xml:space="preserve"> a </w:t>
      </w:r>
      <w:proofErr w:type="spellStart"/>
      <w:r w:rsidRPr="000303C6">
        <w:t>nanomarkerov</w:t>
      </w:r>
      <w:proofErr w:type="spellEnd"/>
      <w:r w:rsidRPr="000303C6">
        <w:t xml:space="preserve"> (90</w:t>
      </w:r>
      <w:r>
        <w:t> </w:t>
      </w:r>
      <w:r w:rsidRPr="000303C6">
        <w:t>000</w:t>
      </w:r>
      <w:r>
        <w:t> tis. </w:t>
      </w:r>
      <w:r w:rsidRPr="000303C6">
        <w:t xml:space="preserve">eur). </w:t>
      </w:r>
      <w:r w:rsidRPr="00E25B3E">
        <w:t xml:space="preserve">Osobitný odvod z reťazcov bol zrušený ešte pred zaplatením prvej platby. Príjmy zo zavedenia </w:t>
      </w:r>
      <w:proofErr w:type="spellStart"/>
      <w:r w:rsidRPr="00E25B3E">
        <w:t>eKasy</w:t>
      </w:r>
      <w:proofErr w:type="spellEnd"/>
      <w:r w:rsidRPr="00E25B3E">
        <w:t xml:space="preserve"> a </w:t>
      </w:r>
      <w:proofErr w:type="spellStart"/>
      <w:r w:rsidRPr="00E25B3E">
        <w:t>nanomarkerov</w:t>
      </w:r>
      <w:proofErr w:type="spellEnd"/>
      <w:r w:rsidRPr="00E25B3E">
        <w:t xml:space="preserve"> sa </w:t>
      </w:r>
      <w:r>
        <w:t>takisto nenaplnil, a to z dôvodu</w:t>
      </w:r>
      <w:r w:rsidRPr="00E25B3E">
        <w:t xml:space="preserve"> posun</w:t>
      </w:r>
      <w:r>
        <w:t>u</w:t>
      </w:r>
      <w:r w:rsidRPr="00E25B3E">
        <w:t xml:space="preserve"> efektívnej účinnosti </w:t>
      </w:r>
      <w:proofErr w:type="spellStart"/>
      <w:r w:rsidRPr="00E25B3E">
        <w:t>eKasy</w:t>
      </w:r>
      <w:proofErr w:type="spellEnd"/>
      <w:r w:rsidRPr="00E25B3E">
        <w:t xml:space="preserve"> od roku 2020</w:t>
      </w:r>
      <w:r w:rsidRPr="00180D7C">
        <w:rPr>
          <w:vertAlign w:val="superscript"/>
        </w:rPr>
        <w:footnoteReference w:id="24"/>
      </w:r>
      <w:r w:rsidRPr="00E25B3E">
        <w:t>.</w:t>
      </w:r>
      <w:r w:rsidRPr="00180D7C">
        <w:rPr>
          <w:color w:val="FF0000"/>
        </w:rPr>
        <w:t xml:space="preserve"> </w:t>
      </w:r>
      <w:r>
        <w:t>Výnos z </w:t>
      </w:r>
      <w:proofErr w:type="spellStart"/>
      <w:r w:rsidRPr="00E25B3E">
        <w:t>nanomarkerov</w:t>
      </w:r>
      <w:proofErr w:type="spellEnd"/>
      <w:r w:rsidRPr="00E25B3E">
        <w:t xml:space="preserve"> nie je známy. Skutočnosť za rok 2019 je tvorená len daňou z emisných kvót, ktorá bola zrušená v roku 2012. V roku 2019 bola na základe ži</w:t>
      </w:r>
      <w:r>
        <w:t>adostí táto daň vrátená v objeme 908 </w:t>
      </w:r>
      <w:r w:rsidRPr="00E25B3E">
        <w:t>tis.</w:t>
      </w:r>
      <w:r>
        <w:t> </w:t>
      </w:r>
      <w:r w:rsidRPr="00E25B3E">
        <w:t>eur.</w:t>
      </w:r>
    </w:p>
    <w:p w14:paraId="0A17943B" w14:textId="77777777" w:rsidR="00EA177A" w:rsidRPr="005A744C" w:rsidRDefault="00EA177A" w:rsidP="00EA177A">
      <w:pPr>
        <w:tabs>
          <w:tab w:val="left" w:pos="284"/>
        </w:tabs>
      </w:pPr>
      <w:r w:rsidRPr="005A744C">
        <w:rPr>
          <w:b/>
        </w:rPr>
        <w:t xml:space="preserve">Sankcie uložené v daňovom konaní a sankcie súvisiace s úhradou dane </w:t>
      </w:r>
      <w:r w:rsidRPr="005A744C">
        <w:t>sa rozpočtovali v sume 13 149 tis</w:t>
      </w:r>
      <w:r w:rsidRPr="002F472F">
        <w:t>. eur. Ich skutočná výška dosiahla sumu 28 868 tis. eur, resp. 24 267 tis. eur po presune podielu sankcií do dane z príjmov fyzických osôb, z ktorých výnos bol poukázaný územnej samospráve.</w:t>
      </w:r>
    </w:p>
    <w:p w14:paraId="459E52E1" w14:textId="77777777" w:rsidR="00EA177A" w:rsidRDefault="00EA177A" w:rsidP="00EA177A">
      <w:pPr>
        <w:tabs>
          <w:tab w:val="left" w:pos="284"/>
        </w:tabs>
        <w:rPr>
          <w:lang w:eastAsia="sk-SK"/>
        </w:rPr>
      </w:pPr>
      <w:r w:rsidRPr="005A744C">
        <w:rPr>
          <w:lang w:eastAsia="sk-SK"/>
        </w:rPr>
        <w:t>Finančné orgány v sledovanom roku 2019 na žiadosť daňového subjektu povolili úľavu na dani alebo odpustili daňový nedoplatok na dani v zmysle § 70 daňového poriadku v 1 prípade vo výške 2 698,17</w:t>
      </w:r>
      <w:r>
        <w:rPr>
          <w:lang w:eastAsia="sk-SK"/>
        </w:rPr>
        <w:t> </w:t>
      </w:r>
      <w:r w:rsidRPr="005A744C">
        <w:rPr>
          <w:lang w:eastAsia="sk-SK"/>
        </w:rPr>
        <w:t>eur. Úľavy zo sankcie alebo odpustenie sankcie v zmysle § 157 daňového poriadku boli povolené daňovými úradmi v 685 prípadoch v celkovej výške 700</w:t>
      </w:r>
      <w:r>
        <w:rPr>
          <w:lang w:eastAsia="sk-SK"/>
        </w:rPr>
        <w:t> tis. </w:t>
      </w:r>
      <w:r w:rsidRPr="005A744C">
        <w:rPr>
          <w:lang w:eastAsia="sk-SK"/>
        </w:rPr>
        <w:t xml:space="preserve">eur a colnými </w:t>
      </w:r>
      <w:r>
        <w:rPr>
          <w:lang w:eastAsia="sk-SK"/>
        </w:rPr>
        <w:t>úradmi v 1 prípade vo výške 264 </w:t>
      </w:r>
      <w:r w:rsidRPr="005A744C">
        <w:rPr>
          <w:lang w:eastAsia="sk-SK"/>
        </w:rPr>
        <w:t>eur, spolu v 686 prípadoch vo výš</w:t>
      </w:r>
      <w:r>
        <w:rPr>
          <w:lang w:eastAsia="sk-SK"/>
        </w:rPr>
        <w:t>ke 700,3 tis. </w:t>
      </w:r>
      <w:r w:rsidRPr="005A744C">
        <w:rPr>
          <w:lang w:eastAsia="sk-SK"/>
        </w:rPr>
        <w:t>eur. V roku 2018 bolo povolených 497 prípadov v celkovej výške 958 tis. eur.</w:t>
      </w:r>
    </w:p>
    <w:tbl>
      <w:tblPr>
        <w:tblpPr w:leftFromText="141" w:rightFromText="141" w:vertAnchor="text" w:horzAnchor="margin" w:tblpXSpec="right" w:tblpY="-24"/>
        <w:tblW w:w="8382" w:type="dxa"/>
        <w:tblCellMar>
          <w:left w:w="0" w:type="dxa"/>
          <w:right w:w="0" w:type="dxa"/>
        </w:tblCellMar>
        <w:tblLook w:val="04A0" w:firstRow="1" w:lastRow="0" w:firstColumn="1" w:lastColumn="0" w:noHBand="0" w:noVBand="1"/>
      </w:tblPr>
      <w:tblGrid>
        <w:gridCol w:w="2268"/>
        <w:gridCol w:w="567"/>
        <w:gridCol w:w="2568"/>
        <w:gridCol w:w="550"/>
        <w:gridCol w:w="2269"/>
        <w:gridCol w:w="160"/>
      </w:tblGrid>
      <w:tr w:rsidR="00EA177A" w:rsidRPr="002F472F" w14:paraId="313F107A" w14:textId="77777777" w:rsidTr="00C0149A">
        <w:trPr>
          <w:trHeight w:val="562"/>
        </w:trPr>
        <w:tc>
          <w:tcPr>
            <w:tcW w:w="8222" w:type="dxa"/>
            <w:gridSpan w:val="5"/>
            <w:shd w:val="clear" w:color="auto" w:fill="000000"/>
            <w:tcMar>
              <w:top w:w="0" w:type="dxa"/>
              <w:left w:w="70" w:type="dxa"/>
              <w:bottom w:w="0" w:type="dxa"/>
              <w:right w:w="70" w:type="dxa"/>
            </w:tcMar>
            <w:vAlign w:val="center"/>
            <w:hideMark/>
          </w:tcPr>
          <w:p w14:paraId="65DE6B76" w14:textId="77777777" w:rsidR="00EA177A" w:rsidRDefault="00EA177A" w:rsidP="00C54C4D">
            <w:pPr>
              <w:spacing w:before="120" w:after="0" w:line="240" w:lineRule="auto"/>
              <w:rPr>
                <w:b/>
                <w:bCs/>
                <w:sz w:val="18"/>
                <w:szCs w:val="18"/>
                <w:lang w:eastAsia="sk-SK"/>
              </w:rPr>
            </w:pPr>
            <w:r w:rsidRPr="00180D7C">
              <w:rPr>
                <w:b/>
                <w:bCs/>
                <w:sz w:val="18"/>
                <w:szCs w:val="18"/>
                <w:lang w:eastAsia="sk-SK"/>
              </w:rPr>
              <w:t>Povolené úľavy na dani / odpuste</w:t>
            </w:r>
            <w:r>
              <w:rPr>
                <w:b/>
                <w:bCs/>
                <w:sz w:val="18"/>
                <w:szCs w:val="18"/>
                <w:lang w:eastAsia="sk-SK"/>
              </w:rPr>
              <w:t>nie daňového nedoplatku na dani</w:t>
            </w:r>
          </w:p>
          <w:p w14:paraId="20CD7306" w14:textId="77777777" w:rsidR="00EA177A" w:rsidRPr="00180D7C" w:rsidRDefault="00EA177A" w:rsidP="00C54C4D">
            <w:pPr>
              <w:spacing w:line="240" w:lineRule="auto"/>
              <w:rPr>
                <w:b/>
                <w:bCs/>
                <w:sz w:val="18"/>
                <w:szCs w:val="18"/>
                <w:lang w:eastAsia="sk-SK"/>
              </w:rPr>
            </w:pPr>
            <w:r w:rsidRPr="00180D7C">
              <w:rPr>
                <w:b/>
                <w:bCs/>
                <w:sz w:val="18"/>
                <w:szCs w:val="18"/>
                <w:lang w:eastAsia="sk-SK"/>
              </w:rPr>
              <w:t xml:space="preserve">/ úľavy zo sankcie / odpustenie sankcie  </w:t>
            </w:r>
            <w:r>
              <w:rPr>
                <w:b/>
                <w:bCs/>
                <w:sz w:val="18"/>
                <w:szCs w:val="18"/>
                <w:lang w:eastAsia="sk-SK"/>
              </w:rPr>
              <w:t xml:space="preserve">                                                                                                   </w:t>
            </w:r>
            <w:r w:rsidRPr="00180D7C">
              <w:rPr>
                <w:b/>
                <w:bCs/>
                <w:sz w:val="18"/>
                <w:szCs w:val="18"/>
                <w:lang w:eastAsia="sk-SK"/>
              </w:rPr>
              <w:t>v tis. eur</w:t>
            </w:r>
          </w:p>
        </w:tc>
        <w:tc>
          <w:tcPr>
            <w:tcW w:w="160" w:type="dxa"/>
            <w:noWrap/>
            <w:tcMar>
              <w:top w:w="0" w:type="dxa"/>
              <w:left w:w="70" w:type="dxa"/>
              <w:bottom w:w="0" w:type="dxa"/>
              <w:right w:w="70" w:type="dxa"/>
            </w:tcMar>
            <w:vAlign w:val="bottom"/>
            <w:hideMark/>
          </w:tcPr>
          <w:p w14:paraId="04C268E7" w14:textId="77777777" w:rsidR="00EA177A" w:rsidRPr="00180D7C" w:rsidRDefault="00EA177A" w:rsidP="00C704A7">
            <w:pPr>
              <w:rPr>
                <w:b/>
                <w:bCs/>
                <w:sz w:val="18"/>
                <w:szCs w:val="18"/>
                <w:lang w:eastAsia="sk-SK"/>
              </w:rPr>
            </w:pPr>
          </w:p>
        </w:tc>
      </w:tr>
      <w:tr w:rsidR="00EA177A" w:rsidRPr="002F472F" w14:paraId="0B8989A5" w14:textId="77777777" w:rsidTr="0058017A">
        <w:trPr>
          <w:trHeight w:val="564"/>
        </w:trPr>
        <w:tc>
          <w:tcPr>
            <w:tcW w:w="2268" w:type="dxa"/>
            <w:vMerge w:val="restart"/>
            <w:tcBorders>
              <w:top w:val="nil"/>
              <w:left w:val="nil"/>
              <w:bottom w:val="single" w:sz="8" w:space="0" w:color="000000"/>
              <w:right w:val="nil"/>
            </w:tcBorders>
            <w:shd w:val="clear" w:color="auto" w:fill="BFBFBF"/>
            <w:tcMar>
              <w:top w:w="0" w:type="dxa"/>
              <w:left w:w="70" w:type="dxa"/>
              <w:bottom w:w="0" w:type="dxa"/>
              <w:right w:w="70" w:type="dxa"/>
            </w:tcMar>
            <w:vAlign w:val="center"/>
            <w:hideMark/>
          </w:tcPr>
          <w:p w14:paraId="5B67F8C0" w14:textId="77777777" w:rsidR="00EA177A" w:rsidRPr="002F472F" w:rsidRDefault="00EA177A" w:rsidP="00C704A7">
            <w:pPr>
              <w:rPr>
                <w:b/>
                <w:bCs/>
                <w:sz w:val="18"/>
                <w:szCs w:val="18"/>
                <w:lang w:eastAsia="sk-SK"/>
              </w:rPr>
            </w:pPr>
            <w:r w:rsidRPr="002F472F">
              <w:rPr>
                <w:b/>
                <w:bCs/>
                <w:sz w:val="18"/>
                <w:szCs w:val="18"/>
                <w:lang w:eastAsia="sk-SK"/>
              </w:rPr>
              <w:t>Finančný orgán</w:t>
            </w:r>
          </w:p>
        </w:tc>
        <w:tc>
          <w:tcPr>
            <w:tcW w:w="3135" w:type="dxa"/>
            <w:gridSpan w:val="2"/>
            <w:shd w:val="clear" w:color="auto" w:fill="BFBFBF"/>
            <w:tcMar>
              <w:top w:w="0" w:type="dxa"/>
              <w:left w:w="70" w:type="dxa"/>
              <w:bottom w:w="0" w:type="dxa"/>
              <w:right w:w="70" w:type="dxa"/>
            </w:tcMar>
            <w:vAlign w:val="center"/>
            <w:hideMark/>
          </w:tcPr>
          <w:p w14:paraId="3EBED530" w14:textId="77777777" w:rsidR="00EA177A" w:rsidRPr="002F472F" w:rsidRDefault="00EA177A" w:rsidP="00C704A7">
            <w:pPr>
              <w:spacing w:after="0" w:line="240" w:lineRule="auto"/>
              <w:jc w:val="center"/>
              <w:rPr>
                <w:b/>
                <w:bCs/>
                <w:sz w:val="18"/>
                <w:szCs w:val="18"/>
                <w:lang w:eastAsia="sk-SK"/>
              </w:rPr>
            </w:pPr>
            <w:r w:rsidRPr="002F472F">
              <w:rPr>
                <w:b/>
                <w:bCs/>
                <w:sz w:val="18"/>
                <w:szCs w:val="18"/>
                <w:lang w:eastAsia="sk-SK"/>
              </w:rPr>
              <w:t>Úľavy na dani alebo odpustenie daňového nedoplatku na dani</w:t>
            </w:r>
          </w:p>
        </w:tc>
        <w:tc>
          <w:tcPr>
            <w:tcW w:w="2819" w:type="dxa"/>
            <w:gridSpan w:val="2"/>
            <w:shd w:val="clear" w:color="auto" w:fill="BFBFBF"/>
            <w:tcMar>
              <w:top w:w="0" w:type="dxa"/>
              <w:left w:w="70" w:type="dxa"/>
              <w:bottom w:w="0" w:type="dxa"/>
              <w:right w:w="70" w:type="dxa"/>
            </w:tcMar>
            <w:vAlign w:val="center"/>
            <w:hideMark/>
          </w:tcPr>
          <w:p w14:paraId="3A055A72" w14:textId="77777777" w:rsidR="00EA177A" w:rsidRPr="002F472F" w:rsidRDefault="00EA177A" w:rsidP="00C704A7">
            <w:pPr>
              <w:spacing w:after="0" w:line="240" w:lineRule="auto"/>
              <w:jc w:val="center"/>
              <w:rPr>
                <w:b/>
                <w:bCs/>
                <w:sz w:val="18"/>
                <w:szCs w:val="18"/>
                <w:lang w:eastAsia="sk-SK"/>
              </w:rPr>
            </w:pPr>
            <w:r w:rsidRPr="002F472F">
              <w:rPr>
                <w:b/>
                <w:bCs/>
                <w:sz w:val="18"/>
                <w:szCs w:val="18"/>
                <w:lang w:eastAsia="sk-SK"/>
              </w:rPr>
              <w:t>Úľavy zo sankcie alebo odpustenie sankcie</w:t>
            </w:r>
          </w:p>
        </w:tc>
        <w:tc>
          <w:tcPr>
            <w:tcW w:w="160" w:type="dxa"/>
            <w:noWrap/>
            <w:tcMar>
              <w:top w:w="0" w:type="dxa"/>
              <w:left w:w="70" w:type="dxa"/>
              <w:bottom w:w="0" w:type="dxa"/>
              <w:right w:w="70" w:type="dxa"/>
            </w:tcMar>
            <w:vAlign w:val="bottom"/>
            <w:hideMark/>
          </w:tcPr>
          <w:p w14:paraId="7A6B903E" w14:textId="77777777" w:rsidR="00EA177A" w:rsidRPr="002F472F" w:rsidRDefault="00EA177A" w:rsidP="00C704A7">
            <w:pPr>
              <w:rPr>
                <w:b/>
                <w:bCs/>
                <w:sz w:val="18"/>
                <w:szCs w:val="18"/>
                <w:lang w:eastAsia="sk-SK"/>
              </w:rPr>
            </w:pPr>
          </w:p>
        </w:tc>
      </w:tr>
      <w:tr w:rsidR="00EA177A" w:rsidRPr="002F472F" w14:paraId="0B18025B" w14:textId="77777777" w:rsidTr="0058017A">
        <w:trPr>
          <w:trHeight w:val="264"/>
        </w:trPr>
        <w:tc>
          <w:tcPr>
            <w:tcW w:w="2268" w:type="dxa"/>
            <w:vMerge/>
            <w:tcBorders>
              <w:top w:val="nil"/>
              <w:left w:val="nil"/>
              <w:bottom w:val="single" w:sz="8" w:space="0" w:color="000000"/>
              <w:right w:val="nil"/>
            </w:tcBorders>
            <w:vAlign w:val="center"/>
            <w:hideMark/>
          </w:tcPr>
          <w:p w14:paraId="367240CE" w14:textId="77777777" w:rsidR="00EA177A" w:rsidRPr="002F472F" w:rsidRDefault="00EA177A" w:rsidP="00C704A7">
            <w:pPr>
              <w:rPr>
                <w:b/>
                <w:bCs/>
                <w:sz w:val="18"/>
                <w:szCs w:val="18"/>
                <w:lang w:eastAsia="sk-SK"/>
              </w:rPr>
            </w:pPr>
          </w:p>
        </w:tc>
        <w:tc>
          <w:tcPr>
            <w:tcW w:w="567"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582CEBB6" w14:textId="77777777" w:rsidR="00EA177A" w:rsidRPr="002F472F" w:rsidRDefault="00EA177A" w:rsidP="00C704A7">
            <w:pPr>
              <w:spacing w:after="0" w:line="240" w:lineRule="auto"/>
              <w:rPr>
                <w:b/>
                <w:bCs/>
                <w:sz w:val="18"/>
                <w:szCs w:val="18"/>
                <w:lang w:eastAsia="sk-SK"/>
              </w:rPr>
            </w:pPr>
            <w:r w:rsidRPr="002F472F">
              <w:rPr>
                <w:b/>
                <w:bCs/>
                <w:sz w:val="18"/>
                <w:szCs w:val="18"/>
                <w:lang w:eastAsia="sk-SK"/>
              </w:rPr>
              <w:t>počet</w:t>
            </w:r>
          </w:p>
        </w:tc>
        <w:tc>
          <w:tcPr>
            <w:tcW w:w="2568"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4E5B8CE4" w14:textId="77777777" w:rsidR="00EA177A" w:rsidRPr="002F472F" w:rsidRDefault="00EA177A" w:rsidP="00C704A7">
            <w:pPr>
              <w:spacing w:after="0" w:line="240" w:lineRule="auto"/>
              <w:jc w:val="center"/>
              <w:rPr>
                <w:b/>
                <w:bCs/>
                <w:sz w:val="18"/>
                <w:szCs w:val="18"/>
                <w:lang w:eastAsia="sk-SK"/>
              </w:rPr>
            </w:pPr>
            <w:r w:rsidRPr="002F472F">
              <w:rPr>
                <w:b/>
                <w:bCs/>
                <w:sz w:val="18"/>
                <w:szCs w:val="18"/>
                <w:lang w:eastAsia="sk-SK"/>
              </w:rPr>
              <w:t>suma</w:t>
            </w:r>
          </w:p>
        </w:tc>
        <w:tc>
          <w:tcPr>
            <w:tcW w:w="550"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2938F69F" w14:textId="77777777" w:rsidR="00EA177A" w:rsidRPr="002F472F" w:rsidRDefault="00EA177A" w:rsidP="00C704A7">
            <w:pPr>
              <w:spacing w:after="0" w:line="240" w:lineRule="auto"/>
              <w:jc w:val="center"/>
              <w:rPr>
                <w:b/>
                <w:bCs/>
                <w:sz w:val="18"/>
                <w:szCs w:val="18"/>
                <w:lang w:eastAsia="sk-SK"/>
              </w:rPr>
            </w:pPr>
            <w:r w:rsidRPr="002F472F">
              <w:rPr>
                <w:b/>
                <w:bCs/>
                <w:sz w:val="18"/>
                <w:szCs w:val="18"/>
                <w:lang w:eastAsia="sk-SK"/>
              </w:rPr>
              <w:t>počet</w:t>
            </w:r>
          </w:p>
        </w:tc>
        <w:tc>
          <w:tcPr>
            <w:tcW w:w="2269"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095A0BE7" w14:textId="77777777" w:rsidR="00EA177A" w:rsidRPr="002F472F" w:rsidRDefault="00EA177A" w:rsidP="00C704A7">
            <w:pPr>
              <w:spacing w:after="0" w:line="240" w:lineRule="auto"/>
              <w:jc w:val="center"/>
              <w:rPr>
                <w:b/>
                <w:bCs/>
                <w:sz w:val="18"/>
                <w:szCs w:val="18"/>
                <w:lang w:eastAsia="sk-SK"/>
              </w:rPr>
            </w:pPr>
            <w:r w:rsidRPr="002F472F">
              <w:rPr>
                <w:b/>
                <w:bCs/>
                <w:sz w:val="18"/>
                <w:szCs w:val="18"/>
                <w:lang w:eastAsia="sk-SK"/>
              </w:rPr>
              <w:t>suma</w:t>
            </w:r>
          </w:p>
        </w:tc>
        <w:tc>
          <w:tcPr>
            <w:tcW w:w="160" w:type="dxa"/>
            <w:noWrap/>
            <w:tcMar>
              <w:top w:w="0" w:type="dxa"/>
              <w:left w:w="70" w:type="dxa"/>
              <w:bottom w:w="0" w:type="dxa"/>
              <w:right w:w="70" w:type="dxa"/>
            </w:tcMar>
            <w:vAlign w:val="bottom"/>
            <w:hideMark/>
          </w:tcPr>
          <w:p w14:paraId="5E876419" w14:textId="77777777" w:rsidR="00EA177A" w:rsidRPr="00180D7C" w:rsidRDefault="00EA177A" w:rsidP="00C704A7">
            <w:pPr>
              <w:rPr>
                <w:b/>
                <w:bCs/>
                <w:sz w:val="18"/>
                <w:szCs w:val="18"/>
                <w:lang w:eastAsia="sk-SK"/>
              </w:rPr>
            </w:pPr>
          </w:p>
        </w:tc>
      </w:tr>
      <w:tr w:rsidR="00EA177A" w:rsidRPr="002F472F" w14:paraId="4286A0C6" w14:textId="77777777" w:rsidTr="0058017A">
        <w:trPr>
          <w:trHeight w:val="176"/>
        </w:trPr>
        <w:tc>
          <w:tcPr>
            <w:tcW w:w="2268" w:type="dxa"/>
            <w:tcMar>
              <w:top w:w="0" w:type="dxa"/>
              <w:left w:w="70" w:type="dxa"/>
              <w:bottom w:w="0" w:type="dxa"/>
              <w:right w:w="70" w:type="dxa"/>
            </w:tcMar>
            <w:vAlign w:val="center"/>
            <w:hideMark/>
          </w:tcPr>
          <w:p w14:paraId="331F066C" w14:textId="77777777" w:rsidR="00EA177A" w:rsidRPr="00180D7C" w:rsidRDefault="00EA177A" w:rsidP="00C704A7">
            <w:pPr>
              <w:spacing w:after="0" w:line="240" w:lineRule="auto"/>
              <w:rPr>
                <w:sz w:val="20"/>
                <w:szCs w:val="20"/>
                <w:lang w:eastAsia="sk-SK"/>
              </w:rPr>
            </w:pPr>
            <w:r w:rsidRPr="00180D7C">
              <w:rPr>
                <w:sz w:val="20"/>
                <w:szCs w:val="20"/>
                <w:lang w:eastAsia="sk-SK"/>
              </w:rPr>
              <w:t>Daňové úrady</w:t>
            </w:r>
          </w:p>
        </w:tc>
        <w:tc>
          <w:tcPr>
            <w:tcW w:w="567" w:type="dxa"/>
            <w:tcMar>
              <w:top w:w="0" w:type="dxa"/>
              <w:left w:w="70" w:type="dxa"/>
              <w:bottom w:w="0" w:type="dxa"/>
              <w:right w:w="70" w:type="dxa"/>
            </w:tcMar>
            <w:vAlign w:val="center"/>
            <w:hideMark/>
          </w:tcPr>
          <w:p w14:paraId="48461AE6"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1</w:t>
            </w:r>
          </w:p>
        </w:tc>
        <w:tc>
          <w:tcPr>
            <w:tcW w:w="2568" w:type="dxa"/>
            <w:tcMar>
              <w:top w:w="0" w:type="dxa"/>
              <w:left w:w="70" w:type="dxa"/>
              <w:bottom w:w="0" w:type="dxa"/>
              <w:right w:w="70" w:type="dxa"/>
            </w:tcMar>
            <w:vAlign w:val="center"/>
            <w:hideMark/>
          </w:tcPr>
          <w:p w14:paraId="4482D633"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2,698</w:t>
            </w:r>
          </w:p>
        </w:tc>
        <w:tc>
          <w:tcPr>
            <w:tcW w:w="550" w:type="dxa"/>
            <w:tcMar>
              <w:top w:w="0" w:type="dxa"/>
              <w:left w:w="70" w:type="dxa"/>
              <w:bottom w:w="0" w:type="dxa"/>
              <w:right w:w="70" w:type="dxa"/>
            </w:tcMar>
            <w:vAlign w:val="center"/>
            <w:hideMark/>
          </w:tcPr>
          <w:p w14:paraId="6A604AE6"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685</w:t>
            </w:r>
          </w:p>
        </w:tc>
        <w:tc>
          <w:tcPr>
            <w:tcW w:w="2269" w:type="dxa"/>
            <w:tcMar>
              <w:top w:w="0" w:type="dxa"/>
              <w:left w:w="70" w:type="dxa"/>
              <w:bottom w:w="0" w:type="dxa"/>
              <w:right w:w="70" w:type="dxa"/>
            </w:tcMar>
            <w:vAlign w:val="center"/>
            <w:hideMark/>
          </w:tcPr>
          <w:p w14:paraId="0B265ABC"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700</w:t>
            </w:r>
          </w:p>
        </w:tc>
        <w:tc>
          <w:tcPr>
            <w:tcW w:w="160" w:type="dxa"/>
            <w:noWrap/>
            <w:tcMar>
              <w:top w:w="0" w:type="dxa"/>
              <w:left w:w="70" w:type="dxa"/>
              <w:bottom w:w="0" w:type="dxa"/>
              <w:right w:w="70" w:type="dxa"/>
            </w:tcMar>
            <w:vAlign w:val="bottom"/>
            <w:hideMark/>
          </w:tcPr>
          <w:p w14:paraId="59739777" w14:textId="77777777" w:rsidR="00EA177A" w:rsidRPr="002F472F" w:rsidRDefault="00EA177A" w:rsidP="00C704A7">
            <w:pPr>
              <w:rPr>
                <w:sz w:val="18"/>
                <w:szCs w:val="18"/>
                <w:lang w:eastAsia="sk-SK"/>
              </w:rPr>
            </w:pPr>
          </w:p>
        </w:tc>
      </w:tr>
      <w:tr w:rsidR="00EA177A" w:rsidRPr="002F472F" w14:paraId="1622BA96" w14:textId="77777777" w:rsidTr="0058017A">
        <w:trPr>
          <w:trHeight w:val="176"/>
        </w:trPr>
        <w:tc>
          <w:tcPr>
            <w:tcW w:w="2268" w:type="dxa"/>
            <w:tcMar>
              <w:top w:w="0" w:type="dxa"/>
              <w:left w:w="70" w:type="dxa"/>
              <w:bottom w:w="0" w:type="dxa"/>
              <w:right w:w="70" w:type="dxa"/>
            </w:tcMar>
            <w:vAlign w:val="center"/>
            <w:hideMark/>
          </w:tcPr>
          <w:p w14:paraId="41D29F06" w14:textId="77777777" w:rsidR="00EA177A" w:rsidRPr="00180D7C" w:rsidRDefault="00EA177A" w:rsidP="00C704A7">
            <w:pPr>
              <w:spacing w:after="0" w:line="240" w:lineRule="auto"/>
              <w:rPr>
                <w:sz w:val="20"/>
                <w:szCs w:val="20"/>
                <w:lang w:eastAsia="sk-SK"/>
              </w:rPr>
            </w:pPr>
            <w:r w:rsidRPr="00180D7C">
              <w:rPr>
                <w:sz w:val="20"/>
                <w:szCs w:val="20"/>
                <w:lang w:eastAsia="sk-SK"/>
              </w:rPr>
              <w:t xml:space="preserve">Colné úrady /* </w:t>
            </w:r>
          </w:p>
        </w:tc>
        <w:tc>
          <w:tcPr>
            <w:tcW w:w="567" w:type="dxa"/>
            <w:tcMar>
              <w:top w:w="0" w:type="dxa"/>
              <w:left w:w="70" w:type="dxa"/>
              <w:bottom w:w="0" w:type="dxa"/>
              <w:right w:w="70" w:type="dxa"/>
            </w:tcMar>
            <w:vAlign w:val="center"/>
            <w:hideMark/>
          </w:tcPr>
          <w:p w14:paraId="482B93E1"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x</w:t>
            </w:r>
          </w:p>
        </w:tc>
        <w:tc>
          <w:tcPr>
            <w:tcW w:w="2568" w:type="dxa"/>
            <w:tcMar>
              <w:top w:w="0" w:type="dxa"/>
              <w:left w:w="70" w:type="dxa"/>
              <w:bottom w:w="0" w:type="dxa"/>
              <w:right w:w="70" w:type="dxa"/>
            </w:tcMar>
            <w:vAlign w:val="center"/>
            <w:hideMark/>
          </w:tcPr>
          <w:p w14:paraId="4AD4EB64"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x</w:t>
            </w:r>
          </w:p>
        </w:tc>
        <w:tc>
          <w:tcPr>
            <w:tcW w:w="550" w:type="dxa"/>
            <w:tcMar>
              <w:top w:w="0" w:type="dxa"/>
              <w:left w:w="70" w:type="dxa"/>
              <w:bottom w:w="0" w:type="dxa"/>
              <w:right w:w="70" w:type="dxa"/>
            </w:tcMar>
            <w:vAlign w:val="center"/>
            <w:hideMark/>
          </w:tcPr>
          <w:p w14:paraId="65572E32"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1</w:t>
            </w:r>
          </w:p>
        </w:tc>
        <w:tc>
          <w:tcPr>
            <w:tcW w:w="2269" w:type="dxa"/>
            <w:tcMar>
              <w:top w:w="0" w:type="dxa"/>
              <w:left w:w="70" w:type="dxa"/>
              <w:bottom w:w="0" w:type="dxa"/>
              <w:right w:w="70" w:type="dxa"/>
            </w:tcMar>
            <w:vAlign w:val="center"/>
            <w:hideMark/>
          </w:tcPr>
          <w:p w14:paraId="5C943052" w14:textId="77777777" w:rsidR="00EA177A" w:rsidRPr="00180D7C" w:rsidRDefault="00EA177A" w:rsidP="00C704A7">
            <w:pPr>
              <w:spacing w:after="0" w:line="240" w:lineRule="auto"/>
              <w:jc w:val="center"/>
              <w:rPr>
                <w:sz w:val="20"/>
                <w:szCs w:val="20"/>
                <w:lang w:eastAsia="sk-SK"/>
              </w:rPr>
            </w:pPr>
            <w:r>
              <w:rPr>
                <w:sz w:val="20"/>
                <w:szCs w:val="20"/>
                <w:lang w:eastAsia="sk-SK"/>
              </w:rPr>
              <w:t>0,3</w:t>
            </w:r>
          </w:p>
        </w:tc>
        <w:tc>
          <w:tcPr>
            <w:tcW w:w="160" w:type="dxa"/>
            <w:noWrap/>
            <w:tcMar>
              <w:top w:w="0" w:type="dxa"/>
              <w:left w:w="70" w:type="dxa"/>
              <w:bottom w:w="0" w:type="dxa"/>
              <w:right w:w="70" w:type="dxa"/>
            </w:tcMar>
            <w:vAlign w:val="bottom"/>
            <w:hideMark/>
          </w:tcPr>
          <w:p w14:paraId="3C0E92CE" w14:textId="77777777" w:rsidR="00EA177A" w:rsidRPr="002F472F" w:rsidRDefault="00EA177A" w:rsidP="00C704A7">
            <w:pPr>
              <w:rPr>
                <w:sz w:val="18"/>
                <w:szCs w:val="18"/>
                <w:lang w:eastAsia="sk-SK"/>
              </w:rPr>
            </w:pPr>
          </w:p>
        </w:tc>
      </w:tr>
      <w:tr w:rsidR="00EA177A" w:rsidRPr="002F472F" w14:paraId="45C094E7" w14:textId="77777777" w:rsidTr="0058017A">
        <w:trPr>
          <w:trHeight w:val="176"/>
        </w:trPr>
        <w:tc>
          <w:tcPr>
            <w:tcW w:w="2268" w:type="dxa"/>
            <w:tcBorders>
              <w:bottom w:val="single" w:sz="8" w:space="0" w:color="auto"/>
            </w:tcBorders>
            <w:tcMar>
              <w:top w:w="0" w:type="dxa"/>
              <w:left w:w="70" w:type="dxa"/>
              <w:bottom w:w="0" w:type="dxa"/>
              <w:right w:w="70" w:type="dxa"/>
            </w:tcMar>
            <w:vAlign w:val="center"/>
            <w:hideMark/>
          </w:tcPr>
          <w:p w14:paraId="4D5CC67C" w14:textId="77777777" w:rsidR="00EA177A" w:rsidRPr="00180D7C" w:rsidRDefault="00EA177A" w:rsidP="00C704A7">
            <w:pPr>
              <w:spacing w:after="0" w:line="240" w:lineRule="auto"/>
              <w:rPr>
                <w:sz w:val="20"/>
                <w:szCs w:val="20"/>
                <w:lang w:eastAsia="sk-SK"/>
              </w:rPr>
            </w:pPr>
            <w:r w:rsidRPr="00180D7C">
              <w:rPr>
                <w:sz w:val="20"/>
                <w:szCs w:val="20"/>
                <w:lang w:eastAsia="sk-SK"/>
              </w:rPr>
              <w:t>FR SR</w:t>
            </w:r>
          </w:p>
        </w:tc>
        <w:tc>
          <w:tcPr>
            <w:tcW w:w="567" w:type="dxa"/>
            <w:tcBorders>
              <w:bottom w:val="single" w:sz="8" w:space="0" w:color="auto"/>
            </w:tcBorders>
            <w:tcMar>
              <w:top w:w="0" w:type="dxa"/>
              <w:left w:w="70" w:type="dxa"/>
              <w:bottom w:w="0" w:type="dxa"/>
              <w:right w:w="70" w:type="dxa"/>
            </w:tcMar>
            <w:vAlign w:val="center"/>
            <w:hideMark/>
          </w:tcPr>
          <w:p w14:paraId="7B377383"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x</w:t>
            </w:r>
          </w:p>
        </w:tc>
        <w:tc>
          <w:tcPr>
            <w:tcW w:w="2568" w:type="dxa"/>
            <w:tcBorders>
              <w:bottom w:val="single" w:sz="8" w:space="0" w:color="auto"/>
            </w:tcBorders>
            <w:tcMar>
              <w:top w:w="0" w:type="dxa"/>
              <w:left w:w="70" w:type="dxa"/>
              <w:bottom w:w="0" w:type="dxa"/>
              <w:right w:w="70" w:type="dxa"/>
            </w:tcMar>
            <w:vAlign w:val="center"/>
            <w:hideMark/>
          </w:tcPr>
          <w:p w14:paraId="19575B15"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x</w:t>
            </w:r>
          </w:p>
        </w:tc>
        <w:tc>
          <w:tcPr>
            <w:tcW w:w="550" w:type="dxa"/>
            <w:tcBorders>
              <w:bottom w:val="single" w:sz="8" w:space="0" w:color="auto"/>
            </w:tcBorders>
            <w:tcMar>
              <w:top w:w="0" w:type="dxa"/>
              <w:left w:w="70" w:type="dxa"/>
              <w:bottom w:w="0" w:type="dxa"/>
              <w:right w:w="70" w:type="dxa"/>
            </w:tcMar>
            <w:vAlign w:val="center"/>
            <w:hideMark/>
          </w:tcPr>
          <w:p w14:paraId="474DFD16"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x</w:t>
            </w:r>
          </w:p>
        </w:tc>
        <w:tc>
          <w:tcPr>
            <w:tcW w:w="2269" w:type="dxa"/>
            <w:tcBorders>
              <w:bottom w:val="single" w:sz="8" w:space="0" w:color="auto"/>
            </w:tcBorders>
            <w:tcMar>
              <w:top w:w="0" w:type="dxa"/>
              <w:left w:w="70" w:type="dxa"/>
              <w:bottom w:w="0" w:type="dxa"/>
              <w:right w:w="70" w:type="dxa"/>
            </w:tcMar>
            <w:vAlign w:val="center"/>
            <w:hideMark/>
          </w:tcPr>
          <w:p w14:paraId="15F30146" w14:textId="77777777" w:rsidR="00EA177A" w:rsidRPr="00180D7C" w:rsidRDefault="00EA177A" w:rsidP="00C704A7">
            <w:pPr>
              <w:spacing w:after="0" w:line="240" w:lineRule="auto"/>
              <w:jc w:val="center"/>
              <w:rPr>
                <w:sz w:val="20"/>
                <w:szCs w:val="20"/>
                <w:lang w:eastAsia="sk-SK"/>
              </w:rPr>
            </w:pPr>
            <w:r w:rsidRPr="00180D7C">
              <w:rPr>
                <w:sz w:val="20"/>
                <w:szCs w:val="20"/>
                <w:lang w:eastAsia="sk-SK"/>
              </w:rPr>
              <w:t>x</w:t>
            </w:r>
          </w:p>
        </w:tc>
        <w:tc>
          <w:tcPr>
            <w:tcW w:w="160" w:type="dxa"/>
            <w:noWrap/>
            <w:tcMar>
              <w:top w:w="0" w:type="dxa"/>
              <w:left w:w="70" w:type="dxa"/>
              <w:bottom w:w="0" w:type="dxa"/>
              <w:right w:w="70" w:type="dxa"/>
            </w:tcMar>
            <w:vAlign w:val="bottom"/>
            <w:hideMark/>
          </w:tcPr>
          <w:p w14:paraId="26848A76" w14:textId="77777777" w:rsidR="00EA177A" w:rsidRPr="002F472F" w:rsidRDefault="00EA177A" w:rsidP="00C704A7">
            <w:pPr>
              <w:rPr>
                <w:sz w:val="18"/>
                <w:szCs w:val="18"/>
                <w:lang w:eastAsia="sk-SK"/>
              </w:rPr>
            </w:pPr>
          </w:p>
        </w:tc>
      </w:tr>
      <w:tr w:rsidR="00EA177A" w:rsidRPr="002F472F" w14:paraId="0C1A78A2" w14:textId="77777777" w:rsidTr="0058017A">
        <w:trPr>
          <w:trHeight w:val="185"/>
        </w:trPr>
        <w:tc>
          <w:tcPr>
            <w:tcW w:w="226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081D3910" w14:textId="77777777" w:rsidR="00EA177A" w:rsidRPr="00180D7C" w:rsidRDefault="00EA177A" w:rsidP="00C704A7">
            <w:pPr>
              <w:spacing w:after="0" w:line="240" w:lineRule="auto"/>
              <w:contextualSpacing/>
              <w:rPr>
                <w:b/>
                <w:bCs/>
                <w:sz w:val="20"/>
                <w:szCs w:val="20"/>
                <w:lang w:eastAsia="sk-SK"/>
              </w:rPr>
            </w:pPr>
            <w:r w:rsidRPr="00180D7C">
              <w:rPr>
                <w:b/>
                <w:bCs/>
                <w:sz w:val="20"/>
                <w:szCs w:val="20"/>
                <w:lang w:eastAsia="sk-SK"/>
              </w:rPr>
              <w:t>Spolu</w:t>
            </w:r>
          </w:p>
        </w:tc>
        <w:tc>
          <w:tcPr>
            <w:tcW w:w="56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6422D7CD" w14:textId="77777777" w:rsidR="00EA177A" w:rsidRPr="00180D7C" w:rsidRDefault="00EA177A" w:rsidP="00C704A7">
            <w:pPr>
              <w:spacing w:after="0" w:line="240" w:lineRule="auto"/>
              <w:contextualSpacing/>
              <w:jc w:val="center"/>
              <w:rPr>
                <w:b/>
                <w:bCs/>
                <w:sz w:val="20"/>
                <w:szCs w:val="20"/>
                <w:lang w:eastAsia="sk-SK"/>
              </w:rPr>
            </w:pPr>
            <w:r w:rsidRPr="00180D7C">
              <w:rPr>
                <w:b/>
                <w:bCs/>
                <w:sz w:val="20"/>
                <w:szCs w:val="20"/>
                <w:lang w:eastAsia="sk-SK"/>
              </w:rPr>
              <w:t>1</w:t>
            </w:r>
          </w:p>
        </w:tc>
        <w:tc>
          <w:tcPr>
            <w:tcW w:w="256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7BDCE22" w14:textId="77777777" w:rsidR="00EA177A" w:rsidRPr="00180D7C" w:rsidRDefault="00EA177A" w:rsidP="00C704A7">
            <w:pPr>
              <w:spacing w:after="0" w:line="240" w:lineRule="auto"/>
              <w:contextualSpacing/>
              <w:jc w:val="center"/>
              <w:rPr>
                <w:b/>
                <w:bCs/>
                <w:sz w:val="20"/>
                <w:szCs w:val="20"/>
                <w:lang w:eastAsia="sk-SK"/>
              </w:rPr>
            </w:pPr>
            <w:r w:rsidRPr="00180D7C">
              <w:rPr>
                <w:b/>
                <w:bCs/>
                <w:sz w:val="20"/>
                <w:szCs w:val="20"/>
                <w:lang w:eastAsia="sk-SK"/>
              </w:rPr>
              <w:t>2,698</w:t>
            </w:r>
          </w:p>
        </w:tc>
        <w:tc>
          <w:tcPr>
            <w:tcW w:w="55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799AF17" w14:textId="77777777" w:rsidR="00EA177A" w:rsidRPr="00180D7C" w:rsidRDefault="00EA177A" w:rsidP="00C704A7">
            <w:pPr>
              <w:spacing w:after="0" w:line="240" w:lineRule="auto"/>
              <w:contextualSpacing/>
              <w:jc w:val="center"/>
              <w:rPr>
                <w:b/>
                <w:bCs/>
                <w:sz w:val="20"/>
                <w:szCs w:val="20"/>
                <w:lang w:eastAsia="sk-SK"/>
              </w:rPr>
            </w:pPr>
            <w:r w:rsidRPr="00180D7C">
              <w:rPr>
                <w:b/>
                <w:bCs/>
                <w:sz w:val="20"/>
                <w:szCs w:val="20"/>
                <w:lang w:eastAsia="sk-SK"/>
              </w:rPr>
              <w:t>686</w:t>
            </w:r>
          </w:p>
        </w:tc>
        <w:tc>
          <w:tcPr>
            <w:tcW w:w="2269"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DDEDCCD" w14:textId="77777777" w:rsidR="00EA177A" w:rsidRPr="00180D7C" w:rsidRDefault="00EA177A" w:rsidP="00C704A7">
            <w:pPr>
              <w:spacing w:after="0" w:line="240" w:lineRule="auto"/>
              <w:contextualSpacing/>
              <w:jc w:val="center"/>
              <w:rPr>
                <w:b/>
                <w:bCs/>
                <w:sz w:val="20"/>
                <w:szCs w:val="20"/>
                <w:lang w:eastAsia="sk-SK"/>
              </w:rPr>
            </w:pPr>
            <w:r w:rsidRPr="00180D7C">
              <w:rPr>
                <w:b/>
                <w:bCs/>
                <w:sz w:val="20"/>
                <w:szCs w:val="20"/>
                <w:lang w:eastAsia="sk-SK"/>
              </w:rPr>
              <w:t>700,3</w:t>
            </w:r>
          </w:p>
        </w:tc>
        <w:tc>
          <w:tcPr>
            <w:tcW w:w="160" w:type="dxa"/>
            <w:noWrap/>
            <w:tcMar>
              <w:top w:w="0" w:type="dxa"/>
              <w:left w:w="70" w:type="dxa"/>
              <w:bottom w:w="0" w:type="dxa"/>
              <w:right w:w="70" w:type="dxa"/>
            </w:tcMar>
            <w:vAlign w:val="bottom"/>
            <w:hideMark/>
          </w:tcPr>
          <w:p w14:paraId="09C956FA" w14:textId="77777777" w:rsidR="00EA177A" w:rsidRPr="002F472F" w:rsidRDefault="00EA177A" w:rsidP="00C704A7">
            <w:pPr>
              <w:rPr>
                <w:sz w:val="18"/>
                <w:szCs w:val="18"/>
                <w:lang w:eastAsia="sk-SK"/>
              </w:rPr>
            </w:pPr>
          </w:p>
        </w:tc>
      </w:tr>
      <w:tr w:rsidR="00EA177A" w:rsidRPr="002F472F" w14:paraId="0A3AB8B7" w14:textId="77777777" w:rsidTr="0058017A">
        <w:trPr>
          <w:gridAfter w:val="1"/>
          <w:wAfter w:w="160" w:type="dxa"/>
          <w:trHeight w:val="176"/>
        </w:trPr>
        <w:tc>
          <w:tcPr>
            <w:tcW w:w="8222" w:type="dxa"/>
            <w:gridSpan w:val="5"/>
            <w:noWrap/>
            <w:tcMar>
              <w:top w:w="0" w:type="dxa"/>
              <w:left w:w="70" w:type="dxa"/>
              <w:bottom w:w="0" w:type="dxa"/>
              <w:right w:w="70" w:type="dxa"/>
            </w:tcMar>
            <w:vAlign w:val="center"/>
            <w:hideMark/>
          </w:tcPr>
          <w:p w14:paraId="6E92A116" w14:textId="185EFDF4" w:rsidR="00EA177A" w:rsidRPr="00180D7C" w:rsidRDefault="00EA177A" w:rsidP="00FC07F3">
            <w:pPr>
              <w:rPr>
                <w:sz w:val="18"/>
                <w:szCs w:val="18"/>
                <w:lang w:eastAsia="sk-SK"/>
              </w:rPr>
            </w:pPr>
            <w:r w:rsidRPr="00180D7C">
              <w:rPr>
                <w:sz w:val="18"/>
                <w:szCs w:val="18"/>
                <w:lang w:eastAsia="sk-SK"/>
              </w:rPr>
              <w:t>*Colné úrady neposkytujú úľavy a odpustenie dane v zmysle § 70 daňového poriadku                     Zdroj: FR SR</w:t>
            </w:r>
          </w:p>
        </w:tc>
      </w:tr>
    </w:tbl>
    <w:p w14:paraId="11C330DA" w14:textId="5261AE45" w:rsidR="00EA177A" w:rsidRPr="00EA177A" w:rsidRDefault="00EA177A" w:rsidP="00EA177A">
      <w:r w:rsidRPr="00A54E56">
        <w:rPr>
          <w:b/>
          <w:i/>
        </w:rPr>
        <w:t xml:space="preserve">Podrobné údaje o plnení daňových príjmov štátneho </w:t>
      </w:r>
      <w:r>
        <w:rPr>
          <w:b/>
          <w:i/>
        </w:rPr>
        <w:t>rozpočtu v roku 2019 sú uvedené</w:t>
      </w:r>
      <w:r>
        <w:rPr>
          <w:b/>
          <w:i/>
        </w:rPr>
        <w:br/>
      </w:r>
      <w:r w:rsidRPr="00A54E56">
        <w:rPr>
          <w:b/>
          <w:i/>
        </w:rPr>
        <w:t>v tab. č. 2 tabuľkovej prílohy štátneho záverečného účtu</w:t>
      </w:r>
      <w:r>
        <w:rPr>
          <w:b/>
          <w:i/>
        </w:rPr>
        <w:t>.</w:t>
      </w:r>
    </w:p>
    <w:p w14:paraId="1E6E5F9F" w14:textId="77777777" w:rsidR="00635DB0" w:rsidRDefault="00635DB0">
      <w:pPr>
        <w:spacing w:after="160" w:line="259" w:lineRule="auto"/>
        <w:jc w:val="left"/>
        <w:rPr>
          <w:rFonts w:eastAsiaTheme="majorEastAsia" w:cstheme="majorBidi"/>
          <w:b/>
          <w:szCs w:val="24"/>
        </w:rPr>
      </w:pPr>
      <w:bookmarkStart w:id="35" w:name="_Toc6415643"/>
      <w:r>
        <w:br w:type="page"/>
      </w:r>
    </w:p>
    <w:p w14:paraId="739D3CBC" w14:textId="2B98C29A" w:rsidR="008254BE" w:rsidRDefault="008254BE" w:rsidP="0058017A">
      <w:pPr>
        <w:pStyle w:val="Nadpis3"/>
      </w:pPr>
      <w:bookmarkStart w:id="36" w:name="_Toc39095174"/>
      <w:r>
        <w:t>Nedaňové príjmy</w:t>
      </w:r>
      <w:bookmarkEnd w:id="35"/>
      <w:bookmarkEnd w:id="36"/>
    </w:p>
    <w:p w14:paraId="0B68ED66" w14:textId="77777777" w:rsidR="00EA177A" w:rsidRPr="00543B3F" w:rsidRDefault="00EA177A" w:rsidP="00EA177A">
      <w:r w:rsidRPr="00EC054F">
        <w:t>Nedaňové príjmy do štátneho rozpočtu plynú najmä z vlastníctva majetku vo forme dividend, poplatkov a platieb, kapitálových príjmov z predaja dlhodobého hmotného majetku a úrokov z poskytnutých výpomocí. K 31. 12. 2019 dosiahli tieto príjmy sumu 1 327 516 tis. eur, čo predstavuje 8,3 % z celkovo dosiahnutých príjmov štátneho rozpočtu. Skutočné plnenie nedaňových príjmov predstavovalo 99,7 % rozpočtovanej hodnoty na rok 2019</w:t>
      </w:r>
      <w:r>
        <w:t xml:space="preserve">. </w:t>
      </w:r>
      <w:r w:rsidRPr="00EC054F">
        <w:t>V porovnaní s rokom 2018 sa skutočne vyinkasovaná suma nedaňových príjmov zvýšila o 115</w:t>
      </w:r>
      <w:r>
        <w:t> </w:t>
      </w:r>
      <w:r w:rsidRPr="00EC054F">
        <w:t>919</w:t>
      </w:r>
      <w:r>
        <w:t xml:space="preserve"> tis. eur, a </w:t>
      </w:r>
      <w:r w:rsidRPr="00EC054F">
        <w:t>to najmä z dôvodu vyšších príjmov z dividend o 65</w:t>
      </w:r>
      <w:r>
        <w:t> </w:t>
      </w:r>
      <w:r w:rsidRPr="00EC054F">
        <w:t>854</w:t>
      </w:r>
      <w:r>
        <w:t> tis. </w:t>
      </w:r>
      <w:r w:rsidRPr="00EC054F">
        <w:t>eur a z ost</w:t>
      </w:r>
      <w:r>
        <w:t>atných poplatkov o 37 920 tis. </w:t>
      </w:r>
      <w:r w:rsidRPr="00EC054F">
        <w:t>eur.</w:t>
      </w:r>
      <w:r w:rsidRPr="00543B3F">
        <w:t xml:space="preserve"> </w:t>
      </w:r>
    </w:p>
    <w:p w14:paraId="5368268A" w14:textId="77777777" w:rsidR="00EA177A" w:rsidRPr="001C7A23" w:rsidRDefault="00EA177A" w:rsidP="00EA177A">
      <w:pPr>
        <w:jc w:val="left"/>
      </w:pPr>
      <w:r w:rsidRPr="001C7A23">
        <w:t>Súhrnný prehľad o plnení nedaňových príjmov poskytuje nasledovná tabuľka:</w:t>
      </w:r>
    </w:p>
    <w:tbl>
      <w:tblPr>
        <w:tblW w:w="8647" w:type="dxa"/>
        <w:tblInd w:w="-10" w:type="dxa"/>
        <w:tblLayout w:type="fixed"/>
        <w:tblLook w:val="0400" w:firstRow="0" w:lastRow="0" w:firstColumn="0" w:lastColumn="0" w:noHBand="0" w:noVBand="1"/>
      </w:tblPr>
      <w:tblGrid>
        <w:gridCol w:w="2835"/>
        <w:gridCol w:w="993"/>
        <w:gridCol w:w="992"/>
        <w:gridCol w:w="992"/>
        <w:gridCol w:w="1134"/>
        <w:gridCol w:w="992"/>
        <w:gridCol w:w="709"/>
      </w:tblGrid>
      <w:tr w:rsidR="00EA177A" w:rsidRPr="00837A2D" w14:paraId="2B5AC1D6" w14:textId="77777777" w:rsidTr="00C54C4D">
        <w:trPr>
          <w:trHeight w:val="503"/>
        </w:trPr>
        <w:tc>
          <w:tcPr>
            <w:tcW w:w="8647" w:type="dxa"/>
            <w:gridSpan w:val="7"/>
            <w:tcBorders>
              <w:top w:val="nil"/>
              <w:left w:val="single" w:sz="8" w:space="0" w:color="000000"/>
              <w:bottom w:val="nil"/>
              <w:right w:val="nil"/>
            </w:tcBorders>
            <w:shd w:val="clear" w:color="auto" w:fill="000000"/>
            <w:vAlign w:val="center"/>
          </w:tcPr>
          <w:p w14:paraId="5D9B56B8" w14:textId="67669D43" w:rsidR="00EA177A" w:rsidRPr="00837A2D" w:rsidRDefault="00EA177A" w:rsidP="00635DB0">
            <w:pPr>
              <w:widowControl w:val="0"/>
              <w:spacing w:after="0" w:line="240" w:lineRule="auto"/>
              <w:jc w:val="left"/>
              <w:rPr>
                <w:rFonts w:eastAsia="Times New Roman" w:cs="Times New Roman"/>
                <w:b/>
                <w:sz w:val="18"/>
                <w:szCs w:val="18"/>
                <w:lang w:eastAsia="sk-SK"/>
              </w:rPr>
            </w:pPr>
            <w:r w:rsidRPr="00837A2D">
              <w:rPr>
                <w:rFonts w:eastAsia="Times New Roman" w:cs="Times New Roman"/>
                <w:b/>
                <w:sz w:val="18"/>
                <w:szCs w:val="18"/>
                <w:lang w:eastAsia="sk-SK"/>
              </w:rPr>
              <w:t>Nedaňové príjmy</w:t>
            </w:r>
            <w:r>
              <w:rPr>
                <w:rFonts w:eastAsia="Times New Roman" w:cs="Times New Roman"/>
                <w:b/>
                <w:sz w:val="18"/>
                <w:szCs w:val="18"/>
                <w:lang w:eastAsia="sk-SK"/>
              </w:rPr>
              <w:t xml:space="preserve">                                                                                                                                         </w:t>
            </w:r>
            <w:r w:rsidRPr="00837A2D">
              <w:rPr>
                <w:rFonts w:eastAsia="Times New Roman" w:cs="Times New Roman"/>
                <w:b/>
                <w:sz w:val="18"/>
                <w:szCs w:val="18"/>
                <w:lang w:eastAsia="sk-SK"/>
              </w:rPr>
              <w:t>v tis.</w:t>
            </w:r>
            <w:r>
              <w:rPr>
                <w:rFonts w:eastAsia="Times New Roman" w:cs="Times New Roman"/>
                <w:b/>
                <w:sz w:val="18"/>
                <w:szCs w:val="18"/>
                <w:lang w:eastAsia="sk-SK"/>
              </w:rPr>
              <w:t xml:space="preserve"> </w:t>
            </w:r>
            <w:r w:rsidRPr="00837A2D">
              <w:rPr>
                <w:rFonts w:eastAsia="Times New Roman" w:cs="Times New Roman"/>
                <w:b/>
                <w:sz w:val="18"/>
                <w:szCs w:val="18"/>
                <w:lang w:eastAsia="sk-SK"/>
              </w:rPr>
              <w:t>eur</w:t>
            </w:r>
          </w:p>
        </w:tc>
      </w:tr>
      <w:tr w:rsidR="00EA177A" w:rsidRPr="00837A2D" w14:paraId="4352D310" w14:textId="77777777" w:rsidTr="0081444E">
        <w:trPr>
          <w:trHeight w:val="320"/>
        </w:trPr>
        <w:tc>
          <w:tcPr>
            <w:tcW w:w="2835" w:type="dxa"/>
            <w:tcBorders>
              <w:top w:val="nil"/>
              <w:left w:val="nil"/>
              <w:bottom w:val="nil"/>
              <w:right w:val="nil"/>
            </w:tcBorders>
            <w:shd w:val="clear" w:color="auto" w:fill="BFBFBF"/>
            <w:vAlign w:val="center"/>
          </w:tcPr>
          <w:p w14:paraId="53CB0549" w14:textId="77777777" w:rsidR="00EA177A" w:rsidRPr="00837A2D" w:rsidRDefault="00EA177A" w:rsidP="00C704A7">
            <w:pPr>
              <w:widowControl w:val="0"/>
              <w:spacing w:after="0" w:line="240" w:lineRule="auto"/>
              <w:jc w:val="left"/>
              <w:rPr>
                <w:rFonts w:eastAsia="Times New Roman" w:cs="Times New Roman"/>
                <w:b/>
                <w:sz w:val="18"/>
                <w:szCs w:val="18"/>
                <w:lang w:eastAsia="sk-SK"/>
              </w:rPr>
            </w:pPr>
            <w:r w:rsidRPr="00837A2D">
              <w:rPr>
                <w:rFonts w:eastAsia="Times New Roman" w:cs="Times New Roman"/>
                <w:b/>
                <w:sz w:val="18"/>
                <w:szCs w:val="18"/>
                <w:lang w:eastAsia="sk-SK"/>
              </w:rPr>
              <w:t> </w:t>
            </w:r>
          </w:p>
        </w:tc>
        <w:tc>
          <w:tcPr>
            <w:tcW w:w="1985" w:type="dxa"/>
            <w:gridSpan w:val="2"/>
            <w:tcBorders>
              <w:top w:val="nil"/>
              <w:left w:val="nil"/>
              <w:bottom w:val="nil"/>
              <w:right w:val="nil"/>
            </w:tcBorders>
            <w:shd w:val="clear" w:color="auto" w:fill="BFBFBF"/>
            <w:vAlign w:val="center"/>
          </w:tcPr>
          <w:p w14:paraId="2E96937E"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Skutočnosť</w:t>
            </w:r>
          </w:p>
        </w:tc>
        <w:tc>
          <w:tcPr>
            <w:tcW w:w="992" w:type="dxa"/>
            <w:tcBorders>
              <w:top w:val="nil"/>
              <w:left w:val="nil"/>
              <w:bottom w:val="nil"/>
              <w:right w:val="nil"/>
            </w:tcBorders>
            <w:shd w:val="clear" w:color="auto" w:fill="BFBFBF"/>
            <w:vAlign w:val="center"/>
          </w:tcPr>
          <w:p w14:paraId="61A517AC"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Rozpočet</w:t>
            </w:r>
          </w:p>
        </w:tc>
        <w:tc>
          <w:tcPr>
            <w:tcW w:w="1134" w:type="dxa"/>
            <w:tcBorders>
              <w:top w:val="nil"/>
              <w:left w:val="nil"/>
              <w:bottom w:val="nil"/>
              <w:right w:val="nil"/>
            </w:tcBorders>
            <w:shd w:val="clear" w:color="auto" w:fill="BFBFBF"/>
            <w:vAlign w:val="center"/>
          </w:tcPr>
          <w:p w14:paraId="158A0597"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Skutočnosť</w:t>
            </w:r>
          </w:p>
        </w:tc>
        <w:tc>
          <w:tcPr>
            <w:tcW w:w="1701" w:type="dxa"/>
            <w:gridSpan w:val="2"/>
            <w:tcBorders>
              <w:top w:val="nil"/>
              <w:left w:val="nil"/>
              <w:bottom w:val="nil"/>
              <w:right w:val="nil"/>
            </w:tcBorders>
            <w:shd w:val="clear" w:color="auto" w:fill="BFBFBF"/>
            <w:vAlign w:val="center"/>
          </w:tcPr>
          <w:p w14:paraId="6B053F1B"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Rozdiel</w:t>
            </w:r>
          </w:p>
        </w:tc>
      </w:tr>
      <w:tr w:rsidR="00EA177A" w:rsidRPr="00837A2D" w14:paraId="38F38E9C" w14:textId="77777777" w:rsidTr="0081444E">
        <w:trPr>
          <w:trHeight w:val="320"/>
        </w:trPr>
        <w:tc>
          <w:tcPr>
            <w:tcW w:w="2835" w:type="dxa"/>
            <w:tcBorders>
              <w:top w:val="nil"/>
              <w:left w:val="nil"/>
              <w:bottom w:val="nil"/>
              <w:right w:val="nil"/>
            </w:tcBorders>
            <w:shd w:val="clear" w:color="auto" w:fill="BFBFBF"/>
            <w:vAlign w:val="center"/>
          </w:tcPr>
          <w:p w14:paraId="5B77E826"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 </w:t>
            </w:r>
          </w:p>
        </w:tc>
        <w:tc>
          <w:tcPr>
            <w:tcW w:w="993" w:type="dxa"/>
            <w:tcBorders>
              <w:top w:val="nil"/>
              <w:left w:val="nil"/>
              <w:bottom w:val="nil"/>
              <w:right w:val="nil"/>
            </w:tcBorders>
            <w:shd w:val="clear" w:color="auto" w:fill="BFBFBF"/>
            <w:vAlign w:val="center"/>
          </w:tcPr>
          <w:p w14:paraId="2211E3C1"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2017</w:t>
            </w:r>
          </w:p>
        </w:tc>
        <w:tc>
          <w:tcPr>
            <w:tcW w:w="992" w:type="dxa"/>
            <w:tcBorders>
              <w:top w:val="nil"/>
              <w:left w:val="nil"/>
              <w:bottom w:val="nil"/>
              <w:right w:val="nil"/>
            </w:tcBorders>
            <w:shd w:val="clear" w:color="auto" w:fill="BFBFBF"/>
            <w:vAlign w:val="center"/>
          </w:tcPr>
          <w:p w14:paraId="235B36CF"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2018</w:t>
            </w:r>
          </w:p>
        </w:tc>
        <w:tc>
          <w:tcPr>
            <w:tcW w:w="992" w:type="dxa"/>
            <w:tcBorders>
              <w:top w:val="nil"/>
              <w:left w:val="nil"/>
              <w:bottom w:val="nil"/>
              <w:right w:val="nil"/>
            </w:tcBorders>
            <w:shd w:val="clear" w:color="auto" w:fill="BFBFBF"/>
            <w:vAlign w:val="center"/>
          </w:tcPr>
          <w:p w14:paraId="7D5278EA"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2019</w:t>
            </w:r>
          </w:p>
        </w:tc>
        <w:tc>
          <w:tcPr>
            <w:tcW w:w="1134" w:type="dxa"/>
            <w:tcBorders>
              <w:top w:val="nil"/>
              <w:left w:val="nil"/>
              <w:bottom w:val="nil"/>
              <w:right w:val="nil"/>
            </w:tcBorders>
            <w:shd w:val="clear" w:color="auto" w:fill="BFBFBF"/>
            <w:vAlign w:val="center"/>
          </w:tcPr>
          <w:p w14:paraId="5FF5A16A"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2019</w:t>
            </w:r>
          </w:p>
        </w:tc>
        <w:tc>
          <w:tcPr>
            <w:tcW w:w="992" w:type="dxa"/>
            <w:tcBorders>
              <w:top w:val="nil"/>
              <w:left w:val="nil"/>
              <w:bottom w:val="nil"/>
              <w:right w:val="nil"/>
            </w:tcBorders>
            <w:shd w:val="clear" w:color="auto" w:fill="BFBFBF"/>
            <w:vAlign w:val="center"/>
          </w:tcPr>
          <w:p w14:paraId="6D3E5BD0"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 xml:space="preserve"> v tis. eur</w:t>
            </w:r>
          </w:p>
        </w:tc>
        <w:tc>
          <w:tcPr>
            <w:tcW w:w="709" w:type="dxa"/>
            <w:tcBorders>
              <w:top w:val="nil"/>
              <w:left w:val="nil"/>
              <w:bottom w:val="nil"/>
              <w:right w:val="nil"/>
            </w:tcBorders>
            <w:shd w:val="clear" w:color="auto" w:fill="BFBFBF"/>
            <w:vAlign w:val="center"/>
          </w:tcPr>
          <w:p w14:paraId="0C552184"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v %</w:t>
            </w:r>
          </w:p>
        </w:tc>
      </w:tr>
      <w:tr w:rsidR="00EA177A" w:rsidRPr="00837A2D" w14:paraId="50D448AB" w14:textId="77777777" w:rsidTr="0081444E">
        <w:trPr>
          <w:trHeight w:val="340"/>
        </w:trPr>
        <w:tc>
          <w:tcPr>
            <w:tcW w:w="2835" w:type="dxa"/>
            <w:tcBorders>
              <w:top w:val="nil"/>
              <w:left w:val="nil"/>
              <w:bottom w:val="single" w:sz="8" w:space="0" w:color="000000"/>
              <w:right w:val="nil"/>
            </w:tcBorders>
            <w:shd w:val="clear" w:color="auto" w:fill="BFBFBF"/>
            <w:vAlign w:val="center"/>
          </w:tcPr>
          <w:p w14:paraId="72B2BF59" w14:textId="77777777" w:rsidR="00EA177A" w:rsidRPr="00837A2D" w:rsidRDefault="00EA177A" w:rsidP="00C704A7">
            <w:pPr>
              <w:widowControl w:val="0"/>
              <w:spacing w:after="0" w:line="240" w:lineRule="auto"/>
              <w:jc w:val="left"/>
              <w:rPr>
                <w:rFonts w:eastAsia="Times New Roman" w:cs="Times New Roman"/>
                <w:b/>
                <w:sz w:val="18"/>
                <w:szCs w:val="18"/>
                <w:lang w:eastAsia="sk-SK"/>
              </w:rPr>
            </w:pPr>
            <w:r w:rsidRPr="00837A2D">
              <w:rPr>
                <w:rFonts w:eastAsia="Times New Roman" w:cs="Times New Roman"/>
                <w:b/>
                <w:sz w:val="18"/>
                <w:szCs w:val="18"/>
                <w:lang w:eastAsia="sk-SK"/>
              </w:rPr>
              <w:t> </w:t>
            </w:r>
          </w:p>
        </w:tc>
        <w:tc>
          <w:tcPr>
            <w:tcW w:w="993" w:type="dxa"/>
            <w:tcBorders>
              <w:top w:val="nil"/>
              <w:left w:val="nil"/>
              <w:bottom w:val="single" w:sz="8" w:space="0" w:color="000000"/>
              <w:right w:val="nil"/>
            </w:tcBorders>
            <w:shd w:val="clear" w:color="auto" w:fill="BFBFBF"/>
            <w:vAlign w:val="center"/>
          </w:tcPr>
          <w:p w14:paraId="4E63C0E0"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1</w:t>
            </w:r>
          </w:p>
        </w:tc>
        <w:tc>
          <w:tcPr>
            <w:tcW w:w="992" w:type="dxa"/>
            <w:tcBorders>
              <w:top w:val="nil"/>
              <w:left w:val="nil"/>
              <w:bottom w:val="single" w:sz="8" w:space="0" w:color="000000"/>
              <w:right w:val="nil"/>
            </w:tcBorders>
            <w:shd w:val="clear" w:color="auto" w:fill="BFBFBF"/>
            <w:vAlign w:val="center"/>
          </w:tcPr>
          <w:p w14:paraId="63EB41D7"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2</w:t>
            </w:r>
          </w:p>
        </w:tc>
        <w:tc>
          <w:tcPr>
            <w:tcW w:w="992" w:type="dxa"/>
            <w:tcBorders>
              <w:top w:val="nil"/>
              <w:left w:val="nil"/>
              <w:bottom w:val="single" w:sz="8" w:space="0" w:color="000000"/>
              <w:right w:val="nil"/>
            </w:tcBorders>
            <w:shd w:val="clear" w:color="auto" w:fill="BFBFBF"/>
            <w:vAlign w:val="center"/>
          </w:tcPr>
          <w:p w14:paraId="5349C798"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3</w:t>
            </w:r>
          </w:p>
        </w:tc>
        <w:tc>
          <w:tcPr>
            <w:tcW w:w="1134" w:type="dxa"/>
            <w:tcBorders>
              <w:top w:val="nil"/>
              <w:left w:val="nil"/>
              <w:bottom w:val="single" w:sz="8" w:space="0" w:color="000000"/>
              <w:right w:val="nil"/>
            </w:tcBorders>
            <w:shd w:val="clear" w:color="auto" w:fill="BFBFBF"/>
            <w:vAlign w:val="center"/>
          </w:tcPr>
          <w:p w14:paraId="507B0109"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4</w:t>
            </w:r>
          </w:p>
        </w:tc>
        <w:tc>
          <w:tcPr>
            <w:tcW w:w="992" w:type="dxa"/>
            <w:tcBorders>
              <w:top w:val="nil"/>
              <w:left w:val="nil"/>
              <w:bottom w:val="single" w:sz="8" w:space="0" w:color="000000"/>
              <w:right w:val="nil"/>
            </w:tcBorders>
            <w:shd w:val="clear" w:color="auto" w:fill="BFBFBF"/>
            <w:vAlign w:val="center"/>
          </w:tcPr>
          <w:p w14:paraId="19E3A8EA"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5=4-3</w:t>
            </w:r>
          </w:p>
        </w:tc>
        <w:tc>
          <w:tcPr>
            <w:tcW w:w="709" w:type="dxa"/>
            <w:tcBorders>
              <w:top w:val="nil"/>
              <w:left w:val="nil"/>
              <w:bottom w:val="single" w:sz="8" w:space="0" w:color="000000"/>
              <w:right w:val="nil"/>
            </w:tcBorders>
            <w:shd w:val="clear" w:color="auto" w:fill="BFBFBF"/>
            <w:vAlign w:val="center"/>
          </w:tcPr>
          <w:p w14:paraId="4DD3C909" w14:textId="77777777" w:rsidR="00EA177A" w:rsidRPr="00837A2D" w:rsidRDefault="00EA177A" w:rsidP="00C704A7">
            <w:pPr>
              <w:widowControl w:val="0"/>
              <w:spacing w:after="0" w:line="240" w:lineRule="auto"/>
              <w:jc w:val="center"/>
              <w:rPr>
                <w:rFonts w:eastAsia="Times New Roman" w:cs="Times New Roman"/>
                <w:b/>
                <w:sz w:val="18"/>
                <w:szCs w:val="18"/>
                <w:lang w:eastAsia="sk-SK"/>
              </w:rPr>
            </w:pPr>
            <w:r w:rsidRPr="00837A2D">
              <w:rPr>
                <w:rFonts w:eastAsia="Times New Roman" w:cs="Times New Roman"/>
                <w:b/>
                <w:sz w:val="18"/>
                <w:szCs w:val="18"/>
                <w:lang w:eastAsia="sk-SK"/>
              </w:rPr>
              <w:t>6=4-3</w:t>
            </w:r>
          </w:p>
        </w:tc>
      </w:tr>
      <w:tr w:rsidR="00EA177A" w:rsidRPr="00837A2D" w14:paraId="5194952A" w14:textId="77777777" w:rsidTr="0081444E">
        <w:trPr>
          <w:trHeight w:val="320"/>
        </w:trPr>
        <w:tc>
          <w:tcPr>
            <w:tcW w:w="2835" w:type="dxa"/>
            <w:tcBorders>
              <w:top w:val="nil"/>
              <w:left w:val="nil"/>
              <w:bottom w:val="nil"/>
              <w:right w:val="nil"/>
            </w:tcBorders>
            <w:shd w:val="clear" w:color="auto" w:fill="FFFFFF"/>
            <w:vAlign w:val="center"/>
          </w:tcPr>
          <w:p w14:paraId="7AF49F42"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Príjmy z podnikania a z vlastníctva majetku</w:t>
            </w:r>
          </w:p>
        </w:tc>
        <w:tc>
          <w:tcPr>
            <w:tcW w:w="993" w:type="dxa"/>
            <w:tcBorders>
              <w:top w:val="nil"/>
              <w:left w:val="nil"/>
              <w:bottom w:val="nil"/>
              <w:right w:val="nil"/>
            </w:tcBorders>
            <w:shd w:val="clear" w:color="auto" w:fill="FFFFFF"/>
            <w:vAlign w:val="center"/>
          </w:tcPr>
          <w:p w14:paraId="158EB0B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612 030</w:t>
            </w:r>
          </w:p>
        </w:tc>
        <w:tc>
          <w:tcPr>
            <w:tcW w:w="992" w:type="dxa"/>
            <w:tcBorders>
              <w:top w:val="nil"/>
              <w:left w:val="nil"/>
              <w:bottom w:val="nil"/>
              <w:right w:val="nil"/>
            </w:tcBorders>
            <w:shd w:val="clear" w:color="auto" w:fill="FFFFFF"/>
            <w:vAlign w:val="center"/>
          </w:tcPr>
          <w:p w14:paraId="1E1D711C"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451 113</w:t>
            </w:r>
          </w:p>
        </w:tc>
        <w:tc>
          <w:tcPr>
            <w:tcW w:w="992" w:type="dxa"/>
            <w:tcBorders>
              <w:top w:val="nil"/>
              <w:left w:val="nil"/>
              <w:bottom w:val="nil"/>
              <w:right w:val="nil"/>
            </w:tcBorders>
            <w:shd w:val="clear" w:color="auto" w:fill="FFFFFF"/>
            <w:vAlign w:val="center"/>
          </w:tcPr>
          <w:p w14:paraId="6A890DD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443 659</w:t>
            </w:r>
          </w:p>
        </w:tc>
        <w:tc>
          <w:tcPr>
            <w:tcW w:w="1134" w:type="dxa"/>
            <w:tcBorders>
              <w:top w:val="nil"/>
              <w:left w:val="nil"/>
              <w:bottom w:val="nil"/>
              <w:right w:val="nil"/>
            </w:tcBorders>
            <w:shd w:val="clear" w:color="auto" w:fill="BFBFBF"/>
            <w:vAlign w:val="center"/>
          </w:tcPr>
          <w:p w14:paraId="26E50D0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516 837</w:t>
            </w:r>
          </w:p>
        </w:tc>
        <w:tc>
          <w:tcPr>
            <w:tcW w:w="992" w:type="dxa"/>
            <w:tcBorders>
              <w:top w:val="nil"/>
              <w:left w:val="nil"/>
              <w:bottom w:val="nil"/>
              <w:right w:val="nil"/>
            </w:tcBorders>
            <w:shd w:val="clear" w:color="auto" w:fill="FFFFFF"/>
            <w:vAlign w:val="center"/>
          </w:tcPr>
          <w:p w14:paraId="3C31C585"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73 178</w:t>
            </w:r>
          </w:p>
        </w:tc>
        <w:tc>
          <w:tcPr>
            <w:tcW w:w="709" w:type="dxa"/>
            <w:tcBorders>
              <w:top w:val="nil"/>
              <w:left w:val="nil"/>
              <w:bottom w:val="nil"/>
              <w:right w:val="nil"/>
            </w:tcBorders>
            <w:shd w:val="clear" w:color="auto" w:fill="FFFFFF"/>
            <w:vAlign w:val="center"/>
          </w:tcPr>
          <w:p w14:paraId="5C736272"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16,5</w:t>
            </w:r>
          </w:p>
        </w:tc>
      </w:tr>
      <w:tr w:rsidR="00EA177A" w:rsidRPr="00837A2D" w14:paraId="36D6120D" w14:textId="77777777" w:rsidTr="0081444E">
        <w:trPr>
          <w:trHeight w:val="320"/>
        </w:trPr>
        <w:tc>
          <w:tcPr>
            <w:tcW w:w="2835" w:type="dxa"/>
            <w:tcBorders>
              <w:top w:val="nil"/>
              <w:left w:val="nil"/>
              <w:bottom w:val="nil"/>
              <w:right w:val="nil"/>
            </w:tcBorders>
            <w:shd w:val="clear" w:color="auto" w:fill="FFFFFF"/>
            <w:vAlign w:val="center"/>
          </w:tcPr>
          <w:p w14:paraId="4C2B5FB9"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v tom: dividendy</w:t>
            </w:r>
          </w:p>
        </w:tc>
        <w:tc>
          <w:tcPr>
            <w:tcW w:w="993" w:type="dxa"/>
            <w:tcBorders>
              <w:top w:val="nil"/>
              <w:left w:val="nil"/>
              <w:bottom w:val="nil"/>
              <w:right w:val="nil"/>
            </w:tcBorders>
            <w:shd w:val="clear" w:color="auto" w:fill="FFFFFF"/>
            <w:vAlign w:val="center"/>
          </w:tcPr>
          <w:p w14:paraId="3704128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599 068</w:t>
            </w:r>
          </w:p>
        </w:tc>
        <w:tc>
          <w:tcPr>
            <w:tcW w:w="992" w:type="dxa"/>
            <w:tcBorders>
              <w:top w:val="nil"/>
              <w:left w:val="nil"/>
              <w:bottom w:val="nil"/>
              <w:right w:val="nil"/>
            </w:tcBorders>
            <w:shd w:val="clear" w:color="auto" w:fill="FFFFFF"/>
            <w:vAlign w:val="center"/>
          </w:tcPr>
          <w:p w14:paraId="3247821C"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438 596</w:t>
            </w:r>
          </w:p>
        </w:tc>
        <w:tc>
          <w:tcPr>
            <w:tcW w:w="992" w:type="dxa"/>
            <w:tcBorders>
              <w:top w:val="nil"/>
              <w:left w:val="nil"/>
              <w:bottom w:val="nil"/>
              <w:right w:val="nil"/>
            </w:tcBorders>
            <w:shd w:val="clear" w:color="auto" w:fill="FFFFFF"/>
            <w:vAlign w:val="center"/>
          </w:tcPr>
          <w:p w14:paraId="7C57476E"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432 701</w:t>
            </w:r>
          </w:p>
        </w:tc>
        <w:tc>
          <w:tcPr>
            <w:tcW w:w="1134" w:type="dxa"/>
            <w:tcBorders>
              <w:top w:val="nil"/>
              <w:left w:val="nil"/>
              <w:bottom w:val="nil"/>
              <w:right w:val="nil"/>
            </w:tcBorders>
            <w:shd w:val="clear" w:color="auto" w:fill="BFBFBF"/>
            <w:vAlign w:val="center"/>
          </w:tcPr>
          <w:p w14:paraId="3B5C504E"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504 450</w:t>
            </w:r>
          </w:p>
        </w:tc>
        <w:tc>
          <w:tcPr>
            <w:tcW w:w="992" w:type="dxa"/>
            <w:tcBorders>
              <w:top w:val="nil"/>
              <w:left w:val="nil"/>
              <w:bottom w:val="nil"/>
              <w:right w:val="nil"/>
            </w:tcBorders>
            <w:shd w:val="clear" w:color="auto" w:fill="FFFFFF"/>
            <w:vAlign w:val="center"/>
          </w:tcPr>
          <w:p w14:paraId="5F81983A"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71 749</w:t>
            </w:r>
          </w:p>
        </w:tc>
        <w:tc>
          <w:tcPr>
            <w:tcW w:w="709" w:type="dxa"/>
            <w:tcBorders>
              <w:top w:val="nil"/>
              <w:left w:val="nil"/>
              <w:bottom w:val="nil"/>
              <w:right w:val="nil"/>
            </w:tcBorders>
            <w:shd w:val="clear" w:color="auto" w:fill="FFFFFF"/>
            <w:vAlign w:val="center"/>
          </w:tcPr>
          <w:p w14:paraId="09B9C56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16,6</w:t>
            </w:r>
          </w:p>
        </w:tc>
      </w:tr>
      <w:tr w:rsidR="00EA177A" w:rsidRPr="00837A2D" w14:paraId="48A53422" w14:textId="77777777" w:rsidTr="0081444E">
        <w:trPr>
          <w:trHeight w:val="320"/>
        </w:trPr>
        <w:tc>
          <w:tcPr>
            <w:tcW w:w="2835" w:type="dxa"/>
            <w:tcBorders>
              <w:top w:val="nil"/>
              <w:left w:val="nil"/>
              <w:bottom w:val="nil"/>
              <w:right w:val="nil"/>
            </w:tcBorders>
            <w:shd w:val="clear" w:color="auto" w:fill="FFFFFF"/>
            <w:vAlign w:val="center"/>
          </w:tcPr>
          <w:p w14:paraId="4D7F4135" w14:textId="77777777" w:rsidR="00EA177A" w:rsidRPr="00837A2D" w:rsidRDefault="00EA177A" w:rsidP="00C704A7">
            <w:pPr>
              <w:widowControl w:val="0"/>
              <w:spacing w:after="0" w:line="240" w:lineRule="auto"/>
              <w:jc w:val="left"/>
              <w:rPr>
                <w:rFonts w:eastAsia="Times New Roman" w:cs="Times New Roman"/>
                <w:sz w:val="18"/>
                <w:szCs w:val="18"/>
                <w:lang w:eastAsia="sk-SK"/>
              </w:rPr>
            </w:pPr>
            <w:proofErr w:type="spellStart"/>
            <w:r w:rsidRPr="00837A2D">
              <w:rPr>
                <w:rFonts w:eastAsia="Times New Roman" w:cs="Times New Roman"/>
                <w:sz w:val="18"/>
                <w:szCs w:val="18"/>
                <w:lang w:eastAsia="sk-SK"/>
              </w:rPr>
              <w:t>Adminis</w:t>
            </w:r>
            <w:proofErr w:type="spellEnd"/>
            <w:r>
              <w:rPr>
                <w:rFonts w:eastAsia="Times New Roman" w:cs="Times New Roman"/>
                <w:sz w:val="18"/>
                <w:szCs w:val="18"/>
                <w:lang w:eastAsia="sk-SK"/>
              </w:rPr>
              <w:t>.</w:t>
            </w:r>
            <w:r w:rsidRPr="00837A2D">
              <w:rPr>
                <w:rFonts w:eastAsia="Times New Roman" w:cs="Times New Roman"/>
                <w:sz w:val="18"/>
                <w:szCs w:val="18"/>
                <w:lang w:eastAsia="sk-SK"/>
              </w:rPr>
              <w:t xml:space="preserve"> poplatky a iné poplatky a platby</w:t>
            </w:r>
          </w:p>
        </w:tc>
        <w:tc>
          <w:tcPr>
            <w:tcW w:w="993" w:type="dxa"/>
            <w:tcBorders>
              <w:top w:val="nil"/>
              <w:left w:val="nil"/>
              <w:bottom w:val="nil"/>
              <w:right w:val="nil"/>
            </w:tcBorders>
            <w:shd w:val="clear" w:color="auto" w:fill="FFFFFF"/>
            <w:vAlign w:val="center"/>
          </w:tcPr>
          <w:p w14:paraId="25F568D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365 884</w:t>
            </w:r>
          </w:p>
        </w:tc>
        <w:tc>
          <w:tcPr>
            <w:tcW w:w="992" w:type="dxa"/>
            <w:tcBorders>
              <w:top w:val="nil"/>
              <w:left w:val="nil"/>
              <w:bottom w:val="nil"/>
              <w:right w:val="nil"/>
            </w:tcBorders>
            <w:shd w:val="clear" w:color="auto" w:fill="FFFFFF"/>
            <w:vAlign w:val="center"/>
          </w:tcPr>
          <w:p w14:paraId="52C3F119"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345 641</w:t>
            </w:r>
          </w:p>
        </w:tc>
        <w:tc>
          <w:tcPr>
            <w:tcW w:w="992" w:type="dxa"/>
            <w:tcBorders>
              <w:top w:val="nil"/>
              <w:left w:val="nil"/>
              <w:bottom w:val="nil"/>
              <w:right w:val="nil"/>
            </w:tcBorders>
            <w:shd w:val="clear" w:color="auto" w:fill="FFFFFF"/>
            <w:vAlign w:val="center"/>
          </w:tcPr>
          <w:p w14:paraId="420522A0"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416 714</w:t>
            </w:r>
          </w:p>
        </w:tc>
        <w:tc>
          <w:tcPr>
            <w:tcW w:w="1134" w:type="dxa"/>
            <w:tcBorders>
              <w:top w:val="nil"/>
              <w:left w:val="nil"/>
              <w:bottom w:val="nil"/>
              <w:right w:val="nil"/>
            </w:tcBorders>
            <w:shd w:val="clear" w:color="auto" w:fill="BFBFBF"/>
            <w:vAlign w:val="center"/>
          </w:tcPr>
          <w:p w14:paraId="5A0E261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386 557</w:t>
            </w:r>
          </w:p>
        </w:tc>
        <w:tc>
          <w:tcPr>
            <w:tcW w:w="992" w:type="dxa"/>
            <w:tcBorders>
              <w:top w:val="nil"/>
              <w:left w:val="nil"/>
              <w:bottom w:val="nil"/>
              <w:right w:val="nil"/>
            </w:tcBorders>
            <w:shd w:val="clear" w:color="auto" w:fill="FFFFFF"/>
            <w:vAlign w:val="center"/>
          </w:tcPr>
          <w:p w14:paraId="6BD85BFB"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-30 157</w:t>
            </w:r>
          </w:p>
        </w:tc>
        <w:tc>
          <w:tcPr>
            <w:tcW w:w="709" w:type="dxa"/>
            <w:tcBorders>
              <w:top w:val="nil"/>
              <w:left w:val="nil"/>
              <w:bottom w:val="nil"/>
              <w:right w:val="nil"/>
            </w:tcBorders>
            <w:shd w:val="clear" w:color="auto" w:fill="FFFFFF"/>
            <w:vAlign w:val="center"/>
          </w:tcPr>
          <w:p w14:paraId="664D9049"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-7,2</w:t>
            </w:r>
          </w:p>
        </w:tc>
      </w:tr>
      <w:tr w:rsidR="00EA177A" w:rsidRPr="00837A2D" w14:paraId="76F1A29B" w14:textId="77777777" w:rsidTr="0081444E">
        <w:trPr>
          <w:trHeight w:val="320"/>
        </w:trPr>
        <w:tc>
          <w:tcPr>
            <w:tcW w:w="2835" w:type="dxa"/>
            <w:tcBorders>
              <w:top w:val="nil"/>
              <w:left w:val="nil"/>
              <w:bottom w:val="nil"/>
              <w:right w:val="nil"/>
            </w:tcBorders>
            <w:shd w:val="clear" w:color="auto" w:fill="FFFFFF"/>
            <w:vAlign w:val="center"/>
          </w:tcPr>
          <w:p w14:paraId="04CDE09C"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v tom: ostatné poplatky</w:t>
            </w:r>
          </w:p>
        </w:tc>
        <w:tc>
          <w:tcPr>
            <w:tcW w:w="993" w:type="dxa"/>
            <w:tcBorders>
              <w:top w:val="nil"/>
              <w:left w:val="nil"/>
              <w:bottom w:val="nil"/>
              <w:right w:val="nil"/>
            </w:tcBorders>
            <w:shd w:val="clear" w:color="auto" w:fill="FFFFFF"/>
            <w:vAlign w:val="center"/>
          </w:tcPr>
          <w:p w14:paraId="692E757E"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216 665</w:t>
            </w:r>
          </w:p>
        </w:tc>
        <w:tc>
          <w:tcPr>
            <w:tcW w:w="992" w:type="dxa"/>
            <w:tcBorders>
              <w:top w:val="nil"/>
              <w:left w:val="nil"/>
              <w:bottom w:val="nil"/>
              <w:right w:val="nil"/>
            </w:tcBorders>
            <w:shd w:val="clear" w:color="auto" w:fill="FFFFFF"/>
            <w:vAlign w:val="center"/>
          </w:tcPr>
          <w:p w14:paraId="365E652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224 022</w:t>
            </w:r>
          </w:p>
        </w:tc>
        <w:tc>
          <w:tcPr>
            <w:tcW w:w="992" w:type="dxa"/>
            <w:tcBorders>
              <w:top w:val="nil"/>
              <w:left w:val="nil"/>
              <w:bottom w:val="nil"/>
              <w:right w:val="nil"/>
            </w:tcBorders>
            <w:shd w:val="clear" w:color="auto" w:fill="FFFFFF"/>
            <w:vAlign w:val="center"/>
          </w:tcPr>
          <w:p w14:paraId="5E5B3EBD"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283 656</w:t>
            </w:r>
          </w:p>
        </w:tc>
        <w:tc>
          <w:tcPr>
            <w:tcW w:w="1134" w:type="dxa"/>
            <w:tcBorders>
              <w:top w:val="nil"/>
              <w:left w:val="nil"/>
              <w:bottom w:val="nil"/>
              <w:right w:val="nil"/>
            </w:tcBorders>
            <w:shd w:val="clear" w:color="auto" w:fill="BFBFBF"/>
            <w:vAlign w:val="center"/>
          </w:tcPr>
          <w:p w14:paraId="6D82D3FD"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261 942</w:t>
            </w:r>
          </w:p>
        </w:tc>
        <w:tc>
          <w:tcPr>
            <w:tcW w:w="992" w:type="dxa"/>
            <w:tcBorders>
              <w:top w:val="nil"/>
              <w:left w:val="nil"/>
              <w:bottom w:val="nil"/>
              <w:right w:val="nil"/>
            </w:tcBorders>
            <w:shd w:val="clear" w:color="auto" w:fill="FFFFFF"/>
            <w:vAlign w:val="center"/>
          </w:tcPr>
          <w:p w14:paraId="4F0B905D"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-21 714</w:t>
            </w:r>
          </w:p>
        </w:tc>
        <w:tc>
          <w:tcPr>
            <w:tcW w:w="709" w:type="dxa"/>
            <w:tcBorders>
              <w:top w:val="nil"/>
              <w:left w:val="nil"/>
              <w:bottom w:val="nil"/>
              <w:right w:val="nil"/>
            </w:tcBorders>
            <w:shd w:val="clear" w:color="auto" w:fill="FFFFFF"/>
            <w:vAlign w:val="center"/>
          </w:tcPr>
          <w:p w14:paraId="09AE1894"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-7,7</w:t>
            </w:r>
          </w:p>
        </w:tc>
      </w:tr>
      <w:tr w:rsidR="00EA177A" w:rsidRPr="00837A2D" w14:paraId="4B89180A" w14:textId="77777777" w:rsidTr="0081444E">
        <w:trPr>
          <w:trHeight w:val="320"/>
        </w:trPr>
        <w:tc>
          <w:tcPr>
            <w:tcW w:w="2835" w:type="dxa"/>
            <w:tcBorders>
              <w:top w:val="nil"/>
              <w:left w:val="nil"/>
              <w:bottom w:val="nil"/>
              <w:right w:val="nil"/>
            </w:tcBorders>
            <w:shd w:val="clear" w:color="auto" w:fill="FFFFFF"/>
            <w:vAlign w:val="center"/>
          </w:tcPr>
          <w:p w14:paraId="2EF80108"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 xml:space="preserve">     pokuty, penále a iné sankcie </w:t>
            </w:r>
          </w:p>
        </w:tc>
        <w:tc>
          <w:tcPr>
            <w:tcW w:w="993" w:type="dxa"/>
            <w:tcBorders>
              <w:top w:val="nil"/>
              <w:left w:val="nil"/>
              <w:bottom w:val="nil"/>
              <w:right w:val="nil"/>
            </w:tcBorders>
            <w:shd w:val="clear" w:color="auto" w:fill="FFFFFF"/>
            <w:vAlign w:val="center"/>
          </w:tcPr>
          <w:p w14:paraId="7B4C58F5"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81 535</w:t>
            </w:r>
          </w:p>
        </w:tc>
        <w:tc>
          <w:tcPr>
            <w:tcW w:w="992" w:type="dxa"/>
            <w:tcBorders>
              <w:top w:val="nil"/>
              <w:left w:val="nil"/>
              <w:bottom w:val="nil"/>
              <w:right w:val="nil"/>
            </w:tcBorders>
            <w:shd w:val="clear" w:color="auto" w:fill="FFFFFF"/>
            <w:vAlign w:val="center"/>
          </w:tcPr>
          <w:p w14:paraId="3AFDB307"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68 147</w:t>
            </w:r>
          </w:p>
        </w:tc>
        <w:tc>
          <w:tcPr>
            <w:tcW w:w="992" w:type="dxa"/>
            <w:tcBorders>
              <w:top w:val="nil"/>
              <w:left w:val="nil"/>
              <w:bottom w:val="nil"/>
              <w:right w:val="nil"/>
            </w:tcBorders>
            <w:shd w:val="clear" w:color="auto" w:fill="FFFFFF"/>
            <w:vAlign w:val="center"/>
          </w:tcPr>
          <w:p w14:paraId="31C9EF7B"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74 374</w:t>
            </w:r>
          </w:p>
        </w:tc>
        <w:tc>
          <w:tcPr>
            <w:tcW w:w="1134" w:type="dxa"/>
            <w:tcBorders>
              <w:top w:val="nil"/>
              <w:left w:val="nil"/>
              <w:bottom w:val="nil"/>
              <w:right w:val="nil"/>
            </w:tcBorders>
            <w:shd w:val="clear" w:color="auto" w:fill="BFBFBF"/>
            <w:vAlign w:val="center"/>
          </w:tcPr>
          <w:p w14:paraId="2AF516A7"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67 163</w:t>
            </w:r>
          </w:p>
        </w:tc>
        <w:tc>
          <w:tcPr>
            <w:tcW w:w="992" w:type="dxa"/>
            <w:tcBorders>
              <w:top w:val="nil"/>
              <w:left w:val="nil"/>
              <w:bottom w:val="nil"/>
              <w:right w:val="nil"/>
            </w:tcBorders>
            <w:shd w:val="clear" w:color="auto" w:fill="FFFFFF"/>
            <w:vAlign w:val="center"/>
          </w:tcPr>
          <w:p w14:paraId="1772DDC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-7 211</w:t>
            </w:r>
          </w:p>
        </w:tc>
        <w:tc>
          <w:tcPr>
            <w:tcW w:w="709" w:type="dxa"/>
            <w:tcBorders>
              <w:top w:val="nil"/>
              <w:left w:val="nil"/>
              <w:bottom w:val="nil"/>
              <w:right w:val="nil"/>
            </w:tcBorders>
            <w:shd w:val="clear" w:color="auto" w:fill="FFFFFF"/>
            <w:vAlign w:val="center"/>
          </w:tcPr>
          <w:p w14:paraId="2CB23431"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-9,7</w:t>
            </w:r>
          </w:p>
        </w:tc>
      </w:tr>
      <w:tr w:rsidR="00EA177A" w:rsidRPr="00837A2D" w14:paraId="07247A19" w14:textId="77777777" w:rsidTr="0081444E">
        <w:trPr>
          <w:trHeight w:val="320"/>
        </w:trPr>
        <w:tc>
          <w:tcPr>
            <w:tcW w:w="2835" w:type="dxa"/>
            <w:tcBorders>
              <w:top w:val="nil"/>
              <w:left w:val="nil"/>
              <w:bottom w:val="nil"/>
              <w:right w:val="nil"/>
            </w:tcBorders>
            <w:shd w:val="clear" w:color="auto" w:fill="FFFFFF"/>
            <w:vAlign w:val="center"/>
          </w:tcPr>
          <w:p w14:paraId="656C021C"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 xml:space="preserve">     poplatky a platby z </w:t>
            </w:r>
            <w:proofErr w:type="spellStart"/>
            <w:r w:rsidRPr="00837A2D">
              <w:rPr>
                <w:rFonts w:eastAsia="Times New Roman" w:cs="Times New Roman"/>
                <w:sz w:val="18"/>
                <w:szCs w:val="18"/>
                <w:lang w:eastAsia="sk-SK"/>
              </w:rPr>
              <w:t>nepr</w:t>
            </w:r>
            <w:proofErr w:type="spellEnd"/>
            <w:r w:rsidRPr="00837A2D">
              <w:rPr>
                <w:rFonts w:eastAsia="Times New Roman" w:cs="Times New Roman"/>
                <w:sz w:val="18"/>
                <w:szCs w:val="18"/>
                <w:lang w:eastAsia="sk-SK"/>
              </w:rPr>
              <w:t>. a náhod. predaja</w:t>
            </w:r>
          </w:p>
        </w:tc>
        <w:tc>
          <w:tcPr>
            <w:tcW w:w="993" w:type="dxa"/>
            <w:tcBorders>
              <w:top w:val="nil"/>
              <w:left w:val="nil"/>
              <w:bottom w:val="nil"/>
              <w:right w:val="nil"/>
            </w:tcBorders>
            <w:shd w:val="clear" w:color="auto" w:fill="FFFFFF"/>
            <w:vAlign w:val="center"/>
          </w:tcPr>
          <w:p w14:paraId="7B99DB2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66 974</w:t>
            </w:r>
          </w:p>
        </w:tc>
        <w:tc>
          <w:tcPr>
            <w:tcW w:w="992" w:type="dxa"/>
            <w:tcBorders>
              <w:top w:val="nil"/>
              <w:left w:val="nil"/>
              <w:bottom w:val="nil"/>
              <w:right w:val="nil"/>
            </w:tcBorders>
            <w:shd w:val="clear" w:color="auto" w:fill="FFFFFF"/>
            <w:vAlign w:val="center"/>
          </w:tcPr>
          <w:p w14:paraId="5878CE4A"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52 627</w:t>
            </w:r>
          </w:p>
        </w:tc>
        <w:tc>
          <w:tcPr>
            <w:tcW w:w="992" w:type="dxa"/>
            <w:tcBorders>
              <w:top w:val="nil"/>
              <w:left w:val="nil"/>
              <w:bottom w:val="nil"/>
              <w:right w:val="nil"/>
            </w:tcBorders>
            <w:shd w:val="clear" w:color="auto" w:fill="FFFFFF"/>
            <w:vAlign w:val="center"/>
          </w:tcPr>
          <w:p w14:paraId="2D8EE16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57 976</w:t>
            </w:r>
          </w:p>
        </w:tc>
        <w:tc>
          <w:tcPr>
            <w:tcW w:w="1134" w:type="dxa"/>
            <w:tcBorders>
              <w:top w:val="nil"/>
              <w:left w:val="nil"/>
              <w:bottom w:val="nil"/>
              <w:right w:val="nil"/>
            </w:tcBorders>
            <w:shd w:val="clear" w:color="auto" w:fill="BFBFBF"/>
            <w:vAlign w:val="center"/>
          </w:tcPr>
          <w:p w14:paraId="5D69CAD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56 372</w:t>
            </w:r>
          </w:p>
        </w:tc>
        <w:tc>
          <w:tcPr>
            <w:tcW w:w="992" w:type="dxa"/>
            <w:tcBorders>
              <w:top w:val="nil"/>
              <w:left w:val="nil"/>
              <w:bottom w:val="nil"/>
              <w:right w:val="nil"/>
            </w:tcBorders>
            <w:shd w:val="clear" w:color="auto" w:fill="FFFFFF"/>
            <w:vAlign w:val="center"/>
          </w:tcPr>
          <w:p w14:paraId="3E976A34"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-1 604</w:t>
            </w:r>
          </w:p>
        </w:tc>
        <w:tc>
          <w:tcPr>
            <w:tcW w:w="709" w:type="dxa"/>
            <w:tcBorders>
              <w:top w:val="nil"/>
              <w:left w:val="nil"/>
              <w:bottom w:val="nil"/>
              <w:right w:val="nil"/>
            </w:tcBorders>
            <w:shd w:val="clear" w:color="auto" w:fill="FFFFFF"/>
            <w:vAlign w:val="center"/>
          </w:tcPr>
          <w:p w14:paraId="51D22D6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-2,8</w:t>
            </w:r>
          </w:p>
        </w:tc>
      </w:tr>
      <w:tr w:rsidR="00EA177A" w:rsidRPr="00837A2D" w14:paraId="15FA3015" w14:textId="77777777" w:rsidTr="0081444E">
        <w:trPr>
          <w:trHeight w:val="320"/>
        </w:trPr>
        <w:tc>
          <w:tcPr>
            <w:tcW w:w="2835" w:type="dxa"/>
            <w:tcBorders>
              <w:top w:val="nil"/>
              <w:left w:val="nil"/>
              <w:bottom w:val="nil"/>
              <w:right w:val="nil"/>
            </w:tcBorders>
            <w:shd w:val="clear" w:color="auto" w:fill="FFFFFF"/>
            <w:vAlign w:val="center"/>
          </w:tcPr>
          <w:p w14:paraId="1D6CD4F8"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Kapitálové príjmy</w:t>
            </w:r>
          </w:p>
        </w:tc>
        <w:tc>
          <w:tcPr>
            <w:tcW w:w="993" w:type="dxa"/>
            <w:tcBorders>
              <w:top w:val="nil"/>
              <w:left w:val="nil"/>
              <w:bottom w:val="nil"/>
              <w:right w:val="nil"/>
            </w:tcBorders>
            <w:shd w:val="clear" w:color="auto" w:fill="FFFFFF"/>
            <w:vAlign w:val="center"/>
          </w:tcPr>
          <w:p w14:paraId="7332F74C"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11 748</w:t>
            </w:r>
          </w:p>
        </w:tc>
        <w:tc>
          <w:tcPr>
            <w:tcW w:w="992" w:type="dxa"/>
            <w:tcBorders>
              <w:top w:val="nil"/>
              <w:left w:val="nil"/>
              <w:bottom w:val="nil"/>
              <w:right w:val="nil"/>
            </w:tcBorders>
            <w:shd w:val="clear" w:color="auto" w:fill="FFFFFF"/>
            <w:vAlign w:val="center"/>
          </w:tcPr>
          <w:p w14:paraId="05460A3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10 630</w:t>
            </w:r>
          </w:p>
        </w:tc>
        <w:tc>
          <w:tcPr>
            <w:tcW w:w="992" w:type="dxa"/>
            <w:tcBorders>
              <w:top w:val="nil"/>
              <w:left w:val="nil"/>
              <w:bottom w:val="nil"/>
              <w:right w:val="nil"/>
            </w:tcBorders>
            <w:shd w:val="clear" w:color="auto" w:fill="FFFFFF"/>
            <w:vAlign w:val="center"/>
          </w:tcPr>
          <w:p w14:paraId="6B0266CC"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52 691</w:t>
            </w:r>
          </w:p>
        </w:tc>
        <w:tc>
          <w:tcPr>
            <w:tcW w:w="1134" w:type="dxa"/>
            <w:tcBorders>
              <w:top w:val="nil"/>
              <w:left w:val="nil"/>
              <w:bottom w:val="nil"/>
              <w:right w:val="nil"/>
            </w:tcBorders>
            <w:shd w:val="clear" w:color="auto" w:fill="BFBFBF"/>
            <w:vAlign w:val="center"/>
          </w:tcPr>
          <w:p w14:paraId="562E8E41"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11 959</w:t>
            </w:r>
          </w:p>
        </w:tc>
        <w:tc>
          <w:tcPr>
            <w:tcW w:w="992" w:type="dxa"/>
            <w:tcBorders>
              <w:top w:val="nil"/>
              <w:left w:val="nil"/>
              <w:bottom w:val="nil"/>
              <w:right w:val="nil"/>
            </w:tcBorders>
            <w:shd w:val="clear" w:color="auto" w:fill="FFFFFF"/>
            <w:vAlign w:val="center"/>
          </w:tcPr>
          <w:p w14:paraId="53142E0D"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-40 732</w:t>
            </w:r>
          </w:p>
        </w:tc>
        <w:tc>
          <w:tcPr>
            <w:tcW w:w="709" w:type="dxa"/>
            <w:tcBorders>
              <w:top w:val="nil"/>
              <w:left w:val="nil"/>
              <w:bottom w:val="nil"/>
              <w:right w:val="nil"/>
            </w:tcBorders>
            <w:shd w:val="clear" w:color="auto" w:fill="FFFFFF"/>
            <w:vAlign w:val="center"/>
          </w:tcPr>
          <w:p w14:paraId="48378BC7"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-77,3</w:t>
            </w:r>
          </w:p>
        </w:tc>
      </w:tr>
      <w:tr w:rsidR="00EA177A" w:rsidRPr="00837A2D" w14:paraId="3989D377" w14:textId="77777777" w:rsidTr="0081444E">
        <w:trPr>
          <w:trHeight w:val="480"/>
        </w:trPr>
        <w:tc>
          <w:tcPr>
            <w:tcW w:w="2835" w:type="dxa"/>
            <w:tcBorders>
              <w:top w:val="nil"/>
              <w:left w:val="nil"/>
              <w:bottom w:val="nil"/>
              <w:right w:val="nil"/>
            </w:tcBorders>
            <w:shd w:val="clear" w:color="auto" w:fill="FFFFFF"/>
            <w:vAlign w:val="center"/>
          </w:tcPr>
          <w:p w14:paraId="3A13407D"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Úroky z tuzemských a zahraničných úverov, pôžičiek,</w:t>
            </w:r>
            <w:r>
              <w:rPr>
                <w:rFonts w:eastAsia="Times New Roman" w:cs="Times New Roman"/>
                <w:sz w:val="18"/>
                <w:szCs w:val="18"/>
                <w:lang w:eastAsia="sk-SK"/>
              </w:rPr>
              <w:t xml:space="preserve"> </w:t>
            </w:r>
            <w:r w:rsidRPr="00837A2D">
              <w:rPr>
                <w:rFonts w:eastAsia="Times New Roman" w:cs="Times New Roman"/>
                <w:sz w:val="18"/>
                <w:szCs w:val="18"/>
                <w:lang w:eastAsia="sk-SK"/>
              </w:rPr>
              <w:t>NFV</w:t>
            </w:r>
          </w:p>
        </w:tc>
        <w:tc>
          <w:tcPr>
            <w:tcW w:w="993" w:type="dxa"/>
            <w:tcBorders>
              <w:top w:val="nil"/>
              <w:left w:val="nil"/>
              <w:bottom w:val="nil"/>
              <w:right w:val="nil"/>
            </w:tcBorders>
            <w:shd w:val="clear" w:color="auto" w:fill="FFFFFF"/>
            <w:vAlign w:val="center"/>
          </w:tcPr>
          <w:p w14:paraId="0F9DD15B"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28 619</w:t>
            </w:r>
          </w:p>
        </w:tc>
        <w:tc>
          <w:tcPr>
            <w:tcW w:w="992" w:type="dxa"/>
            <w:tcBorders>
              <w:top w:val="nil"/>
              <w:left w:val="nil"/>
              <w:bottom w:val="nil"/>
              <w:right w:val="nil"/>
            </w:tcBorders>
            <w:shd w:val="clear" w:color="auto" w:fill="FFFFFF"/>
            <w:vAlign w:val="center"/>
          </w:tcPr>
          <w:p w14:paraId="347550A6"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8 050</w:t>
            </w:r>
          </w:p>
        </w:tc>
        <w:tc>
          <w:tcPr>
            <w:tcW w:w="992" w:type="dxa"/>
            <w:tcBorders>
              <w:top w:val="nil"/>
              <w:left w:val="nil"/>
              <w:bottom w:val="nil"/>
              <w:right w:val="nil"/>
            </w:tcBorders>
            <w:shd w:val="clear" w:color="auto" w:fill="FFFFFF"/>
            <w:vAlign w:val="center"/>
          </w:tcPr>
          <w:p w14:paraId="13A3B9D0"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6 754</w:t>
            </w:r>
          </w:p>
        </w:tc>
        <w:tc>
          <w:tcPr>
            <w:tcW w:w="1134" w:type="dxa"/>
            <w:tcBorders>
              <w:top w:val="nil"/>
              <w:left w:val="nil"/>
              <w:bottom w:val="nil"/>
              <w:right w:val="nil"/>
            </w:tcBorders>
            <w:shd w:val="clear" w:color="auto" w:fill="BFBFBF"/>
            <w:vAlign w:val="center"/>
          </w:tcPr>
          <w:p w14:paraId="0B1C1B4F"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7 632</w:t>
            </w:r>
          </w:p>
        </w:tc>
        <w:tc>
          <w:tcPr>
            <w:tcW w:w="992" w:type="dxa"/>
            <w:tcBorders>
              <w:top w:val="nil"/>
              <w:left w:val="nil"/>
              <w:bottom w:val="nil"/>
              <w:right w:val="nil"/>
            </w:tcBorders>
            <w:shd w:val="clear" w:color="auto" w:fill="FFFFFF"/>
            <w:vAlign w:val="center"/>
          </w:tcPr>
          <w:p w14:paraId="505068C2"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878</w:t>
            </w:r>
          </w:p>
        </w:tc>
        <w:tc>
          <w:tcPr>
            <w:tcW w:w="709" w:type="dxa"/>
            <w:tcBorders>
              <w:top w:val="nil"/>
              <w:left w:val="nil"/>
              <w:bottom w:val="nil"/>
              <w:right w:val="nil"/>
            </w:tcBorders>
            <w:shd w:val="clear" w:color="auto" w:fill="FFFFFF"/>
            <w:vAlign w:val="center"/>
          </w:tcPr>
          <w:p w14:paraId="37CFCA1F"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13,0</w:t>
            </w:r>
          </w:p>
        </w:tc>
      </w:tr>
      <w:tr w:rsidR="00EA177A" w:rsidRPr="00837A2D" w14:paraId="405D7350" w14:textId="77777777" w:rsidTr="0081444E">
        <w:trPr>
          <w:trHeight w:val="320"/>
        </w:trPr>
        <w:tc>
          <w:tcPr>
            <w:tcW w:w="2835" w:type="dxa"/>
            <w:tcBorders>
              <w:top w:val="nil"/>
              <w:left w:val="nil"/>
              <w:bottom w:val="nil"/>
              <w:right w:val="nil"/>
            </w:tcBorders>
            <w:shd w:val="clear" w:color="auto" w:fill="FFFFFF"/>
            <w:vAlign w:val="center"/>
          </w:tcPr>
          <w:p w14:paraId="77824BA7"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Iné nedaňové príjmy</w:t>
            </w:r>
          </w:p>
        </w:tc>
        <w:tc>
          <w:tcPr>
            <w:tcW w:w="993" w:type="dxa"/>
            <w:tcBorders>
              <w:top w:val="nil"/>
              <w:left w:val="nil"/>
              <w:bottom w:val="nil"/>
              <w:right w:val="nil"/>
            </w:tcBorders>
            <w:shd w:val="clear" w:color="auto" w:fill="FFFFFF"/>
            <w:vAlign w:val="center"/>
          </w:tcPr>
          <w:p w14:paraId="5C9D3430"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367 176</w:t>
            </w:r>
          </w:p>
        </w:tc>
        <w:tc>
          <w:tcPr>
            <w:tcW w:w="992" w:type="dxa"/>
            <w:tcBorders>
              <w:top w:val="nil"/>
              <w:left w:val="nil"/>
              <w:bottom w:val="nil"/>
              <w:right w:val="nil"/>
            </w:tcBorders>
            <w:shd w:val="clear" w:color="auto" w:fill="FFFFFF"/>
            <w:vAlign w:val="center"/>
          </w:tcPr>
          <w:p w14:paraId="15E7EC4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396 163</w:t>
            </w:r>
          </w:p>
        </w:tc>
        <w:tc>
          <w:tcPr>
            <w:tcW w:w="992" w:type="dxa"/>
            <w:tcBorders>
              <w:top w:val="nil"/>
              <w:left w:val="nil"/>
              <w:bottom w:val="nil"/>
              <w:right w:val="nil"/>
            </w:tcBorders>
            <w:shd w:val="clear" w:color="auto" w:fill="FFFFFF"/>
            <w:vAlign w:val="center"/>
          </w:tcPr>
          <w:p w14:paraId="7D604DA2"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411 527</w:t>
            </w:r>
          </w:p>
        </w:tc>
        <w:tc>
          <w:tcPr>
            <w:tcW w:w="1134" w:type="dxa"/>
            <w:tcBorders>
              <w:top w:val="nil"/>
              <w:left w:val="nil"/>
              <w:bottom w:val="nil"/>
              <w:right w:val="nil"/>
            </w:tcBorders>
            <w:shd w:val="clear" w:color="auto" w:fill="BFBFBF"/>
            <w:vAlign w:val="center"/>
          </w:tcPr>
          <w:p w14:paraId="728F4AFE"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404 531</w:t>
            </w:r>
          </w:p>
        </w:tc>
        <w:tc>
          <w:tcPr>
            <w:tcW w:w="992" w:type="dxa"/>
            <w:tcBorders>
              <w:top w:val="nil"/>
              <w:left w:val="nil"/>
              <w:bottom w:val="nil"/>
              <w:right w:val="nil"/>
            </w:tcBorders>
            <w:shd w:val="clear" w:color="auto" w:fill="FFFFFF"/>
            <w:vAlign w:val="center"/>
          </w:tcPr>
          <w:p w14:paraId="7E3CD7F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-6 996</w:t>
            </w:r>
          </w:p>
        </w:tc>
        <w:tc>
          <w:tcPr>
            <w:tcW w:w="709" w:type="dxa"/>
            <w:tcBorders>
              <w:top w:val="nil"/>
              <w:left w:val="nil"/>
              <w:bottom w:val="nil"/>
              <w:right w:val="nil"/>
            </w:tcBorders>
            <w:shd w:val="clear" w:color="auto" w:fill="FFFFFF"/>
            <w:vAlign w:val="center"/>
          </w:tcPr>
          <w:p w14:paraId="7F3571D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-1,7</w:t>
            </w:r>
          </w:p>
        </w:tc>
      </w:tr>
      <w:tr w:rsidR="00EA177A" w:rsidRPr="00837A2D" w14:paraId="0524AF45" w14:textId="77777777" w:rsidTr="0081444E">
        <w:trPr>
          <w:trHeight w:val="320"/>
        </w:trPr>
        <w:tc>
          <w:tcPr>
            <w:tcW w:w="2835" w:type="dxa"/>
            <w:tcBorders>
              <w:top w:val="nil"/>
              <w:left w:val="nil"/>
              <w:bottom w:val="nil"/>
              <w:right w:val="nil"/>
            </w:tcBorders>
            <w:shd w:val="clear" w:color="auto" w:fill="FFFFFF"/>
            <w:vAlign w:val="center"/>
          </w:tcPr>
          <w:p w14:paraId="5C1DAA0A"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sidRPr="00837A2D">
              <w:rPr>
                <w:rFonts w:eastAsia="Times New Roman" w:cs="Times New Roman"/>
                <w:sz w:val="18"/>
                <w:szCs w:val="18"/>
                <w:lang w:eastAsia="sk-SK"/>
              </w:rPr>
              <w:t>v tom: odvod z hazardných hier</w:t>
            </w:r>
          </w:p>
        </w:tc>
        <w:tc>
          <w:tcPr>
            <w:tcW w:w="993" w:type="dxa"/>
            <w:tcBorders>
              <w:top w:val="nil"/>
              <w:left w:val="nil"/>
              <w:bottom w:val="nil"/>
              <w:right w:val="nil"/>
            </w:tcBorders>
            <w:shd w:val="clear" w:color="auto" w:fill="FFFFFF"/>
            <w:vAlign w:val="center"/>
          </w:tcPr>
          <w:p w14:paraId="791123A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208 178</w:t>
            </w:r>
          </w:p>
        </w:tc>
        <w:tc>
          <w:tcPr>
            <w:tcW w:w="992" w:type="dxa"/>
            <w:tcBorders>
              <w:top w:val="nil"/>
              <w:left w:val="nil"/>
              <w:bottom w:val="nil"/>
              <w:right w:val="nil"/>
            </w:tcBorders>
            <w:shd w:val="clear" w:color="auto" w:fill="FFFFFF"/>
            <w:vAlign w:val="center"/>
          </w:tcPr>
          <w:p w14:paraId="21911489"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224 374</w:t>
            </w:r>
          </w:p>
        </w:tc>
        <w:tc>
          <w:tcPr>
            <w:tcW w:w="992" w:type="dxa"/>
            <w:tcBorders>
              <w:top w:val="nil"/>
              <w:left w:val="nil"/>
              <w:bottom w:val="nil"/>
              <w:right w:val="nil"/>
            </w:tcBorders>
            <w:shd w:val="clear" w:color="auto" w:fill="FFFFFF"/>
            <w:vAlign w:val="center"/>
          </w:tcPr>
          <w:p w14:paraId="55CD8A09"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259 110</w:t>
            </w:r>
          </w:p>
        </w:tc>
        <w:tc>
          <w:tcPr>
            <w:tcW w:w="1134" w:type="dxa"/>
            <w:tcBorders>
              <w:top w:val="nil"/>
              <w:left w:val="nil"/>
              <w:bottom w:val="nil"/>
              <w:right w:val="nil"/>
            </w:tcBorders>
            <w:shd w:val="clear" w:color="auto" w:fill="BFBFBF"/>
            <w:vAlign w:val="center"/>
          </w:tcPr>
          <w:p w14:paraId="493552EF"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248 924</w:t>
            </w:r>
          </w:p>
        </w:tc>
        <w:tc>
          <w:tcPr>
            <w:tcW w:w="992" w:type="dxa"/>
            <w:tcBorders>
              <w:top w:val="nil"/>
              <w:left w:val="nil"/>
              <w:bottom w:val="nil"/>
              <w:right w:val="nil"/>
            </w:tcBorders>
            <w:shd w:val="clear" w:color="auto" w:fill="FFFFFF"/>
            <w:vAlign w:val="center"/>
          </w:tcPr>
          <w:p w14:paraId="1DBB8899"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-10 186</w:t>
            </w:r>
          </w:p>
        </w:tc>
        <w:tc>
          <w:tcPr>
            <w:tcW w:w="709" w:type="dxa"/>
            <w:tcBorders>
              <w:top w:val="nil"/>
              <w:left w:val="nil"/>
              <w:bottom w:val="nil"/>
              <w:right w:val="nil"/>
            </w:tcBorders>
            <w:shd w:val="clear" w:color="auto" w:fill="FFFFFF"/>
            <w:vAlign w:val="center"/>
          </w:tcPr>
          <w:p w14:paraId="3E740D08"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-3,9</w:t>
            </w:r>
          </w:p>
        </w:tc>
      </w:tr>
      <w:tr w:rsidR="00EA177A" w:rsidRPr="00837A2D" w14:paraId="4CF4411A" w14:textId="77777777" w:rsidTr="0081444E">
        <w:trPr>
          <w:trHeight w:val="320"/>
        </w:trPr>
        <w:tc>
          <w:tcPr>
            <w:tcW w:w="2835" w:type="dxa"/>
            <w:tcBorders>
              <w:top w:val="nil"/>
              <w:left w:val="nil"/>
              <w:bottom w:val="nil"/>
              <w:right w:val="nil"/>
            </w:tcBorders>
            <w:shd w:val="clear" w:color="auto" w:fill="FFFFFF"/>
            <w:vAlign w:val="center"/>
          </w:tcPr>
          <w:p w14:paraId="6B64A8DB" w14:textId="77777777" w:rsidR="00EA177A" w:rsidRPr="00837A2D" w:rsidRDefault="00EA177A" w:rsidP="00C704A7">
            <w:pPr>
              <w:widowControl w:val="0"/>
              <w:spacing w:after="0" w:line="240" w:lineRule="auto"/>
              <w:jc w:val="left"/>
              <w:rPr>
                <w:rFonts w:eastAsia="Times New Roman" w:cs="Times New Roman"/>
                <w:sz w:val="18"/>
                <w:szCs w:val="18"/>
                <w:lang w:eastAsia="sk-SK"/>
              </w:rPr>
            </w:pPr>
            <w:r>
              <w:rPr>
                <w:rFonts w:eastAsia="Times New Roman" w:cs="Times New Roman"/>
                <w:sz w:val="18"/>
                <w:szCs w:val="18"/>
                <w:lang w:eastAsia="sk-SK"/>
              </w:rPr>
              <w:t xml:space="preserve">     </w:t>
            </w:r>
            <w:r w:rsidRPr="00837A2D">
              <w:rPr>
                <w:rFonts w:eastAsia="Times New Roman" w:cs="Times New Roman"/>
                <w:sz w:val="18"/>
                <w:szCs w:val="18"/>
                <w:lang w:eastAsia="sk-SK"/>
              </w:rPr>
              <w:t>ostatné príjmy - iné</w:t>
            </w:r>
          </w:p>
        </w:tc>
        <w:tc>
          <w:tcPr>
            <w:tcW w:w="993" w:type="dxa"/>
            <w:tcBorders>
              <w:top w:val="nil"/>
              <w:left w:val="nil"/>
              <w:bottom w:val="nil"/>
              <w:right w:val="nil"/>
            </w:tcBorders>
            <w:shd w:val="clear" w:color="auto" w:fill="FFFFFF"/>
            <w:vAlign w:val="center"/>
          </w:tcPr>
          <w:p w14:paraId="0FAEBBA5"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97 938</w:t>
            </w:r>
          </w:p>
        </w:tc>
        <w:tc>
          <w:tcPr>
            <w:tcW w:w="992" w:type="dxa"/>
            <w:tcBorders>
              <w:top w:val="nil"/>
              <w:left w:val="nil"/>
              <w:bottom w:val="nil"/>
              <w:right w:val="nil"/>
            </w:tcBorders>
            <w:shd w:val="clear" w:color="auto" w:fill="FFFFFF"/>
            <w:vAlign w:val="center"/>
          </w:tcPr>
          <w:p w14:paraId="3D61539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96 002</w:t>
            </w:r>
          </w:p>
        </w:tc>
        <w:tc>
          <w:tcPr>
            <w:tcW w:w="992" w:type="dxa"/>
            <w:tcBorders>
              <w:top w:val="nil"/>
              <w:left w:val="nil"/>
              <w:bottom w:val="nil"/>
              <w:right w:val="nil"/>
            </w:tcBorders>
            <w:shd w:val="clear" w:color="auto" w:fill="FFFFFF"/>
            <w:vAlign w:val="center"/>
          </w:tcPr>
          <w:p w14:paraId="59D015CD"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124 680</w:t>
            </w:r>
          </w:p>
        </w:tc>
        <w:tc>
          <w:tcPr>
            <w:tcW w:w="1134" w:type="dxa"/>
            <w:tcBorders>
              <w:top w:val="nil"/>
              <w:left w:val="nil"/>
              <w:bottom w:val="nil"/>
              <w:right w:val="nil"/>
            </w:tcBorders>
            <w:shd w:val="clear" w:color="auto" w:fill="BFBFBF"/>
            <w:vAlign w:val="center"/>
          </w:tcPr>
          <w:p w14:paraId="1EE14CCA"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97 756</w:t>
            </w:r>
          </w:p>
        </w:tc>
        <w:tc>
          <w:tcPr>
            <w:tcW w:w="992" w:type="dxa"/>
            <w:tcBorders>
              <w:top w:val="nil"/>
              <w:left w:val="nil"/>
              <w:bottom w:val="nil"/>
              <w:right w:val="nil"/>
            </w:tcBorders>
            <w:shd w:val="clear" w:color="auto" w:fill="FFFFFF"/>
            <w:vAlign w:val="center"/>
          </w:tcPr>
          <w:p w14:paraId="444BA9C3"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-26 924</w:t>
            </w:r>
          </w:p>
        </w:tc>
        <w:tc>
          <w:tcPr>
            <w:tcW w:w="709" w:type="dxa"/>
            <w:tcBorders>
              <w:top w:val="nil"/>
              <w:left w:val="nil"/>
              <w:bottom w:val="nil"/>
              <w:right w:val="nil"/>
            </w:tcBorders>
            <w:shd w:val="clear" w:color="auto" w:fill="FFFFFF"/>
            <w:vAlign w:val="center"/>
          </w:tcPr>
          <w:p w14:paraId="25BC8984" w14:textId="77777777" w:rsidR="00EA177A" w:rsidRPr="00837A2D" w:rsidRDefault="00EA177A" w:rsidP="00C704A7">
            <w:pPr>
              <w:widowControl w:val="0"/>
              <w:spacing w:after="0" w:line="240" w:lineRule="auto"/>
              <w:jc w:val="right"/>
              <w:rPr>
                <w:rFonts w:eastAsia="Times New Roman" w:cs="Times New Roman"/>
                <w:sz w:val="18"/>
                <w:szCs w:val="18"/>
                <w:lang w:eastAsia="sk-SK"/>
              </w:rPr>
            </w:pPr>
            <w:r w:rsidRPr="00837A2D">
              <w:rPr>
                <w:rFonts w:eastAsia="Times New Roman" w:cs="Times New Roman"/>
                <w:sz w:val="18"/>
                <w:szCs w:val="18"/>
                <w:lang w:eastAsia="sk-SK"/>
              </w:rPr>
              <w:t>-21,6</w:t>
            </w:r>
          </w:p>
        </w:tc>
      </w:tr>
      <w:tr w:rsidR="00EA177A" w:rsidRPr="00837A2D" w14:paraId="7D862DC8" w14:textId="77777777" w:rsidTr="0081444E">
        <w:trPr>
          <w:trHeight w:val="340"/>
        </w:trPr>
        <w:tc>
          <w:tcPr>
            <w:tcW w:w="2835" w:type="dxa"/>
            <w:tcBorders>
              <w:top w:val="single" w:sz="4" w:space="0" w:color="000000"/>
              <w:left w:val="nil"/>
              <w:bottom w:val="single" w:sz="8" w:space="0" w:color="000000"/>
              <w:right w:val="nil"/>
            </w:tcBorders>
            <w:shd w:val="clear" w:color="auto" w:fill="FFFFFF"/>
            <w:vAlign w:val="center"/>
          </w:tcPr>
          <w:p w14:paraId="51726C78" w14:textId="77777777" w:rsidR="00EA177A" w:rsidRPr="00837A2D" w:rsidRDefault="00EA177A" w:rsidP="00C704A7">
            <w:pPr>
              <w:widowControl w:val="0"/>
              <w:spacing w:after="0" w:line="240" w:lineRule="auto"/>
              <w:jc w:val="left"/>
              <w:rPr>
                <w:rFonts w:eastAsia="Times New Roman" w:cs="Times New Roman"/>
                <w:b/>
                <w:sz w:val="18"/>
                <w:szCs w:val="18"/>
                <w:lang w:eastAsia="sk-SK"/>
              </w:rPr>
            </w:pPr>
            <w:r w:rsidRPr="00837A2D">
              <w:rPr>
                <w:rFonts w:eastAsia="Times New Roman" w:cs="Times New Roman"/>
                <w:b/>
                <w:sz w:val="18"/>
                <w:szCs w:val="18"/>
                <w:lang w:eastAsia="sk-SK"/>
              </w:rPr>
              <w:t>Spolu</w:t>
            </w:r>
          </w:p>
        </w:tc>
        <w:tc>
          <w:tcPr>
            <w:tcW w:w="993" w:type="dxa"/>
            <w:tcBorders>
              <w:top w:val="single" w:sz="4" w:space="0" w:color="000000"/>
              <w:left w:val="nil"/>
              <w:bottom w:val="single" w:sz="8" w:space="0" w:color="000000"/>
              <w:right w:val="nil"/>
            </w:tcBorders>
            <w:shd w:val="clear" w:color="auto" w:fill="FFFFFF"/>
            <w:vAlign w:val="center"/>
          </w:tcPr>
          <w:p w14:paraId="2DB81242" w14:textId="77777777" w:rsidR="00EA177A" w:rsidRPr="00837A2D" w:rsidRDefault="00EA177A" w:rsidP="00C704A7">
            <w:pPr>
              <w:widowControl w:val="0"/>
              <w:spacing w:after="0" w:line="240" w:lineRule="auto"/>
              <w:jc w:val="right"/>
              <w:rPr>
                <w:rFonts w:eastAsia="Times New Roman" w:cs="Times New Roman"/>
                <w:b/>
                <w:sz w:val="18"/>
                <w:szCs w:val="18"/>
                <w:lang w:eastAsia="sk-SK"/>
              </w:rPr>
            </w:pPr>
            <w:r w:rsidRPr="00837A2D">
              <w:rPr>
                <w:rFonts w:eastAsia="Times New Roman" w:cs="Times New Roman"/>
                <w:b/>
                <w:sz w:val="18"/>
                <w:szCs w:val="18"/>
                <w:lang w:eastAsia="sk-SK"/>
              </w:rPr>
              <w:t>1 385 457</w:t>
            </w:r>
          </w:p>
        </w:tc>
        <w:tc>
          <w:tcPr>
            <w:tcW w:w="992" w:type="dxa"/>
            <w:tcBorders>
              <w:top w:val="single" w:sz="4" w:space="0" w:color="000000"/>
              <w:left w:val="nil"/>
              <w:bottom w:val="single" w:sz="8" w:space="0" w:color="000000"/>
              <w:right w:val="nil"/>
            </w:tcBorders>
            <w:shd w:val="clear" w:color="auto" w:fill="FFFFFF"/>
            <w:vAlign w:val="center"/>
          </w:tcPr>
          <w:p w14:paraId="09A13F94" w14:textId="77777777" w:rsidR="00EA177A" w:rsidRPr="00837A2D" w:rsidRDefault="00EA177A" w:rsidP="00C704A7">
            <w:pPr>
              <w:widowControl w:val="0"/>
              <w:spacing w:after="0" w:line="240" w:lineRule="auto"/>
              <w:jc w:val="right"/>
              <w:rPr>
                <w:rFonts w:eastAsia="Times New Roman" w:cs="Times New Roman"/>
                <w:b/>
                <w:sz w:val="18"/>
                <w:szCs w:val="18"/>
                <w:lang w:eastAsia="sk-SK"/>
              </w:rPr>
            </w:pPr>
            <w:r w:rsidRPr="00837A2D">
              <w:rPr>
                <w:rFonts w:eastAsia="Times New Roman" w:cs="Times New Roman"/>
                <w:b/>
                <w:sz w:val="18"/>
                <w:szCs w:val="18"/>
                <w:lang w:eastAsia="sk-SK"/>
              </w:rPr>
              <w:t>1 211 597</w:t>
            </w:r>
          </w:p>
        </w:tc>
        <w:tc>
          <w:tcPr>
            <w:tcW w:w="992" w:type="dxa"/>
            <w:tcBorders>
              <w:top w:val="single" w:sz="4" w:space="0" w:color="000000"/>
              <w:left w:val="nil"/>
              <w:bottom w:val="single" w:sz="8" w:space="0" w:color="000000"/>
              <w:right w:val="nil"/>
            </w:tcBorders>
            <w:shd w:val="clear" w:color="auto" w:fill="FFFFFF"/>
            <w:vAlign w:val="center"/>
          </w:tcPr>
          <w:p w14:paraId="0A10BCD4" w14:textId="77777777" w:rsidR="00EA177A" w:rsidRPr="00837A2D" w:rsidRDefault="00EA177A" w:rsidP="00C704A7">
            <w:pPr>
              <w:widowControl w:val="0"/>
              <w:spacing w:after="0" w:line="240" w:lineRule="auto"/>
              <w:jc w:val="right"/>
              <w:rPr>
                <w:rFonts w:eastAsia="Times New Roman" w:cs="Times New Roman"/>
                <w:b/>
                <w:sz w:val="18"/>
                <w:szCs w:val="18"/>
                <w:lang w:eastAsia="sk-SK"/>
              </w:rPr>
            </w:pPr>
            <w:r w:rsidRPr="00837A2D">
              <w:rPr>
                <w:rFonts w:eastAsia="Times New Roman" w:cs="Times New Roman"/>
                <w:b/>
                <w:sz w:val="18"/>
                <w:szCs w:val="18"/>
                <w:lang w:eastAsia="sk-SK"/>
              </w:rPr>
              <w:t>1 331 345</w:t>
            </w:r>
          </w:p>
        </w:tc>
        <w:tc>
          <w:tcPr>
            <w:tcW w:w="1134" w:type="dxa"/>
            <w:tcBorders>
              <w:top w:val="single" w:sz="4" w:space="0" w:color="000000"/>
              <w:left w:val="nil"/>
              <w:bottom w:val="single" w:sz="8" w:space="0" w:color="000000"/>
              <w:right w:val="nil"/>
            </w:tcBorders>
            <w:shd w:val="clear" w:color="auto" w:fill="BFBFBF"/>
            <w:vAlign w:val="center"/>
          </w:tcPr>
          <w:p w14:paraId="3F28BD00" w14:textId="77777777" w:rsidR="00EA177A" w:rsidRPr="00837A2D" w:rsidRDefault="00EA177A" w:rsidP="00C704A7">
            <w:pPr>
              <w:widowControl w:val="0"/>
              <w:spacing w:after="0" w:line="240" w:lineRule="auto"/>
              <w:jc w:val="right"/>
              <w:rPr>
                <w:rFonts w:eastAsia="Times New Roman" w:cs="Times New Roman"/>
                <w:b/>
                <w:sz w:val="18"/>
                <w:szCs w:val="18"/>
                <w:lang w:eastAsia="sk-SK"/>
              </w:rPr>
            </w:pPr>
            <w:r w:rsidRPr="00837A2D">
              <w:rPr>
                <w:rFonts w:eastAsia="Times New Roman" w:cs="Times New Roman"/>
                <w:b/>
                <w:sz w:val="18"/>
                <w:szCs w:val="18"/>
                <w:lang w:eastAsia="sk-SK"/>
              </w:rPr>
              <w:t>1 327 516</w:t>
            </w:r>
          </w:p>
        </w:tc>
        <w:tc>
          <w:tcPr>
            <w:tcW w:w="992" w:type="dxa"/>
            <w:tcBorders>
              <w:top w:val="single" w:sz="4" w:space="0" w:color="000000"/>
              <w:left w:val="nil"/>
              <w:bottom w:val="single" w:sz="8" w:space="0" w:color="000000"/>
              <w:right w:val="nil"/>
            </w:tcBorders>
            <w:shd w:val="clear" w:color="auto" w:fill="FFFFFF"/>
            <w:vAlign w:val="center"/>
          </w:tcPr>
          <w:p w14:paraId="18E77461" w14:textId="77777777" w:rsidR="00EA177A" w:rsidRPr="00837A2D" w:rsidRDefault="00EA177A" w:rsidP="00C704A7">
            <w:pPr>
              <w:widowControl w:val="0"/>
              <w:spacing w:after="0" w:line="240" w:lineRule="auto"/>
              <w:jc w:val="right"/>
              <w:rPr>
                <w:rFonts w:eastAsia="Times New Roman" w:cs="Times New Roman"/>
                <w:b/>
                <w:sz w:val="18"/>
                <w:szCs w:val="18"/>
                <w:lang w:eastAsia="sk-SK"/>
              </w:rPr>
            </w:pPr>
            <w:r w:rsidRPr="00837A2D">
              <w:rPr>
                <w:rFonts w:eastAsia="Times New Roman" w:cs="Times New Roman"/>
                <w:b/>
                <w:sz w:val="18"/>
                <w:szCs w:val="18"/>
                <w:lang w:eastAsia="sk-SK"/>
              </w:rPr>
              <w:t>-3 829</w:t>
            </w:r>
          </w:p>
        </w:tc>
        <w:tc>
          <w:tcPr>
            <w:tcW w:w="709" w:type="dxa"/>
            <w:tcBorders>
              <w:top w:val="single" w:sz="4" w:space="0" w:color="000000"/>
              <w:left w:val="nil"/>
              <w:bottom w:val="single" w:sz="8" w:space="0" w:color="000000"/>
              <w:right w:val="nil"/>
            </w:tcBorders>
            <w:shd w:val="clear" w:color="auto" w:fill="FFFFFF"/>
            <w:vAlign w:val="center"/>
          </w:tcPr>
          <w:p w14:paraId="02687CBE" w14:textId="77777777" w:rsidR="00EA177A" w:rsidRPr="00837A2D" w:rsidRDefault="00EA177A" w:rsidP="00C704A7">
            <w:pPr>
              <w:widowControl w:val="0"/>
              <w:spacing w:after="0" w:line="240" w:lineRule="auto"/>
              <w:jc w:val="right"/>
              <w:rPr>
                <w:rFonts w:eastAsia="Times New Roman" w:cs="Times New Roman"/>
                <w:b/>
                <w:sz w:val="18"/>
                <w:szCs w:val="18"/>
                <w:lang w:eastAsia="sk-SK"/>
              </w:rPr>
            </w:pPr>
            <w:r w:rsidRPr="00837A2D">
              <w:rPr>
                <w:rFonts w:eastAsia="Times New Roman" w:cs="Times New Roman"/>
                <w:b/>
                <w:sz w:val="18"/>
                <w:szCs w:val="18"/>
                <w:lang w:eastAsia="sk-SK"/>
              </w:rPr>
              <w:t>-0,3</w:t>
            </w:r>
          </w:p>
        </w:tc>
      </w:tr>
    </w:tbl>
    <w:p w14:paraId="1F974AAC" w14:textId="5C298577" w:rsidR="00EA177A" w:rsidRPr="001C7A23" w:rsidRDefault="0081444E" w:rsidP="00EA177A">
      <w:pPr>
        <w:ind w:left="7080"/>
      </w:pPr>
      <w:r>
        <w:rPr>
          <w:sz w:val="18"/>
          <w:szCs w:val="18"/>
        </w:rPr>
        <w:t xml:space="preserve">        </w:t>
      </w:r>
      <w:r w:rsidR="00EA177A" w:rsidRPr="001C7A23">
        <w:rPr>
          <w:sz w:val="18"/>
          <w:szCs w:val="18"/>
        </w:rPr>
        <w:t>Zdroj: MF SR</w:t>
      </w:r>
    </w:p>
    <w:p w14:paraId="0A185A04" w14:textId="77777777" w:rsidR="00EA177A" w:rsidRPr="001C7A23" w:rsidRDefault="00EA177A" w:rsidP="00EA177A">
      <w:pPr>
        <w:tabs>
          <w:tab w:val="left" w:pos="284"/>
        </w:tabs>
        <w:spacing w:line="384" w:lineRule="auto"/>
      </w:pPr>
      <w:r w:rsidRPr="001C7A23">
        <w:rPr>
          <w:b/>
        </w:rPr>
        <w:t>Príjmy z podnikania a z vlastníctva majetku</w:t>
      </w:r>
      <w:r w:rsidRPr="001C7A23">
        <w:t xml:space="preserve"> sú svojou výškou najdôležitejšou časťou nedaňových príjmov. Z tejto sumy najpodstatnejšiu časť tvoria </w:t>
      </w:r>
      <w:r w:rsidRPr="001C7A23">
        <w:rPr>
          <w:b/>
          <w:i/>
        </w:rPr>
        <w:t>prijaté dividendy</w:t>
      </w:r>
      <w:r w:rsidRPr="001C7A23">
        <w:rPr>
          <w:b/>
        </w:rPr>
        <w:t xml:space="preserve"> </w:t>
      </w:r>
      <w:r w:rsidRPr="001C7A23">
        <w:t>(</w:t>
      </w:r>
      <w:r>
        <w:t xml:space="preserve">najčastejšie </w:t>
      </w:r>
      <w:r w:rsidRPr="001C7A23">
        <w:t>rozdelené z výsledkov hospodárenia prechádzajúcich období)</w:t>
      </w:r>
      <w:r>
        <w:t xml:space="preserve"> z obchodných spoločností štátu</w:t>
      </w:r>
      <w:r w:rsidRPr="001C7A23">
        <w:t>, ktoré vyinkasovali vybrané kapitoly štátneho rozpočtu reálne v roku 2019.</w:t>
      </w:r>
      <w:r>
        <w:t xml:space="preserve"> </w:t>
      </w:r>
    </w:p>
    <w:p w14:paraId="63420166" w14:textId="77777777" w:rsidR="00EA177A" w:rsidRPr="001C7A23" w:rsidRDefault="00EA177A" w:rsidP="00EA177A">
      <w:pPr>
        <w:tabs>
          <w:tab w:val="left" w:pos="284"/>
        </w:tabs>
        <w:spacing w:line="384" w:lineRule="auto"/>
      </w:pPr>
      <w:r w:rsidRPr="001C7A23">
        <w:t xml:space="preserve">Najvyšší príjem z dividend bol v kapitole Všeobecná pokladničná správa v sume 437 471 tis. eur, do rozpočtu ktorej patria dividendy od Slovenského plynárenského priemyslu, a. s. a jednotlivých energetických spoločností. Druhý najvyšší príjem dosiahlo Ministerstvo financií SR, ktoré získalo z dividend 60 982 tis. eur, z toho najviac od Slovenskej elektrizačnej prenosovej sústavy, a. s. </w:t>
      </w:r>
    </w:p>
    <w:p w14:paraId="763C9DDD" w14:textId="77777777" w:rsidR="00EA177A" w:rsidRDefault="00EA177A" w:rsidP="00EA177A">
      <w:pPr>
        <w:spacing w:after="160" w:line="259" w:lineRule="auto"/>
        <w:jc w:val="left"/>
      </w:pPr>
      <w:r>
        <w:br w:type="page"/>
      </w:r>
    </w:p>
    <w:p w14:paraId="0E811223" w14:textId="77777777" w:rsidR="00EA177A" w:rsidRPr="001C7A23" w:rsidRDefault="00EA177A" w:rsidP="00EC63CB">
      <w:pPr>
        <w:spacing w:after="0" w:line="384" w:lineRule="auto"/>
        <w:jc w:val="left"/>
      </w:pPr>
      <w:r w:rsidRPr="001C7A23">
        <w:t xml:space="preserve">Súhrnný prehľad prijatých dividend podľa kapitol ŠR </w:t>
      </w:r>
      <w:r w:rsidRPr="00D95480">
        <w:t>poskytuje nasledovná tabuľka</w:t>
      </w:r>
      <w:r w:rsidRPr="001C7A23">
        <w:t>:</w:t>
      </w:r>
    </w:p>
    <w:tbl>
      <w:tblPr>
        <w:tblW w:w="9015" w:type="dxa"/>
        <w:tblInd w:w="-70" w:type="dxa"/>
        <w:tblLayout w:type="fixed"/>
        <w:tblLook w:val="0400" w:firstRow="0" w:lastRow="0" w:firstColumn="0" w:lastColumn="0" w:noHBand="0" w:noVBand="1"/>
      </w:tblPr>
      <w:tblGrid>
        <w:gridCol w:w="3321"/>
        <w:gridCol w:w="875"/>
        <w:gridCol w:w="992"/>
        <w:gridCol w:w="992"/>
        <w:gridCol w:w="1134"/>
        <w:gridCol w:w="992"/>
        <w:gridCol w:w="709"/>
      </w:tblGrid>
      <w:tr w:rsidR="00EA177A" w:rsidRPr="000A3FA3" w14:paraId="3648B3EC" w14:textId="77777777" w:rsidTr="00C54C4D">
        <w:trPr>
          <w:trHeight w:val="440"/>
        </w:trPr>
        <w:tc>
          <w:tcPr>
            <w:tcW w:w="9015" w:type="dxa"/>
            <w:gridSpan w:val="7"/>
            <w:tcBorders>
              <w:top w:val="nil"/>
              <w:left w:val="single" w:sz="8" w:space="0" w:color="000000"/>
              <w:bottom w:val="nil"/>
              <w:right w:val="nil"/>
            </w:tcBorders>
            <w:shd w:val="clear" w:color="auto" w:fill="000000"/>
            <w:vAlign w:val="center"/>
          </w:tcPr>
          <w:p w14:paraId="08A17D18" w14:textId="6618E9DE" w:rsidR="00EA177A" w:rsidRPr="000A3FA3" w:rsidRDefault="00EA177A" w:rsidP="000A3FA3">
            <w:pPr>
              <w:spacing w:after="0" w:line="240" w:lineRule="auto"/>
              <w:rPr>
                <w:rFonts w:eastAsia="Times New Roman" w:cs="Times New Roman"/>
                <w:b/>
                <w:bCs/>
                <w:sz w:val="18"/>
                <w:szCs w:val="18"/>
                <w:lang w:eastAsia="sk-SK"/>
              </w:rPr>
            </w:pPr>
            <w:r w:rsidRPr="000A3FA3">
              <w:rPr>
                <w:rFonts w:eastAsia="Times New Roman" w:cs="Times New Roman"/>
                <w:b/>
                <w:bCs/>
                <w:sz w:val="18"/>
                <w:szCs w:val="18"/>
                <w:lang w:eastAsia="sk-SK"/>
              </w:rPr>
              <w:t xml:space="preserve">Príjem dividend podľa kapitol ŠR                                                                                                         </w:t>
            </w:r>
            <w:r w:rsidR="000A3FA3">
              <w:rPr>
                <w:rFonts w:eastAsia="Times New Roman" w:cs="Times New Roman"/>
                <w:b/>
                <w:bCs/>
                <w:sz w:val="18"/>
                <w:szCs w:val="18"/>
                <w:lang w:eastAsia="sk-SK"/>
              </w:rPr>
              <w:t xml:space="preserve">              </w:t>
            </w:r>
            <w:r w:rsidRPr="000A3FA3">
              <w:rPr>
                <w:rFonts w:eastAsia="Times New Roman" w:cs="Times New Roman"/>
                <w:b/>
                <w:bCs/>
                <w:sz w:val="18"/>
                <w:szCs w:val="18"/>
                <w:lang w:eastAsia="sk-SK"/>
              </w:rPr>
              <w:t xml:space="preserve"> v tis. eur</w:t>
            </w:r>
          </w:p>
        </w:tc>
      </w:tr>
      <w:tr w:rsidR="00EA177A" w:rsidRPr="000A3FA3" w14:paraId="49050165" w14:textId="77777777" w:rsidTr="000A3FA3">
        <w:trPr>
          <w:trHeight w:val="500"/>
        </w:trPr>
        <w:tc>
          <w:tcPr>
            <w:tcW w:w="3321" w:type="dxa"/>
            <w:tcBorders>
              <w:top w:val="nil"/>
              <w:left w:val="nil"/>
              <w:bottom w:val="nil"/>
              <w:right w:val="nil"/>
            </w:tcBorders>
            <w:shd w:val="clear" w:color="auto" w:fill="BFBFBF"/>
            <w:vAlign w:val="center"/>
          </w:tcPr>
          <w:p w14:paraId="1E2B3309"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p>
        </w:tc>
        <w:tc>
          <w:tcPr>
            <w:tcW w:w="1867" w:type="dxa"/>
            <w:gridSpan w:val="2"/>
            <w:tcBorders>
              <w:top w:val="nil"/>
              <w:left w:val="nil"/>
              <w:bottom w:val="nil"/>
              <w:right w:val="nil"/>
            </w:tcBorders>
            <w:shd w:val="clear" w:color="auto" w:fill="BFBFBF"/>
            <w:vAlign w:val="center"/>
          </w:tcPr>
          <w:p w14:paraId="7A51B2FD"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Skutočnosť</w:t>
            </w:r>
          </w:p>
        </w:tc>
        <w:tc>
          <w:tcPr>
            <w:tcW w:w="992" w:type="dxa"/>
            <w:tcBorders>
              <w:top w:val="nil"/>
              <w:left w:val="nil"/>
              <w:bottom w:val="nil"/>
              <w:right w:val="nil"/>
            </w:tcBorders>
            <w:shd w:val="clear" w:color="auto" w:fill="BFBFBF"/>
            <w:vAlign w:val="center"/>
          </w:tcPr>
          <w:p w14:paraId="2B4C8222"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Rozpočet</w:t>
            </w:r>
          </w:p>
        </w:tc>
        <w:tc>
          <w:tcPr>
            <w:tcW w:w="1134" w:type="dxa"/>
            <w:tcBorders>
              <w:top w:val="nil"/>
              <w:left w:val="nil"/>
              <w:bottom w:val="nil"/>
              <w:right w:val="nil"/>
            </w:tcBorders>
            <w:shd w:val="clear" w:color="auto" w:fill="BFBFBF"/>
            <w:vAlign w:val="center"/>
          </w:tcPr>
          <w:p w14:paraId="31290D52"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Skutočnosť</w:t>
            </w:r>
          </w:p>
        </w:tc>
        <w:tc>
          <w:tcPr>
            <w:tcW w:w="1701" w:type="dxa"/>
            <w:gridSpan w:val="2"/>
            <w:tcBorders>
              <w:top w:val="nil"/>
              <w:left w:val="nil"/>
              <w:bottom w:val="nil"/>
              <w:right w:val="nil"/>
            </w:tcBorders>
            <w:shd w:val="clear" w:color="auto" w:fill="BFBFBF"/>
            <w:vAlign w:val="center"/>
          </w:tcPr>
          <w:p w14:paraId="0EF0DAC2"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Rozdiel</w:t>
            </w:r>
          </w:p>
        </w:tc>
      </w:tr>
      <w:tr w:rsidR="00EA177A" w:rsidRPr="000A3FA3" w14:paraId="48EDAF67" w14:textId="77777777" w:rsidTr="00996D2F">
        <w:trPr>
          <w:trHeight w:val="320"/>
        </w:trPr>
        <w:tc>
          <w:tcPr>
            <w:tcW w:w="3321" w:type="dxa"/>
            <w:tcBorders>
              <w:top w:val="nil"/>
              <w:left w:val="nil"/>
              <w:bottom w:val="nil"/>
              <w:right w:val="nil"/>
            </w:tcBorders>
            <w:shd w:val="clear" w:color="auto" w:fill="BFBFBF"/>
            <w:vAlign w:val="center"/>
          </w:tcPr>
          <w:p w14:paraId="60134D04"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p>
        </w:tc>
        <w:tc>
          <w:tcPr>
            <w:tcW w:w="875" w:type="dxa"/>
            <w:tcBorders>
              <w:top w:val="nil"/>
              <w:left w:val="nil"/>
              <w:bottom w:val="nil"/>
              <w:right w:val="nil"/>
            </w:tcBorders>
            <w:shd w:val="clear" w:color="auto" w:fill="BFBFBF"/>
            <w:vAlign w:val="center"/>
          </w:tcPr>
          <w:p w14:paraId="5F7E7DAD"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2017</w:t>
            </w:r>
          </w:p>
        </w:tc>
        <w:tc>
          <w:tcPr>
            <w:tcW w:w="992" w:type="dxa"/>
            <w:tcBorders>
              <w:top w:val="nil"/>
              <w:left w:val="nil"/>
              <w:bottom w:val="nil"/>
              <w:right w:val="nil"/>
            </w:tcBorders>
            <w:shd w:val="clear" w:color="auto" w:fill="BFBFBF"/>
            <w:vAlign w:val="center"/>
          </w:tcPr>
          <w:p w14:paraId="12A82CEB"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2018</w:t>
            </w:r>
          </w:p>
        </w:tc>
        <w:tc>
          <w:tcPr>
            <w:tcW w:w="992" w:type="dxa"/>
            <w:tcBorders>
              <w:top w:val="nil"/>
              <w:left w:val="nil"/>
              <w:bottom w:val="nil"/>
              <w:right w:val="nil"/>
            </w:tcBorders>
            <w:shd w:val="clear" w:color="auto" w:fill="BFBFBF"/>
            <w:vAlign w:val="center"/>
          </w:tcPr>
          <w:p w14:paraId="58CFE965"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2019</w:t>
            </w:r>
          </w:p>
        </w:tc>
        <w:tc>
          <w:tcPr>
            <w:tcW w:w="1134" w:type="dxa"/>
            <w:tcBorders>
              <w:top w:val="nil"/>
              <w:left w:val="nil"/>
              <w:bottom w:val="nil"/>
              <w:right w:val="nil"/>
            </w:tcBorders>
            <w:shd w:val="clear" w:color="auto" w:fill="BFBFBF"/>
            <w:vAlign w:val="center"/>
          </w:tcPr>
          <w:p w14:paraId="3B39A01B"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2019</w:t>
            </w:r>
          </w:p>
        </w:tc>
        <w:tc>
          <w:tcPr>
            <w:tcW w:w="992" w:type="dxa"/>
            <w:tcBorders>
              <w:top w:val="nil"/>
              <w:left w:val="nil"/>
              <w:bottom w:val="nil"/>
              <w:right w:val="nil"/>
            </w:tcBorders>
            <w:shd w:val="clear" w:color="auto" w:fill="BFBFBF"/>
            <w:vAlign w:val="center"/>
          </w:tcPr>
          <w:p w14:paraId="2CC01289"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v tis. eur</w:t>
            </w:r>
          </w:p>
        </w:tc>
        <w:tc>
          <w:tcPr>
            <w:tcW w:w="709" w:type="dxa"/>
            <w:tcBorders>
              <w:top w:val="nil"/>
              <w:left w:val="nil"/>
              <w:bottom w:val="nil"/>
              <w:right w:val="nil"/>
            </w:tcBorders>
            <w:shd w:val="clear" w:color="auto" w:fill="BFBFBF"/>
            <w:vAlign w:val="center"/>
          </w:tcPr>
          <w:p w14:paraId="5F93ECBB"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v %</w:t>
            </w:r>
          </w:p>
        </w:tc>
      </w:tr>
      <w:tr w:rsidR="00EA177A" w:rsidRPr="000A3FA3" w14:paraId="56A663CF" w14:textId="77777777" w:rsidTr="00996D2F">
        <w:trPr>
          <w:trHeight w:val="340"/>
        </w:trPr>
        <w:tc>
          <w:tcPr>
            <w:tcW w:w="3321" w:type="dxa"/>
            <w:tcBorders>
              <w:top w:val="nil"/>
              <w:left w:val="nil"/>
              <w:bottom w:val="single" w:sz="8" w:space="0" w:color="000000"/>
              <w:right w:val="nil"/>
            </w:tcBorders>
            <w:shd w:val="clear" w:color="auto" w:fill="BFBFBF"/>
            <w:vAlign w:val="center"/>
          </w:tcPr>
          <w:p w14:paraId="616EEAB7"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p>
        </w:tc>
        <w:tc>
          <w:tcPr>
            <w:tcW w:w="875" w:type="dxa"/>
            <w:tcBorders>
              <w:top w:val="nil"/>
              <w:left w:val="nil"/>
              <w:bottom w:val="single" w:sz="8" w:space="0" w:color="000000"/>
              <w:right w:val="nil"/>
            </w:tcBorders>
            <w:shd w:val="clear" w:color="auto" w:fill="BFBFBF"/>
            <w:vAlign w:val="center"/>
          </w:tcPr>
          <w:p w14:paraId="772F68AF"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1</w:t>
            </w:r>
          </w:p>
        </w:tc>
        <w:tc>
          <w:tcPr>
            <w:tcW w:w="992" w:type="dxa"/>
            <w:tcBorders>
              <w:top w:val="nil"/>
              <w:left w:val="nil"/>
              <w:bottom w:val="single" w:sz="8" w:space="0" w:color="000000"/>
              <w:right w:val="nil"/>
            </w:tcBorders>
            <w:shd w:val="clear" w:color="auto" w:fill="BFBFBF"/>
            <w:vAlign w:val="center"/>
          </w:tcPr>
          <w:p w14:paraId="70D00B97"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2</w:t>
            </w:r>
          </w:p>
        </w:tc>
        <w:tc>
          <w:tcPr>
            <w:tcW w:w="992" w:type="dxa"/>
            <w:tcBorders>
              <w:top w:val="nil"/>
              <w:left w:val="nil"/>
              <w:bottom w:val="single" w:sz="8" w:space="0" w:color="000000"/>
              <w:right w:val="nil"/>
            </w:tcBorders>
            <w:shd w:val="clear" w:color="auto" w:fill="BFBFBF"/>
            <w:vAlign w:val="center"/>
          </w:tcPr>
          <w:p w14:paraId="7859902B"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3</w:t>
            </w:r>
          </w:p>
        </w:tc>
        <w:tc>
          <w:tcPr>
            <w:tcW w:w="1134" w:type="dxa"/>
            <w:tcBorders>
              <w:top w:val="nil"/>
              <w:left w:val="nil"/>
              <w:bottom w:val="single" w:sz="8" w:space="0" w:color="000000"/>
              <w:right w:val="nil"/>
            </w:tcBorders>
            <w:shd w:val="clear" w:color="auto" w:fill="BFBFBF"/>
            <w:vAlign w:val="center"/>
          </w:tcPr>
          <w:p w14:paraId="1EFCCC9E"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4</w:t>
            </w:r>
          </w:p>
        </w:tc>
        <w:tc>
          <w:tcPr>
            <w:tcW w:w="992" w:type="dxa"/>
            <w:tcBorders>
              <w:top w:val="nil"/>
              <w:left w:val="nil"/>
              <w:bottom w:val="single" w:sz="8" w:space="0" w:color="000000"/>
              <w:right w:val="nil"/>
            </w:tcBorders>
            <w:shd w:val="clear" w:color="auto" w:fill="BFBFBF"/>
            <w:vAlign w:val="center"/>
          </w:tcPr>
          <w:p w14:paraId="63427AC6"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5=4-3</w:t>
            </w:r>
          </w:p>
        </w:tc>
        <w:tc>
          <w:tcPr>
            <w:tcW w:w="709" w:type="dxa"/>
            <w:tcBorders>
              <w:top w:val="nil"/>
              <w:left w:val="nil"/>
              <w:bottom w:val="single" w:sz="8" w:space="0" w:color="000000"/>
              <w:right w:val="nil"/>
            </w:tcBorders>
            <w:shd w:val="clear" w:color="auto" w:fill="BFBFBF"/>
            <w:vAlign w:val="center"/>
          </w:tcPr>
          <w:p w14:paraId="086CF2AC" w14:textId="77777777" w:rsidR="00EA177A" w:rsidRPr="000A3FA3" w:rsidRDefault="00EA177A" w:rsidP="00C704A7">
            <w:pPr>
              <w:widowControl w:val="0"/>
              <w:spacing w:after="0" w:line="240" w:lineRule="auto"/>
              <w:jc w:val="center"/>
              <w:rPr>
                <w:rFonts w:eastAsia="Times New Roman" w:cs="Times New Roman"/>
                <w:b/>
                <w:sz w:val="18"/>
                <w:szCs w:val="18"/>
                <w:lang w:eastAsia="sk-SK"/>
              </w:rPr>
            </w:pPr>
            <w:r w:rsidRPr="000A3FA3">
              <w:rPr>
                <w:rFonts w:eastAsia="Times New Roman" w:cs="Times New Roman"/>
                <w:b/>
                <w:sz w:val="18"/>
                <w:szCs w:val="18"/>
                <w:lang w:eastAsia="sk-SK"/>
              </w:rPr>
              <w:t>6=4-3</w:t>
            </w:r>
          </w:p>
        </w:tc>
      </w:tr>
      <w:tr w:rsidR="00645F04" w:rsidRPr="000A3FA3" w14:paraId="1D36D026" w14:textId="77777777" w:rsidTr="0044781D">
        <w:trPr>
          <w:trHeight w:val="320"/>
        </w:trPr>
        <w:tc>
          <w:tcPr>
            <w:tcW w:w="3321" w:type="dxa"/>
            <w:tcBorders>
              <w:top w:val="nil"/>
              <w:left w:val="nil"/>
              <w:bottom w:val="nil"/>
              <w:right w:val="nil"/>
            </w:tcBorders>
            <w:shd w:val="clear" w:color="auto" w:fill="FFFFFF"/>
            <w:vAlign w:val="center"/>
          </w:tcPr>
          <w:p w14:paraId="0C2032DA" w14:textId="77777777" w:rsidR="00645F04" w:rsidRPr="000A3FA3" w:rsidRDefault="00645F04" w:rsidP="0044781D">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Všeobecná pokladničná správa</w:t>
            </w:r>
          </w:p>
        </w:tc>
        <w:tc>
          <w:tcPr>
            <w:tcW w:w="875" w:type="dxa"/>
            <w:tcBorders>
              <w:top w:val="nil"/>
              <w:left w:val="nil"/>
              <w:bottom w:val="nil"/>
              <w:right w:val="nil"/>
            </w:tcBorders>
            <w:shd w:val="clear" w:color="auto" w:fill="FFFFFF"/>
            <w:vAlign w:val="center"/>
          </w:tcPr>
          <w:p w14:paraId="4A4B7BB6"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524 244</w:t>
            </w:r>
          </w:p>
        </w:tc>
        <w:tc>
          <w:tcPr>
            <w:tcW w:w="992" w:type="dxa"/>
            <w:tcBorders>
              <w:top w:val="nil"/>
              <w:left w:val="nil"/>
              <w:bottom w:val="nil"/>
              <w:right w:val="nil"/>
            </w:tcBorders>
            <w:shd w:val="clear" w:color="auto" w:fill="FFFFFF"/>
            <w:vAlign w:val="center"/>
          </w:tcPr>
          <w:p w14:paraId="4CD5C208"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362 631</w:t>
            </w:r>
          </w:p>
        </w:tc>
        <w:tc>
          <w:tcPr>
            <w:tcW w:w="992" w:type="dxa"/>
            <w:tcBorders>
              <w:top w:val="nil"/>
              <w:left w:val="nil"/>
              <w:bottom w:val="nil"/>
              <w:right w:val="nil"/>
            </w:tcBorders>
            <w:shd w:val="clear" w:color="auto" w:fill="FFFFFF"/>
            <w:vAlign w:val="center"/>
          </w:tcPr>
          <w:p w14:paraId="3F818506"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402 451</w:t>
            </w:r>
          </w:p>
        </w:tc>
        <w:tc>
          <w:tcPr>
            <w:tcW w:w="1134" w:type="dxa"/>
            <w:tcBorders>
              <w:top w:val="nil"/>
              <w:left w:val="nil"/>
              <w:bottom w:val="nil"/>
              <w:right w:val="nil"/>
            </w:tcBorders>
            <w:shd w:val="clear" w:color="auto" w:fill="BFBFBF"/>
            <w:vAlign w:val="center"/>
          </w:tcPr>
          <w:p w14:paraId="66D90208"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437 471</w:t>
            </w:r>
          </w:p>
        </w:tc>
        <w:tc>
          <w:tcPr>
            <w:tcW w:w="992" w:type="dxa"/>
            <w:tcBorders>
              <w:top w:val="nil"/>
              <w:left w:val="nil"/>
              <w:bottom w:val="nil"/>
              <w:right w:val="nil"/>
            </w:tcBorders>
            <w:shd w:val="clear" w:color="auto" w:fill="FFFFFF"/>
            <w:vAlign w:val="center"/>
          </w:tcPr>
          <w:p w14:paraId="2E2FD85B"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35 020</w:t>
            </w:r>
          </w:p>
        </w:tc>
        <w:tc>
          <w:tcPr>
            <w:tcW w:w="709" w:type="dxa"/>
            <w:tcBorders>
              <w:top w:val="nil"/>
              <w:left w:val="nil"/>
              <w:bottom w:val="nil"/>
              <w:right w:val="nil"/>
            </w:tcBorders>
            <w:shd w:val="clear" w:color="auto" w:fill="FFFFFF"/>
            <w:vAlign w:val="center"/>
          </w:tcPr>
          <w:p w14:paraId="7C8BE0AA"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8,7</w:t>
            </w:r>
          </w:p>
        </w:tc>
      </w:tr>
      <w:tr w:rsidR="00645F04" w:rsidRPr="000A3FA3" w14:paraId="1CB43A83" w14:textId="77777777" w:rsidTr="0044781D">
        <w:trPr>
          <w:trHeight w:val="320"/>
        </w:trPr>
        <w:tc>
          <w:tcPr>
            <w:tcW w:w="3321" w:type="dxa"/>
            <w:tcBorders>
              <w:top w:val="nil"/>
              <w:left w:val="nil"/>
              <w:bottom w:val="nil"/>
              <w:right w:val="nil"/>
            </w:tcBorders>
            <w:shd w:val="clear" w:color="auto" w:fill="FFFFFF"/>
            <w:vAlign w:val="center"/>
          </w:tcPr>
          <w:p w14:paraId="5ADBF4FB"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Slovenský plynárenský priemysel, a.s.</w:t>
            </w:r>
          </w:p>
        </w:tc>
        <w:tc>
          <w:tcPr>
            <w:tcW w:w="875" w:type="dxa"/>
            <w:tcBorders>
              <w:top w:val="nil"/>
              <w:left w:val="nil"/>
              <w:bottom w:val="nil"/>
              <w:right w:val="nil"/>
            </w:tcBorders>
            <w:shd w:val="clear" w:color="auto" w:fill="FFFFFF"/>
            <w:vAlign w:val="center"/>
          </w:tcPr>
          <w:p w14:paraId="43521D58"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430 000</w:t>
            </w:r>
          </w:p>
        </w:tc>
        <w:tc>
          <w:tcPr>
            <w:tcW w:w="992" w:type="dxa"/>
            <w:tcBorders>
              <w:top w:val="nil"/>
              <w:left w:val="nil"/>
              <w:bottom w:val="nil"/>
              <w:right w:val="nil"/>
            </w:tcBorders>
            <w:shd w:val="clear" w:color="auto" w:fill="FFFFFF"/>
            <w:vAlign w:val="center"/>
          </w:tcPr>
          <w:p w14:paraId="403CA2D8"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300 000</w:t>
            </w:r>
          </w:p>
        </w:tc>
        <w:tc>
          <w:tcPr>
            <w:tcW w:w="992" w:type="dxa"/>
            <w:tcBorders>
              <w:top w:val="nil"/>
              <w:left w:val="nil"/>
              <w:bottom w:val="nil"/>
              <w:right w:val="nil"/>
            </w:tcBorders>
            <w:shd w:val="clear" w:color="auto" w:fill="FFFFFF"/>
            <w:vAlign w:val="center"/>
          </w:tcPr>
          <w:p w14:paraId="71400531"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300 000</w:t>
            </w:r>
          </w:p>
        </w:tc>
        <w:tc>
          <w:tcPr>
            <w:tcW w:w="1134" w:type="dxa"/>
            <w:tcBorders>
              <w:top w:val="nil"/>
              <w:left w:val="nil"/>
              <w:bottom w:val="nil"/>
              <w:right w:val="nil"/>
            </w:tcBorders>
            <w:shd w:val="clear" w:color="auto" w:fill="BFBFBF"/>
            <w:vAlign w:val="center"/>
          </w:tcPr>
          <w:p w14:paraId="40142901"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370 000</w:t>
            </w:r>
          </w:p>
        </w:tc>
        <w:tc>
          <w:tcPr>
            <w:tcW w:w="992" w:type="dxa"/>
            <w:tcBorders>
              <w:top w:val="nil"/>
              <w:left w:val="nil"/>
              <w:bottom w:val="nil"/>
              <w:right w:val="nil"/>
            </w:tcBorders>
            <w:shd w:val="clear" w:color="auto" w:fill="FFFFFF"/>
            <w:vAlign w:val="center"/>
          </w:tcPr>
          <w:p w14:paraId="6075DD1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70 000</w:t>
            </w:r>
          </w:p>
        </w:tc>
        <w:tc>
          <w:tcPr>
            <w:tcW w:w="709" w:type="dxa"/>
            <w:tcBorders>
              <w:top w:val="nil"/>
              <w:left w:val="nil"/>
              <w:bottom w:val="nil"/>
              <w:right w:val="nil"/>
            </w:tcBorders>
            <w:shd w:val="clear" w:color="auto" w:fill="FFFFFF"/>
            <w:vAlign w:val="center"/>
          </w:tcPr>
          <w:p w14:paraId="24B05B88"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23,3</w:t>
            </w:r>
          </w:p>
        </w:tc>
      </w:tr>
      <w:tr w:rsidR="00645F04" w:rsidRPr="000A3FA3" w14:paraId="0EC51C81" w14:textId="77777777" w:rsidTr="0044781D">
        <w:trPr>
          <w:trHeight w:val="320"/>
        </w:trPr>
        <w:tc>
          <w:tcPr>
            <w:tcW w:w="3321" w:type="dxa"/>
            <w:tcBorders>
              <w:top w:val="nil"/>
              <w:left w:val="nil"/>
              <w:bottom w:val="nil"/>
              <w:right w:val="nil"/>
            </w:tcBorders>
            <w:shd w:val="clear" w:color="auto" w:fill="FFFFFF"/>
            <w:vAlign w:val="center"/>
          </w:tcPr>
          <w:p w14:paraId="49357FB7"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Západoslovenská energetika, a. s.</w:t>
            </w:r>
          </w:p>
        </w:tc>
        <w:tc>
          <w:tcPr>
            <w:tcW w:w="875" w:type="dxa"/>
            <w:tcBorders>
              <w:top w:val="nil"/>
              <w:left w:val="nil"/>
              <w:bottom w:val="nil"/>
              <w:right w:val="nil"/>
            </w:tcBorders>
            <w:shd w:val="clear" w:color="auto" w:fill="FFFFFF"/>
            <w:vAlign w:val="center"/>
          </w:tcPr>
          <w:p w14:paraId="24717E4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25 737</w:t>
            </w:r>
          </w:p>
        </w:tc>
        <w:tc>
          <w:tcPr>
            <w:tcW w:w="992" w:type="dxa"/>
            <w:tcBorders>
              <w:top w:val="nil"/>
              <w:left w:val="nil"/>
              <w:bottom w:val="nil"/>
              <w:right w:val="nil"/>
            </w:tcBorders>
            <w:shd w:val="clear" w:color="auto" w:fill="FFFFFF"/>
            <w:vAlign w:val="center"/>
          </w:tcPr>
          <w:p w14:paraId="31071C40"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35 950</w:t>
            </w:r>
          </w:p>
        </w:tc>
        <w:tc>
          <w:tcPr>
            <w:tcW w:w="992" w:type="dxa"/>
            <w:tcBorders>
              <w:top w:val="nil"/>
              <w:left w:val="nil"/>
              <w:bottom w:val="nil"/>
              <w:right w:val="nil"/>
            </w:tcBorders>
            <w:shd w:val="clear" w:color="auto" w:fill="FFFFFF"/>
            <w:vAlign w:val="center"/>
          </w:tcPr>
          <w:p w14:paraId="78D399A4"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28 781</w:t>
            </w:r>
          </w:p>
        </w:tc>
        <w:tc>
          <w:tcPr>
            <w:tcW w:w="1134" w:type="dxa"/>
            <w:tcBorders>
              <w:top w:val="nil"/>
              <w:left w:val="nil"/>
              <w:bottom w:val="nil"/>
              <w:right w:val="nil"/>
            </w:tcBorders>
            <w:shd w:val="clear" w:color="auto" w:fill="BFBFBF"/>
            <w:vAlign w:val="center"/>
          </w:tcPr>
          <w:p w14:paraId="68BA12F9"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32 553</w:t>
            </w:r>
          </w:p>
        </w:tc>
        <w:tc>
          <w:tcPr>
            <w:tcW w:w="992" w:type="dxa"/>
            <w:tcBorders>
              <w:top w:val="nil"/>
              <w:left w:val="nil"/>
              <w:bottom w:val="nil"/>
              <w:right w:val="nil"/>
            </w:tcBorders>
            <w:shd w:val="clear" w:color="auto" w:fill="FFFFFF"/>
            <w:vAlign w:val="center"/>
          </w:tcPr>
          <w:p w14:paraId="4576D7F6"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3 772</w:t>
            </w:r>
          </w:p>
        </w:tc>
        <w:tc>
          <w:tcPr>
            <w:tcW w:w="709" w:type="dxa"/>
            <w:tcBorders>
              <w:top w:val="nil"/>
              <w:left w:val="nil"/>
              <w:bottom w:val="nil"/>
              <w:right w:val="nil"/>
            </w:tcBorders>
            <w:shd w:val="clear" w:color="auto" w:fill="FFFFFF"/>
            <w:vAlign w:val="center"/>
          </w:tcPr>
          <w:p w14:paraId="7B47DBB8"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13,1</w:t>
            </w:r>
          </w:p>
        </w:tc>
      </w:tr>
      <w:tr w:rsidR="00645F04" w:rsidRPr="000A3FA3" w14:paraId="1947BD14" w14:textId="77777777" w:rsidTr="0044781D">
        <w:trPr>
          <w:trHeight w:val="320"/>
        </w:trPr>
        <w:tc>
          <w:tcPr>
            <w:tcW w:w="3321" w:type="dxa"/>
            <w:tcBorders>
              <w:top w:val="nil"/>
              <w:left w:val="nil"/>
              <w:bottom w:val="nil"/>
              <w:right w:val="nil"/>
            </w:tcBorders>
            <w:shd w:val="clear" w:color="auto" w:fill="FFFFFF"/>
            <w:vAlign w:val="center"/>
          </w:tcPr>
          <w:p w14:paraId="3AE341AD"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Východoslovenská energetika HOLDING, a.s.</w:t>
            </w:r>
          </w:p>
        </w:tc>
        <w:tc>
          <w:tcPr>
            <w:tcW w:w="875" w:type="dxa"/>
            <w:tcBorders>
              <w:top w:val="nil"/>
              <w:left w:val="nil"/>
              <w:bottom w:val="nil"/>
              <w:right w:val="nil"/>
            </w:tcBorders>
            <w:shd w:val="clear" w:color="auto" w:fill="FFFFFF"/>
            <w:vAlign w:val="center"/>
          </w:tcPr>
          <w:p w14:paraId="3B5B6842"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28 722</w:t>
            </w:r>
          </w:p>
        </w:tc>
        <w:tc>
          <w:tcPr>
            <w:tcW w:w="992" w:type="dxa"/>
            <w:tcBorders>
              <w:top w:val="nil"/>
              <w:left w:val="nil"/>
              <w:bottom w:val="nil"/>
              <w:right w:val="nil"/>
            </w:tcBorders>
            <w:shd w:val="clear" w:color="auto" w:fill="FFFFFF"/>
            <w:vAlign w:val="center"/>
          </w:tcPr>
          <w:p w14:paraId="3CBB80B9"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23 411</w:t>
            </w:r>
          </w:p>
        </w:tc>
        <w:tc>
          <w:tcPr>
            <w:tcW w:w="992" w:type="dxa"/>
            <w:tcBorders>
              <w:top w:val="nil"/>
              <w:left w:val="nil"/>
              <w:bottom w:val="nil"/>
              <w:right w:val="nil"/>
            </w:tcBorders>
            <w:shd w:val="clear" w:color="auto" w:fill="FFFFFF"/>
            <w:vAlign w:val="center"/>
          </w:tcPr>
          <w:p w14:paraId="0045FD65"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38 475</w:t>
            </w:r>
          </w:p>
        </w:tc>
        <w:tc>
          <w:tcPr>
            <w:tcW w:w="1134" w:type="dxa"/>
            <w:tcBorders>
              <w:top w:val="nil"/>
              <w:left w:val="nil"/>
              <w:bottom w:val="nil"/>
              <w:right w:val="nil"/>
            </w:tcBorders>
            <w:shd w:val="clear" w:color="auto" w:fill="BFBFBF"/>
            <w:vAlign w:val="center"/>
          </w:tcPr>
          <w:p w14:paraId="1816CA69"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30 332</w:t>
            </w:r>
          </w:p>
        </w:tc>
        <w:tc>
          <w:tcPr>
            <w:tcW w:w="992" w:type="dxa"/>
            <w:tcBorders>
              <w:top w:val="nil"/>
              <w:left w:val="nil"/>
              <w:bottom w:val="nil"/>
              <w:right w:val="nil"/>
            </w:tcBorders>
            <w:shd w:val="clear" w:color="auto" w:fill="FFFFFF"/>
            <w:vAlign w:val="center"/>
          </w:tcPr>
          <w:p w14:paraId="3D5FD2E5"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-8 143</w:t>
            </w:r>
          </w:p>
        </w:tc>
        <w:tc>
          <w:tcPr>
            <w:tcW w:w="709" w:type="dxa"/>
            <w:tcBorders>
              <w:top w:val="nil"/>
              <w:left w:val="nil"/>
              <w:bottom w:val="nil"/>
              <w:right w:val="nil"/>
            </w:tcBorders>
            <w:shd w:val="clear" w:color="auto" w:fill="FFFFFF"/>
            <w:vAlign w:val="center"/>
          </w:tcPr>
          <w:p w14:paraId="202A7E9B"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-21,2</w:t>
            </w:r>
          </w:p>
        </w:tc>
      </w:tr>
      <w:tr w:rsidR="00645F04" w:rsidRPr="000A3FA3" w14:paraId="411AFFAC" w14:textId="77777777" w:rsidTr="0044781D">
        <w:trPr>
          <w:trHeight w:val="320"/>
        </w:trPr>
        <w:tc>
          <w:tcPr>
            <w:tcW w:w="3321" w:type="dxa"/>
            <w:tcBorders>
              <w:top w:val="nil"/>
              <w:left w:val="nil"/>
              <w:bottom w:val="nil"/>
              <w:right w:val="nil"/>
            </w:tcBorders>
            <w:shd w:val="clear" w:color="auto" w:fill="FFFFFF"/>
            <w:vAlign w:val="center"/>
          </w:tcPr>
          <w:p w14:paraId="702D67A7"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Stredoslovenská energetika, a s.</w:t>
            </w:r>
          </w:p>
        </w:tc>
        <w:tc>
          <w:tcPr>
            <w:tcW w:w="875" w:type="dxa"/>
            <w:tcBorders>
              <w:top w:val="nil"/>
              <w:left w:val="nil"/>
              <w:bottom w:val="nil"/>
              <w:right w:val="nil"/>
            </w:tcBorders>
            <w:shd w:val="clear" w:color="auto" w:fill="FFFFFF"/>
            <w:vAlign w:val="center"/>
          </w:tcPr>
          <w:p w14:paraId="18EE652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39 785</w:t>
            </w:r>
          </w:p>
        </w:tc>
        <w:tc>
          <w:tcPr>
            <w:tcW w:w="992" w:type="dxa"/>
            <w:tcBorders>
              <w:top w:val="nil"/>
              <w:left w:val="nil"/>
              <w:bottom w:val="nil"/>
              <w:right w:val="nil"/>
            </w:tcBorders>
            <w:shd w:val="clear" w:color="auto" w:fill="FFFFFF"/>
            <w:vAlign w:val="center"/>
          </w:tcPr>
          <w:p w14:paraId="0CAA9FBF"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3 270</w:t>
            </w:r>
          </w:p>
        </w:tc>
        <w:tc>
          <w:tcPr>
            <w:tcW w:w="992" w:type="dxa"/>
            <w:tcBorders>
              <w:top w:val="nil"/>
              <w:left w:val="nil"/>
              <w:bottom w:val="nil"/>
              <w:right w:val="nil"/>
            </w:tcBorders>
            <w:shd w:val="clear" w:color="auto" w:fill="FFFFFF"/>
            <w:vAlign w:val="center"/>
          </w:tcPr>
          <w:p w14:paraId="08BF266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35 195</w:t>
            </w:r>
          </w:p>
        </w:tc>
        <w:tc>
          <w:tcPr>
            <w:tcW w:w="1134" w:type="dxa"/>
            <w:tcBorders>
              <w:top w:val="nil"/>
              <w:left w:val="nil"/>
              <w:bottom w:val="nil"/>
              <w:right w:val="nil"/>
            </w:tcBorders>
            <w:shd w:val="clear" w:color="auto" w:fill="BFBFBF"/>
            <w:vAlign w:val="center"/>
          </w:tcPr>
          <w:p w14:paraId="2831D461"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4 586</w:t>
            </w:r>
          </w:p>
        </w:tc>
        <w:tc>
          <w:tcPr>
            <w:tcW w:w="992" w:type="dxa"/>
            <w:tcBorders>
              <w:top w:val="nil"/>
              <w:left w:val="nil"/>
              <w:bottom w:val="nil"/>
              <w:right w:val="nil"/>
            </w:tcBorders>
            <w:shd w:val="clear" w:color="auto" w:fill="FFFFFF"/>
            <w:vAlign w:val="center"/>
          </w:tcPr>
          <w:p w14:paraId="1AAD4A3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-30 609</w:t>
            </w:r>
          </w:p>
        </w:tc>
        <w:tc>
          <w:tcPr>
            <w:tcW w:w="709" w:type="dxa"/>
            <w:tcBorders>
              <w:top w:val="nil"/>
              <w:left w:val="nil"/>
              <w:bottom w:val="nil"/>
              <w:right w:val="nil"/>
            </w:tcBorders>
            <w:shd w:val="clear" w:color="auto" w:fill="FFFFFF"/>
            <w:vAlign w:val="center"/>
          </w:tcPr>
          <w:p w14:paraId="05058DBB"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-87,0</w:t>
            </w:r>
          </w:p>
        </w:tc>
      </w:tr>
      <w:tr w:rsidR="00645F04" w:rsidRPr="000A3FA3" w14:paraId="0A514212" w14:textId="77777777" w:rsidTr="0044781D">
        <w:trPr>
          <w:trHeight w:val="320"/>
        </w:trPr>
        <w:tc>
          <w:tcPr>
            <w:tcW w:w="3321" w:type="dxa"/>
            <w:tcBorders>
              <w:top w:val="nil"/>
              <w:left w:val="nil"/>
              <w:bottom w:val="nil"/>
              <w:right w:val="nil"/>
            </w:tcBorders>
            <w:shd w:val="clear" w:color="auto" w:fill="FFFFFF"/>
            <w:vAlign w:val="center"/>
          </w:tcPr>
          <w:p w14:paraId="2926784B" w14:textId="77777777" w:rsidR="00645F04" w:rsidRPr="000A3FA3" w:rsidRDefault="00645F04" w:rsidP="0044781D">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Ministerstvo financií SR</w:t>
            </w:r>
          </w:p>
        </w:tc>
        <w:tc>
          <w:tcPr>
            <w:tcW w:w="875" w:type="dxa"/>
            <w:tcBorders>
              <w:top w:val="nil"/>
              <w:left w:val="nil"/>
              <w:bottom w:val="nil"/>
              <w:right w:val="nil"/>
            </w:tcBorders>
            <w:shd w:val="clear" w:color="auto" w:fill="FFFFFF"/>
            <w:vAlign w:val="center"/>
          </w:tcPr>
          <w:p w14:paraId="43E1905D"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69 130</w:t>
            </w:r>
          </w:p>
        </w:tc>
        <w:tc>
          <w:tcPr>
            <w:tcW w:w="992" w:type="dxa"/>
            <w:tcBorders>
              <w:top w:val="nil"/>
              <w:left w:val="nil"/>
              <w:bottom w:val="nil"/>
              <w:right w:val="nil"/>
            </w:tcBorders>
            <w:shd w:val="clear" w:color="auto" w:fill="FFFFFF"/>
            <w:vAlign w:val="center"/>
          </w:tcPr>
          <w:p w14:paraId="3F6C25B0"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69 092</w:t>
            </w:r>
          </w:p>
        </w:tc>
        <w:tc>
          <w:tcPr>
            <w:tcW w:w="992" w:type="dxa"/>
            <w:tcBorders>
              <w:top w:val="nil"/>
              <w:left w:val="nil"/>
              <w:bottom w:val="nil"/>
              <w:right w:val="nil"/>
            </w:tcBorders>
            <w:shd w:val="clear" w:color="auto" w:fill="FFFFFF"/>
            <w:vAlign w:val="center"/>
          </w:tcPr>
          <w:p w14:paraId="32EEABFA"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20 459</w:t>
            </w:r>
          </w:p>
        </w:tc>
        <w:tc>
          <w:tcPr>
            <w:tcW w:w="1134" w:type="dxa"/>
            <w:tcBorders>
              <w:top w:val="nil"/>
              <w:left w:val="nil"/>
              <w:bottom w:val="nil"/>
              <w:right w:val="nil"/>
            </w:tcBorders>
            <w:shd w:val="clear" w:color="auto" w:fill="BFBFBF"/>
            <w:vAlign w:val="center"/>
          </w:tcPr>
          <w:p w14:paraId="094863E6"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60 982</w:t>
            </w:r>
          </w:p>
        </w:tc>
        <w:tc>
          <w:tcPr>
            <w:tcW w:w="992" w:type="dxa"/>
            <w:tcBorders>
              <w:top w:val="nil"/>
              <w:left w:val="nil"/>
              <w:bottom w:val="nil"/>
              <w:right w:val="nil"/>
            </w:tcBorders>
            <w:shd w:val="clear" w:color="auto" w:fill="FFFFFF"/>
            <w:vAlign w:val="center"/>
          </w:tcPr>
          <w:p w14:paraId="392D2C5F"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40 523</w:t>
            </w:r>
          </w:p>
        </w:tc>
        <w:tc>
          <w:tcPr>
            <w:tcW w:w="709" w:type="dxa"/>
            <w:tcBorders>
              <w:top w:val="nil"/>
              <w:left w:val="nil"/>
              <w:bottom w:val="nil"/>
              <w:right w:val="nil"/>
            </w:tcBorders>
            <w:shd w:val="clear" w:color="auto" w:fill="FFFFFF"/>
            <w:vAlign w:val="center"/>
          </w:tcPr>
          <w:p w14:paraId="150C0CBC"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198,1</w:t>
            </w:r>
          </w:p>
        </w:tc>
      </w:tr>
      <w:tr w:rsidR="00645F04" w:rsidRPr="000A3FA3" w14:paraId="35E1D2F7" w14:textId="77777777" w:rsidTr="0044781D">
        <w:trPr>
          <w:trHeight w:val="320"/>
        </w:trPr>
        <w:tc>
          <w:tcPr>
            <w:tcW w:w="3321" w:type="dxa"/>
            <w:tcBorders>
              <w:top w:val="nil"/>
              <w:left w:val="nil"/>
              <w:bottom w:val="nil"/>
              <w:right w:val="nil"/>
            </w:tcBorders>
            <w:shd w:val="clear" w:color="auto" w:fill="FFFFFF"/>
            <w:vAlign w:val="center"/>
          </w:tcPr>
          <w:p w14:paraId="6A6061BC"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Slovenská elektrizačná prenosová sústava, a.s.</w:t>
            </w:r>
          </w:p>
        </w:tc>
        <w:tc>
          <w:tcPr>
            <w:tcW w:w="875" w:type="dxa"/>
            <w:tcBorders>
              <w:top w:val="nil"/>
              <w:left w:val="nil"/>
              <w:bottom w:val="nil"/>
              <w:right w:val="nil"/>
            </w:tcBorders>
            <w:shd w:val="clear" w:color="auto" w:fill="FFFFFF"/>
            <w:vAlign w:val="center"/>
          </w:tcPr>
          <w:p w14:paraId="0E926827"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57 000</w:t>
            </w:r>
          </w:p>
        </w:tc>
        <w:tc>
          <w:tcPr>
            <w:tcW w:w="992" w:type="dxa"/>
            <w:tcBorders>
              <w:top w:val="nil"/>
              <w:left w:val="nil"/>
              <w:bottom w:val="nil"/>
              <w:right w:val="nil"/>
            </w:tcBorders>
            <w:shd w:val="clear" w:color="auto" w:fill="FFFFFF"/>
            <w:vAlign w:val="center"/>
          </w:tcPr>
          <w:p w14:paraId="21B26780"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59 000</w:t>
            </w:r>
          </w:p>
        </w:tc>
        <w:tc>
          <w:tcPr>
            <w:tcW w:w="992" w:type="dxa"/>
            <w:tcBorders>
              <w:top w:val="nil"/>
              <w:left w:val="nil"/>
              <w:bottom w:val="nil"/>
              <w:right w:val="nil"/>
            </w:tcBorders>
            <w:shd w:val="clear" w:color="auto" w:fill="FFFFFF"/>
            <w:vAlign w:val="center"/>
          </w:tcPr>
          <w:p w14:paraId="54397057"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14 716</w:t>
            </w:r>
          </w:p>
        </w:tc>
        <w:tc>
          <w:tcPr>
            <w:tcW w:w="1134" w:type="dxa"/>
            <w:tcBorders>
              <w:top w:val="nil"/>
              <w:left w:val="nil"/>
              <w:bottom w:val="nil"/>
              <w:right w:val="nil"/>
            </w:tcBorders>
            <w:shd w:val="clear" w:color="auto" w:fill="BFBFBF"/>
            <w:vAlign w:val="center"/>
          </w:tcPr>
          <w:p w14:paraId="3A97A77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50 000</w:t>
            </w:r>
          </w:p>
        </w:tc>
        <w:tc>
          <w:tcPr>
            <w:tcW w:w="992" w:type="dxa"/>
            <w:tcBorders>
              <w:top w:val="nil"/>
              <w:left w:val="nil"/>
              <w:bottom w:val="nil"/>
              <w:right w:val="nil"/>
            </w:tcBorders>
            <w:shd w:val="clear" w:color="auto" w:fill="FFFFFF"/>
            <w:vAlign w:val="center"/>
          </w:tcPr>
          <w:p w14:paraId="66FFCB8E"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35 284</w:t>
            </w:r>
          </w:p>
        </w:tc>
        <w:tc>
          <w:tcPr>
            <w:tcW w:w="709" w:type="dxa"/>
            <w:tcBorders>
              <w:top w:val="nil"/>
              <w:left w:val="nil"/>
              <w:bottom w:val="nil"/>
              <w:right w:val="nil"/>
            </w:tcBorders>
            <w:shd w:val="clear" w:color="auto" w:fill="FFFFFF"/>
            <w:vAlign w:val="center"/>
          </w:tcPr>
          <w:p w14:paraId="7E30EC2F"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239,8</w:t>
            </w:r>
          </w:p>
        </w:tc>
      </w:tr>
      <w:tr w:rsidR="00645F04" w:rsidRPr="000A3FA3" w14:paraId="5587B576" w14:textId="77777777" w:rsidTr="0044781D">
        <w:trPr>
          <w:trHeight w:val="320"/>
        </w:trPr>
        <w:tc>
          <w:tcPr>
            <w:tcW w:w="3321" w:type="dxa"/>
            <w:tcBorders>
              <w:top w:val="nil"/>
              <w:left w:val="nil"/>
              <w:bottom w:val="nil"/>
              <w:right w:val="nil"/>
            </w:tcBorders>
            <w:shd w:val="clear" w:color="auto" w:fill="FFFFFF"/>
            <w:vAlign w:val="center"/>
          </w:tcPr>
          <w:p w14:paraId="33672C5E"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Slovenská záručná a rozvojová banka, a.s.</w:t>
            </w:r>
          </w:p>
        </w:tc>
        <w:tc>
          <w:tcPr>
            <w:tcW w:w="875" w:type="dxa"/>
            <w:tcBorders>
              <w:top w:val="nil"/>
              <w:left w:val="nil"/>
              <w:bottom w:val="nil"/>
              <w:right w:val="nil"/>
            </w:tcBorders>
            <w:shd w:val="clear" w:color="auto" w:fill="FFFFFF"/>
            <w:vAlign w:val="center"/>
          </w:tcPr>
          <w:p w14:paraId="181DD570"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2 000</w:t>
            </w:r>
          </w:p>
        </w:tc>
        <w:tc>
          <w:tcPr>
            <w:tcW w:w="992" w:type="dxa"/>
            <w:tcBorders>
              <w:top w:val="nil"/>
              <w:left w:val="nil"/>
              <w:bottom w:val="nil"/>
              <w:right w:val="nil"/>
            </w:tcBorders>
            <w:shd w:val="clear" w:color="auto" w:fill="FFFFFF"/>
            <w:vAlign w:val="center"/>
          </w:tcPr>
          <w:p w14:paraId="4B91E182"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2 350</w:t>
            </w:r>
          </w:p>
        </w:tc>
        <w:tc>
          <w:tcPr>
            <w:tcW w:w="992" w:type="dxa"/>
            <w:tcBorders>
              <w:top w:val="nil"/>
              <w:left w:val="nil"/>
              <w:bottom w:val="nil"/>
              <w:right w:val="nil"/>
            </w:tcBorders>
            <w:shd w:val="clear" w:color="auto" w:fill="FFFFFF"/>
            <w:vAlign w:val="center"/>
          </w:tcPr>
          <w:p w14:paraId="36851E6E"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1 000</w:t>
            </w:r>
          </w:p>
        </w:tc>
        <w:tc>
          <w:tcPr>
            <w:tcW w:w="1134" w:type="dxa"/>
            <w:tcBorders>
              <w:top w:val="nil"/>
              <w:left w:val="nil"/>
              <w:bottom w:val="nil"/>
              <w:right w:val="nil"/>
            </w:tcBorders>
            <w:shd w:val="clear" w:color="auto" w:fill="BFBFBF"/>
            <w:vAlign w:val="center"/>
          </w:tcPr>
          <w:p w14:paraId="2BED328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6 000</w:t>
            </w:r>
          </w:p>
        </w:tc>
        <w:tc>
          <w:tcPr>
            <w:tcW w:w="992" w:type="dxa"/>
            <w:tcBorders>
              <w:top w:val="nil"/>
              <w:left w:val="nil"/>
              <w:bottom w:val="nil"/>
              <w:right w:val="nil"/>
            </w:tcBorders>
            <w:shd w:val="clear" w:color="auto" w:fill="FFFFFF"/>
            <w:vAlign w:val="center"/>
          </w:tcPr>
          <w:p w14:paraId="45B7892E"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5 000</w:t>
            </w:r>
          </w:p>
        </w:tc>
        <w:tc>
          <w:tcPr>
            <w:tcW w:w="709" w:type="dxa"/>
            <w:tcBorders>
              <w:top w:val="nil"/>
              <w:left w:val="nil"/>
              <w:bottom w:val="nil"/>
              <w:right w:val="nil"/>
            </w:tcBorders>
            <w:shd w:val="clear" w:color="auto" w:fill="FFFFFF"/>
            <w:vAlign w:val="center"/>
          </w:tcPr>
          <w:p w14:paraId="2D168F64"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500,0</w:t>
            </w:r>
          </w:p>
        </w:tc>
      </w:tr>
      <w:tr w:rsidR="00645F04" w:rsidRPr="000A3FA3" w14:paraId="67AF7BA3" w14:textId="77777777" w:rsidTr="0044781D">
        <w:trPr>
          <w:trHeight w:val="320"/>
        </w:trPr>
        <w:tc>
          <w:tcPr>
            <w:tcW w:w="3321" w:type="dxa"/>
            <w:tcBorders>
              <w:top w:val="nil"/>
              <w:left w:val="nil"/>
              <w:bottom w:val="nil"/>
              <w:right w:val="nil"/>
            </w:tcBorders>
            <w:shd w:val="clear" w:color="auto" w:fill="FFFFFF"/>
            <w:vAlign w:val="center"/>
          </w:tcPr>
          <w:p w14:paraId="52494A4E"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Slovenská konsolidačná, a.s. Bratislava</w:t>
            </w:r>
          </w:p>
        </w:tc>
        <w:tc>
          <w:tcPr>
            <w:tcW w:w="875" w:type="dxa"/>
            <w:tcBorders>
              <w:top w:val="nil"/>
              <w:left w:val="nil"/>
              <w:bottom w:val="nil"/>
              <w:right w:val="nil"/>
            </w:tcBorders>
            <w:shd w:val="clear" w:color="auto" w:fill="FFFFFF"/>
            <w:vAlign w:val="center"/>
          </w:tcPr>
          <w:p w14:paraId="60B47564"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2 130</w:t>
            </w:r>
          </w:p>
        </w:tc>
        <w:tc>
          <w:tcPr>
            <w:tcW w:w="992" w:type="dxa"/>
            <w:tcBorders>
              <w:top w:val="nil"/>
              <w:left w:val="nil"/>
              <w:bottom w:val="nil"/>
              <w:right w:val="nil"/>
            </w:tcBorders>
            <w:shd w:val="clear" w:color="auto" w:fill="FFFFFF"/>
            <w:vAlign w:val="center"/>
          </w:tcPr>
          <w:p w14:paraId="06085C1E"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1 742</w:t>
            </w:r>
          </w:p>
        </w:tc>
        <w:tc>
          <w:tcPr>
            <w:tcW w:w="992" w:type="dxa"/>
            <w:tcBorders>
              <w:top w:val="nil"/>
              <w:left w:val="nil"/>
              <w:bottom w:val="nil"/>
              <w:right w:val="nil"/>
            </w:tcBorders>
            <w:shd w:val="clear" w:color="auto" w:fill="FFFFFF"/>
            <w:vAlign w:val="center"/>
          </w:tcPr>
          <w:p w14:paraId="09C295C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1 743</w:t>
            </w:r>
          </w:p>
        </w:tc>
        <w:tc>
          <w:tcPr>
            <w:tcW w:w="1134" w:type="dxa"/>
            <w:tcBorders>
              <w:top w:val="nil"/>
              <w:left w:val="nil"/>
              <w:bottom w:val="nil"/>
              <w:right w:val="nil"/>
            </w:tcBorders>
            <w:shd w:val="clear" w:color="auto" w:fill="BFBFBF"/>
            <w:vAlign w:val="center"/>
          </w:tcPr>
          <w:p w14:paraId="08F8096C" w14:textId="77777777" w:rsidR="00645F04" w:rsidRPr="00EC63CB" w:rsidRDefault="00645F04" w:rsidP="0044781D">
            <w:pPr>
              <w:widowControl w:val="0"/>
              <w:spacing w:after="0" w:line="240" w:lineRule="auto"/>
              <w:jc w:val="right"/>
              <w:rPr>
                <w:rFonts w:eastAsia="Times New Roman" w:cs="Times New Roman"/>
                <w:sz w:val="18"/>
                <w:szCs w:val="18"/>
                <w:lang w:eastAsia="sk-SK"/>
              </w:rPr>
            </w:pPr>
            <w:r w:rsidRPr="00EC63CB">
              <w:rPr>
                <w:rFonts w:eastAsia="Times New Roman" w:cs="Times New Roman"/>
                <w:sz w:val="18"/>
                <w:szCs w:val="18"/>
                <w:lang w:eastAsia="sk-SK"/>
              </w:rPr>
              <w:t>2 982</w:t>
            </w:r>
          </w:p>
        </w:tc>
        <w:tc>
          <w:tcPr>
            <w:tcW w:w="992" w:type="dxa"/>
            <w:tcBorders>
              <w:top w:val="nil"/>
              <w:left w:val="nil"/>
              <w:bottom w:val="nil"/>
              <w:right w:val="nil"/>
            </w:tcBorders>
            <w:shd w:val="clear" w:color="auto" w:fill="FFFFFF"/>
            <w:vAlign w:val="center"/>
          </w:tcPr>
          <w:p w14:paraId="2E8E34D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1 239</w:t>
            </w:r>
          </w:p>
        </w:tc>
        <w:tc>
          <w:tcPr>
            <w:tcW w:w="709" w:type="dxa"/>
            <w:tcBorders>
              <w:top w:val="nil"/>
              <w:left w:val="nil"/>
              <w:bottom w:val="nil"/>
              <w:right w:val="nil"/>
            </w:tcBorders>
            <w:shd w:val="clear" w:color="auto" w:fill="FFFFFF"/>
            <w:vAlign w:val="center"/>
          </w:tcPr>
          <w:p w14:paraId="208D4C29"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71,1</w:t>
            </w:r>
          </w:p>
        </w:tc>
      </w:tr>
      <w:tr w:rsidR="00645F04" w:rsidRPr="000A3FA3" w14:paraId="5ECD2E8F" w14:textId="77777777" w:rsidTr="0044781D">
        <w:trPr>
          <w:trHeight w:val="320"/>
        </w:trPr>
        <w:tc>
          <w:tcPr>
            <w:tcW w:w="3321" w:type="dxa"/>
            <w:tcBorders>
              <w:top w:val="nil"/>
              <w:left w:val="nil"/>
              <w:bottom w:val="nil"/>
              <w:right w:val="nil"/>
            </w:tcBorders>
            <w:shd w:val="clear" w:color="auto" w:fill="FFFFFF"/>
            <w:vAlign w:val="center"/>
          </w:tcPr>
          <w:p w14:paraId="522705A3"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Tipos, národná lotériová spoločnosť, a.s. Bratislava</w:t>
            </w:r>
          </w:p>
        </w:tc>
        <w:tc>
          <w:tcPr>
            <w:tcW w:w="875" w:type="dxa"/>
            <w:tcBorders>
              <w:top w:val="nil"/>
              <w:left w:val="nil"/>
              <w:bottom w:val="nil"/>
              <w:right w:val="nil"/>
            </w:tcBorders>
            <w:shd w:val="clear" w:color="auto" w:fill="FFFFFF"/>
            <w:vAlign w:val="center"/>
          </w:tcPr>
          <w:p w14:paraId="3E102DD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8 000</w:t>
            </w:r>
          </w:p>
        </w:tc>
        <w:tc>
          <w:tcPr>
            <w:tcW w:w="992" w:type="dxa"/>
            <w:tcBorders>
              <w:top w:val="nil"/>
              <w:left w:val="nil"/>
              <w:bottom w:val="nil"/>
              <w:right w:val="nil"/>
            </w:tcBorders>
            <w:shd w:val="clear" w:color="auto" w:fill="FFFFFF"/>
            <w:vAlign w:val="center"/>
          </w:tcPr>
          <w:p w14:paraId="0DBC1D21"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6 000</w:t>
            </w:r>
          </w:p>
        </w:tc>
        <w:tc>
          <w:tcPr>
            <w:tcW w:w="992" w:type="dxa"/>
            <w:tcBorders>
              <w:top w:val="nil"/>
              <w:left w:val="nil"/>
              <w:bottom w:val="nil"/>
              <w:right w:val="nil"/>
            </w:tcBorders>
            <w:shd w:val="clear" w:color="auto" w:fill="FFFFFF"/>
            <w:vAlign w:val="center"/>
          </w:tcPr>
          <w:p w14:paraId="04B6240E"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3 000</w:t>
            </w:r>
          </w:p>
        </w:tc>
        <w:tc>
          <w:tcPr>
            <w:tcW w:w="1134" w:type="dxa"/>
            <w:tcBorders>
              <w:top w:val="nil"/>
              <w:left w:val="nil"/>
              <w:bottom w:val="nil"/>
              <w:right w:val="nil"/>
            </w:tcBorders>
            <w:shd w:val="clear" w:color="auto" w:fill="BFBFBF"/>
            <w:vAlign w:val="center"/>
          </w:tcPr>
          <w:p w14:paraId="5A91CEE1" w14:textId="77777777" w:rsidR="00645F04" w:rsidRPr="00EC63CB" w:rsidRDefault="00645F04" w:rsidP="0044781D">
            <w:pPr>
              <w:widowControl w:val="0"/>
              <w:spacing w:after="0" w:line="240" w:lineRule="auto"/>
              <w:jc w:val="right"/>
              <w:rPr>
                <w:rFonts w:eastAsia="Times New Roman" w:cs="Times New Roman"/>
                <w:sz w:val="18"/>
                <w:szCs w:val="18"/>
                <w:lang w:eastAsia="sk-SK"/>
              </w:rPr>
            </w:pPr>
            <w:r w:rsidRPr="00EC63CB">
              <w:rPr>
                <w:rFonts w:eastAsia="Times New Roman" w:cs="Times New Roman"/>
                <w:sz w:val="18"/>
                <w:szCs w:val="18"/>
                <w:lang w:eastAsia="sk-SK"/>
              </w:rPr>
              <w:t>2 000</w:t>
            </w:r>
          </w:p>
        </w:tc>
        <w:tc>
          <w:tcPr>
            <w:tcW w:w="992" w:type="dxa"/>
            <w:tcBorders>
              <w:top w:val="nil"/>
              <w:left w:val="nil"/>
              <w:bottom w:val="nil"/>
              <w:right w:val="nil"/>
            </w:tcBorders>
            <w:shd w:val="clear" w:color="auto" w:fill="FFFFFF"/>
            <w:vAlign w:val="center"/>
          </w:tcPr>
          <w:p w14:paraId="26BA6482"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-1 000</w:t>
            </w:r>
          </w:p>
        </w:tc>
        <w:tc>
          <w:tcPr>
            <w:tcW w:w="709" w:type="dxa"/>
            <w:tcBorders>
              <w:top w:val="nil"/>
              <w:left w:val="nil"/>
              <w:bottom w:val="nil"/>
              <w:right w:val="nil"/>
            </w:tcBorders>
            <w:shd w:val="clear" w:color="auto" w:fill="FFFFFF"/>
            <w:vAlign w:val="center"/>
          </w:tcPr>
          <w:p w14:paraId="57AE8FB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-33,3</w:t>
            </w:r>
          </w:p>
        </w:tc>
      </w:tr>
      <w:tr w:rsidR="00645F04" w:rsidRPr="000A3FA3" w14:paraId="20D2DCF9" w14:textId="77777777" w:rsidTr="0044781D">
        <w:trPr>
          <w:trHeight w:val="320"/>
        </w:trPr>
        <w:tc>
          <w:tcPr>
            <w:tcW w:w="3321" w:type="dxa"/>
            <w:tcBorders>
              <w:top w:val="nil"/>
              <w:left w:val="nil"/>
              <w:bottom w:val="nil"/>
              <w:right w:val="nil"/>
            </w:tcBorders>
            <w:shd w:val="clear" w:color="auto" w:fill="FFFFFF"/>
            <w:vAlign w:val="center"/>
          </w:tcPr>
          <w:p w14:paraId="181DF734" w14:textId="77777777" w:rsidR="00645F04" w:rsidRPr="000A3FA3" w:rsidRDefault="00645F04" w:rsidP="0044781D">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Ministerstvo hospodárstva SR</w:t>
            </w:r>
          </w:p>
        </w:tc>
        <w:tc>
          <w:tcPr>
            <w:tcW w:w="875" w:type="dxa"/>
            <w:tcBorders>
              <w:top w:val="nil"/>
              <w:left w:val="nil"/>
              <w:bottom w:val="nil"/>
              <w:right w:val="nil"/>
            </w:tcBorders>
            <w:shd w:val="clear" w:color="auto" w:fill="FFFFFF"/>
            <w:vAlign w:val="center"/>
          </w:tcPr>
          <w:p w14:paraId="50A150F8"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5 000</w:t>
            </w:r>
          </w:p>
        </w:tc>
        <w:tc>
          <w:tcPr>
            <w:tcW w:w="992" w:type="dxa"/>
            <w:tcBorders>
              <w:top w:val="nil"/>
              <w:left w:val="nil"/>
              <w:bottom w:val="nil"/>
              <w:right w:val="nil"/>
            </w:tcBorders>
            <w:shd w:val="clear" w:color="auto" w:fill="FFFFFF"/>
            <w:vAlign w:val="center"/>
          </w:tcPr>
          <w:p w14:paraId="57AC1415"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6 000</w:t>
            </w:r>
          </w:p>
        </w:tc>
        <w:tc>
          <w:tcPr>
            <w:tcW w:w="992" w:type="dxa"/>
            <w:tcBorders>
              <w:top w:val="nil"/>
              <w:left w:val="nil"/>
              <w:bottom w:val="nil"/>
              <w:right w:val="nil"/>
            </w:tcBorders>
            <w:shd w:val="clear" w:color="auto" w:fill="FFFFFF"/>
            <w:vAlign w:val="center"/>
          </w:tcPr>
          <w:p w14:paraId="7F8B493C"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9 032</w:t>
            </w:r>
          </w:p>
        </w:tc>
        <w:tc>
          <w:tcPr>
            <w:tcW w:w="1134" w:type="dxa"/>
            <w:tcBorders>
              <w:top w:val="nil"/>
              <w:left w:val="nil"/>
              <w:bottom w:val="nil"/>
              <w:right w:val="nil"/>
            </w:tcBorders>
            <w:shd w:val="clear" w:color="auto" w:fill="BFBFBF"/>
            <w:vAlign w:val="center"/>
          </w:tcPr>
          <w:p w14:paraId="1D857A4F"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4 960</w:t>
            </w:r>
          </w:p>
        </w:tc>
        <w:tc>
          <w:tcPr>
            <w:tcW w:w="992" w:type="dxa"/>
            <w:tcBorders>
              <w:top w:val="nil"/>
              <w:left w:val="nil"/>
              <w:bottom w:val="nil"/>
              <w:right w:val="nil"/>
            </w:tcBorders>
            <w:shd w:val="clear" w:color="auto" w:fill="FFFFFF"/>
            <w:vAlign w:val="center"/>
          </w:tcPr>
          <w:p w14:paraId="24B1F7C0"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-4 072</w:t>
            </w:r>
          </w:p>
        </w:tc>
        <w:tc>
          <w:tcPr>
            <w:tcW w:w="709" w:type="dxa"/>
            <w:tcBorders>
              <w:top w:val="nil"/>
              <w:left w:val="nil"/>
              <w:bottom w:val="nil"/>
              <w:right w:val="nil"/>
            </w:tcBorders>
            <w:shd w:val="clear" w:color="auto" w:fill="FFFFFF"/>
            <w:vAlign w:val="center"/>
          </w:tcPr>
          <w:p w14:paraId="5A7A4C6D"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-45,1</w:t>
            </w:r>
          </w:p>
        </w:tc>
      </w:tr>
      <w:tr w:rsidR="00645F04" w:rsidRPr="000A3FA3" w14:paraId="6E856E7E" w14:textId="77777777" w:rsidTr="0044781D">
        <w:trPr>
          <w:trHeight w:val="320"/>
        </w:trPr>
        <w:tc>
          <w:tcPr>
            <w:tcW w:w="3321" w:type="dxa"/>
            <w:tcBorders>
              <w:top w:val="nil"/>
              <w:left w:val="nil"/>
              <w:bottom w:val="nil"/>
              <w:right w:val="nil"/>
            </w:tcBorders>
            <w:shd w:val="clear" w:color="auto" w:fill="FFFFFF"/>
            <w:vAlign w:val="center"/>
          </w:tcPr>
          <w:p w14:paraId="5473FB19"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JAVYS, a.s.</w:t>
            </w:r>
          </w:p>
        </w:tc>
        <w:tc>
          <w:tcPr>
            <w:tcW w:w="875" w:type="dxa"/>
            <w:tcBorders>
              <w:top w:val="nil"/>
              <w:left w:val="nil"/>
              <w:bottom w:val="nil"/>
              <w:right w:val="nil"/>
            </w:tcBorders>
            <w:shd w:val="clear" w:color="auto" w:fill="FFFFFF"/>
            <w:vAlign w:val="center"/>
          </w:tcPr>
          <w:p w14:paraId="0074C23B"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5 000</w:t>
            </w:r>
          </w:p>
        </w:tc>
        <w:tc>
          <w:tcPr>
            <w:tcW w:w="992" w:type="dxa"/>
            <w:tcBorders>
              <w:top w:val="nil"/>
              <w:left w:val="nil"/>
              <w:bottom w:val="nil"/>
              <w:right w:val="nil"/>
            </w:tcBorders>
            <w:shd w:val="clear" w:color="auto" w:fill="FFFFFF"/>
            <w:vAlign w:val="center"/>
          </w:tcPr>
          <w:p w14:paraId="1A4C043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6 000</w:t>
            </w:r>
          </w:p>
        </w:tc>
        <w:tc>
          <w:tcPr>
            <w:tcW w:w="992" w:type="dxa"/>
            <w:tcBorders>
              <w:top w:val="nil"/>
              <w:left w:val="nil"/>
              <w:bottom w:val="nil"/>
              <w:right w:val="nil"/>
            </w:tcBorders>
            <w:shd w:val="clear" w:color="auto" w:fill="FFFFFF"/>
            <w:vAlign w:val="center"/>
          </w:tcPr>
          <w:p w14:paraId="714B517B"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2 032</w:t>
            </w:r>
          </w:p>
        </w:tc>
        <w:tc>
          <w:tcPr>
            <w:tcW w:w="1134" w:type="dxa"/>
            <w:tcBorders>
              <w:top w:val="nil"/>
              <w:left w:val="nil"/>
              <w:bottom w:val="nil"/>
              <w:right w:val="nil"/>
            </w:tcBorders>
            <w:shd w:val="clear" w:color="auto" w:fill="BFBFBF"/>
            <w:vAlign w:val="center"/>
          </w:tcPr>
          <w:p w14:paraId="7181BF4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4 960</w:t>
            </w:r>
          </w:p>
        </w:tc>
        <w:tc>
          <w:tcPr>
            <w:tcW w:w="992" w:type="dxa"/>
            <w:tcBorders>
              <w:top w:val="nil"/>
              <w:left w:val="nil"/>
              <w:bottom w:val="nil"/>
              <w:right w:val="nil"/>
            </w:tcBorders>
            <w:shd w:val="clear" w:color="auto" w:fill="FFFFFF"/>
            <w:vAlign w:val="center"/>
          </w:tcPr>
          <w:p w14:paraId="1994C684"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2 928</w:t>
            </w:r>
          </w:p>
        </w:tc>
        <w:tc>
          <w:tcPr>
            <w:tcW w:w="709" w:type="dxa"/>
            <w:tcBorders>
              <w:top w:val="nil"/>
              <w:left w:val="nil"/>
              <w:bottom w:val="nil"/>
              <w:right w:val="nil"/>
            </w:tcBorders>
            <w:shd w:val="clear" w:color="auto" w:fill="FFFFFF"/>
            <w:vAlign w:val="center"/>
          </w:tcPr>
          <w:p w14:paraId="7B906BD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144,1</w:t>
            </w:r>
          </w:p>
        </w:tc>
      </w:tr>
      <w:tr w:rsidR="00645F04" w:rsidRPr="000A3FA3" w14:paraId="4F3811DF" w14:textId="77777777" w:rsidTr="0044781D">
        <w:trPr>
          <w:trHeight w:val="320"/>
        </w:trPr>
        <w:tc>
          <w:tcPr>
            <w:tcW w:w="3321" w:type="dxa"/>
            <w:tcBorders>
              <w:top w:val="nil"/>
              <w:left w:val="nil"/>
              <w:bottom w:val="nil"/>
              <w:right w:val="nil"/>
            </w:tcBorders>
            <w:shd w:val="clear" w:color="auto" w:fill="FFFFFF"/>
            <w:vAlign w:val="center"/>
          </w:tcPr>
          <w:p w14:paraId="0FECC6E5"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Transpetrol, a.s.</w:t>
            </w:r>
          </w:p>
        </w:tc>
        <w:tc>
          <w:tcPr>
            <w:tcW w:w="875" w:type="dxa"/>
            <w:tcBorders>
              <w:top w:val="nil"/>
              <w:left w:val="nil"/>
              <w:bottom w:val="nil"/>
              <w:right w:val="nil"/>
            </w:tcBorders>
            <w:shd w:val="clear" w:color="auto" w:fill="FFFFFF"/>
            <w:vAlign w:val="center"/>
          </w:tcPr>
          <w:p w14:paraId="0997010F"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992" w:type="dxa"/>
            <w:tcBorders>
              <w:top w:val="nil"/>
              <w:left w:val="nil"/>
              <w:bottom w:val="nil"/>
              <w:right w:val="nil"/>
            </w:tcBorders>
            <w:shd w:val="clear" w:color="auto" w:fill="FFFFFF"/>
            <w:vAlign w:val="center"/>
          </w:tcPr>
          <w:p w14:paraId="011042F7"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992" w:type="dxa"/>
            <w:tcBorders>
              <w:top w:val="nil"/>
              <w:left w:val="nil"/>
              <w:bottom w:val="nil"/>
              <w:right w:val="nil"/>
            </w:tcBorders>
            <w:shd w:val="clear" w:color="auto" w:fill="FFFFFF"/>
            <w:vAlign w:val="center"/>
          </w:tcPr>
          <w:p w14:paraId="67E5BF24"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7 000</w:t>
            </w:r>
          </w:p>
        </w:tc>
        <w:tc>
          <w:tcPr>
            <w:tcW w:w="1134" w:type="dxa"/>
            <w:tcBorders>
              <w:top w:val="nil"/>
              <w:left w:val="nil"/>
              <w:bottom w:val="nil"/>
              <w:right w:val="nil"/>
            </w:tcBorders>
            <w:shd w:val="clear" w:color="auto" w:fill="BFBFBF"/>
            <w:vAlign w:val="center"/>
          </w:tcPr>
          <w:p w14:paraId="73E2B7DF"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992" w:type="dxa"/>
            <w:tcBorders>
              <w:top w:val="nil"/>
              <w:left w:val="nil"/>
              <w:bottom w:val="nil"/>
              <w:right w:val="nil"/>
            </w:tcBorders>
            <w:shd w:val="clear" w:color="auto" w:fill="FFFFFF"/>
            <w:vAlign w:val="center"/>
          </w:tcPr>
          <w:p w14:paraId="5BB4CB9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-7 000</w:t>
            </w:r>
          </w:p>
        </w:tc>
        <w:tc>
          <w:tcPr>
            <w:tcW w:w="709" w:type="dxa"/>
            <w:tcBorders>
              <w:top w:val="nil"/>
              <w:left w:val="nil"/>
              <w:bottom w:val="nil"/>
              <w:right w:val="nil"/>
            </w:tcBorders>
            <w:shd w:val="clear" w:color="auto" w:fill="FFFFFF"/>
            <w:vAlign w:val="center"/>
          </w:tcPr>
          <w:p w14:paraId="41F42B90"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-100,0</w:t>
            </w:r>
          </w:p>
        </w:tc>
      </w:tr>
      <w:tr w:rsidR="00645F04" w:rsidRPr="000A3FA3" w14:paraId="62BF468C" w14:textId="77777777" w:rsidTr="0044781D">
        <w:trPr>
          <w:trHeight w:val="320"/>
        </w:trPr>
        <w:tc>
          <w:tcPr>
            <w:tcW w:w="3321" w:type="dxa"/>
            <w:tcBorders>
              <w:top w:val="nil"/>
              <w:left w:val="nil"/>
              <w:bottom w:val="nil"/>
              <w:right w:val="nil"/>
            </w:tcBorders>
            <w:shd w:val="clear" w:color="auto" w:fill="FFFFFF"/>
            <w:vAlign w:val="center"/>
          </w:tcPr>
          <w:p w14:paraId="5C00E826" w14:textId="77777777" w:rsidR="00645F04" w:rsidRPr="000A3FA3" w:rsidRDefault="00645F04" w:rsidP="0044781D">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Ministerstvo dopravy a výstavby SR</w:t>
            </w:r>
          </w:p>
        </w:tc>
        <w:tc>
          <w:tcPr>
            <w:tcW w:w="875" w:type="dxa"/>
            <w:tcBorders>
              <w:top w:val="nil"/>
              <w:left w:val="nil"/>
              <w:bottom w:val="nil"/>
              <w:right w:val="nil"/>
            </w:tcBorders>
            <w:shd w:val="clear" w:color="auto" w:fill="FFFFFF"/>
            <w:vAlign w:val="center"/>
          </w:tcPr>
          <w:p w14:paraId="29D6F43D"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437</w:t>
            </w:r>
          </w:p>
        </w:tc>
        <w:tc>
          <w:tcPr>
            <w:tcW w:w="992" w:type="dxa"/>
            <w:tcBorders>
              <w:top w:val="nil"/>
              <w:left w:val="nil"/>
              <w:bottom w:val="nil"/>
              <w:right w:val="nil"/>
            </w:tcBorders>
            <w:shd w:val="clear" w:color="auto" w:fill="FFFFFF"/>
            <w:vAlign w:val="center"/>
          </w:tcPr>
          <w:p w14:paraId="36649A5B"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597</w:t>
            </w:r>
          </w:p>
        </w:tc>
        <w:tc>
          <w:tcPr>
            <w:tcW w:w="992" w:type="dxa"/>
            <w:tcBorders>
              <w:top w:val="nil"/>
              <w:left w:val="nil"/>
              <w:bottom w:val="nil"/>
              <w:right w:val="nil"/>
            </w:tcBorders>
            <w:shd w:val="clear" w:color="auto" w:fill="FFFFFF"/>
            <w:vAlign w:val="center"/>
          </w:tcPr>
          <w:p w14:paraId="4C8278DD"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510</w:t>
            </w:r>
          </w:p>
        </w:tc>
        <w:tc>
          <w:tcPr>
            <w:tcW w:w="1134" w:type="dxa"/>
            <w:tcBorders>
              <w:top w:val="nil"/>
              <w:left w:val="nil"/>
              <w:bottom w:val="nil"/>
              <w:right w:val="nil"/>
            </w:tcBorders>
            <w:shd w:val="clear" w:color="auto" w:fill="BFBFBF"/>
            <w:vAlign w:val="center"/>
          </w:tcPr>
          <w:p w14:paraId="44638E07"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768</w:t>
            </w:r>
          </w:p>
        </w:tc>
        <w:tc>
          <w:tcPr>
            <w:tcW w:w="992" w:type="dxa"/>
            <w:tcBorders>
              <w:top w:val="nil"/>
              <w:left w:val="nil"/>
              <w:bottom w:val="nil"/>
              <w:right w:val="nil"/>
            </w:tcBorders>
            <w:shd w:val="clear" w:color="auto" w:fill="FFFFFF"/>
            <w:vAlign w:val="center"/>
          </w:tcPr>
          <w:p w14:paraId="3A4C70EB"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258</w:t>
            </w:r>
          </w:p>
        </w:tc>
        <w:tc>
          <w:tcPr>
            <w:tcW w:w="709" w:type="dxa"/>
            <w:tcBorders>
              <w:top w:val="nil"/>
              <w:left w:val="nil"/>
              <w:bottom w:val="nil"/>
              <w:right w:val="nil"/>
            </w:tcBorders>
            <w:shd w:val="clear" w:color="auto" w:fill="FFFFFF"/>
            <w:vAlign w:val="center"/>
          </w:tcPr>
          <w:p w14:paraId="2194C110"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50,6</w:t>
            </w:r>
          </w:p>
        </w:tc>
      </w:tr>
      <w:tr w:rsidR="00645F04" w:rsidRPr="000A3FA3" w14:paraId="6133FA76" w14:textId="77777777" w:rsidTr="0044781D">
        <w:trPr>
          <w:trHeight w:val="320"/>
        </w:trPr>
        <w:tc>
          <w:tcPr>
            <w:tcW w:w="3321" w:type="dxa"/>
            <w:tcBorders>
              <w:top w:val="nil"/>
              <w:left w:val="nil"/>
              <w:bottom w:val="nil"/>
              <w:right w:val="nil"/>
            </w:tcBorders>
            <w:shd w:val="clear" w:color="auto" w:fill="FFFFFF"/>
            <w:vAlign w:val="center"/>
          </w:tcPr>
          <w:p w14:paraId="5F024A7D"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Letisko Košice - </w:t>
            </w:r>
            <w:proofErr w:type="spellStart"/>
            <w:r w:rsidRPr="000A3FA3">
              <w:rPr>
                <w:rFonts w:eastAsia="Times New Roman" w:cs="Times New Roman"/>
                <w:sz w:val="18"/>
                <w:szCs w:val="18"/>
                <w:lang w:eastAsia="sk-SK"/>
              </w:rPr>
              <w:t>Airport</w:t>
            </w:r>
            <w:proofErr w:type="spellEnd"/>
            <w:r w:rsidRPr="000A3FA3">
              <w:rPr>
                <w:rFonts w:eastAsia="Times New Roman" w:cs="Times New Roman"/>
                <w:sz w:val="18"/>
                <w:szCs w:val="18"/>
                <w:lang w:eastAsia="sk-SK"/>
              </w:rPr>
              <w:t xml:space="preserve"> Košice, a.s.</w:t>
            </w:r>
          </w:p>
        </w:tc>
        <w:tc>
          <w:tcPr>
            <w:tcW w:w="875" w:type="dxa"/>
            <w:tcBorders>
              <w:top w:val="nil"/>
              <w:left w:val="nil"/>
              <w:bottom w:val="nil"/>
              <w:right w:val="nil"/>
            </w:tcBorders>
            <w:shd w:val="clear" w:color="auto" w:fill="FFFFFF"/>
            <w:vAlign w:val="center"/>
          </w:tcPr>
          <w:p w14:paraId="75F0913F"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433</w:t>
            </w:r>
          </w:p>
        </w:tc>
        <w:tc>
          <w:tcPr>
            <w:tcW w:w="992" w:type="dxa"/>
            <w:tcBorders>
              <w:top w:val="nil"/>
              <w:left w:val="nil"/>
              <w:bottom w:val="nil"/>
              <w:right w:val="nil"/>
            </w:tcBorders>
            <w:shd w:val="clear" w:color="auto" w:fill="FFFFFF"/>
            <w:vAlign w:val="center"/>
          </w:tcPr>
          <w:p w14:paraId="2901170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570</w:t>
            </w:r>
          </w:p>
        </w:tc>
        <w:tc>
          <w:tcPr>
            <w:tcW w:w="992" w:type="dxa"/>
            <w:tcBorders>
              <w:top w:val="nil"/>
              <w:left w:val="nil"/>
              <w:bottom w:val="nil"/>
              <w:right w:val="nil"/>
            </w:tcBorders>
            <w:shd w:val="clear" w:color="auto" w:fill="FFFFFF"/>
            <w:vAlign w:val="center"/>
          </w:tcPr>
          <w:p w14:paraId="29DDF643"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510</w:t>
            </w:r>
          </w:p>
        </w:tc>
        <w:tc>
          <w:tcPr>
            <w:tcW w:w="1134" w:type="dxa"/>
            <w:tcBorders>
              <w:top w:val="nil"/>
              <w:left w:val="nil"/>
              <w:bottom w:val="nil"/>
              <w:right w:val="nil"/>
            </w:tcBorders>
            <w:shd w:val="clear" w:color="auto" w:fill="BFBFBF"/>
            <w:vAlign w:val="center"/>
          </w:tcPr>
          <w:p w14:paraId="433D2615"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757</w:t>
            </w:r>
          </w:p>
        </w:tc>
        <w:tc>
          <w:tcPr>
            <w:tcW w:w="992" w:type="dxa"/>
            <w:tcBorders>
              <w:top w:val="nil"/>
              <w:left w:val="nil"/>
              <w:bottom w:val="nil"/>
              <w:right w:val="nil"/>
            </w:tcBorders>
            <w:shd w:val="clear" w:color="auto" w:fill="FFFFFF"/>
            <w:vAlign w:val="center"/>
          </w:tcPr>
          <w:p w14:paraId="1BEAC0E2"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247</w:t>
            </w:r>
          </w:p>
        </w:tc>
        <w:tc>
          <w:tcPr>
            <w:tcW w:w="709" w:type="dxa"/>
            <w:tcBorders>
              <w:top w:val="nil"/>
              <w:left w:val="nil"/>
              <w:bottom w:val="nil"/>
              <w:right w:val="nil"/>
            </w:tcBorders>
            <w:shd w:val="clear" w:color="auto" w:fill="FFFFFF"/>
            <w:vAlign w:val="center"/>
          </w:tcPr>
          <w:p w14:paraId="17F65BFF"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48,4</w:t>
            </w:r>
          </w:p>
        </w:tc>
      </w:tr>
      <w:tr w:rsidR="00645F04" w:rsidRPr="000A3FA3" w14:paraId="3E881006" w14:textId="77777777" w:rsidTr="0044781D">
        <w:trPr>
          <w:trHeight w:val="320"/>
        </w:trPr>
        <w:tc>
          <w:tcPr>
            <w:tcW w:w="3321" w:type="dxa"/>
            <w:tcBorders>
              <w:top w:val="nil"/>
              <w:left w:val="nil"/>
              <w:bottom w:val="nil"/>
              <w:right w:val="nil"/>
            </w:tcBorders>
            <w:shd w:val="clear" w:color="auto" w:fill="FFFFFF"/>
            <w:vAlign w:val="center"/>
          </w:tcPr>
          <w:p w14:paraId="221C5CE2"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Poštová banka, a.s.</w:t>
            </w:r>
          </w:p>
        </w:tc>
        <w:tc>
          <w:tcPr>
            <w:tcW w:w="875" w:type="dxa"/>
            <w:tcBorders>
              <w:top w:val="nil"/>
              <w:left w:val="nil"/>
              <w:bottom w:val="nil"/>
              <w:right w:val="nil"/>
            </w:tcBorders>
            <w:shd w:val="clear" w:color="auto" w:fill="FFFFFF"/>
            <w:vAlign w:val="center"/>
          </w:tcPr>
          <w:p w14:paraId="3523FFA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w:t>
            </w:r>
          </w:p>
        </w:tc>
        <w:tc>
          <w:tcPr>
            <w:tcW w:w="992" w:type="dxa"/>
            <w:tcBorders>
              <w:top w:val="nil"/>
              <w:left w:val="nil"/>
              <w:bottom w:val="nil"/>
              <w:right w:val="nil"/>
            </w:tcBorders>
            <w:shd w:val="clear" w:color="auto" w:fill="FFFFFF"/>
            <w:vAlign w:val="center"/>
          </w:tcPr>
          <w:p w14:paraId="411464D1"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7</w:t>
            </w:r>
          </w:p>
        </w:tc>
        <w:tc>
          <w:tcPr>
            <w:tcW w:w="992" w:type="dxa"/>
            <w:tcBorders>
              <w:top w:val="nil"/>
              <w:left w:val="nil"/>
              <w:bottom w:val="nil"/>
              <w:right w:val="nil"/>
            </w:tcBorders>
            <w:shd w:val="clear" w:color="auto" w:fill="FFFFFF"/>
            <w:vAlign w:val="center"/>
          </w:tcPr>
          <w:p w14:paraId="466C7F04"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1134" w:type="dxa"/>
            <w:tcBorders>
              <w:top w:val="nil"/>
              <w:left w:val="nil"/>
              <w:bottom w:val="nil"/>
              <w:right w:val="nil"/>
            </w:tcBorders>
            <w:shd w:val="clear" w:color="auto" w:fill="BFBFBF"/>
            <w:vAlign w:val="center"/>
          </w:tcPr>
          <w:p w14:paraId="4B51952B"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11</w:t>
            </w:r>
          </w:p>
        </w:tc>
        <w:tc>
          <w:tcPr>
            <w:tcW w:w="992" w:type="dxa"/>
            <w:tcBorders>
              <w:top w:val="nil"/>
              <w:left w:val="nil"/>
              <w:bottom w:val="nil"/>
              <w:right w:val="nil"/>
            </w:tcBorders>
            <w:shd w:val="clear" w:color="auto" w:fill="FFFFFF"/>
            <w:vAlign w:val="center"/>
          </w:tcPr>
          <w:p w14:paraId="13D46ED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11</w:t>
            </w:r>
          </w:p>
        </w:tc>
        <w:tc>
          <w:tcPr>
            <w:tcW w:w="709" w:type="dxa"/>
            <w:tcBorders>
              <w:top w:val="nil"/>
              <w:left w:val="nil"/>
              <w:bottom w:val="nil"/>
              <w:right w:val="nil"/>
            </w:tcBorders>
            <w:shd w:val="clear" w:color="auto" w:fill="FFFFFF"/>
            <w:vAlign w:val="center"/>
          </w:tcPr>
          <w:p w14:paraId="57ADB866"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x</w:t>
            </w:r>
          </w:p>
        </w:tc>
      </w:tr>
      <w:tr w:rsidR="00645F04" w:rsidRPr="000A3FA3" w14:paraId="47075243" w14:textId="77777777" w:rsidTr="0044781D">
        <w:trPr>
          <w:trHeight w:val="320"/>
        </w:trPr>
        <w:tc>
          <w:tcPr>
            <w:tcW w:w="3321" w:type="dxa"/>
            <w:tcBorders>
              <w:top w:val="nil"/>
              <w:left w:val="nil"/>
              <w:bottom w:val="nil"/>
              <w:right w:val="nil"/>
            </w:tcBorders>
            <w:shd w:val="clear" w:color="auto" w:fill="FFFFFF"/>
            <w:vAlign w:val="center"/>
          </w:tcPr>
          <w:p w14:paraId="04DB9066" w14:textId="77777777" w:rsidR="00645F04" w:rsidRPr="000A3FA3" w:rsidRDefault="00645F04" w:rsidP="0044781D">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Letisko Sliač, a.s.</w:t>
            </w:r>
          </w:p>
        </w:tc>
        <w:tc>
          <w:tcPr>
            <w:tcW w:w="875" w:type="dxa"/>
            <w:tcBorders>
              <w:top w:val="nil"/>
              <w:left w:val="nil"/>
              <w:bottom w:val="nil"/>
              <w:right w:val="nil"/>
            </w:tcBorders>
            <w:shd w:val="clear" w:color="auto" w:fill="FFFFFF"/>
            <w:vAlign w:val="center"/>
          </w:tcPr>
          <w:p w14:paraId="763F40D7"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992" w:type="dxa"/>
            <w:tcBorders>
              <w:top w:val="nil"/>
              <w:left w:val="nil"/>
              <w:bottom w:val="nil"/>
              <w:right w:val="nil"/>
            </w:tcBorders>
            <w:shd w:val="clear" w:color="auto" w:fill="FFFFFF"/>
            <w:vAlign w:val="center"/>
          </w:tcPr>
          <w:p w14:paraId="73A76340"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20</w:t>
            </w:r>
          </w:p>
        </w:tc>
        <w:tc>
          <w:tcPr>
            <w:tcW w:w="992" w:type="dxa"/>
            <w:tcBorders>
              <w:top w:val="nil"/>
              <w:left w:val="nil"/>
              <w:bottom w:val="nil"/>
              <w:right w:val="nil"/>
            </w:tcBorders>
            <w:shd w:val="clear" w:color="auto" w:fill="FFFFFF"/>
            <w:vAlign w:val="center"/>
          </w:tcPr>
          <w:p w14:paraId="779784DC"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1134" w:type="dxa"/>
            <w:tcBorders>
              <w:top w:val="nil"/>
              <w:left w:val="nil"/>
              <w:bottom w:val="nil"/>
              <w:right w:val="nil"/>
            </w:tcBorders>
            <w:shd w:val="clear" w:color="auto" w:fill="BFBFBF"/>
            <w:vAlign w:val="center"/>
          </w:tcPr>
          <w:p w14:paraId="0AD0DA72"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992" w:type="dxa"/>
            <w:tcBorders>
              <w:top w:val="nil"/>
              <w:left w:val="nil"/>
              <w:bottom w:val="nil"/>
              <w:right w:val="nil"/>
            </w:tcBorders>
            <w:shd w:val="clear" w:color="auto" w:fill="FFFFFF"/>
            <w:vAlign w:val="center"/>
          </w:tcPr>
          <w:p w14:paraId="0958F7E5"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w:t>
            </w:r>
          </w:p>
        </w:tc>
        <w:tc>
          <w:tcPr>
            <w:tcW w:w="709" w:type="dxa"/>
            <w:tcBorders>
              <w:top w:val="nil"/>
              <w:left w:val="nil"/>
              <w:bottom w:val="nil"/>
              <w:right w:val="nil"/>
            </w:tcBorders>
            <w:shd w:val="clear" w:color="auto" w:fill="FFFFFF"/>
            <w:vAlign w:val="center"/>
          </w:tcPr>
          <w:p w14:paraId="352AD3AD" w14:textId="77777777" w:rsidR="00645F04" w:rsidRPr="000A3FA3" w:rsidRDefault="00645F04" w:rsidP="0044781D">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x</w:t>
            </w:r>
          </w:p>
        </w:tc>
      </w:tr>
      <w:tr w:rsidR="00645F04" w:rsidRPr="000A3FA3" w14:paraId="54464A36" w14:textId="77777777" w:rsidTr="0044781D">
        <w:trPr>
          <w:trHeight w:val="257"/>
        </w:trPr>
        <w:tc>
          <w:tcPr>
            <w:tcW w:w="3321" w:type="dxa"/>
            <w:tcBorders>
              <w:top w:val="nil"/>
              <w:left w:val="nil"/>
              <w:bottom w:val="nil"/>
              <w:right w:val="nil"/>
            </w:tcBorders>
            <w:shd w:val="clear" w:color="auto" w:fill="FFFFFF"/>
            <w:vAlign w:val="center"/>
          </w:tcPr>
          <w:p w14:paraId="348A5C61" w14:textId="77777777" w:rsidR="00645F04" w:rsidRPr="000A3FA3" w:rsidRDefault="00645F04" w:rsidP="0044781D">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 xml:space="preserve">Ministerstvo </w:t>
            </w:r>
            <w:proofErr w:type="spellStart"/>
            <w:r w:rsidRPr="000A3FA3">
              <w:rPr>
                <w:rFonts w:eastAsia="Times New Roman" w:cs="Times New Roman"/>
                <w:b/>
                <w:sz w:val="18"/>
                <w:szCs w:val="18"/>
                <w:lang w:eastAsia="sk-SK"/>
              </w:rPr>
              <w:t>zahranič</w:t>
            </w:r>
            <w:proofErr w:type="spellEnd"/>
            <w:r w:rsidRPr="000A3FA3">
              <w:rPr>
                <w:rFonts w:eastAsia="Times New Roman" w:cs="Times New Roman"/>
                <w:b/>
                <w:sz w:val="18"/>
                <w:szCs w:val="18"/>
                <w:lang w:eastAsia="sk-SK"/>
              </w:rPr>
              <w:t>.</w:t>
            </w:r>
            <w:r>
              <w:rPr>
                <w:rFonts w:eastAsia="Times New Roman" w:cs="Times New Roman"/>
                <w:b/>
                <w:sz w:val="18"/>
                <w:szCs w:val="18"/>
                <w:lang w:eastAsia="sk-SK"/>
              </w:rPr>
              <w:t xml:space="preserve"> </w:t>
            </w:r>
            <w:r w:rsidRPr="000A3FA3">
              <w:rPr>
                <w:rFonts w:eastAsia="Times New Roman" w:cs="Times New Roman"/>
                <w:b/>
                <w:sz w:val="18"/>
                <w:szCs w:val="18"/>
                <w:lang w:eastAsia="sk-SK"/>
              </w:rPr>
              <w:t>vecí a európskych záležitostí SR</w:t>
            </w:r>
          </w:p>
        </w:tc>
        <w:tc>
          <w:tcPr>
            <w:tcW w:w="875" w:type="dxa"/>
            <w:tcBorders>
              <w:top w:val="nil"/>
              <w:left w:val="nil"/>
              <w:bottom w:val="nil"/>
              <w:right w:val="nil"/>
            </w:tcBorders>
            <w:shd w:val="clear" w:color="auto" w:fill="FFFFFF"/>
            <w:vAlign w:val="center"/>
          </w:tcPr>
          <w:p w14:paraId="3B06B467"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210</w:t>
            </w:r>
          </w:p>
        </w:tc>
        <w:tc>
          <w:tcPr>
            <w:tcW w:w="992" w:type="dxa"/>
            <w:tcBorders>
              <w:top w:val="nil"/>
              <w:left w:val="nil"/>
              <w:bottom w:val="nil"/>
              <w:right w:val="nil"/>
            </w:tcBorders>
            <w:shd w:val="clear" w:color="auto" w:fill="FFFFFF"/>
            <w:vAlign w:val="center"/>
          </w:tcPr>
          <w:p w14:paraId="0B43B1FB"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213</w:t>
            </w:r>
          </w:p>
        </w:tc>
        <w:tc>
          <w:tcPr>
            <w:tcW w:w="992" w:type="dxa"/>
            <w:tcBorders>
              <w:top w:val="nil"/>
              <w:left w:val="nil"/>
              <w:bottom w:val="nil"/>
              <w:right w:val="nil"/>
            </w:tcBorders>
            <w:shd w:val="clear" w:color="auto" w:fill="FFFFFF"/>
            <w:vAlign w:val="center"/>
          </w:tcPr>
          <w:p w14:paraId="3F0FA680" w14:textId="77777777" w:rsidR="00645F04" w:rsidRPr="000A3FA3" w:rsidRDefault="00645F04" w:rsidP="0044781D">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217</w:t>
            </w:r>
          </w:p>
        </w:tc>
        <w:tc>
          <w:tcPr>
            <w:tcW w:w="1134" w:type="dxa"/>
            <w:tcBorders>
              <w:top w:val="nil"/>
              <w:left w:val="nil"/>
              <w:bottom w:val="nil"/>
              <w:right w:val="nil"/>
            </w:tcBorders>
            <w:shd w:val="clear" w:color="auto" w:fill="BFBFBF"/>
            <w:vAlign w:val="center"/>
          </w:tcPr>
          <w:p w14:paraId="56735ECE"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216</w:t>
            </w:r>
          </w:p>
        </w:tc>
        <w:tc>
          <w:tcPr>
            <w:tcW w:w="992" w:type="dxa"/>
            <w:tcBorders>
              <w:top w:val="nil"/>
              <w:left w:val="nil"/>
              <w:bottom w:val="nil"/>
              <w:right w:val="nil"/>
            </w:tcBorders>
            <w:shd w:val="clear" w:color="auto" w:fill="FFFFFF"/>
            <w:vAlign w:val="center"/>
          </w:tcPr>
          <w:p w14:paraId="2308EAAA"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-1</w:t>
            </w:r>
          </w:p>
        </w:tc>
        <w:tc>
          <w:tcPr>
            <w:tcW w:w="709" w:type="dxa"/>
            <w:tcBorders>
              <w:top w:val="nil"/>
              <w:left w:val="nil"/>
              <w:bottom w:val="nil"/>
              <w:right w:val="nil"/>
            </w:tcBorders>
            <w:shd w:val="clear" w:color="auto" w:fill="FFFFFF"/>
            <w:vAlign w:val="center"/>
          </w:tcPr>
          <w:p w14:paraId="281F4FD4" w14:textId="77777777" w:rsidR="00645F04" w:rsidRPr="00380877" w:rsidRDefault="00645F04" w:rsidP="0044781D">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-0,5</w:t>
            </w:r>
          </w:p>
        </w:tc>
      </w:tr>
      <w:tr w:rsidR="00EA177A" w:rsidRPr="000A3FA3" w14:paraId="1C2719B5" w14:textId="77777777" w:rsidTr="00996D2F">
        <w:trPr>
          <w:trHeight w:val="320"/>
        </w:trPr>
        <w:tc>
          <w:tcPr>
            <w:tcW w:w="3321" w:type="dxa"/>
            <w:tcBorders>
              <w:top w:val="nil"/>
              <w:left w:val="nil"/>
              <w:bottom w:val="nil"/>
              <w:right w:val="nil"/>
            </w:tcBorders>
            <w:shd w:val="clear" w:color="auto" w:fill="FFFFFF"/>
            <w:vAlign w:val="center"/>
          </w:tcPr>
          <w:p w14:paraId="0B119AD9" w14:textId="77777777" w:rsidR="00EA177A" w:rsidRPr="000A3FA3" w:rsidRDefault="00EA177A" w:rsidP="00C704A7">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Správa služieb diplomatického zboru, a.s.</w:t>
            </w:r>
          </w:p>
        </w:tc>
        <w:tc>
          <w:tcPr>
            <w:tcW w:w="875" w:type="dxa"/>
            <w:tcBorders>
              <w:top w:val="nil"/>
              <w:left w:val="nil"/>
              <w:bottom w:val="nil"/>
              <w:right w:val="nil"/>
            </w:tcBorders>
            <w:shd w:val="clear" w:color="auto" w:fill="FFFFFF"/>
            <w:vAlign w:val="center"/>
          </w:tcPr>
          <w:p w14:paraId="3D6E1AB9"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210</w:t>
            </w:r>
          </w:p>
        </w:tc>
        <w:tc>
          <w:tcPr>
            <w:tcW w:w="992" w:type="dxa"/>
            <w:tcBorders>
              <w:top w:val="nil"/>
              <w:left w:val="nil"/>
              <w:bottom w:val="nil"/>
              <w:right w:val="nil"/>
            </w:tcBorders>
            <w:shd w:val="clear" w:color="auto" w:fill="FFFFFF"/>
            <w:vAlign w:val="center"/>
          </w:tcPr>
          <w:p w14:paraId="44040545"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213</w:t>
            </w:r>
          </w:p>
        </w:tc>
        <w:tc>
          <w:tcPr>
            <w:tcW w:w="992" w:type="dxa"/>
            <w:tcBorders>
              <w:top w:val="nil"/>
              <w:left w:val="nil"/>
              <w:bottom w:val="nil"/>
              <w:right w:val="nil"/>
            </w:tcBorders>
            <w:shd w:val="clear" w:color="auto" w:fill="FFFFFF"/>
            <w:vAlign w:val="center"/>
          </w:tcPr>
          <w:p w14:paraId="694B0EA4"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217</w:t>
            </w:r>
          </w:p>
        </w:tc>
        <w:tc>
          <w:tcPr>
            <w:tcW w:w="1134" w:type="dxa"/>
            <w:tcBorders>
              <w:top w:val="nil"/>
              <w:left w:val="nil"/>
              <w:bottom w:val="nil"/>
              <w:right w:val="nil"/>
            </w:tcBorders>
            <w:shd w:val="clear" w:color="auto" w:fill="BFBFBF"/>
            <w:vAlign w:val="center"/>
          </w:tcPr>
          <w:p w14:paraId="7F7D9CF7" w14:textId="77777777" w:rsidR="00EA177A" w:rsidRPr="00EC63CB" w:rsidRDefault="00EA177A" w:rsidP="00C704A7">
            <w:pPr>
              <w:widowControl w:val="0"/>
              <w:spacing w:after="0" w:line="240" w:lineRule="auto"/>
              <w:jc w:val="right"/>
              <w:rPr>
                <w:rFonts w:eastAsia="Times New Roman" w:cs="Times New Roman"/>
                <w:sz w:val="18"/>
                <w:szCs w:val="18"/>
                <w:lang w:eastAsia="sk-SK"/>
              </w:rPr>
            </w:pPr>
            <w:r w:rsidRPr="00EC63CB">
              <w:rPr>
                <w:rFonts w:eastAsia="Times New Roman" w:cs="Times New Roman"/>
                <w:sz w:val="18"/>
                <w:szCs w:val="18"/>
                <w:lang w:eastAsia="sk-SK"/>
              </w:rPr>
              <w:t>216</w:t>
            </w:r>
          </w:p>
        </w:tc>
        <w:tc>
          <w:tcPr>
            <w:tcW w:w="992" w:type="dxa"/>
            <w:tcBorders>
              <w:top w:val="nil"/>
              <w:left w:val="nil"/>
              <w:bottom w:val="nil"/>
              <w:right w:val="nil"/>
            </w:tcBorders>
            <w:shd w:val="clear" w:color="auto" w:fill="FFFFFF"/>
            <w:vAlign w:val="center"/>
          </w:tcPr>
          <w:p w14:paraId="10FBA572"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-1</w:t>
            </w:r>
          </w:p>
        </w:tc>
        <w:tc>
          <w:tcPr>
            <w:tcW w:w="709" w:type="dxa"/>
            <w:tcBorders>
              <w:top w:val="nil"/>
              <w:left w:val="nil"/>
              <w:bottom w:val="nil"/>
              <w:right w:val="nil"/>
            </w:tcBorders>
            <w:shd w:val="clear" w:color="auto" w:fill="FFFFFF"/>
            <w:vAlign w:val="center"/>
          </w:tcPr>
          <w:p w14:paraId="2106C7AE"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-0,5</w:t>
            </w:r>
          </w:p>
        </w:tc>
      </w:tr>
      <w:tr w:rsidR="00EA177A" w:rsidRPr="000A3FA3" w14:paraId="66EEEE9B" w14:textId="77777777" w:rsidTr="00996D2F">
        <w:trPr>
          <w:trHeight w:val="320"/>
        </w:trPr>
        <w:tc>
          <w:tcPr>
            <w:tcW w:w="3321" w:type="dxa"/>
            <w:tcBorders>
              <w:top w:val="nil"/>
              <w:left w:val="nil"/>
              <w:bottom w:val="nil"/>
              <w:right w:val="nil"/>
            </w:tcBorders>
            <w:shd w:val="clear" w:color="auto" w:fill="FFFFFF"/>
            <w:vAlign w:val="center"/>
          </w:tcPr>
          <w:p w14:paraId="41ACD11D" w14:textId="77777777" w:rsidR="00EA177A" w:rsidRPr="000A3FA3" w:rsidRDefault="00EA177A" w:rsidP="00C704A7">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Ministerstvo práce, sociálnych vecí a rodiny SR</w:t>
            </w:r>
          </w:p>
        </w:tc>
        <w:tc>
          <w:tcPr>
            <w:tcW w:w="875" w:type="dxa"/>
            <w:tcBorders>
              <w:top w:val="nil"/>
              <w:left w:val="nil"/>
              <w:bottom w:val="nil"/>
              <w:right w:val="nil"/>
            </w:tcBorders>
            <w:shd w:val="clear" w:color="auto" w:fill="FFFFFF"/>
            <w:vAlign w:val="center"/>
          </w:tcPr>
          <w:p w14:paraId="1DDF0AFF"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47</w:t>
            </w:r>
          </w:p>
        </w:tc>
        <w:tc>
          <w:tcPr>
            <w:tcW w:w="992" w:type="dxa"/>
            <w:tcBorders>
              <w:top w:val="nil"/>
              <w:left w:val="nil"/>
              <w:bottom w:val="nil"/>
              <w:right w:val="nil"/>
            </w:tcBorders>
            <w:shd w:val="clear" w:color="auto" w:fill="FFFFFF"/>
            <w:vAlign w:val="center"/>
          </w:tcPr>
          <w:p w14:paraId="10B59ABA"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63</w:t>
            </w:r>
          </w:p>
        </w:tc>
        <w:tc>
          <w:tcPr>
            <w:tcW w:w="992" w:type="dxa"/>
            <w:tcBorders>
              <w:top w:val="nil"/>
              <w:left w:val="nil"/>
              <w:bottom w:val="nil"/>
              <w:right w:val="nil"/>
            </w:tcBorders>
            <w:shd w:val="clear" w:color="auto" w:fill="FFFFFF"/>
            <w:vAlign w:val="center"/>
          </w:tcPr>
          <w:p w14:paraId="21FD8CFE"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32</w:t>
            </w:r>
          </w:p>
        </w:tc>
        <w:tc>
          <w:tcPr>
            <w:tcW w:w="1134" w:type="dxa"/>
            <w:tcBorders>
              <w:top w:val="nil"/>
              <w:left w:val="nil"/>
              <w:bottom w:val="nil"/>
              <w:right w:val="nil"/>
            </w:tcBorders>
            <w:shd w:val="clear" w:color="auto" w:fill="BFBFBF"/>
            <w:vAlign w:val="center"/>
          </w:tcPr>
          <w:p w14:paraId="1716A153" w14:textId="77777777" w:rsidR="00EA177A" w:rsidRPr="00380877" w:rsidRDefault="00EA177A" w:rsidP="00C704A7">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53</w:t>
            </w:r>
          </w:p>
        </w:tc>
        <w:tc>
          <w:tcPr>
            <w:tcW w:w="992" w:type="dxa"/>
            <w:tcBorders>
              <w:top w:val="nil"/>
              <w:left w:val="nil"/>
              <w:bottom w:val="nil"/>
              <w:right w:val="nil"/>
            </w:tcBorders>
            <w:shd w:val="clear" w:color="auto" w:fill="FFFFFF"/>
            <w:vAlign w:val="center"/>
          </w:tcPr>
          <w:p w14:paraId="5A37B7B4" w14:textId="77777777" w:rsidR="00EA177A" w:rsidRPr="00380877" w:rsidRDefault="00EA177A" w:rsidP="00C704A7">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21</w:t>
            </w:r>
          </w:p>
        </w:tc>
        <w:tc>
          <w:tcPr>
            <w:tcW w:w="709" w:type="dxa"/>
            <w:tcBorders>
              <w:top w:val="nil"/>
              <w:left w:val="nil"/>
              <w:bottom w:val="nil"/>
              <w:right w:val="nil"/>
            </w:tcBorders>
            <w:shd w:val="clear" w:color="auto" w:fill="FFFFFF"/>
            <w:vAlign w:val="center"/>
          </w:tcPr>
          <w:p w14:paraId="268F6A54" w14:textId="77777777" w:rsidR="00EA177A" w:rsidRPr="00380877" w:rsidRDefault="00EA177A" w:rsidP="00C704A7">
            <w:pPr>
              <w:widowControl w:val="0"/>
              <w:spacing w:after="0" w:line="240" w:lineRule="auto"/>
              <w:jc w:val="right"/>
              <w:rPr>
                <w:rFonts w:eastAsia="Times New Roman" w:cs="Times New Roman"/>
                <w:b/>
                <w:sz w:val="18"/>
                <w:szCs w:val="18"/>
                <w:lang w:eastAsia="sk-SK"/>
              </w:rPr>
            </w:pPr>
            <w:r w:rsidRPr="00380877">
              <w:rPr>
                <w:rFonts w:eastAsia="Times New Roman" w:cs="Times New Roman"/>
                <w:b/>
                <w:sz w:val="18"/>
                <w:szCs w:val="18"/>
                <w:lang w:eastAsia="sk-SK"/>
              </w:rPr>
              <w:t>65,6</w:t>
            </w:r>
          </w:p>
        </w:tc>
      </w:tr>
      <w:tr w:rsidR="00EA177A" w:rsidRPr="000A3FA3" w14:paraId="1724D0F8" w14:textId="77777777" w:rsidTr="00996D2F">
        <w:trPr>
          <w:trHeight w:val="320"/>
        </w:trPr>
        <w:tc>
          <w:tcPr>
            <w:tcW w:w="3321" w:type="dxa"/>
            <w:tcBorders>
              <w:top w:val="nil"/>
              <w:left w:val="nil"/>
              <w:bottom w:val="nil"/>
              <w:right w:val="nil"/>
            </w:tcBorders>
            <w:shd w:val="clear" w:color="auto" w:fill="FFFFFF"/>
            <w:vAlign w:val="center"/>
          </w:tcPr>
          <w:p w14:paraId="7744A532" w14:textId="77777777" w:rsidR="00EA177A" w:rsidRPr="000A3FA3" w:rsidRDefault="00EA177A" w:rsidP="00C704A7">
            <w:pPr>
              <w:widowControl w:val="0"/>
              <w:spacing w:after="0" w:line="240" w:lineRule="auto"/>
              <w:jc w:val="left"/>
              <w:rPr>
                <w:rFonts w:eastAsia="Times New Roman" w:cs="Times New Roman"/>
                <w:sz w:val="18"/>
                <w:szCs w:val="18"/>
                <w:lang w:eastAsia="sk-SK"/>
              </w:rPr>
            </w:pPr>
            <w:r w:rsidRPr="000A3FA3">
              <w:rPr>
                <w:rFonts w:eastAsia="Times New Roman" w:cs="Times New Roman"/>
                <w:sz w:val="18"/>
                <w:szCs w:val="18"/>
                <w:lang w:eastAsia="sk-SK"/>
              </w:rPr>
              <w:t xml:space="preserve">  Technická inšpekcia, a.s. Bratislava</w:t>
            </w:r>
          </w:p>
        </w:tc>
        <w:tc>
          <w:tcPr>
            <w:tcW w:w="875" w:type="dxa"/>
            <w:tcBorders>
              <w:top w:val="nil"/>
              <w:left w:val="nil"/>
              <w:bottom w:val="nil"/>
              <w:right w:val="nil"/>
            </w:tcBorders>
            <w:shd w:val="clear" w:color="auto" w:fill="FFFFFF"/>
            <w:vAlign w:val="center"/>
          </w:tcPr>
          <w:p w14:paraId="1F8256CB"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47</w:t>
            </w:r>
          </w:p>
        </w:tc>
        <w:tc>
          <w:tcPr>
            <w:tcW w:w="992" w:type="dxa"/>
            <w:tcBorders>
              <w:top w:val="nil"/>
              <w:left w:val="nil"/>
              <w:bottom w:val="nil"/>
              <w:right w:val="nil"/>
            </w:tcBorders>
            <w:shd w:val="clear" w:color="auto" w:fill="FFFFFF"/>
            <w:vAlign w:val="center"/>
          </w:tcPr>
          <w:p w14:paraId="66486550"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63</w:t>
            </w:r>
          </w:p>
        </w:tc>
        <w:tc>
          <w:tcPr>
            <w:tcW w:w="992" w:type="dxa"/>
            <w:tcBorders>
              <w:top w:val="nil"/>
              <w:left w:val="nil"/>
              <w:bottom w:val="nil"/>
              <w:right w:val="nil"/>
            </w:tcBorders>
            <w:shd w:val="clear" w:color="auto" w:fill="FFFFFF"/>
            <w:vAlign w:val="center"/>
          </w:tcPr>
          <w:p w14:paraId="0263976A"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32</w:t>
            </w:r>
          </w:p>
        </w:tc>
        <w:tc>
          <w:tcPr>
            <w:tcW w:w="1134" w:type="dxa"/>
            <w:tcBorders>
              <w:top w:val="nil"/>
              <w:left w:val="nil"/>
              <w:bottom w:val="nil"/>
              <w:right w:val="nil"/>
            </w:tcBorders>
            <w:shd w:val="clear" w:color="auto" w:fill="BFBFBF"/>
            <w:vAlign w:val="center"/>
          </w:tcPr>
          <w:p w14:paraId="41B47FD2"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53</w:t>
            </w:r>
          </w:p>
        </w:tc>
        <w:tc>
          <w:tcPr>
            <w:tcW w:w="992" w:type="dxa"/>
            <w:tcBorders>
              <w:top w:val="nil"/>
              <w:left w:val="nil"/>
              <w:bottom w:val="nil"/>
              <w:right w:val="nil"/>
            </w:tcBorders>
            <w:shd w:val="clear" w:color="auto" w:fill="FFFFFF"/>
            <w:vAlign w:val="center"/>
          </w:tcPr>
          <w:p w14:paraId="44986B9D"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21</w:t>
            </w:r>
          </w:p>
        </w:tc>
        <w:tc>
          <w:tcPr>
            <w:tcW w:w="709" w:type="dxa"/>
            <w:tcBorders>
              <w:top w:val="nil"/>
              <w:left w:val="nil"/>
              <w:bottom w:val="nil"/>
              <w:right w:val="nil"/>
            </w:tcBorders>
            <w:shd w:val="clear" w:color="auto" w:fill="FFFFFF"/>
            <w:vAlign w:val="center"/>
          </w:tcPr>
          <w:p w14:paraId="26654C17" w14:textId="77777777" w:rsidR="00EA177A" w:rsidRPr="000A3FA3" w:rsidRDefault="00EA177A" w:rsidP="00C704A7">
            <w:pPr>
              <w:widowControl w:val="0"/>
              <w:spacing w:after="0" w:line="240" w:lineRule="auto"/>
              <w:jc w:val="right"/>
              <w:rPr>
                <w:rFonts w:eastAsia="Times New Roman" w:cs="Times New Roman"/>
                <w:sz w:val="18"/>
                <w:szCs w:val="18"/>
                <w:lang w:eastAsia="sk-SK"/>
              </w:rPr>
            </w:pPr>
            <w:r w:rsidRPr="000A3FA3">
              <w:rPr>
                <w:rFonts w:eastAsia="Times New Roman" w:cs="Times New Roman"/>
                <w:sz w:val="18"/>
                <w:szCs w:val="18"/>
                <w:lang w:eastAsia="sk-SK"/>
              </w:rPr>
              <w:t>65,6</w:t>
            </w:r>
          </w:p>
        </w:tc>
      </w:tr>
      <w:tr w:rsidR="00EA177A" w:rsidRPr="000A3FA3" w14:paraId="3CF32014" w14:textId="77777777" w:rsidTr="00996D2F">
        <w:trPr>
          <w:trHeight w:val="340"/>
        </w:trPr>
        <w:tc>
          <w:tcPr>
            <w:tcW w:w="3321" w:type="dxa"/>
            <w:tcBorders>
              <w:top w:val="single" w:sz="4" w:space="0" w:color="000000"/>
              <w:left w:val="nil"/>
              <w:bottom w:val="single" w:sz="8" w:space="0" w:color="000000"/>
              <w:right w:val="nil"/>
            </w:tcBorders>
            <w:shd w:val="clear" w:color="auto" w:fill="FFFFFF"/>
            <w:vAlign w:val="center"/>
          </w:tcPr>
          <w:p w14:paraId="41409BDE" w14:textId="77777777" w:rsidR="00EA177A" w:rsidRPr="000A3FA3" w:rsidRDefault="00EA177A" w:rsidP="00C704A7">
            <w:pPr>
              <w:widowControl w:val="0"/>
              <w:spacing w:after="0" w:line="240" w:lineRule="auto"/>
              <w:jc w:val="left"/>
              <w:rPr>
                <w:rFonts w:eastAsia="Times New Roman" w:cs="Times New Roman"/>
                <w:b/>
                <w:sz w:val="18"/>
                <w:szCs w:val="18"/>
                <w:lang w:eastAsia="sk-SK"/>
              </w:rPr>
            </w:pPr>
            <w:r w:rsidRPr="000A3FA3">
              <w:rPr>
                <w:rFonts w:eastAsia="Times New Roman" w:cs="Times New Roman"/>
                <w:b/>
                <w:sz w:val="18"/>
                <w:szCs w:val="18"/>
                <w:lang w:eastAsia="sk-SK"/>
              </w:rPr>
              <w:t>Spolu</w:t>
            </w:r>
          </w:p>
        </w:tc>
        <w:tc>
          <w:tcPr>
            <w:tcW w:w="875" w:type="dxa"/>
            <w:tcBorders>
              <w:top w:val="single" w:sz="4" w:space="0" w:color="000000"/>
              <w:left w:val="nil"/>
              <w:bottom w:val="single" w:sz="8" w:space="0" w:color="000000"/>
              <w:right w:val="nil"/>
            </w:tcBorders>
            <w:shd w:val="clear" w:color="auto" w:fill="FFFFFF"/>
            <w:vAlign w:val="center"/>
          </w:tcPr>
          <w:p w14:paraId="66A85D27"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599 068</w:t>
            </w:r>
          </w:p>
        </w:tc>
        <w:tc>
          <w:tcPr>
            <w:tcW w:w="992" w:type="dxa"/>
            <w:tcBorders>
              <w:top w:val="single" w:sz="4" w:space="0" w:color="000000"/>
              <w:left w:val="nil"/>
              <w:bottom w:val="single" w:sz="8" w:space="0" w:color="000000"/>
              <w:right w:val="nil"/>
            </w:tcBorders>
            <w:shd w:val="clear" w:color="auto" w:fill="FFFFFF"/>
            <w:vAlign w:val="center"/>
          </w:tcPr>
          <w:p w14:paraId="640A8246"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438 596</w:t>
            </w:r>
          </w:p>
        </w:tc>
        <w:tc>
          <w:tcPr>
            <w:tcW w:w="992" w:type="dxa"/>
            <w:tcBorders>
              <w:top w:val="single" w:sz="4" w:space="0" w:color="000000"/>
              <w:left w:val="nil"/>
              <w:bottom w:val="single" w:sz="8" w:space="0" w:color="000000"/>
              <w:right w:val="nil"/>
            </w:tcBorders>
            <w:shd w:val="clear" w:color="auto" w:fill="FFFFFF"/>
            <w:vAlign w:val="center"/>
          </w:tcPr>
          <w:p w14:paraId="0234A0DC"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432 701</w:t>
            </w:r>
          </w:p>
        </w:tc>
        <w:tc>
          <w:tcPr>
            <w:tcW w:w="1134" w:type="dxa"/>
            <w:tcBorders>
              <w:top w:val="single" w:sz="4" w:space="0" w:color="000000"/>
              <w:left w:val="nil"/>
              <w:bottom w:val="single" w:sz="8" w:space="0" w:color="000000"/>
              <w:right w:val="nil"/>
            </w:tcBorders>
            <w:shd w:val="clear" w:color="auto" w:fill="BFBFBF"/>
            <w:vAlign w:val="center"/>
          </w:tcPr>
          <w:p w14:paraId="380BBAD7"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504 450</w:t>
            </w:r>
          </w:p>
        </w:tc>
        <w:tc>
          <w:tcPr>
            <w:tcW w:w="992" w:type="dxa"/>
            <w:tcBorders>
              <w:top w:val="single" w:sz="4" w:space="0" w:color="000000"/>
              <w:left w:val="nil"/>
              <w:bottom w:val="single" w:sz="8" w:space="0" w:color="000000"/>
              <w:right w:val="nil"/>
            </w:tcBorders>
            <w:shd w:val="clear" w:color="auto" w:fill="FFFFFF"/>
            <w:vAlign w:val="center"/>
          </w:tcPr>
          <w:p w14:paraId="350B9650"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71 749</w:t>
            </w:r>
          </w:p>
        </w:tc>
        <w:tc>
          <w:tcPr>
            <w:tcW w:w="709" w:type="dxa"/>
            <w:tcBorders>
              <w:top w:val="single" w:sz="4" w:space="0" w:color="000000"/>
              <w:left w:val="nil"/>
              <w:bottom w:val="single" w:sz="8" w:space="0" w:color="000000"/>
              <w:right w:val="nil"/>
            </w:tcBorders>
            <w:shd w:val="clear" w:color="auto" w:fill="FFFFFF"/>
            <w:vAlign w:val="center"/>
          </w:tcPr>
          <w:p w14:paraId="18923B21" w14:textId="77777777" w:rsidR="00EA177A" w:rsidRPr="000A3FA3" w:rsidRDefault="00EA177A" w:rsidP="00C704A7">
            <w:pPr>
              <w:widowControl w:val="0"/>
              <w:spacing w:after="0" w:line="240" w:lineRule="auto"/>
              <w:jc w:val="right"/>
              <w:rPr>
                <w:rFonts w:eastAsia="Times New Roman" w:cs="Times New Roman"/>
                <w:b/>
                <w:sz w:val="18"/>
                <w:szCs w:val="18"/>
                <w:lang w:eastAsia="sk-SK"/>
              </w:rPr>
            </w:pPr>
            <w:r w:rsidRPr="000A3FA3">
              <w:rPr>
                <w:rFonts w:eastAsia="Times New Roman" w:cs="Times New Roman"/>
                <w:b/>
                <w:sz w:val="18"/>
                <w:szCs w:val="18"/>
                <w:lang w:eastAsia="sk-SK"/>
              </w:rPr>
              <w:t>16,6</w:t>
            </w:r>
          </w:p>
        </w:tc>
      </w:tr>
    </w:tbl>
    <w:p w14:paraId="562276DB" w14:textId="77777777" w:rsidR="00EA177A" w:rsidRPr="001C7A23" w:rsidRDefault="00EA177A" w:rsidP="00EA177A">
      <w:pPr>
        <w:ind w:left="7080"/>
        <w:rPr>
          <w:sz w:val="18"/>
          <w:szCs w:val="18"/>
        </w:rPr>
      </w:pPr>
      <w:r w:rsidRPr="001C7A23">
        <w:rPr>
          <w:sz w:val="18"/>
          <w:szCs w:val="18"/>
        </w:rPr>
        <w:t>Zdroj: MF SR</w:t>
      </w:r>
    </w:p>
    <w:p w14:paraId="519DCBD6" w14:textId="77777777" w:rsidR="0024131C" w:rsidRDefault="00EA177A" w:rsidP="00EA177A">
      <w:pPr>
        <w:tabs>
          <w:tab w:val="left" w:pos="284"/>
        </w:tabs>
      </w:pPr>
      <w:r w:rsidRPr="001C7A23">
        <w:t>Pozitívny rozdiel medzi rozpočtovanou čiastkou a </w:t>
      </w:r>
      <w:r w:rsidRPr="00D95480">
        <w:t xml:space="preserve">skutočne prijatými dividendami </w:t>
      </w:r>
      <w:r>
        <w:t>v sume</w:t>
      </w:r>
      <w:r>
        <w:br/>
        <w:t>71 749 tis. </w:t>
      </w:r>
      <w:r w:rsidRPr="001C7A23">
        <w:t>eur tvorili vyššie dividendy Ministerstva financií SR o 40 523 tis. eur, z toho najväčší rozdiel bol u Slovenskej elektrizačnej prenosovej sústavy, a. s. (35</w:t>
      </w:r>
      <w:r w:rsidR="0024131C">
        <w:t> 284 tis. eur).</w:t>
      </w:r>
      <w:r w:rsidR="0024131C">
        <w:br/>
      </w:r>
      <w:r w:rsidRPr="001C7A23">
        <w:t xml:space="preserve">Táto spoločnosť dosiahla za rok </w:t>
      </w:r>
      <w:r w:rsidRPr="00D30687">
        <w:rPr>
          <w:color w:val="000000" w:themeColor="text1"/>
        </w:rPr>
        <w:t>2018</w:t>
      </w:r>
      <w:r w:rsidRPr="001C7A23">
        <w:rPr>
          <w:color w:val="FF0000"/>
        </w:rPr>
        <w:t xml:space="preserve"> </w:t>
      </w:r>
      <w:r w:rsidRPr="001C7A23">
        <w:t xml:space="preserve">vyšší zisk po zdanení ako bol pôvodný predpoklad, adekvátne vyššiemu zisku zodpovedali aj vyššie dividendy. V kapitole Všeobecná pokladničná správa boli skutočne dosiahnuté dividendy oproti rozpočtovanej čiastke vyššie o 35 020 tis. eur, v tom od Slovenského plynárenského priemyslu, a.s. viac o 70 000 tis. eur a od Stredoslovenskej energetiky, a.s. o 30 609 tis. eur menej. Tieto rozdiely vznikli najmä z dôvodu, že pri tvorbe návrhu rozpočtu, resp. </w:t>
      </w:r>
      <w:r>
        <w:t xml:space="preserve">odhadu </w:t>
      </w:r>
      <w:r w:rsidRPr="001C7A23">
        <w:t>výšky dividend na rok 2019 pre uvedené spoločnosti sa vychádzalo z aktuálne predpokladaných výsl</w:t>
      </w:r>
      <w:r w:rsidR="0024131C">
        <w:t xml:space="preserve">edkov hospodárenia spoločností. </w:t>
      </w:r>
    </w:p>
    <w:p w14:paraId="0336965D" w14:textId="2DA1BEE3" w:rsidR="00EA177A" w:rsidRPr="001C7A23" w:rsidRDefault="00EA177A" w:rsidP="00EA177A">
      <w:pPr>
        <w:tabs>
          <w:tab w:val="left" w:pos="284"/>
        </w:tabs>
      </w:pPr>
      <w:r w:rsidRPr="001C7A23">
        <w:t>Skutočnosť odvedených dividend bola realizovaná na základne konečného výsledku hospodárenia a rozhodnutia orgánov uvedených spoločností.</w:t>
      </w:r>
    </w:p>
    <w:p w14:paraId="6033295A" w14:textId="77777777" w:rsidR="00EA177A" w:rsidRDefault="00EA177A" w:rsidP="00EA177A">
      <w:pPr>
        <w:tabs>
          <w:tab w:val="left" w:pos="284"/>
        </w:tabs>
        <w:rPr>
          <w:b/>
          <w:i/>
        </w:rPr>
      </w:pPr>
      <w:r w:rsidRPr="001C7A23">
        <w:rPr>
          <w:b/>
          <w:i/>
        </w:rPr>
        <w:t>Iné príjmy z podnikania</w:t>
      </w:r>
      <w:r w:rsidRPr="001C7A23">
        <w:t xml:space="preserve"> v celkovej sume 5 617 tis. eur zahŕňali najmä osobitný odvod zo zisku po zdanení, ktorý prijali Ministerstvo pôdohospodárstva a rozvoja vidieka SR v čiastke 5 000 tis. eur od štátneho podniku L</w:t>
      </w:r>
      <w:r>
        <w:t>esy</w:t>
      </w:r>
      <w:r w:rsidRPr="001C7A23">
        <w:t xml:space="preserve"> SR, š.</w:t>
      </w:r>
      <w:r>
        <w:t xml:space="preserve"> </w:t>
      </w:r>
      <w:r w:rsidRPr="001C7A23">
        <w:t xml:space="preserve">p., </w:t>
      </w:r>
      <w:r w:rsidRPr="002C437C">
        <w:t>Ministerstvo financií SR 250 tis. eur od Exportno-importnej banky SR</w:t>
      </w:r>
      <w:r w:rsidRPr="001C7A23">
        <w:t xml:space="preserve"> </w:t>
      </w:r>
      <w:r>
        <w:t xml:space="preserve">a </w:t>
      </w:r>
      <w:r w:rsidRPr="00097C81">
        <w:t>Ministerstvo životného prostredia SR 200 tis. eur od Vodohospodárskej výstavby, š.</w:t>
      </w:r>
      <w:r>
        <w:t xml:space="preserve"> </w:t>
      </w:r>
      <w:r w:rsidRPr="00097C81">
        <w:t xml:space="preserve">p. </w:t>
      </w:r>
      <w:r>
        <w:t>S odvodom zo zisku štátneho podniku Lesy SR, š. p. sa od roku 2020 už nepočíta, a prostriedky majú byť použité v rámci štátneho podniku.</w:t>
      </w:r>
    </w:p>
    <w:p w14:paraId="25C64B0C" w14:textId="77777777" w:rsidR="00EA177A" w:rsidRPr="00097C81" w:rsidRDefault="00EA177A" w:rsidP="00EA177A">
      <w:pPr>
        <w:tabs>
          <w:tab w:val="left" w:pos="284"/>
        </w:tabs>
      </w:pPr>
      <w:r w:rsidRPr="00097C81">
        <w:rPr>
          <w:b/>
          <w:i/>
        </w:rPr>
        <w:t>Príjmy z vlastníctva</w:t>
      </w:r>
      <w:r w:rsidRPr="00097C81">
        <w:t xml:space="preserve"> dosiahli 6 770 tis. eur, z toho najviac v rozpočte Ministerstva vnútra SR 1 342 tis. eur, Ministerstva zahraničných vecí a európskych záležitostí SR 1 003 tis. eur, Ministerstva spravodlivosti SR 718 tis. eur a Ministerstva zdravotníctva SR 692 tis. eur. Z celkovej sumy tvorili najviac príjmy z prenájmu budov a priestorov 5 357 tis. eur a</w:t>
      </w:r>
      <w:r>
        <w:t xml:space="preserve"> </w:t>
      </w:r>
      <w:r w:rsidRPr="00097C81">
        <w:t>príjmy z prenájmu pozemkov 829 tis. eur.</w:t>
      </w:r>
    </w:p>
    <w:p w14:paraId="4339E4AD" w14:textId="77777777" w:rsidR="00EA177A" w:rsidRPr="00BF2F65" w:rsidRDefault="00EA177A" w:rsidP="00EA177A">
      <w:pPr>
        <w:tabs>
          <w:tab w:val="left" w:pos="284"/>
        </w:tabs>
        <w:rPr>
          <w:color w:val="000000" w:themeColor="text1"/>
        </w:rPr>
      </w:pPr>
      <w:r w:rsidRPr="00097C81">
        <w:rPr>
          <w:b/>
        </w:rPr>
        <w:t>Príjem z administratívnych poplatkov a iných poplatkov a platieb</w:t>
      </w:r>
      <w:r w:rsidRPr="00097C81">
        <w:t xml:space="preserve"> závisí od počtu jednotlivých konaní v priebehu roka. Schválený rozpočet vo výške 416 714 tis. eur dosiahol plnenie </w:t>
      </w:r>
      <w:r>
        <w:t>o 30 157 tis. eur nižšie (</w:t>
      </w:r>
      <w:r w:rsidRPr="00097C81">
        <w:t>386 557 tis. eur</w:t>
      </w:r>
      <w:r>
        <w:t xml:space="preserve">) avšak </w:t>
      </w:r>
      <w:r w:rsidRPr="00097C81">
        <w:t xml:space="preserve">v porovnaní s rokom 2018 </w:t>
      </w:r>
      <w:r w:rsidRPr="00BF2F65">
        <w:rPr>
          <w:color w:val="000000" w:themeColor="text1"/>
        </w:rPr>
        <w:t>je to viac o 40 920 tis. eur.</w:t>
      </w:r>
    </w:p>
    <w:p w14:paraId="1F06881B" w14:textId="77777777" w:rsidR="00EA177A" w:rsidRPr="00E62FE2" w:rsidRDefault="00EA177A" w:rsidP="00EA177A">
      <w:r w:rsidRPr="00E62FE2">
        <w:t>Súhrnný prehľad o plnení administratívnych poplatkov a iných poplatkov a platieb poskytuje nasledovná tabuľka:</w:t>
      </w:r>
    </w:p>
    <w:tbl>
      <w:tblPr>
        <w:tblW w:w="8565" w:type="dxa"/>
        <w:tblInd w:w="-70" w:type="dxa"/>
        <w:tblLayout w:type="fixed"/>
        <w:tblLook w:val="0400" w:firstRow="0" w:lastRow="0" w:firstColumn="0" w:lastColumn="0" w:noHBand="0" w:noVBand="1"/>
      </w:tblPr>
      <w:tblGrid>
        <w:gridCol w:w="3037"/>
        <w:gridCol w:w="851"/>
        <w:gridCol w:w="850"/>
        <w:gridCol w:w="992"/>
        <w:gridCol w:w="1134"/>
        <w:gridCol w:w="993"/>
        <w:gridCol w:w="708"/>
      </w:tblGrid>
      <w:tr w:rsidR="00EA177A" w:rsidRPr="0024131C" w14:paraId="17515C2E" w14:textId="77777777" w:rsidTr="00C54C4D">
        <w:trPr>
          <w:trHeight w:val="467"/>
        </w:trPr>
        <w:tc>
          <w:tcPr>
            <w:tcW w:w="8565" w:type="dxa"/>
            <w:gridSpan w:val="7"/>
            <w:tcBorders>
              <w:top w:val="nil"/>
              <w:left w:val="single" w:sz="8" w:space="0" w:color="000000"/>
              <w:bottom w:val="nil"/>
              <w:right w:val="nil"/>
            </w:tcBorders>
            <w:shd w:val="clear" w:color="auto" w:fill="000000"/>
            <w:vAlign w:val="center"/>
          </w:tcPr>
          <w:p w14:paraId="58A043AE" w14:textId="289BC45F" w:rsidR="00EA177A" w:rsidRPr="0024131C" w:rsidRDefault="00EA177A" w:rsidP="00C704A7">
            <w:pPr>
              <w:widowControl w:val="0"/>
              <w:spacing w:after="0" w:line="240" w:lineRule="auto"/>
              <w:jc w:val="left"/>
              <w:rPr>
                <w:rFonts w:eastAsia="Times New Roman" w:cs="Times New Roman"/>
                <w:b/>
                <w:sz w:val="18"/>
                <w:szCs w:val="18"/>
                <w:lang w:eastAsia="sk-SK"/>
              </w:rPr>
            </w:pPr>
            <w:r w:rsidRPr="0024131C">
              <w:rPr>
                <w:rFonts w:eastAsia="Times New Roman" w:cs="Times New Roman"/>
                <w:b/>
                <w:sz w:val="18"/>
                <w:szCs w:val="18"/>
                <w:lang w:eastAsia="sk-SK"/>
              </w:rPr>
              <w:t xml:space="preserve">Administratívne poplatky a iné poplatky a platby                                                                              </w:t>
            </w:r>
            <w:r w:rsidR="0038330D">
              <w:rPr>
                <w:rFonts w:eastAsia="Times New Roman" w:cs="Times New Roman"/>
                <w:b/>
                <w:sz w:val="18"/>
                <w:szCs w:val="18"/>
                <w:lang w:eastAsia="sk-SK"/>
              </w:rPr>
              <w:t xml:space="preserve">     </w:t>
            </w:r>
            <w:r w:rsidRPr="0024131C">
              <w:rPr>
                <w:rFonts w:eastAsia="Times New Roman" w:cs="Times New Roman"/>
                <w:b/>
                <w:sz w:val="18"/>
                <w:szCs w:val="18"/>
                <w:lang w:eastAsia="sk-SK"/>
              </w:rPr>
              <w:t xml:space="preserve"> v tis. eur</w:t>
            </w:r>
          </w:p>
        </w:tc>
      </w:tr>
      <w:tr w:rsidR="00EA177A" w:rsidRPr="0024131C" w14:paraId="00E7EF41" w14:textId="77777777" w:rsidTr="0024131C">
        <w:trPr>
          <w:trHeight w:val="320"/>
        </w:trPr>
        <w:tc>
          <w:tcPr>
            <w:tcW w:w="3037" w:type="dxa"/>
            <w:tcBorders>
              <w:top w:val="nil"/>
              <w:left w:val="nil"/>
              <w:bottom w:val="nil"/>
              <w:right w:val="nil"/>
            </w:tcBorders>
            <w:shd w:val="clear" w:color="auto" w:fill="BFBFBF"/>
            <w:vAlign w:val="center"/>
          </w:tcPr>
          <w:p w14:paraId="274A0EC1" w14:textId="77777777" w:rsidR="00EA177A" w:rsidRPr="0024131C" w:rsidRDefault="00EA177A" w:rsidP="00C704A7">
            <w:pPr>
              <w:widowControl w:val="0"/>
              <w:spacing w:after="0" w:line="240" w:lineRule="auto"/>
              <w:jc w:val="left"/>
              <w:rPr>
                <w:rFonts w:eastAsia="Times New Roman" w:cs="Times New Roman"/>
                <w:b/>
                <w:sz w:val="18"/>
                <w:szCs w:val="18"/>
                <w:lang w:eastAsia="sk-SK"/>
              </w:rPr>
            </w:pPr>
            <w:r w:rsidRPr="0024131C">
              <w:rPr>
                <w:rFonts w:eastAsia="Times New Roman" w:cs="Times New Roman"/>
                <w:b/>
                <w:sz w:val="18"/>
                <w:szCs w:val="18"/>
                <w:lang w:eastAsia="sk-SK"/>
              </w:rPr>
              <w:t> </w:t>
            </w:r>
          </w:p>
        </w:tc>
        <w:tc>
          <w:tcPr>
            <w:tcW w:w="1701" w:type="dxa"/>
            <w:gridSpan w:val="2"/>
            <w:tcBorders>
              <w:top w:val="nil"/>
              <w:left w:val="nil"/>
              <w:bottom w:val="nil"/>
              <w:right w:val="nil"/>
            </w:tcBorders>
            <w:shd w:val="clear" w:color="auto" w:fill="BFBFBF"/>
            <w:vAlign w:val="center"/>
          </w:tcPr>
          <w:p w14:paraId="5F24C4DF"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Skutočnosť</w:t>
            </w:r>
          </w:p>
        </w:tc>
        <w:tc>
          <w:tcPr>
            <w:tcW w:w="992" w:type="dxa"/>
            <w:tcBorders>
              <w:top w:val="nil"/>
              <w:left w:val="nil"/>
              <w:bottom w:val="nil"/>
              <w:right w:val="nil"/>
            </w:tcBorders>
            <w:shd w:val="clear" w:color="auto" w:fill="BFBFBF"/>
            <w:vAlign w:val="center"/>
          </w:tcPr>
          <w:p w14:paraId="20A19926"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Rozpočet</w:t>
            </w:r>
          </w:p>
        </w:tc>
        <w:tc>
          <w:tcPr>
            <w:tcW w:w="1134" w:type="dxa"/>
            <w:tcBorders>
              <w:top w:val="nil"/>
              <w:left w:val="nil"/>
              <w:bottom w:val="nil"/>
              <w:right w:val="nil"/>
            </w:tcBorders>
            <w:shd w:val="clear" w:color="auto" w:fill="BFBFBF"/>
            <w:vAlign w:val="center"/>
          </w:tcPr>
          <w:p w14:paraId="727CFD20"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Skutočnosť</w:t>
            </w:r>
          </w:p>
        </w:tc>
        <w:tc>
          <w:tcPr>
            <w:tcW w:w="1701" w:type="dxa"/>
            <w:gridSpan w:val="2"/>
            <w:tcBorders>
              <w:top w:val="nil"/>
              <w:left w:val="nil"/>
              <w:bottom w:val="nil"/>
              <w:right w:val="nil"/>
            </w:tcBorders>
            <w:shd w:val="clear" w:color="auto" w:fill="BFBFBF"/>
            <w:vAlign w:val="center"/>
          </w:tcPr>
          <w:p w14:paraId="4007A8EA"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Rozdiel</w:t>
            </w:r>
          </w:p>
        </w:tc>
      </w:tr>
      <w:tr w:rsidR="00EA177A" w:rsidRPr="0024131C" w14:paraId="1CF57D4A" w14:textId="77777777" w:rsidTr="0024131C">
        <w:trPr>
          <w:trHeight w:val="500"/>
        </w:trPr>
        <w:tc>
          <w:tcPr>
            <w:tcW w:w="3037" w:type="dxa"/>
            <w:tcBorders>
              <w:top w:val="nil"/>
              <w:left w:val="nil"/>
              <w:bottom w:val="nil"/>
              <w:right w:val="nil"/>
            </w:tcBorders>
            <w:shd w:val="clear" w:color="auto" w:fill="BFBFBF"/>
            <w:vAlign w:val="center"/>
          </w:tcPr>
          <w:p w14:paraId="5CD246B6"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 </w:t>
            </w:r>
          </w:p>
        </w:tc>
        <w:tc>
          <w:tcPr>
            <w:tcW w:w="851" w:type="dxa"/>
            <w:tcBorders>
              <w:top w:val="nil"/>
              <w:left w:val="nil"/>
              <w:bottom w:val="nil"/>
              <w:right w:val="nil"/>
            </w:tcBorders>
            <w:shd w:val="clear" w:color="auto" w:fill="BFBFBF"/>
            <w:vAlign w:val="center"/>
          </w:tcPr>
          <w:p w14:paraId="09EF9381"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2017</w:t>
            </w:r>
          </w:p>
        </w:tc>
        <w:tc>
          <w:tcPr>
            <w:tcW w:w="850" w:type="dxa"/>
            <w:tcBorders>
              <w:top w:val="nil"/>
              <w:left w:val="nil"/>
              <w:bottom w:val="nil"/>
              <w:right w:val="nil"/>
            </w:tcBorders>
            <w:shd w:val="clear" w:color="auto" w:fill="BFBFBF"/>
            <w:vAlign w:val="center"/>
          </w:tcPr>
          <w:p w14:paraId="46FA8392"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2018</w:t>
            </w:r>
          </w:p>
        </w:tc>
        <w:tc>
          <w:tcPr>
            <w:tcW w:w="992" w:type="dxa"/>
            <w:tcBorders>
              <w:top w:val="nil"/>
              <w:left w:val="nil"/>
              <w:bottom w:val="nil"/>
              <w:right w:val="nil"/>
            </w:tcBorders>
            <w:shd w:val="clear" w:color="auto" w:fill="BFBFBF"/>
            <w:vAlign w:val="center"/>
          </w:tcPr>
          <w:p w14:paraId="13964B5D"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2019</w:t>
            </w:r>
          </w:p>
        </w:tc>
        <w:tc>
          <w:tcPr>
            <w:tcW w:w="1134" w:type="dxa"/>
            <w:tcBorders>
              <w:top w:val="nil"/>
              <w:left w:val="nil"/>
              <w:bottom w:val="nil"/>
              <w:right w:val="nil"/>
            </w:tcBorders>
            <w:shd w:val="clear" w:color="auto" w:fill="BFBFBF"/>
            <w:vAlign w:val="center"/>
          </w:tcPr>
          <w:p w14:paraId="07D5E1AA"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2019</w:t>
            </w:r>
          </w:p>
        </w:tc>
        <w:tc>
          <w:tcPr>
            <w:tcW w:w="993" w:type="dxa"/>
            <w:tcBorders>
              <w:top w:val="nil"/>
              <w:left w:val="nil"/>
              <w:bottom w:val="nil"/>
              <w:right w:val="nil"/>
            </w:tcBorders>
            <w:shd w:val="clear" w:color="auto" w:fill="BFBFBF"/>
            <w:vAlign w:val="center"/>
          </w:tcPr>
          <w:p w14:paraId="333EF70C"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 xml:space="preserve"> v tis. eur</w:t>
            </w:r>
          </w:p>
        </w:tc>
        <w:tc>
          <w:tcPr>
            <w:tcW w:w="708" w:type="dxa"/>
            <w:tcBorders>
              <w:top w:val="nil"/>
              <w:left w:val="nil"/>
              <w:bottom w:val="nil"/>
              <w:right w:val="nil"/>
            </w:tcBorders>
            <w:shd w:val="clear" w:color="auto" w:fill="BFBFBF"/>
            <w:vAlign w:val="center"/>
          </w:tcPr>
          <w:p w14:paraId="11985B5B"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v %</w:t>
            </w:r>
          </w:p>
        </w:tc>
      </w:tr>
      <w:tr w:rsidR="00EA177A" w:rsidRPr="0024131C" w14:paraId="44273DCB" w14:textId="77777777" w:rsidTr="0024131C">
        <w:trPr>
          <w:trHeight w:val="340"/>
        </w:trPr>
        <w:tc>
          <w:tcPr>
            <w:tcW w:w="3037" w:type="dxa"/>
            <w:tcBorders>
              <w:top w:val="nil"/>
              <w:left w:val="nil"/>
              <w:bottom w:val="single" w:sz="8" w:space="0" w:color="000000"/>
              <w:right w:val="nil"/>
            </w:tcBorders>
            <w:shd w:val="clear" w:color="auto" w:fill="BFBFBF"/>
            <w:vAlign w:val="center"/>
          </w:tcPr>
          <w:p w14:paraId="10D44173" w14:textId="77777777" w:rsidR="00EA177A" w:rsidRPr="0024131C" w:rsidRDefault="00EA177A" w:rsidP="00C704A7">
            <w:pPr>
              <w:widowControl w:val="0"/>
              <w:spacing w:after="0" w:line="240" w:lineRule="auto"/>
              <w:jc w:val="left"/>
              <w:rPr>
                <w:rFonts w:eastAsia="Times New Roman" w:cs="Times New Roman"/>
                <w:b/>
                <w:sz w:val="18"/>
                <w:szCs w:val="18"/>
                <w:lang w:eastAsia="sk-SK"/>
              </w:rPr>
            </w:pPr>
            <w:r w:rsidRPr="0024131C">
              <w:rPr>
                <w:rFonts w:eastAsia="Times New Roman" w:cs="Times New Roman"/>
                <w:b/>
                <w:sz w:val="18"/>
                <w:szCs w:val="18"/>
                <w:lang w:eastAsia="sk-SK"/>
              </w:rPr>
              <w:t> </w:t>
            </w:r>
          </w:p>
        </w:tc>
        <w:tc>
          <w:tcPr>
            <w:tcW w:w="851" w:type="dxa"/>
            <w:tcBorders>
              <w:top w:val="nil"/>
              <w:left w:val="nil"/>
              <w:bottom w:val="single" w:sz="8" w:space="0" w:color="000000"/>
              <w:right w:val="nil"/>
            </w:tcBorders>
            <w:shd w:val="clear" w:color="auto" w:fill="BFBFBF"/>
            <w:vAlign w:val="center"/>
          </w:tcPr>
          <w:p w14:paraId="39DF89C8"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1</w:t>
            </w:r>
          </w:p>
        </w:tc>
        <w:tc>
          <w:tcPr>
            <w:tcW w:w="850" w:type="dxa"/>
            <w:tcBorders>
              <w:top w:val="nil"/>
              <w:left w:val="nil"/>
              <w:bottom w:val="single" w:sz="8" w:space="0" w:color="000000"/>
              <w:right w:val="nil"/>
            </w:tcBorders>
            <w:shd w:val="clear" w:color="auto" w:fill="BFBFBF"/>
            <w:vAlign w:val="center"/>
          </w:tcPr>
          <w:p w14:paraId="4FB58F8D"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2</w:t>
            </w:r>
          </w:p>
        </w:tc>
        <w:tc>
          <w:tcPr>
            <w:tcW w:w="992" w:type="dxa"/>
            <w:tcBorders>
              <w:top w:val="nil"/>
              <w:left w:val="nil"/>
              <w:bottom w:val="single" w:sz="8" w:space="0" w:color="000000"/>
              <w:right w:val="nil"/>
            </w:tcBorders>
            <w:shd w:val="clear" w:color="auto" w:fill="BFBFBF"/>
            <w:vAlign w:val="center"/>
          </w:tcPr>
          <w:p w14:paraId="03510285"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3</w:t>
            </w:r>
          </w:p>
        </w:tc>
        <w:tc>
          <w:tcPr>
            <w:tcW w:w="1134" w:type="dxa"/>
            <w:tcBorders>
              <w:top w:val="nil"/>
              <w:left w:val="nil"/>
              <w:bottom w:val="single" w:sz="8" w:space="0" w:color="000000"/>
              <w:right w:val="nil"/>
            </w:tcBorders>
            <w:shd w:val="clear" w:color="auto" w:fill="BFBFBF"/>
            <w:vAlign w:val="center"/>
          </w:tcPr>
          <w:p w14:paraId="55DA6A2D"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4</w:t>
            </w:r>
          </w:p>
        </w:tc>
        <w:tc>
          <w:tcPr>
            <w:tcW w:w="993" w:type="dxa"/>
            <w:tcBorders>
              <w:top w:val="nil"/>
              <w:left w:val="nil"/>
              <w:bottom w:val="single" w:sz="8" w:space="0" w:color="000000"/>
              <w:right w:val="nil"/>
            </w:tcBorders>
            <w:shd w:val="clear" w:color="auto" w:fill="BFBFBF"/>
            <w:vAlign w:val="center"/>
          </w:tcPr>
          <w:p w14:paraId="37283397"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5=4-3</w:t>
            </w:r>
          </w:p>
        </w:tc>
        <w:tc>
          <w:tcPr>
            <w:tcW w:w="708" w:type="dxa"/>
            <w:tcBorders>
              <w:top w:val="nil"/>
              <w:left w:val="nil"/>
              <w:bottom w:val="single" w:sz="8" w:space="0" w:color="000000"/>
              <w:right w:val="nil"/>
            </w:tcBorders>
            <w:shd w:val="clear" w:color="auto" w:fill="BFBFBF"/>
            <w:vAlign w:val="center"/>
          </w:tcPr>
          <w:p w14:paraId="1C500046" w14:textId="77777777" w:rsidR="00EA177A" w:rsidRPr="0024131C" w:rsidRDefault="00EA177A" w:rsidP="00C704A7">
            <w:pPr>
              <w:widowControl w:val="0"/>
              <w:spacing w:after="0" w:line="240" w:lineRule="auto"/>
              <w:jc w:val="center"/>
              <w:rPr>
                <w:rFonts w:eastAsia="Times New Roman" w:cs="Times New Roman"/>
                <w:b/>
                <w:sz w:val="18"/>
                <w:szCs w:val="18"/>
                <w:lang w:eastAsia="sk-SK"/>
              </w:rPr>
            </w:pPr>
            <w:r w:rsidRPr="0024131C">
              <w:rPr>
                <w:rFonts w:eastAsia="Times New Roman" w:cs="Times New Roman"/>
                <w:b/>
                <w:sz w:val="18"/>
                <w:szCs w:val="18"/>
                <w:lang w:eastAsia="sk-SK"/>
              </w:rPr>
              <w:t>6=4-3</w:t>
            </w:r>
          </w:p>
        </w:tc>
      </w:tr>
      <w:tr w:rsidR="00EA177A" w:rsidRPr="0024131C" w14:paraId="5306AB8E" w14:textId="77777777" w:rsidTr="009635A8">
        <w:trPr>
          <w:trHeight w:val="397"/>
        </w:trPr>
        <w:tc>
          <w:tcPr>
            <w:tcW w:w="3037" w:type="dxa"/>
            <w:tcBorders>
              <w:top w:val="nil"/>
              <w:left w:val="nil"/>
              <w:bottom w:val="nil"/>
              <w:right w:val="nil"/>
            </w:tcBorders>
            <w:shd w:val="clear" w:color="auto" w:fill="FFFFFF"/>
            <w:vAlign w:val="center"/>
          </w:tcPr>
          <w:p w14:paraId="307A6FB6" w14:textId="77777777" w:rsidR="00EA177A" w:rsidRPr="0024131C" w:rsidRDefault="00EA177A" w:rsidP="00C704A7">
            <w:pPr>
              <w:widowControl w:val="0"/>
              <w:spacing w:after="0" w:line="240" w:lineRule="auto"/>
              <w:jc w:val="left"/>
              <w:rPr>
                <w:rFonts w:eastAsia="Times New Roman" w:cs="Times New Roman"/>
                <w:sz w:val="18"/>
                <w:szCs w:val="18"/>
                <w:lang w:eastAsia="sk-SK"/>
              </w:rPr>
            </w:pPr>
            <w:r w:rsidRPr="0024131C">
              <w:rPr>
                <w:rFonts w:eastAsia="Times New Roman" w:cs="Times New Roman"/>
                <w:sz w:val="18"/>
                <w:szCs w:val="18"/>
                <w:lang w:eastAsia="sk-SK"/>
              </w:rPr>
              <w:t>Administratívne poplatky</w:t>
            </w:r>
          </w:p>
        </w:tc>
        <w:tc>
          <w:tcPr>
            <w:tcW w:w="851" w:type="dxa"/>
            <w:tcBorders>
              <w:top w:val="nil"/>
              <w:left w:val="nil"/>
              <w:bottom w:val="nil"/>
              <w:right w:val="nil"/>
            </w:tcBorders>
            <w:shd w:val="clear" w:color="auto" w:fill="FFFFFF"/>
            <w:vAlign w:val="center"/>
          </w:tcPr>
          <w:p w14:paraId="641C6039"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217 375</w:t>
            </w:r>
          </w:p>
        </w:tc>
        <w:tc>
          <w:tcPr>
            <w:tcW w:w="850" w:type="dxa"/>
            <w:tcBorders>
              <w:top w:val="nil"/>
              <w:left w:val="nil"/>
              <w:bottom w:val="nil"/>
              <w:right w:val="nil"/>
            </w:tcBorders>
            <w:shd w:val="clear" w:color="auto" w:fill="FFFFFF"/>
            <w:vAlign w:val="center"/>
          </w:tcPr>
          <w:p w14:paraId="2FA45302"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224 866</w:t>
            </w:r>
          </w:p>
        </w:tc>
        <w:tc>
          <w:tcPr>
            <w:tcW w:w="992" w:type="dxa"/>
            <w:tcBorders>
              <w:top w:val="nil"/>
              <w:left w:val="nil"/>
              <w:bottom w:val="nil"/>
              <w:right w:val="nil"/>
            </w:tcBorders>
            <w:shd w:val="clear" w:color="auto" w:fill="FFFFFF"/>
            <w:vAlign w:val="center"/>
          </w:tcPr>
          <w:p w14:paraId="4E114792"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284 365</w:t>
            </w:r>
          </w:p>
        </w:tc>
        <w:tc>
          <w:tcPr>
            <w:tcW w:w="1134" w:type="dxa"/>
            <w:tcBorders>
              <w:top w:val="nil"/>
              <w:left w:val="nil"/>
              <w:bottom w:val="nil"/>
              <w:right w:val="nil"/>
            </w:tcBorders>
            <w:shd w:val="clear" w:color="auto" w:fill="BFBFBF"/>
            <w:vAlign w:val="center"/>
          </w:tcPr>
          <w:p w14:paraId="07F38FB3"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263 022</w:t>
            </w:r>
          </w:p>
        </w:tc>
        <w:tc>
          <w:tcPr>
            <w:tcW w:w="993" w:type="dxa"/>
            <w:tcBorders>
              <w:top w:val="nil"/>
              <w:left w:val="nil"/>
              <w:bottom w:val="nil"/>
              <w:right w:val="nil"/>
            </w:tcBorders>
            <w:shd w:val="clear" w:color="auto" w:fill="FFFFFF"/>
            <w:vAlign w:val="center"/>
          </w:tcPr>
          <w:p w14:paraId="25DC6978"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-21 343</w:t>
            </w:r>
          </w:p>
        </w:tc>
        <w:tc>
          <w:tcPr>
            <w:tcW w:w="708" w:type="dxa"/>
            <w:tcBorders>
              <w:top w:val="nil"/>
              <w:left w:val="nil"/>
              <w:bottom w:val="nil"/>
              <w:right w:val="nil"/>
            </w:tcBorders>
            <w:shd w:val="clear" w:color="auto" w:fill="FFFFFF"/>
            <w:vAlign w:val="center"/>
          </w:tcPr>
          <w:p w14:paraId="13C6F737"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-7,5</w:t>
            </w:r>
          </w:p>
        </w:tc>
      </w:tr>
      <w:tr w:rsidR="00EA177A" w:rsidRPr="0024131C" w14:paraId="42122C6F" w14:textId="77777777" w:rsidTr="0024131C">
        <w:trPr>
          <w:trHeight w:val="320"/>
        </w:trPr>
        <w:tc>
          <w:tcPr>
            <w:tcW w:w="3037" w:type="dxa"/>
            <w:tcBorders>
              <w:top w:val="nil"/>
              <w:left w:val="nil"/>
              <w:bottom w:val="nil"/>
              <w:right w:val="nil"/>
            </w:tcBorders>
            <w:shd w:val="clear" w:color="auto" w:fill="FFFFFF"/>
            <w:vAlign w:val="center"/>
          </w:tcPr>
          <w:p w14:paraId="41F057BA" w14:textId="77777777" w:rsidR="00EA177A" w:rsidRPr="0024131C" w:rsidRDefault="00EA177A" w:rsidP="00C704A7">
            <w:pPr>
              <w:widowControl w:val="0"/>
              <w:spacing w:after="0" w:line="240" w:lineRule="auto"/>
              <w:jc w:val="left"/>
              <w:rPr>
                <w:rFonts w:eastAsia="Times New Roman" w:cs="Times New Roman"/>
                <w:sz w:val="18"/>
                <w:szCs w:val="18"/>
                <w:lang w:eastAsia="sk-SK"/>
              </w:rPr>
            </w:pPr>
            <w:r w:rsidRPr="0024131C">
              <w:rPr>
                <w:rFonts w:eastAsia="Times New Roman" w:cs="Times New Roman"/>
                <w:sz w:val="18"/>
                <w:szCs w:val="18"/>
                <w:lang w:eastAsia="sk-SK"/>
              </w:rPr>
              <w:t xml:space="preserve">   Súdne a ostatné poplatky</w:t>
            </w:r>
          </w:p>
        </w:tc>
        <w:tc>
          <w:tcPr>
            <w:tcW w:w="851" w:type="dxa"/>
            <w:tcBorders>
              <w:top w:val="nil"/>
              <w:left w:val="nil"/>
              <w:bottom w:val="nil"/>
              <w:right w:val="nil"/>
            </w:tcBorders>
            <w:shd w:val="clear" w:color="auto" w:fill="FFFFFF"/>
            <w:vAlign w:val="center"/>
          </w:tcPr>
          <w:p w14:paraId="3C625F0D"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216 578</w:t>
            </w:r>
          </w:p>
        </w:tc>
        <w:tc>
          <w:tcPr>
            <w:tcW w:w="850" w:type="dxa"/>
            <w:tcBorders>
              <w:top w:val="nil"/>
              <w:left w:val="nil"/>
              <w:bottom w:val="nil"/>
              <w:right w:val="nil"/>
            </w:tcBorders>
            <w:shd w:val="clear" w:color="auto" w:fill="FFFFFF"/>
            <w:vAlign w:val="center"/>
          </w:tcPr>
          <w:p w14:paraId="24E53F74"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224 018</w:t>
            </w:r>
          </w:p>
        </w:tc>
        <w:tc>
          <w:tcPr>
            <w:tcW w:w="992" w:type="dxa"/>
            <w:tcBorders>
              <w:top w:val="nil"/>
              <w:left w:val="nil"/>
              <w:bottom w:val="nil"/>
              <w:right w:val="nil"/>
            </w:tcBorders>
            <w:shd w:val="clear" w:color="auto" w:fill="FFFFFF"/>
            <w:vAlign w:val="center"/>
          </w:tcPr>
          <w:p w14:paraId="09C014CB"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283 665</w:t>
            </w:r>
          </w:p>
        </w:tc>
        <w:tc>
          <w:tcPr>
            <w:tcW w:w="1134" w:type="dxa"/>
            <w:tcBorders>
              <w:top w:val="nil"/>
              <w:left w:val="nil"/>
              <w:bottom w:val="nil"/>
              <w:right w:val="nil"/>
            </w:tcBorders>
            <w:shd w:val="clear" w:color="auto" w:fill="BFBFBF"/>
            <w:vAlign w:val="center"/>
          </w:tcPr>
          <w:p w14:paraId="28EA6672"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261 926</w:t>
            </w:r>
          </w:p>
        </w:tc>
        <w:tc>
          <w:tcPr>
            <w:tcW w:w="993" w:type="dxa"/>
            <w:tcBorders>
              <w:top w:val="nil"/>
              <w:left w:val="nil"/>
              <w:bottom w:val="nil"/>
              <w:right w:val="nil"/>
            </w:tcBorders>
            <w:shd w:val="clear" w:color="auto" w:fill="FFFFFF"/>
            <w:vAlign w:val="center"/>
          </w:tcPr>
          <w:p w14:paraId="4368EDD1"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-21 739</w:t>
            </w:r>
          </w:p>
        </w:tc>
        <w:tc>
          <w:tcPr>
            <w:tcW w:w="708" w:type="dxa"/>
            <w:tcBorders>
              <w:top w:val="nil"/>
              <w:left w:val="nil"/>
              <w:bottom w:val="nil"/>
              <w:right w:val="nil"/>
            </w:tcBorders>
            <w:shd w:val="clear" w:color="auto" w:fill="FFFFFF"/>
            <w:vAlign w:val="center"/>
          </w:tcPr>
          <w:p w14:paraId="2B7852EE"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-7,7</w:t>
            </w:r>
          </w:p>
        </w:tc>
      </w:tr>
      <w:tr w:rsidR="00EA177A" w:rsidRPr="0024131C" w14:paraId="755E3E3B" w14:textId="77777777" w:rsidTr="0024131C">
        <w:trPr>
          <w:trHeight w:val="320"/>
        </w:trPr>
        <w:tc>
          <w:tcPr>
            <w:tcW w:w="3037" w:type="dxa"/>
            <w:tcBorders>
              <w:top w:val="nil"/>
              <w:left w:val="nil"/>
              <w:bottom w:val="nil"/>
              <w:right w:val="nil"/>
            </w:tcBorders>
            <w:shd w:val="clear" w:color="auto" w:fill="FFFFFF"/>
            <w:vAlign w:val="center"/>
          </w:tcPr>
          <w:p w14:paraId="4E3F6C19" w14:textId="77777777" w:rsidR="00EA177A" w:rsidRPr="0024131C" w:rsidRDefault="00EA177A" w:rsidP="00C704A7">
            <w:pPr>
              <w:widowControl w:val="0"/>
              <w:spacing w:after="0" w:line="240" w:lineRule="auto"/>
              <w:jc w:val="left"/>
              <w:rPr>
                <w:rFonts w:eastAsia="Times New Roman" w:cs="Times New Roman"/>
                <w:sz w:val="18"/>
                <w:szCs w:val="18"/>
                <w:lang w:eastAsia="sk-SK"/>
              </w:rPr>
            </w:pPr>
            <w:r w:rsidRPr="0024131C">
              <w:rPr>
                <w:rFonts w:eastAsia="Times New Roman" w:cs="Times New Roman"/>
                <w:sz w:val="18"/>
                <w:szCs w:val="18"/>
                <w:lang w:eastAsia="sk-SK"/>
              </w:rPr>
              <w:t xml:space="preserve">   Puncové poplatky</w:t>
            </w:r>
          </w:p>
        </w:tc>
        <w:tc>
          <w:tcPr>
            <w:tcW w:w="851" w:type="dxa"/>
            <w:tcBorders>
              <w:top w:val="nil"/>
              <w:left w:val="nil"/>
              <w:bottom w:val="nil"/>
              <w:right w:val="nil"/>
            </w:tcBorders>
            <w:shd w:val="clear" w:color="auto" w:fill="FFFFFF"/>
            <w:vAlign w:val="center"/>
          </w:tcPr>
          <w:p w14:paraId="7222E9C0"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640</w:t>
            </w:r>
          </w:p>
        </w:tc>
        <w:tc>
          <w:tcPr>
            <w:tcW w:w="850" w:type="dxa"/>
            <w:tcBorders>
              <w:top w:val="nil"/>
              <w:left w:val="nil"/>
              <w:bottom w:val="nil"/>
              <w:right w:val="nil"/>
            </w:tcBorders>
            <w:shd w:val="clear" w:color="auto" w:fill="FFFFFF"/>
            <w:vAlign w:val="center"/>
          </w:tcPr>
          <w:p w14:paraId="406E4F74"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706</w:t>
            </w:r>
          </w:p>
        </w:tc>
        <w:tc>
          <w:tcPr>
            <w:tcW w:w="992" w:type="dxa"/>
            <w:tcBorders>
              <w:top w:val="nil"/>
              <w:left w:val="nil"/>
              <w:bottom w:val="nil"/>
              <w:right w:val="nil"/>
            </w:tcBorders>
            <w:shd w:val="clear" w:color="auto" w:fill="FFFFFF"/>
            <w:vAlign w:val="center"/>
          </w:tcPr>
          <w:p w14:paraId="62EAF3C6"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600</w:t>
            </w:r>
          </w:p>
        </w:tc>
        <w:tc>
          <w:tcPr>
            <w:tcW w:w="1134" w:type="dxa"/>
            <w:tcBorders>
              <w:top w:val="nil"/>
              <w:left w:val="nil"/>
              <w:bottom w:val="nil"/>
              <w:right w:val="nil"/>
            </w:tcBorders>
            <w:shd w:val="clear" w:color="auto" w:fill="BFBFBF"/>
            <w:vAlign w:val="center"/>
          </w:tcPr>
          <w:p w14:paraId="6A96DC94"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785</w:t>
            </w:r>
          </w:p>
        </w:tc>
        <w:tc>
          <w:tcPr>
            <w:tcW w:w="993" w:type="dxa"/>
            <w:tcBorders>
              <w:top w:val="nil"/>
              <w:left w:val="nil"/>
              <w:bottom w:val="nil"/>
              <w:right w:val="nil"/>
            </w:tcBorders>
            <w:shd w:val="clear" w:color="auto" w:fill="FFFFFF"/>
            <w:vAlign w:val="center"/>
          </w:tcPr>
          <w:p w14:paraId="3898F7F4"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185</w:t>
            </w:r>
          </w:p>
        </w:tc>
        <w:tc>
          <w:tcPr>
            <w:tcW w:w="708" w:type="dxa"/>
            <w:tcBorders>
              <w:top w:val="nil"/>
              <w:left w:val="nil"/>
              <w:bottom w:val="nil"/>
              <w:right w:val="nil"/>
            </w:tcBorders>
            <w:shd w:val="clear" w:color="auto" w:fill="FFFFFF"/>
            <w:vAlign w:val="center"/>
          </w:tcPr>
          <w:p w14:paraId="5F6D0B7A"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30,8</w:t>
            </w:r>
          </w:p>
        </w:tc>
      </w:tr>
      <w:tr w:rsidR="00EA177A" w:rsidRPr="0024131C" w14:paraId="0EBB5148" w14:textId="77777777" w:rsidTr="0024131C">
        <w:trPr>
          <w:trHeight w:val="320"/>
        </w:trPr>
        <w:tc>
          <w:tcPr>
            <w:tcW w:w="3037" w:type="dxa"/>
            <w:tcBorders>
              <w:top w:val="nil"/>
              <w:left w:val="nil"/>
              <w:bottom w:val="nil"/>
              <w:right w:val="nil"/>
            </w:tcBorders>
            <w:shd w:val="clear" w:color="auto" w:fill="FFFFFF"/>
            <w:vAlign w:val="center"/>
          </w:tcPr>
          <w:p w14:paraId="3B864163" w14:textId="77777777" w:rsidR="00EA177A" w:rsidRPr="0024131C" w:rsidRDefault="00EA177A" w:rsidP="00C704A7">
            <w:pPr>
              <w:widowControl w:val="0"/>
              <w:spacing w:after="0" w:line="240" w:lineRule="auto"/>
              <w:jc w:val="left"/>
              <w:rPr>
                <w:rFonts w:eastAsia="Times New Roman" w:cs="Times New Roman"/>
                <w:sz w:val="18"/>
                <w:szCs w:val="18"/>
                <w:lang w:eastAsia="sk-SK"/>
              </w:rPr>
            </w:pPr>
            <w:r w:rsidRPr="0024131C">
              <w:rPr>
                <w:rFonts w:eastAsia="Times New Roman" w:cs="Times New Roman"/>
                <w:sz w:val="18"/>
                <w:szCs w:val="18"/>
                <w:lang w:eastAsia="sk-SK"/>
              </w:rPr>
              <w:t xml:space="preserve">   Licencie</w:t>
            </w:r>
          </w:p>
        </w:tc>
        <w:tc>
          <w:tcPr>
            <w:tcW w:w="851" w:type="dxa"/>
            <w:tcBorders>
              <w:top w:val="nil"/>
              <w:left w:val="nil"/>
              <w:bottom w:val="nil"/>
              <w:right w:val="nil"/>
            </w:tcBorders>
            <w:shd w:val="clear" w:color="auto" w:fill="FFFFFF"/>
            <w:vAlign w:val="center"/>
          </w:tcPr>
          <w:p w14:paraId="288758CB"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147</w:t>
            </w:r>
          </w:p>
        </w:tc>
        <w:tc>
          <w:tcPr>
            <w:tcW w:w="850" w:type="dxa"/>
            <w:tcBorders>
              <w:top w:val="nil"/>
              <w:left w:val="nil"/>
              <w:bottom w:val="nil"/>
              <w:right w:val="nil"/>
            </w:tcBorders>
            <w:shd w:val="clear" w:color="auto" w:fill="FFFFFF"/>
            <w:vAlign w:val="center"/>
          </w:tcPr>
          <w:p w14:paraId="6B6637D0"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142</w:t>
            </w:r>
          </w:p>
        </w:tc>
        <w:tc>
          <w:tcPr>
            <w:tcW w:w="992" w:type="dxa"/>
            <w:tcBorders>
              <w:top w:val="nil"/>
              <w:left w:val="nil"/>
              <w:bottom w:val="nil"/>
              <w:right w:val="nil"/>
            </w:tcBorders>
            <w:shd w:val="clear" w:color="auto" w:fill="FFFFFF"/>
            <w:vAlign w:val="center"/>
          </w:tcPr>
          <w:p w14:paraId="4B781F1F"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100</w:t>
            </w:r>
          </w:p>
        </w:tc>
        <w:tc>
          <w:tcPr>
            <w:tcW w:w="1134" w:type="dxa"/>
            <w:tcBorders>
              <w:top w:val="nil"/>
              <w:left w:val="nil"/>
              <w:bottom w:val="nil"/>
              <w:right w:val="nil"/>
            </w:tcBorders>
            <w:shd w:val="clear" w:color="auto" w:fill="BFBFBF"/>
            <w:vAlign w:val="center"/>
          </w:tcPr>
          <w:p w14:paraId="5A4ECC24"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311</w:t>
            </w:r>
          </w:p>
        </w:tc>
        <w:tc>
          <w:tcPr>
            <w:tcW w:w="993" w:type="dxa"/>
            <w:tcBorders>
              <w:top w:val="nil"/>
              <w:left w:val="nil"/>
              <w:bottom w:val="nil"/>
              <w:right w:val="nil"/>
            </w:tcBorders>
            <w:shd w:val="clear" w:color="auto" w:fill="FFFFFF"/>
            <w:vAlign w:val="center"/>
          </w:tcPr>
          <w:p w14:paraId="1BFA5FCA"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211</w:t>
            </w:r>
          </w:p>
        </w:tc>
        <w:tc>
          <w:tcPr>
            <w:tcW w:w="708" w:type="dxa"/>
            <w:tcBorders>
              <w:top w:val="nil"/>
              <w:left w:val="nil"/>
              <w:bottom w:val="nil"/>
              <w:right w:val="nil"/>
            </w:tcBorders>
            <w:shd w:val="clear" w:color="auto" w:fill="FFFFFF"/>
            <w:vAlign w:val="center"/>
          </w:tcPr>
          <w:p w14:paraId="6F3992A2"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211,0</w:t>
            </w:r>
          </w:p>
        </w:tc>
      </w:tr>
      <w:tr w:rsidR="00EA177A" w:rsidRPr="0024131C" w14:paraId="7D509977" w14:textId="77777777" w:rsidTr="0024131C">
        <w:trPr>
          <w:trHeight w:val="320"/>
        </w:trPr>
        <w:tc>
          <w:tcPr>
            <w:tcW w:w="3037" w:type="dxa"/>
            <w:tcBorders>
              <w:top w:val="nil"/>
              <w:left w:val="nil"/>
              <w:bottom w:val="nil"/>
              <w:right w:val="nil"/>
            </w:tcBorders>
            <w:shd w:val="clear" w:color="auto" w:fill="FFFFFF"/>
            <w:vAlign w:val="center"/>
          </w:tcPr>
          <w:p w14:paraId="4329F785" w14:textId="77777777" w:rsidR="00EA177A" w:rsidRPr="0024131C" w:rsidRDefault="00EA177A" w:rsidP="00C704A7">
            <w:pPr>
              <w:widowControl w:val="0"/>
              <w:spacing w:after="0" w:line="240" w:lineRule="auto"/>
              <w:jc w:val="left"/>
              <w:rPr>
                <w:rFonts w:eastAsia="Times New Roman" w:cs="Times New Roman"/>
                <w:sz w:val="18"/>
                <w:szCs w:val="18"/>
                <w:lang w:eastAsia="sk-SK"/>
              </w:rPr>
            </w:pPr>
            <w:r w:rsidRPr="0024131C">
              <w:rPr>
                <w:rFonts w:eastAsia="Times New Roman" w:cs="Times New Roman"/>
                <w:sz w:val="18"/>
                <w:szCs w:val="18"/>
                <w:lang w:eastAsia="sk-SK"/>
              </w:rPr>
              <w:t>Pokuty, penále a iné sankcie</w:t>
            </w:r>
          </w:p>
        </w:tc>
        <w:tc>
          <w:tcPr>
            <w:tcW w:w="851" w:type="dxa"/>
            <w:tcBorders>
              <w:top w:val="nil"/>
              <w:left w:val="nil"/>
              <w:bottom w:val="nil"/>
              <w:right w:val="nil"/>
            </w:tcBorders>
            <w:shd w:val="clear" w:color="auto" w:fill="FFFFFF"/>
            <w:vAlign w:val="center"/>
          </w:tcPr>
          <w:p w14:paraId="3C098448"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81 535</w:t>
            </w:r>
          </w:p>
        </w:tc>
        <w:tc>
          <w:tcPr>
            <w:tcW w:w="850" w:type="dxa"/>
            <w:tcBorders>
              <w:top w:val="nil"/>
              <w:left w:val="nil"/>
              <w:bottom w:val="nil"/>
              <w:right w:val="nil"/>
            </w:tcBorders>
            <w:shd w:val="clear" w:color="auto" w:fill="FFFFFF"/>
            <w:vAlign w:val="center"/>
          </w:tcPr>
          <w:p w14:paraId="54248543"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68 147</w:t>
            </w:r>
          </w:p>
        </w:tc>
        <w:tc>
          <w:tcPr>
            <w:tcW w:w="992" w:type="dxa"/>
            <w:tcBorders>
              <w:top w:val="nil"/>
              <w:left w:val="nil"/>
              <w:bottom w:val="nil"/>
              <w:right w:val="nil"/>
            </w:tcBorders>
            <w:shd w:val="clear" w:color="auto" w:fill="FFFFFF"/>
            <w:vAlign w:val="center"/>
          </w:tcPr>
          <w:p w14:paraId="181943A5"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74 374</w:t>
            </w:r>
          </w:p>
        </w:tc>
        <w:tc>
          <w:tcPr>
            <w:tcW w:w="1134" w:type="dxa"/>
            <w:tcBorders>
              <w:top w:val="nil"/>
              <w:left w:val="nil"/>
              <w:bottom w:val="nil"/>
              <w:right w:val="nil"/>
            </w:tcBorders>
            <w:shd w:val="clear" w:color="auto" w:fill="BFBFBF"/>
            <w:vAlign w:val="center"/>
          </w:tcPr>
          <w:p w14:paraId="1C44BE6D"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67 163</w:t>
            </w:r>
          </w:p>
        </w:tc>
        <w:tc>
          <w:tcPr>
            <w:tcW w:w="993" w:type="dxa"/>
            <w:tcBorders>
              <w:top w:val="nil"/>
              <w:left w:val="nil"/>
              <w:bottom w:val="nil"/>
              <w:right w:val="nil"/>
            </w:tcBorders>
            <w:shd w:val="clear" w:color="auto" w:fill="FFFFFF"/>
            <w:vAlign w:val="center"/>
          </w:tcPr>
          <w:p w14:paraId="144A18E4"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-7 211</w:t>
            </w:r>
          </w:p>
        </w:tc>
        <w:tc>
          <w:tcPr>
            <w:tcW w:w="708" w:type="dxa"/>
            <w:tcBorders>
              <w:top w:val="nil"/>
              <w:left w:val="nil"/>
              <w:bottom w:val="nil"/>
              <w:right w:val="nil"/>
            </w:tcBorders>
            <w:shd w:val="clear" w:color="auto" w:fill="FFFFFF"/>
            <w:vAlign w:val="center"/>
          </w:tcPr>
          <w:p w14:paraId="79A9ACA1"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-9,7</w:t>
            </w:r>
          </w:p>
        </w:tc>
      </w:tr>
      <w:tr w:rsidR="00EA177A" w:rsidRPr="0024131C" w14:paraId="0DF5CE98" w14:textId="77777777" w:rsidTr="0024131C">
        <w:trPr>
          <w:trHeight w:val="320"/>
        </w:trPr>
        <w:tc>
          <w:tcPr>
            <w:tcW w:w="3037" w:type="dxa"/>
            <w:tcBorders>
              <w:top w:val="nil"/>
              <w:left w:val="nil"/>
              <w:bottom w:val="nil"/>
              <w:right w:val="nil"/>
            </w:tcBorders>
            <w:shd w:val="clear" w:color="auto" w:fill="FFFFFF"/>
            <w:vAlign w:val="center"/>
          </w:tcPr>
          <w:p w14:paraId="181C6989" w14:textId="77777777" w:rsidR="00EA177A" w:rsidRPr="0024131C" w:rsidRDefault="00EA177A" w:rsidP="00C704A7">
            <w:pPr>
              <w:widowControl w:val="0"/>
              <w:spacing w:after="0" w:line="240" w:lineRule="auto"/>
              <w:jc w:val="left"/>
              <w:rPr>
                <w:rFonts w:eastAsia="Times New Roman" w:cs="Times New Roman"/>
                <w:sz w:val="18"/>
                <w:szCs w:val="18"/>
                <w:lang w:eastAsia="sk-SK"/>
              </w:rPr>
            </w:pPr>
            <w:r w:rsidRPr="0024131C">
              <w:rPr>
                <w:rFonts w:eastAsia="Times New Roman" w:cs="Times New Roman"/>
                <w:sz w:val="18"/>
                <w:szCs w:val="18"/>
                <w:lang w:eastAsia="sk-SK"/>
              </w:rPr>
              <w:t>Poplatky a platby z nepriemyselného a náhod. predaja</w:t>
            </w:r>
          </w:p>
        </w:tc>
        <w:tc>
          <w:tcPr>
            <w:tcW w:w="851" w:type="dxa"/>
            <w:tcBorders>
              <w:top w:val="nil"/>
              <w:left w:val="nil"/>
              <w:bottom w:val="nil"/>
              <w:right w:val="nil"/>
            </w:tcBorders>
            <w:shd w:val="clear" w:color="auto" w:fill="FFFFFF"/>
            <w:vAlign w:val="center"/>
          </w:tcPr>
          <w:p w14:paraId="150977A0"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66 974</w:t>
            </w:r>
          </w:p>
        </w:tc>
        <w:tc>
          <w:tcPr>
            <w:tcW w:w="850" w:type="dxa"/>
            <w:tcBorders>
              <w:top w:val="nil"/>
              <w:left w:val="nil"/>
              <w:bottom w:val="nil"/>
              <w:right w:val="nil"/>
            </w:tcBorders>
            <w:shd w:val="clear" w:color="auto" w:fill="FFFFFF"/>
            <w:vAlign w:val="center"/>
          </w:tcPr>
          <w:p w14:paraId="273EFA36"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52 624</w:t>
            </w:r>
          </w:p>
        </w:tc>
        <w:tc>
          <w:tcPr>
            <w:tcW w:w="992" w:type="dxa"/>
            <w:tcBorders>
              <w:top w:val="nil"/>
              <w:left w:val="nil"/>
              <w:bottom w:val="nil"/>
              <w:right w:val="nil"/>
            </w:tcBorders>
            <w:shd w:val="clear" w:color="auto" w:fill="FFFFFF"/>
            <w:vAlign w:val="center"/>
          </w:tcPr>
          <w:p w14:paraId="3611AF3A"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57 975</w:t>
            </w:r>
          </w:p>
        </w:tc>
        <w:tc>
          <w:tcPr>
            <w:tcW w:w="1134" w:type="dxa"/>
            <w:tcBorders>
              <w:top w:val="nil"/>
              <w:left w:val="nil"/>
              <w:bottom w:val="nil"/>
              <w:right w:val="nil"/>
            </w:tcBorders>
            <w:shd w:val="clear" w:color="auto" w:fill="BFBFBF"/>
            <w:vAlign w:val="center"/>
          </w:tcPr>
          <w:p w14:paraId="5F7C1418"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56 372</w:t>
            </w:r>
          </w:p>
        </w:tc>
        <w:tc>
          <w:tcPr>
            <w:tcW w:w="993" w:type="dxa"/>
            <w:tcBorders>
              <w:top w:val="nil"/>
              <w:left w:val="nil"/>
              <w:bottom w:val="nil"/>
              <w:right w:val="nil"/>
            </w:tcBorders>
            <w:shd w:val="clear" w:color="auto" w:fill="FFFFFF"/>
            <w:vAlign w:val="center"/>
          </w:tcPr>
          <w:p w14:paraId="361BB642"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-1 603</w:t>
            </w:r>
          </w:p>
        </w:tc>
        <w:tc>
          <w:tcPr>
            <w:tcW w:w="708" w:type="dxa"/>
            <w:tcBorders>
              <w:top w:val="nil"/>
              <w:left w:val="nil"/>
              <w:bottom w:val="nil"/>
              <w:right w:val="nil"/>
            </w:tcBorders>
            <w:shd w:val="clear" w:color="auto" w:fill="FFFFFF"/>
            <w:vAlign w:val="center"/>
          </w:tcPr>
          <w:p w14:paraId="602BDE23" w14:textId="77777777" w:rsidR="00EA177A" w:rsidRPr="0024131C" w:rsidRDefault="00EA177A" w:rsidP="00C704A7">
            <w:pPr>
              <w:widowControl w:val="0"/>
              <w:spacing w:after="0" w:line="240" w:lineRule="auto"/>
              <w:jc w:val="right"/>
              <w:rPr>
                <w:rFonts w:eastAsia="Times New Roman" w:cs="Times New Roman"/>
                <w:sz w:val="18"/>
                <w:szCs w:val="18"/>
                <w:lang w:eastAsia="sk-SK"/>
              </w:rPr>
            </w:pPr>
            <w:r w:rsidRPr="0024131C">
              <w:rPr>
                <w:rFonts w:eastAsia="Times New Roman" w:cs="Times New Roman"/>
                <w:sz w:val="18"/>
                <w:szCs w:val="18"/>
                <w:lang w:eastAsia="sk-SK"/>
              </w:rPr>
              <w:t>-2,8</w:t>
            </w:r>
          </w:p>
        </w:tc>
      </w:tr>
      <w:tr w:rsidR="00EA177A" w:rsidRPr="0024131C" w14:paraId="5D658476" w14:textId="77777777" w:rsidTr="0024131C">
        <w:trPr>
          <w:trHeight w:val="340"/>
        </w:trPr>
        <w:tc>
          <w:tcPr>
            <w:tcW w:w="3037" w:type="dxa"/>
            <w:tcBorders>
              <w:top w:val="single" w:sz="4" w:space="0" w:color="000000"/>
              <w:left w:val="nil"/>
              <w:bottom w:val="single" w:sz="8" w:space="0" w:color="000000"/>
              <w:right w:val="nil"/>
            </w:tcBorders>
            <w:shd w:val="clear" w:color="auto" w:fill="FFFFFF"/>
            <w:vAlign w:val="center"/>
          </w:tcPr>
          <w:p w14:paraId="2A034395" w14:textId="77777777" w:rsidR="00EA177A" w:rsidRPr="0024131C" w:rsidRDefault="00EA177A" w:rsidP="00C704A7">
            <w:pPr>
              <w:widowControl w:val="0"/>
              <w:spacing w:after="0" w:line="240" w:lineRule="auto"/>
              <w:jc w:val="left"/>
              <w:rPr>
                <w:rFonts w:eastAsia="Times New Roman" w:cs="Times New Roman"/>
                <w:b/>
                <w:sz w:val="18"/>
                <w:szCs w:val="18"/>
                <w:lang w:eastAsia="sk-SK"/>
              </w:rPr>
            </w:pPr>
            <w:r w:rsidRPr="0024131C">
              <w:rPr>
                <w:rFonts w:eastAsia="Times New Roman" w:cs="Times New Roman"/>
                <w:b/>
                <w:sz w:val="18"/>
                <w:szCs w:val="18"/>
                <w:lang w:eastAsia="sk-SK"/>
              </w:rPr>
              <w:t>Spolu</w:t>
            </w:r>
          </w:p>
        </w:tc>
        <w:tc>
          <w:tcPr>
            <w:tcW w:w="851" w:type="dxa"/>
            <w:tcBorders>
              <w:top w:val="single" w:sz="4" w:space="0" w:color="000000"/>
              <w:left w:val="nil"/>
              <w:bottom w:val="single" w:sz="8" w:space="0" w:color="000000"/>
              <w:right w:val="nil"/>
            </w:tcBorders>
            <w:shd w:val="clear" w:color="auto" w:fill="FFFFFF"/>
            <w:vAlign w:val="center"/>
          </w:tcPr>
          <w:p w14:paraId="5A4484F7" w14:textId="77777777" w:rsidR="00EA177A" w:rsidRPr="0024131C" w:rsidRDefault="00EA177A" w:rsidP="00C704A7">
            <w:pPr>
              <w:widowControl w:val="0"/>
              <w:spacing w:after="0" w:line="240" w:lineRule="auto"/>
              <w:jc w:val="right"/>
              <w:rPr>
                <w:rFonts w:eastAsia="Times New Roman" w:cs="Times New Roman"/>
                <w:b/>
                <w:sz w:val="18"/>
                <w:szCs w:val="18"/>
                <w:lang w:eastAsia="sk-SK"/>
              </w:rPr>
            </w:pPr>
            <w:r w:rsidRPr="0024131C">
              <w:rPr>
                <w:rFonts w:eastAsia="Times New Roman" w:cs="Times New Roman"/>
                <w:b/>
                <w:sz w:val="18"/>
                <w:szCs w:val="18"/>
                <w:lang w:eastAsia="sk-SK"/>
              </w:rPr>
              <w:t>365 884</w:t>
            </w:r>
          </w:p>
        </w:tc>
        <w:tc>
          <w:tcPr>
            <w:tcW w:w="850" w:type="dxa"/>
            <w:tcBorders>
              <w:top w:val="single" w:sz="4" w:space="0" w:color="000000"/>
              <w:left w:val="nil"/>
              <w:bottom w:val="single" w:sz="8" w:space="0" w:color="000000"/>
              <w:right w:val="nil"/>
            </w:tcBorders>
            <w:shd w:val="clear" w:color="auto" w:fill="FFFFFF"/>
            <w:vAlign w:val="center"/>
          </w:tcPr>
          <w:p w14:paraId="11ADEFC5" w14:textId="77777777" w:rsidR="00EA177A" w:rsidRPr="0024131C" w:rsidRDefault="00EA177A" w:rsidP="00C704A7">
            <w:pPr>
              <w:widowControl w:val="0"/>
              <w:spacing w:after="0" w:line="240" w:lineRule="auto"/>
              <w:jc w:val="right"/>
              <w:rPr>
                <w:rFonts w:eastAsia="Times New Roman" w:cs="Times New Roman"/>
                <w:b/>
                <w:sz w:val="18"/>
                <w:szCs w:val="18"/>
                <w:lang w:eastAsia="sk-SK"/>
              </w:rPr>
            </w:pPr>
            <w:r w:rsidRPr="0024131C">
              <w:rPr>
                <w:rFonts w:eastAsia="Times New Roman" w:cs="Times New Roman"/>
                <w:b/>
                <w:sz w:val="18"/>
                <w:szCs w:val="18"/>
                <w:lang w:eastAsia="sk-SK"/>
              </w:rPr>
              <w:t>345 637</w:t>
            </w:r>
          </w:p>
        </w:tc>
        <w:tc>
          <w:tcPr>
            <w:tcW w:w="992" w:type="dxa"/>
            <w:tcBorders>
              <w:top w:val="single" w:sz="4" w:space="0" w:color="000000"/>
              <w:left w:val="nil"/>
              <w:bottom w:val="single" w:sz="8" w:space="0" w:color="000000"/>
              <w:right w:val="nil"/>
            </w:tcBorders>
            <w:shd w:val="clear" w:color="auto" w:fill="FFFFFF"/>
            <w:vAlign w:val="center"/>
          </w:tcPr>
          <w:p w14:paraId="58D40B97" w14:textId="77777777" w:rsidR="00EA177A" w:rsidRPr="0024131C" w:rsidRDefault="00EA177A" w:rsidP="00C704A7">
            <w:pPr>
              <w:widowControl w:val="0"/>
              <w:spacing w:after="0" w:line="240" w:lineRule="auto"/>
              <w:jc w:val="right"/>
              <w:rPr>
                <w:rFonts w:eastAsia="Times New Roman" w:cs="Times New Roman"/>
                <w:b/>
                <w:sz w:val="18"/>
                <w:szCs w:val="18"/>
                <w:lang w:eastAsia="sk-SK"/>
              </w:rPr>
            </w:pPr>
            <w:r w:rsidRPr="0024131C">
              <w:rPr>
                <w:rFonts w:eastAsia="Times New Roman" w:cs="Times New Roman"/>
                <w:b/>
                <w:sz w:val="18"/>
                <w:szCs w:val="18"/>
                <w:lang w:eastAsia="sk-SK"/>
              </w:rPr>
              <w:t>416 714</w:t>
            </w:r>
          </w:p>
        </w:tc>
        <w:tc>
          <w:tcPr>
            <w:tcW w:w="1134" w:type="dxa"/>
            <w:tcBorders>
              <w:top w:val="single" w:sz="4" w:space="0" w:color="000000"/>
              <w:left w:val="nil"/>
              <w:bottom w:val="single" w:sz="8" w:space="0" w:color="000000"/>
              <w:right w:val="nil"/>
            </w:tcBorders>
            <w:shd w:val="clear" w:color="auto" w:fill="BFBFBF"/>
            <w:vAlign w:val="center"/>
          </w:tcPr>
          <w:p w14:paraId="59CD9471" w14:textId="77777777" w:rsidR="00EA177A" w:rsidRPr="0024131C" w:rsidRDefault="00EA177A" w:rsidP="00C704A7">
            <w:pPr>
              <w:widowControl w:val="0"/>
              <w:spacing w:after="0" w:line="240" w:lineRule="auto"/>
              <w:jc w:val="right"/>
              <w:rPr>
                <w:rFonts w:eastAsia="Times New Roman" w:cs="Times New Roman"/>
                <w:b/>
                <w:sz w:val="18"/>
                <w:szCs w:val="18"/>
                <w:lang w:eastAsia="sk-SK"/>
              </w:rPr>
            </w:pPr>
            <w:r w:rsidRPr="0024131C">
              <w:rPr>
                <w:rFonts w:eastAsia="Times New Roman" w:cs="Times New Roman"/>
                <w:b/>
                <w:sz w:val="18"/>
                <w:szCs w:val="18"/>
                <w:lang w:eastAsia="sk-SK"/>
              </w:rPr>
              <w:t>386 557</w:t>
            </w:r>
          </w:p>
        </w:tc>
        <w:tc>
          <w:tcPr>
            <w:tcW w:w="993" w:type="dxa"/>
            <w:tcBorders>
              <w:top w:val="single" w:sz="4" w:space="0" w:color="000000"/>
              <w:left w:val="nil"/>
              <w:bottom w:val="single" w:sz="8" w:space="0" w:color="000000"/>
              <w:right w:val="nil"/>
            </w:tcBorders>
            <w:shd w:val="clear" w:color="auto" w:fill="FFFFFF"/>
            <w:vAlign w:val="center"/>
          </w:tcPr>
          <w:p w14:paraId="3EC4A52B" w14:textId="77777777" w:rsidR="00EA177A" w:rsidRPr="0024131C" w:rsidRDefault="00EA177A" w:rsidP="00C704A7">
            <w:pPr>
              <w:widowControl w:val="0"/>
              <w:spacing w:after="0" w:line="240" w:lineRule="auto"/>
              <w:jc w:val="right"/>
              <w:rPr>
                <w:rFonts w:eastAsia="Times New Roman" w:cs="Times New Roman"/>
                <w:b/>
                <w:sz w:val="18"/>
                <w:szCs w:val="18"/>
                <w:lang w:eastAsia="sk-SK"/>
              </w:rPr>
            </w:pPr>
            <w:r w:rsidRPr="0024131C">
              <w:rPr>
                <w:rFonts w:eastAsia="Times New Roman" w:cs="Times New Roman"/>
                <w:b/>
                <w:sz w:val="18"/>
                <w:szCs w:val="18"/>
                <w:lang w:eastAsia="sk-SK"/>
              </w:rPr>
              <w:t>-30 157</w:t>
            </w:r>
          </w:p>
        </w:tc>
        <w:tc>
          <w:tcPr>
            <w:tcW w:w="708" w:type="dxa"/>
            <w:tcBorders>
              <w:top w:val="single" w:sz="4" w:space="0" w:color="000000"/>
              <w:left w:val="nil"/>
              <w:bottom w:val="single" w:sz="8" w:space="0" w:color="000000"/>
              <w:right w:val="nil"/>
            </w:tcBorders>
            <w:shd w:val="clear" w:color="auto" w:fill="FFFFFF"/>
            <w:vAlign w:val="center"/>
          </w:tcPr>
          <w:p w14:paraId="19012E9A" w14:textId="77777777" w:rsidR="00EA177A" w:rsidRPr="0024131C" w:rsidRDefault="00EA177A" w:rsidP="00C704A7">
            <w:pPr>
              <w:widowControl w:val="0"/>
              <w:spacing w:after="0" w:line="240" w:lineRule="auto"/>
              <w:jc w:val="right"/>
              <w:rPr>
                <w:rFonts w:eastAsia="Times New Roman" w:cs="Times New Roman"/>
                <w:b/>
                <w:sz w:val="18"/>
                <w:szCs w:val="18"/>
                <w:lang w:eastAsia="sk-SK"/>
              </w:rPr>
            </w:pPr>
            <w:r w:rsidRPr="0024131C">
              <w:rPr>
                <w:rFonts w:eastAsia="Times New Roman" w:cs="Times New Roman"/>
                <w:b/>
                <w:sz w:val="18"/>
                <w:szCs w:val="18"/>
                <w:lang w:eastAsia="sk-SK"/>
              </w:rPr>
              <w:t>-7,2</w:t>
            </w:r>
          </w:p>
        </w:tc>
      </w:tr>
    </w:tbl>
    <w:p w14:paraId="1A979DC1" w14:textId="77777777" w:rsidR="00EA177A" w:rsidRDefault="00EA177A" w:rsidP="00EA177A">
      <w:pPr>
        <w:ind w:left="7080"/>
        <w:rPr>
          <w:sz w:val="18"/>
          <w:szCs w:val="18"/>
        </w:rPr>
      </w:pPr>
      <w:r>
        <w:rPr>
          <w:sz w:val="18"/>
          <w:szCs w:val="18"/>
        </w:rPr>
        <w:t xml:space="preserve">         </w:t>
      </w:r>
      <w:r w:rsidRPr="00E62FE2">
        <w:rPr>
          <w:sz w:val="18"/>
          <w:szCs w:val="18"/>
        </w:rPr>
        <w:t>Zdroj: MF SR</w:t>
      </w:r>
    </w:p>
    <w:p w14:paraId="458BA465" w14:textId="6BACE5C0" w:rsidR="00EA177A" w:rsidRPr="00E62FE2" w:rsidRDefault="00EA177A" w:rsidP="00EA177A">
      <w:pPr>
        <w:tabs>
          <w:tab w:val="left" w:pos="284"/>
        </w:tabs>
      </w:pPr>
      <w:r w:rsidRPr="00E62FE2">
        <w:t xml:space="preserve">V rámci tejto kategórie dosiahli najvyšší príjem </w:t>
      </w:r>
      <w:r w:rsidRPr="00E62FE2">
        <w:rPr>
          <w:b/>
          <w:i/>
        </w:rPr>
        <w:t>súdne a ostatné poplatky</w:t>
      </w:r>
      <w:r w:rsidRPr="00E62FE2">
        <w:t>, a to čiastku 261 926 tis. eur, z ktorých rozhodujúca suma plynie do rozpočtu kapitoly Všeobecnej pokladničnej správy (248 755 tis. eur). Tieto poplatky sú uhrádzané cez elektronický sys</w:t>
      </w:r>
      <w:r>
        <w:t>tém</w:t>
      </w:r>
      <w:r>
        <w:br/>
      </w:r>
      <w:r w:rsidRPr="00E62FE2">
        <w:t>e-</w:t>
      </w:r>
      <w:r w:rsidR="005D4E21">
        <w:t>Kolok</w:t>
      </w:r>
      <w:r w:rsidRPr="00E62FE2">
        <w:t xml:space="preserve">. </w:t>
      </w:r>
    </w:p>
    <w:p w14:paraId="192E81C6" w14:textId="77777777" w:rsidR="00EA177A" w:rsidRPr="00E62FE2" w:rsidRDefault="00EA177A" w:rsidP="00EA177A">
      <w:r w:rsidRPr="00E62FE2">
        <w:t>Súdne poplatky boli rozpočtované na úrovni 9 000 tis. eur, a ich skutočné plnenie sa vykazuje v príjmoch za ostatné poplatky. Medzi ďalšie patria napr. paušálne náhrady za udeľovanie víz, udržiavacie poplatky za patent a pod.</w:t>
      </w:r>
    </w:p>
    <w:p w14:paraId="28353C8F" w14:textId="77777777" w:rsidR="00EA177A" w:rsidRPr="00E62FE2" w:rsidRDefault="00EA177A" w:rsidP="00EA177A">
      <w:pPr>
        <w:tabs>
          <w:tab w:val="left" w:pos="284"/>
        </w:tabs>
      </w:pPr>
      <w:r w:rsidRPr="00E62FE2">
        <w:rPr>
          <w:b/>
          <w:i/>
        </w:rPr>
        <w:t>Puncové poplatky</w:t>
      </w:r>
      <w:r w:rsidRPr="00E62FE2">
        <w:t xml:space="preserve"> boli príjmom rozpočtu len v kapitole Ministerstva hospodárstva SR, a to v celkovej čiastke 786 tis. eur.</w:t>
      </w:r>
    </w:p>
    <w:p w14:paraId="1D60F332" w14:textId="77777777" w:rsidR="00EA177A" w:rsidRPr="00E62FE2" w:rsidRDefault="00EA177A" w:rsidP="00EA177A">
      <w:r w:rsidRPr="00E62FE2">
        <w:rPr>
          <w:b/>
          <w:i/>
        </w:rPr>
        <w:t xml:space="preserve">Pokuty, penále a iné sankcie </w:t>
      </w:r>
      <w:r w:rsidRPr="00E62FE2">
        <w:t xml:space="preserve">dosiahli úhrnom 67 163 tis. eur, a sú vyrubované zo strany štátnych úradov najmä v súvislosti s porušením zákona o rozpočtových pravidlách, s porušením daňových, colných, cenových a ostatných predpisov. </w:t>
      </w:r>
    </w:p>
    <w:p w14:paraId="2B5E9650" w14:textId="77777777" w:rsidR="00EA177A" w:rsidRPr="00E62FE2" w:rsidRDefault="00EA177A" w:rsidP="00EA177A">
      <w:r w:rsidRPr="00E62FE2">
        <w:t xml:space="preserve">Najväčší podiel tvorí kapitola Ministerstva vnútra SR (43 104 tis. eur), kde išlo o príjmy od fyzických osôb, právnických osôb alebo zahraničných osôb najmä za uložené pokuty za dopravné priestupky, pokuty z objektívnej zodpovednosti za neuhradené diaľničné známky a mýto, za chýbajúcu emisnú a technickú kontrolu motorových vozidiel. </w:t>
      </w:r>
    </w:p>
    <w:p w14:paraId="66B94A09" w14:textId="77777777" w:rsidR="00EA177A" w:rsidRPr="00E62FE2" w:rsidRDefault="00EA177A" w:rsidP="00EA177A">
      <w:r w:rsidRPr="00E62FE2">
        <w:t>Ministerstvo práce, sociálnych vecí a rodiny SR prijalo za porušenie pr</w:t>
      </w:r>
      <w:r>
        <w:t xml:space="preserve">edpisov sumu 6 565 tis. eur vo </w:t>
      </w:r>
      <w:r w:rsidRPr="00E62FE2">
        <w:t>forme blokových pokút a pokút za porušovanie pracovnoprávnych predpisov a predpisov na zaistenie bezpečnosti a ochrany zdravia pri práci (ukladané najmä inšpektorátmi práce) a odvodov za neplnenie povinného podielu zamestnávania občanov so zdravotným postihnutím podľa § 65 zákona č. 5/2004 Z. z. o službách zamestnanosti.</w:t>
      </w:r>
    </w:p>
    <w:p w14:paraId="6D5A2657" w14:textId="77777777" w:rsidR="00EA177A" w:rsidRPr="00E62FE2" w:rsidRDefault="00EA177A" w:rsidP="00EA177A">
      <w:r w:rsidRPr="00E62FE2">
        <w:t>Významnú hodnotu vykázal aj Protimonopolný úrad SR, a to 3 706 tis. eur z pokút uložených podnikateľským subjektom v oblasti dodržiavania pravidiel hospodárskej súťaže. Keďže počas roka 2019 boli uhradené aj pohľadávky z pokút uložených v minulých rokoch, skutočne dosiahnuté príjmy Protimonopolného úradu výrazn</w:t>
      </w:r>
      <w:r>
        <w:t>e prekročili schválený rozpočet</w:t>
      </w:r>
      <w:r>
        <w:br/>
        <w:t>(o 3 505 tis. eur).</w:t>
      </w:r>
    </w:p>
    <w:p w14:paraId="367DC71A" w14:textId="77777777" w:rsidR="00EA177A" w:rsidRPr="00E62FE2" w:rsidRDefault="00EA177A" w:rsidP="00EA177A">
      <w:r w:rsidRPr="00E62FE2">
        <w:t xml:space="preserve">Ministerstvo pôdohospodárstva a rozvoja vidieka SR získalo príjmy za porušenie predpisov v celkovej výške 3 228 tis. eur. Najväčší objem príjmov (3 061 tis. eur) dosiahla Štátna veterinárna a potravinová správa SR spolu s regionálnymi úradmi veterinárnej a potravinovej správy, a to z pokút, ktoré boli uložené prevádzkovateľom v obchodných sieťach. </w:t>
      </w:r>
    </w:p>
    <w:p w14:paraId="124BEEB7" w14:textId="77777777" w:rsidR="00EA177A" w:rsidRPr="00E62FE2" w:rsidRDefault="00EA177A" w:rsidP="00EA177A">
      <w:r w:rsidRPr="00E62FE2">
        <w:t>V kapitole Ministerstva hospodárstva SR boli dosiahnuté celkové príjmy za porušenie predpisov v sume 2 145 tis. eur. Išlo o pokuty prijaté Slovenskou obchodnou inšpekciou od kontrolovaných subjektov za porušenie predpisov vo všetkých oblastiach ochrany spotrebiteľa. Ďalej pokuty uložené Puncovým úradom SR za porušenie predpisov a Hlavným banským úradom ako penále za nezaplatenie, resp. oneskorené platby z úhrad za dobývacie priestory a vydobyté nerasty a príjmy z uložených pokút na základe porušení banských predpisov pri dobývaní ložísk nerastov zistených pri výkone hlavného banského dozoru.</w:t>
      </w:r>
    </w:p>
    <w:p w14:paraId="061193CA" w14:textId="77777777" w:rsidR="00EA177A" w:rsidRDefault="00EA177A" w:rsidP="00EA177A">
      <w:r w:rsidRPr="00E62FE2">
        <w:rPr>
          <w:b/>
          <w:i/>
        </w:rPr>
        <w:t>Poplatky a platby z nepriemyselného a náhodného predaja</w:t>
      </w:r>
      <w:r w:rsidRPr="00E62FE2">
        <w:t xml:space="preserve"> prijali kapitoly v celkovej čiastke 56 372 tis. eur, z toho najviac za predaj výrobkov, tovarov a služieb (54 336 tis. eur). Ministerstvo dopravy a výstavby SR získalo sumu 20 327 tis. eur. Išlo najmä o príjmy Úradu pre reguláciu elektronických komunikácii a poštových služieb v sume 17 411 tis. eur za pravidelné platby zo správy frekvenčného spektra a ekonomickej regulácie. Ďalej to boli príjmy samotného úradu Ministerstva dopravy a výstavby SR v sume 2 471 tis. eur, kt</w:t>
      </w:r>
      <w:r>
        <w:t>oré pozostávali najmä z platby z</w:t>
      </w:r>
      <w:r w:rsidRPr="00E62FE2">
        <w:t>a mýto na koncesných cestách od N</w:t>
      </w:r>
      <w:r>
        <w:t>árodnej diaľničnej spoločnosti, a. s.</w:t>
      </w:r>
    </w:p>
    <w:p w14:paraId="6B5F4D6D" w14:textId="77777777" w:rsidR="00EA177A" w:rsidRPr="00E62FE2" w:rsidRDefault="00EA177A" w:rsidP="00EA177A">
      <w:r w:rsidRPr="00E62FE2">
        <w:t>Ministerstvo spravodlivosti SR získalo čiastku 17 612 tis. eur najmä z vedľajšieho hospodárstva za predaj výrobkov, tovarov a služieb a za lekárske výkony v Zbore väzenskej a justičnej stráže, ďalej za právne služby, náhrady trov preddavkované zo štátneho rozpočtu (svedočné, znalecké a tlmočnícke úkony) a iné. Ministerstvo vnútra SR prijalo čiastku 4 889 tis. eur, napríklad za napojenie na pulty centrálnej ochrany, za ochranu objektov spoločností Jadrová a vyraďovacia spoločnosť, a. s., služby policajného doprovodu pri ochrane osôb alebo peňazí a iné.</w:t>
      </w:r>
    </w:p>
    <w:p w14:paraId="422A2C68" w14:textId="77777777" w:rsidR="00EA177A" w:rsidRPr="00E62FE2" w:rsidRDefault="00EA177A" w:rsidP="00EA177A">
      <w:r w:rsidRPr="00E62FE2">
        <w:rPr>
          <w:b/>
        </w:rPr>
        <w:t xml:space="preserve">Kapitálové príjmy </w:t>
      </w:r>
      <w:r w:rsidRPr="00E62FE2">
        <w:t xml:space="preserve">sú príjmy z predaja hnuteľného aj nehnuteľného majetku v správe jednotlivých kapitol štátneho rozpočtu, </w:t>
      </w:r>
      <w:r>
        <w:t xml:space="preserve">ktorý je vyhlásený za </w:t>
      </w:r>
      <w:r w:rsidRPr="00E62FE2">
        <w:t>prebytočný alebo neupotrebiteľný. Jednotlivé kapitoly štátneho rozpočtu sú zodpovedné za pravidelné vyhodnocovanie fyzického stavu majetku a rozhodnutie o jeho prebytočnosti alebo neupotrebiteľnosti. V návrhu rozpočtu sa premietajú zámery na odpredaj tohto majetku, pričom z dôvodu splnenia legislatívnych podmienok na predaj majetku štátu môže k plneniu tohto zámeru dôjsť až nasledujúce obdobie. Rozpočet predpokladal kapitálové príjmy vo výške 52 691 tis. eur, z toho príjmy z predaja kapitálových aktív 48 177 tis. eur a prí</w:t>
      </w:r>
      <w:r>
        <w:t>j</w:t>
      </w:r>
      <w:r w:rsidRPr="00E62FE2">
        <w:t>my z predaja pozemkov 4 215 tis. eur. Hotovostné plnenie dosiahlo 11 959 tis. eur, pričom predaj kapitálových aktív dosiahol 7 257 tis. eur a predaj pozemkov 4 126 tis. eur.</w:t>
      </w:r>
    </w:p>
    <w:p w14:paraId="66F67B81" w14:textId="77777777" w:rsidR="00EA177A" w:rsidRPr="00E62FE2" w:rsidRDefault="00EA177A" w:rsidP="00EA177A">
      <w:r w:rsidRPr="00E62FE2">
        <w:t xml:space="preserve">Objemovo najväčší rozpočet príjmov z predaja kapitálových aktív tak ako v predchádzajúcich rokoch predpokladala kapitola Ministerstva vnútra SR (aj z dôvodu veľkého počtu rozpočtových organizácií v zriaďovateľskej pôsobnosti), a to v sume 32 959 tis. eur. Z dôvodu zdĺhavého </w:t>
      </w:r>
      <w:proofErr w:type="spellStart"/>
      <w:r w:rsidRPr="00E62FE2">
        <w:t>majetkoprávneho</w:t>
      </w:r>
      <w:proofErr w:type="spellEnd"/>
      <w:r w:rsidRPr="00E62FE2">
        <w:t xml:space="preserve"> procesu odpredaja prebytočných nehnuteľností sa tieto príjmy neplnili a preto boli viazané v sume 31 132 tis. eur. Skutočné plnenie k 31. 12. 2019 dosiahli tak v objeme 1 832 tis. eur, najmä za predaj služobných bytov zamestnancom a za predaj administratívnych budov. Ministerstvo práce, sociálnych vecí a rodiny SR dosiahlo príjmy z predaja kapitálových aktív vo výške 3 647 tis</w:t>
      </w:r>
      <w:r>
        <w:t>.</w:t>
      </w:r>
      <w:r w:rsidRPr="00E62FE2">
        <w:t xml:space="preserve"> eur. Išlo najmä o predaj prebytočných budov detských domovov a budov </w:t>
      </w:r>
      <w:r>
        <w:t>Ú</w:t>
      </w:r>
      <w:r w:rsidRPr="00E62FE2">
        <w:t xml:space="preserve">radov práce, sociálnych vecí a rodiny. </w:t>
      </w:r>
    </w:p>
    <w:p w14:paraId="18ECE905" w14:textId="77777777" w:rsidR="00EA177A" w:rsidRPr="00E62FE2" w:rsidRDefault="00EA177A" w:rsidP="00EA177A">
      <w:r w:rsidRPr="00E62FE2">
        <w:t>Príjmy z predaja pozemkov boli dosiahnuté v najväčšom objeme v kapitolách Ministerstva vnútra SR (2 938 tis. eur), Ministerstva obrany SR (726 tis. eur) a Ministerstva financií SR (451 tis. eur).</w:t>
      </w:r>
    </w:p>
    <w:p w14:paraId="53B42089" w14:textId="77777777" w:rsidR="00EA177A" w:rsidRPr="00E62FE2" w:rsidRDefault="00EA177A" w:rsidP="00EA177A">
      <w:pPr>
        <w:tabs>
          <w:tab w:val="left" w:pos="284"/>
        </w:tabs>
      </w:pPr>
      <w:r w:rsidRPr="00E62FE2">
        <w:rPr>
          <w:b/>
        </w:rPr>
        <w:t xml:space="preserve">Úroky z tuzemských úverov, pôžičiek a návratných finančných výpomocí </w:t>
      </w:r>
      <w:r w:rsidRPr="00E62FE2">
        <w:t>dosiahli 7 631 tis. eur, pričom kapitola Všeobecná pokladničná správa tvorí takmer 100 % týchto príjmov z dôvodu poskytnutých návratných finančných výpomocí</w:t>
      </w:r>
      <w:r>
        <w:t xml:space="preserve"> </w:t>
      </w:r>
      <w:r w:rsidRPr="00E62FE2">
        <w:t>v predchádzajúcich obdobiach a úročenia účtov finančného hospodárenia.</w:t>
      </w:r>
      <w:r>
        <w:t xml:space="preserve">  </w:t>
      </w:r>
    </w:p>
    <w:p w14:paraId="4050F8B1" w14:textId="77777777" w:rsidR="00EA177A" w:rsidRPr="00E62FE2" w:rsidRDefault="00EA177A" w:rsidP="00EA177A">
      <w:pPr>
        <w:tabs>
          <w:tab w:val="left" w:pos="284"/>
        </w:tabs>
      </w:pPr>
      <w:r w:rsidRPr="00E62FE2">
        <w:rPr>
          <w:b/>
        </w:rPr>
        <w:t>Iné nedaňové príjmy</w:t>
      </w:r>
      <w:r w:rsidRPr="00E62FE2">
        <w:t xml:space="preserve"> tvoria najmä odvod z hazardných hier, odvod prevádzkovateľov distribučných sústav a prenosovej sústavy, ostatné odvody a príjem z nezrovnalostí a iných </w:t>
      </w:r>
      <w:proofErr w:type="spellStart"/>
      <w:r w:rsidRPr="00E62FE2">
        <w:t>vratiek</w:t>
      </w:r>
      <w:proofErr w:type="spellEnd"/>
      <w:r w:rsidRPr="00E62FE2">
        <w:t xml:space="preserve"> za prostriedky EÚ. K 31. 12. 2019 dosiahli tieto príjmy celkovú výšku 404 531 tis. eur. </w:t>
      </w:r>
    </w:p>
    <w:p w14:paraId="7D617EBB" w14:textId="77777777" w:rsidR="00EA177A" w:rsidRPr="00E62FE2" w:rsidRDefault="00EA177A" w:rsidP="00EA177A">
      <w:r w:rsidRPr="00E62FE2">
        <w:rPr>
          <w:b/>
          <w:i/>
        </w:rPr>
        <w:t>Príjem z odvodu z hazardných hier</w:t>
      </w:r>
      <w:r w:rsidRPr="00E62FE2">
        <w:t xml:space="preserve"> je súčasťou rozpočtu kapitoly Všeobecná pokladničná správa a dosiahol 248 924 tis. eur, čo predstavuje 96,1 % schváleného rozpočtu a</w:t>
      </w:r>
      <w:r>
        <w:t xml:space="preserve"> </w:t>
      </w:r>
      <w:r w:rsidRPr="00E62FE2">
        <w:t xml:space="preserve">až 61,5 % celkových iných nedaňových príjmov. </w:t>
      </w:r>
    </w:p>
    <w:p w14:paraId="2047C35F" w14:textId="77777777" w:rsidR="00EA177A" w:rsidRPr="00060D6B" w:rsidRDefault="00EA177A" w:rsidP="00EA177A">
      <w:pPr>
        <w:tabs>
          <w:tab w:val="left" w:pos="284"/>
        </w:tabs>
      </w:pPr>
      <w:bookmarkStart w:id="37" w:name="_2et92p0" w:colFirst="0" w:colLast="0"/>
      <w:bookmarkEnd w:id="37"/>
      <w:r w:rsidRPr="00E62FE2">
        <w:rPr>
          <w:b/>
          <w:i/>
        </w:rPr>
        <w:t>Príjmy z odvodu</w:t>
      </w:r>
      <w:r w:rsidRPr="00E62FE2">
        <w:t xml:space="preserve"> tvorili finančné prostriedky zo zúčtovania vzťahov so štátnym rozpočtom zo strany podnikateľských subjektov, príspevkových a rozpočtových organizácií, ústredných orgánov, neziskových organizácií, obcí a vyšších územných celkov, ktorým tieto prostriedky štátneho rozpočtu</w:t>
      </w:r>
      <w:r>
        <w:t xml:space="preserve"> </w:t>
      </w:r>
      <w:r w:rsidRPr="00E62FE2">
        <w:t xml:space="preserve">boli poskytnuté. V roku 2019 objem týchto odvodov dosiahol 20 582 tis. eur, z toho takmer 100% plnenia je súčasťou príjmov kapitoly Všeobecná pokladničná správa, ktorá vykonáva záverečné zúčtovanie s prijímateľmi prostriedkov </w:t>
      </w:r>
      <w:r>
        <w:t>štátneho rozpočtu</w:t>
      </w:r>
      <w:r w:rsidRPr="00060D6B">
        <w:t>. Najväčší podiel na tejto sume predstavuje príjem z finančného zúčtovania s Ministerstvom dopravy a výstavby SR v sume 4 134 tis. eur, Ministerstvom práce, sociálnych vecí a rodiny SR v sume 3 771 tis. eur, Ministerstvom školstva, vedy, výskumu a športu SR v sume 3 008 tis. eur, Ministerstv</w:t>
      </w:r>
      <w:r>
        <w:t>om kultúry SR v sume 1 740 tis. </w:t>
      </w:r>
      <w:r w:rsidRPr="00060D6B">
        <w:t xml:space="preserve">eur, Bratislavským samosprávnym krajom </w:t>
      </w:r>
      <w:r>
        <w:t>v sume 1 993 tis. eur a so </w:t>
      </w:r>
      <w:r w:rsidRPr="00060D6B">
        <w:t>spoločnosťou NTC Košice, a. s. v sume 2 918 tis. eur.</w:t>
      </w:r>
    </w:p>
    <w:p w14:paraId="7C1EDBAA" w14:textId="77777777" w:rsidR="00EA177A" w:rsidRPr="001E5666" w:rsidRDefault="00EA177A" w:rsidP="00EA177A">
      <w:pPr>
        <w:tabs>
          <w:tab w:val="left" w:pos="284"/>
        </w:tabs>
        <w:rPr>
          <w:color w:val="000000" w:themeColor="text1"/>
        </w:rPr>
      </w:pPr>
      <w:r w:rsidRPr="00060D6B">
        <w:rPr>
          <w:b/>
          <w:i/>
        </w:rPr>
        <w:t>Vrátené neoprávnene použité alebo zadržané finančné prostriedky</w:t>
      </w:r>
      <w:r w:rsidRPr="00060D6B">
        <w:t xml:space="preserve"> sa rozpočtovali vo výške 392 tis. eur a v skutočnosti dosiahli 14 621 tis. eur. Tento rozdiel bol spôsobený najmä príjmami z nezrovnalostí a iných </w:t>
      </w:r>
      <w:proofErr w:type="spellStart"/>
      <w:r w:rsidRPr="00060D6B">
        <w:t>vratiek</w:t>
      </w:r>
      <w:proofErr w:type="spellEnd"/>
      <w:r w:rsidRPr="00060D6B">
        <w:t xml:space="preserve"> za prostriedky Európskej únie, ktoré pôvodne rozpočtované neboli a dosiahli skutočnosť 8 971 tis. eur. Vrátenia za nezrovnalosti vznikli väčšinou nedodržaním zmluvy o poskytnutí nenávratného finančného príspevku pri realizácii projektov financovaných z prostriedkov EÚ zo strany prijímateľov. Okrem nezrovnalostí a </w:t>
      </w:r>
      <w:proofErr w:type="spellStart"/>
      <w:r w:rsidRPr="00060D6B">
        <w:t>vratiek</w:t>
      </w:r>
      <w:proofErr w:type="spellEnd"/>
      <w:r w:rsidRPr="00060D6B">
        <w:t xml:space="preserve"> za prostriedky EÚ boli významným príjmom aj vrátené neoprávnene použité alebo zadržané finančné prostriedky od fyzických osôb v sume 4 013 tis. eur, z toho najviac v kapitole Ministerstva práce, sociálnych vecí a rodiny SR (3 937 tis. eur). </w:t>
      </w:r>
      <w:r w:rsidRPr="00A5229B">
        <w:rPr>
          <w:color w:val="000000" w:themeColor="text1"/>
        </w:rPr>
        <w:t>Išlo o </w:t>
      </w:r>
      <w:proofErr w:type="spellStart"/>
      <w:r w:rsidRPr="00A5229B">
        <w:rPr>
          <w:color w:val="000000" w:themeColor="text1"/>
        </w:rPr>
        <w:t>vratky</w:t>
      </w:r>
      <w:proofErr w:type="spellEnd"/>
      <w:r w:rsidRPr="00A5229B">
        <w:rPr>
          <w:color w:val="000000" w:themeColor="text1"/>
        </w:rPr>
        <w:t xml:space="preserve"> z poskytnutých dávok sociálnej pomoci a štátnych sociálnych d</w:t>
      </w:r>
      <w:r>
        <w:rPr>
          <w:color w:val="000000" w:themeColor="text1"/>
        </w:rPr>
        <w:t xml:space="preserve">ávok z minulých rokov </w:t>
      </w:r>
      <w:r>
        <w:t>od ich </w:t>
      </w:r>
      <w:r w:rsidRPr="001E5666">
        <w:t>poberateľov, ktorým vznikla povinnosť ich vrátenia za určité obdobie, alebo len časti z vyplatenej sumy, keďž</w:t>
      </w:r>
      <w:r>
        <w:t>e ich napríklad poberali dlhšie</w:t>
      </w:r>
      <w:r w:rsidRPr="001E5666">
        <w:t xml:space="preserve"> ako mali nárok</w:t>
      </w:r>
      <w:r>
        <w:t>.</w:t>
      </w:r>
    </w:p>
    <w:p w14:paraId="46DE05E3" w14:textId="77777777" w:rsidR="00EA177A" w:rsidRPr="00EC054F" w:rsidRDefault="00EA177A" w:rsidP="00EA177A">
      <w:pPr>
        <w:tabs>
          <w:tab w:val="left" w:pos="284"/>
        </w:tabs>
      </w:pPr>
      <w:r w:rsidRPr="00EC054F">
        <w:rPr>
          <w:b/>
          <w:i/>
        </w:rPr>
        <w:t xml:space="preserve">Zvyšnú časť iných nedaňových príjmov </w:t>
      </w:r>
      <w:r w:rsidRPr="00EC054F">
        <w:t>v hodnote 97 756 tis. eur tvorili najmä príjmy kapitoly Ministerstva hospodárstva SR, a to odvody prevádzkovateľov distribučných sústav a prenosovej sústavy, ktorí sú povinní odvádzať do štátneho rozpočtu odvod z množstva elektriny dodanej kon</w:t>
      </w:r>
      <w:r>
        <w:t>covým odberateľom elektriny (74 </w:t>
      </w:r>
      <w:r w:rsidRPr="00EC054F">
        <w:t>240 tis. eur), príjmy kapitoly Ministerstva spravodlivosti SR najmä z úhrad trov konania a výkonu väzby a výkonu trestu odňatia slobody, z úhrad pohľadávok obvinených a odsúdených, z prepadnutých kaucií, zábezpek, z prepísaných mánk a škôd a iných (10 504 tis. eur)</w:t>
      </w:r>
      <w:r w:rsidRPr="003315E6">
        <w:t>,</w:t>
      </w:r>
      <w:r w:rsidRPr="00EC054F">
        <w:t xml:space="preserve"> príjmy kapitoly Ministerstva vnútra SR za odvody za odňatie poľnohospodárskej pôdy a lesnej pôdy, príjmy z predpísaných mánk a škôd, príjmy z trov konania, príjmy z dedičského konania, príjmy z poplatkov za obnovu evidencie pozemkov a iné (6 976 tis. eur.). </w:t>
      </w:r>
    </w:p>
    <w:p w14:paraId="08676F4D" w14:textId="3B0FFE3F" w:rsidR="00EA177A" w:rsidRDefault="00EA177A" w:rsidP="00EA177A">
      <w:pPr>
        <w:rPr>
          <w:b/>
          <w:i/>
        </w:rPr>
      </w:pPr>
      <w:r w:rsidRPr="00EC054F">
        <w:rPr>
          <w:b/>
          <w:i/>
        </w:rPr>
        <w:t>Podrobné údaje o plnení nedaňových príjmov štátneho rozpočtu v roku 2019 sú uvedené v tab. č. 3 tabuľkovej prílohy štátneho záverečného účtu</w:t>
      </w:r>
      <w:r>
        <w:rPr>
          <w:b/>
          <w:i/>
        </w:rPr>
        <w:t>.</w:t>
      </w:r>
    </w:p>
    <w:p w14:paraId="091187D4" w14:textId="77777777" w:rsidR="00EA177A" w:rsidRDefault="00EA177A" w:rsidP="00EA177A">
      <w:pPr>
        <w:pStyle w:val="Nadpis3"/>
      </w:pPr>
      <w:bookmarkStart w:id="38" w:name="_Toc6415644"/>
      <w:bookmarkStart w:id="39" w:name="_Toc39095175"/>
      <w:r>
        <w:t>Granty a transfery</w:t>
      </w:r>
      <w:bookmarkEnd w:id="38"/>
      <w:bookmarkEnd w:id="39"/>
    </w:p>
    <w:p w14:paraId="532E6A94" w14:textId="77777777" w:rsidR="00EA177A" w:rsidRPr="00250B42" w:rsidRDefault="00EA177A" w:rsidP="00EA177A">
      <w:pPr>
        <w:rPr>
          <w:color w:val="000000" w:themeColor="text1"/>
        </w:rPr>
      </w:pPr>
      <w:r w:rsidRPr="002266F5">
        <w:rPr>
          <w:color w:val="000000" w:themeColor="text1"/>
        </w:rPr>
        <w:t>Gra</w:t>
      </w:r>
      <w:r>
        <w:rPr>
          <w:color w:val="000000" w:themeColor="text1"/>
        </w:rPr>
        <w:t>nty a transfery boli na rok 2019</w:t>
      </w:r>
      <w:r w:rsidRPr="002266F5">
        <w:rPr>
          <w:color w:val="000000" w:themeColor="text1"/>
        </w:rPr>
        <w:t xml:space="preserve"> rozpočtované v celkovej výške 1</w:t>
      </w:r>
      <w:r>
        <w:rPr>
          <w:color w:val="000000" w:themeColor="text1"/>
        </w:rPr>
        <w:t> </w:t>
      </w:r>
      <w:r w:rsidRPr="002266F5">
        <w:rPr>
          <w:color w:val="000000" w:themeColor="text1"/>
        </w:rPr>
        <w:t>701</w:t>
      </w:r>
      <w:r>
        <w:rPr>
          <w:color w:val="000000" w:themeColor="text1"/>
        </w:rPr>
        <w:t> </w:t>
      </w:r>
      <w:r w:rsidRPr="002266F5">
        <w:rPr>
          <w:color w:val="000000" w:themeColor="text1"/>
        </w:rPr>
        <w:t>752 tis. eur (z toho tuzemské v čiastke 36</w:t>
      </w:r>
      <w:r>
        <w:rPr>
          <w:color w:val="000000" w:themeColor="text1"/>
        </w:rPr>
        <w:t> </w:t>
      </w:r>
      <w:r w:rsidRPr="002266F5">
        <w:rPr>
          <w:color w:val="000000" w:themeColor="text1"/>
        </w:rPr>
        <w:t>711 t</w:t>
      </w:r>
      <w:r>
        <w:rPr>
          <w:color w:val="000000" w:themeColor="text1"/>
        </w:rPr>
        <w:t>is. eur), čo je oproti roku 2019</w:t>
      </w:r>
      <w:r w:rsidRPr="002266F5">
        <w:rPr>
          <w:color w:val="000000" w:themeColor="text1"/>
        </w:rPr>
        <w:t xml:space="preserve"> </w:t>
      </w:r>
      <w:r w:rsidRPr="00250B42">
        <w:rPr>
          <w:color w:val="000000" w:themeColor="text1"/>
        </w:rPr>
        <w:t>viac o</w:t>
      </w:r>
      <w:r>
        <w:rPr>
          <w:color w:val="000000" w:themeColor="text1"/>
        </w:rPr>
        <w:t> </w:t>
      </w:r>
      <w:r w:rsidRPr="00250B42">
        <w:rPr>
          <w:color w:val="000000" w:themeColor="text1"/>
        </w:rPr>
        <w:t>289</w:t>
      </w:r>
      <w:r>
        <w:rPr>
          <w:color w:val="000000" w:themeColor="text1"/>
        </w:rPr>
        <w:t> </w:t>
      </w:r>
      <w:r w:rsidRPr="00250B42">
        <w:rPr>
          <w:color w:val="000000" w:themeColor="text1"/>
        </w:rPr>
        <w:t>279 tis. eur. Skutočné príjmy štátneho rozpočtu z grantov a transferov dosiahli sumu 2</w:t>
      </w:r>
      <w:r>
        <w:rPr>
          <w:color w:val="000000" w:themeColor="text1"/>
        </w:rPr>
        <w:t> </w:t>
      </w:r>
      <w:r w:rsidRPr="00250B42">
        <w:rPr>
          <w:color w:val="000000" w:themeColor="text1"/>
        </w:rPr>
        <w:t>161</w:t>
      </w:r>
      <w:r>
        <w:rPr>
          <w:color w:val="000000" w:themeColor="text1"/>
        </w:rPr>
        <w:t> </w:t>
      </w:r>
      <w:r w:rsidRPr="00250B42">
        <w:rPr>
          <w:color w:val="000000" w:themeColor="text1"/>
        </w:rPr>
        <w:t>575 tis. eur a v porovnaní s rokom 2018 je to menej o</w:t>
      </w:r>
      <w:r>
        <w:rPr>
          <w:color w:val="000000" w:themeColor="text1"/>
        </w:rPr>
        <w:t> </w:t>
      </w:r>
      <w:r w:rsidRPr="00250B42">
        <w:rPr>
          <w:color w:val="000000" w:themeColor="text1"/>
        </w:rPr>
        <w:t>42</w:t>
      </w:r>
      <w:r>
        <w:rPr>
          <w:color w:val="000000" w:themeColor="text1"/>
        </w:rPr>
        <w:t> </w:t>
      </w:r>
      <w:r w:rsidRPr="00250B42">
        <w:rPr>
          <w:color w:val="000000" w:themeColor="text1"/>
        </w:rPr>
        <w:t>059 tis. eur. Rozhodujúcu časť týchto prostriedkov tvoria zdroje z rozpočtu EÚ alokované a čerpané v rámci príslušného programového obdobia.</w:t>
      </w:r>
    </w:p>
    <w:p w14:paraId="36BB9405" w14:textId="77777777" w:rsidR="00EA177A" w:rsidRDefault="00EA177A" w:rsidP="00EA177A">
      <w:pPr>
        <w:rPr>
          <w:color w:val="000000" w:themeColor="text1"/>
        </w:rPr>
      </w:pPr>
      <w:r w:rsidRPr="00250B42">
        <w:rPr>
          <w:color w:val="000000" w:themeColor="text1"/>
        </w:rPr>
        <w:t>Súhrnný prehľad o plnení grantov a transferov poskytuje nasledovná tabuľka:</w:t>
      </w:r>
    </w:p>
    <w:tbl>
      <w:tblPr>
        <w:tblW w:w="8495" w:type="dxa"/>
        <w:tblLayout w:type="fixed"/>
        <w:tblCellMar>
          <w:left w:w="70" w:type="dxa"/>
          <w:right w:w="70" w:type="dxa"/>
        </w:tblCellMar>
        <w:tblLook w:val="04A0" w:firstRow="1" w:lastRow="0" w:firstColumn="1" w:lastColumn="0" w:noHBand="0" w:noVBand="1"/>
      </w:tblPr>
      <w:tblGrid>
        <w:gridCol w:w="2967"/>
        <w:gridCol w:w="992"/>
        <w:gridCol w:w="1019"/>
        <w:gridCol w:w="966"/>
        <w:gridCol w:w="1117"/>
        <w:gridCol w:w="850"/>
        <w:gridCol w:w="584"/>
      </w:tblGrid>
      <w:tr w:rsidR="00EA177A" w:rsidRPr="00480A4B" w14:paraId="558B8560" w14:textId="77777777" w:rsidTr="00C54C4D">
        <w:trPr>
          <w:trHeight w:val="417"/>
        </w:trPr>
        <w:tc>
          <w:tcPr>
            <w:tcW w:w="8495" w:type="dxa"/>
            <w:gridSpan w:val="7"/>
            <w:tcBorders>
              <w:top w:val="nil"/>
              <w:left w:val="single" w:sz="8" w:space="0" w:color="auto"/>
              <w:bottom w:val="nil"/>
              <w:right w:val="nil"/>
            </w:tcBorders>
            <w:shd w:val="clear" w:color="000000" w:fill="000000"/>
            <w:vAlign w:val="center"/>
            <w:hideMark/>
          </w:tcPr>
          <w:p w14:paraId="552A5F01" w14:textId="0698DF20" w:rsidR="00EA177A" w:rsidRPr="00480A4B" w:rsidRDefault="00EA177A" w:rsidP="00C704A7">
            <w:pPr>
              <w:spacing w:after="0" w:line="240" w:lineRule="auto"/>
              <w:jc w:val="left"/>
              <w:rPr>
                <w:rFonts w:eastAsia="Times New Roman" w:cs="Times New Roman"/>
                <w:b/>
                <w:bCs/>
                <w:color w:val="FFFFFF" w:themeColor="background1"/>
                <w:sz w:val="18"/>
                <w:szCs w:val="18"/>
                <w:lang w:eastAsia="sk-SK"/>
              </w:rPr>
            </w:pPr>
            <w:r w:rsidRPr="00480A4B">
              <w:rPr>
                <w:rFonts w:eastAsia="Times New Roman" w:cs="Times New Roman"/>
                <w:b/>
                <w:bCs/>
                <w:color w:val="FFFFFF" w:themeColor="background1"/>
                <w:sz w:val="18"/>
                <w:szCs w:val="18"/>
                <w:lang w:eastAsia="sk-SK"/>
              </w:rPr>
              <w:t xml:space="preserve">Granty a transfery                                                                                                                         </w:t>
            </w:r>
            <w:r w:rsidR="00480A4B">
              <w:rPr>
                <w:rFonts w:eastAsia="Times New Roman" w:cs="Times New Roman"/>
                <w:b/>
                <w:bCs/>
                <w:color w:val="FFFFFF" w:themeColor="background1"/>
                <w:sz w:val="18"/>
                <w:szCs w:val="18"/>
                <w:lang w:eastAsia="sk-SK"/>
              </w:rPr>
              <w:t xml:space="preserve">               </w:t>
            </w:r>
            <w:r w:rsidRPr="00480A4B">
              <w:rPr>
                <w:rFonts w:eastAsia="Times New Roman" w:cs="Times New Roman"/>
                <w:b/>
                <w:bCs/>
                <w:color w:val="FFFFFF" w:themeColor="background1"/>
                <w:sz w:val="18"/>
                <w:szCs w:val="18"/>
                <w:lang w:eastAsia="sk-SK"/>
              </w:rPr>
              <w:t>v tis. eur</w:t>
            </w:r>
          </w:p>
        </w:tc>
      </w:tr>
      <w:tr w:rsidR="00EA177A" w:rsidRPr="00480A4B" w14:paraId="6C6ADCCD" w14:textId="77777777" w:rsidTr="00480A4B">
        <w:tblPrEx>
          <w:tblCellMar>
            <w:left w:w="67" w:type="dxa"/>
            <w:right w:w="67" w:type="dxa"/>
          </w:tblCellMar>
        </w:tblPrEx>
        <w:trPr>
          <w:trHeight w:val="316"/>
        </w:trPr>
        <w:tc>
          <w:tcPr>
            <w:tcW w:w="2967" w:type="dxa"/>
            <w:tcBorders>
              <w:top w:val="nil"/>
              <w:left w:val="nil"/>
              <w:bottom w:val="nil"/>
              <w:right w:val="nil"/>
            </w:tcBorders>
            <w:shd w:val="clear" w:color="000000" w:fill="BFBFBF"/>
            <w:vAlign w:val="center"/>
            <w:hideMark/>
          </w:tcPr>
          <w:p w14:paraId="64888FCF" w14:textId="77777777" w:rsidR="00EA177A" w:rsidRPr="00480A4B" w:rsidRDefault="00EA177A" w:rsidP="00C704A7">
            <w:pPr>
              <w:spacing w:after="0" w:line="240" w:lineRule="auto"/>
              <w:jc w:val="left"/>
              <w:rPr>
                <w:b/>
                <w:bCs/>
                <w:color w:val="000000" w:themeColor="text1"/>
                <w:sz w:val="18"/>
                <w:szCs w:val="18"/>
                <w:lang w:eastAsia="sk-SK"/>
              </w:rPr>
            </w:pPr>
            <w:r w:rsidRPr="00480A4B">
              <w:rPr>
                <w:b/>
                <w:bCs/>
                <w:color w:val="000000" w:themeColor="text1"/>
                <w:sz w:val="18"/>
                <w:szCs w:val="18"/>
                <w:lang w:eastAsia="sk-SK"/>
              </w:rPr>
              <w:t> </w:t>
            </w:r>
          </w:p>
        </w:tc>
        <w:tc>
          <w:tcPr>
            <w:tcW w:w="2011" w:type="dxa"/>
            <w:gridSpan w:val="2"/>
            <w:tcBorders>
              <w:top w:val="nil"/>
              <w:left w:val="nil"/>
              <w:bottom w:val="nil"/>
              <w:right w:val="nil"/>
            </w:tcBorders>
            <w:shd w:val="clear" w:color="000000" w:fill="BFBFBF"/>
            <w:vAlign w:val="center"/>
            <w:hideMark/>
          </w:tcPr>
          <w:p w14:paraId="6601F387"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Skutočnosť</w:t>
            </w:r>
          </w:p>
        </w:tc>
        <w:tc>
          <w:tcPr>
            <w:tcW w:w="966" w:type="dxa"/>
            <w:tcBorders>
              <w:top w:val="nil"/>
              <w:left w:val="nil"/>
              <w:bottom w:val="nil"/>
              <w:right w:val="nil"/>
            </w:tcBorders>
            <w:shd w:val="clear" w:color="000000" w:fill="BFBFBF"/>
            <w:vAlign w:val="center"/>
            <w:hideMark/>
          </w:tcPr>
          <w:p w14:paraId="73E8817E"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Rozpočet</w:t>
            </w:r>
          </w:p>
        </w:tc>
        <w:tc>
          <w:tcPr>
            <w:tcW w:w="1117" w:type="dxa"/>
            <w:tcBorders>
              <w:top w:val="nil"/>
              <w:left w:val="nil"/>
              <w:bottom w:val="nil"/>
              <w:right w:val="nil"/>
            </w:tcBorders>
            <w:shd w:val="clear" w:color="000000" w:fill="BFBFBF"/>
            <w:vAlign w:val="center"/>
            <w:hideMark/>
          </w:tcPr>
          <w:p w14:paraId="39BCBDDA"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Skutočnosť</w:t>
            </w:r>
          </w:p>
        </w:tc>
        <w:tc>
          <w:tcPr>
            <w:tcW w:w="1434" w:type="dxa"/>
            <w:gridSpan w:val="2"/>
            <w:tcBorders>
              <w:top w:val="nil"/>
              <w:left w:val="nil"/>
              <w:bottom w:val="nil"/>
              <w:right w:val="nil"/>
            </w:tcBorders>
            <w:shd w:val="clear" w:color="000000" w:fill="BFBFBF"/>
            <w:vAlign w:val="center"/>
            <w:hideMark/>
          </w:tcPr>
          <w:p w14:paraId="18CC306F"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Rozdiel</w:t>
            </w:r>
          </w:p>
        </w:tc>
      </w:tr>
      <w:tr w:rsidR="00EA177A" w:rsidRPr="00480A4B" w14:paraId="01298663" w14:textId="77777777" w:rsidTr="00480A4B">
        <w:trPr>
          <w:trHeight w:val="330"/>
        </w:trPr>
        <w:tc>
          <w:tcPr>
            <w:tcW w:w="2967" w:type="dxa"/>
            <w:tcBorders>
              <w:top w:val="nil"/>
              <w:left w:val="nil"/>
              <w:bottom w:val="nil"/>
              <w:right w:val="nil"/>
            </w:tcBorders>
            <w:shd w:val="clear" w:color="000000" w:fill="BFBFBF"/>
            <w:vAlign w:val="center"/>
            <w:hideMark/>
          </w:tcPr>
          <w:p w14:paraId="5AA59371" w14:textId="77777777" w:rsidR="00EA177A" w:rsidRPr="00480A4B" w:rsidRDefault="00EA177A" w:rsidP="00C704A7">
            <w:pPr>
              <w:spacing w:after="0" w:line="240" w:lineRule="auto"/>
              <w:jc w:val="left"/>
              <w:rPr>
                <w:b/>
                <w:bCs/>
                <w:color w:val="000000" w:themeColor="text1"/>
                <w:sz w:val="18"/>
                <w:szCs w:val="18"/>
                <w:lang w:eastAsia="sk-SK"/>
              </w:rPr>
            </w:pPr>
            <w:r w:rsidRPr="00480A4B">
              <w:rPr>
                <w:b/>
                <w:bCs/>
                <w:color w:val="000000" w:themeColor="text1"/>
                <w:sz w:val="18"/>
                <w:szCs w:val="18"/>
                <w:lang w:eastAsia="sk-SK"/>
              </w:rPr>
              <w:t> </w:t>
            </w:r>
          </w:p>
        </w:tc>
        <w:tc>
          <w:tcPr>
            <w:tcW w:w="992" w:type="dxa"/>
            <w:tcBorders>
              <w:top w:val="nil"/>
              <w:left w:val="nil"/>
              <w:bottom w:val="nil"/>
              <w:right w:val="nil"/>
            </w:tcBorders>
            <w:shd w:val="clear" w:color="000000" w:fill="BFBFBF"/>
            <w:vAlign w:val="center"/>
            <w:hideMark/>
          </w:tcPr>
          <w:p w14:paraId="1D163058"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2017</w:t>
            </w:r>
          </w:p>
        </w:tc>
        <w:tc>
          <w:tcPr>
            <w:tcW w:w="1019" w:type="dxa"/>
            <w:tcBorders>
              <w:top w:val="nil"/>
              <w:left w:val="nil"/>
              <w:bottom w:val="nil"/>
              <w:right w:val="nil"/>
            </w:tcBorders>
            <w:shd w:val="clear" w:color="000000" w:fill="BFBFBF"/>
            <w:vAlign w:val="center"/>
            <w:hideMark/>
          </w:tcPr>
          <w:p w14:paraId="77494EB9"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2018</w:t>
            </w:r>
          </w:p>
        </w:tc>
        <w:tc>
          <w:tcPr>
            <w:tcW w:w="966" w:type="dxa"/>
            <w:tcBorders>
              <w:top w:val="nil"/>
              <w:left w:val="nil"/>
              <w:bottom w:val="nil"/>
              <w:right w:val="nil"/>
            </w:tcBorders>
            <w:shd w:val="clear" w:color="000000" w:fill="BFBFBF"/>
            <w:vAlign w:val="center"/>
            <w:hideMark/>
          </w:tcPr>
          <w:p w14:paraId="525DF63C"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2019</w:t>
            </w:r>
          </w:p>
        </w:tc>
        <w:tc>
          <w:tcPr>
            <w:tcW w:w="1117" w:type="dxa"/>
            <w:tcBorders>
              <w:top w:val="nil"/>
              <w:left w:val="nil"/>
              <w:bottom w:val="nil"/>
              <w:right w:val="nil"/>
            </w:tcBorders>
            <w:shd w:val="clear" w:color="000000" w:fill="BFBFBF"/>
            <w:vAlign w:val="center"/>
            <w:hideMark/>
          </w:tcPr>
          <w:p w14:paraId="79BC2C57"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2019</w:t>
            </w:r>
          </w:p>
        </w:tc>
        <w:tc>
          <w:tcPr>
            <w:tcW w:w="850" w:type="dxa"/>
            <w:tcBorders>
              <w:top w:val="nil"/>
              <w:left w:val="nil"/>
              <w:bottom w:val="nil"/>
              <w:right w:val="nil"/>
            </w:tcBorders>
            <w:shd w:val="clear" w:color="000000" w:fill="BFBFBF"/>
            <w:vAlign w:val="center"/>
            <w:hideMark/>
          </w:tcPr>
          <w:p w14:paraId="42FE0FEC" w14:textId="77777777" w:rsidR="00EA177A" w:rsidRPr="00480A4B" w:rsidRDefault="00EA177A" w:rsidP="00C704A7">
            <w:pPr>
              <w:spacing w:after="0" w:line="240" w:lineRule="auto"/>
              <w:jc w:val="center"/>
              <w:rPr>
                <w:rFonts w:eastAsia="Times New Roman" w:cs="Times New Roman"/>
                <w:b/>
                <w:bCs/>
                <w:color w:val="000000" w:themeColor="text1"/>
                <w:sz w:val="18"/>
                <w:szCs w:val="18"/>
                <w:lang w:eastAsia="sk-SK"/>
              </w:rPr>
            </w:pPr>
            <w:r w:rsidRPr="00480A4B">
              <w:rPr>
                <w:b/>
                <w:bCs/>
                <w:color w:val="000000" w:themeColor="text1"/>
                <w:sz w:val="18"/>
                <w:szCs w:val="18"/>
                <w:lang w:eastAsia="sk-SK"/>
              </w:rPr>
              <w:t xml:space="preserve"> v tis. eur</w:t>
            </w:r>
          </w:p>
        </w:tc>
        <w:tc>
          <w:tcPr>
            <w:tcW w:w="584" w:type="dxa"/>
            <w:tcBorders>
              <w:top w:val="nil"/>
              <w:left w:val="nil"/>
              <w:bottom w:val="nil"/>
              <w:right w:val="nil"/>
            </w:tcBorders>
            <w:shd w:val="clear" w:color="000000" w:fill="BFBFBF"/>
            <w:vAlign w:val="center"/>
            <w:hideMark/>
          </w:tcPr>
          <w:p w14:paraId="27B5B690"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v %</w:t>
            </w:r>
          </w:p>
        </w:tc>
      </w:tr>
      <w:tr w:rsidR="00EA177A" w:rsidRPr="00480A4B" w14:paraId="3F5D4098" w14:textId="77777777" w:rsidTr="00480A4B">
        <w:trPr>
          <w:trHeight w:val="345"/>
        </w:trPr>
        <w:tc>
          <w:tcPr>
            <w:tcW w:w="2967" w:type="dxa"/>
            <w:tcBorders>
              <w:top w:val="nil"/>
              <w:left w:val="nil"/>
              <w:bottom w:val="single" w:sz="8" w:space="0" w:color="auto"/>
              <w:right w:val="nil"/>
            </w:tcBorders>
            <w:shd w:val="clear" w:color="000000" w:fill="BFBFBF"/>
            <w:vAlign w:val="center"/>
            <w:hideMark/>
          </w:tcPr>
          <w:p w14:paraId="31152FCD" w14:textId="77777777" w:rsidR="00EA177A" w:rsidRPr="00480A4B" w:rsidRDefault="00EA177A" w:rsidP="00C704A7">
            <w:pPr>
              <w:spacing w:after="0" w:line="240" w:lineRule="auto"/>
              <w:jc w:val="left"/>
              <w:rPr>
                <w:b/>
                <w:bCs/>
                <w:color w:val="000000" w:themeColor="text1"/>
                <w:sz w:val="18"/>
                <w:szCs w:val="18"/>
                <w:lang w:eastAsia="sk-SK"/>
              </w:rPr>
            </w:pPr>
            <w:r w:rsidRPr="00480A4B">
              <w:rPr>
                <w:b/>
                <w:bCs/>
                <w:color w:val="000000" w:themeColor="text1"/>
                <w:sz w:val="18"/>
                <w:szCs w:val="18"/>
                <w:lang w:eastAsia="sk-SK"/>
              </w:rPr>
              <w:t> </w:t>
            </w:r>
          </w:p>
        </w:tc>
        <w:tc>
          <w:tcPr>
            <w:tcW w:w="992" w:type="dxa"/>
            <w:tcBorders>
              <w:top w:val="nil"/>
              <w:left w:val="nil"/>
              <w:bottom w:val="single" w:sz="8" w:space="0" w:color="auto"/>
              <w:right w:val="nil"/>
            </w:tcBorders>
            <w:shd w:val="clear" w:color="000000" w:fill="BFBFBF"/>
            <w:vAlign w:val="center"/>
            <w:hideMark/>
          </w:tcPr>
          <w:p w14:paraId="14D788EB"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1</w:t>
            </w:r>
          </w:p>
        </w:tc>
        <w:tc>
          <w:tcPr>
            <w:tcW w:w="1019" w:type="dxa"/>
            <w:tcBorders>
              <w:top w:val="nil"/>
              <w:left w:val="nil"/>
              <w:bottom w:val="single" w:sz="8" w:space="0" w:color="auto"/>
              <w:right w:val="nil"/>
            </w:tcBorders>
            <w:shd w:val="clear" w:color="000000" w:fill="BFBFBF"/>
            <w:vAlign w:val="center"/>
            <w:hideMark/>
          </w:tcPr>
          <w:p w14:paraId="2BAC5C40"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2</w:t>
            </w:r>
          </w:p>
        </w:tc>
        <w:tc>
          <w:tcPr>
            <w:tcW w:w="966" w:type="dxa"/>
            <w:tcBorders>
              <w:top w:val="nil"/>
              <w:left w:val="nil"/>
              <w:bottom w:val="single" w:sz="8" w:space="0" w:color="auto"/>
              <w:right w:val="nil"/>
            </w:tcBorders>
            <w:shd w:val="clear" w:color="000000" w:fill="BFBFBF"/>
            <w:vAlign w:val="center"/>
            <w:hideMark/>
          </w:tcPr>
          <w:p w14:paraId="0E5BE047"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3</w:t>
            </w:r>
          </w:p>
        </w:tc>
        <w:tc>
          <w:tcPr>
            <w:tcW w:w="1117" w:type="dxa"/>
            <w:tcBorders>
              <w:top w:val="nil"/>
              <w:left w:val="nil"/>
              <w:bottom w:val="single" w:sz="8" w:space="0" w:color="auto"/>
              <w:right w:val="nil"/>
            </w:tcBorders>
            <w:shd w:val="clear" w:color="000000" w:fill="BFBFBF"/>
            <w:vAlign w:val="center"/>
            <w:hideMark/>
          </w:tcPr>
          <w:p w14:paraId="75B7B787"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4</w:t>
            </w:r>
          </w:p>
        </w:tc>
        <w:tc>
          <w:tcPr>
            <w:tcW w:w="850" w:type="dxa"/>
            <w:tcBorders>
              <w:top w:val="nil"/>
              <w:left w:val="nil"/>
              <w:bottom w:val="single" w:sz="8" w:space="0" w:color="auto"/>
              <w:right w:val="nil"/>
            </w:tcBorders>
            <w:shd w:val="clear" w:color="000000" w:fill="BFBFBF"/>
            <w:vAlign w:val="center"/>
            <w:hideMark/>
          </w:tcPr>
          <w:p w14:paraId="2408B34A"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5=4-3</w:t>
            </w:r>
          </w:p>
        </w:tc>
        <w:tc>
          <w:tcPr>
            <w:tcW w:w="584" w:type="dxa"/>
            <w:tcBorders>
              <w:top w:val="nil"/>
              <w:left w:val="nil"/>
              <w:bottom w:val="single" w:sz="8" w:space="0" w:color="auto"/>
              <w:right w:val="nil"/>
            </w:tcBorders>
            <w:shd w:val="clear" w:color="000000" w:fill="BFBFBF"/>
            <w:vAlign w:val="center"/>
            <w:hideMark/>
          </w:tcPr>
          <w:p w14:paraId="7CD2D5B3" w14:textId="77777777" w:rsidR="00EA177A" w:rsidRPr="00480A4B" w:rsidRDefault="00EA177A" w:rsidP="00C704A7">
            <w:pPr>
              <w:spacing w:after="0" w:line="240" w:lineRule="auto"/>
              <w:jc w:val="center"/>
              <w:rPr>
                <w:b/>
                <w:bCs/>
                <w:color w:val="000000" w:themeColor="text1"/>
                <w:sz w:val="18"/>
                <w:szCs w:val="18"/>
                <w:lang w:eastAsia="sk-SK"/>
              </w:rPr>
            </w:pPr>
            <w:r w:rsidRPr="00480A4B">
              <w:rPr>
                <w:b/>
                <w:bCs/>
                <w:color w:val="000000" w:themeColor="text1"/>
                <w:sz w:val="18"/>
                <w:szCs w:val="18"/>
                <w:lang w:eastAsia="sk-SK"/>
              </w:rPr>
              <w:t>6=4-3</w:t>
            </w:r>
          </w:p>
        </w:tc>
      </w:tr>
      <w:tr w:rsidR="00EA177A" w:rsidRPr="00480A4B" w14:paraId="7DEA07FB" w14:textId="77777777" w:rsidTr="00480A4B">
        <w:trPr>
          <w:trHeight w:val="330"/>
        </w:trPr>
        <w:tc>
          <w:tcPr>
            <w:tcW w:w="2967" w:type="dxa"/>
            <w:tcBorders>
              <w:top w:val="nil"/>
              <w:left w:val="nil"/>
              <w:bottom w:val="nil"/>
              <w:right w:val="nil"/>
            </w:tcBorders>
            <w:shd w:val="clear" w:color="000000" w:fill="FFFFFF"/>
            <w:noWrap/>
            <w:vAlign w:val="center"/>
            <w:hideMark/>
          </w:tcPr>
          <w:p w14:paraId="7783D7C3" w14:textId="77777777" w:rsidR="00EA177A" w:rsidRPr="00480A4B" w:rsidRDefault="00EA177A" w:rsidP="00C704A7">
            <w:pPr>
              <w:spacing w:after="0" w:line="240" w:lineRule="auto"/>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Tuzemské granty a transfery</w:t>
            </w:r>
          </w:p>
        </w:tc>
        <w:tc>
          <w:tcPr>
            <w:tcW w:w="992" w:type="dxa"/>
            <w:tcBorders>
              <w:top w:val="nil"/>
              <w:left w:val="nil"/>
              <w:bottom w:val="nil"/>
              <w:right w:val="nil"/>
            </w:tcBorders>
            <w:shd w:val="clear" w:color="000000" w:fill="FFFFFF"/>
            <w:noWrap/>
            <w:vAlign w:val="center"/>
          </w:tcPr>
          <w:p w14:paraId="17F95E29"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43 128</w:t>
            </w:r>
          </w:p>
        </w:tc>
        <w:tc>
          <w:tcPr>
            <w:tcW w:w="1019" w:type="dxa"/>
            <w:tcBorders>
              <w:top w:val="nil"/>
              <w:left w:val="nil"/>
              <w:bottom w:val="nil"/>
              <w:right w:val="nil"/>
            </w:tcBorders>
            <w:shd w:val="clear" w:color="000000" w:fill="FFFFFF"/>
            <w:noWrap/>
            <w:vAlign w:val="center"/>
          </w:tcPr>
          <w:p w14:paraId="549E0A5C"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33 861</w:t>
            </w:r>
          </w:p>
        </w:tc>
        <w:tc>
          <w:tcPr>
            <w:tcW w:w="966" w:type="dxa"/>
            <w:tcBorders>
              <w:top w:val="nil"/>
              <w:left w:val="nil"/>
              <w:bottom w:val="nil"/>
              <w:right w:val="nil"/>
            </w:tcBorders>
            <w:shd w:val="clear" w:color="000000" w:fill="FFFFFF"/>
            <w:noWrap/>
            <w:vAlign w:val="center"/>
          </w:tcPr>
          <w:p w14:paraId="4E003F7E"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36 711</w:t>
            </w:r>
          </w:p>
        </w:tc>
        <w:tc>
          <w:tcPr>
            <w:tcW w:w="1117" w:type="dxa"/>
            <w:tcBorders>
              <w:top w:val="nil"/>
              <w:left w:val="nil"/>
              <w:bottom w:val="nil"/>
              <w:right w:val="nil"/>
            </w:tcBorders>
            <w:shd w:val="clear" w:color="000000" w:fill="BFBFBF"/>
            <w:noWrap/>
            <w:vAlign w:val="center"/>
          </w:tcPr>
          <w:p w14:paraId="7A9096F7"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34 631</w:t>
            </w:r>
          </w:p>
        </w:tc>
        <w:tc>
          <w:tcPr>
            <w:tcW w:w="850" w:type="dxa"/>
            <w:tcBorders>
              <w:top w:val="nil"/>
              <w:left w:val="nil"/>
              <w:bottom w:val="nil"/>
              <w:right w:val="nil"/>
            </w:tcBorders>
            <w:shd w:val="clear" w:color="000000" w:fill="FFFFFF"/>
            <w:vAlign w:val="center"/>
          </w:tcPr>
          <w:p w14:paraId="17FC8BE7"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-2 080</w:t>
            </w:r>
          </w:p>
        </w:tc>
        <w:tc>
          <w:tcPr>
            <w:tcW w:w="584" w:type="dxa"/>
            <w:tcBorders>
              <w:top w:val="nil"/>
              <w:left w:val="nil"/>
              <w:bottom w:val="nil"/>
              <w:right w:val="nil"/>
            </w:tcBorders>
            <w:shd w:val="clear" w:color="000000" w:fill="FFFFFF"/>
            <w:vAlign w:val="center"/>
          </w:tcPr>
          <w:p w14:paraId="4E8FCE4C"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-5,67</w:t>
            </w:r>
          </w:p>
        </w:tc>
      </w:tr>
      <w:tr w:rsidR="00EA177A" w:rsidRPr="00480A4B" w14:paraId="3DA6E922" w14:textId="77777777" w:rsidTr="00480A4B">
        <w:trPr>
          <w:trHeight w:val="316"/>
        </w:trPr>
        <w:tc>
          <w:tcPr>
            <w:tcW w:w="2967" w:type="dxa"/>
            <w:tcBorders>
              <w:top w:val="nil"/>
              <w:left w:val="nil"/>
              <w:bottom w:val="nil"/>
              <w:right w:val="nil"/>
            </w:tcBorders>
            <w:shd w:val="clear" w:color="000000" w:fill="FFFFFF"/>
            <w:noWrap/>
            <w:vAlign w:val="center"/>
            <w:hideMark/>
          </w:tcPr>
          <w:p w14:paraId="1641283D" w14:textId="77777777" w:rsidR="00EA177A" w:rsidRPr="00480A4B" w:rsidRDefault="00EA177A" w:rsidP="00C704A7">
            <w:pPr>
              <w:spacing w:after="0" w:line="240" w:lineRule="auto"/>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Zahraničné granty a transfery</w:t>
            </w:r>
          </w:p>
        </w:tc>
        <w:tc>
          <w:tcPr>
            <w:tcW w:w="992" w:type="dxa"/>
            <w:tcBorders>
              <w:top w:val="nil"/>
              <w:left w:val="nil"/>
              <w:bottom w:val="nil"/>
              <w:right w:val="nil"/>
            </w:tcBorders>
            <w:shd w:val="clear" w:color="000000" w:fill="FFFFFF"/>
            <w:noWrap/>
            <w:vAlign w:val="center"/>
          </w:tcPr>
          <w:p w14:paraId="5CB16FF8"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1 433 234</w:t>
            </w:r>
          </w:p>
        </w:tc>
        <w:tc>
          <w:tcPr>
            <w:tcW w:w="1019" w:type="dxa"/>
            <w:tcBorders>
              <w:top w:val="nil"/>
              <w:left w:val="nil"/>
              <w:bottom w:val="nil"/>
              <w:right w:val="nil"/>
            </w:tcBorders>
            <w:shd w:val="clear" w:color="000000" w:fill="FFFFFF"/>
            <w:noWrap/>
            <w:vAlign w:val="center"/>
          </w:tcPr>
          <w:p w14:paraId="1E2165B2"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2 169 773</w:t>
            </w:r>
          </w:p>
        </w:tc>
        <w:tc>
          <w:tcPr>
            <w:tcW w:w="966" w:type="dxa"/>
            <w:tcBorders>
              <w:top w:val="nil"/>
              <w:left w:val="nil"/>
              <w:bottom w:val="nil"/>
              <w:right w:val="nil"/>
            </w:tcBorders>
            <w:shd w:val="clear" w:color="000000" w:fill="FFFFFF"/>
            <w:noWrap/>
            <w:vAlign w:val="center"/>
          </w:tcPr>
          <w:p w14:paraId="02472706"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1 665 041</w:t>
            </w:r>
          </w:p>
        </w:tc>
        <w:tc>
          <w:tcPr>
            <w:tcW w:w="1117" w:type="dxa"/>
            <w:tcBorders>
              <w:top w:val="nil"/>
              <w:left w:val="nil"/>
              <w:bottom w:val="nil"/>
              <w:right w:val="nil"/>
            </w:tcBorders>
            <w:shd w:val="clear" w:color="000000" w:fill="BFBFBF"/>
            <w:noWrap/>
            <w:vAlign w:val="center"/>
          </w:tcPr>
          <w:p w14:paraId="7EB0BDFC"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2 126 944</w:t>
            </w:r>
          </w:p>
        </w:tc>
        <w:tc>
          <w:tcPr>
            <w:tcW w:w="850" w:type="dxa"/>
            <w:tcBorders>
              <w:top w:val="nil"/>
              <w:left w:val="nil"/>
              <w:bottom w:val="nil"/>
              <w:right w:val="nil"/>
            </w:tcBorders>
            <w:shd w:val="clear" w:color="000000" w:fill="FFFFFF"/>
            <w:vAlign w:val="center"/>
          </w:tcPr>
          <w:p w14:paraId="5D755E37"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461 903</w:t>
            </w:r>
          </w:p>
        </w:tc>
        <w:tc>
          <w:tcPr>
            <w:tcW w:w="584" w:type="dxa"/>
            <w:tcBorders>
              <w:top w:val="nil"/>
              <w:left w:val="nil"/>
              <w:bottom w:val="nil"/>
              <w:right w:val="nil"/>
            </w:tcBorders>
            <w:shd w:val="clear" w:color="000000" w:fill="FFFFFF"/>
            <w:vAlign w:val="center"/>
          </w:tcPr>
          <w:p w14:paraId="7AAC4383"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27,74</w:t>
            </w:r>
          </w:p>
        </w:tc>
      </w:tr>
      <w:tr w:rsidR="00EA177A" w:rsidRPr="00480A4B" w14:paraId="52A213E7" w14:textId="77777777" w:rsidTr="00480A4B">
        <w:tc>
          <w:tcPr>
            <w:tcW w:w="2967" w:type="dxa"/>
            <w:tcBorders>
              <w:top w:val="nil"/>
              <w:left w:val="nil"/>
              <w:bottom w:val="nil"/>
              <w:right w:val="nil"/>
            </w:tcBorders>
            <w:shd w:val="clear" w:color="000000" w:fill="FFFFFF"/>
            <w:noWrap/>
            <w:vAlign w:val="center"/>
            <w:hideMark/>
          </w:tcPr>
          <w:p w14:paraId="474A9099" w14:textId="77777777" w:rsidR="00EA177A" w:rsidRPr="00480A4B" w:rsidRDefault="00EA177A" w:rsidP="00C704A7">
            <w:pPr>
              <w:spacing w:after="0" w:line="240" w:lineRule="auto"/>
              <w:ind w:left="1054" w:hanging="1054"/>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 xml:space="preserve">   z toho:</w:t>
            </w:r>
          </w:p>
          <w:p w14:paraId="129A0FDB" w14:textId="77777777" w:rsidR="00EA177A" w:rsidRPr="00480A4B" w:rsidRDefault="00EA177A" w:rsidP="00C704A7">
            <w:pPr>
              <w:spacing w:after="0" w:line="240" w:lineRule="auto"/>
              <w:ind w:left="1054" w:hanging="1054"/>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 xml:space="preserve">       prostriedky z rozpočtu EÚ</w:t>
            </w:r>
          </w:p>
        </w:tc>
        <w:tc>
          <w:tcPr>
            <w:tcW w:w="992" w:type="dxa"/>
            <w:tcBorders>
              <w:top w:val="nil"/>
              <w:left w:val="nil"/>
              <w:bottom w:val="nil"/>
              <w:right w:val="nil"/>
            </w:tcBorders>
            <w:shd w:val="clear" w:color="000000" w:fill="FFFFFF"/>
            <w:noWrap/>
            <w:vAlign w:val="center"/>
          </w:tcPr>
          <w:p w14:paraId="3B5F08F8"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1 422 488</w:t>
            </w:r>
          </w:p>
        </w:tc>
        <w:tc>
          <w:tcPr>
            <w:tcW w:w="1019" w:type="dxa"/>
            <w:tcBorders>
              <w:top w:val="nil"/>
              <w:left w:val="nil"/>
              <w:bottom w:val="nil"/>
              <w:right w:val="nil"/>
            </w:tcBorders>
            <w:shd w:val="clear" w:color="000000" w:fill="FFFFFF"/>
            <w:noWrap/>
            <w:vAlign w:val="center"/>
          </w:tcPr>
          <w:p w14:paraId="47E7E5B7"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2 169 725</w:t>
            </w:r>
          </w:p>
        </w:tc>
        <w:tc>
          <w:tcPr>
            <w:tcW w:w="966" w:type="dxa"/>
            <w:tcBorders>
              <w:top w:val="nil"/>
              <w:left w:val="nil"/>
              <w:bottom w:val="nil"/>
              <w:right w:val="nil"/>
            </w:tcBorders>
            <w:shd w:val="clear" w:color="000000" w:fill="FFFFFF"/>
            <w:noWrap/>
            <w:vAlign w:val="center"/>
          </w:tcPr>
          <w:p w14:paraId="26646C3B"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1 665 041</w:t>
            </w:r>
          </w:p>
        </w:tc>
        <w:tc>
          <w:tcPr>
            <w:tcW w:w="1117" w:type="dxa"/>
            <w:tcBorders>
              <w:top w:val="nil"/>
              <w:left w:val="nil"/>
              <w:bottom w:val="nil"/>
              <w:right w:val="nil"/>
            </w:tcBorders>
            <w:shd w:val="clear" w:color="000000" w:fill="BFBFBF"/>
            <w:noWrap/>
            <w:vAlign w:val="center"/>
          </w:tcPr>
          <w:p w14:paraId="7598E999"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2 126 921</w:t>
            </w:r>
          </w:p>
        </w:tc>
        <w:tc>
          <w:tcPr>
            <w:tcW w:w="850" w:type="dxa"/>
            <w:tcBorders>
              <w:top w:val="nil"/>
              <w:left w:val="nil"/>
              <w:bottom w:val="nil"/>
              <w:right w:val="nil"/>
            </w:tcBorders>
            <w:shd w:val="clear" w:color="000000" w:fill="FFFFFF"/>
            <w:vAlign w:val="center"/>
          </w:tcPr>
          <w:p w14:paraId="06468E71"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461 880</w:t>
            </w:r>
          </w:p>
        </w:tc>
        <w:tc>
          <w:tcPr>
            <w:tcW w:w="584" w:type="dxa"/>
            <w:tcBorders>
              <w:top w:val="nil"/>
              <w:left w:val="nil"/>
              <w:bottom w:val="nil"/>
              <w:right w:val="nil"/>
            </w:tcBorders>
            <w:shd w:val="clear" w:color="000000" w:fill="FFFFFF"/>
            <w:vAlign w:val="center"/>
          </w:tcPr>
          <w:p w14:paraId="5BD34244" w14:textId="77777777" w:rsidR="00EA177A" w:rsidRPr="00480A4B" w:rsidRDefault="00EA177A" w:rsidP="00C704A7">
            <w:pPr>
              <w:spacing w:after="0" w:line="240" w:lineRule="auto"/>
              <w:jc w:val="right"/>
              <w:rPr>
                <w:rFonts w:eastAsia="Times New Roman" w:cs="Times New Roman"/>
                <w:color w:val="000000" w:themeColor="text1"/>
                <w:sz w:val="18"/>
                <w:szCs w:val="18"/>
                <w:lang w:eastAsia="sk-SK"/>
              </w:rPr>
            </w:pPr>
            <w:r w:rsidRPr="00480A4B">
              <w:rPr>
                <w:rFonts w:eastAsia="Times New Roman" w:cs="Times New Roman"/>
                <w:color w:val="000000" w:themeColor="text1"/>
                <w:sz w:val="18"/>
                <w:szCs w:val="18"/>
                <w:lang w:eastAsia="sk-SK"/>
              </w:rPr>
              <w:t>27,74</w:t>
            </w:r>
          </w:p>
        </w:tc>
      </w:tr>
      <w:tr w:rsidR="00EA177A" w:rsidRPr="00480A4B" w14:paraId="73C25649" w14:textId="77777777" w:rsidTr="00480A4B">
        <w:trPr>
          <w:trHeight w:val="345"/>
        </w:trPr>
        <w:tc>
          <w:tcPr>
            <w:tcW w:w="2967" w:type="dxa"/>
            <w:tcBorders>
              <w:top w:val="single" w:sz="4" w:space="0" w:color="auto"/>
              <w:left w:val="nil"/>
              <w:bottom w:val="single" w:sz="8" w:space="0" w:color="auto"/>
              <w:right w:val="nil"/>
            </w:tcBorders>
            <w:shd w:val="clear" w:color="000000" w:fill="FFFFFF"/>
            <w:noWrap/>
            <w:vAlign w:val="center"/>
            <w:hideMark/>
          </w:tcPr>
          <w:p w14:paraId="2EE25FA8" w14:textId="77777777" w:rsidR="00EA177A" w:rsidRPr="00480A4B" w:rsidRDefault="00EA177A" w:rsidP="00C704A7">
            <w:pPr>
              <w:spacing w:after="0" w:line="240" w:lineRule="auto"/>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Spolu</w:t>
            </w:r>
          </w:p>
        </w:tc>
        <w:tc>
          <w:tcPr>
            <w:tcW w:w="992" w:type="dxa"/>
            <w:tcBorders>
              <w:top w:val="single" w:sz="4" w:space="0" w:color="auto"/>
              <w:left w:val="nil"/>
              <w:bottom w:val="single" w:sz="8" w:space="0" w:color="auto"/>
              <w:right w:val="nil"/>
            </w:tcBorders>
            <w:shd w:val="clear" w:color="000000" w:fill="FFFFFF"/>
            <w:noWrap/>
            <w:vAlign w:val="center"/>
          </w:tcPr>
          <w:p w14:paraId="3D7C8899" w14:textId="77777777" w:rsidR="00EA177A" w:rsidRPr="00480A4B" w:rsidRDefault="00EA177A" w:rsidP="00C704A7">
            <w:pPr>
              <w:spacing w:after="0" w:line="240" w:lineRule="auto"/>
              <w:jc w:val="right"/>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1 476 362</w:t>
            </w:r>
          </w:p>
        </w:tc>
        <w:tc>
          <w:tcPr>
            <w:tcW w:w="1019" w:type="dxa"/>
            <w:tcBorders>
              <w:top w:val="single" w:sz="4" w:space="0" w:color="auto"/>
              <w:left w:val="nil"/>
              <w:bottom w:val="single" w:sz="8" w:space="0" w:color="auto"/>
              <w:right w:val="nil"/>
            </w:tcBorders>
            <w:shd w:val="clear" w:color="000000" w:fill="FFFFFF"/>
            <w:noWrap/>
            <w:vAlign w:val="center"/>
          </w:tcPr>
          <w:p w14:paraId="6D9123E1" w14:textId="77777777" w:rsidR="00EA177A" w:rsidRPr="00480A4B" w:rsidRDefault="00EA177A" w:rsidP="00C704A7">
            <w:pPr>
              <w:spacing w:after="0" w:line="240" w:lineRule="auto"/>
              <w:jc w:val="right"/>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2 203 634</w:t>
            </w:r>
          </w:p>
        </w:tc>
        <w:tc>
          <w:tcPr>
            <w:tcW w:w="966" w:type="dxa"/>
            <w:tcBorders>
              <w:top w:val="single" w:sz="4" w:space="0" w:color="auto"/>
              <w:left w:val="nil"/>
              <w:bottom w:val="single" w:sz="8" w:space="0" w:color="auto"/>
              <w:right w:val="nil"/>
            </w:tcBorders>
            <w:shd w:val="clear" w:color="000000" w:fill="FFFFFF"/>
            <w:noWrap/>
            <w:vAlign w:val="center"/>
          </w:tcPr>
          <w:p w14:paraId="741A67D2" w14:textId="77777777" w:rsidR="00EA177A" w:rsidRPr="00480A4B" w:rsidRDefault="00EA177A" w:rsidP="00C704A7">
            <w:pPr>
              <w:spacing w:after="0" w:line="240" w:lineRule="auto"/>
              <w:jc w:val="right"/>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1 701 752</w:t>
            </w:r>
          </w:p>
        </w:tc>
        <w:tc>
          <w:tcPr>
            <w:tcW w:w="1117" w:type="dxa"/>
            <w:tcBorders>
              <w:top w:val="single" w:sz="4" w:space="0" w:color="auto"/>
              <w:left w:val="nil"/>
              <w:bottom w:val="single" w:sz="8" w:space="0" w:color="auto"/>
              <w:right w:val="nil"/>
            </w:tcBorders>
            <w:shd w:val="clear" w:color="000000" w:fill="BFBFBF"/>
            <w:noWrap/>
            <w:vAlign w:val="center"/>
          </w:tcPr>
          <w:p w14:paraId="340DD182" w14:textId="77777777" w:rsidR="00EA177A" w:rsidRPr="00480A4B" w:rsidRDefault="00EA177A" w:rsidP="00C704A7">
            <w:pPr>
              <w:spacing w:after="0" w:line="240" w:lineRule="auto"/>
              <w:jc w:val="right"/>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2 161 575</w:t>
            </w:r>
          </w:p>
        </w:tc>
        <w:tc>
          <w:tcPr>
            <w:tcW w:w="850" w:type="dxa"/>
            <w:tcBorders>
              <w:top w:val="single" w:sz="4" w:space="0" w:color="auto"/>
              <w:left w:val="nil"/>
              <w:bottom w:val="single" w:sz="8" w:space="0" w:color="auto"/>
              <w:right w:val="nil"/>
            </w:tcBorders>
            <w:shd w:val="clear" w:color="000000" w:fill="FFFFFF"/>
            <w:noWrap/>
            <w:vAlign w:val="center"/>
          </w:tcPr>
          <w:p w14:paraId="112B4990" w14:textId="77777777" w:rsidR="00EA177A" w:rsidRPr="00480A4B" w:rsidRDefault="00EA177A" w:rsidP="00C704A7">
            <w:pPr>
              <w:spacing w:after="0" w:line="240" w:lineRule="auto"/>
              <w:jc w:val="right"/>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459 823</w:t>
            </w:r>
          </w:p>
        </w:tc>
        <w:tc>
          <w:tcPr>
            <w:tcW w:w="584" w:type="dxa"/>
            <w:tcBorders>
              <w:top w:val="single" w:sz="4" w:space="0" w:color="auto"/>
              <w:left w:val="nil"/>
              <w:bottom w:val="single" w:sz="8" w:space="0" w:color="auto"/>
              <w:right w:val="nil"/>
            </w:tcBorders>
            <w:shd w:val="clear" w:color="000000" w:fill="FFFFFF"/>
            <w:noWrap/>
            <w:vAlign w:val="center"/>
            <w:hideMark/>
          </w:tcPr>
          <w:p w14:paraId="44B1CAEA" w14:textId="77777777" w:rsidR="00EA177A" w:rsidRPr="00480A4B" w:rsidRDefault="00EA177A" w:rsidP="00C704A7">
            <w:pPr>
              <w:spacing w:after="0" w:line="240" w:lineRule="auto"/>
              <w:jc w:val="right"/>
              <w:rPr>
                <w:rFonts w:eastAsia="Times New Roman" w:cs="Times New Roman"/>
                <w:b/>
                <w:bCs/>
                <w:color w:val="000000" w:themeColor="text1"/>
                <w:sz w:val="18"/>
                <w:szCs w:val="18"/>
                <w:lang w:eastAsia="sk-SK"/>
              </w:rPr>
            </w:pPr>
            <w:r w:rsidRPr="00480A4B">
              <w:rPr>
                <w:rFonts w:eastAsia="Times New Roman" w:cs="Times New Roman"/>
                <w:b/>
                <w:bCs/>
                <w:color w:val="000000" w:themeColor="text1"/>
                <w:sz w:val="18"/>
                <w:szCs w:val="18"/>
                <w:lang w:eastAsia="sk-SK"/>
              </w:rPr>
              <w:t>22,08</w:t>
            </w:r>
          </w:p>
        </w:tc>
      </w:tr>
    </w:tbl>
    <w:p w14:paraId="01752237" w14:textId="77777777" w:rsidR="00EA177A" w:rsidRPr="00403542" w:rsidRDefault="00EA177A" w:rsidP="00EA177A">
      <w:pPr>
        <w:jc w:val="right"/>
        <w:rPr>
          <w:color w:val="000000" w:themeColor="text1"/>
        </w:rPr>
      </w:pPr>
      <w:r w:rsidRPr="00250B42">
        <w:rPr>
          <w:color w:val="000000" w:themeColor="text1"/>
          <w:sz w:val="18"/>
          <w:szCs w:val="18"/>
        </w:rPr>
        <w:t>Zdroj: MF SR</w:t>
      </w:r>
    </w:p>
    <w:p w14:paraId="05AE367B" w14:textId="77777777" w:rsidR="00EA177A" w:rsidRPr="00EB05F3" w:rsidRDefault="00EA177A" w:rsidP="00EA177A">
      <w:pPr>
        <w:rPr>
          <w:color w:val="000000" w:themeColor="text1"/>
        </w:rPr>
      </w:pPr>
      <w:r w:rsidRPr="00EB05F3">
        <w:rPr>
          <w:b/>
          <w:color w:val="000000" w:themeColor="text1"/>
        </w:rPr>
        <w:t>Tuzemské granty a transfery</w:t>
      </w:r>
      <w:r w:rsidRPr="00EB05F3">
        <w:rPr>
          <w:color w:val="000000" w:themeColor="text1"/>
        </w:rPr>
        <w:t xml:space="preserve"> svojim skutočným plnením v sume 34</w:t>
      </w:r>
      <w:r>
        <w:rPr>
          <w:color w:val="000000" w:themeColor="text1"/>
        </w:rPr>
        <w:t> </w:t>
      </w:r>
      <w:r w:rsidRPr="00EB05F3">
        <w:rPr>
          <w:color w:val="000000" w:themeColor="text1"/>
        </w:rPr>
        <w:t>631 tis. eur tvorili len 1,6 % z celkovo dosiahnutých grantov a transferov. Celú sumu tvorili bežné transfery v rámci verejnej správy. Objemovo najvýznamnejšou časťou boli príjmy z príspevkov zdravotných poisťovní na činnosť operačných stredísk záchrannej zdravotnej služby a</w:t>
      </w:r>
      <w:r>
        <w:rPr>
          <w:color w:val="000000" w:themeColor="text1"/>
        </w:rPr>
        <w:t xml:space="preserve"> na správu a </w:t>
      </w:r>
      <w:r w:rsidRPr="00EB05F3">
        <w:rPr>
          <w:color w:val="000000" w:themeColor="text1"/>
        </w:rPr>
        <w:t>rozvoj národného zdravotníckeho i</w:t>
      </w:r>
      <w:r>
        <w:rPr>
          <w:color w:val="000000" w:themeColor="text1"/>
        </w:rPr>
        <w:t>nformačného systému vo výške 34 </w:t>
      </w:r>
      <w:r w:rsidRPr="00EB05F3">
        <w:rPr>
          <w:color w:val="000000" w:themeColor="text1"/>
        </w:rPr>
        <w:t>522 tis. eur v kapitole Ministerstva zdravotníctva SR v zmysle zákona č. 581/2004 Z. z.</w:t>
      </w:r>
      <w:r>
        <w:rPr>
          <w:color w:val="000000" w:themeColor="text1"/>
        </w:rPr>
        <w:t xml:space="preserve"> </w:t>
      </w:r>
      <w:r w:rsidRPr="00EB05F3">
        <w:rPr>
          <w:color w:val="000000" w:themeColor="text1"/>
        </w:rPr>
        <w:t>o zdravotných poisťovniach, dohľade nad zdravotnou starostlivosťou a</w:t>
      </w:r>
      <w:r>
        <w:rPr>
          <w:color w:val="000000" w:themeColor="text1"/>
        </w:rPr>
        <w:t xml:space="preserve"> </w:t>
      </w:r>
      <w:r w:rsidRPr="00EB05F3">
        <w:rPr>
          <w:color w:val="000000" w:themeColor="text1"/>
        </w:rPr>
        <w:t>o zmene a doplnení niektorých zákonov v znení neskorších predpisov.</w:t>
      </w:r>
    </w:p>
    <w:p w14:paraId="076CBD64" w14:textId="77777777" w:rsidR="00EA177A" w:rsidRPr="00EB05F3" w:rsidRDefault="00EA177A" w:rsidP="00EA177A">
      <w:pPr>
        <w:rPr>
          <w:color w:val="000000" w:themeColor="text1"/>
        </w:rPr>
      </w:pPr>
      <w:r w:rsidRPr="00EB05F3">
        <w:rPr>
          <w:b/>
          <w:color w:val="000000" w:themeColor="text1"/>
        </w:rPr>
        <w:t>Zahraničné granty a transfery</w:t>
      </w:r>
      <w:r w:rsidRPr="00EB05F3">
        <w:rPr>
          <w:color w:val="000000" w:themeColor="text1"/>
        </w:rPr>
        <w:t xml:space="preserve"> boli rozpočtované vo výške 1</w:t>
      </w:r>
      <w:r>
        <w:rPr>
          <w:color w:val="000000" w:themeColor="text1"/>
        </w:rPr>
        <w:t> </w:t>
      </w:r>
      <w:r w:rsidRPr="00EB05F3">
        <w:rPr>
          <w:color w:val="000000" w:themeColor="text1"/>
        </w:rPr>
        <w:t>665</w:t>
      </w:r>
      <w:r>
        <w:rPr>
          <w:color w:val="000000" w:themeColor="text1"/>
        </w:rPr>
        <w:t> </w:t>
      </w:r>
      <w:r w:rsidRPr="00EB05F3">
        <w:rPr>
          <w:color w:val="000000" w:themeColor="text1"/>
        </w:rPr>
        <w:t>041 tis. eur. Skutočné plnenie týchto príjmov bolo vo výške 2</w:t>
      </w:r>
      <w:r>
        <w:rPr>
          <w:color w:val="000000" w:themeColor="text1"/>
        </w:rPr>
        <w:t> </w:t>
      </w:r>
      <w:r w:rsidRPr="00EB05F3">
        <w:rPr>
          <w:color w:val="000000" w:themeColor="text1"/>
        </w:rPr>
        <w:t>126</w:t>
      </w:r>
      <w:r>
        <w:rPr>
          <w:color w:val="000000" w:themeColor="text1"/>
        </w:rPr>
        <w:t> </w:t>
      </w:r>
      <w:r w:rsidRPr="00EB05F3">
        <w:rPr>
          <w:color w:val="000000" w:themeColor="text1"/>
        </w:rPr>
        <w:t>944 tis. eur</w:t>
      </w:r>
      <w:r>
        <w:rPr>
          <w:color w:val="000000" w:themeColor="text1"/>
        </w:rPr>
        <w:t>.</w:t>
      </w:r>
      <w:r w:rsidRPr="00EB05F3">
        <w:rPr>
          <w:color w:val="000000" w:themeColor="text1"/>
        </w:rPr>
        <w:t xml:space="preserve"> </w:t>
      </w:r>
    </w:p>
    <w:p w14:paraId="71AA66D8" w14:textId="77777777" w:rsidR="00EA177A" w:rsidRPr="00EB05F3" w:rsidRDefault="00EA177A" w:rsidP="00EA177A">
      <w:pPr>
        <w:rPr>
          <w:color w:val="000000" w:themeColor="text1"/>
        </w:rPr>
      </w:pPr>
      <w:r w:rsidRPr="00EB05F3">
        <w:rPr>
          <w:b/>
          <w:i/>
          <w:color w:val="000000" w:themeColor="text1"/>
        </w:rPr>
        <w:t>Zahraničné transfery</w:t>
      </w:r>
      <w:r w:rsidRPr="00EB05F3">
        <w:rPr>
          <w:color w:val="000000" w:themeColor="text1"/>
        </w:rPr>
        <w:t xml:space="preserve"> dosiahli 2</w:t>
      </w:r>
      <w:r>
        <w:rPr>
          <w:color w:val="000000" w:themeColor="text1"/>
        </w:rPr>
        <w:t> </w:t>
      </w:r>
      <w:r w:rsidRPr="00EB05F3">
        <w:rPr>
          <w:color w:val="000000" w:themeColor="text1"/>
        </w:rPr>
        <w:t>126</w:t>
      </w:r>
      <w:r>
        <w:rPr>
          <w:color w:val="000000" w:themeColor="text1"/>
        </w:rPr>
        <w:t> </w:t>
      </w:r>
      <w:r w:rsidRPr="00EB05F3">
        <w:rPr>
          <w:color w:val="000000" w:themeColor="text1"/>
        </w:rPr>
        <w:t xml:space="preserve">921 tis. eur, čo predstavuje oproti schválenému rozpočtu vyššie plnenie až o 461 880 tis. eur. Išlo o prostriedky z rozpočtu Európskej únie, ktoré sa v Slovenskej republike poskytujú pre </w:t>
      </w:r>
      <w:r>
        <w:rPr>
          <w:color w:val="000000" w:themeColor="text1"/>
        </w:rPr>
        <w:t xml:space="preserve">operačné </w:t>
      </w:r>
      <w:r w:rsidRPr="00EB05F3">
        <w:rPr>
          <w:color w:val="000000" w:themeColor="text1"/>
        </w:rPr>
        <w:t xml:space="preserve">programy prostredníctvom certifikačného orgánu (Ministerstva financií SR a Ministerstva práce, sociálnych vecí a rodiny SR) alebo Ministerstva pôdohospodárstva a rozvoja vidieka SR. </w:t>
      </w:r>
    </w:p>
    <w:p w14:paraId="31387246" w14:textId="77777777" w:rsidR="00EA177A" w:rsidRPr="00EB05F3" w:rsidRDefault="00EA177A" w:rsidP="00EA177A">
      <w:pPr>
        <w:rPr>
          <w:rFonts w:eastAsia="Times New Roman" w:cs="Times New Roman"/>
          <w:b/>
          <w:color w:val="000000" w:themeColor="text1"/>
          <w:lang w:eastAsia="sk-SK"/>
        </w:rPr>
      </w:pPr>
      <w:r w:rsidRPr="00EB05F3">
        <w:rPr>
          <w:rFonts w:eastAsia="Times New Roman" w:cs="Times New Roman"/>
          <w:b/>
          <w:color w:val="000000" w:themeColor="text1"/>
          <w:lang w:eastAsia="sk-SK"/>
        </w:rPr>
        <w:t xml:space="preserve">Prostriedky za štrukturálne operácie </w:t>
      </w:r>
      <w:r w:rsidRPr="00EB05F3">
        <w:rPr>
          <w:rFonts w:eastAsia="Times New Roman" w:cs="Times New Roman"/>
          <w:color w:val="000000" w:themeColor="text1"/>
          <w:lang w:eastAsia="sk-SK"/>
        </w:rPr>
        <w:t>boli v rok</w:t>
      </w:r>
      <w:r>
        <w:rPr>
          <w:rFonts w:eastAsia="Times New Roman" w:cs="Times New Roman"/>
          <w:color w:val="000000" w:themeColor="text1"/>
          <w:lang w:eastAsia="sk-SK"/>
        </w:rPr>
        <w:t>u 2019 rozpočtované za programy</w:t>
      </w:r>
      <w:r>
        <w:rPr>
          <w:rFonts w:eastAsia="Times New Roman" w:cs="Times New Roman"/>
          <w:color w:val="000000" w:themeColor="text1"/>
          <w:lang w:eastAsia="sk-SK"/>
        </w:rPr>
        <w:br/>
      </w:r>
      <w:r w:rsidRPr="00EB05F3">
        <w:rPr>
          <w:rFonts w:eastAsia="Times New Roman" w:cs="Times New Roman"/>
          <w:color w:val="000000" w:themeColor="text1"/>
          <w:lang w:eastAsia="sk-SK"/>
        </w:rPr>
        <w:t>3. programového obdobia 2014-2020, a to za fondy - Európsky fond regionálneho rozvoja (vrátane programov európskej územnej spolupráce</w:t>
      </w:r>
      <w:r>
        <w:rPr>
          <w:rFonts w:eastAsia="Times New Roman" w:cs="Times New Roman"/>
          <w:color w:val="000000" w:themeColor="text1"/>
          <w:lang w:eastAsia="sk-SK"/>
        </w:rPr>
        <w:t>,</w:t>
      </w:r>
      <w:r w:rsidRPr="00EB05F3">
        <w:rPr>
          <w:rFonts w:eastAsia="Times New Roman" w:cs="Times New Roman"/>
          <w:color w:val="000000" w:themeColor="text1"/>
          <w:lang w:eastAsia="sk-SK"/>
        </w:rPr>
        <w:t xml:space="preserve"> pre ktoré je Ministerstvo financií SR certifikačným orgánom - </w:t>
      </w:r>
      <w:proofErr w:type="spellStart"/>
      <w:r w:rsidRPr="00EB05F3">
        <w:rPr>
          <w:rFonts w:eastAsia="Times New Roman" w:cs="Times New Roman"/>
          <w:color w:val="000000" w:themeColor="text1"/>
          <w:lang w:eastAsia="sk-SK"/>
        </w:rPr>
        <w:t>Interreg</w:t>
      </w:r>
      <w:proofErr w:type="spellEnd"/>
      <w:r w:rsidRPr="00EB05F3">
        <w:rPr>
          <w:rFonts w:eastAsia="Times New Roman" w:cs="Times New Roman"/>
          <w:color w:val="000000" w:themeColor="text1"/>
          <w:lang w:eastAsia="sk-SK"/>
        </w:rPr>
        <w:t xml:space="preserve"> V-A SK-AT 2014-2020, </w:t>
      </w:r>
      <w:proofErr w:type="spellStart"/>
      <w:r w:rsidRPr="00EB05F3">
        <w:rPr>
          <w:rFonts w:eastAsia="Times New Roman" w:cs="Times New Roman"/>
          <w:color w:val="000000" w:themeColor="text1"/>
          <w:lang w:eastAsia="sk-SK"/>
        </w:rPr>
        <w:t>Interreg</w:t>
      </w:r>
      <w:proofErr w:type="spellEnd"/>
      <w:r w:rsidRPr="00EB05F3">
        <w:rPr>
          <w:rFonts w:eastAsia="Times New Roman" w:cs="Times New Roman"/>
          <w:color w:val="000000" w:themeColor="text1"/>
          <w:lang w:eastAsia="sk-SK"/>
        </w:rPr>
        <w:t xml:space="preserve"> V-A SK-CZ 2014-2020), Európsky sociálny fond, Iniciatíva na podporu zamestnanosti mladých ľudí, Kohézny fond, Európsky námorný a rybársky fond a Fond európskej pomoci pre najodkázanejšie osoby.</w:t>
      </w:r>
    </w:p>
    <w:p w14:paraId="5D84B295" w14:textId="77777777" w:rsidR="00EA177A" w:rsidRPr="00EB05F3" w:rsidRDefault="00EA177A" w:rsidP="00EA177A">
      <w:pPr>
        <w:rPr>
          <w:rFonts w:eastAsia="Times New Roman" w:cs="Times New Roman"/>
          <w:color w:val="000000" w:themeColor="text1"/>
          <w:lang w:eastAsia="sk-SK"/>
        </w:rPr>
      </w:pPr>
      <w:r w:rsidRPr="00EB05F3">
        <w:rPr>
          <w:rFonts w:eastAsia="Times New Roman" w:cs="Times New Roman"/>
          <w:b/>
          <w:color w:val="000000" w:themeColor="text1"/>
          <w:lang w:eastAsia="sk-SK"/>
        </w:rPr>
        <w:t>Prostriedky za poľnohospodárske fondy</w:t>
      </w:r>
      <w:r w:rsidRPr="00EB05F3">
        <w:rPr>
          <w:rFonts w:eastAsia="Times New Roman" w:cs="Times New Roman"/>
          <w:color w:val="000000" w:themeColor="text1"/>
          <w:lang w:eastAsia="sk-SK"/>
        </w:rPr>
        <w:t xml:space="preserve"> b</w:t>
      </w:r>
      <w:r>
        <w:rPr>
          <w:rFonts w:eastAsia="Times New Roman" w:cs="Times New Roman"/>
          <w:color w:val="000000" w:themeColor="text1"/>
          <w:lang w:eastAsia="sk-SK"/>
        </w:rPr>
        <w:t>oli v roku 2019 rozpočtované za</w:t>
      </w:r>
      <w:r w:rsidRPr="00EB05F3">
        <w:rPr>
          <w:rFonts w:eastAsia="Times New Roman" w:cs="Times New Roman"/>
          <w:color w:val="000000" w:themeColor="text1"/>
          <w:lang w:eastAsia="sk-SK"/>
        </w:rPr>
        <w:t> Európsky poľnohospodársky záručný fond (Priame platby a Trhovo orientované výdavky) a za Európsky poľnohospodársky fond pre rozvoj vidieka (Program rozvoja vidieka).</w:t>
      </w:r>
    </w:p>
    <w:p w14:paraId="46C3DF16" w14:textId="77777777" w:rsidR="00EA177A" w:rsidRPr="00EB05F3" w:rsidRDefault="00EA177A" w:rsidP="00EA177A">
      <w:pPr>
        <w:rPr>
          <w:rFonts w:eastAsia="Times New Roman" w:cs="Times New Roman"/>
          <w:color w:val="000000" w:themeColor="text1"/>
          <w:lang w:eastAsia="sk-SK"/>
        </w:rPr>
      </w:pPr>
      <w:r w:rsidRPr="00EB05F3">
        <w:rPr>
          <w:rFonts w:eastAsia="Times New Roman" w:cs="Times New Roman"/>
          <w:color w:val="000000" w:themeColor="text1"/>
          <w:lang w:eastAsia="sk-SK"/>
        </w:rPr>
        <w:t>Schválený rozpočet príjmov zo zahraničných transferov</w:t>
      </w:r>
      <w:r>
        <w:rPr>
          <w:rFonts w:eastAsia="Times New Roman" w:cs="Times New Roman"/>
          <w:color w:val="000000" w:themeColor="text1"/>
          <w:lang w:eastAsia="sk-SK"/>
        </w:rPr>
        <w:t xml:space="preserve"> na rok 2019 bol vo výške 1 665 </w:t>
      </w:r>
      <w:r w:rsidRPr="00EB05F3">
        <w:rPr>
          <w:rFonts w:eastAsia="Times New Roman" w:cs="Times New Roman"/>
          <w:color w:val="000000" w:themeColor="text1"/>
          <w:lang w:eastAsia="sk-SK"/>
        </w:rPr>
        <w:t>041 tis. eur.</w:t>
      </w:r>
    </w:p>
    <w:p w14:paraId="63522A7A" w14:textId="773ED62A" w:rsidR="00EA177A" w:rsidRPr="00EB05F3" w:rsidRDefault="00EA177A" w:rsidP="00EA177A">
      <w:pPr>
        <w:rPr>
          <w:rFonts w:eastAsia="Times New Roman" w:cs="Times New Roman"/>
          <w:color w:val="000000" w:themeColor="text1"/>
          <w:lang w:eastAsia="sk-SK"/>
        </w:rPr>
      </w:pPr>
      <w:r w:rsidRPr="00EB05F3">
        <w:rPr>
          <w:rFonts w:eastAsia="Times New Roman" w:cs="Times New Roman"/>
          <w:color w:val="000000" w:themeColor="text1"/>
          <w:lang w:eastAsia="sk-SK"/>
        </w:rPr>
        <w:t>Rozpočet príjmov za prostriedky EÚ bol v roku 2019 upravený na úroveň 2</w:t>
      </w:r>
      <w:r>
        <w:rPr>
          <w:rFonts w:eastAsia="Times New Roman" w:cs="Times New Roman"/>
          <w:color w:val="000000" w:themeColor="text1"/>
          <w:lang w:eastAsia="sk-SK"/>
        </w:rPr>
        <w:t> </w:t>
      </w:r>
      <w:r w:rsidRPr="00EB05F3">
        <w:rPr>
          <w:rFonts w:eastAsia="Times New Roman" w:cs="Times New Roman"/>
          <w:color w:val="000000" w:themeColor="text1"/>
          <w:lang w:eastAsia="sk-SK"/>
        </w:rPr>
        <w:t>126</w:t>
      </w:r>
      <w:r>
        <w:rPr>
          <w:rFonts w:eastAsia="Times New Roman" w:cs="Times New Roman"/>
          <w:color w:val="000000" w:themeColor="text1"/>
          <w:lang w:eastAsia="sk-SK"/>
        </w:rPr>
        <w:t> </w:t>
      </w:r>
      <w:r w:rsidRPr="00EB05F3">
        <w:rPr>
          <w:rFonts w:eastAsia="Times New Roman" w:cs="Times New Roman"/>
          <w:color w:val="000000" w:themeColor="text1"/>
          <w:lang w:eastAsia="sk-SK"/>
        </w:rPr>
        <w:t>785</w:t>
      </w:r>
      <w:r>
        <w:rPr>
          <w:rFonts w:eastAsia="Times New Roman" w:cs="Times New Roman"/>
          <w:color w:val="000000" w:themeColor="text1"/>
          <w:lang w:eastAsia="sk-SK"/>
        </w:rPr>
        <w:t> </w:t>
      </w:r>
      <w:r w:rsidRPr="00EB05F3">
        <w:rPr>
          <w:rFonts w:eastAsia="Times New Roman" w:cs="Times New Roman"/>
          <w:color w:val="000000" w:themeColor="text1"/>
          <w:lang w:eastAsia="sk-SK"/>
        </w:rPr>
        <w:t>tis.</w:t>
      </w:r>
      <w:r>
        <w:rPr>
          <w:rFonts w:eastAsia="Times New Roman" w:cs="Times New Roman"/>
          <w:color w:val="000000" w:themeColor="text1"/>
          <w:lang w:eastAsia="sk-SK"/>
        </w:rPr>
        <w:t> </w:t>
      </w:r>
      <w:r w:rsidRPr="00EB05F3">
        <w:rPr>
          <w:rFonts w:eastAsia="Times New Roman" w:cs="Times New Roman"/>
          <w:color w:val="000000" w:themeColor="text1"/>
          <w:lang w:eastAsia="sk-SK"/>
        </w:rPr>
        <w:t>eur. K úpravám došlo v nadväznosti na vysporiadanie finančných prostriedkov za finančné opravy</w:t>
      </w:r>
      <w:r>
        <w:rPr>
          <w:rFonts w:eastAsia="Times New Roman" w:cs="Times New Roman"/>
          <w:color w:val="000000" w:themeColor="text1"/>
          <w:lang w:eastAsia="sk-SK"/>
        </w:rPr>
        <w:t xml:space="preserve"> </w:t>
      </w:r>
      <w:r w:rsidRPr="00EB05F3">
        <w:rPr>
          <w:rFonts w:eastAsia="Times New Roman" w:cs="Times New Roman"/>
          <w:color w:val="000000" w:themeColor="text1"/>
          <w:lang w:eastAsia="sk-SK"/>
        </w:rPr>
        <w:t>v</w:t>
      </w:r>
      <w:r>
        <w:rPr>
          <w:rFonts w:eastAsia="Times New Roman" w:cs="Times New Roman"/>
          <w:color w:val="000000" w:themeColor="text1"/>
          <w:lang w:eastAsia="sk-SK"/>
        </w:rPr>
        <w:t> </w:t>
      </w:r>
      <w:r w:rsidRPr="00EB05F3">
        <w:rPr>
          <w:rFonts w:eastAsia="Times New Roman" w:cs="Times New Roman"/>
          <w:color w:val="000000" w:themeColor="text1"/>
          <w:lang w:eastAsia="sk-SK"/>
        </w:rPr>
        <w:t xml:space="preserve">zmysle § 15 zákona o rozpočtových pravidlách verejnej správy, v nadväznosti na prijaté oznámenia o výške prostriedkov, ktoré budú použité v nasledujúcich rokoch v zmysle § 8 zákona o rozpočtových pravidlách verejnej </w:t>
      </w:r>
      <w:r>
        <w:rPr>
          <w:rFonts w:eastAsia="Times New Roman" w:cs="Times New Roman"/>
          <w:color w:val="000000" w:themeColor="text1"/>
          <w:lang w:eastAsia="sk-SK"/>
        </w:rPr>
        <w:t xml:space="preserve">správy a v nadväznosti </w:t>
      </w:r>
      <w:r w:rsidRPr="00EB05F3">
        <w:rPr>
          <w:rFonts w:eastAsia="Times New Roman" w:cs="Times New Roman"/>
          <w:color w:val="000000" w:themeColor="text1"/>
          <w:lang w:eastAsia="sk-SK"/>
        </w:rPr>
        <w:t>na ostatné viazania prostriedkov v zmysle § 18 zákona o rozpočtových pravidlách verejnej správy.</w:t>
      </w:r>
    </w:p>
    <w:p w14:paraId="62348234" w14:textId="77777777" w:rsidR="00EA177A" w:rsidRPr="00EB05F3" w:rsidRDefault="00EA177A" w:rsidP="00EA177A">
      <w:pPr>
        <w:rPr>
          <w:rFonts w:eastAsia="Times New Roman" w:cs="Times New Roman"/>
          <w:color w:val="000000" w:themeColor="text1"/>
          <w:lang w:eastAsia="sk-SK"/>
        </w:rPr>
      </w:pPr>
      <w:r w:rsidRPr="00EB05F3">
        <w:rPr>
          <w:rFonts w:eastAsia="Times New Roman" w:cs="Times New Roman"/>
          <w:color w:val="000000" w:themeColor="text1"/>
          <w:lang w:eastAsia="sk-SK"/>
        </w:rPr>
        <w:t>Skutočné plnenie príjmov zo zahraničných transferov</w:t>
      </w:r>
      <w:r w:rsidRPr="00EB05F3">
        <w:rPr>
          <w:rFonts w:eastAsia="Times New Roman" w:cs="Times New Roman"/>
          <w:b/>
          <w:i/>
          <w:color w:val="000000" w:themeColor="text1"/>
          <w:lang w:eastAsia="sk-SK"/>
        </w:rPr>
        <w:t xml:space="preserve"> </w:t>
      </w:r>
      <w:r>
        <w:rPr>
          <w:rFonts w:eastAsia="Times New Roman" w:cs="Times New Roman"/>
          <w:color w:val="000000" w:themeColor="text1"/>
          <w:lang w:eastAsia="sk-SK"/>
        </w:rPr>
        <w:t>vo výške 2 126 </w:t>
      </w:r>
      <w:r w:rsidRPr="00EB05F3">
        <w:rPr>
          <w:rFonts w:eastAsia="Times New Roman" w:cs="Times New Roman"/>
          <w:color w:val="000000" w:themeColor="text1"/>
          <w:lang w:eastAsia="sk-SK"/>
        </w:rPr>
        <w:t>921</w:t>
      </w:r>
      <w:r>
        <w:rPr>
          <w:rFonts w:eastAsia="Times New Roman" w:cs="Times New Roman"/>
          <w:color w:val="000000" w:themeColor="text1"/>
          <w:lang w:eastAsia="sk-SK"/>
        </w:rPr>
        <w:t> </w:t>
      </w:r>
      <w:r w:rsidRPr="00EB05F3">
        <w:rPr>
          <w:rFonts w:eastAsia="Times New Roman" w:cs="Times New Roman"/>
          <w:color w:val="000000" w:themeColor="text1"/>
          <w:lang w:eastAsia="sk-SK"/>
        </w:rPr>
        <w:t>tis.</w:t>
      </w:r>
      <w:r>
        <w:rPr>
          <w:rFonts w:eastAsia="Times New Roman" w:cs="Times New Roman"/>
          <w:color w:val="000000" w:themeColor="text1"/>
          <w:lang w:eastAsia="sk-SK"/>
        </w:rPr>
        <w:t> </w:t>
      </w:r>
      <w:r w:rsidRPr="00EB05F3">
        <w:rPr>
          <w:rFonts w:eastAsia="Times New Roman" w:cs="Times New Roman"/>
          <w:color w:val="000000" w:themeColor="text1"/>
          <w:lang w:eastAsia="sk-SK"/>
        </w:rPr>
        <w:t>eur predstavuje plnenie na úrovni 100 % z upraveného rozpočtu. Príjmy za štrukturálne operácie, pri ktorých plní úlohu certifikačného orgánu Ministerstvo financií SR sú vo výške 1</w:t>
      </w:r>
      <w:r>
        <w:rPr>
          <w:rFonts w:eastAsia="Times New Roman" w:cs="Times New Roman"/>
          <w:color w:val="000000" w:themeColor="text1"/>
          <w:lang w:eastAsia="sk-SK"/>
        </w:rPr>
        <w:t> </w:t>
      </w:r>
      <w:r w:rsidRPr="00EB05F3">
        <w:rPr>
          <w:rFonts w:eastAsia="Times New Roman" w:cs="Times New Roman"/>
          <w:color w:val="000000" w:themeColor="text1"/>
          <w:lang w:eastAsia="sk-SK"/>
        </w:rPr>
        <w:t>404</w:t>
      </w:r>
      <w:r>
        <w:rPr>
          <w:rFonts w:eastAsia="Times New Roman" w:cs="Times New Roman"/>
          <w:color w:val="000000" w:themeColor="text1"/>
          <w:lang w:eastAsia="sk-SK"/>
        </w:rPr>
        <w:t> 636 </w:t>
      </w:r>
      <w:r w:rsidRPr="00EB05F3">
        <w:rPr>
          <w:rFonts w:eastAsia="Times New Roman" w:cs="Times New Roman"/>
          <w:color w:val="000000" w:themeColor="text1"/>
          <w:lang w:eastAsia="sk-SK"/>
        </w:rPr>
        <w:t>tis.</w:t>
      </w:r>
      <w:r>
        <w:rPr>
          <w:rFonts w:eastAsia="Times New Roman" w:cs="Times New Roman"/>
          <w:color w:val="000000" w:themeColor="text1"/>
          <w:lang w:eastAsia="sk-SK"/>
        </w:rPr>
        <w:t> </w:t>
      </w:r>
      <w:r w:rsidRPr="00EB05F3">
        <w:rPr>
          <w:rFonts w:eastAsia="Times New Roman" w:cs="Times New Roman"/>
          <w:color w:val="000000" w:themeColor="text1"/>
          <w:lang w:eastAsia="sk-SK"/>
        </w:rPr>
        <w:t>eur (z toho štrukturálne fondy 2.</w:t>
      </w:r>
      <w:r>
        <w:rPr>
          <w:rFonts w:eastAsia="Times New Roman" w:cs="Times New Roman"/>
          <w:color w:val="000000" w:themeColor="text1"/>
          <w:lang w:eastAsia="sk-SK"/>
        </w:rPr>
        <w:t xml:space="preserve"> programového obdobia v sume 43 </w:t>
      </w:r>
      <w:r w:rsidRPr="00EB05F3">
        <w:rPr>
          <w:rFonts w:eastAsia="Times New Roman" w:cs="Times New Roman"/>
          <w:color w:val="000000" w:themeColor="text1"/>
          <w:lang w:eastAsia="sk-SK"/>
        </w:rPr>
        <w:t>275</w:t>
      </w:r>
      <w:r>
        <w:rPr>
          <w:rFonts w:eastAsia="Times New Roman" w:cs="Times New Roman"/>
          <w:color w:val="000000" w:themeColor="text1"/>
          <w:lang w:eastAsia="sk-SK"/>
        </w:rPr>
        <w:t> </w:t>
      </w:r>
      <w:r w:rsidRPr="00EB05F3">
        <w:rPr>
          <w:rFonts w:eastAsia="Times New Roman" w:cs="Times New Roman"/>
          <w:color w:val="000000" w:themeColor="text1"/>
          <w:lang w:eastAsia="sk-SK"/>
        </w:rPr>
        <w:t>tis.</w:t>
      </w:r>
      <w:r>
        <w:rPr>
          <w:rFonts w:eastAsia="Times New Roman" w:cs="Times New Roman"/>
          <w:color w:val="000000" w:themeColor="text1"/>
          <w:lang w:eastAsia="sk-SK"/>
        </w:rPr>
        <w:t> eur, štrukturálne fondy</w:t>
      </w:r>
      <w:r>
        <w:rPr>
          <w:rFonts w:eastAsia="Times New Roman" w:cs="Times New Roman"/>
          <w:color w:val="000000" w:themeColor="text1"/>
          <w:lang w:eastAsia="sk-SK"/>
        </w:rPr>
        <w:br/>
      </w:r>
      <w:r w:rsidRPr="00EB05F3">
        <w:rPr>
          <w:rFonts w:eastAsia="Times New Roman" w:cs="Times New Roman"/>
          <w:color w:val="000000" w:themeColor="text1"/>
          <w:lang w:eastAsia="sk-SK"/>
        </w:rPr>
        <w:t>3. programového obdobia v sume 844 546 tis. eur, Kohézny fond 2. programového obdobia v sume 83 392 tis. eur a Kohézny fond 3. programového obdobia v sume 433</w:t>
      </w:r>
      <w:r>
        <w:rPr>
          <w:rFonts w:eastAsia="Times New Roman" w:cs="Times New Roman"/>
          <w:color w:val="000000" w:themeColor="text1"/>
          <w:lang w:eastAsia="sk-SK"/>
        </w:rPr>
        <w:t> </w:t>
      </w:r>
      <w:r w:rsidRPr="00EB05F3">
        <w:rPr>
          <w:rFonts w:eastAsia="Times New Roman" w:cs="Times New Roman"/>
          <w:color w:val="000000" w:themeColor="text1"/>
          <w:lang w:eastAsia="sk-SK"/>
        </w:rPr>
        <w:t>423</w:t>
      </w:r>
      <w:r>
        <w:rPr>
          <w:rFonts w:eastAsia="Times New Roman" w:cs="Times New Roman"/>
          <w:color w:val="000000" w:themeColor="text1"/>
          <w:lang w:eastAsia="sk-SK"/>
        </w:rPr>
        <w:t> </w:t>
      </w:r>
      <w:r w:rsidRPr="00EB05F3">
        <w:rPr>
          <w:rFonts w:eastAsia="Times New Roman" w:cs="Times New Roman"/>
          <w:color w:val="000000" w:themeColor="text1"/>
          <w:lang w:eastAsia="sk-SK"/>
        </w:rPr>
        <w:t>tis. eur). Príjmy za štrukturálne operácie, pri ktorých plní úlohu certifikačného orgánu Ministerstvo práce, sociálnych vecí a rodiny SR sú v sume 11 090 tis. eur. Príjmy za poľnohosp</w:t>
      </w:r>
      <w:r>
        <w:rPr>
          <w:rFonts w:eastAsia="Times New Roman" w:cs="Times New Roman"/>
          <w:color w:val="000000" w:themeColor="text1"/>
          <w:lang w:eastAsia="sk-SK"/>
        </w:rPr>
        <w:t>odárske fondy boli vo výške 711 </w:t>
      </w:r>
      <w:r w:rsidRPr="00EB05F3">
        <w:rPr>
          <w:rFonts w:eastAsia="Times New Roman" w:cs="Times New Roman"/>
          <w:color w:val="000000" w:themeColor="text1"/>
          <w:lang w:eastAsia="sk-SK"/>
        </w:rPr>
        <w:t>195</w:t>
      </w:r>
      <w:r>
        <w:rPr>
          <w:rFonts w:eastAsia="Times New Roman" w:cs="Times New Roman"/>
          <w:color w:val="000000" w:themeColor="text1"/>
          <w:lang w:eastAsia="sk-SK"/>
        </w:rPr>
        <w:t> </w:t>
      </w:r>
      <w:r w:rsidRPr="00EB05F3">
        <w:rPr>
          <w:rFonts w:eastAsia="Times New Roman" w:cs="Times New Roman"/>
          <w:color w:val="000000" w:themeColor="text1"/>
          <w:lang w:eastAsia="sk-SK"/>
        </w:rPr>
        <w:t>tis. eur (z toho za Európsky poľnohospodársky fond rozvoja vidieka v sume 212</w:t>
      </w:r>
      <w:r>
        <w:rPr>
          <w:rFonts w:eastAsia="Times New Roman" w:cs="Times New Roman"/>
          <w:color w:val="000000" w:themeColor="text1"/>
          <w:lang w:eastAsia="sk-SK"/>
        </w:rPr>
        <w:t> </w:t>
      </w:r>
      <w:r w:rsidRPr="00EB05F3">
        <w:rPr>
          <w:rFonts w:eastAsia="Times New Roman" w:cs="Times New Roman"/>
          <w:color w:val="000000" w:themeColor="text1"/>
          <w:lang w:eastAsia="sk-SK"/>
        </w:rPr>
        <w:t>004</w:t>
      </w:r>
      <w:r>
        <w:rPr>
          <w:rFonts w:eastAsia="Times New Roman" w:cs="Times New Roman"/>
          <w:color w:val="000000" w:themeColor="text1"/>
          <w:lang w:eastAsia="sk-SK"/>
        </w:rPr>
        <w:t> </w:t>
      </w:r>
      <w:r w:rsidRPr="00EB05F3">
        <w:rPr>
          <w:rFonts w:eastAsia="Times New Roman" w:cs="Times New Roman"/>
          <w:color w:val="000000" w:themeColor="text1"/>
          <w:lang w:eastAsia="sk-SK"/>
        </w:rPr>
        <w:t>tis.</w:t>
      </w:r>
      <w:r>
        <w:rPr>
          <w:rFonts w:eastAsia="Times New Roman" w:cs="Times New Roman"/>
          <w:color w:val="000000" w:themeColor="text1"/>
          <w:lang w:eastAsia="sk-SK"/>
        </w:rPr>
        <w:t> </w:t>
      </w:r>
      <w:r w:rsidRPr="00EB05F3">
        <w:rPr>
          <w:rFonts w:eastAsia="Times New Roman" w:cs="Times New Roman"/>
          <w:color w:val="000000" w:themeColor="text1"/>
          <w:lang w:eastAsia="sk-SK"/>
        </w:rPr>
        <w:t>eur a za Európsky poľnohospodársky záručný fond v sume 499</w:t>
      </w:r>
      <w:r>
        <w:rPr>
          <w:rFonts w:eastAsia="Times New Roman" w:cs="Times New Roman"/>
          <w:color w:val="000000" w:themeColor="text1"/>
          <w:lang w:eastAsia="sk-SK"/>
        </w:rPr>
        <w:t> </w:t>
      </w:r>
      <w:r w:rsidRPr="00EB05F3">
        <w:rPr>
          <w:rFonts w:eastAsia="Times New Roman" w:cs="Times New Roman"/>
          <w:color w:val="000000" w:themeColor="text1"/>
          <w:lang w:eastAsia="sk-SK"/>
        </w:rPr>
        <w:t>191</w:t>
      </w:r>
      <w:r>
        <w:rPr>
          <w:rFonts w:eastAsia="Times New Roman" w:cs="Times New Roman"/>
          <w:color w:val="000000" w:themeColor="text1"/>
          <w:lang w:eastAsia="sk-SK"/>
        </w:rPr>
        <w:t> </w:t>
      </w:r>
      <w:r w:rsidRPr="00EB05F3">
        <w:rPr>
          <w:rFonts w:eastAsia="Times New Roman" w:cs="Times New Roman"/>
          <w:color w:val="000000" w:themeColor="text1"/>
          <w:lang w:eastAsia="sk-SK"/>
        </w:rPr>
        <w:t xml:space="preserve">tis. eur). </w:t>
      </w:r>
    </w:p>
    <w:p w14:paraId="1373F6B6" w14:textId="3B8CBD06" w:rsidR="00EA177A" w:rsidRPr="00FF27BD" w:rsidRDefault="00EA177A" w:rsidP="00EA177A">
      <w:pPr>
        <w:rPr>
          <w:rFonts w:eastAsia="Calibri"/>
          <w:color w:val="000000" w:themeColor="text1"/>
        </w:rPr>
      </w:pPr>
      <w:r w:rsidRPr="00FF27BD">
        <w:rPr>
          <w:rFonts w:eastAsia="Calibri"/>
          <w:color w:val="000000" w:themeColor="text1"/>
        </w:rPr>
        <w:t>Najvyšší príjem zo zahraničných transferov bol v kapitole Ministerstva pôdohospodárstva a rozvoja vidieka SR v celkovej čiastke 892</w:t>
      </w:r>
      <w:r>
        <w:rPr>
          <w:rFonts w:eastAsia="Calibri"/>
          <w:color w:val="000000" w:themeColor="text1"/>
        </w:rPr>
        <w:t> </w:t>
      </w:r>
      <w:r w:rsidRPr="00FF27BD">
        <w:rPr>
          <w:rFonts w:eastAsia="Calibri"/>
          <w:color w:val="000000" w:themeColor="text1"/>
        </w:rPr>
        <w:t>035 tis. eur, ktorý bol rozd</w:t>
      </w:r>
      <w:r w:rsidRPr="00AB0148">
        <w:rPr>
          <w:rFonts w:eastAsia="Calibri"/>
          <w:color w:val="000000" w:themeColor="text1"/>
        </w:rPr>
        <w:t xml:space="preserve">elený do oblasti pôdohospodárstva a do oblasti rozvoja vidieka. </w:t>
      </w:r>
      <w:r w:rsidRPr="00FF27BD">
        <w:rPr>
          <w:rFonts w:eastAsia="Calibri"/>
          <w:color w:val="000000" w:themeColor="text1"/>
        </w:rPr>
        <w:t xml:space="preserve">Za oblasť pôdohospodárstva išlo o </w:t>
      </w:r>
      <w:r w:rsidRPr="00EB05F3">
        <w:rPr>
          <w:color w:val="000000" w:themeColor="text1"/>
        </w:rPr>
        <w:t xml:space="preserve">príjmy z Európskeho poľnohospodárskeho záručného fondu v objeme </w:t>
      </w:r>
      <w:r w:rsidR="004546C1">
        <w:rPr>
          <w:color w:val="000000" w:themeColor="text1"/>
        </w:rPr>
        <w:t>499 191</w:t>
      </w:r>
      <w:r w:rsidRPr="00EB05F3">
        <w:rPr>
          <w:color w:val="000000" w:themeColor="text1"/>
        </w:rPr>
        <w:t xml:space="preserve"> tis. eur, príjmy z Európskeho poľnohospodárskeho fondu pre rozvoj vidieka </w:t>
      </w:r>
      <w:r w:rsidRPr="00FF27BD">
        <w:rPr>
          <w:rFonts w:eastAsia="Calibri"/>
          <w:color w:val="000000" w:themeColor="text1"/>
        </w:rPr>
        <w:t>vo výške 212</w:t>
      </w:r>
      <w:r>
        <w:rPr>
          <w:rFonts w:eastAsia="Calibri"/>
          <w:color w:val="000000" w:themeColor="text1"/>
        </w:rPr>
        <w:t> </w:t>
      </w:r>
      <w:r w:rsidRPr="00FF27BD">
        <w:rPr>
          <w:rFonts w:eastAsia="Calibri"/>
          <w:color w:val="000000" w:themeColor="text1"/>
        </w:rPr>
        <w:t xml:space="preserve">004 tis. eur </w:t>
      </w:r>
      <w:r w:rsidRPr="00EB05F3">
        <w:rPr>
          <w:color w:val="000000" w:themeColor="text1"/>
        </w:rPr>
        <w:t>určené</w:t>
      </w:r>
      <w:r w:rsidRPr="00FF27BD">
        <w:rPr>
          <w:rFonts w:eastAsia="Calibri"/>
          <w:color w:val="000000" w:themeColor="text1"/>
        </w:rPr>
        <w:t xml:space="preserve"> </w:t>
      </w:r>
      <w:r w:rsidRPr="00EB05F3">
        <w:rPr>
          <w:color w:val="000000" w:themeColor="text1"/>
        </w:rPr>
        <w:t>na financovanie opatrení Programu rozvoja vidieka SR 2014 - 2020 a príjmy z Európskeho námorného a rybárskeho fondu vo výške 532 tis. eur určené na financovanie opatrení Operačného programu Rybné hospodárstvo 2014 – 2020. Za oblasť rozvoja vidieka išlo o príjmy v rámci Európskeho fondu regionálneho rozvoja</w:t>
      </w:r>
      <w:r w:rsidRPr="00FF27BD">
        <w:rPr>
          <w:rFonts w:eastAsia="Calibri"/>
          <w:color w:val="000000" w:themeColor="text1"/>
        </w:rPr>
        <w:t xml:space="preserve"> </w:t>
      </w:r>
      <w:r w:rsidRPr="00EB05F3">
        <w:rPr>
          <w:color w:val="000000" w:themeColor="text1"/>
        </w:rPr>
        <w:t>v celkovom objeme 180</w:t>
      </w:r>
      <w:r>
        <w:rPr>
          <w:color w:val="000000" w:themeColor="text1"/>
        </w:rPr>
        <w:t> </w:t>
      </w:r>
      <w:r w:rsidRPr="00EB05F3">
        <w:rPr>
          <w:color w:val="000000" w:themeColor="text1"/>
        </w:rPr>
        <w:t xml:space="preserve">308 tis. eur určené na Integrovaný regionálny operačný program 2014-2020 a Programy cezhraničnej spolupráce </w:t>
      </w:r>
      <w:proofErr w:type="spellStart"/>
      <w:r w:rsidRPr="00EB05F3">
        <w:rPr>
          <w:color w:val="000000" w:themeColor="text1"/>
        </w:rPr>
        <w:t>Interreg</w:t>
      </w:r>
      <w:proofErr w:type="spellEnd"/>
      <w:r w:rsidRPr="00EB05F3">
        <w:rPr>
          <w:color w:val="000000" w:themeColor="text1"/>
        </w:rPr>
        <w:t xml:space="preserve"> V-A 2014-2020.</w:t>
      </w:r>
    </w:p>
    <w:p w14:paraId="62CC5438" w14:textId="44D063BA" w:rsidR="00EA177A" w:rsidRPr="00FF27BD" w:rsidRDefault="00EA177A" w:rsidP="00EA177A">
      <w:pPr>
        <w:rPr>
          <w:rFonts w:eastAsia="Calibri"/>
          <w:color w:val="000000" w:themeColor="text1"/>
        </w:rPr>
      </w:pPr>
      <w:r w:rsidRPr="00FF27BD">
        <w:rPr>
          <w:rFonts w:eastAsia="Calibri"/>
          <w:color w:val="000000" w:themeColor="text1"/>
        </w:rPr>
        <w:t>Ministerstvo dopravy a výstavby SR prijalo sumu 391</w:t>
      </w:r>
      <w:r>
        <w:rPr>
          <w:rFonts w:eastAsia="Calibri"/>
          <w:color w:val="000000" w:themeColor="text1"/>
        </w:rPr>
        <w:t> </w:t>
      </w:r>
      <w:r w:rsidRPr="00FF27BD">
        <w:rPr>
          <w:rFonts w:eastAsia="Calibri"/>
          <w:color w:val="000000" w:themeColor="text1"/>
        </w:rPr>
        <w:t>730 tis. eur, z toho plnenie príjmov v rámci Operačného programu Doprava (programové obdobie 2007-2013) bolo v sume 124</w:t>
      </w:r>
      <w:r>
        <w:rPr>
          <w:rFonts w:eastAsia="Calibri"/>
          <w:color w:val="000000" w:themeColor="text1"/>
        </w:rPr>
        <w:t> 925 </w:t>
      </w:r>
      <w:r w:rsidRPr="00FF27BD">
        <w:rPr>
          <w:rFonts w:eastAsia="Calibri"/>
          <w:color w:val="000000" w:themeColor="text1"/>
        </w:rPr>
        <w:t>tis.</w:t>
      </w:r>
      <w:r>
        <w:rPr>
          <w:rFonts w:eastAsia="Calibri"/>
          <w:color w:val="000000" w:themeColor="text1"/>
        </w:rPr>
        <w:t> </w:t>
      </w:r>
      <w:r w:rsidRPr="00FF27BD">
        <w:rPr>
          <w:rFonts w:eastAsia="Calibri"/>
          <w:color w:val="000000" w:themeColor="text1"/>
        </w:rPr>
        <w:t>eur (z toho fond ERDF v sume 41</w:t>
      </w:r>
      <w:r>
        <w:rPr>
          <w:rFonts w:eastAsia="Calibri"/>
          <w:color w:val="000000" w:themeColor="text1"/>
        </w:rPr>
        <w:t> 533 </w:t>
      </w:r>
      <w:r w:rsidRPr="00FF27BD">
        <w:rPr>
          <w:rFonts w:eastAsia="Calibri"/>
          <w:color w:val="000000" w:themeColor="text1"/>
        </w:rPr>
        <w:t>tis.</w:t>
      </w:r>
      <w:r>
        <w:rPr>
          <w:rFonts w:eastAsia="Calibri"/>
          <w:color w:val="000000" w:themeColor="text1"/>
        </w:rPr>
        <w:t> </w:t>
      </w:r>
      <w:r w:rsidRPr="00FF27BD">
        <w:rPr>
          <w:rFonts w:eastAsia="Calibri"/>
          <w:color w:val="000000" w:themeColor="text1"/>
        </w:rPr>
        <w:t>eur a Kohéz</w:t>
      </w:r>
      <w:r>
        <w:rPr>
          <w:rFonts w:eastAsia="Calibri"/>
          <w:color w:val="000000" w:themeColor="text1"/>
        </w:rPr>
        <w:t>ny fond v sume 83 392 tis. eur)</w:t>
      </w:r>
      <w:r w:rsidRPr="00FF27BD">
        <w:rPr>
          <w:rFonts w:eastAsia="Calibri"/>
          <w:color w:val="000000" w:themeColor="text1"/>
        </w:rPr>
        <w:t xml:space="preserve"> a plnenie príjmov v</w:t>
      </w:r>
      <w:r w:rsidRPr="00AB0148">
        <w:rPr>
          <w:rFonts w:eastAsia="Calibri"/>
          <w:color w:val="000000" w:themeColor="text1"/>
        </w:rPr>
        <w:t xml:space="preserve"> rámci Operačného programu Integrovaná infraštruktúra (programové obdobie</w:t>
      </w:r>
      <w:r>
        <w:rPr>
          <w:rFonts w:eastAsia="Calibri"/>
          <w:color w:val="000000" w:themeColor="text1"/>
        </w:rPr>
        <w:br/>
        <w:t>2014-202</w:t>
      </w:r>
      <w:r w:rsidR="004546C1">
        <w:rPr>
          <w:rFonts w:eastAsia="Calibri"/>
          <w:color w:val="000000" w:themeColor="text1"/>
        </w:rPr>
        <w:t>0</w:t>
      </w:r>
      <w:r>
        <w:rPr>
          <w:rFonts w:eastAsia="Calibri"/>
          <w:color w:val="000000" w:themeColor="text1"/>
        </w:rPr>
        <w:t>) v sume 266 804 tis. </w:t>
      </w:r>
      <w:r w:rsidRPr="00AB0148">
        <w:rPr>
          <w:rFonts w:eastAsia="Calibri"/>
          <w:color w:val="000000" w:themeColor="text1"/>
        </w:rPr>
        <w:t>eur (z toho fond ERDF v sume 29</w:t>
      </w:r>
      <w:r>
        <w:rPr>
          <w:rFonts w:eastAsia="Calibri"/>
          <w:color w:val="000000" w:themeColor="text1"/>
        </w:rPr>
        <w:t> </w:t>
      </w:r>
      <w:r w:rsidRPr="00AB0148">
        <w:rPr>
          <w:rFonts w:eastAsia="Calibri"/>
          <w:color w:val="000000" w:themeColor="text1"/>
        </w:rPr>
        <w:t>204</w:t>
      </w:r>
      <w:r>
        <w:rPr>
          <w:rFonts w:eastAsia="Calibri"/>
          <w:color w:val="000000" w:themeColor="text1"/>
        </w:rPr>
        <w:t> </w:t>
      </w:r>
      <w:r w:rsidRPr="00AB0148">
        <w:rPr>
          <w:rFonts w:eastAsia="Calibri"/>
          <w:color w:val="000000" w:themeColor="text1"/>
        </w:rPr>
        <w:t>tis.</w:t>
      </w:r>
      <w:r>
        <w:rPr>
          <w:rFonts w:eastAsia="Calibri"/>
          <w:color w:val="000000" w:themeColor="text1"/>
        </w:rPr>
        <w:t> </w:t>
      </w:r>
      <w:r w:rsidRPr="00AB0148">
        <w:rPr>
          <w:rFonts w:eastAsia="Calibri"/>
          <w:color w:val="000000" w:themeColor="text1"/>
        </w:rPr>
        <w:t>eur a Kohézny fond v sume 237</w:t>
      </w:r>
      <w:r>
        <w:rPr>
          <w:rFonts w:eastAsia="Calibri"/>
          <w:color w:val="000000" w:themeColor="text1"/>
        </w:rPr>
        <w:t> </w:t>
      </w:r>
      <w:r w:rsidRPr="00AB0148">
        <w:rPr>
          <w:rFonts w:eastAsia="Calibri"/>
          <w:color w:val="000000" w:themeColor="text1"/>
        </w:rPr>
        <w:t>600</w:t>
      </w:r>
      <w:r>
        <w:rPr>
          <w:rFonts w:eastAsia="Calibri"/>
          <w:color w:val="000000" w:themeColor="text1"/>
        </w:rPr>
        <w:t> </w:t>
      </w:r>
      <w:r w:rsidRPr="00AB0148">
        <w:rPr>
          <w:rFonts w:eastAsia="Calibri"/>
          <w:color w:val="000000" w:themeColor="text1"/>
        </w:rPr>
        <w:t>tis.</w:t>
      </w:r>
      <w:r>
        <w:rPr>
          <w:rFonts w:eastAsia="Calibri"/>
          <w:color w:val="000000" w:themeColor="text1"/>
        </w:rPr>
        <w:t> </w:t>
      </w:r>
      <w:r w:rsidRPr="00AB0148">
        <w:rPr>
          <w:rFonts w:eastAsia="Calibri"/>
          <w:color w:val="000000" w:themeColor="text1"/>
        </w:rPr>
        <w:t>eur).</w:t>
      </w:r>
    </w:p>
    <w:p w14:paraId="53C7D9B6" w14:textId="77777777" w:rsidR="00EA177A" w:rsidRPr="006B442E" w:rsidRDefault="00EA177A" w:rsidP="00EA177A">
      <w:pPr>
        <w:tabs>
          <w:tab w:val="left" w:pos="284"/>
        </w:tabs>
        <w:suppressAutoHyphens/>
        <w:rPr>
          <w:rFonts w:eastAsia="Calibri"/>
          <w:color w:val="000000" w:themeColor="text1"/>
        </w:rPr>
      </w:pPr>
      <w:r w:rsidRPr="006B442E">
        <w:rPr>
          <w:rFonts w:eastAsia="Calibri"/>
          <w:color w:val="000000" w:themeColor="text1"/>
        </w:rPr>
        <w:t>Ministerstvo životného prostredia SR</w:t>
      </w:r>
      <w:r w:rsidRPr="00EB05F3">
        <w:rPr>
          <w:rFonts w:eastAsia="Calibri"/>
          <w:color w:val="000000" w:themeColor="text1"/>
        </w:rPr>
        <w:t xml:space="preserve"> </w:t>
      </w:r>
      <w:r w:rsidRPr="006B442E">
        <w:rPr>
          <w:rFonts w:eastAsia="Calibri"/>
          <w:color w:val="000000" w:themeColor="text1"/>
        </w:rPr>
        <w:t>prijalo sumu 362</w:t>
      </w:r>
      <w:r>
        <w:rPr>
          <w:rFonts w:eastAsia="Calibri"/>
          <w:color w:val="000000" w:themeColor="text1"/>
        </w:rPr>
        <w:t> </w:t>
      </w:r>
      <w:r w:rsidRPr="006B442E">
        <w:rPr>
          <w:rFonts w:eastAsia="Calibri"/>
          <w:color w:val="000000" w:themeColor="text1"/>
        </w:rPr>
        <w:t xml:space="preserve">562 tis. eur. </w:t>
      </w:r>
      <w:r w:rsidRPr="006B442E">
        <w:rPr>
          <w:color w:val="000000" w:themeColor="text1"/>
        </w:rPr>
        <w:t>Išlo o príjmy z rozpočtu Európskej únie, ktoré boli určené na financovanie opatrení Operačného programu Kvalita životného prostredia v členení na prostriedky z Európskeho fondu regionáln</w:t>
      </w:r>
      <w:r>
        <w:rPr>
          <w:color w:val="000000" w:themeColor="text1"/>
        </w:rPr>
        <w:t>eho rozvoja kapitola v sume 166 </w:t>
      </w:r>
      <w:r w:rsidRPr="006B442E">
        <w:rPr>
          <w:color w:val="000000" w:themeColor="text1"/>
        </w:rPr>
        <w:t>739 tis. eur a z Kohézneho fondu v sume 195</w:t>
      </w:r>
      <w:r>
        <w:rPr>
          <w:color w:val="000000" w:themeColor="text1"/>
        </w:rPr>
        <w:t> </w:t>
      </w:r>
      <w:r w:rsidRPr="006B442E">
        <w:rPr>
          <w:color w:val="000000" w:themeColor="text1"/>
        </w:rPr>
        <w:t xml:space="preserve">822 tis. eur. </w:t>
      </w:r>
    </w:p>
    <w:p w14:paraId="34F7EE24" w14:textId="5095A3BC" w:rsidR="00EA177A" w:rsidRPr="006B442E" w:rsidRDefault="00EA177A" w:rsidP="00EA177A">
      <w:pPr>
        <w:tabs>
          <w:tab w:val="left" w:pos="284"/>
        </w:tabs>
        <w:suppressAutoHyphens/>
        <w:rPr>
          <w:rFonts w:eastAsia="Calibri"/>
          <w:color w:val="000000" w:themeColor="text1"/>
        </w:rPr>
      </w:pPr>
      <w:r w:rsidRPr="006B442E">
        <w:rPr>
          <w:rFonts w:eastAsia="Calibri"/>
          <w:color w:val="000000" w:themeColor="text1"/>
        </w:rPr>
        <w:t>Ministerstvo práce, sociálnych vecí a rodiny SR</w:t>
      </w:r>
      <w:r w:rsidRPr="00EB05F3">
        <w:rPr>
          <w:rFonts w:eastAsia="Calibri"/>
          <w:color w:val="000000" w:themeColor="text1"/>
        </w:rPr>
        <w:t xml:space="preserve"> </w:t>
      </w:r>
      <w:r w:rsidRPr="006B442E">
        <w:rPr>
          <w:rFonts w:eastAsia="Calibri"/>
          <w:color w:val="000000" w:themeColor="text1"/>
        </w:rPr>
        <w:t>prijalo sumu 216</w:t>
      </w:r>
      <w:r>
        <w:rPr>
          <w:rFonts w:eastAsia="Calibri"/>
          <w:color w:val="000000" w:themeColor="text1"/>
        </w:rPr>
        <w:t> </w:t>
      </w:r>
      <w:r w:rsidRPr="006B442E">
        <w:rPr>
          <w:rFonts w:eastAsia="Calibri"/>
          <w:color w:val="000000" w:themeColor="text1"/>
        </w:rPr>
        <w:t>027 tis. eur, z toho</w:t>
      </w:r>
      <w:r w:rsidRPr="00EB05F3">
        <w:rPr>
          <w:rFonts w:eastAsia="Calibri"/>
          <w:color w:val="000000" w:themeColor="text1"/>
        </w:rPr>
        <w:t xml:space="preserve"> </w:t>
      </w:r>
      <w:r w:rsidRPr="006B442E">
        <w:rPr>
          <w:rFonts w:eastAsia="Calibri"/>
          <w:color w:val="000000" w:themeColor="text1"/>
        </w:rPr>
        <w:t>v rámci Operačného programu Ľudské zdroje čiastku 204</w:t>
      </w:r>
      <w:r>
        <w:rPr>
          <w:rFonts w:eastAsia="Calibri"/>
          <w:color w:val="000000" w:themeColor="text1"/>
        </w:rPr>
        <w:t> </w:t>
      </w:r>
      <w:r w:rsidRPr="006B442E">
        <w:rPr>
          <w:rFonts w:eastAsia="Calibri"/>
          <w:color w:val="000000" w:themeColor="text1"/>
        </w:rPr>
        <w:t>937 tis. eur</w:t>
      </w:r>
      <w:r w:rsidR="004546C1">
        <w:rPr>
          <w:rFonts w:eastAsia="Calibri"/>
          <w:color w:val="000000" w:themeColor="text1"/>
        </w:rPr>
        <w:t xml:space="preserve"> a</w:t>
      </w:r>
      <w:r w:rsidRPr="006B442E">
        <w:rPr>
          <w:rFonts w:eastAsia="Calibri"/>
          <w:color w:val="000000" w:themeColor="text1"/>
        </w:rPr>
        <w:t xml:space="preserve"> Operačného programu potravinovej a základnej materiálnej pomoci čiastku 11</w:t>
      </w:r>
      <w:r>
        <w:rPr>
          <w:rFonts w:eastAsia="Calibri"/>
          <w:color w:val="000000" w:themeColor="text1"/>
        </w:rPr>
        <w:t> </w:t>
      </w:r>
      <w:r w:rsidRPr="006B442E">
        <w:rPr>
          <w:rFonts w:eastAsia="Calibri"/>
          <w:color w:val="000000" w:themeColor="text1"/>
        </w:rPr>
        <w:t>090 tis.</w:t>
      </w:r>
      <w:r w:rsidRPr="006B442E" w:rsidDel="00EE2EAE">
        <w:rPr>
          <w:rFonts w:eastAsia="Calibri"/>
          <w:color w:val="000000" w:themeColor="text1"/>
        </w:rPr>
        <w:t xml:space="preserve"> </w:t>
      </w:r>
    </w:p>
    <w:p w14:paraId="26779872" w14:textId="13B907E4" w:rsidR="00EA177A" w:rsidRPr="00AB0148" w:rsidRDefault="00EA177A" w:rsidP="00EA177A">
      <w:pPr>
        <w:tabs>
          <w:tab w:val="left" w:pos="284"/>
        </w:tabs>
        <w:suppressAutoHyphens/>
        <w:rPr>
          <w:rFonts w:eastAsia="Calibri"/>
          <w:color w:val="000000" w:themeColor="text1"/>
        </w:rPr>
      </w:pPr>
      <w:r w:rsidRPr="0007175F">
        <w:rPr>
          <w:rFonts w:eastAsia="Calibri"/>
          <w:color w:val="000000" w:themeColor="text1"/>
        </w:rPr>
        <w:t>V kapitole Ministerstva hospodárstva SR bolo prijatých 111</w:t>
      </w:r>
      <w:r>
        <w:rPr>
          <w:rFonts w:eastAsia="Calibri"/>
          <w:color w:val="000000" w:themeColor="text1"/>
        </w:rPr>
        <w:t> </w:t>
      </w:r>
      <w:r w:rsidRPr="0007175F">
        <w:rPr>
          <w:rFonts w:eastAsia="Calibri"/>
          <w:color w:val="000000" w:themeColor="text1"/>
        </w:rPr>
        <w:t xml:space="preserve">252 tis. eur ako podiel z Európskeho fondu regionálneho rozvoja </w:t>
      </w:r>
      <w:r w:rsidR="004546C1">
        <w:rPr>
          <w:rFonts w:eastAsia="Calibri"/>
          <w:color w:val="000000" w:themeColor="text1"/>
        </w:rPr>
        <w:t xml:space="preserve">za Operačný program </w:t>
      </w:r>
      <w:r w:rsidRPr="0007175F">
        <w:rPr>
          <w:rFonts w:eastAsia="Calibri"/>
          <w:color w:val="000000" w:themeColor="text1"/>
        </w:rPr>
        <w:t>Výskum a</w:t>
      </w:r>
      <w:r w:rsidR="004546C1">
        <w:rPr>
          <w:rFonts w:eastAsia="Calibri"/>
          <w:color w:val="000000" w:themeColor="text1"/>
        </w:rPr>
        <w:t> </w:t>
      </w:r>
      <w:r w:rsidRPr="0007175F">
        <w:rPr>
          <w:rFonts w:eastAsia="Calibri"/>
          <w:color w:val="000000" w:themeColor="text1"/>
        </w:rPr>
        <w:t>inovácie</w:t>
      </w:r>
      <w:r w:rsidR="004546C1">
        <w:rPr>
          <w:rFonts w:eastAsia="Calibri"/>
          <w:color w:val="000000" w:themeColor="text1"/>
        </w:rPr>
        <w:t>.</w:t>
      </w:r>
    </w:p>
    <w:p w14:paraId="55201E30" w14:textId="4FC6F76B" w:rsidR="00EA177A" w:rsidRPr="00EB05F3" w:rsidRDefault="00EA177A" w:rsidP="00EA177A">
      <w:pPr>
        <w:rPr>
          <w:color w:val="000000" w:themeColor="text1"/>
        </w:rPr>
      </w:pPr>
      <w:r w:rsidRPr="00EB05F3">
        <w:rPr>
          <w:color w:val="000000" w:themeColor="text1"/>
        </w:rPr>
        <w:t>Ministerstvo vnútra SR prijalo zo zahraničných transferov sumu 74</w:t>
      </w:r>
      <w:r>
        <w:rPr>
          <w:color w:val="000000" w:themeColor="text1"/>
        </w:rPr>
        <w:t> </w:t>
      </w:r>
      <w:r w:rsidRPr="00EB05F3">
        <w:rPr>
          <w:color w:val="000000" w:themeColor="text1"/>
        </w:rPr>
        <w:t>158 tis. eur, v tom v rámci Operačného programu Ľudské zdroje sumu 42</w:t>
      </w:r>
      <w:r>
        <w:rPr>
          <w:color w:val="000000" w:themeColor="text1"/>
        </w:rPr>
        <w:t> 091 </w:t>
      </w:r>
      <w:r w:rsidRPr="00EB05F3">
        <w:rPr>
          <w:color w:val="000000" w:themeColor="text1"/>
        </w:rPr>
        <w:t>tis. eur, v členení na prostriedky z Európskeho fondu reg</w:t>
      </w:r>
      <w:r>
        <w:rPr>
          <w:color w:val="000000" w:themeColor="text1"/>
        </w:rPr>
        <w:t>ionálneho rozvoja v sume 18 123 </w:t>
      </w:r>
      <w:r w:rsidRPr="00EB05F3">
        <w:rPr>
          <w:color w:val="000000" w:themeColor="text1"/>
        </w:rPr>
        <w:t xml:space="preserve">tis. eur a prostriedky z Európskeho sociálneho fondu v sume </w:t>
      </w:r>
      <w:r w:rsidR="004546C1">
        <w:rPr>
          <w:color w:val="000000" w:themeColor="text1"/>
        </w:rPr>
        <w:t>23 968</w:t>
      </w:r>
      <w:r>
        <w:rPr>
          <w:color w:val="000000" w:themeColor="text1"/>
        </w:rPr>
        <w:t> </w:t>
      </w:r>
      <w:r w:rsidRPr="00EB05F3">
        <w:rPr>
          <w:color w:val="000000" w:themeColor="text1"/>
        </w:rPr>
        <w:t>tis.</w:t>
      </w:r>
      <w:r>
        <w:rPr>
          <w:color w:val="000000" w:themeColor="text1"/>
        </w:rPr>
        <w:t> </w:t>
      </w:r>
      <w:r w:rsidRPr="00EB05F3">
        <w:rPr>
          <w:color w:val="000000" w:themeColor="text1"/>
        </w:rPr>
        <w:t>eur a v rámci Operačného programu Efekt</w:t>
      </w:r>
      <w:r>
        <w:rPr>
          <w:color w:val="000000" w:themeColor="text1"/>
        </w:rPr>
        <w:t>ívna verejná správa sumu 32 067 </w:t>
      </w:r>
      <w:r w:rsidRPr="00EB05F3">
        <w:rPr>
          <w:color w:val="000000" w:themeColor="text1"/>
        </w:rPr>
        <w:t>tis.</w:t>
      </w:r>
      <w:r>
        <w:rPr>
          <w:color w:val="000000" w:themeColor="text1"/>
        </w:rPr>
        <w:t> </w:t>
      </w:r>
      <w:r w:rsidRPr="00EB05F3">
        <w:rPr>
          <w:color w:val="000000" w:themeColor="text1"/>
        </w:rPr>
        <w:t>eur.</w:t>
      </w:r>
    </w:p>
    <w:p w14:paraId="4C32E9EF" w14:textId="77777777" w:rsidR="00EA177A" w:rsidRPr="00272CEB" w:rsidRDefault="00EA177A" w:rsidP="00EA177A">
      <w:pPr>
        <w:tabs>
          <w:tab w:val="left" w:pos="284"/>
        </w:tabs>
        <w:suppressAutoHyphens/>
        <w:rPr>
          <w:rFonts w:eastAsia="Calibri"/>
          <w:b/>
          <w:color w:val="000000" w:themeColor="text1"/>
        </w:rPr>
      </w:pPr>
      <w:r w:rsidRPr="00272CEB">
        <w:rPr>
          <w:rFonts w:eastAsia="Calibri"/>
          <w:b/>
          <w:color w:val="000000" w:themeColor="text1"/>
        </w:rPr>
        <w:t>Bližšie informácie o príjmoch z rozpočtu EÚ sú uvedené v samostatnej kapitole 3.4. Vzťahy štátneho rozpočtu k Európskej únii.</w:t>
      </w:r>
    </w:p>
    <w:p w14:paraId="6F9993DF" w14:textId="4346A357" w:rsidR="00073BD6" w:rsidRDefault="00EA177A" w:rsidP="00EA177A">
      <w:pPr>
        <w:rPr>
          <w:b/>
          <w:i/>
          <w:color w:val="000000" w:themeColor="text1"/>
        </w:rPr>
      </w:pPr>
      <w:r w:rsidRPr="00AB0148">
        <w:rPr>
          <w:rFonts w:eastAsia="Calibri"/>
          <w:b/>
          <w:i/>
          <w:color w:val="000000" w:themeColor="text1"/>
        </w:rPr>
        <w:t>Podrobné údaje</w:t>
      </w:r>
      <w:r w:rsidRPr="00AB0148">
        <w:rPr>
          <w:b/>
          <w:i/>
          <w:color w:val="000000" w:themeColor="text1"/>
        </w:rPr>
        <w:t xml:space="preserve"> o príjmoch štátneho rozpočtu podľa kapitol, kategórií rozpočtovej klasifikácie a podľa zdrojov za rok 201</w:t>
      </w:r>
      <w:r w:rsidRPr="00EB05F3">
        <w:rPr>
          <w:b/>
          <w:i/>
          <w:color w:val="000000" w:themeColor="text1"/>
        </w:rPr>
        <w:t>9</w:t>
      </w:r>
      <w:r w:rsidRPr="00AB0148">
        <w:rPr>
          <w:b/>
          <w:i/>
          <w:color w:val="000000" w:themeColor="text1"/>
        </w:rPr>
        <w:t xml:space="preserve"> sú uvedené v tab. č. 4 až 6 tabuľkovej prílohy štátneho záverečného účtu</w:t>
      </w:r>
      <w:r>
        <w:rPr>
          <w:b/>
          <w:i/>
          <w:color w:val="000000" w:themeColor="text1"/>
        </w:rPr>
        <w:t>.</w:t>
      </w:r>
    </w:p>
    <w:p w14:paraId="07F51D72" w14:textId="77777777" w:rsidR="00073BD6" w:rsidRDefault="00073BD6">
      <w:pPr>
        <w:spacing w:after="160" w:line="259" w:lineRule="auto"/>
        <w:jc w:val="left"/>
        <w:rPr>
          <w:b/>
          <w:i/>
          <w:color w:val="000000" w:themeColor="text1"/>
        </w:rPr>
      </w:pPr>
      <w:r>
        <w:rPr>
          <w:b/>
          <w:i/>
          <w:color w:val="000000" w:themeColor="text1"/>
        </w:rPr>
        <w:br w:type="page"/>
      </w:r>
    </w:p>
    <w:p w14:paraId="3617EFC4" w14:textId="77777777" w:rsidR="008254BE" w:rsidRDefault="008254BE" w:rsidP="00073BD6">
      <w:pPr>
        <w:pStyle w:val="Nadpis2"/>
      </w:pPr>
      <w:bookmarkStart w:id="40" w:name="_Toc6415645"/>
      <w:bookmarkStart w:id="41" w:name="_Toc39095176"/>
      <w:r>
        <w:t>Výdavky štátneho rozpočtu</w:t>
      </w:r>
      <w:bookmarkEnd w:id="40"/>
      <w:bookmarkEnd w:id="41"/>
    </w:p>
    <w:p w14:paraId="58AEDD14" w14:textId="77777777" w:rsidR="00EA177A" w:rsidRPr="00475BF9" w:rsidRDefault="00EA177A" w:rsidP="00EA177A">
      <w:r w:rsidRPr="00650BB1">
        <w:t>Pri rozpočtovaní výdavkov na rok 2019</w:t>
      </w:r>
      <w:r w:rsidRPr="00475BF9">
        <w:t xml:space="preserve"> sa zohľadňovali zámery a ciele rozpočtovej politiky vlády SR (uvedené v časti 3.) ako aj legislatívne zmeny tak, aby sa dodržali pravidlá rozpočtového hospodárenia najmä:</w:t>
      </w:r>
    </w:p>
    <w:p w14:paraId="4764362F" w14:textId="77777777" w:rsidR="00EA177A" w:rsidRPr="006E4A0B" w:rsidRDefault="00EA177A" w:rsidP="00EA177A">
      <w:pPr>
        <w:numPr>
          <w:ilvl w:val="1"/>
          <w:numId w:val="15"/>
        </w:numPr>
        <w:spacing w:after="0"/>
        <w:ind w:left="425" w:hanging="425"/>
      </w:pPr>
      <w:r>
        <w:t>možnosť použitia kapitálových výdavkov na určený účel aj v nasledujúcich dvoch rozpočtových rokoch po rozpočtovom roku, na ktorý boli rozpočtované,</w:t>
      </w:r>
    </w:p>
    <w:p w14:paraId="6A7F94D2" w14:textId="77777777" w:rsidR="00EA177A" w:rsidRPr="006E4A0B" w:rsidRDefault="00EA177A" w:rsidP="00EA177A">
      <w:pPr>
        <w:numPr>
          <w:ilvl w:val="1"/>
          <w:numId w:val="15"/>
        </w:numPr>
        <w:spacing w:after="0"/>
        <w:ind w:left="425" w:hanging="425"/>
      </w:pPr>
      <w:r>
        <w:t>možnosť použitia prostriedkov Európskej únie vrátane spolufinancovania zo štátneho rozpočtu aj v nasledujúcich rozpočtových rokoch až do ich vyčerpania na určený účel,</w:t>
      </w:r>
    </w:p>
    <w:p w14:paraId="3B7D1DC5" w14:textId="77777777" w:rsidR="00EA177A" w:rsidRPr="006E4A0B" w:rsidRDefault="00EA177A" w:rsidP="00EA177A">
      <w:pPr>
        <w:numPr>
          <w:ilvl w:val="1"/>
          <w:numId w:val="15"/>
        </w:numPr>
        <w:spacing w:after="0"/>
        <w:ind w:left="425" w:hanging="425"/>
      </w:pPr>
      <w:r>
        <w:t>pri bežných transferoch s výnimkou miezd, poskytnutých príjemcom po 1. auguste rozpočtového roka, možnosť ich použitia do konca prvého štvrťroka nasledujúceho roka,</w:t>
      </w:r>
    </w:p>
    <w:p w14:paraId="49EBF478" w14:textId="77777777" w:rsidR="00EA177A" w:rsidRPr="006E4A0B" w:rsidRDefault="00EA177A" w:rsidP="00EA177A">
      <w:pPr>
        <w:numPr>
          <w:ilvl w:val="0"/>
          <w:numId w:val="14"/>
        </w:numPr>
        <w:tabs>
          <w:tab w:val="left" w:pos="426"/>
        </w:tabs>
        <w:spacing w:after="0"/>
        <w:ind w:hanging="720"/>
      </w:pPr>
      <w:r>
        <w:t>viacročné rozpočtovanie na tri rozpočtové roky,</w:t>
      </w:r>
    </w:p>
    <w:p w14:paraId="7C0E7AA1" w14:textId="77777777" w:rsidR="00EA177A" w:rsidRPr="006E4A0B" w:rsidRDefault="00EA177A" w:rsidP="00EA177A">
      <w:pPr>
        <w:numPr>
          <w:ilvl w:val="0"/>
          <w:numId w:val="14"/>
        </w:numPr>
        <w:tabs>
          <w:tab w:val="left" w:pos="426"/>
        </w:tabs>
        <w:spacing w:after="0"/>
        <w:ind w:left="425" w:hanging="425"/>
      </w:pPr>
      <w:r>
        <w:t>rozpočtovanie formou bežných a kapitálových výdavkov pri uplatňovaní rozpočtovej klasifikácie,</w:t>
      </w:r>
    </w:p>
    <w:p w14:paraId="528366ED" w14:textId="77777777" w:rsidR="00EA177A" w:rsidRPr="006E4A0B" w:rsidRDefault="00EA177A" w:rsidP="00EA177A">
      <w:pPr>
        <w:numPr>
          <w:ilvl w:val="1"/>
          <w:numId w:val="15"/>
        </w:numPr>
        <w:spacing w:after="0"/>
        <w:ind w:left="425" w:hanging="425"/>
      </w:pPr>
      <w:r>
        <w:t>využívanie programového rozpočtovania, aby bolo možné transparentné hodnotenie formulovaných zámerov,</w:t>
      </w:r>
    </w:p>
    <w:p w14:paraId="1610766E" w14:textId="77777777" w:rsidR="00EA177A" w:rsidRPr="006E4A0B" w:rsidRDefault="00EA177A" w:rsidP="00EA177A">
      <w:pPr>
        <w:numPr>
          <w:ilvl w:val="1"/>
          <w:numId w:val="15"/>
        </w:numPr>
        <w:ind w:left="426" w:hanging="426"/>
      </w:pPr>
      <w:r>
        <w:t>poskytovanie dotácií v súlade so zákonom o štátnom rozpočte na príslušný rozpočtový rok.</w:t>
      </w:r>
    </w:p>
    <w:p w14:paraId="2D548CD3" w14:textId="4EFB6501" w:rsidR="00EA177A" w:rsidRDefault="00EA177A" w:rsidP="00EA177A">
      <w:pPr>
        <w:rPr>
          <w:b/>
          <w:i/>
        </w:rPr>
      </w:pPr>
      <w:r>
        <w:rPr>
          <w:b/>
          <w:i/>
        </w:rPr>
        <w:t>Podrobný prehľad o výdavkoch štátneho rozpočtu v roku 2019 podľa kategórií rozpočtovej klasifikácie a kapitol štátneho rozpočtu, o bežných transferoch a kapitálových výdavkoch je uvedený v tab. 7 až 9 tabuľkovej prílohy štátneho záverečného účtu.</w:t>
      </w:r>
    </w:p>
    <w:p w14:paraId="4AC3D0E9" w14:textId="77777777" w:rsidR="00EA177A" w:rsidRPr="00EA177A" w:rsidRDefault="00EA177A" w:rsidP="00EA177A"/>
    <w:p w14:paraId="4F560C57" w14:textId="3EE0B918" w:rsidR="008254BE" w:rsidRDefault="008254BE" w:rsidP="00EA177A">
      <w:pPr>
        <w:pStyle w:val="Nadpis3"/>
      </w:pPr>
      <w:bookmarkStart w:id="42" w:name="_Toc6415646"/>
      <w:bookmarkStart w:id="43" w:name="_Toc39095177"/>
      <w:r>
        <w:t>Výdavky štátneho rozpočtu podľa ekonomickej klasifikácie</w:t>
      </w:r>
      <w:bookmarkEnd w:id="42"/>
      <w:bookmarkEnd w:id="43"/>
    </w:p>
    <w:p w14:paraId="2FF2C9FF" w14:textId="753D466E" w:rsidR="00EA177A" w:rsidRPr="00EA177A" w:rsidRDefault="00EA177A" w:rsidP="00EA177A">
      <w:r>
        <w:t>Pre rok 2019 boli celkové výdavky štátneho rozpočtu schválené vo výške 17 538 901 tis. eur, čo v porovnaní so schváleným rozpočtom pre rok 2018 predstavovalo</w:t>
      </w:r>
      <w:r w:rsidRPr="00D744D2">
        <w:t xml:space="preserve"> </w:t>
      </w:r>
      <w:r w:rsidRPr="00650BB1">
        <w:t>nárast</w:t>
      </w:r>
      <w:r w:rsidRPr="00475BF9">
        <w:t xml:space="preserve"> o 9,9 %</w:t>
      </w:r>
      <w:r w:rsidRPr="00D744D2">
        <w:t xml:space="preserve">. </w:t>
      </w:r>
      <w:r w:rsidRPr="00650BB1">
        <w:t>Skuto</w:t>
      </w:r>
      <w:r w:rsidRPr="00475BF9">
        <w:t>čne bolo vynaložených 18 027</w:t>
      </w:r>
      <w:r>
        <w:t> 016 tis. eur, na čom sa bežné výdavky podieľali objemom 15 168 067 tis. eur a kapitálové výdavky objemom 2 858 949 tis. eur. Celkové výdavky boli oproti schválenému rozpočtu vyššie o 488 115 tis. eur a v medziročnom porovnaní</w:t>
      </w:r>
      <w:r w:rsidRPr="00D744D2">
        <w:t xml:space="preserve"> </w:t>
      </w:r>
      <w:r w:rsidRPr="00650BB1">
        <w:t>v</w:t>
      </w:r>
      <w:r w:rsidRPr="00475BF9">
        <w:t>zrástli o 1 583 186 tis. eur, a to najmä z dôvodu vyšších príjmov zo zahraničných transferov, ktoré umožnili kryť tieto výdavky</w:t>
      </w:r>
      <w:r>
        <w:t>.</w:t>
      </w:r>
    </w:p>
    <w:p w14:paraId="33245327" w14:textId="77777777" w:rsidR="0051484D" w:rsidRDefault="0051484D" w:rsidP="00EA177A">
      <w:pPr>
        <w:pStyle w:val="Nadpis4"/>
      </w:pPr>
      <w:r>
        <w:t xml:space="preserve">Bežné </w:t>
      </w:r>
      <w:r w:rsidRPr="00F61D9C">
        <w:t>výdavky</w:t>
      </w:r>
    </w:p>
    <w:p w14:paraId="777E6A0D" w14:textId="77777777" w:rsidR="00EA177A" w:rsidRDefault="00EA177A" w:rsidP="00EA177A">
      <w:r>
        <w:t>Bežné výdavky boli rozpočtované v sume 15 250 323 tis. eur a ich skutočné čerpanie predstavovalo sumu 15 168 067 tis. eur. Rozdiel skutočnosti oproti rozpočtu znamenalo nižšie čerpanie o 82 256 tis. eur, a to najmä v kategórii</w:t>
      </w:r>
      <w:r w:rsidRPr="00D744D2">
        <w:t xml:space="preserve"> </w:t>
      </w:r>
      <w:r w:rsidRPr="00475BF9">
        <w:t>tovarov a služieb</w:t>
      </w:r>
      <w:r w:rsidRPr="009B6383">
        <w:t>.</w:t>
      </w:r>
      <w:r w:rsidRPr="00D744D2">
        <w:rPr>
          <w:color w:val="FF0000"/>
        </w:rPr>
        <w:t xml:space="preserve"> </w:t>
      </w:r>
      <w:r w:rsidRPr="00475BF9">
        <w:t>Prehľad bežných výdavkov v štruktúre ekonomickej klasifikácie je uvedený v nasled</w:t>
      </w:r>
      <w:r w:rsidRPr="005C2029">
        <w:t>ovnej tabuľke:</w:t>
      </w:r>
    </w:p>
    <w:p w14:paraId="47B75D06" w14:textId="77777777" w:rsidR="00EA177A" w:rsidRDefault="00EA177A" w:rsidP="00EA177A">
      <w:pPr>
        <w:spacing w:after="160" w:line="259" w:lineRule="auto"/>
        <w:jc w:val="left"/>
      </w:pPr>
      <w:r>
        <w:br w:type="page"/>
      </w:r>
    </w:p>
    <w:tbl>
      <w:tblPr>
        <w:tblW w:w="8505" w:type="dxa"/>
        <w:tblLayout w:type="fixed"/>
        <w:tblCellMar>
          <w:left w:w="70" w:type="dxa"/>
          <w:right w:w="70" w:type="dxa"/>
        </w:tblCellMar>
        <w:tblLook w:val="04A0" w:firstRow="1" w:lastRow="0" w:firstColumn="1" w:lastColumn="0" w:noHBand="0" w:noVBand="1"/>
      </w:tblPr>
      <w:tblGrid>
        <w:gridCol w:w="3119"/>
        <w:gridCol w:w="956"/>
        <w:gridCol w:w="956"/>
        <w:gridCol w:w="956"/>
        <w:gridCol w:w="1042"/>
        <w:gridCol w:w="791"/>
        <w:gridCol w:w="685"/>
      </w:tblGrid>
      <w:tr w:rsidR="00EA177A" w:rsidRPr="00ED4F60" w14:paraId="0A4760D7" w14:textId="77777777" w:rsidTr="0003620E">
        <w:trPr>
          <w:trHeight w:val="434"/>
        </w:trPr>
        <w:tc>
          <w:tcPr>
            <w:tcW w:w="8505" w:type="dxa"/>
            <w:gridSpan w:val="7"/>
            <w:tcBorders>
              <w:top w:val="nil"/>
              <w:left w:val="nil"/>
              <w:bottom w:val="nil"/>
              <w:right w:val="nil"/>
            </w:tcBorders>
            <w:shd w:val="clear" w:color="000000" w:fill="000000"/>
            <w:vAlign w:val="center"/>
            <w:hideMark/>
          </w:tcPr>
          <w:p w14:paraId="60788306" w14:textId="77777777" w:rsidR="00EA177A" w:rsidRPr="00ED4F60" w:rsidRDefault="00EA177A" w:rsidP="00C704A7">
            <w:pPr>
              <w:spacing w:after="0" w:line="240" w:lineRule="auto"/>
              <w:jc w:val="left"/>
              <w:rPr>
                <w:rFonts w:eastAsia="Times New Roman" w:cs="Times New Roman"/>
                <w:b/>
                <w:bCs/>
                <w:sz w:val="18"/>
                <w:szCs w:val="18"/>
                <w:lang w:eastAsia="sk-SK"/>
              </w:rPr>
            </w:pPr>
            <w:r w:rsidRPr="00ED4F60">
              <w:rPr>
                <w:rFonts w:eastAsia="Times New Roman" w:cs="Times New Roman"/>
                <w:b/>
                <w:bCs/>
                <w:sz w:val="18"/>
                <w:szCs w:val="18"/>
                <w:lang w:eastAsia="sk-SK"/>
              </w:rPr>
              <w:t>Bežné výdavky podľa ekonomickej klasifikácie                                                                                         v tis. eur</w:t>
            </w:r>
          </w:p>
        </w:tc>
      </w:tr>
      <w:tr w:rsidR="00EA177A" w:rsidRPr="00ED4F60" w14:paraId="50B5EC0B" w14:textId="77777777" w:rsidTr="00C704A7">
        <w:trPr>
          <w:trHeight w:val="330"/>
        </w:trPr>
        <w:tc>
          <w:tcPr>
            <w:tcW w:w="3119" w:type="dxa"/>
            <w:vMerge w:val="restart"/>
            <w:tcBorders>
              <w:top w:val="nil"/>
              <w:left w:val="nil"/>
              <w:bottom w:val="nil"/>
              <w:right w:val="nil"/>
            </w:tcBorders>
            <w:shd w:val="clear" w:color="000000" w:fill="BFBFBF"/>
            <w:vAlign w:val="center"/>
            <w:hideMark/>
          </w:tcPr>
          <w:p w14:paraId="6F5ABB8B"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 xml:space="preserve"> </w:t>
            </w:r>
          </w:p>
        </w:tc>
        <w:tc>
          <w:tcPr>
            <w:tcW w:w="1912" w:type="dxa"/>
            <w:gridSpan w:val="2"/>
            <w:tcBorders>
              <w:top w:val="nil"/>
              <w:left w:val="nil"/>
              <w:bottom w:val="nil"/>
              <w:right w:val="nil"/>
            </w:tcBorders>
            <w:shd w:val="clear" w:color="000000" w:fill="BFBFBF"/>
            <w:noWrap/>
            <w:vAlign w:val="center"/>
            <w:hideMark/>
          </w:tcPr>
          <w:p w14:paraId="06D9C07B"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Skutočnosť</w:t>
            </w:r>
          </w:p>
        </w:tc>
        <w:tc>
          <w:tcPr>
            <w:tcW w:w="956" w:type="dxa"/>
            <w:tcBorders>
              <w:top w:val="nil"/>
              <w:left w:val="nil"/>
              <w:bottom w:val="nil"/>
              <w:right w:val="nil"/>
            </w:tcBorders>
            <w:shd w:val="clear" w:color="000000" w:fill="BFBFBF"/>
            <w:noWrap/>
            <w:vAlign w:val="center"/>
            <w:hideMark/>
          </w:tcPr>
          <w:p w14:paraId="6AB9E142"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Rozpočet</w:t>
            </w:r>
          </w:p>
        </w:tc>
        <w:tc>
          <w:tcPr>
            <w:tcW w:w="1042" w:type="dxa"/>
            <w:tcBorders>
              <w:top w:val="nil"/>
              <w:left w:val="nil"/>
              <w:bottom w:val="nil"/>
              <w:right w:val="nil"/>
            </w:tcBorders>
            <w:shd w:val="clear" w:color="000000" w:fill="BFBFBF"/>
            <w:noWrap/>
            <w:vAlign w:val="center"/>
            <w:hideMark/>
          </w:tcPr>
          <w:p w14:paraId="7803921D"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Skutočnosť</w:t>
            </w:r>
          </w:p>
        </w:tc>
        <w:tc>
          <w:tcPr>
            <w:tcW w:w="1476" w:type="dxa"/>
            <w:gridSpan w:val="2"/>
            <w:tcBorders>
              <w:top w:val="nil"/>
              <w:left w:val="nil"/>
              <w:bottom w:val="nil"/>
              <w:right w:val="nil"/>
            </w:tcBorders>
            <w:shd w:val="clear" w:color="000000" w:fill="BFBFBF"/>
            <w:noWrap/>
            <w:vAlign w:val="center"/>
            <w:hideMark/>
          </w:tcPr>
          <w:p w14:paraId="3C096D61"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Rozdiel</w:t>
            </w:r>
          </w:p>
        </w:tc>
      </w:tr>
      <w:tr w:rsidR="00EA177A" w:rsidRPr="00ED4F60" w14:paraId="36E15740" w14:textId="77777777" w:rsidTr="00C704A7">
        <w:trPr>
          <w:trHeight w:val="330"/>
        </w:trPr>
        <w:tc>
          <w:tcPr>
            <w:tcW w:w="3119" w:type="dxa"/>
            <w:vMerge/>
            <w:tcBorders>
              <w:top w:val="nil"/>
              <w:left w:val="nil"/>
              <w:bottom w:val="nil"/>
              <w:right w:val="nil"/>
            </w:tcBorders>
            <w:vAlign w:val="center"/>
            <w:hideMark/>
          </w:tcPr>
          <w:p w14:paraId="6E2D389C" w14:textId="77777777" w:rsidR="00EA177A" w:rsidRPr="00ED4F60" w:rsidRDefault="00EA177A" w:rsidP="00C704A7">
            <w:pPr>
              <w:spacing w:after="0" w:line="240" w:lineRule="auto"/>
              <w:jc w:val="left"/>
              <w:rPr>
                <w:rFonts w:eastAsia="Times New Roman" w:cs="Times New Roman"/>
                <w:b/>
                <w:bCs/>
                <w:sz w:val="18"/>
                <w:szCs w:val="18"/>
                <w:lang w:eastAsia="sk-SK"/>
              </w:rPr>
            </w:pPr>
          </w:p>
        </w:tc>
        <w:tc>
          <w:tcPr>
            <w:tcW w:w="956" w:type="dxa"/>
            <w:tcBorders>
              <w:top w:val="nil"/>
              <w:left w:val="nil"/>
              <w:bottom w:val="nil"/>
              <w:right w:val="nil"/>
            </w:tcBorders>
            <w:shd w:val="clear" w:color="000000" w:fill="BFBFBF"/>
            <w:noWrap/>
            <w:vAlign w:val="center"/>
            <w:hideMark/>
          </w:tcPr>
          <w:p w14:paraId="57E1B7F9"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2017</w:t>
            </w:r>
          </w:p>
        </w:tc>
        <w:tc>
          <w:tcPr>
            <w:tcW w:w="956" w:type="dxa"/>
            <w:tcBorders>
              <w:top w:val="nil"/>
              <w:left w:val="nil"/>
              <w:bottom w:val="nil"/>
              <w:right w:val="nil"/>
            </w:tcBorders>
            <w:shd w:val="clear" w:color="000000" w:fill="BFBFBF"/>
            <w:noWrap/>
            <w:vAlign w:val="center"/>
            <w:hideMark/>
          </w:tcPr>
          <w:p w14:paraId="095BBCAD"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2018</w:t>
            </w:r>
          </w:p>
        </w:tc>
        <w:tc>
          <w:tcPr>
            <w:tcW w:w="956" w:type="dxa"/>
            <w:tcBorders>
              <w:top w:val="nil"/>
              <w:left w:val="nil"/>
              <w:bottom w:val="nil"/>
              <w:right w:val="nil"/>
            </w:tcBorders>
            <w:shd w:val="clear" w:color="000000" w:fill="BFBFBF"/>
            <w:noWrap/>
            <w:vAlign w:val="center"/>
            <w:hideMark/>
          </w:tcPr>
          <w:p w14:paraId="1F61FDEF"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2019</w:t>
            </w:r>
          </w:p>
        </w:tc>
        <w:tc>
          <w:tcPr>
            <w:tcW w:w="1042" w:type="dxa"/>
            <w:tcBorders>
              <w:top w:val="nil"/>
              <w:left w:val="nil"/>
              <w:bottom w:val="nil"/>
              <w:right w:val="nil"/>
            </w:tcBorders>
            <w:shd w:val="clear" w:color="000000" w:fill="BFBFBF"/>
            <w:noWrap/>
            <w:vAlign w:val="center"/>
            <w:hideMark/>
          </w:tcPr>
          <w:p w14:paraId="0D577F70"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2019</w:t>
            </w:r>
          </w:p>
        </w:tc>
        <w:tc>
          <w:tcPr>
            <w:tcW w:w="791" w:type="dxa"/>
            <w:tcBorders>
              <w:top w:val="nil"/>
              <w:left w:val="nil"/>
              <w:bottom w:val="nil"/>
              <w:right w:val="nil"/>
            </w:tcBorders>
            <w:shd w:val="clear" w:color="000000" w:fill="BFBFBF"/>
            <w:noWrap/>
            <w:vAlign w:val="center"/>
            <w:hideMark/>
          </w:tcPr>
          <w:p w14:paraId="70C09558"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v tis. eur</w:t>
            </w:r>
          </w:p>
        </w:tc>
        <w:tc>
          <w:tcPr>
            <w:tcW w:w="685" w:type="dxa"/>
            <w:tcBorders>
              <w:top w:val="nil"/>
              <w:left w:val="nil"/>
              <w:bottom w:val="nil"/>
              <w:right w:val="nil"/>
            </w:tcBorders>
            <w:shd w:val="clear" w:color="000000" w:fill="BFBFBF"/>
            <w:noWrap/>
            <w:vAlign w:val="center"/>
            <w:hideMark/>
          </w:tcPr>
          <w:p w14:paraId="272E50E0"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v %</w:t>
            </w:r>
          </w:p>
        </w:tc>
      </w:tr>
      <w:tr w:rsidR="00EA177A" w:rsidRPr="00ED4F60" w14:paraId="4B260DF6" w14:textId="77777777" w:rsidTr="00C704A7">
        <w:trPr>
          <w:trHeight w:val="345"/>
        </w:trPr>
        <w:tc>
          <w:tcPr>
            <w:tcW w:w="3119" w:type="dxa"/>
            <w:tcBorders>
              <w:top w:val="nil"/>
              <w:left w:val="nil"/>
              <w:bottom w:val="single" w:sz="8" w:space="0" w:color="auto"/>
              <w:right w:val="nil"/>
            </w:tcBorders>
            <w:shd w:val="clear" w:color="000000" w:fill="BFBFBF"/>
            <w:vAlign w:val="center"/>
            <w:hideMark/>
          </w:tcPr>
          <w:p w14:paraId="7DDCFCBA"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 </w:t>
            </w:r>
          </w:p>
        </w:tc>
        <w:tc>
          <w:tcPr>
            <w:tcW w:w="956" w:type="dxa"/>
            <w:tcBorders>
              <w:top w:val="nil"/>
              <w:left w:val="nil"/>
              <w:bottom w:val="single" w:sz="8" w:space="0" w:color="auto"/>
              <w:right w:val="nil"/>
            </w:tcBorders>
            <w:shd w:val="clear" w:color="000000" w:fill="BFBFBF"/>
            <w:noWrap/>
            <w:vAlign w:val="center"/>
            <w:hideMark/>
          </w:tcPr>
          <w:p w14:paraId="21D85A8B"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1</w:t>
            </w:r>
          </w:p>
        </w:tc>
        <w:tc>
          <w:tcPr>
            <w:tcW w:w="956" w:type="dxa"/>
            <w:tcBorders>
              <w:top w:val="nil"/>
              <w:left w:val="nil"/>
              <w:bottom w:val="single" w:sz="8" w:space="0" w:color="auto"/>
              <w:right w:val="nil"/>
            </w:tcBorders>
            <w:shd w:val="clear" w:color="000000" w:fill="BFBFBF"/>
            <w:noWrap/>
            <w:vAlign w:val="center"/>
            <w:hideMark/>
          </w:tcPr>
          <w:p w14:paraId="04163A6D"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2</w:t>
            </w:r>
          </w:p>
        </w:tc>
        <w:tc>
          <w:tcPr>
            <w:tcW w:w="956" w:type="dxa"/>
            <w:tcBorders>
              <w:top w:val="nil"/>
              <w:left w:val="nil"/>
              <w:bottom w:val="single" w:sz="8" w:space="0" w:color="auto"/>
              <w:right w:val="nil"/>
            </w:tcBorders>
            <w:shd w:val="clear" w:color="000000" w:fill="BFBFBF"/>
            <w:noWrap/>
            <w:vAlign w:val="center"/>
            <w:hideMark/>
          </w:tcPr>
          <w:p w14:paraId="63CC165A"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3</w:t>
            </w:r>
          </w:p>
        </w:tc>
        <w:tc>
          <w:tcPr>
            <w:tcW w:w="1042" w:type="dxa"/>
            <w:tcBorders>
              <w:top w:val="nil"/>
              <w:left w:val="nil"/>
              <w:bottom w:val="single" w:sz="8" w:space="0" w:color="auto"/>
              <w:right w:val="nil"/>
            </w:tcBorders>
            <w:shd w:val="clear" w:color="000000" w:fill="BFBFBF"/>
            <w:noWrap/>
            <w:vAlign w:val="center"/>
            <w:hideMark/>
          </w:tcPr>
          <w:p w14:paraId="278261B9"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4</w:t>
            </w:r>
          </w:p>
        </w:tc>
        <w:tc>
          <w:tcPr>
            <w:tcW w:w="791" w:type="dxa"/>
            <w:tcBorders>
              <w:top w:val="nil"/>
              <w:left w:val="nil"/>
              <w:bottom w:val="single" w:sz="8" w:space="0" w:color="auto"/>
              <w:right w:val="nil"/>
            </w:tcBorders>
            <w:shd w:val="clear" w:color="000000" w:fill="BFBFBF"/>
            <w:noWrap/>
            <w:vAlign w:val="center"/>
            <w:hideMark/>
          </w:tcPr>
          <w:p w14:paraId="4FEBC6AE"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5=4-3</w:t>
            </w:r>
          </w:p>
        </w:tc>
        <w:tc>
          <w:tcPr>
            <w:tcW w:w="685" w:type="dxa"/>
            <w:tcBorders>
              <w:top w:val="nil"/>
              <w:left w:val="nil"/>
              <w:bottom w:val="single" w:sz="8" w:space="0" w:color="auto"/>
              <w:right w:val="nil"/>
            </w:tcBorders>
            <w:shd w:val="clear" w:color="000000" w:fill="BFBFBF"/>
            <w:noWrap/>
            <w:vAlign w:val="center"/>
            <w:hideMark/>
          </w:tcPr>
          <w:p w14:paraId="2331DE33" w14:textId="77777777" w:rsidR="00EA177A" w:rsidRPr="00ED4F60" w:rsidRDefault="00EA177A" w:rsidP="00C704A7">
            <w:pPr>
              <w:spacing w:after="0" w:line="240" w:lineRule="auto"/>
              <w:jc w:val="center"/>
              <w:rPr>
                <w:rFonts w:eastAsia="Times New Roman" w:cs="Times New Roman"/>
                <w:b/>
                <w:bCs/>
                <w:sz w:val="18"/>
                <w:szCs w:val="18"/>
                <w:lang w:eastAsia="sk-SK"/>
              </w:rPr>
            </w:pPr>
            <w:r w:rsidRPr="00ED4F60">
              <w:rPr>
                <w:rFonts w:eastAsia="Times New Roman" w:cs="Times New Roman"/>
                <w:b/>
                <w:bCs/>
                <w:sz w:val="18"/>
                <w:szCs w:val="18"/>
                <w:lang w:eastAsia="sk-SK"/>
              </w:rPr>
              <w:t>6=4-3</w:t>
            </w:r>
          </w:p>
        </w:tc>
      </w:tr>
      <w:tr w:rsidR="00EA177A" w:rsidRPr="00ED4F60" w14:paraId="71EA4DBB" w14:textId="77777777" w:rsidTr="00C704A7">
        <w:trPr>
          <w:trHeight w:val="340"/>
        </w:trPr>
        <w:tc>
          <w:tcPr>
            <w:tcW w:w="3119" w:type="dxa"/>
            <w:tcBorders>
              <w:top w:val="nil"/>
              <w:left w:val="nil"/>
              <w:bottom w:val="nil"/>
              <w:right w:val="nil"/>
            </w:tcBorders>
            <w:shd w:val="clear" w:color="auto" w:fill="auto"/>
            <w:vAlign w:val="center"/>
            <w:hideMark/>
          </w:tcPr>
          <w:p w14:paraId="0DF2827E" w14:textId="77777777" w:rsidR="00EA177A" w:rsidRPr="00ED4F60" w:rsidRDefault="00EA177A" w:rsidP="00C704A7">
            <w:pPr>
              <w:spacing w:after="0" w:line="240" w:lineRule="auto"/>
              <w:jc w:val="left"/>
              <w:rPr>
                <w:rFonts w:eastAsia="Times New Roman" w:cs="Times New Roman"/>
                <w:sz w:val="18"/>
                <w:szCs w:val="18"/>
                <w:lang w:eastAsia="sk-SK"/>
              </w:rPr>
            </w:pPr>
            <w:r w:rsidRPr="00ED4F60">
              <w:rPr>
                <w:rFonts w:eastAsia="Times New Roman" w:cs="Times New Roman"/>
                <w:sz w:val="18"/>
                <w:szCs w:val="18"/>
                <w:lang w:eastAsia="sk-SK"/>
              </w:rPr>
              <w:t>Mzdy, platy, služobné príjmy a ostatné osobné vyrovnania</w:t>
            </w:r>
          </w:p>
        </w:tc>
        <w:tc>
          <w:tcPr>
            <w:tcW w:w="956" w:type="dxa"/>
            <w:tcBorders>
              <w:top w:val="nil"/>
              <w:left w:val="nil"/>
              <w:bottom w:val="nil"/>
              <w:right w:val="nil"/>
            </w:tcBorders>
            <w:shd w:val="clear" w:color="auto" w:fill="auto"/>
            <w:noWrap/>
            <w:vAlign w:val="center"/>
            <w:hideMark/>
          </w:tcPr>
          <w:p w14:paraId="2B84D35F"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1 869 049</w:t>
            </w:r>
          </w:p>
        </w:tc>
        <w:tc>
          <w:tcPr>
            <w:tcW w:w="956" w:type="dxa"/>
            <w:tcBorders>
              <w:top w:val="nil"/>
              <w:left w:val="nil"/>
              <w:bottom w:val="nil"/>
              <w:right w:val="nil"/>
            </w:tcBorders>
            <w:shd w:val="clear" w:color="000000" w:fill="FFFFFF"/>
            <w:noWrap/>
            <w:vAlign w:val="center"/>
            <w:hideMark/>
          </w:tcPr>
          <w:p w14:paraId="21ADB4D0"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2 026 060</w:t>
            </w:r>
          </w:p>
        </w:tc>
        <w:tc>
          <w:tcPr>
            <w:tcW w:w="956" w:type="dxa"/>
            <w:tcBorders>
              <w:top w:val="nil"/>
              <w:left w:val="nil"/>
              <w:bottom w:val="nil"/>
              <w:right w:val="nil"/>
            </w:tcBorders>
            <w:shd w:val="clear" w:color="auto" w:fill="auto"/>
            <w:noWrap/>
            <w:vAlign w:val="center"/>
            <w:hideMark/>
          </w:tcPr>
          <w:p w14:paraId="1FFE461D"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2 221 695</w:t>
            </w:r>
          </w:p>
        </w:tc>
        <w:tc>
          <w:tcPr>
            <w:tcW w:w="1042" w:type="dxa"/>
            <w:tcBorders>
              <w:top w:val="nil"/>
              <w:left w:val="nil"/>
              <w:bottom w:val="nil"/>
              <w:right w:val="nil"/>
            </w:tcBorders>
            <w:shd w:val="clear" w:color="000000" w:fill="BFBFBF"/>
            <w:noWrap/>
            <w:vAlign w:val="center"/>
            <w:hideMark/>
          </w:tcPr>
          <w:p w14:paraId="78D48300"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2 322 962</w:t>
            </w:r>
          </w:p>
        </w:tc>
        <w:tc>
          <w:tcPr>
            <w:tcW w:w="791" w:type="dxa"/>
            <w:tcBorders>
              <w:top w:val="nil"/>
              <w:left w:val="nil"/>
              <w:bottom w:val="nil"/>
              <w:right w:val="nil"/>
            </w:tcBorders>
            <w:shd w:val="clear" w:color="auto" w:fill="auto"/>
            <w:noWrap/>
            <w:vAlign w:val="center"/>
            <w:hideMark/>
          </w:tcPr>
          <w:p w14:paraId="0BB2873F"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101 267</w:t>
            </w:r>
          </w:p>
        </w:tc>
        <w:tc>
          <w:tcPr>
            <w:tcW w:w="685" w:type="dxa"/>
            <w:tcBorders>
              <w:top w:val="nil"/>
              <w:left w:val="nil"/>
              <w:bottom w:val="nil"/>
              <w:right w:val="nil"/>
            </w:tcBorders>
            <w:shd w:val="clear" w:color="auto" w:fill="auto"/>
            <w:noWrap/>
            <w:vAlign w:val="center"/>
            <w:hideMark/>
          </w:tcPr>
          <w:p w14:paraId="5AFB3342"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4,6</w:t>
            </w:r>
          </w:p>
        </w:tc>
      </w:tr>
      <w:tr w:rsidR="00EA177A" w:rsidRPr="00ED4F60" w14:paraId="22E9C9BF" w14:textId="77777777" w:rsidTr="00C704A7">
        <w:trPr>
          <w:trHeight w:val="340"/>
        </w:trPr>
        <w:tc>
          <w:tcPr>
            <w:tcW w:w="3119" w:type="dxa"/>
            <w:tcBorders>
              <w:top w:val="nil"/>
              <w:left w:val="nil"/>
              <w:bottom w:val="nil"/>
              <w:right w:val="nil"/>
            </w:tcBorders>
            <w:shd w:val="clear" w:color="auto" w:fill="auto"/>
            <w:vAlign w:val="center"/>
            <w:hideMark/>
          </w:tcPr>
          <w:p w14:paraId="44B4E835" w14:textId="77777777" w:rsidR="00EA177A" w:rsidRPr="00ED4F60" w:rsidRDefault="00EA177A" w:rsidP="00C704A7">
            <w:pPr>
              <w:spacing w:after="0" w:line="240" w:lineRule="auto"/>
              <w:jc w:val="left"/>
              <w:rPr>
                <w:rFonts w:eastAsia="Times New Roman" w:cs="Times New Roman"/>
                <w:sz w:val="18"/>
                <w:szCs w:val="18"/>
                <w:lang w:eastAsia="sk-SK"/>
              </w:rPr>
            </w:pPr>
            <w:r w:rsidRPr="00ED4F60">
              <w:rPr>
                <w:rFonts w:eastAsia="Times New Roman" w:cs="Times New Roman"/>
                <w:sz w:val="18"/>
                <w:szCs w:val="18"/>
                <w:lang w:eastAsia="sk-SK"/>
              </w:rPr>
              <w:t>Poistné a príspevok do poisťovní</w:t>
            </w:r>
          </w:p>
        </w:tc>
        <w:tc>
          <w:tcPr>
            <w:tcW w:w="956" w:type="dxa"/>
            <w:tcBorders>
              <w:top w:val="nil"/>
              <w:left w:val="nil"/>
              <w:bottom w:val="nil"/>
              <w:right w:val="nil"/>
            </w:tcBorders>
            <w:shd w:val="clear" w:color="auto" w:fill="auto"/>
            <w:noWrap/>
            <w:vAlign w:val="center"/>
            <w:hideMark/>
          </w:tcPr>
          <w:p w14:paraId="6B3D1B08"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675 515</w:t>
            </w:r>
          </w:p>
        </w:tc>
        <w:tc>
          <w:tcPr>
            <w:tcW w:w="956" w:type="dxa"/>
            <w:tcBorders>
              <w:top w:val="nil"/>
              <w:left w:val="nil"/>
              <w:bottom w:val="nil"/>
              <w:right w:val="nil"/>
            </w:tcBorders>
            <w:shd w:val="clear" w:color="000000" w:fill="FFFFFF"/>
            <w:noWrap/>
            <w:vAlign w:val="center"/>
            <w:hideMark/>
          </w:tcPr>
          <w:p w14:paraId="224303AF"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728 292</w:t>
            </w:r>
          </w:p>
        </w:tc>
        <w:tc>
          <w:tcPr>
            <w:tcW w:w="956" w:type="dxa"/>
            <w:tcBorders>
              <w:top w:val="nil"/>
              <w:left w:val="nil"/>
              <w:bottom w:val="nil"/>
              <w:right w:val="nil"/>
            </w:tcBorders>
            <w:shd w:val="clear" w:color="auto" w:fill="auto"/>
            <w:noWrap/>
            <w:vAlign w:val="center"/>
            <w:hideMark/>
          </w:tcPr>
          <w:p w14:paraId="7FF11B20"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782 871</w:t>
            </w:r>
          </w:p>
        </w:tc>
        <w:tc>
          <w:tcPr>
            <w:tcW w:w="1042" w:type="dxa"/>
            <w:tcBorders>
              <w:top w:val="nil"/>
              <w:left w:val="nil"/>
              <w:bottom w:val="nil"/>
              <w:right w:val="nil"/>
            </w:tcBorders>
            <w:shd w:val="clear" w:color="000000" w:fill="BFBFBF"/>
            <w:noWrap/>
            <w:vAlign w:val="center"/>
            <w:hideMark/>
          </w:tcPr>
          <w:p w14:paraId="5FAA908F"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832 828</w:t>
            </w:r>
          </w:p>
        </w:tc>
        <w:tc>
          <w:tcPr>
            <w:tcW w:w="791" w:type="dxa"/>
            <w:tcBorders>
              <w:top w:val="nil"/>
              <w:left w:val="nil"/>
              <w:bottom w:val="nil"/>
              <w:right w:val="nil"/>
            </w:tcBorders>
            <w:shd w:val="clear" w:color="auto" w:fill="auto"/>
            <w:noWrap/>
            <w:vAlign w:val="center"/>
            <w:hideMark/>
          </w:tcPr>
          <w:p w14:paraId="2D78BA8E"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49 957</w:t>
            </w:r>
          </w:p>
        </w:tc>
        <w:tc>
          <w:tcPr>
            <w:tcW w:w="685" w:type="dxa"/>
            <w:tcBorders>
              <w:top w:val="nil"/>
              <w:left w:val="nil"/>
              <w:bottom w:val="nil"/>
              <w:right w:val="nil"/>
            </w:tcBorders>
            <w:shd w:val="clear" w:color="auto" w:fill="auto"/>
            <w:noWrap/>
            <w:vAlign w:val="center"/>
            <w:hideMark/>
          </w:tcPr>
          <w:p w14:paraId="0B99B60D"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6,4</w:t>
            </w:r>
          </w:p>
        </w:tc>
      </w:tr>
      <w:tr w:rsidR="00EA177A" w:rsidRPr="00ED4F60" w14:paraId="584EEE96" w14:textId="77777777" w:rsidTr="00C704A7">
        <w:trPr>
          <w:trHeight w:val="340"/>
        </w:trPr>
        <w:tc>
          <w:tcPr>
            <w:tcW w:w="3119" w:type="dxa"/>
            <w:tcBorders>
              <w:top w:val="nil"/>
              <w:left w:val="nil"/>
              <w:bottom w:val="nil"/>
              <w:right w:val="nil"/>
            </w:tcBorders>
            <w:shd w:val="clear" w:color="auto" w:fill="auto"/>
            <w:vAlign w:val="center"/>
            <w:hideMark/>
          </w:tcPr>
          <w:p w14:paraId="7DED60A0" w14:textId="77777777" w:rsidR="00EA177A" w:rsidRPr="00ED4F60" w:rsidRDefault="00EA177A" w:rsidP="00C704A7">
            <w:pPr>
              <w:spacing w:after="0" w:line="240" w:lineRule="auto"/>
              <w:jc w:val="left"/>
              <w:rPr>
                <w:rFonts w:eastAsia="Times New Roman" w:cs="Times New Roman"/>
                <w:sz w:val="18"/>
                <w:szCs w:val="18"/>
                <w:lang w:eastAsia="sk-SK"/>
              </w:rPr>
            </w:pPr>
            <w:r w:rsidRPr="00ED4F60">
              <w:rPr>
                <w:rFonts w:eastAsia="Times New Roman" w:cs="Times New Roman"/>
                <w:sz w:val="18"/>
                <w:szCs w:val="18"/>
                <w:lang w:eastAsia="sk-SK"/>
              </w:rPr>
              <w:t>Tovary a služby</w:t>
            </w:r>
          </w:p>
        </w:tc>
        <w:tc>
          <w:tcPr>
            <w:tcW w:w="956" w:type="dxa"/>
            <w:tcBorders>
              <w:top w:val="nil"/>
              <w:left w:val="nil"/>
              <w:bottom w:val="nil"/>
              <w:right w:val="nil"/>
            </w:tcBorders>
            <w:shd w:val="clear" w:color="auto" w:fill="auto"/>
            <w:noWrap/>
            <w:vAlign w:val="center"/>
            <w:hideMark/>
          </w:tcPr>
          <w:p w14:paraId="16A0DBD4"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1 483 704</w:t>
            </w:r>
          </w:p>
        </w:tc>
        <w:tc>
          <w:tcPr>
            <w:tcW w:w="956" w:type="dxa"/>
            <w:tcBorders>
              <w:top w:val="nil"/>
              <w:left w:val="nil"/>
              <w:bottom w:val="nil"/>
              <w:right w:val="nil"/>
            </w:tcBorders>
            <w:shd w:val="clear" w:color="000000" w:fill="FFFFFF"/>
            <w:noWrap/>
            <w:vAlign w:val="center"/>
            <w:hideMark/>
          </w:tcPr>
          <w:p w14:paraId="341E17AD"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1 634 652</w:t>
            </w:r>
          </w:p>
        </w:tc>
        <w:tc>
          <w:tcPr>
            <w:tcW w:w="956" w:type="dxa"/>
            <w:tcBorders>
              <w:top w:val="nil"/>
              <w:left w:val="nil"/>
              <w:bottom w:val="nil"/>
              <w:right w:val="nil"/>
            </w:tcBorders>
            <w:shd w:val="clear" w:color="auto" w:fill="auto"/>
            <w:noWrap/>
            <w:vAlign w:val="center"/>
            <w:hideMark/>
          </w:tcPr>
          <w:p w14:paraId="017F2284"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2 428 259</w:t>
            </w:r>
          </w:p>
        </w:tc>
        <w:tc>
          <w:tcPr>
            <w:tcW w:w="1042" w:type="dxa"/>
            <w:tcBorders>
              <w:top w:val="nil"/>
              <w:left w:val="nil"/>
              <w:bottom w:val="nil"/>
              <w:right w:val="nil"/>
            </w:tcBorders>
            <w:shd w:val="clear" w:color="000000" w:fill="BFBFBF"/>
            <w:noWrap/>
            <w:vAlign w:val="center"/>
            <w:hideMark/>
          </w:tcPr>
          <w:p w14:paraId="055BCD31"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1 727 981</w:t>
            </w:r>
          </w:p>
        </w:tc>
        <w:tc>
          <w:tcPr>
            <w:tcW w:w="791" w:type="dxa"/>
            <w:tcBorders>
              <w:top w:val="nil"/>
              <w:left w:val="nil"/>
              <w:bottom w:val="nil"/>
              <w:right w:val="nil"/>
            </w:tcBorders>
            <w:shd w:val="clear" w:color="auto" w:fill="auto"/>
            <w:noWrap/>
            <w:vAlign w:val="center"/>
            <w:hideMark/>
          </w:tcPr>
          <w:p w14:paraId="2DDB7CDC"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-700 278</w:t>
            </w:r>
          </w:p>
        </w:tc>
        <w:tc>
          <w:tcPr>
            <w:tcW w:w="685" w:type="dxa"/>
            <w:tcBorders>
              <w:top w:val="nil"/>
              <w:left w:val="nil"/>
              <w:bottom w:val="nil"/>
              <w:right w:val="nil"/>
            </w:tcBorders>
            <w:shd w:val="clear" w:color="auto" w:fill="auto"/>
            <w:noWrap/>
            <w:vAlign w:val="center"/>
            <w:hideMark/>
          </w:tcPr>
          <w:p w14:paraId="5851E1C4"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-28,8</w:t>
            </w:r>
          </w:p>
        </w:tc>
      </w:tr>
      <w:tr w:rsidR="00EA177A" w:rsidRPr="00ED4F60" w14:paraId="187F81DF" w14:textId="77777777" w:rsidTr="00C704A7">
        <w:trPr>
          <w:trHeight w:val="340"/>
        </w:trPr>
        <w:tc>
          <w:tcPr>
            <w:tcW w:w="3119" w:type="dxa"/>
            <w:tcBorders>
              <w:top w:val="nil"/>
              <w:left w:val="nil"/>
              <w:bottom w:val="nil"/>
              <w:right w:val="nil"/>
            </w:tcBorders>
            <w:shd w:val="clear" w:color="auto" w:fill="auto"/>
            <w:vAlign w:val="center"/>
            <w:hideMark/>
          </w:tcPr>
          <w:p w14:paraId="6723D27F" w14:textId="77777777" w:rsidR="00EA177A" w:rsidRPr="00ED4F60" w:rsidRDefault="00EA177A" w:rsidP="00C704A7">
            <w:pPr>
              <w:spacing w:after="0" w:line="240" w:lineRule="auto"/>
              <w:jc w:val="left"/>
              <w:rPr>
                <w:rFonts w:eastAsia="Times New Roman" w:cs="Times New Roman"/>
                <w:sz w:val="18"/>
                <w:szCs w:val="18"/>
                <w:lang w:eastAsia="sk-SK"/>
              </w:rPr>
            </w:pPr>
            <w:r w:rsidRPr="00ED4F60">
              <w:rPr>
                <w:rFonts w:eastAsia="Times New Roman" w:cs="Times New Roman"/>
                <w:sz w:val="18"/>
                <w:szCs w:val="18"/>
                <w:lang w:eastAsia="sk-SK"/>
              </w:rPr>
              <w:t>Bežné transfery</w:t>
            </w:r>
          </w:p>
        </w:tc>
        <w:tc>
          <w:tcPr>
            <w:tcW w:w="956" w:type="dxa"/>
            <w:tcBorders>
              <w:top w:val="nil"/>
              <w:left w:val="nil"/>
              <w:bottom w:val="nil"/>
              <w:right w:val="nil"/>
            </w:tcBorders>
            <w:shd w:val="clear" w:color="auto" w:fill="auto"/>
            <w:noWrap/>
            <w:vAlign w:val="center"/>
            <w:hideMark/>
          </w:tcPr>
          <w:p w14:paraId="644F4274"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9 652 930</w:t>
            </w:r>
          </w:p>
        </w:tc>
        <w:tc>
          <w:tcPr>
            <w:tcW w:w="956" w:type="dxa"/>
            <w:tcBorders>
              <w:top w:val="nil"/>
              <w:left w:val="nil"/>
              <w:bottom w:val="nil"/>
              <w:right w:val="nil"/>
            </w:tcBorders>
            <w:shd w:val="clear" w:color="000000" w:fill="FFFFFF"/>
            <w:noWrap/>
            <w:vAlign w:val="center"/>
            <w:hideMark/>
          </w:tcPr>
          <w:p w14:paraId="4FB540B2"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9 771 657</w:t>
            </w:r>
          </w:p>
        </w:tc>
        <w:tc>
          <w:tcPr>
            <w:tcW w:w="956" w:type="dxa"/>
            <w:tcBorders>
              <w:top w:val="nil"/>
              <w:left w:val="nil"/>
              <w:bottom w:val="nil"/>
              <w:right w:val="nil"/>
            </w:tcBorders>
            <w:shd w:val="clear" w:color="000000" w:fill="FFFFFF"/>
            <w:noWrap/>
            <w:vAlign w:val="center"/>
            <w:hideMark/>
          </w:tcPr>
          <w:p w14:paraId="777FBD5C"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9 817 228</w:t>
            </w:r>
          </w:p>
        </w:tc>
        <w:tc>
          <w:tcPr>
            <w:tcW w:w="1042" w:type="dxa"/>
            <w:tcBorders>
              <w:top w:val="nil"/>
              <w:left w:val="nil"/>
              <w:bottom w:val="nil"/>
              <w:right w:val="nil"/>
            </w:tcBorders>
            <w:shd w:val="clear" w:color="000000" w:fill="BFBFBF"/>
            <w:noWrap/>
            <w:vAlign w:val="center"/>
            <w:hideMark/>
          </w:tcPr>
          <w:p w14:paraId="7A90644F"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10 284 025</w:t>
            </w:r>
          </w:p>
        </w:tc>
        <w:tc>
          <w:tcPr>
            <w:tcW w:w="791" w:type="dxa"/>
            <w:tcBorders>
              <w:top w:val="nil"/>
              <w:left w:val="nil"/>
              <w:bottom w:val="nil"/>
              <w:right w:val="nil"/>
            </w:tcBorders>
            <w:shd w:val="clear" w:color="auto" w:fill="auto"/>
            <w:noWrap/>
            <w:vAlign w:val="center"/>
            <w:hideMark/>
          </w:tcPr>
          <w:p w14:paraId="10652E80"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466 797</w:t>
            </w:r>
          </w:p>
        </w:tc>
        <w:tc>
          <w:tcPr>
            <w:tcW w:w="685" w:type="dxa"/>
            <w:tcBorders>
              <w:top w:val="nil"/>
              <w:left w:val="nil"/>
              <w:bottom w:val="nil"/>
              <w:right w:val="nil"/>
            </w:tcBorders>
            <w:shd w:val="clear" w:color="auto" w:fill="auto"/>
            <w:noWrap/>
            <w:vAlign w:val="center"/>
            <w:hideMark/>
          </w:tcPr>
          <w:p w14:paraId="14B5AB76"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4,8</w:t>
            </w:r>
          </w:p>
        </w:tc>
      </w:tr>
      <w:tr w:rsidR="00EA177A" w:rsidRPr="00ED4F60" w14:paraId="3C235C98" w14:textId="77777777" w:rsidTr="00C704A7">
        <w:trPr>
          <w:trHeight w:val="340"/>
        </w:trPr>
        <w:tc>
          <w:tcPr>
            <w:tcW w:w="3119" w:type="dxa"/>
            <w:tcBorders>
              <w:top w:val="nil"/>
              <w:left w:val="nil"/>
              <w:bottom w:val="nil"/>
              <w:right w:val="nil"/>
            </w:tcBorders>
            <w:shd w:val="clear" w:color="auto" w:fill="auto"/>
            <w:vAlign w:val="center"/>
            <w:hideMark/>
          </w:tcPr>
          <w:p w14:paraId="6EA5FDBC" w14:textId="77777777" w:rsidR="00EA177A" w:rsidRPr="00ED4F60" w:rsidRDefault="00EA177A" w:rsidP="00C704A7">
            <w:pPr>
              <w:spacing w:after="0" w:line="240" w:lineRule="auto"/>
              <w:jc w:val="left"/>
              <w:rPr>
                <w:rFonts w:eastAsia="Times New Roman" w:cs="Times New Roman"/>
                <w:i/>
                <w:iCs/>
                <w:sz w:val="18"/>
                <w:szCs w:val="18"/>
                <w:lang w:eastAsia="sk-SK"/>
              </w:rPr>
            </w:pPr>
            <w:r w:rsidRPr="00ED4F60">
              <w:rPr>
                <w:rFonts w:eastAsia="Times New Roman" w:cs="Times New Roman"/>
                <w:i/>
                <w:iCs/>
                <w:sz w:val="18"/>
                <w:szCs w:val="18"/>
                <w:lang w:eastAsia="sk-SK"/>
              </w:rPr>
              <w:t xml:space="preserve">v tom: </w:t>
            </w:r>
          </w:p>
        </w:tc>
        <w:tc>
          <w:tcPr>
            <w:tcW w:w="956" w:type="dxa"/>
            <w:tcBorders>
              <w:top w:val="nil"/>
              <w:left w:val="nil"/>
              <w:bottom w:val="nil"/>
              <w:right w:val="nil"/>
            </w:tcBorders>
            <w:shd w:val="clear" w:color="auto" w:fill="auto"/>
            <w:noWrap/>
            <w:vAlign w:val="center"/>
            <w:hideMark/>
          </w:tcPr>
          <w:p w14:paraId="7103F833"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 xml:space="preserve"> </w:t>
            </w:r>
          </w:p>
        </w:tc>
        <w:tc>
          <w:tcPr>
            <w:tcW w:w="956" w:type="dxa"/>
            <w:tcBorders>
              <w:top w:val="nil"/>
              <w:left w:val="nil"/>
              <w:bottom w:val="nil"/>
              <w:right w:val="nil"/>
            </w:tcBorders>
            <w:shd w:val="clear" w:color="000000" w:fill="FFFFFF"/>
            <w:noWrap/>
            <w:vAlign w:val="center"/>
            <w:hideMark/>
          </w:tcPr>
          <w:p w14:paraId="4055B3BD"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 xml:space="preserve"> </w:t>
            </w:r>
          </w:p>
        </w:tc>
        <w:tc>
          <w:tcPr>
            <w:tcW w:w="956" w:type="dxa"/>
            <w:tcBorders>
              <w:top w:val="nil"/>
              <w:left w:val="nil"/>
              <w:bottom w:val="nil"/>
              <w:right w:val="nil"/>
            </w:tcBorders>
            <w:shd w:val="clear" w:color="auto" w:fill="auto"/>
            <w:noWrap/>
            <w:vAlign w:val="center"/>
            <w:hideMark/>
          </w:tcPr>
          <w:p w14:paraId="32DD3333" w14:textId="77777777" w:rsidR="00EA177A" w:rsidRPr="00ED4F60" w:rsidRDefault="00EA177A" w:rsidP="00C704A7">
            <w:pPr>
              <w:spacing w:after="0" w:line="240" w:lineRule="auto"/>
              <w:jc w:val="left"/>
              <w:rPr>
                <w:rFonts w:eastAsia="Times New Roman" w:cs="Times New Roman"/>
                <w:sz w:val="20"/>
                <w:szCs w:val="20"/>
                <w:lang w:eastAsia="sk-SK"/>
              </w:rPr>
            </w:pPr>
          </w:p>
        </w:tc>
        <w:tc>
          <w:tcPr>
            <w:tcW w:w="1042" w:type="dxa"/>
            <w:tcBorders>
              <w:top w:val="nil"/>
              <w:left w:val="nil"/>
              <w:bottom w:val="nil"/>
              <w:right w:val="nil"/>
            </w:tcBorders>
            <w:shd w:val="clear" w:color="000000" w:fill="BFBFBF"/>
            <w:noWrap/>
            <w:vAlign w:val="center"/>
            <w:hideMark/>
          </w:tcPr>
          <w:p w14:paraId="6B0207B0"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 </w:t>
            </w:r>
          </w:p>
        </w:tc>
        <w:tc>
          <w:tcPr>
            <w:tcW w:w="791" w:type="dxa"/>
            <w:tcBorders>
              <w:top w:val="nil"/>
              <w:left w:val="nil"/>
              <w:bottom w:val="nil"/>
              <w:right w:val="nil"/>
            </w:tcBorders>
            <w:shd w:val="clear" w:color="auto" w:fill="auto"/>
            <w:noWrap/>
            <w:vAlign w:val="center"/>
            <w:hideMark/>
          </w:tcPr>
          <w:p w14:paraId="47EDD4D0" w14:textId="77777777" w:rsidR="00EA177A" w:rsidRPr="00ED4F60" w:rsidRDefault="00EA177A" w:rsidP="00C704A7">
            <w:pPr>
              <w:spacing w:after="0" w:line="240" w:lineRule="auto"/>
              <w:jc w:val="right"/>
              <w:rPr>
                <w:rFonts w:eastAsia="Times New Roman" w:cs="Times New Roman"/>
                <w:sz w:val="18"/>
                <w:szCs w:val="18"/>
                <w:lang w:eastAsia="sk-SK"/>
              </w:rPr>
            </w:pPr>
          </w:p>
        </w:tc>
        <w:tc>
          <w:tcPr>
            <w:tcW w:w="685" w:type="dxa"/>
            <w:tcBorders>
              <w:top w:val="nil"/>
              <w:left w:val="nil"/>
              <w:bottom w:val="nil"/>
              <w:right w:val="nil"/>
            </w:tcBorders>
            <w:shd w:val="clear" w:color="auto" w:fill="auto"/>
            <w:noWrap/>
            <w:vAlign w:val="center"/>
            <w:hideMark/>
          </w:tcPr>
          <w:p w14:paraId="0A09FC5E" w14:textId="77777777" w:rsidR="00EA177A" w:rsidRPr="00ED4F60" w:rsidRDefault="00EA177A" w:rsidP="00C704A7">
            <w:pPr>
              <w:spacing w:after="0" w:line="240" w:lineRule="auto"/>
              <w:jc w:val="left"/>
              <w:rPr>
                <w:rFonts w:eastAsia="Times New Roman" w:cs="Times New Roman"/>
                <w:sz w:val="20"/>
                <w:szCs w:val="20"/>
                <w:lang w:eastAsia="sk-SK"/>
              </w:rPr>
            </w:pPr>
          </w:p>
        </w:tc>
      </w:tr>
      <w:tr w:rsidR="00EA177A" w:rsidRPr="00ED4F60" w14:paraId="0EE21953" w14:textId="77777777" w:rsidTr="00C704A7">
        <w:trPr>
          <w:trHeight w:val="340"/>
        </w:trPr>
        <w:tc>
          <w:tcPr>
            <w:tcW w:w="3119" w:type="dxa"/>
            <w:tcBorders>
              <w:top w:val="nil"/>
              <w:left w:val="nil"/>
              <w:bottom w:val="nil"/>
              <w:right w:val="nil"/>
            </w:tcBorders>
            <w:shd w:val="clear" w:color="auto" w:fill="auto"/>
            <w:vAlign w:val="center"/>
            <w:hideMark/>
          </w:tcPr>
          <w:p w14:paraId="33A400C5" w14:textId="77777777" w:rsidR="00EA177A" w:rsidRPr="00ED4F60" w:rsidRDefault="00EA177A" w:rsidP="00C704A7">
            <w:pPr>
              <w:spacing w:after="0" w:line="240" w:lineRule="auto"/>
              <w:jc w:val="left"/>
              <w:rPr>
                <w:rFonts w:eastAsia="Times New Roman" w:cs="Times New Roman"/>
                <w:i/>
                <w:iCs/>
                <w:sz w:val="18"/>
                <w:szCs w:val="18"/>
                <w:lang w:eastAsia="sk-SK"/>
              </w:rPr>
            </w:pPr>
            <w:r w:rsidRPr="00ED4F60">
              <w:rPr>
                <w:rFonts w:eastAsia="Times New Roman" w:cs="Times New Roman"/>
                <w:i/>
                <w:iCs/>
                <w:sz w:val="18"/>
                <w:szCs w:val="18"/>
                <w:lang w:eastAsia="sk-SK"/>
              </w:rPr>
              <w:t>v rámci verejnej správy</w:t>
            </w:r>
          </w:p>
        </w:tc>
        <w:tc>
          <w:tcPr>
            <w:tcW w:w="956" w:type="dxa"/>
            <w:tcBorders>
              <w:top w:val="nil"/>
              <w:left w:val="nil"/>
              <w:bottom w:val="nil"/>
              <w:right w:val="nil"/>
            </w:tcBorders>
            <w:shd w:val="clear" w:color="auto" w:fill="auto"/>
            <w:noWrap/>
            <w:vAlign w:val="center"/>
            <w:hideMark/>
          </w:tcPr>
          <w:p w14:paraId="35BE5F55"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4 600 132</w:t>
            </w:r>
          </w:p>
        </w:tc>
        <w:tc>
          <w:tcPr>
            <w:tcW w:w="956" w:type="dxa"/>
            <w:tcBorders>
              <w:top w:val="nil"/>
              <w:left w:val="nil"/>
              <w:bottom w:val="nil"/>
              <w:right w:val="nil"/>
            </w:tcBorders>
            <w:shd w:val="clear" w:color="000000" w:fill="FFFFFF"/>
            <w:noWrap/>
            <w:vAlign w:val="center"/>
            <w:hideMark/>
          </w:tcPr>
          <w:p w14:paraId="635C0A95"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4 411 134</w:t>
            </w:r>
          </w:p>
        </w:tc>
        <w:tc>
          <w:tcPr>
            <w:tcW w:w="956" w:type="dxa"/>
            <w:tcBorders>
              <w:top w:val="nil"/>
              <w:left w:val="nil"/>
              <w:bottom w:val="nil"/>
              <w:right w:val="nil"/>
            </w:tcBorders>
            <w:shd w:val="clear" w:color="auto" w:fill="auto"/>
            <w:noWrap/>
            <w:vAlign w:val="center"/>
            <w:hideMark/>
          </w:tcPr>
          <w:p w14:paraId="5D0ED3A3"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4 054 060</w:t>
            </w:r>
          </w:p>
        </w:tc>
        <w:tc>
          <w:tcPr>
            <w:tcW w:w="1042" w:type="dxa"/>
            <w:tcBorders>
              <w:top w:val="nil"/>
              <w:left w:val="nil"/>
              <w:bottom w:val="nil"/>
              <w:right w:val="nil"/>
            </w:tcBorders>
            <w:shd w:val="clear" w:color="000000" w:fill="BFBFBF"/>
            <w:noWrap/>
            <w:vAlign w:val="center"/>
            <w:hideMark/>
          </w:tcPr>
          <w:p w14:paraId="1CDA086E"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4 612 021</w:t>
            </w:r>
          </w:p>
        </w:tc>
        <w:tc>
          <w:tcPr>
            <w:tcW w:w="791" w:type="dxa"/>
            <w:tcBorders>
              <w:top w:val="nil"/>
              <w:left w:val="nil"/>
              <w:bottom w:val="nil"/>
              <w:right w:val="nil"/>
            </w:tcBorders>
            <w:shd w:val="clear" w:color="auto" w:fill="auto"/>
            <w:noWrap/>
            <w:vAlign w:val="center"/>
            <w:hideMark/>
          </w:tcPr>
          <w:p w14:paraId="7382333B"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557 961</w:t>
            </w:r>
          </w:p>
        </w:tc>
        <w:tc>
          <w:tcPr>
            <w:tcW w:w="685" w:type="dxa"/>
            <w:tcBorders>
              <w:top w:val="nil"/>
              <w:left w:val="nil"/>
              <w:bottom w:val="nil"/>
              <w:right w:val="nil"/>
            </w:tcBorders>
            <w:shd w:val="clear" w:color="auto" w:fill="auto"/>
            <w:noWrap/>
            <w:vAlign w:val="center"/>
            <w:hideMark/>
          </w:tcPr>
          <w:p w14:paraId="64F46561"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13,8</w:t>
            </w:r>
          </w:p>
        </w:tc>
      </w:tr>
      <w:tr w:rsidR="00EA177A" w:rsidRPr="00ED4F60" w14:paraId="05539D60" w14:textId="77777777" w:rsidTr="00C704A7">
        <w:trPr>
          <w:trHeight w:val="340"/>
        </w:trPr>
        <w:tc>
          <w:tcPr>
            <w:tcW w:w="3119" w:type="dxa"/>
            <w:tcBorders>
              <w:top w:val="nil"/>
              <w:left w:val="nil"/>
              <w:bottom w:val="nil"/>
              <w:right w:val="nil"/>
            </w:tcBorders>
            <w:shd w:val="clear" w:color="auto" w:fill="auto"/>
            <w:vAlign w:val="center"/>
            <w:hideMark/>
          </w:tcPr>
          <w:p w14:paraId="12F24BE3" w14:textId="77777777" w:rsidR="00EA177A" w:rsidRPr="00ED4F60" w:rsidRDefault="00EA177A" w:rsidP="00C704A7">
            <w:pPr>
              <w:spacing w:after="0" w:line="240" w:lineRule="auto"/>
              <w:jc w:val="left"/>
              <w:rPr>
                <w:rFonts w:eastAsia="Times New Roman" w:cs="Times New Roman"/>
                <w:i/>
                <w:iCs/>
                <w:sz w:val="18"/>
                <w:szCs w:val="18"/>
                <w:lang w:eastAsia="sk-SK"/>
              </w:rPr>
            </w:pPr>
            <w:r w:rsidRPr="00ED4F60">
              <w:rPr>
                <w:rFonts w:eastAsia="Times New Roman" w:cs="Times New Roman"/>
                <w:i/>
                <w:iCs/>
                <w:sz w:val="18"/>
                <w:szCs w:val="18"/>
                <w:lang w:eastAsia="sk-SK"/>
              </w:rPr>
              <w:t>jednotlivcom a neziskovým právnickým osobám</w:t>
            </w:r>
          </w:p>
        </w:tc>
        <w:tc>
          <w:tcPr>
            <w:tcW w:w="956" w:type="dxa"/>
            <w:tcBorders>
              <w:top w:val="nil"/>
              <w:left w:val="nil"/>
              <w:bottom w:val="nil"/>
              <w:right w:val="nil"/>
            </w:tcBorders>
            <w:shd w:val="clear" w:color="auto" w:fill="auto"/>
            <w:noWrap/>
            <w:vAlign w:val="center"/>
            <w:hideMark/>
          </w:tcPr>
          <w:p w14:paraId="745608EC"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3 696 261</w:t>
            </w:r>
          </w:p>
        </w:tc>
        <w:tc>
          <w:tcPr>
            <w:tcW w:w="956" w:type="dxa"/>
            <w:tcBorders>
              <w:top w:val="nil"/>
              <w:left w:val="nil"/>
              <w:bottom w:val="nil"/>
              <w:right w:val="nil"/>
            </w:tcBorders>
            <w:shd w:val="clear" w:color="000000" w:fill="FFFFFF"/>
            <w:noWrap/>
            <w:vAlign w:val="center"/>
            <w:hideMark/>
          </w:tcPr>
          <w:p w14:paraId="23A12E30"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3 757 414</w:t>
            </w:r>
          </w:p>
        </w:tc>
        <w:tc>
          <w:tcPr>
            <w:tcW w:w="956" w:type="dxa"/>
            <w:tcBorders>
              <w:top w:val="nil"/>
              <w:left w:val="nil"/>
              <w:bottom w:val="nil"/>
              <w:right w:val="nil"/>
            </w:tcBorders>
            <w:shd w:val="clear" w:color="auto" w:fill="auto"/>
            <w:noWrap/>
            <w:vAlign w:val="center"/>
            <w:hideMark/>
          </w:tcPr>
          <w:p w14:paraId="7975A301"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3 890 460</w:t>
            </w:r>
          </w:p>
        </w:tc>
        <w:tc>
          <w:tcPr>
            <w:tcW w:w="1042" w:type="dxa"/>
            <w:tcBorders>
              <w:top w:val="nil"/>
              <w:left w:val="nil"/>
              <w:bottom w:val="nil"/>
              <w:right w:val="nil"/>
            </w:tcBorders>
            <w:shd w:val="clear" w:color="000000" w:fill="BFBFBF"/>
            <w:noWrap/>
            <w:vAlign w:val="center"/>
            <w:hideMark/>
          </w:tcPr>
          <w:p w14:paraId="30FB46B7"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4 002 928</w:t>
            </w:r>
          </w:p>
        </w:tc>
        <w:tc>
          <w:tcPr>
            <w:tcW w:w="791" w:type="dxa"/>
            <w:tcBorders>
              <w:top w:val="nil"/>
              <w:left w:val="nil"/>
              <w:bottom w:val="nil"/>
              <w:right w:val="nil"/>
            </w:tcBorders>
            <w:shd w:val="clear" w:color="auto" w:fill="auto"/>
            <w:noWrap/>
            <w:vAlign w:val="center"/>
            <w:hideMark/>
          </w:tcPr>
          <w:p w14:paraId="32D49CF1"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112 468</w:t>
            </w:r>
          </w:p>
        </w:tc>
        <w:tc>
          <w:tcPr>
            <w:tcW w:w="685" w:type="dxa"/>
            <w:tcBorders>
              <w:top w:val="nil"/>
              <w:left w:val="nil"/>
              <w:bottom w:val="nil"/>
              <w:right w:val="nil"/>
            </w:tcBorders>
            <w:shd w:val="clear" w:color="auto" w:fill="auto"/>
            <w:noWrap/>
            <w:vAlign w:val="center"/>
            <w:hideMark/>
          </w:tcPr>
          <w:p w14:paraId="2195A7D0"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2,9</w:t>
            </w:r>
          </w:p>
        </w:tc>
      </w:tr>
      <w:tr w:rsidR="00EA177A" w:rsidRPr="00ED4F60" w14:paraId="3BD3495A" w14:textId="77777777" w:rsidTr="00C704A7">
        <w:trPr>
          <w:trHeight w:val="340"/>
        </w:trPr>
        <w:tc>
          <w:tcPr>
            <w:tcW w:w="3119" w:type="dxa"/>
            <w:tcBorders>
              <w:top w:val="nil"/>
              <w:left w:val="nil"/>
              <w:bottom w:val="nil"/>
              <w:right w:val="nil"/>
            </w:tcBorders>
            <w:shd w:val="clear" w:color="auto" w:fill="auto"/>
            <w:vAlign w:val="center"/>
            <w:hideMark/>
          </w:tcPr>
          <w:p w14:paraId="73C911F0" w14:textId="77777777" w:rsidR="00EA177A" w:rsidRPr="00ED4F60" w:rsidRDefault="00EA177A" w:rsidP="00C704A7">
            <w:pPr>
              <w:spacing w:after="0" w:line="240" w:lineRule="auto"/>
              <w:jc w:val="left"/>
              <w:rPr>
                <w:rFonts w:eastAsia="Times New Roman" w:cs="Times New Roman"/>
                <w:i/>
                <w:iCs/>
                <w:sz w:val="18"/>
                <w:szCs w:val="18"/>
                <w:lang w:eastAsia="sk-SK"/>
              </w:rPr>
            </w:pPr>
            <w:proofErr w:type="spellStart"/>
            <w:r w:rsidRPr="00ED4F60">
              <w:rPr>
                <w:rFonts w:eastAsia="Times New Roman" w:cs="Times New Roman"/>
                <w:i/>
                <w:iCs/>
                <w:sz w:val="18"/>
                <w:szCs w:val="18"/>
                <w:lang w:eastAsia="sk-SK"/>
              </w:rPr>
              <w:t>nefin</w:t>
            </w:r>
            <w:proofErr w:type="spellEnd"/>
            <w:r w:rsidRPr="00ED4F60">
              <w:rPr>
                <w:rFonts w:eastAsia="Times New Roman" w:cs="Times New Roman"/>
                <w:i/>
                <w:iCs/>
                <w:sz w:val="18"/>
                <w:szCs w:val="18"/>
                <w:lang w:eastAsia="sk-SK"/>
              </w:rPr>
              <w:t>. subjektom a transfery PO nezaradeným vo verejnej správe</w:t>
            </w:r>
          </w:p>
        </w:tc>
        <w:tc>
          <w:tcPr>
            <w:tcW w:w="956" w:type="dxa"/>
            <w:tcBorders>
              <w:top w:val="nil"/>
              <w:left w:val="nil"/>
              <w:bottom w:val="nil"/>
              <w:right w:val="nil"/>
            </w:tcBorders>
            <w:shd w:val="clear" w:color="auto" w:fill="auto"/>
            <w:noWrap/>
            <w:vAlign w:val="center"/>
            <w:hideMark/>
          </w:tcPr>
          <w:p w14:paraId="03C20885"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643 405</w:t>
            </w:r>
          </w:p>
        </w:tc>
        <w:tc>
          <w:tcPr>
            <w:tcW w:w="956" w:type="dxa"/>
            <w:tcBorders>
              <w:top w:val="nil"/>
              <w:left w:val="nil"/>
              <w:bottom w:val="nil"/>
              <w:right w:val="nil"/>
            </w:tcBorders>
            <w:shd w:val="clear" w:color="000000" w:fill="FFFFFF"/>
            <w:noWrap/>
            <w:vAlign w:val="center"/>
            <w:hideMark/>
          </w:tcPr>
          <w:p w14:paraId="45CD922F"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713 871</w:t>
            </w:r>
          </w:p>
        </w:tc>
        <w:tc>
          <w:tcPr>
            <w:tcW w:w="956" w:type="dxa"/>
            <w:tcBorders>
              <w:top w:val="nil"/>
              <w:left w:val="nil"/>
              <w:bottom w:val="nil"/>
              <w:right w:val="nil"/>
            </w:tcBorders>
            <w:shd w:val="clear" w:color="auto" w:fill="auto"/>
            <w:noWrap/>
            <w:vAlign w:val="center"/>
            <w:hideMark/>
          </w:tcPr>
          <w:p w14:paraId="7A6DF3EE"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952 557</w:t>
            </w:r>
          </w:p>
        </w:tc>
        <w:tc>
          <w:tcPr>
            <w:tcW w:w="1042" w:type="dxa"/>
            <w:tcBorders>
              <w:top w:val="nil"/>
              <w:left w:val="nil"/>
              <w:bottom w:val="nil"/>
              <w:right w:val="nil"/>
            </w:tcBorders>
            <w:shd w:val="clear" w:color="000000" w:fill="BFBFBF"/>
            <w:noWrap/>
            <w:vAlign w:val="center"/>
            <w:hideMark/>
          </w:tcPr>
          <w:p w14:paraId="6733F003"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814 907</w:t>
            </w:r>
          </w:p>
        </w:tc>
        <w:tc>
          <w:tcPr>
            <w:tcW w:w="791" w:type="dxa"/>
            <w:tcBorders>
              <w:top w:val="nil"/>
              <w:left w:val="nil"/>
              <w:bottom w:val="nil"/>
              <w:right w:val="nil"/>
            </w:tcBorders>
            <w:shd w:val="clear" w:color="auto" w:fill="auto"/>
            <w:noWrap/>
            <w:vAlign w:val="center"/>
            <w:hideMark/>
          </w:tcPr>
          <w:p w14:paraId="4E8B9B59"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-137 650</w:t>
            </w:r>
          </w:p>
        </w:tc>
        <w:tc>
          <w:tcPr>
            <w:tcW w:w="685" w:type="dxa"/>
            <w:tcBorders>
              <w:top w:val="nil"/>
              <w:left w:val="nil"/>
              <w:bottom w:val="nil"/>
              <w:right w:val="nil"/>
            </w:tcBorders>
            <w:shd w:val="clear" w:color="auto" w:fill="auto"/>
            <w:noWrap/>
            <w:vAlign w:val="center"/>
            <w:hideMark/>
          </w:tcPr>
          <w:p w14:paraId="5CD393A0"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-14,5</w:t>
            </w:r>
          </w:p>
        </w:tc>
      </w:tr>
      <w:tr w:rsidR="00EA177A" w:rsidRPr="00ED4F60" w14:paraId="52BE4E99" w14:textId="77777777" w:rsidTr="00C704A7">
        <w:trPr>
          <w:trHeight w:val="340"/>
        </w:trPr>
        <w:tc>
          <w:tcPr>
            <w:tcW w:w="3119" w:type="dxa"/>
            <w:tcBorders>
              <w:top w:val="nil"/>
              <w:left w:val="nil"/>
              <w:bottom w:val="nil"/>
              <w:right w:val="nil"/>
            </w:tcBorders>
            <w:shd w:val="clear" w:color="auto" w:fill="auto"/>
            <w:vAlign w:val="center"/>
            <w:hideMark/>
          </w:tcPr>
          <w:p w14:paraId="33B1CE93" w14:textId="77777777" w:rsidR="00EA177A" w:rsidRPr="00ED4F60" w:rsidRDefault="00EA177A" w:rsidP="00C704A7">
            <w:pPr>
              <w:spacing w:after="0" w:line="240" w:lineRule="auto"/>
              <w:jc w:val="left"/>
              <w:rPr>
                <w:rFonts w:eastAsia="Times New Roman" w:cs="Times New Roman"/>
                <w:i/>
                <w:iCs/>
                <w:sz w:val="18"/>
                <w:szCs w:val="18"/>
                <w:lang w:eastAsia="sk-SK"/>
              </w:rPr>
            </w:pPr>
            <w:r w:rsidRPr="00ED4F60">
              <w:rPr>
                <w:rFonts w:eastAsia="Times New Roman" w:cs="Times New Roman"/>
                <w:i/>
                <w:iCs/>
                <w:sz w:val="18"/>
                <w:szCs w:val="18"/>
                <w:lang w:eastAsia="sk-SK"/>
              </w:rPr>
              <w:t>do tuzemských finančných inštitúcií</w:t>
            </w:r>
          </w:p>
        </w:tc>
        <w:tc>
          <w:tcPr>
            <w:tcW w:w="956" w:type="dxa"/>
            <w:tcBorders>
              <w:top w:val="nil"/>
              <w:left w:val="nil"/>
              <w:bottom w:val="nil"/>
              <w:right w:val="nil"/>
            </w:tcBorders>
            <w:shd w:val="clear" w:color="auto" w:fill="auto"/>
            <w:noWrap/>
            <w:vAlign w:val="center"/>
            <w:hideMark/>
          </w:tcPr>
          <w:p w14:paraId="474E9ED1"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1 774</w:t>
            </w:r>
          </w:p>
        </w:tc>
        <w:tc>
          <w:tcPr>
            <w:tcW w:w="956" w:type="dxa"/>
            <w:tcBorders>
              <w:top w:val="nil"/>
              <w:left w:val="nil"/>
              <w:bottom w:val="nil"/>
              <w:right w:val="nil"/>
            </w:tcBorders>
            <w:shd w:val="clear" w:color="000000" w:fill="FFFFFF"/>
            <w:noWrap/>
            <w:vAlign w:val="center"/>
            <w:hideMark/>
          </w:tcPr>
          <w:p w14:paraId="2E2F815B"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64 740</w:t>
            </w:r>
          </w:p>
        </w:tc>
        <w:tc>
          <w:tcPr>
            <w:tcW w:w="956" w:type="dxa"/>
            <w:tcBorders>
              <w:top w:val="nil"/>
              <w:left w:val="nil"/>
              <w:bottom w:val="nil"/>
              <w:right w:val="nil"/>
            </w:tcBorders>
            <w:shd w:val="clear" w:color="auto" w:fill="auto"/>
            <w:noWrap/>
            <w:vAlign w:val="center"/>
            <w:hideMark/>
          </w:tcPr>
          <w:p w14:paraId="6F825A32"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2 290</w:t>
            </w:r>
          </w:p>
        </w:tc>
        <w:tc>
          <w:tcPr>
            <w:tcW w:w="1042" w:type="dxa"/>
            <w:tcBorders>
              <w:top w:val="nil"/>
              <w:left w:val="nil"/>
              <w:bottom w:val="nil"/>
              <w:right w:val="nil"/>
            </w:tcBorders>
            <w:shd w:val="clear" w:color="000000" w:fill="BFBFBF"/>
            <w:noWrap/>
            <w:vAlign w:val="center"/>
            <w:hideMark/>
          </w:tcPr>
          <w:p w14:paraId="76CB1DB5"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8 501</w:t>
            </w:r>
          </w:p>
        </w:tc>
        <w:tc>
          <w:tcPr>
            <w:tcW w:w="791" w:type="dxa"/>
            <w:tcBorders>
              <w:top w:val="nil"/>
              <w:left w:val="nil"/>
              <w:bottom w:val="nil"/>
              <w:right w:val="nil"/>
            </w:tcBorders>
            <w:shd w:val="clear" w:color="auto" w:fill="auto"/>
            <w:noWrap/>
            <w:vAlign w:val="center"/>
            <w:hideMark/>
          </w:tcPr>
          <w:p w14:paraId="693F982C"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6 211</w:t>
            </w:r>
          </w:p>
        </w:tc>
        <w:tc>
          <w:tcPr>
            <w:tcW w:w="685" w:type="dxa"/>
            <w:tcBorders>
              <w:top w:val="nil"/>
              <w:left w:val="nil"/>
              <w:bottom w:val="nil"/>
              <w:right w:val="nil"/>
            </w:tcBorders>
            <w:shd w:val="clear" w:color="auto" w:fill="auto"/>
            <w:noWrap/>
            <w:vAlign w:val="center"/>
            <w:hideMark/>
          </w:tcPr>
          <w:p w14:paraId="47BDADB8"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271,2</w:t>
            </w:r>
          </w:p>
        </w:tc>
      </w:tr>
      <w:tr w:rsidR="00EA177A" w:rsidRPr="00ED4F60" w14:paraId="4726E8CB" w14:textId="77777777" w:rsidTr="00C704A7">
        <w:trPr>
          <w:trHeight w:val="340"/>
        </w:trPr>
        <w:tc>
          <w:tcPr>
            <w:tcW w:w="3119" w:type="dxa"/>
            <w:tcBorders>
              <w:top w:val="nil"/>
              <w:left w:val="nil"/>
              <w:bottom w:val="nil"/>
              <w:right w:val="nil"/>
            </w:tcBorders>
            <w:shd w:val="clear" w:color="auto" w:fill="auto"/>
            <w:vAlign w:val="center"/>
            <w:hideMark/>
          </w:tcPr>
          <w:p w14:paraId="69DA2CDB" w14:textId="77777777" w:rsidR="00EA177A" w:rsidRPr="00ED4F60" w:rsidRDefault="00EA177A" w:rsidP="00C704A7">
            <w:pPr>
              <w:spacing w:after="0" w:line="240" w:lineRule="auto"/>
              <w:jc w:val="left"/>
              <w:rPr>
                <w:rFonts w:eastAsia="Times New Roman" w:cs="Times New Roman"/>
                <w:i/>
                <w:iCs/>
                <w:sz w:val="18"/>
                <w:szCs w:val="18"/>
                <w:lang w:eastAsia="sk-SK"/>
              </w:rPr>
            </w:pPr>
            <w:r w:rsidRPr="00ED4F60">
              <w:rPr>
                <w:rFonts w:eastAsia="Times New Roman" w:cs="Times New Roman"/>
                <w:i/>
                <w:iCs/>
                <w:sz w:val="18"/>
                <w:szCs w:val="18"/>
                <w:lang w:eastAsia="sk-SK"/>
              </w:rPr>
              <w:t>do zahraničia</w:t>
            </w:r>
          </w:p>
        </w:tc>
        <w:tc>
          <w:tcPr>
            <w:tcW w:w="956" w:type="dxa"/>
            <w:tcBorders>
              <w:top w:val="nil"/>
              <w:left w:val="nil"/>
              <w:bottom w:val="nil"/>
              <w:right w:val="nil"/>
            </w:tcBorders>
            <w:shd w:val="clear" w:color="auto" w:fill="auto"/>
            <w:noWrap/>
            <w:vAlign w:val="center"/>
            <w:hideMark/>
          </w:tcPr>
          <w:p w14:paraId="71F7AF43"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711 358</w:t>
            </w:r>
          </w:p>
        </w:tc>
        <w:tc>
          <w:tcPr>
            <w:tcW w:w="956" w:type="dxa"/>
            <w:tcBorders>
              <w:top w:val="nil"/>
              <w:left w:val="nil"/>
              <w:bottom w:val="nil"/>
              <w:right w:val="nil"/>
            </w:tcBorders>
            <w:shd w:val="clear" w:color="000000" w:fill="FFFFFF"/>
            <w:noWrap/>
            <w:vAlign w:val="center"/>
            <w:hideMark/>
          </w:tcPr>
          <w:p w14:paraId="460B9826"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824 498</w:t>
            </w:r>
          </w:p>
        </w:tc>
        <w:tc>
          <w:tcPr>
            <w:tcW w:w="956" w:type="dxa"/>
            <w:tcBorders>
              <w:top w:val="nil"/>
              <w:left w:val="nil"/>
              <w:bottom w:val="nil"/>
              <w:right w:val="nil"/>
            </w:tcBorders>
            <w:shd w:val="clear" w:color="auto" w:fill="auto"/>
            <w:noWrap/>
            <w:vAlign w:val="center"/>
            <w:hideMark/>
          </w:tcPr>
          <w:p w14:paraId="45D8B88E"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917 861</w:t>
            </w:r>
          </w:p>
        </w:tc>
        <w:tc>
          <w:tcPr>
            <w:tcW w:w="1042" w:type="dxa"/>
            <w:tcBorders>
              <w:top w:val="nil"/>
              <w:left w:val="nil"/>
              <w:bottom w:val="nil"/>
              <w:right w:val="nil"/>
            </w:tcBorders>
            <w:shd w:val="clear" w:color="000000" w:fill="BFBFBF"/>
            <w:noWrap/>
            <w:vAlign w:val="center"/>
            <w:hideMark/>
          </w:tcPr>
          <w:p w14:paraId="262CF5C1" w14:textId="77777777" w:rsidR="00EA177A" w:rsidRPr="00ED4F60" w:rsidRDefault="00EA177A" w:rsidP="00C704A7">
            <w:pPr>
              <w:spacing w:after="0" w:line="240" w:lineRule="auto"/>
              <w:jc w:val="right"/>
              <w:rPr>
                <w:rFonts w:eastAsia="Times New Roman" w:cs="Times New Roman"/>
                <w:i/>
                <w:iCs/>
                <w:sz w:val="18"/>
                <w:szCs w:val="18"/>
                <w:lang w:eastAsia="sk-SK"/>
              </w:rPr>
            </w:pPr>
            <w:r w:rsidRPr="00ED4F60">
              <w:rPr>
                <w:rFonts w:eastAsia="Times New Roman" w:cs="Times New Roman"/>
                <w:i/>
                <w:iCs/>
                <w:sz w:val="18"/>
                <w:szCs w:val="18"/>
                <w:lang w:eastAsia="sk-SK"/>
              </w:rPr>
              <w:t>845 686</w:t>
            </w:r>
          </w:p>
        </w:tc>
        <w:tc>
          <w:tcPr>
            <w:tcW w:w="791" w:type="dxa"/>
            <w:tcBorders>
              <w:top w:val="nil"/>
              <w:left w:val="nil"/>
              <w:bottom w:val="nil"/>
              <w:right w:val="nil"/>
            </w:tcBorders>
            <w:shd w:val="clear" w:color="auto" w:fill="auto"/>
            <w:noWrap/>
            <w:vAlign w:val="center"/>
            <w:hideMark/>
          </w:tcPr>
          <w:p w14:paraId="25DCC29C"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-72 175</w:t>
            </w:r>
          </w:p>
        </w:tc>
        <w:tc>
          <w:tcPr>
            <w:tcW w:w="685" w:type="dxa"/>
            <w:tcBorders>
              <w:top w:val="nil"/>
              <w:left w:val="nil"/>
              <w:bottom w:val="nil"/>
              <w:right w:val="nil"/>
            </w:tcBorders>
            <w:shd w:val="clear" w:color="auto" w:fill="auto"/>
            <w:noWrap/>
            <w:vAlign w:val="center"/>
            <w:hideMark/>
          </w:tcPr>
          <w:p w14:paraId="212297D1"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-7,9</w:t>
            </w:r>
          </w:p>
        </w:tc>
      </w:tr>
      <w:tr w:rsidR="00EA177A" w:rsidRPr="00ED4F60" w14:paraId="20485690" w14:textId="77777777" w:rsidTr="00C704A7">
        <w:trPr>
          <w:trHeight w:val="340"/>
        </w:trPr>
        <w:tc>
          <w:tcPr>
            <w:tcW w:w="3119" w:type="dxa"/>
            <w:tcBorders>
              <w:top w:val="nil"/>
              <w:left w:val="nil"/>
              <w:bottom w:val="single" w:sz="8" w:space="0" w:color="auto"/>
              <w:right w:val="nil"/>
            </w:tcBorders>
            <w:shd w:val="clear" w:color="auto" w:fill="auto"/>
            <w:vAlign w:val="center"/>
            <w:hideMark/>
          </w:tcPr>
          <w:p w14:paraId="3ABD929B" w14:textId="77777777" w:rsidR="00EA177A" w:rsidRPr="00ED4F60" w:rsidRDefault="00EA177A" w:rsidP="00C704A7">
            <w:pPr>
              <w:spacing w:after="0" w:line="240" w:lineRule="auto"/>
              <w:jc w:val="left"/>
              <w:rPr>
                <w:rFonts w:eastAsia="Times New Roman" w:cs="Times New Roman"/>
                <w:sz w:val="18"/>
                <w:szCs w:val="18"/>
                <w:lang w:eastAsia="sk-SK"/>
              </w:rPr>
            </w:pPr>
            <w:r w:rsidRPr="00ED4F60">
              <w:rPr>
                <w:rFonts w:eastAsia="Times New Roman" w:cs="Times New Roman"/>
                <w:sz w:val="18"/>
                <w:szCs w:val="18"/>
                <w:lang w:eastAsia="sk-SK"/>
              </w:rPr>
              <w:t>Splácanie úrokov a platby súvisiace s úverom</w:t>
            </w:r>
          </w:p>
        </w:tc>
        <w:tc>
          <w:tcPr>
            <w:tcW w:w="956" w:type="dxa"/>
            <w:tcBorders>
              <w:top w:val="nil"/>
              <w:left w:val="nil"/>
              <w:bottom w:val="single" w:sz="8" w:space="0" w:color="auto"/>
              <w:right w:val="nil"/>
            </w:tcBorders>
            <w:shd w:val="clear" w:color="auto" w:fill="auto"/>
            <w:noWrap/>
            <w:vAlign w:val="center"/>
            <w:hideMark/>
          </w:tcPr>
          <w:p w14:paraId="15AE1C81"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270</w:t>
            </w:r>
          </w:p>
        </w:tc>
        <w:tc>
          <w:tcPr>
            <w:tcW w:w="956" w:type="dxa"/>
            <w:tcBorders>
              <w:top w:val="nil"/>
              <w:left w:val="nil"/>
              <w:bottom w:val="single" w:sz="8" w:space="0" w:color="auto"/>
              <w:right w:val="nil"/>
            </w:tcBorders>
            <w:shd w:val="clear" w:color="auto" w:fill="auto"/>
            <w:noWrap/>
            <w:vAlign w:val="center"/>
            <w:hideMark/>
          </w:tcPr>
          <w:p w14:paraId="53882C52"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270</w:t>
            </w:r>
          </w:p>
        </w:tc>
        <w:tc>
          <w:tcPr>
            <w:tcW w:w="956" w:type="dxa"/>
            <w:tcBorders>
              <w:top w:val="nil"/>
              <w:left w:val="nil"/>
              <w:bottom w:val="single" w:sz="8" w:space="0" w:color="auto"/>
              <w:right w:val="nil"/>
            </w:tcBorders>
            <w:shd w:val="clear" w:color="auto" w:fill="auto"/>
            <w:noWrap/>
            <w:vAlign w:val="center"/>
            <w:hideMark/>
          </w:tcPr>
          <w:p w14:paraId="2A192D1E"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270</w:t>
            </w:r>
          </w:p>
        </w:tc>
        <w:tc>
          <w:tcPr>
            <w:tcW w:w="1042" w:type="dxa"/>
            <w:tcBorders>
              <w:top w:val="nil"/>
              <w:left w:val="nil"/>
              <w:bottom w:val="single" w:sz="8" w:space="0" w:color="auto"/>
              <w:right w:val="nil"/>
            </w:tcBorders>
            <w:shd w:val="clear" w:color="000000" w:fill="BFBFBF"/>
            <w:noWrap/>
            <w:vAlign w:val="center"/>
            <w:hideMark/>
          </w:tcPr>
          <w:p w14:paraId="22E49DE2"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270</w:t>
            </w:r>
          </w:p>
        </w:tc>
        <w:tc>
          <w:tcPr>
            <w:tcW w:w="791" w:type="dxa"/>
            <w:tcBorders>
              <w:top w:val="nil"/>
              <w:left w:val="nil"/>
              <w:bottom w:val="single" w:sz="8" w:space="0" w:color="auto"/>
              <w:right w:val="nil"/>
            </w:tcBorders>
            <w:shd w:val="clear" w:color="auto" w:fill="auto"/>
            <w:noWrap/>
            <w:vAlign w:val="center"/>
            <w:hideMark/>
          </w:tcPr>
          <w:p w14:paraId="3789B39B"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0</w:t>
            </w:r>
          </w:p>
        </w:tc>
        <w:tc>
          <w:tcPr>
            <w:tcW w:w="685" w:type="dxa"/>
            <w:tcBorders>
              <w:top w:val="nil"/>
              <w:left w:val="nil"/>
              <w:bottom w:val="single" w:sz="8" w:space="0" w:color="auto"/>
              <w:right w:val="nil"/>
            </w:tcBorders>
            <w:shd w:val="clear" w:color="auto" w:fill="auto"/>
            <w:noWrap/>
            <w:vAlign w:val="center"/>
            <w:hideMark/>
          </w:tcPr>
          <w:p w14:paraId="38BC063E" w14:textId="77777777" w:rsidR="00EA177A" w:rsidRPr="00ED4F60" w:rsidRDefault="00EA177A" w:rsidP="00C704A7">
            <w:pPr>
              <w:spacing w:after="0" w:line="240" w:lineRule="auto"/>
              <w:jc w:val="right"/>
              <w:rPr>
                <w:rFonts w:eastAsia="Times New Roman" w:cs="Times New Roman"/>
                <w:sz w:val="18"/>
                <w:szCs w:val="18"/>
                <w:lang w:eastAsia="sk-SK"/>
              </w:rPr>
            </w:pPr>
            <w:r w:rsidRPr="00ED4F60">
              <w:rPr>
                <w:rFonts w:eastAsia="Times New Roman" w:cs="Times New Roman"/>
                <w:sz w:val="18"/>
                <w:szCs w:val="18"/>
                <w:lang w:eastAsia="sk-SK"/>
              </w:rPr>
              <w:t> </w:t>
            </w:r>
          </w:p>
        </w:tc>
      </w:tr>
      <w:tr w:rsidR="00EA177A" w:rsidRPr="00ED4F60" w14:paraId="7DF89DCA" w14:textId="77777777" w:rsidTr="00C704A7">
        <w:trPr>
          <w:trHeight w:val="345"/>
        </w:trPr>
        <w:tc>
          <w:tcPr>
            <w:tcW w:w="3119" w:type="dxa"/>
            <w:tcBorders>
              <w:top w:val="nil"/>
              <w:left w:val="nil"/>
              <w:bottom w:val="single" w:sz="8" w:space="0" w:color="auto"/>
              <w:right w:val="nil"/>
            </w:tcBorders>
            <w:shd w:val="clear" w:color="auto" w:fill="auto"/>
            <w:vAlign w:val="center"/>
            <w:hideMark/>
          </w:tcPr>
          <w:p w14:paraId="122D8438" w14:textId="77777777" w:rsidR="00EA177A" w:rsidRPr="00ED4F60" w:rsidRDefault="00EA177A" w:rsidP="00C704A7">
            <w:pPr>
              <w:spacing w:after="0" w:line="240" w:lineRule="auto"/>
              <w:jc w:val="left"/>
              <w:rPr>
                <w:rFonts w:eastAsia="Times New Roman" w:cs="Times New Roman"/>
                <w:b/>
                <w:bCs/>
                <w:sz w:val="18"/>
                <w:szCs w:val="18"/>
                <w:lang w:eastAsia="sk-SK"/>
              </w:rPr>
            </w:pPr>
            <w:r w:rsidRPr="00ED4F60">
              <w:rPr>
                <w:rFonts w:eastAsia="Times New Roman" w:cs="Times New Roman"/>
                <w:b/>
                <w:bCs/>
                <w:sz w:val="18"/>
                <w:szCs w:val="18"/>
                <w:lang w:eastAsia="sk-SK"/>
              </w:rPr>
              <w:t>Spolu</w:t>
            </w:r>
          </w:p>
        </w:tc>
        <w:tc>
          <w:tcPr>
            <w:tcW w:w="956" w:type="dxa"/>
            <w:tcBorders>
              <w:top w:val="nil"/>
              <w:left w:val="nil"/>
              <w:bottom w:val="single" w:sz="8" w:space="0" w:color="auto"/>
              <w:right w:val="nil"/>
            </w:tcBorders>
            <w:shd w:val="clear" w:color="auto" w:fill="auto"/>
            <w:noWrap/>
            <w:vAlign w:val="center"/>
            <w:hideMark/>
          </w:tcPr>
          <w:p w14:paraId="77360AC4" w14:textId="77777777" w:rsidR="00EA177A" w:rsidRPr="00ED4F60" w:rsidRDefault="00EA177A" w:rsidP="00C704A7">
            <w:pPr>
              <w:spacing w:after="0" w:line="240" w:lineRule="auto"/>
              <w:jc w:val="right"/>
              <w:rPr>
                <w:rFonts w:eastAsia="Times New Roman" w:cs="Times New Roman"/>
                <w:b/>
                <w:bCs/>
                <w:sz w:val="18"/>
                <w:szCs w:val="18"/>
                <w:lang w:eastAsia="sk-SK"/>
              </w:rPr>
            </w:pPr>
            <w:r w:rsidRPr="00ED4F60">
              <w:rPr>
                <w:rFonts w:eastAsia="Times New Roman" w:cs="Times New Roman"/>
                <w:b/>
                <w:bCs/>
                <w:sz w:val="18"/>
                <w:szCs w:val="18"/>
                <w:lang w:eastAsia="sk-SK"/>
              </w:rPr>
              <w:t>13 681 468</w:t>
            </w:r>
          </w:p>
        </w:tc>
        <w:tc>
          <w:tcPr>
            <w:tcW w:w="956" w:type="dxa"/>
            <w:tcBorders>
              <w:top w:val="nil"/>
              <w:left w:val="nil"/>
              <w:bottom w:val="single" w:sz="8" w:space="0" w:color="auto"/>
              <w:right w:val="nil"/>
            </w:tcBorders>
            <w:shd w:val="clear" w:color="auto" w:fill="auto"/>
            <w:noWrap/>
            <w:vAlign w:val="center"/>
            <w:hideMark/>
          </w:tcPr>
          <w:p w14:paraId="6F480AC5" w14:textId="77777777" w:rsidR="00EA177A" w:rsidRPr="00ED4F60" w:rsidRDefault="00EA177A" w:rsidP="00C704A7">
            <w:pPr>
              <w:spacing w:after="0" w:line="240" w:lineRule="auto"/>
              <w:jc w:val="right"/>
              <w:rPr>
                <w:rFonts w:eastAsia="Times New Roman" w:cs="Times New Roman"/>
                <w:b/>
                <w:bCs/>
                <w:sz w:val="18"/>
                <w:szCs w:val="18"/>
                <w:lang w:eastAsia="sk-SK"/>
              </w:rPr>
            </w:pPr>
            <w:r w:rsidRPr="00ED4F60">
              <w:rPr>
                <w:rFonts w:eastAsia="Times New Roman" w:cs="Times New Roman"/>
                <w:b/>
                <w:bCs/>
                <w:sz w:val="18"/>
                <w:szCs w:val="18"/>
                <w:lang w:eastAsia="sk-SK"/>
              </w:rPr>
              <w:t>14 160 931</w:t>
            </w:r>
          </w:p>
        </w:tc>
        <w:tc>
          <w:tcPr>
            <w:tcW w:w="956" w:type="dxa"/>
            <w:tcBorders>
              <w:top w:val="nil"/>
              <w:left w:val="nil"/>
              <w:bottom w:val="single" w:sz="8" w:space="0" w:color="auto"/>
              <w:right w:val="nil"/>
            </w:tcBorders>
            <w:shd w:val="clear" w:color="auto" w:fill="auto"/>
            <w:noWrap/>
            <w:vAlign w:val="center"/>
            <w:hideMark/>
          </w:tcPr>
          <w:p w14:paraId="39D2144A" w14:textId="77777777" w:rsidR="00EA177A" w:rsidRPr="00ED4F60" w:rsidRDefault="00EA177A" w:rsidP="00C704A7">
            <w:pPr>
              <w:spacing w:after="0" w:line="240" w:lineRule="auto"/>
              <w:jc w:val="right"/>
              <w:rPr>
                <w:rFonts w:eastAsia="Times New Roman" w:cs="Times New Roman"/>
                <w:b/>
                <w:bCs/>
                <w:sz w:val="18"/>
                <w:szCs w:val="18"/>
                <w:lang w:eastAsia="sk-SK"/>
              </w:rPr>
            </w:pPr>
            <w:r w:rsidRPr="00ED4F60">
              <w:rPr>
                <w:rFonts w:eastAsia="Times New Roman" w:cs="Times New Roman"/>
                <w:b/>
                <w:bCs/>
                <w:sz w:val="18"/>
                <w:szCs w:val="18"/>
                <w:lang w:eastAsia="sk-SK"/>
              </w:rPr>
              <w:t>15 250 323</w:t>
            </w:r>
          </w:p>
        </w:tc>
        <w:tc>
          <w:tcPr>
            <w:tcW w:w="1042" w:type="dxa"/>
            <w:tcBorders>
              <w:top w:val="nil"/>
              <w:left w:val="nil"/>
              <w:bottom w:val="single" w:sz="8" w:space="0" w:color="auto"/>
              <w:right w:val="nil"/>
            </w:tcBorders>
            <w:shd w:val="clear" w:color="000000" w:fill="BFBFBF"/>
            <w:noWrap/>
            <w:vAlign w:val="center"/>
            <w:hideMark/>
          </w:tcPr>
          <w:p w14:paraId="4B6123F0" w14:textId="77777777" w:rsidR="00EA177A" w:rsidRPr="00ED4F60" w:rsidRDefault="00EA177A" w:rsidP="00C704A7">
            <w:pPr>
              <w:spacing w:after="0" w:line="240" w:lineRule="auto"/>
              <w:jc w:val="right"/>
              <w:rPr>
                <w:rFonts w:eastAsia="Times New Roman" w:cs="Times New Roman"/>
                <w:b/>
                <w:bCs/>
                <w:sz w:val="18"/>
                <w:szCs w:val="18"/>
                <w:lang w:eastAsia="sk-SK"/>
              </w:rPr>
            </w:pPr>
            <w:r w:rsidRPr="00ED4F60">
              <w:rPr>
                <w:rFonts w:eastAsia="Times New Roman" w:cs="Times New Roman"/>
                <w:b/>
                <w:bCs/>
                <w:sz w:val="18"/>
                <w:szCs w:val="18"/>
                <w:lang w:eastAsia="sk-SK"/>
              </w:rPr>
              <w:t>15 168 066</w:t>
            </w:r>
          </w:p>
        </w:tc>
        <w:tc>
          <w:tcPr>
            <w:tcW w:w="791" w:type="dxa"/>
            <w:tcBorders>
              <w:top w:val="nil"/>
              <w:left w:val="nil"/>
              <w:bottom w:val="single" w:sz="8" w:space="0" w:color="auto"/>
              <w:right w:val="nil"/>
            </w:tcBorders>
            <w:shd w:val="clear" w:color="auto" w:fill="auto"/>
            <w:noWrap/>
            <w:vAlign w:val="center"/>
            <w:hideMark/>
          </w:tcPr>
          <w:p w14:paraId="68AC8BD9" w14:textId="77777777" w:rsidR="00EA177A" w:rsidRPr="00ED4F60" w:rsidRDefault="00EA177A" w:rsidP="00C704A7">
            <w:pPr>
              <w:spacing w:after="0" w:line="240" w:lineRule="auto"/>
              <w:jc w:val="right"/>
              <w:rPr>
                <w:rFonts w:eastAsia="Times New Roman" w:cs="Times New Roman"/>
                <w:b/>
                <w:bCs/>
                <w:sz w:val="18"/>
                <w:szCs w:val="18"/>
                <w:lang w:eastAsia="sk-SK"/>
              </w:rPr>
            </w:pPr>
            <w:r w:rsidRPr="00ED4F60">
              <w:rPr>
                <w:rFonts w:eastAsia="Times New Roman" w:cs="Times New Roman"/>
                <w:b/>
                <w:bCs/>
                <w:sz w:val="18"/>
                <w:szCs w:val="18"/>
                <w:lang w:eastAsia="sk-SK"/>
              </w:rPr>
              <w:t>-82 257</w:t>
            </w:r>
          </w:p>
        </w:tc>
        <w:tc>
          <w:tcPr>
            <w:tcW w:w="685" w:type="dxa"/>
            <w:tcBorders>
              <w:top w:val="nil"/>
              <w:left w:val="nil"/>
              <w:bottom w:val="single" w:sz="8" w:space="0" w:color="auto"/>
              <w:right w:val="nil"/>
            </w:tcBorders>
            <w:shd w:val="clear" w:color="auto" w:fill="auto"/>
            <w:noWrap/>
            <w:vAlign w:val="center"/>
            <w:hideMark/>
          </w:tcPr>
          <w:p w14:paraId="3E7DDF9F" w14:textId="77777777" w:rsidR="00EA177A" w:rsidRPr="00ED4F60" w:rsidRDefault="00EA177A" w:rsidP="00C704A7">
            <w:pPr>
              <w:spacing w:after="0" w:line="240" w:lineRule="auto"/>
              <w:jc w:val="right"/>
              <w:rPr>
                <w:rFonts w:eastAsia="Times New Roman" w:cs="Times New Roman"/>
                <w:b/>
                <w:bCs/>
                <w:sz w:val="18"/>
                <w:szCs w:val="18"/>
                <w:lang w:eastAsia="sk-SK"/>
              </w:rPr>
            </w:pPr>
            <w:r w:rsidRPr="00ED4F60">
              <w:rPr>
                <w:rFonts w:eastAsia="Times New Roman" w:cs="Times New Roman"/>
                <w:b/>
                <w:bCs/>
                <w:sz w:val="18"/>
                <w:szCs w:val="18"/>
                <w:lang w:eastAsia="sk-SK"/>
              </w:rPr>
              <w:t>-0,5</w:t>
            </w:r>
          </w:p>
        </w:tc>
      </w:tr>
      <w:tr w:rsidR="00EA177A" w:rsidRPr="00831A19" w14:paraId="48030201" w14:textId="77777777" w:rsidTr="00C704A7">
        <w:trPr>
          <w:trHeight w:val="330"/>
        </w:trPr>
        <w:tc>
          <w:tcPr>
            <w:tcW w:w="3119" w:type="dxa"/>
            <w:tcBorders>
              <w:top w:val="nil"/>
              <w:left w:val="nil"/>
              <w:bottom w:val="nil"/>
              <w:right w:val="nil"/>
            </w:tcBorders>
            <w:shd w:val="clear" w:color="auto" w:fill="auto"/>
            <w:noWrap/>
            <w:vAlign w:val="bottom"/>
            <w:hideMark/>
          </w:tcPr>
          <w:p w14:paraId="45CA5614" w14:textId="77777777" w:rsidR="00EA177A" w:rsidRPr="00831A19" w:rsidRDefault="00EA177A" w:rsidP="00C704A7">
            <w:pPr>
              <w:spacing w:after="0" w:line="240" w:lineRule="auto"/>
              <w:ind w:hanging="8"/>
              <w:jc w:val="right"/>
              <w:rPr>
                <w:rFonts w:eastAsia="Times New Roman" w:cs="Times New Roman"/>
                <w:sz w:val="18"/>
                <w:szCs w:val="18"/>
                <w:lang w:eastAsia="sk-SK"/>
              </w:rPr>
            </w:pPr>
          </w:p>
        </w:tc>
        <w:tc>
          <w:tcPr>
            <w:tcW w:w="956" w:type="dxa"/>
            <w:tcBorders>
              <w:top w:val="nil"/>
              <w:left w:val="nil"/>
              <w:bottom w:val="nil"/>
              <w:right w:val="nil"/>
            </w:tcBorders>
            <w:shd w:val="clear" w:color="auto" w:fill="auto"/>
            <w:noWrap/>
            <w:vAlign w:val="bottom"/>
            <w:hideMark/>
          </w:tcPr>
          <w:p w14:paraId="7E55154E" w14:textId="77777777" w:rsidR="00EA177A" w:rsidRPr="00831A19" w:rsidRDefault="00EA177A" w:rsidP="00C704A7">
            <w:pPr>
              <w:spacing w:after="0" w:line="240" w:lineRule="auto"/>
              <w:ind w:hanging="8"/>
              <w:jc w:val="right"/>
              <w:rPr>
                <w:rFonts w:eastAsia="Times New Roman" w:cs="Times New Roman"/>
                <w:sz w:val="18"/>
                <w:szCs w:val="18"/>
                <w:lang w:eastAsia="sk-SK"/>
              </w:rPr>
            </w:pPr>
          </w:p>
        </w:tc>
        <w:tc>
          <w:tcPr>
            <w:tcW w:w="956" w:type="dxa"/>
            <w:tcBorders>
              <w:top w:val="nil"/>
              <w:left w:val="nil"/>
              <w:bottom w:val="nil"/>
              <w:right w:val="nil"/>
            </w:tcBorders>
            <w:shd w:val="clear" w:color="auto" w:fill="auto"/>
            <w:noWrap/>
            <w:vAlign w:val="bottom"/>
            <w:hideMark/>
          </w:tcPr>
          <w:p w14:paraId="211F3B96" w14:textId="77777777" w:rsidR="00EA177A" w:rsidRPr="00831A19" w:rsidRDefault="00EA177A" w:rsidP="00C704A7">
            <w:pPr>
              <w:spacing w:after="0" w:line="240" w:lineRule="auto"/>
              <w:ind w:hanging="8"/>
              <w:jc w:val="right"/>
              <w:rPr>
                <w:rFonts w:eastAsia="Times New Roman" w:cs="Times New Roman"/>
                <w:sz w:val="18"/>
                <w:szCs w:val="18"/>
                <w:lang w:eastAsia="sk-SK"/>
              </w:rPr>
            </w:pPr>
          </w:p>
        </w:tc>
        <w:tc>
          <w:tcPr>
            <w:tcW w:w="3474" w:type="dxa"/>
            <w:gridSpan w:val="4"/>
            <w:tcBorders>
              <w:top w:val="nil"/>
              <w:left w:val="nil"/>
              <w:bottom w:val="nil"/>
              <w:right w:val="nil"/>
            </w:tcBorders>
            <w:shd w:val="clear" w:color="auto" w:fill="auto"/>
            <w:noWrap/>
            <w:vAlign w:val="bottom"/>
            <w:hideMark/>
          </w:tcPr>
          <w:p w14:paraId="463DB2D9" w14:textId="77777777" w:rsidR="00EA177A" w:rsidRPr="00831A19" w:rsidRDefault="00EA177A" w:rsidP="00C704A7">
            <w:pPr>
              <w:spacing w:after="0" w:line="240" w:lineRule="auto"/>
              <w:ind w:hanging="8"/>
              <w:jc w:val="right"/>
              <w:rPr>
                <w:rFonts w:eastAsia="Times New Roman" w:cs="Times New Roman"/>
                <w:sz w:val="18"/>
                <w:szCs w:val="18"/>
                <w:lang w:eastAsia="sk-SK"/>
              </w:rPr>
            </w:pPr>
            <w:r w:rsidRPr="00831A19">
              <w:rPr>
                <w:rFonts w:eastAsia="Times New Roman" w:cs="Times New Roman"/>
                <w:sz w:val="18"/>
                <w:szCs w:val="18"/>
                <w:lang w:eastAsia="sk-SK"/>
              </w:rPr>
              <w:t>Zdroj: MF SR</w:t>
            </w:r>
          </w:p>
        </w:tc>
      </w:tr>
    </w:tbl>
    <w:p w14:paraId="3670ABAB" w14:textId="77777777" w:rsidR="00EA177A" w:rsidRPr="00CB7FB2" w:rsidRDefault="00EA177A" w:rsidP="00EA177A">
      <w:pPr>
        <w:pStyle w:val="Odsekzoznamu"/>
        <w:numPr>
          <w:ilvl w:val="0"/>
          <w:numId w:val="32"/>
        </w:numPr>
        <w:spacing w:before="120" w:after="120" w:line="360" w:lineRule="auto"/>
        <w:ind w:left="714" w:hanging="357"/>
        <w:rPr>
          <w:rFonts w:ascii="Times New Roman" w:hAnsi="Times New Roman"/>
        </w:rPr>
      </w:pPr>
      <w:r w:rsidRPr="00475BF9">
        <w:rPr>
          <w:rFonts w:ascii="Times New Roman" w:hAnsi="Times New Roman"/>
          <w:b/>
        </w:rPr>
        <w:t>Výdavky na mzdy, platy, služobné príjmy a ostatn</w:t>
      </w:r>
      <w:r w:rsidRPr="00CB7FB2">
        <w:rPr>
          <w:rFonts w:ascii="Times New Roman" w:hAnsi="Times New Roman"/>
          <w:b/>
        </w:rPr>
        <w:t>é osobné vyrovnania</w:t>
      </w:r>
    </w:p>
    <w:p w14:paraId="1B7687A7" w14:textId="77777777" w:rsidR="00EA177A" w:rsidRPr="00475BF9" w:rsidRDefault="00EA177A" w:rsidP="00EA177A">
      <w:pPr>
        <w:rPr>
          <w:rFonts w:cs="Times New Roman"/>
        </w:rPr>
      </w:pPr>
      <w:r w:rsidRPr="005C2029">
        <w:rPr>
          <w:rFonts w:cs="Times New Roman"/>
        </w:rPr>
        <w:t xml:space="preserve">Zákon o štátnom rozpočte na rok 2019 stanovil pre zamestnancov rozpočtových organizácií kapitol štátneho rozpočtu </w:t>
      </w:r>
      <w:r>
        <w:rPr>
          <w:rFonts w:cs="Times New Roman"/>
          <w:b/>
        </w:rPr>
        <w:t>limit výdavkov na mzdy, platy, služobné príjmy a ostatné osobné vyrovnania</w:t>
      </w:r>
      <w:r>
        <w:rPr>
          <w:rFonts w:cs="Times New Roman"/>
        </w:rPr>
        <w:t xml:space="preserve"> (OOV) ako záväzný ukazovateľ </w:t>
      </w:r>
      <w:r>
        <w:rPr>
          <w:rFonts w:cs="Times New Roman"/>
          <w:b/>
        </w:rPr>
        <w:t xml:space="preserve">z kódu 111 </w:t>
      </w:r>
      <w:r>
        <w:rPr>
          <w:rFonts w:cs="Times New Roman"/>
        </w:rPr>
        <w:t xml:space="preserve">(zdroj štátneho rozpočtu) a 11H (transfery od ostatných subjektov verejnej správy) v úhrnnej sume 2 221 695 tis. </w:t>
      </w:r>
      <w:r w:rsidRPr="000D1184">
        <w:rPr>
          <w:rFonts w:cs="Times New Roman"/>
        </w:rPr>
        <w:t>eur. V priebehu</w:t>
      </w:r>
      <w:r>
        <w:rPr>
          <w:rFonts w:cs="Times New Roman"/>
        </w:rPr>
        <w:t xml:space="preserve"> roka bol rozpočet výdavkov na mzdy, platy, služobné príjmy a OOV na zdroji 111 zvýšený o 13 053 tis. eur a celkovo sa vyčerpalo 2 232 764 tis. eur. Okrem zdroja 111 boli výdavky na mzdy, platy, služobné príjmy a OOV upravené z iných zdrojov (72d, 72g a 72h) úhrnom o 103 tis. eur. Z upraveného limitu výdavkov na mzdy a platy na všetkých zdrojoch (111, 72d, 72g a 72h) sa skutočne použilo 2 232 868 tis. eur. </w:t>
      </w:r>
    </w:p>
    <w:p w14:paraId="2D3EE4EA" w14:textId="77777777" w:rsidR="00EA177A" w:rsidRPr="00CB7FB2" w:rsidRDefault="00EA177A" w:rsidP="00EA177A">
      <w:pPr>
        <w:rPr>
          <w:rFonts w:cs="Times New Roman"/>
          <w:b/>
        </w:rPr>
      </w:pPr>
      <w:r>
        <w:rPr>
          <w:rFonts w:cs="Times New Roman"/>
          <w:b/>
        </w:rPr>
        <w:t>V skutočnosti bolo na</w:t>
      </w:r>
      <w:r>
        <w:rPr>
          <w:rFonts w:cs="Times New Roman"/>
        </w:rPr>
        <w:t xml:space="preserve"> </w:t>
      </w:r>
      <w:r>
        <w:rPr>
          <w:rFonts w:cs="Times New Roman"/>
          <w:b/>
        </w:rPr>
        <w:t>mzdy, platy, služobné príjmy a ostatné osobné vyrovnania zamestnancov rozpočtových organizácií kapitol štátneho rozpočtu za všetky zdroje vynaložených 2 322 962 tis. eur, čo je o 101 267 tis. eur viac ako stanovil pôvodný rozpočet a o 296 902 tis. eur viac než v roku 2018.</w:t>
      </w:r>
    </w:p>
    <w:p w14:paraId="60E0B747" w14:textId="77777777" w:rsidR="00EA177A" w:rsidRPr="00CB7FB2" w:rsidRDefault="00EA177A" w:rsidP="00EA177A">
      <w:pPr>
        <w:rPr>
          <w:rFonts w:cs="Times New Roman"/>
        </w:rPr>
      </w:pPr>
      <w:r>
        <w:rPr>
          <w:rFonts w:cs="Times New Roman"/>
        </w:rPr>
        <w:t>Z prostriedkov štátneho rozpočtu zo zdroja 111 boli na mzdy, platy, služobné príjmy a OOV zamestnancov vyčerpané finančné prostriedky v sume 2 232 764 tis. eur. Na zdrojoch 111, 72d, 72g a 72h boli v súhrne vyplatené mzdy na úrovni 2 232 868 tis. eur. Z iných zdrojov ako vyššie uvedených boli vyčerpané finančné prostriedky v sume 90 094 tis. eur (t. j. z prostriedkov EÚ a prostriedkov na spolufinancovanie zo štátneho rozpočtu).</w:t>
      </w:r>
    </w:p>
    <w:p w14:paraId="27E40991" w14:textId="77777777" w:rsidR="00EA177A" w:rsidRPr="00CB7FB2" w:rsidRDefault="00EA177A" w:rsidP="00EA177A">
      <w:pPr>
        <w:rPr>
          <w:rFonts w:cs="Times New Roman"/>
        </w:rPr>
      </w:pPr>
      <w:r>
        <w:rPr>
          <w:rFonts w:cs="Times New Roman"/>
        </w:rPr>
        <w:t xml:space="preserve">V rámci skutočne vyčerpaných výdavkov na mzdy a platy v rozpočtových organizáciách kapitol štátneho rozpočtu bola pre 36 493 zamestnancov (29,4 % zo skutočného počtu zamestnancov za rok 2019) vyplatená </w:t>
      </w:r>
      <w:r w:rsidRPr="00D70233">
        <w:rPr>
          <w:rFonts w:cs="Times New Roman"/>
          <w:u w:val="single"/>
        </w:rPr>
        <w:t>odmena pri príležitosti letnej dovolenky</w:t>
      </w:r>
      <w:r>
        <w:rPr>
          <w:rFonts w:cs="Times New Roman"/>
        </w:rPr>
        <w:t xml:space="preserve"> v sume 22 514 tis. eur (medziročne </w:t>
      </w:r>
      <w:r w:rsidRPr="00CB7FB2">
        <w:rPr>
          <w:rFonts w:cs="Times New Roman"/>
        </w:rPr>
        <w:t>o</w:t>
      </w:r>
      <w:r w:rsidRPr="00C21BCB">
        <w:rPr>
          <w:rFonts w:cs="Times New Roman"/>
        </w:rPr>
        <w:t xml:space="preserve"> 9 584 tis. eur viac). </w:t>
      </w:r>
      <w:r w:rsidRPr="00D70233">
        <w:rPr>
          <w:rFonts w:cs="Times New Roman"/>
          <w:u w:val="single"/>
        </w:rPr>
        <w:t>Pri príležitosti vianočných sviatkov</w:t>
      </w:r>
      <w:r w:rsidRPr="00C21BCB">
        <w:rPr>
          <w:rFonts w:cs="Times New Roman"/>
        </w:rPr>
        <w:t xml:space="preserve"> </w:t>
      </w:r>
      <w:r>
        <w:rPr>
          <w:rFonts w:cs="Times New Roman"/>
        </w:rPr>
        <w:t>bola pre 21 662 osôb (17,4 % zo </w:t>
      </w:r>
      <w:r w:rsidRPr="00C21BCB">
        <w:rPr>
          <w:rFonts w:cs="Times New Roman"/>
        </w:rPr>
        <w:t>skutočného počtu zamestnancov za rok 2019) vyplatená odmena v sume 15</w:t>
      </w:r>
      <w:r w:rsidRPr="005C2029">
        <w:rPr>
          <w:rFonts w:cs="Times New Roman"/>
        </w:rPr>
        <w:t> </w:t>
      </w:r>
      <w:r>
        <w:rPr>
          <w:rFonts w:cs="Times New Roman"/>
        </w:rPr>
        <w:t xml:space="preserve">950 tis. eur (medziročne o 1 736 tis. eur viac). </w:t>
      </w:r>
    </w:p>
    <w:p w14:paraId="724FD34B" w14:textId="77777777" w:rsidR="00EA177A" w:rsidRPr="0058168F" w:rsidRDefault="00EA177A" w:rsidP="00EA177A">
      <w:pPr>
        <w:rPr>
          <w:rFonts w:cs="Times New Roman"/>
        </w:rPr>
      </w:pPr>
      <w:r>
        <w:rPr>
          <w:rFonts w:cs="Times New Roman"/>
        </w:rPr>
        <w:t xml:space="preserve">Limit výdavkov na mzdy, platy, služobné príjmy a OOV bol ako záväzný ukazovateľ na zdroji 111 a 11H dodržaný vo všetkých kapitolách štátneho rozpočtu s výnimkou Úradu podpredsedu vlády SR pre investície a informatizáciu (o 26 tis. eur) a kapitoly Ministerstva školstva, vedy, výskumu a športu SR (o 67 eur). </w:t>
      </w:r>
    </w:p>
    <w:p w14:paraId="7B69D95B" w14:textId="39C5F19A" w:rsidR="00EA177A" w:rsidRDefault="00EA177A" w:rsidP="00EA177A">
      <w:pPr>
        <w:rPr>
          <w:rFonts w:cs="Times New Roman"/>
        </w:rPr>
      </w:pPr>
      <w:r w:rsidRPr="0058168F">
        <w:rPr>
          <w:rFonts w:cs="Times New Roman"/>
        </w:rPr>
        <w:t>Medziročný nárast výdavkov na mzdy, platy, služobné príjmy a </w:t>
      </w:r>
      <w:r>
        <w:rPr>
          <w:rFonts w:cs="Times New Roman"/>
        </w:rPr>
        <w:t>OOV</w:t>
      </w:r>
      <w:r w:rsidRPr="0058168F">
        <w:rPr>
          <w:rFonts w:cs="Times New Roman"/>
        </w:rPr>
        <w:t xml:space="preserve"> zamestnancov rozpočtových organizácií kapitol štátneho rozpočtu ovplyvnila predovšetkým úprava rozpočtu súvisiaca so zvýšením platov štátnych zamestnancov (v štátnozamestnaneckom aj služobnom </w:t>
      </w:r>
      <w:r w:rsidRPr="005C2029">
        <w:rPr>
          <w:rFonts w:cs="Times New Roman"/>
        </w:rPr>
        <w:t>pomere) od 1. januára 2019 o 10 % a zabezpečen</w:t>
      </w:r>
      <w:r>
        <w:rPr>
          <w:rFonts w:cs="Times New Roman"/>
        </w:rPr>
        <w:t>ím novely zákona č. 553/2003 Z. </w:t>
      </w:r>
      <w:r w:rsidRPr="005C2029">
        <w:rPr>
          <w:rFonts w:cs="Times New Roman"/>
        </w:rPr>
        <w:t>z. pre</w:t>
      </w:r>
      <w:r>
        <w:rPr>
          <w:rFonts w:cs="Times New Roman"/>
        </w:rPr>
        <w:t xml:space="preserve"> zamestnancov pri výkone práce vo verejnom záujme od 1. januára 2019 (súhrnne v sume 183 037 tis. eur). V nadväznosti na zverejnenie priemernej mzdy v hospodárstve Slovenskej republiky </w:t>
      </w:r>
      <w:r w:rsidRPr="00D744D2">
        <w:rPr>
          <w:rFonts w:cs="Times New Roman"/>
        </w:rPr>
        <w:t>za rok 2018 Štatistickým úradom Slovenskej republiky boli od 1. januára 2019 zvýšené platy sudcov (o</w:t>
      </w:r>
      <w:r>
        <w:rPr>
          <w:rFonts w:cs="Times New Roman"/>
        </w:rPr>
        <w:t> </w:t>
      </w:r>
      <w:r w:rsidRPr="00D744D2">
        <w:rPr>
          <w:rFonts w:cs="Times New Roman"/>
        </w:rPr>
        <w:t>4</w:t>
      </w:r>
      <w:r>
        <w:rPr>
          <w:rFonts w:cs="Times New Roman"/>
        </w:rPr>
        <w:t> </w:t>
      </w:r>
      <w:r w:rsidRPr="00D744D2">
        <w:rPr>
          <w:rFonts w:cs="Times New Roman"/>
        </w:rPr>
        <w:t>693</w:t>
      </w:r>
      <w:r>
        <w:rPr>
          <w:rFonts w:cs="Times New Roman"/>
        </w:rPr>
        <w:t> </w:t>
      </w:r>
      <w:r w:rsidRPr="00D744D2">
        <w:rPr>
          <w:rFonts w:cs="Times New Roman"/>
        </w:rPr>
        <w:t>tis.</w:t>
      </w:r>
      <w:r>
        <w:rPr>
          <w:rFonts w:cs="Times New Roman"/>
        </w:rPr>
        <w:t> </w:t>
      </w:r>
      <w:r w:rsidRPr="00D744D2">
        <w:rPr>
          <w:rFonts w:cs="Times New Roman"/>
        </w:rPr>
        <w:t>eur), prokurátorov (o</w:t>
      </w:r>
      <w:r>
        <w:rPr>
          <w:rFonts w:cs="Times New Roman"/>
        </w:rPr>
        <w:t> </w:t>
      </w:r>
      <w:r w:rsidRPr="00D744D2">
        <w:rPr>
          <w:rFonts w:cs="Times New Roman"/>
        </w:rPr>
        <w:t>2</w:t>
      </w:r>
      <w:r>
        <w:rPr>
          <w:rFonts w:cs="Times New Roman"/>
        </w:rPr>
        <w:t> </w:t>
      </w:r>
      <w:r w:rsidRPr="00D744D2">
        <w:rPr>
          <w:rFonts w:cs="Times New Roman"/>
        </w:rPr>
        <w:t>910</w:t>
      </w:r>
      <w:r>
        <w:rPr>
          <w:rFonts w:cs="Times New Roman"/>
        </w:rPr>
        <w:t> tis. eur), ústavných sudcov (o 24 </w:t>
      </w:r>
      <w:r w:rsidRPr="00D744D2">
        <w:rPr>
          <w:rFonts w:cs="Times New Roman"/>
        </w:rPr>
        <w:t>tis.</w:t>
      </w:r>
      <w:r>
        <w:rPr>
          <w:rFonts w:cs="Times New Roman"/>
        </w:rPr>
        <w:t> </w:t>
      </w:r>
      <w:r w:rsidRPr="00D744D2">
        <w:rPr>
          <w:rFonts w:cs="Times New Roman"/>
        </w:rPr>
        <w:t xml:space="preserve">eur) a ústavných činiteľov, štátnych zamestnancov vo verejnej funkcii v služobnom úrade, ktorým je ministerstvo, vedúcich ostatných ústredných orgánov štátnej správy a členov rady (4 032 tis. eur). Za účelom uplatnenia ustanovení o realizácii </w:t>
      </w:r>
      <w:r w:rsidRPr="00EC0C07">
        <w:rPr>
          <w:rFonts w:cs="Times New Roman"/>
        </w:rPr>
        <w:t>odmien pri príležitosti obdobia letných dovoleniek a pri príležitosti vianočných sviatkov boli výdavky na mzdy a platy zamestnancov v štátnej službe (v štátnozamestnaneckom aj služobnom pomere)</w:t>
      </w:r>
      <w:r w:rsidRPr="00D744D2">
        <w:rPr>
          <w:rFonts w:cs="Times New Roman"/>
        </w:rPr>
        <w:t xml:space="preserve"> a zamestnancov pri výkone práce vo v</w:t>
      </w:r>
      <w:r>
        <w:rPr>
          <w:rFonts w:cs="Times New Roman"/>
        </w:rPr>
        <w:t>erejnom záujme zvýšené o 20 936 tis. </w:t>
      </w:r>
      <w:r w:rsidRPr="00D744D2">
        <w:rPr>
          <w:rFonts w:cs="Times New Roman"/>
        </w:rPr>
        <w:t xml:space="preserve">eur, z toho v kapitole Ministerstva obrany SR o 19 782 tis. eur, v kapitole Ministerstva pôdohospodárstva a rozvoja vidieka SR o 680 tis. eur a v kapitole Ministerstva školstva, vedy, výskumu a športu SR o 474 tis. eur. </w:t>
      </w:r>
      <w:r w:rsidR="005D4E21" w:rsidRPr="005D4E21">
        <w:rPr>
          <w:rFonts w:cs="Times New Roman"/>
          <w:bCs/>
        </w:rPr>
        <w:t>V kapitole Ministerstva obrany SR boli profesionálnym vojakom v rámci kategórie 611 Tarifný plat, osobný plat, základný plat, funkčný plat, hodnostný plat, vrátane ich náhrad</w:t>
      </w:r>
      <w:r w:rsidR="00104953">
        <w:rPr>
          <w:rFonts w:cs="Times New Roman"/>
          <w:bCs/>
        </w:rPr>
        <w:t>,</w:t>
      </w:r>
      <w:r w:rsidR="005D4E21" w:rsidRPr="005D4E21">
        <w:rPr>
          <w:rFonts w:cs="Times New Roman"/>
          <w:bCs/>
        </w:rPr>
        <w:t xml:space="preserve"> vyplatené </w:t>
      </w:r>
      <w:r w:rsidR="00F97C6B">
        <w:rPr>
          <w:rFonts w:cs="Times New Roman"/>
          <w:bCs/>
        </w:rPr>
        <w:t>m</w:t>
      </w:r>
      <w:r w:rsidR="005D4E21" w:rsidRPr="005D4E21">
        <w:rPr>
          <w:rFonts w:cs="Times New Roman"/>
          <w:bCs/>
        </w:rPr>
        <w:t>zdy pri príležitosti obdobia letných dovoleniek v sume 9 901 023,98 eur a mzdy pri príležitosti vianočných sviatkov</w:t>
      </w:r>
      <w:r w:rsidR="00F97C6B">
        <w:rPr>
          <w:rFonts w:cs="Times New Roman"/>
          <w:bCs/>
        </w:rPr>
        <w:t xml:space="preserve"> v sume</w:t>
      </w:r>
      <w:r w:rsidR="00F97C6B">
        <w:rPr>
          <w:rFonts w:cs="Times New Roman"/>
          <w:bCs/>
        </w:rPr>
        <w:br/>
      </w:r>
      <w:r w:rsidR="005D4E21" w:rsidRPr="005D4E21">
        <w:rPr>
          <w:rFonts w:cs="Times New Roman"/>
          <w:bCs/>
        </w:rPr>
        <w:t>10 079 366,44 eur.</w:t>
      </w:r>
    </w:p>
    <w:p w14:paraId="26C474AB" w14:textId="667A7041" w:rsidR="00EA177A" w:rsidRPr="00634D36" w:rsidRDefault="00EA177A" w:rsidP="00EA177A">
      <w:pPr>
        <w:rPr>
          <w:rFonts w:cs="Times New Roman"/>
        </w:rPr>
      </w:pPr>
      <w:r w:rsidRPr="00D744D2">
        <w:rPr>
          <w:rFonts w:cs="Times New Roman"/>
        </w:rPr>
        <w:t xml:space="preserve">Na realizáciu nových zákonných úprav boli na mzdy a platy uvoľnené finančné prostriedky v sume </w:t>
      </w:r>
      <w:r>
        <w:rPr>
          <w:rFonts w:cs="Times New Roman"/>
        </w:rPr>
        <w:t>13 187 tis. eur (napr. zákon č. </w:t>
      </w:r>
      <w:r w:rsidRPr="00D744D2">
        <w:rPr>
          <w:rFonts w:cs="Times New Roman"/>
        </w:rPr>
        <w:t xml:space="preserve">171/1993 Z. </w:t>
      </w:r>
      <w:r>
        <w:rPr>
          <w:rFonts w:cs="Times New Roman"/>
        </w:rPr>
        <w:t>z. o Policajnom zbore SR, zákon</w:t>
      </w:r>
      <w:r>
        <w:rPr>
          <w:rFonts w:cs="Times New Roman"/>
        </w:rPr>
        <w:br/>
      </w:r>
      <w:r w:rsidRPr="00D744D2">
        <w:rPr>
          <w:rFonts w:cs="Times New Roman"/>
        </w:rPr>
        <w:t>č. 138/2019 Z. z. o pedagogických zamestnancoch a</w:t>
      </w:r>
      <w:r>
        <w:rPr>
          <w:rFonts w:cs="Times New Roman"/>
        </w:rPr>
        <w:t> odborných zamestnancoch, zákon</w:t>
      </w:r>
      <w:r>
        <w:rPr>
          <w:rFonts w:cs="Times New Roman"/>
        </w:rPr>
        <w:br/>
      </w:r>
      <w:r w:rsidRPr="00D744D2">
        <w:rPr>
          <w:rFonts w:cs="Times New Roman"/>
        </w:rPr>
        <w:t>č. 224/2019 Z. z., ktorým sa mení a dopĺňa zákon č. 553/2003 Z. z. o odmeňovaní niektorých zamestnancov pri výkone práce vo verejnom záujme, zákon č. 69/2018 Z. z. o kybernetickej bezpečnosti, zákon č. 177/2018 Z. z. o niektorých opatreniach na znižovanie administratívnej záťaže využívaním informačných systémov verejnej správy, zákon č. 95/2019 Z. z. o informačných technológiách vo verejnej správe a</w:t>
      </w:r>
      <w:r>
        <w:rPr>
          <w:rFonts w:cs="Times New Roman"/>
        </w:rPr>
        <w:t> </w:t>
      </w:r>
      <w:r w:rsidRPr="00D744D2">
        <w:rPr>
          <w:rFonts w:cs="Times New Roman"/>
        </w:rPr>
        <w:t>pod</w:t>
      </w:r>
      <w:r>
        <w:rPr>
          <w:rFonts w:cs="Times New Roman"/>
        </w:rPr>
        <w:t>.</w:t>
      </w:r>
      <w:r w:rsidRPr="00D744D2">
        <w:rPr>
          <w:rFonts w:cs="Times New Roman"/>
        </w:rPr>
        <w:t xml:space="preserve">). Za účelom </w:t>
      </w:r>
      <w:r w:rsidRPr="00866C3A">
        <w:rPr>
          <w:rFonts w:cs="Times New Roman"/>
        </w:rPr>
        <w:t>zlepšenia odmeňovania zamestnancov boli výdavky na mzdy a platy v priebehu roka zvýšené o 6</w:t>
      </w:r>
      <w:r>
        <w:rPr>
          <w:rFonts w:cs="Times New Roman"/>
        </w:rPr>
        <w:t> </w:t>
      </w:r>
      <w:r w:rsidRPr="00866C3A">
        <w:rPr>
          <w:rFonts w:cs="Times New Roman"/>
        </w:rPr>
        <w:t>969</w:t>
      </w:r>
      <w:r>
        <w:rPr>
          <w:rFonts w:cs="Times New Roman"/>
        </w:rPr>
        <w:t> </w:t>
      </w:r>
      <w:r w:rsidRPr="00866C3A">
        <w:rPr>
          <w:rFonts w:cs="Times New Roman"/>
        </w:rPr>
        <w:t>tis.</w:t>
      </w:r>
      <w:r>
        <w:rPr>
          <w:rFonts w:cs="Times New Roman"/>
        </w:rPr>
        <w:t> </w:t>
      </w:r>
      <w:r w:rsidRPr="00866C3A">
        <w:rPr>
          <w:rFonts w:cs="Times New Roman"/>
        </w:rPr>
        <w:t>eur, z toho najviac (o 4</w:t>
      </w:r>
      <w:r>
        <w:rPr>
          <w:rFonts w:cs="Times New Roman"/>
        </w:rPr>
        <w:t> </w:t>
      </w:r>
      <w:r w:rsidRPr="00866C3A">
        <w:rPr>
          <w:rFonts w:cs="Times New Roman"/>
        </w:rPr>
        <w:t>647</w:t>
      </w:r>
      <w:r>
        <w:rPr>
          <w:rFonts w:cs="Times New Roman"/>
        </w:rPr>
        <w:t> </w:t>
      </w:r>
      <w:r w:rsidRPr="00866C3A">
        <w:rPr>
          <w:rFonts w:cs="Times New Roman"/>
        </w:rPr>
        <w:t>tis.</w:t>
      </w:r>
      <w:r>
        <w:rPr>
          <w:rFonts w:cs="Times New Roman"/>
        </w:rPr>
        <w:t xml:space="preserve"> </w:t>
      </w:r>
      <w:r w:rsidRPr="00866C3A">
        <w:rPr>
          <w:rFonts w:cs="Times New Roman"/>
        </w:rPr>
        <w:t xml:space="preserve">eur) v kapitole Ministerstva práce, sociálnych vecí a rodiny </w:t>
      </w:r>
      <w:r>
        <w:rPr>
          <w:rFonts w:cs="Times New Roman"/>
        </w:rPr>
        <w:t xml:space="preserve">SR </w:t>
      </w:r>
      <w:r w:rsidRPr="00634D36">
        <w:rPr>
          <w:rFonts w:cs="Times New Roman"/>
        </w:rPr>
        <w:t>pre</w:t>
      </w:r>
      <w:r>
        <w:rPr>
          <w:rFonts w:cs="Times New Roman"/>
        </w:rPr>
        <w:t xml:space="preserve"> </w:t>
      </w:r>
      <w:r w:rsidRPr="00634D36">
        <w:rPr>
          <w:rFonts w:cs="Times New Roman"/>
        </w:rPr>
        <w:t>zamestnancov úradov práce a centier pre deti</w:t>
      </w:r>
      <w:r>
        <w:rPr>
          <w:rFonts w:cs="Times New Roman"/>
        </w:rPr>
        <w:t xml:space="preserve"> </w:t>
      </w:r>
      <w:r w:rsidRPr="00634D36">
        <w:rPr>
          <w:rFonts w:cs="Times New Roman"/>
        </w:rPr>
        <w:t>a </w:t>
      </w:r>
      <w:r w:rsidRPr="00866C3A">
        <w:rPr>
          <w:rFonts w:cs="Times New Roman"/>
        </w:rPr>
        <w:t>o 1 500 tis. eur pre zamestnancov Úradu vlády SR. Z dôvodu nedostatočného krytia platových náležitostí administratívnych kapacít vyplývajúceho predovšetkým z časového nesúladu medzi prijatými refundáciami</w:t>
      </w:r>
      <w:r w:rsidRPr="005C2029">
        <w:rPr>
          <w:rFonts w:cs="Times New Roman"/>
        </w:rPr>
        <w:t xml:space="preserve"> miezd a vyplatenými platmi zamestnancov boli výdavky na mzdy a platy v kapitolách štátneho rozpočtu zv</w:t>
      </w:r>
      <w:r>
        <w:rPr>
          <w:rFonts w:cs="Times New Roman"/>
        </w:rPr>
        <w:t>ýšené o 1 882 tis. eur (o 1 010 </w:t>
      </w:r>
      <w:r w:rsidRPr="005C2029">
        <w:rPr>
          <w:rFonts w:cs="Times New Roman"/>
        </w:rPr>
        <w:t>tis.</w:t>
      </w:r>
      <w:r>
        <w:rPr>
          <w:rFonts w:cs="Times New Roman"/>
        </w:rPr>
        <w:t> </w:t>
      </w:r>
      <w:r w:rsidRPr="005C2029">
        <w:rPr>
          <w:rFonts w:cs="Times New Roman"/>
        </w:rPr>
        <w:t>eur v Ministe</w:t>
      </w:r>
      <w:r>
        <w:rPr>
          <w:rFonts w:cs="Times New Roman"/>
        </w:rPr>
        <w:t xml:space="preserve">rstve životného prostredia SR a </w:t>
      </w:r>
      <w:r w:rsidRPr="005C2029">
        <w:rPr>
          <w:rFonts w:cs="Times New Roman"/>
        </w:rPr>
        <w:t>o</w:t>
      </w:r>
      <w:r>
        <w:rPr>
          <w:rFonts w:cs="Times New Roman"/>
        </w:rPr>
        <w:t> </w:t>
      </w:r>
      <w:r w:rsidRPr="005C2029">
        <w:rPr>
          <w:rFonts w:cs="Times New Roman"/>
        </w:rPr>
        <w:t>872</w:t>
      </w:r>
      <w:r>
        <w:rPr>
          <w:rFonts w:cs="Times New Roman"/>
        </w:rPr>
        <w:t> </w:t>
      </w:r>
      <w:r w:rsidRPr="005C2029">
        <w:rPr>
          <w:rFonts w:cs="Times New Roman"/>
        </w:rPr>
        <w:t>tis.</w:t>
      </w:r>
      <w:r>
        <w:t> </w:t>
      </w:r>
      <w:r w:rsidRPr="005C2029">
        <w:rPr>
          <w:rFonts w:cs="Times New Roman"/>
        </w:rPr>
        <w:t>eur v Ministerstve kultúry SR). V rámci ostatných realizov</w:t>
      </w:r>
      <w:r>
        <w:rPr>
          <w:rFonts w:cs="Times New Roman"/>
        </w:rPr>
        <w:t xml:space="preserve">aných úprav mzdových výdavkov zamestnancov rozpočtových organizácií v sume 19 396 tis. eur bolo najviac finančných prostriedkov (20 369 tis. eur) použitých v kapitole Ministerstva obrany SR najmä na realizáciu priznaných príplatkov a odmien pri príležitosti letnej dovolenky a vianočných sviatkov pre profesionálnych vojakov, ako aj civilných zamestnancov kapitoly, v kapitole Ministerstva pôdohospodárstva a rozvoja vidieka SR (2 475 tis. eur), kde úpravy súviseli so zabezpečením kontroly afrického moru ošípaných a s krytím deficitu finančných prostriedkov v Pôdohospodárskej platobnej agentúre a v Ústrednom kontrolnom a skúšobnom ústave poľnohospodárskom, v kapitole Ministerstva zahraničných vecí a európskych záležitostí SR (2 401 tis. eur) na zabezpečenie koeficientu regulácie, na vyslanie rozvojových diplomatov do zahraničia a na posilnenie zastupiteľských úradov, v kapitole Ministerstva školstva, vedy, výskumu a športu SR (1 647 tis. eur) najmä na </w:t>
      </w:r>
      <w:proofErr w:type="spellStart"/>
      <w:r>
        <w:rPr>
          <w:rFonts w:cs="Times New Roman"/>
        </w:rPr>
        <w:t>dokrytie</w:t>
      </w:r>
      <w:proofErr w:type="spellEnd"/>
      <w:r>
        <w:rPr>
          <w:rFonts w:cs="Times New Roman"/>
        </w:rPr>
        <w:t xml:space="preserve"> platových náležitostí zamestnancov a na realizáciu odmien pri príležitosti letnej dovolenky a vianočných sviatkov v aparáte ústredného orgánu. V kapitole Ministerstva zdravotníctva SR (1 003 tis. eur) úprava mzdových výdavkov súvisela predovšetkým s </w:t>
      </w:r>
      <w:proofErr w:type="spellStart"/>
      <w:r>
        <w:rPr>
          <w:rFonts w:cs="Times New Roman"/>
        </w:rPr>
        <w:t>dokrytím</w:t>
      </w:r>
      <w:proofErr w:type="spellEnd"/>
      <w:r>
        <w:rPr>
          <w:rFonts w:cs="Times New Roman"/>
        </w:rPr>
        <w:t xml:space="preserve"> potrieb</w:t>
      </w:r>
      <w:r w:rsidR="009635A8">
        <w:rPr>
          <w:rFonts w:cs="Times New Roman"/>
        </w:rPr>
        <w:t xml:space="preserve"> kapitoly súvisiacich s novelou</w:t>
      </w:r>
      <w:r w:rsidR="009635A8">
        <w:rPr>
          <w:rFonts w:cs="Times New Roman"/>
        </w:rPr>
        <w:br/>
      </w:r>
      <w:r>
        <w:rPr>
          <w:rFonts w:cs="Times New Roman"/>
        </w:rPr>
        <w:t xml:space="preserve">zákona č. 553/2003 Z. z. o odmeňovaní niektorých zamestnancov pri výkone práce vo verejnom záujme a so zvýšením platov štátnych zamestnancov. Naopak, v aparátoch niektorých kapitol štátneho rozpočtu, došlo k miernemu zníženiu mzdových výdavkov, najvýraznejšie v kapitole Ministerstva vnútra SR </w:t>
      </w:r>
      <w:r w:rsidRPr="00866C3A">
        <w:rPr>
          <w:rFonts w:cs="Times New Roman"/>
        </w:rPr>
        <w:t xml:space="preserve">(o </w:t>
      </w:r>
      <w:r w:rsidRPr="00634D36">
        <w:rPr>
          <w:rFonts w:cs="Times New Roman"/>
        </w:rPr>
        <w:t>9 294 tis. eur) a to predovšetkým v súvislosti so zabezpečením výdavkov na poistné zamestnancov kapitoly (8 000 tis. eur) a s dofinancovaním škôl a školských zariadení v rámci preneseného výkonu štátnej správy (841 tis. eur)</w:t>
      </w:r>
      <w:r w:rsidRPr="005C2029">
        <w:rPr>
          <w:rFonts w:cs="Times New Roman"/>
        </w:rPr>
        <w:t>. V súvislosti s nepriaznivým vývojom rozpočtu verejnej správy ku koncu roka 2019 boli viazané výdavky kapitolám štátneho rozpočtu, v rámci ktorých boli na základe oznámenia kapitol viazané výdavky na mzdy a platy zamestnancov v súhrnnej sume 3 937 tis. eu</w:t>
      </w:r>
      <w:r>
        <w:rPr>
          <w:rFonts w:cs="Times New Roman"/>
        </w:rPr>
        <w:t>r, z toho v kapitole Ministerstva vnútra SR o 3 705 tis. eur, Ministerstva obrany SR o 127 tis. eur a Ministerstva financií SR o 105 tis. eur.</w:t>
      </w:r>
    </w:p>
    <w:p w14:paraId="59BC7A4B" w14:textId="4E975A12" w:rsidR="00EA177A" w:rsidRPr="00634D36" w:rsidRDefault="00EA177A" w:rsidP="00EA177A">
      <w:pPr>
        <w:rPr>
          <w:rFonts w:cs="Times New Roman"/>
        </w:rPr>
      </w:pPr>
      <w:r>
        <w:rPr>
          <w:rFonts w:cs="Times New Roman"/>
          <w:b/>
        </w:rPr>
        <w:t>Limit počtu zamestnancov pre rozpočtové organizácie kapitol štátneho rozpočtu</w:t>
      </w:r>
      <w:r>
        <w:rPr>
          <w:rFonts w:cs="Times New Roman"/>
        </w:rPr>
        <w:t xml:space="preserve"> na rok 2019 bol schválený uznesením vlády SR č. 453/2018 k Návrhu rozpočtu verejnej správy na roky 2019 až 2021 v počte 130 090 osôb (2018: 128 980). Schválený limit počtu zamestnancov rozpočtových organizácií medziročne vzrástol o 1 110 osôb</w:t>
      </w:r>
      <w:r w:rsidRPr="00D744D2">
        <w:rPr>
          <w:rFonts w:cs="Times New Roman"/>
        </w:rPr>
        <w:t xml:space="preserve">. </w:t>
      </w:r>
      <w:r w:rsidRPr="00634D36">
        <w:rPr>
          <w:rFonts w:cs="Times New Roman"/>
        </w:rPr>
        <w:t>Najväčší podiel na tomto salde v absolútnom vyjadrení malo najmä zvýšenie počtu zamestnancov o 389 v kapitole Ministerstva vnútra SR (155 administratívnych kapacít osobitne sledovaných v zmysle UV SR č. 181/2017, 150 štátnozamestnaneckých miest na</w:t>
      </w:r>
      <w:r w:rsidRPr="00113CB2">
        <w:rPr>
          <w:rFonts w:cs="Times New Roman"/>
        </w:rPr>
        <w:t> realizáciu projektov, 72 miest asistentov uči</w:t>
      </w:r>
      <w:r w:rsidRPr="005C2029">
        <w:rPr>
          <w:rFonts w:cs="Times New Roman"/>
        </w:rPr>
        <w:t>teľa a 12 miest v zmysle UV SR č. 277/2017 na</w:t>
      </w:r>
      <w:r>
        <w:rPr>
          <w:rFonts w:cs="Times New Roman"/>
        </w:rPr>
        <w:t> podporu najmenej rozvinutých okresov), v kapitole Ministerstva práce, sociálnych vecí a rodiny SR (212 miest na realizáciu zákona o sociálnoprávnej ochrane a sociálnej kuratele a 5 miest na realizáciu zákona o sociálnej ekonomike a sociálnych podnikoch), v kapitole Ministerstva spravodlivosti SR (98 miest súvisiacich s výstavbou väzenského zariadenia Rimavská Sobota – Sabová v r</w:t>
      </w:r>
      <w:r w:rsidR="00864E24">
        <w:rPr>
          <w:rFonts w:cs="Times New Roman"/>
        </w:rPr>
        <w:t>ámci PPP projektu, 36 miest pre</w:t>
      </w:r>
      <w:r w:rsidR="00864E24">
        <w:rPr>
          <w:rFonts w:cs="Times New Roman"/>
        </w:rPr>
        <w:br/>
      </w:r>
      <w:proofErr w:type="spellStart"/>
      <w:r>
        <w:rPr>
          <w:rFonts w:cs="Times New Roman"/>
        </w:rPr>
        <w:t>Detenčný</w:t>
      </w:r>
      <w:proofErr w:type="spellEnd"/>
      <w:r>
        <w:rPr>
          <w:rFonts w:cs="Times New Roman"/>
        </w:rPr>
        <w:t xml:space="preserve"> ústav Hronovce) a v Úrade podpredsedu vlády SR pre investície a</w:t>
      </w:r>
      <w:r w:rsidR="00864E24">
        <w:rPr>
          <w:rFonts w:cs="Times New Roman"/>
        </w:rPr>
        <w:t> </w:t>
      </w:r>
      <w:r>
        <w:rPr>
          <w:rFonts w:cs="Times New Roman"/>
        </w:rPr>
        <w:t>inform</w:t>
      </w:r>
      <w:r w:rsidR="00864E24">
        <w:rPr>
          <w:rFonts w:cs="Times New Roman"/>
        </w:rPr>
        <w:t>atizáciu</w:t>
      </w:r>
      <w:r w:rsidR="00864E24">
        <w:rPr>
          <w:rFonts w:cs="Times New Roman"/>
        </w:rPr>
        <w:br/>
      </w:r>
      <w:r>
        <w:rPr>
          <w:rFonts w:cs="Times New Roman"/>
        </w:rPr>
        <w:t xml:space="preserve">(51 miest na realizáciu projektov, 28 miest na </w:t>
      </w:r>
      <w:proofErr w:type="spellStart"/>
      <w:r>
        <w:rPr>
          <w:rFonts w:cs="Times New Roman"/>
        </w:rPr>
        <w:t>oddelimitované</w:t>
      </w:r>
      <w:proofErr w:type="spellEnd"/>
      <w:r>
        <w:rPr>
          <w:rFonts w:cs="Times New Roman"/>
        </w:rPr>
        <w:t xml:space="preserve"> činnosti z DataCentra a informačných systémov z Ministerstva financií SR, 24 miest na posilnenie odborných útvarov kapitoly, 8 administratívnych kapacít osobitne sledovaných v zmysle UV SR č. 181/2017 a 2 miesta na realizáciu zákona o znižovaní administratívnej záťaže).</w:t>
      </w:r>
    </w:p>
    <w:p w14:paraId="2EAC7599" w14:textId="77777777" w:rsidR="00EA177A" w:rsidRPr="00113CB2" w:rsidRDefault="00EA177A" w:rsidP="00EA177A">
      <w:pPr>
        <w:rPr>
          <w:rFonts w:cs="Times New Roman"/>
        </w:rPr>
      </w:pPr>
      <w:r w:rsidRPr="00113CB2">
        <w:rPr>
          <w:rFonts w:cs="Times New Roman"/>
        </w:rPr>
        <w:t>V rámci schváleného limitu počtu zamestnancov rozpočtových organizácií kapitol štátneho rozpočtu a aparátov ústredných orgánov boli uznesením vlád</w:t>
      </w:r>
      <w:r w:rsidRPr="005C2029">
        <w:rPr>
          <w:rFonts w:cs="Times New Roman"/>
        </w:rPr>
        <w:t>y Slovenskej republiky schválené aj administratívne kapacity osobit</w:t>
      </w:r>
      <w:r>
        <w:rPr>
          <w:rFonts w:cs="Times New Roman"/>
        </w:rPr>
        <w:t>ne sledované v počte 1 557 (</w:t>
      </w:r>
      <w:r w:rsidRPr="005C2029">
        <w:rPr>
          <w:rFonts w:cs="Times New Roman"/>
        </w:rPr>
        <w:t>2018: 1 307).</w:t>
      </w:r>
      <w:r w:rsidRPr="00D744D2">
        <w:rPr>
          <w:rFonts w:cs="Times New Roman"/>
        </w:rPr>
        <w:t xml:space="preserve"> </w:t>
      </w:r>
      <w:r w:rsidRPr="00113CB2">
        <w:rPr>
          <w:rFonts w:cs="Times New Roman"/>
        </w:rPr>
        <w:t>Ide o osobitne sledovanú kategóriu zamestnancov, ktorá je v zmysle uznesenia vlády SR č. 181/2017 zapojená do</w:t>
      </w:r>
      <w:r w:rsidRPr="005C2029">
        <w:rPr>
          <w:rFonts w:cs="Times New Roman"/>
        </w:rPr>
        <w:t> </w:t>
      </w:r>
      <w:r>
        <w:rPr>
          <w:rFonts w:cs="Times New Roman"/>
        </w:rPr>
        <w:t>implementácie európskych štrukturálnych a investičných fondov v programovom období 2014 – 2020 od roku 2017 bez nárokov na dodatočné finančné prostriedky zo štátneho rozpočtu.</w:t>
      </w:r>
    </w:p>
    <w:p w14:paraId="29284D11" w14:textId="77777777" w:rsidR="00EA177A" w:rsidRPr="000913FB" w:rsidRDefault="00EA177A" w:rsidP="00EA177A">
      <w:pPr>
        <w:rPr>
          <w:rFonts w:cs="Times New Roman"/>
        </w:rPr>
      </w:pPr>
      <w:r>
        <w:rPr>
          <w:rFonts w:cs="Times New Roman"/>
        </w:rPr>
        <w:t xml:space="preserve">V priebehu roka 2019 bol limit počtu zamestnancov rozpočtových organizácií rozpočtovými opatreniami zvýšený o 798 osôb na 130 888 osôb, v tom najmä z dôvodu zamestnávania projektových zamestnancov, platy ktorých sú hradené z finančných prostriedkov príslušných projektov, predovšetkým v kapitole Ministerstva práce, sociálnych vecí a rodiny SR o 790 osôb. Za účelom realizácie schvaľovanej legislatívy sa v priebehu roka upravil limit počtu zamestnancov rozpočtových organizácií o 97 osôb a to najmä v kapitole Generálnej prokuratúry SR, Ministerstva pôdohospodárstva a rozvoja vidieka SR, </w:t>
      </w:r>
      <w:r w:rsidRPr="00984523">
        <w:rPr>
          <w:rFonts w:cs="Times New Roman"/>
        </w:rPr>
        <w:t>Úrad podpredsedu vlády SR pre investície a informatizáciu,</w:t>
      </w:r>
      <w:r>
        <w:rPr>
          <w:rFonts w:cs="Times New Roman"/>
        </w:rPr>
        <w:t xml:space="preserve"> </w:t>
      </w:r>
      <w:r w:rsidRPr="00113CB2">
        <w:rPr>
          <w:rFonts w:cs="Times New Roman"/>
        </w:rPr>
        <w:t xml:space="preserve">Štatistického úradu SR </w:t>
      </w:r>
      <w:r w:rsidRPr="000913FB">
        <w:rPr>
          <w:rFonts w:cs="Times New Roman"/>
        </w:rPr>
        <w:t>a pod. Počet zamestnancov ovplyvnila aj zmena formy hospodárenia rozpočtových organizácií v kapitole Slovenská akadémia vied, kde sa znížil počet zamestnancov rozpočtových organizácií o 207 osôb.</w:t>
      </w:r>
    </w:p>
    <w:p w14:paraId="0A2160E4" w14:textId="77777777" w:rsidR="00EA177A" w:rsidRPr="000913FB" w:rsidRDefault="00EA177A" w:rsidP="00EA177A">
      <w:pPr>
        <w:rPr>
          <w:rFonts w:cs="Times New Roman"/>
        </w:rPr>
      </w:pPr>
      <w:r w:rsidRPr="005C2029">
        <w:rPr>
          <w:rFonts w:cs="Times New Roman"/>
        </w:rPr>
        <w:t>Administratívne kapacity osobitne sledované schválené na rok</w:t>
      </w:r>
      <w:r>
        <w:rPr>
          <w:rFonts w:cs="Times New Roman"/>
        </w:rPr>
        <w:t xml:space="preserve"> 2019 UV SR č. 453/2018 boli zvýšené o 19 osôb (Úrad vlády SR o 6, Ministerstvo kultúry SR o 9, Ministerstvo hospodárstva SR o 3 a Ministerstvo dopravy, výstavby a regionálneho rozvoja SR o 1) na počet 1 576. Skutočný počet administratívnych kapacít osobitne sledovaných v roku 2019 dosiahol počet 1 348, čo je medziročne viac o 23 osôb. </w:t>
      </w:r>
    </w:p>
    <w:p w14:paraId="3D8ECAE4" w14:textId="77777777" w:rsidR="00EA177A" w:rsidRPr="000913FB" w:rsidRDefault="00EA177A" w:rsidP="00EA177A">
      <w:pPr>
        <w:rPr>
          <w:rFonts w:cs="Times New Roman"/>
        </w:rPr>
      </w:pPr>
      <w:r>
        <w:rPr>
          <w:rFonts w:cs="Times New Roman"/>
          <w:b/>
        </w:rPr>
        <w:t xml:space="preserve">Skutočné plnenie počtu zamestnancov rozpočtových organizácií kapitol štátneho rozpočtu dosiahlo úroveň 124 214 osôb, čo je v porovnaní s ich </w:t>
      </w:r>
      <w:r w:rsidRPr="00D95480">
        <w:rPr>
          <w:rFonts w:cs="Times New Roman"/>
          <w:b/>
        </w:rPr>
        <w:t>skutočným stavom v </w:t>
      </w:r>
      <w:r>
        <w:rPr>
          <w:rFonts w:cs="Times New Roman"/>
          <w:b/>
        </w:rPr>
        <w:t>roku 2018</w:t>
      </w:r>
      <w:r>
        <w:rPr>
          <w:rFonts w:cs="Times New Roman"/>
          <w:b/>
        </w:rPr>
        <w:br/>
        <w:t xml:space="preserve">o 1 157 osôb viac. </w:t>
      </w:r>
      <w:r>
        <w:rPr>
          <w:rFonts w:cs="Times New Roman"/>
        </w:rPr>
        <w:t>V porovnaní s pôvodne schváleným limitom počtu zamestnancov je skutočnosť nižšia o 5 876 zamestnancov (4,5 %) a s upraveným limitom o 6 674 osôb (5,1 %). Z porovnania skutočného plnenia počtu zamestnancov so schváleným aj upraveným limitom vyplýva, že z počtu 33 kapitol štátneho rozpočtu a 3 organizácií (Kancelária verejného ochrancu práv, Rada pre vysielanie a retransmisiu a Úrad na ochranu osobných údajov) počet zamestnancov schválený uznesením vlády SR č. 453/2018 ako aj upravený limit počtu zamestnancov nenaplnila s výnimkou Ministerstva práce, sociálnych vecí a rodiny SR ani jedna kapitola štátneho rozpočtu a ani jedna z 3 organizácií. V absolútnom vyjadrení je možné konštatovať dlhodobé výrazné neplnenie limitu počtu osôb voči schválenému aj upravenému limitu v kapitole Ministerstva vnútra SR (voči schválenému limitu o 3 378 osôb, z toho o 2 491 policajtov a voči upravenému limitu počtu zamestnancov o 3 376 osôb, z toho o 2 266 policajtov) a Ministerstva obrany SR (voči schválenému aj upravenému limitu počtu zamestnancov o 1 035 osôb, z toho o 765 profesionálnych vojakov).</w:t>
      </w:r>
    </w:p>
    <w:p w14:paraId="2A0A7248" w14:textId="0C046809" w:rsidR="00EA177A" w:rsidRPr="005C2029" w:rsidRDefault="00EA177A" w:rsidP="00EA177A">
      <w:pPr>
        <w:rPr>
          <w:rFonts w:cs="Times New Roman"/>
        </w:rPr>
      </w:pPr>
      <w:r>
        <w:rPr>
          <w:rFonts w:cs="Times New Roman"/>
        </w:rPr>
        <w:t xml:space="preserve">Pre zamestnancov </w:t>
      </w:r>
      <w:r>
        <w:rPr>
          <w:rFonts w:cs="Times New Roman"/>
          <w:b/>
        </w:rPr>
        <w:t>aparátov ústredných orgánov</w:t>
      </w:r>
      <w:r>
        <w:rPr>
          <w:rFonts w:cs="Times New Roman"/>
        </w:rPr>
        <w:t xml:space="preserve"> boli schválené výdavky na mzdy, platy, služobné príjmy a ostatné osobné vyrovnania v sume 241 789 tis. eur ako záväzný ukazovateľ </w:t>
      </w:r>
      <w:r>
        <w:rPr>
          <w:rFonts w:cs="Times New Roman"/>
          <w:b/>
        </w:rPr>
        <w:t xml:space="preserve">z kódu 111 </w:t>
      </w:r>
      <w:r>
        <w:rPr>
          <w:rFonts w:cs="Times New Roman"/>
        </w:rPr>
        <w:t>(zdroj štátneho rozpočtu) a </w:t>
      </w:r>
      <w:r>
        <w:rPr>
          <w:rFonts w:cs="Times New Roman"/>
          <w:b/>
        </w:rPr>
        <w:t>11H</w:t>
      </w:r>
      <w:r>
        <w:rPr>
          <w:rFonts w:cs="Times New Roman"/>
        </w:rPr>
        <w:t xml:space="preserve"> (transfery od ostatných subjektov verejnej správy). V priebehu roka bol tento limit rozpočtovými opatreniami zvýšený na 277 397 tis. eur. Na základe vykonaných rozpočtových opatrení vyššie čerpanie mzdových výdavkov v aparátoch ústredných orgánov ovplyvnila najmä valorizácia platov štátnych zamestnancov na úrovni 10 % od</w:t>
      </w:r>
      <w:r>
        <w:rPr>
          <w:rFonts w:cs="Times New Roman"/>
        </w:rPr>
        <w:br/>
        <w:t>1. januára 2019, zabezpečenie novely zákona č. 553/2003 Z. z. pre zamestnancov pri výkone práce vo verejnom záujme od 1. januára 2019 (17 490 tis. eur) a zvýšenie platov ústavných činiteľov, ústavných sudcov, sudcov, prokurátorov, štátnych zamestnancov vo verejnej funkcii (4 971 tis. eur) od 1. januára 2019. Okrem už uvedených zvýšení k výraznejšiemu posilneniu výdavkov na mzdy a platy (o 2 743 tis. eur) došlo aj v kapitole Ministerstva vnútra SR na základe požiadavky kapitoly súvisiacej najmä s organizačnými zmenami a v kapitole Ministerstva zahraničných vecí a európskych záležitostí SR (o 2 301 tis. eur) v súvislosti so zabezpečením koeficientu regulácie, vyslaním rozvojových diplomatov do zahraničia a s posilnením zastupiteľských úradov. Na zlepšenie odmeňovania zamestnancov aparátov boli výdavky na mzdy a platy upravené úhrnne o 1 824 tis. eur (najvýraznejšie, o 1 500 tis. eur, v kapitole Úradu vlády SR). K úprave o 1 626 tis. eur došlo v súvislosti so zabezpečením finančného krytia miezd administratívnych kapacít osobitne sledovaných nezabezpečených predovšetkým z dôvodu oneskorenia refundácií miezd (Ministerstvo životného prostredia SR a Ministerstvo kultúry SR). Na zabezpečenie novej legislatívy boli realizované úpravy v sume 1 153 tis. eur, a to najmä o 378 tis. eur v Generálnej prokur</w:t>
      </w:r>
      <w:r w:rsidR="00864E24">
        <w:rPr>
          <w:rFonts w:cs="Times New Roman"/>
        </w:rPr>
        <w:t>atúre SR v súvislosti so zmenou</w:t>
      </w:r>
      <w:r w:rsidR="00864E24">
        <w:rPr>
          <w:rFonts w:cs="Times New Roman"/>
        </w:rPr>
        <w:br/>
      </w:r>
      <w:r>
        <w:rPr>
          <w:rFonts w:cs="Times New Roman"/>
        </w:rPr>
        <w:t>zákona č. 171/1993 Z. z. o Policajnom zbore vrát</w:t>
      </w:r>
      <w:r w:rsidR="00AB0EFE">
        <w:rPr>
          <w:rFonts w:cs="Times New Roman"/>
        </w:rPr>
        <w:t>ane zvýšenia počtu zamestnancov</w:t>
      </w:r>
      <w:r w:rsidR="00AB0EFE">
        <w:rPr>
          <w:rFonts w:cs="Times New Roman"/>
        </w:rPr>
        <w:br/>
      </w:r>
      <w:r>
        <w:rPr>
          <w:rFonts w:cs="Times New Roman"/>
        </w:rPr>
        <w:t>o 55 prokurátorov, o 265 tis. eur v Úrade podpredsedu vlády SR pre investície a info</w:t>
      </w:r>
      <w:r w:rsidR="00864E24">
        <w:rPr>
          <w:rFonts w:cs="Times New Roman"/>
        </w:rPr>
        <w:t xml:space="preserve">rmatizáciu na realizáciu zákona </w:t>
      </w:r>
      <w:r>
        <w:rPr>
          <w:rFonts w:cs="Times New Roman"/>
        </w:rPr>
        <w:t>č. 69/2018 Z. z. o kybernetickej bezpečnosti, zákona č. 177/2018 Z. z. o niektorých opatreniach na znižovanie administratívnej záťaže využívaním informačných systémov verejnej správy a zákona č. 95/2019 o informačných technológiách vo verejnej správe vrátane súhrnného zvýšenia počtu zamestnancov kapitoly o 21 osôb, o 229 tis. eur v Ministerstve zahraničných vecí a európskych záležitostí SR na realizáciu Stratégie pracovnej mobility cudzincov vrátane zvýšenia počtu zamestnancov kapitoly o 8 osôb a o 126 tis. eur v Štatistickom úrade SR na sčítanie obyvateľov, bytov a domov v r</w:t>
      </w:r>
      <w:r w:rsidRPr="00984523">
        <w:rPr>
          <w:rFonts w:cs="Times New Roman"/>
        </w:rPr>
        <w:t>oku</w:t>
      </w:r>
      <w:r w:rsidRPr="00761A1C">
        <w:rPr>
          <w:rFonts w:cs="Times New Roman"/>
        </w:rPr>
        <w:t xml:space="preserve"> 2021. Z dôvodu delimitácií niektorých činností do aparátov ústredných orgánov boli výdavky na mzdy a platy zvýšené o 951 tis. eur a na vyplatenie odmien pri príležitosti letných dovoleniek a vianočných sviatkov boli realizované úpravy v sume 630 tis. eur (v Ministerstve obrany SR o 221 tis. eur, v Ministerstve ško</w:t>
      </w:r>
      <w:r w:rsidRPr="005C2029">
        <w:rPr>
          <w:rFonts w:cs="Times New Roman"/>
        </w:rPr>
        <w:t xml:space="preserve">lstva, vedy, výskumu a športu SR o 646 tis. eur pri </w:t>
      </w:r>
      <w:r w:rsidR="00864E24">
        <w:rPr>
          <w:rFonts w:cs="Times New Roman"/>
        </w:rPr>
        <w:t>súčasnom znížení o 237 tis. eur</w:t>
      </w:r>
      <w:r w:rsidR="00864E24">
        <w:rPr>
          <w:rFonts w:cs="Times New Roman"/>
        </w:rPr>
        <w:br/>
      </w:r>
      <w:r w:rsidRPr="005C2029">
        <w:rPr>
          <w:rFonts w:cs="Times New Roman"/>
        </w:rPr>
        <w:t xml:space="preserve">v kapitole Ministerstva pôdohospodárstva a rozvoja vidieka SR v súvislosti s ich použitím na uvedený účel v podriadených rozpočtových organizáciách kapitoly). </w:t>
      </w:r>
    </w:p>
    <w:p w14:paraId="6DCF0BBF" w14:textId="5E7E37F1" w:rsidR="00EA177A" w:rsidRPr="00761A1C" w:rsidRDefault="00EA177A" w:rsidP="00EA177A">
      <w:pPr>
        <w:rPr>
          <w:rFonts w:cs="Times New Roman"/>
        </w:rPr>
      </w:pPr>
      <w:r>
        <w:rPr>
          <w:rFonts w:cs="Times New Roman"/>
        </w:rPr>
        <w:t>Zamestnancom aparátov ústredných orgánov boli za všetky zdroje spolu, t. j. vrátane prostriedkov EÚ a prostriedkov na spolufinancovanie zo štátneho rozpočtu, vyplatené mzdy a platy v sume 323 128 tis. eur. Skutočné výdavky na mzdy, platy, služobné príjmy a ostatné osobné vyrovnania zamestnancov aparátu ústredného orgánu medziročne vzrástli o 42 047 tis. eur. Záväzný limit miezd, platov, služobných príjmov a ostatných osobných vyrovnaní aparátov ústredných orgánov na zdroji 111 a 11H bol dodržaný vo všetkých</w:t>
      </w:r>
      <w:r w:rsidR="00864E24">
        <w:rPr>
          <w:rFonts w:cs="Times New Roman"/>
        </w:rPr>
        <w:t xml:space="preserve"> kapitolách s výnimkou kapitoly</w:t>
      </w:r>
      <w:r w:rsidR="00864E24">
        <w:rPr>
          <w:rFonts w:cs="Times New Roman"/>
        </w:rPr>
        <w:br/>
      </w:r>
      <w:r>
        <w:rPr>
          <w:rFonts w:cs="Times New Roman"/>
        </w:rPr>
        <w:t>Úradu podpredsedu vlády SR pre investície a informatizáciu, ktorej zdôvodnenie je uvedené pri hodnotení rozpočtových organizácií kapitol štátneho rozpočtu.</w:t>
      </w:r>
    </w:p>
    <w:p w14:paraId="3B028530" w14:textId="77777777" w:rsidR="00EA177A" w:rsidRPr="00761A1C" w:rsidRDefault="00EA177A" w:rsidP="00EA177A">
      <w:pPr>
        <w:rPr>
          <w:rFonts w:cs="Times New Roman"/>
        </w:rPr>
      </w:pPr>
      <w:r w:rsidRPr="00761A1C">
        <w:rPr>
          <w:rFonts w:cs="Times New Roman"/>
        </w:rPr>
        <w:t xml:space="preserve">Pre </w:t>
      </w:r>
      <w:r w:rsidRPr="00761A1C">
        <w:rPr>
          <w:rFonts w:cs="Times New Roman"/>
          <w:b/>
        </w:rPr>
        <w:t>aparáty ústredných orgánov</w:t>
      </w:r>
      <w:r w:rsidRPr="00761A1C">
        <w:rPr>
          <w:rFonts w:cs="Times New Roman"/>
        </w:rPr>
        <w:t xml:space="preserve"> bol na rok 2019 schválený záväzný </w:t>
      </w:r>
      <w:r w:rsidRPr="00761A1C">
        <w:rPr>
          <w:rFonts w:cs="Times New Roman"/>
          <w:b/>
        </w:rPr>
        <w:t>limit počtu z</w:t>
      </w:r>
      <w:r w:rsidRPr="00073BC4">
        <w:rPr>
          <w:rFonts w:cs="Times New Roman"/>
          <w:b/>
        </w:rPr>
        <w:t>amestnancov</w:t>
      </w:r>
      <w:r w:rsidRPr="00073BC4">
        <w:rPr>
          <w:rFonts w:cs="Times New Roman"/>
        </w:rPr>
        <w:t xml:space="preserve"> 13 148 osôb, z toho administratívne kapacity osobitne sledované v počte 1 121 osôb. Schválený limit počtu zamestnancov bol v priebehu roka zv</w:t>
      </w:r>
      <w:r>
        <w:rPr>
          <w:rFonts w:cs="Times New Roman"/>
        </w:rPr>
        <w:t xml:space="preserve">ýšený o 208 osôb na </w:t>
      </w:r>
      <w:r w:rsidRPr="00073BC4">
        <w:rPr>
          <w:rFonts w:cs="Times New Roman"/>
        </w:rPr>
        <w:t>13 356 osôb. V skutočnosti bolo v</w:t>
      </w:r>
      <w:r w:rsidRPr="00D744D2">
        <w:rPr>
          <w:rFonts w:cs="Times New Roman"/>
        </w:rPr>
        <w:t> </w:t>
      </w:r>
      <w:r w:rsidRPr="00761A1C">
        <w:rPr>
          <w:rFonts w:cs="Times New Roman"/>
        </w:rPr>
        <w:t>aparátoch ústredných orgánov v roku 2019 zamestnaných 12 058 osôb, čo je v porovnaní s rokom 2018 o 388 zamestnancov viac. K medziročnému zvýšeniu skutočného počtu zamestnancov v aparátoch ústredných orgánov došlo takmer vo všetkých kapitolách štátneho rozpočtu a bolo ovplyvnené najmä obsadením dočasne</w:t>
      </w:r>
      <w:r w:rsidRPr="005C2029">
        <w:rPr>
          <w:rFonts w:cs="Times New Roman"/>
        </w:rPr>
        <w:t xml:space="preserve"> voľných služobných, resp. pracovných miest, personálnym posilnením poddimenzovaných odborných a všeobecných útvarov (súhrnná úprava v aparátoch zodpovedá zvýšeniu o 83 miest), delimitáciami niektorých činností z podriadených rozpočtových organizácií, resp</w:t>
      </w:r>
      <w:r>
        <w:rPr>
          <w:rFonts w:cs="Times New Roman"/>
        </w:rPr>
        <w:t>. z príspevkových organizácií do aparátov ústredných orgánov (súhrnná úprava o 50 miest) a zvýšením limitu počtu zamestnancov zabezpečujúcich nové zákony a ostatné legislatívne predpisy (v súhrne o 39 miest). Administratívne kapacity osobitne sledované schválené uznesením vlády SR č. 453/2018 boli v aparátoch ústredných orgánov v priebehu roka zvýšené o 19 osôb na počet 1 140 osôb a ich skutočné plnenie dosiahlo stav 1 019 administratívnych kapacít osobitne sledovaných.</w:t>
      </w:r>
    </w:p>
    <w:p w14:paraId="6ABC645E" w14:textId="77777777" w:rsidR="00EA177A" w:rsidRPr="00073BC4" w:rsidRDefault="00EA177A" w:rsidP="00EA177A">
      <w:pPr>
        <w:rPr>
          <w:rFonts w:cs="Times New Roman"/>
        </w:rPr>
      </w:pPr>
      <w:r>
        <w:rPr>
          <w:rFonts w:cs="Times New Roman"/>
        </w:rPr>
        <w:t xml:space="preserve">Uznesením vlády SR č. 453/2018 bola v prílohe č. 2 na rok 2019 schválená systemizácia colníkov v štátnej službe, systemizácia policajtov v štátnej službe, systemizácia príslušníkov Hasičského a záchranného zboru a príslušníkov Horskej záchrannej služby v štátnej službe a systemizácia profesionálnych vojakov v štátnej službe. Záväzné ukazovatele systemizácie boli v dotknutých kapitolách dodržané. </w:t>
      </w:r>
    </w:p>
    <w:p w14:paraId="5863537F" w14:textId="77777777" w:rsidR="00EA177A" w:rsidRPr="00073BC4" w:rsidRDefault="00EA177A" w:rsidP="00EA177A">
      <w:pPr>
        <w:rPr>
          <w:rFonts w:cs="Times New Roman"/>
        </w:rPr>
      </w:pPr>
      <w:r>
        <w:rPr>
          <w:rFonts w:cs="Times New Roman"/>
        </w:rPr>
        <w:t>V súlade s ustanovením § 317 ods. 2 zákona č. 35/2019 Z. z. o Finančnej správe a o zmene a doplnení niektorých zákonov bola ministrom financií s účinnosťou od 1. júla 2019</w:t>
      </w:r>
      <w:r>
        <w:rPr>
          <w:rFonts w:cs="Times New Roman"/>
        </w:rPr>
        <w:br/>
        <w:t>do 31. decembra 2019 určená systemizácia príslušníkov finančnej správy. Tá bola v priebehu obdobia upravená. Záväzné ukazovatele systemizácie ozbrojených aj neozbrojených príslušníkov finančnej správy boli dodržané.</w:t>
      </w:r>
    </w:p>
    <w:p w14:paraId="758717CF" w14:textId="160D0776" w:rsidR="00EA177A" w:rsidRPr="00073BC4" w:rsidRDefault="00EA177A" w:rsidP="00EA177A">
      <w:pPr>
        <w:rPr>
          <w:rFonts w:cs="Times New Roman"/>
          <w:b/>
          <w:i/>
          <w:highlight w:val="yellow"/>
        </w:rPr>
      </w:pPr>
      <w:r>
        <w:rPr>
          <w:rFonts w:cs="Times New Roman"/>
          <w:b/>
          <w:i/>
        </w:rPr>
        <w:t xml:space="preserve">Prehľad o plnení limitu počtu zamestnancov, miezd, platov, služobných príjmov a ostatných osobných vyrovnaní v kapitolách štátneho rozpočtu na rok 2019 vrátane vyhodnotenia systemizácie schválených uznesením vlády SR je uvedený v tabuľkách 22, 24, 25, 26 a 27 tabuľkovej časti štátneho záverečného účtu. </w:t>
      </w:r>
    </w:p>
    <w:p w14:paraId="5AA956E2" w14:textId="77777777" w:rsidR="00EA177A" w:rsidRPr="00073BC4" w:rsidRDefault="00EA177A" w:rsidP="00EA177A">
      <w:pPr>
        <w:pStyle w:val="Odsekzoznamu"/>
        <w:numPr>
          <w:ilvl w:val="0"/>
          <w:numId w:val="32"/>
        </w:numPr>
        <w:spacing w:after="120" w:line="336" w:lineRule="auto"/>
        <w:rPr>
          <w:rFonts w:ascii="Times New Roman" w:hAnsi="Times New Roman"/>
          <w:b/>
        </w:rPr>
      </w:pPr>
      <w:r w:rsidRPr="00073BC4">
        <w:rPr>
          <w:rFonts w:ascii="Times New Roman" w:hAnsi="Times New Roman"/>
          <w:b/>
        </w:rPr>
        <w:t>Poistné a príspevok do poisťovní</w:t>
      </w:r>
    </w:p>
    <w:p w14:paraId="2D771184" w14:textId="77777777" w:rsidR="00EA177A" w:rsidRPr="00073BC4" w:rsidRDefault="00EA177A" w:rsidP="00EA177A">
      <w:pPr>
        <w:rPr>
          <w:rFonts w:cs="Times New Roman"/>
        </w:rPr>
      </w:pPr>
      <w:r w:rsidRPr="00DB141C">
        <w:rPr>
          <w:rFonts w:cs="Times New Roman"/>
        </w:rPr>
        <w:t>Kapitoly štátneho rozpočtu rozpísali v roku 2019 výdavky na poistné a príspevok do poisťovní v sume 782 871 tis. eur (zdroj 111, 72d a 72g). V priebehu roka bola suma rozpísaných výdavkov na poistné a príspevok do poisťovní upravená na 833</w:t>
      </w:r>
      <w:r>
        <w:rPr>
          <w:rFonts w:cs="Times New Roman"/>
        </w:rPr>
        <w:t> </w:t>
      </w:r>
      <w:r w:rsidRPr="00DB141C">
        <w:rPr>
          <w:rFonts w:cs="Times New Roman"/>
        </w:rPr>
        <w:t>646</w:t>
      </w:r>
      <w:r>
        <w:rPr>
          <w:rFonts w:cs="Times New Roman"/>
        </w:rPr>
        <w:t> </w:t>
      </w:r>
      <w:r w:rsidRPr="00DB141C">
        <w:rPr>
          <w:rFonts w:cs="Times New Roman"/>
        </w:rPr>
        <w:t>tis.</w:t>
      </w:r>
      <w:r>
        <w:rPr>
          <w:rFonts w:cs="Times New Roman"/>
        </w:rPr>
        <w:t> </w:t>
      </w:r>
      <w:r w:rsidRPr="005C2029">
        <w:rPr>
          <w:rFonts w:cs="Times New Roman"/>
        </w:rPr>
        <w:t>eur v súhrne za všetky zdroje. Skutočné výdavky na poistné a príspevok do poisťovní súhrnne za všetky z</w:t>
      </w:r>
      <w:r>
        <w:rPr>
          <w:rFonts w:cs="Times New Roman"/>
        </w:rPr>
        <w:t>droje medziročne vzrástli o 104 </w:t>
      </w:r>
      <w:r w:rsidRPr="005C2029">
        <w:rPr>
          <w:rFonts w:cs="Times New Roman"/>
        </w:rPr>
        <w:t>536</w:t>
      </w:r>
      <w:r>
        <w:rPr>
          <w:rFonts w:cs="Times New Roman"/>
        </w:rPr>
        <w:t> </w:t>
      </w:r>
      <w:r w:rsidRPr="005C2029">
        <w:rPr>
          <w:rFonts w:cs="Times New Roman"/>
        </w:rPr>
        <w:t xml:space="preserve">tis. eur </w:t>
      </w:r>
      <w:r w:rsidRPr="00073BC4">
        <w:rPr>
          <w:rFonts w:cs="Times New Roman"/>
        </w:rPr>
        <w:t>(14,4 %) a dosiahli sumu 832 828 tis. eur. Vyššie čerpanie výdavkov na poistné nadväzuje na zvýšené čerpanie výdavkov na mzdy, platy, služobné príjmy a </w:t>
      </w:r>
      <w:r>
        <w:rPr>
          <w:rFonts w:cs="Times New Roman"/>
        </w:rPr>
        <w:t>OOV</w:t>
      </w:r>
      <w:r w:rsidRPr="00073BC4">
        <w:rPr>
          <w:rFonts w:cs="Times New Roman"/>
        </w:rPr>
        <w:t>, ktoré je rozpísané v časti týkajúcej sa miezd. Výdavky na poistné a príspevok do poisťovní boli čerpané v</w:t>
      </w:r>
      <w:r>
        <w:rPr>
          <w:rFonts w:cs="Times New Roman"/>
        </w:rPr>
        <w:t xml:space="preserve"> nasledovnej </w:t>
      </w:r>
      <w:r w:rsidRPr="00073BC4">
        <w:rPr>
          <w:rFonts w:cs="Times New Roman"/>
        </w:rPr>
        <w:t xml:space="preserve">štruktúre: </w:t>
      </w:r>
    </w:p>
    <w:p w14:paraId="4BE7C0A1" w14:textId="77777777" w:rsidR="00EA177A" w:rsidRPr="00073BC4" w:rsidRDefault="00EA177A" w:rsidP="00EA177A">
      <w:pPr>
        <w:rPr>
          <w:rFonts w:cs="Times New Roman"/>
        </w:rPr>
      </w:pPr>
      <w:r w:rsidRPr="00DB141C">
        <w:rPr>
          <w:rFonts w:cs="Times New Roman"/>
          <w:b/>
          <w:i/>
        </w:rPr>
        <w:t>Výdavky na poistné do Sociálnej poisťovne</w:t>
      </w:r>
      <w:r w:rsidRPr="005C2029">
        <w:rPr>
          <w:rFonts w:cs="Times New Roman"/>
        </w:rPr>
        <w:t xml:space="preserve"> v sume 325 639 tis. </w:t>
      </w:r>
      <w:r>
        <w:rPr>
          <w:rFonts w:cs="Times New Roman"/>
        </w:rPr>
        <w:t xml:space="preserve">eur dosiahli medziročný nárast 14,6 % (2018: 284 141 tis. eur), z toho najvyšší objem tvorilo poistné na starobné poistenie 185 389 tis. eur, poistné do rezervného fondu solidarity predstavovalo 63 627 tis. eur a poistné na invalidné poistenie sumu 36 934 tis. eur. </w:t>
      </w:r>
    </w:p>
    <w:p w14:paraId="14D5CBDD" w14:textId="77777777" w:rsidR="00EA177A" w:rsidRPr="00DE0F80" w:rsidRDefault="00EA177A" w:rsidP="00EA177A">
      <w:pPr>
        <w:rPr>
          <w:rFonts w:cs="Times New Roman"/>
        </w:rPr>
      </w:pPr>
      <w:r>
        <w:rPr>
          <w:rFonts w:cs="Times New Roman"/>
          <w:b/>
          <w:i/>
        </w:rPr>
        <w:t>Poistné na osobitné účty</w:t>
      </w:r>
      <w:r>
        <w:rPr>
          <w:rFonts w:cs="Times New Roman"/>
        </w:rPr>
        <w:t xml:space="preserve"> v kapitolách štátneho rozpočtu, do pôsobnosti ktorých patrí riadenie ozbrojených, bezpečnostných a záchranných zložiek medziročne vzrástlo o 14,4 % a dosiahlo sumu 247 438 tis. eur (2018: 216 382 tis. eur), z toho rozhodujúci podiel predstavovalo poistné na výsluhový dôchodok v sume 192 008 tis. eur. Poistné na invalidný výsluhový dôchodok dosiahlo sumu 28 960 tis. eur a na nemocenské zabezpečenie 13 383 tis. eur. Dôvodom nárastu poistného na osobitné účty je predovšetkým nárast výdavkov na mzdy a platy štátnych zamestnancov v služobnom pomere.</w:t>
      </w:r>
    </w:p>
    <w:p w14:paraId="68FA9BEC" w14:textId="77777777" w:rsidR="00EA177A" w:rsidRPr="00DE0F80" w:rsidRDefault="00EA177A" w:rsidP="00EA177A">
      <w:pPr>
        <w:rPr>
          <w:rFonts w:cs="Times New Roman"/>
        </w:rPr>
      </w:pPr>
      <w:r>
        <w:rPr>
          <w:rFonts w:cs="Times New Roman"/>
          <w:b/>
          <w:i/>
        </w:rPr>
        <w:t>Poistné do zdravotných poisťovní</w:t>
      </w:r>
      <w:r>
        <w:rPr>
          <w:rFonts w:cs="Times New Roman"/>
        </w:rPr>
        <w:t xml:space="preserve"> medziročne vzrástlo o 13,5 % a dosiahlo sumu 241 701 tis. eur (2018: 212 985 tis. eur), v tom do Všeobecnej zdravotnej poisťovne, a. s. bolo odvedených 182 760 tis. eur a do ostatných zdravotných poisťovní 58 941 tis. eur.</w:t>
      </w:r>
    </w:p>
    <w:p w14:paraId="713CA73D" w14:textId="77777777" w:rsidR="00EA177A" w:rsidRPr="00E54272" w:rsidRDefault="00EA177A" w:rsidP="00EA177A">
      <w:pPr>
        <w:rPr>
          <w:rFonts w:cs="Times New Roman"/>
        </w:rPr>
      </w:pPr>
      <w:r>
        <w:rPr>
          <w:rFonts w:cs="Times New Roman"/>
          <w:b/>
          <w:i/>
        </w:rPr>
        <w:t>Príspevok do doplnkových dôchodkových poisťovní</w:t>
      </w:r>
      <w:r>
        <w:rPr>
          <w:rFonts w:cs="Times New Roman"/>
        </w:rPr>
        <w:t xml:space="preserve"> bol odvedený v sume 18 000 tis. eur (2018: </w:t>
      </w:r>
      <w:r w:rsidRPr="00365D4A">
        <w:rPr>
          <w:rFonts w:cs="Times New Roman"/>
        </w:rPr>
        <w:t>14 739 tis.</w:t>
      </w:r>
      <w:r w:rsidRPr="00B61620">
        <w:rPr>
          <w:rFonts w:cs="Times New Roman"/>
        </w:rPr>
        <w:t> </w:t>
      </w:r>
      <w:r w:rsidRPr="00E54272">
        <w:rPr>
          <w:rFonts w:cs="Times New Roman"/>
        </w:rPr>
        <w:t xml:space="preserve">eur) a medziročne vzrástol o 22,1 %. </w:t>
      </w:r>
    </w:p>
    <w:p w14:paraId="3EE8CEB0" w14:textId="77777777" w:rsidR="00EA177A" w:rsidRPr="00B61620" w:rsidRDefault="00EA177A" w:rsidP="00EA177A">
      <w:pPr>
        <w:rPr>
          <w:rFonts w:cs="Times New Roman"/>
        </w:rPr>
      </w:pPr>
      <w:r w:rsidRPr="00DB141C">
        <w:rPr>
          <w:rFonts w:cs="Times New Roman"/>
          <w:b/>
          <w:i/>
        </w:rPr>
        <w:t>Príspevky na starobné dôchodkové</w:t>
      </w:r>
      <w:r w:rsidRPr="005C2029">
        <w:rPr>
          <w:rFonts w:cs="Times New Roman"/>
          <w:b/>
          <w:i/>
        </w:rPr>
        <w:t xml:space="preserve"> sporenie</w:t>
      </w:r>
      <w:r>
        <w:rPr>
          <w:rFonts w:cs="Times New Roman"/>
        </w:rPr>
        <w:t xml:space="preserve"> boli odvedené v sume 49 tis. eur (2018: 44 tis. eur) a medziročne vzrástli o 11,</w:t>
      </w:r>
      <w:r w:rsidRPr="00D744D2">
        <w:rPr>
          <w:rFonts w:cs="Times New Roman"/>
        </w:rPr>
        <w:t>2</w:t>
      </w:r>
      <w:r w:rsidRPr="00B61620">
        <w:rPr>
          <w:rFonts w:cs="Times New Roman"/>
        </w:rPr>
        <w:t xml:space="preserve"> %. </w:t>
      </w:r>
    </w:p>
    <w:p w14:paraId="044E15C6" w14:textId="77777777" w:rsidR="00EA177A" w:rsidRPr="00DB141C" w:rsidRDefault="00EA177A" w:rsidP="00EA177A">
      <w:pPr>
        <w:tabs>
          <w:tab w:val="left" w:pos="284"/>
        </w:tabs>
        <w:contextualSpacing/>
        <w:rPr>
          <w:rFonts w:cs="Times New Roman"/>
          <w:b/>
        </w:rPr>
      </w:pPr>
      <w:r w:rsidRPr="00DB141C">
        <w:rPr>
          <w:rFonts w:cs="Times New Roman"/>
          <w:b/>
        </w:rPr>
        <w:t>Tovary a služby</w:t>
      </w:r>
    </w:p>
    <w:p w14:paraId="42A60C9E" w14:textId="77777777" w:rsidR="00EA177A" w:rsidRPr="00DB141C" w:rsidRDefault="00EA177A" w:rsidP="00EA177A">
      <w:pPr>
        <w:suppressAutoHyphens/>
      </w:pPr>
      <w:r w:rsidRPr="005C2029">
        <w:t xml:space="preserve">Výdavky na </w:t>
      </w:r>
      <w:r>
        <w:t>tovary a služby boli rozpočtované v sume 2 428 258 tis. eur. V čerpaní 1 727 982 tis. eur (oproti schválenému rozpočtu</w:t>
      </w:r>
      <w:r w:rsidRPr="00D744D2">
        <w:t xml:space="preserve"> </w:t>
      </w:r>
      <w:r>
        <w:t xml:space="preserve">rozdiel </w:t>
      </w:r>
      <w:r w:rsidRPr="00B61620">
        <w:t>o</w:t>
      </w:r>
      <w:r w:rsidRPr="00E54272">
        <w:t> 28,8</w:t>
      </w:r>
      <w:r w:rsidRPr="003D306D">
        <w:t xml:space="preserve"> %</w:t>
      </w:r>
      <w:r>
        <w:t>)</w:t>
      </w:r>
      <w:r w:rsidRPr="003D306D">
        <w:t xml:space="preserve"> </w:t>
      </w:r>
      <w:r w:rsidRPr="00A23804">
        <w:t>sa odrazila najmä skutočnosť, že v rámci služieb sa rozpočtujú aj zálohové platby na projekty EÚ a prostriedky štátneho rozpočtu na spolufinancovanie projektov v súlade s koncepciou finančného riadenia štrukturálnych fo</w:t>
      </w:r>
      <w:r w:rsidRPr="00DB141C">
        <w:t>ndov a Kohézneho fondu. Zúčtovanie poskytnutých zálohových platieb sa však vykonáva na príslušných položkách rozpočtovej klasifikácie podľa skutočne realizovaných výdavkov (napríklad bežné a kapitálové transfery).</w:t>
      </w:r>
    </w:p>
    <w:p w14:paraId="773EF25F" w14:textId="77777777" w:rsidR="00EA177A" w:rsidRPr="00E54272" w:rsidRDefault="00EA177A" w:rsidP="00EA177A">
      <w:pPr>
        <w:suppressAutoHyphens/>
      </w:pPr>
      <w:r w:rsidRPr="005C2029">
        <w:t xml:space="preserve">Z výdavkov vyčlenených na tovary a služby </w:t>
      </w:r>
      <w:r>
        <w:t xml:space="preserve">sa financovali nákupy tovarov a služieb, ktoré si vyžaduje prevádzka jednotlivých úradov (energie, cestovné, dopravné, údržba a opravy, prenájom hnuteľných a nehnuteľných vecí, poštové a telekomunikačné služby a pod.). </w:t>
      </w:r>
    </w:p>
    <w:tbl>
      <w:tblPr>
        <w:tblW w:w="8474" w:type="dxa"/>
        <w:tblInd w:w="56" w:type="dxa"/>
        <w:tblCellMar>
          <w:left w:w="70" w:type="dxa"/>
          <w:right w:w="70" w:type="dxa"/>
        </w:tblCellMar>
        <w:tblLook w:val="04A0" w:firstRow="1" w:lastRow="0" w:firstColumn="1" w:lastColumn="0" w:noHBand="0" w:noVBand="1"/>
      </w:tblPr>
      <w:tblGrid>
        <w:gridCol w:w="2804"/>
        <w:gridCol w:w="992"/>
        <w:gridCol w:w="284"/>
        <w:gridCol w:w="708"/>
        <w:gridCol w:w="174"/>
        <w:gridCol w:w="882"/>
        <w:gridCol w:w="1076"/>
        <w:gridCol w:w="817"/>
        <w:gridCol w:w="737"/>
      </w:tblGrid>
      <w:tr w:rsidR="00EA177A" w:rsidRPr="003E59E8" w14:paraId="230B8EAF" w14:textId="77777777" w:rsidTr="00AB0EFE">
        <w:trPr>
          <w:trHeight w:val="401"/>
        </w:trPr>
        <w:tc>
          <w:tcPr>
            <w:tcW w:w="8474" w:type="dxa"/>
            <w:gridSpan w:val="9"/>
            <w:tcBorders>
              <w:top w:val="nil"/>
              <w:left w:val="nil"/>
              <w:bottom w:val="nil"/>
              <w:right w:val="nil"/>
            </w:tcBorders>
            <w:shd w:val="clear" w:color="000000" w:fill="000000"/>
            <w:vAlign w:val="center"/>
            <w:hideMark/>
          </w:tcPr>
          <w:p w14:paraId="44E512B5"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 xml:space="preserve">Tovary a služby                                                                                                                         </w:t>
            </w:r>
            <w:r>
              <w:rPr>
                <w:rFonts w:eastAsia="Times New Roman" w:cs="Times New Roman"/>
                <w:b/>
                <w:bCs/>
                <w:sz w:val="18"/>
                <w:szCs w:val="18"/>
                <w:lang w:eastAsia="sk-SK"/>
              </w:rPr>
              <w:t xml:space="preserve">                 </w:t>
            </w:r>
            <w:r w:rsidRPr="003E59E8">
              <w:rPr>
                <w:rFonts w:eastAsia="Times New Roman" w:cs="Times New Roman"/>
                <w:b/>
                <w:bCs/>
                <w:sz w:val="18"/>
                <w:szCs w:val="18"/>
                <w:lang w:eastAsia="sk-SK"/>
              </w:rPr>
              <w:t>v tis. eur</w:t>
            </w:r>
          </w:p>
        </w:tc>
      </w:tr>
      <w:tr w:rsidR="00EA177A" w:rsidRPr="003E59E8" w14:paraId="18D58FF4" w14:textId="77777777" w:rsidTr="00C704A7">
        <w:trPr>
          <w:trHeight w:val="330"/>
        </w:trPr>
        <w:tc>
          <w:tcPr>
            <w:tcW w:w="2804" w:type="dxa"/>
            <w:vMerge w:val="restart"/>
            <w:tcBorders>
              <w:top w:val="nil"/>
              <w:left w:val="nil"/>
              <w:bottom w:val="nil"/>
              <w:right w:val="nil"/>
            </w:tcBorders>
            <w:shd w:val="clear" w:color="000000" w:fill="BFBFBF"/>
            <w:vAlign w:val="center"/>
            <w:hideMark/>
          </w:tcPr>
          <w:p w14:paraId="0D6D9CC1"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 xml:space="preserve"> </w:t>
            </w:r>
          </w:p>
        </w:tc>
        <w:tc>
          <w:tcPr>
            <w:tcW w:w="2158" w:type="dxa"/>
            <w:gridSpan w:val="4"/>
            <w:tcBorders>
              <w:top w:val="nil"/>
              <w:left w:val="nil"/>
              <w:bottom w:val="nil"/>
              <w:right w:val="nil"/>
            </w:tcBorders>
            <w:shd w:val="clear" w:color="000000" w:fill="BFBFBF"/>
            <w:noWrap/>
            <w:vAlign w:val="center"/>
            <w:hideMark/>
          </w:tcPr>
          <w:p w14:paraId="41234F09"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882" w:type="dxa"/>
            <w:tcBorders>
              <w:top w:val="nil"/>
              <w:left w:val="nil"/>
              <w:bottom w:val="nil"/>
              <w:right w:val="nil"/>
            </w:tcBorders>
            <w:shd w:val="clear" w:color="000000" w:fill="BFBFBF"/>
            <w:noWrap/>
            <w:vAlign w:val="center"/>
            <w:hideMark/>
          </w:tcPr>
          <w:p w14:paraId="029BEB9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Rozpočet</w:t>
            </w:r>
          </w:p>
        </w:tc>
        <w:tc>
          <w:tcPr>
            <w:tcW w:w="1076" w:type="dxa"/>
            <w:tcBorders>
              <w:top w:val="nil"/>
              <w:left w:val="nil"/>
              <w:bottom w:val="nil"/>
              <w:right w:val="nil"/>
            </w:tcBorders>
            <w:shd w:val="clear" w:color="000000" w:fill="BFBFBF"/>
            <w:noWrap/>
            <w:vAlign w:val="center"/>
            <w:hideMark/>
          </w:tcPr>
          <w:p w14:paraId="32A96867"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554" w:type="dxa"/>
            <w:gridSpan w:val="2"/>
            <w:tcBorders>
              <w:top w:val="nil"/>
              <w:left w:val="nil"/>
              <w:bottom w:val="nil"/>
              <w:right w:val="nil"/>
            </w:tcBorders>
            <w:shd w:val="clear" w:color="000000" w:fill="BFBFBF"/>
            <w:noWrap/>
            <w:vAlign w:val="center"/>
            <w:hideMark/>
          </w:tcPr>
          <w:p w14:paraId="281716E1"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Rozdiel</w:t>
            </w:r>
          </w:p>
        </w:tc>
      </w:tr>
      <w:tr w:rsidR="00EA177A" w:rsidRPr="003E59E8" w14:paraId="4C3469ED" w14:textId="77777777" w:rsidTr="00C704A7">
        <w:trPr>
          <w:trHeight w:val="330"/>
        </w:trPr>
        <w:tc>
          <w:tcPr>
            <w:tcW w:w="2804" w:type="dxa"/>
            <w:vMerge/>
            <w:tcBorders>
              <w:top w:val="nil"/>
              <w:left w:val="nil"/>
              <w:bottom w:val="nil"/>
              <w:right w:val="nil"/>
            </w:tcBorders>
            <w:vAlign w:val="center"/>
            <w:hideMark/>
          </w:tcPr>
          <w:p w14:paraId="540051CA" w14:textId="77777777" w:rsidR="00EA177A" w:rsidRPr="003E59E8" w:rsidRDefault="00EA177A" w:rsidP="00C704A7">
            <w:pPr>
              <w:spacing w:after="0" w:line="240" w:lineRule="auto"/>
              <w:jc w:val="left"/>
              <w:rPr>
                <w:rFonts w:eastAsia="Times New Roman" w:cs="Times New Roman"/>
                <w:b/>
                <w:bCs/>
                <w:sz w:val="18"/>
                <w:szCs w:val="18"/>
                <w:lang w:eastAsia="sk-SK"/>
              </w:rPr>
            </w:pPr>
          </w:p>
        </w:tc>
        <w:tc>
          <w:tcPr>
            <w:tcW w:w="1276" w:type="dxa"/>
            <w:gridSpan w:val="2"/>
            <w:tcBorders>
              <w:top w:val="nil"/>
              <w:left w:val="nil"/>
              <w:bottom w:val="nil"/>
              <w:right w:val="nil"/>
            </w:tcBorders>
            <w:shd w:val="clear" w:color="000000" w:fill="BFBFBF"/>
            <w:noWrap/>
            <w:vAlign w:val="center"/>
            <w:hideMark/>
          </w:tcPr>
          <w:p w14:paraId="2B4E9D8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2017</w:t>
            </w:r>
          </w:p>
        </w:tc>
        <w:tc>
          <w:tcPr>
            <w:tcW w:w="882" w:type="dxa"/>
            <w:gridSpan w:val="2"/>
            <w:tcBorders>
              <w:top w:val="nil"/>
              <w:left w:val="nil"/>
              <w:bottom w:val="nil"/>
              <w:right w:val="nil"/>
            </w:tcBorders>
            <w:shd w:val="clear" w:color="000000" w:fill="BFBFBF"/>
            <w:noWrap/>
            <w:vAlign w:val="center"/>
            <w:hideMark/>
          </w:tcPr>
          <w:p w14:paraId="01FE3A82"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2018</w:t>
            </w:r>
          </w:p>
        </w:tc>
        <w:tc>
          <w:tcPr>
            <w:tcW w:w="882" w:type="dxa"/>
            <w:tcBorders>
              <w:top w:val="nil"/>
              <w:left w:val="nil"/>
              <w:bottom w:val="nil"/>
              <w:right w:val="nil"/>
            </w:tcBorders>
            <w:shd w:val="clear" w:color="000000" w:fill="BFBFBF"/>
            <w:noWrap/>
            <w:vAlign w:val="center"/>
            <w:hideMark/>
          </w:tcPr>
          <w:p w14:paraId="11174760"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1076" w:type="dxa"/>
            <w:tcBorders>
              <w:top w:val="nil"/>
              <w:left w:val="nil"/>
              <w:bottom w:val="nil"/>
              <w:right w:val="nil"/>
            </w:tcBorders>
            <w:shd w:val="clear" w:color="000000" w:fill="BFBFBF"/>
            <w:noWrap/>
            <w:vAlign w:val="center"/>
            <w:hideMark/>
          </w:tcPr>
          <w:p w14:paraId="4519DF8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817" w:type="dxa"/>
            <w:tcBorders>
              <w:top w:val="nil"/>
              <w:left w:val="nil"/>
              <w:bottom w:val="nil"/>
              <w:right w:val="nil"/>
            </w:tcBorders>
            <w:shd w:val="clear" w:color="000000" w:fill="BFBFBF"/>
            <w:noWrap/>
            <w:vAlign w:val="center"/>
            <w:hideMark/>
          </w:tcPr>
          <w:p w14:paraId="0CA2257A"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tis. eur</w:t>
            </w:r>
          </w:p>
        </w:tc>
        <w:tc>
          <w:tcPr>
            <w:tcW w:w="737" w:type="dxa"/>
            <w:tcBorders>
              <w:top w:val="nil"/>
              <w:left w:val="nil"/>
              <w:bottom w:val="nil"/>
              <w:right w:val="nil"/>
            </w:tcBorders>
            <w:shd w:val="clear" w:color="000000" w:fill="BFBFBF"/>
            <w:noWrap/>
            <w:vAlign w:val="center"/>
            <w:hideMark/>
          </w:tcPr>
          <w:p w14:paraId="4384797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w:t>
            </w:r>
          </w:p>
        </w:tc>
      </w:tr>
      <w:tr w:rsidR="00EA177A" w:rsidRPr="003E59E8" w14:paraId="243E90A2" w14:textId="77777777" w:rsidTr="00C704A7">
        <w:trPr>
          <w:trHeight w:val="345"/>
        </w:trPr>
        <w:tc>
          <w:tcPr>
            <w:tcW w:w="2804" w:type="dxa"/>
            <w:tcBorders>
              <w:top w:val="nil"/>
              <w:left w:val="nil"/>
              <w:bottom w:val="single" w:sz="8" w:space="0" w:color="auto"/>
              <w:right w:val="nil"/>
            </w:tcBorders>
            <w:shd w:val="clear" w:color="000000" w:fill="BFBFBF"/>
            <w:vAlign w:val="center"/>
            <w:hideMark/>
          </w:tcPr>
          <w:p w14:paraId="11D07C92"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 </w:t>
            </w:r>
          </w:p>
        </w:tc>
        <w:tc>
          <w:tcPr>
            <w:tcW w:w="1276" w:type="dxa"/>
            <w:gridSpan w:val="2"/>
            <w:tcBorders>
              <w:top w:val="nil"/>
              <w:left w:val="nil"/>
              <w:bottom w:val="single" w:sz="8" w:space="0" w:color="auto"/>
              <w:right w:val="nil"/>
            </w:tcBorders>
            <w:shd w:val="clear" w:color="000000" w:fill="BFBFBF"/>
            <w:noWrap/>
            <w:vAlign w:val="center"/>
            <w:hideMark/>
          </w:tcPr>
          <w:p w14:paraId="0647ADDB"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1</w:t>
            </w:r>
          </w:p>
        </w:tc>
        <w:tc>
          <w:tcPr>
            <w:tcW w:w="882" w:type="dxa"/>
            <w:gridSpan w:val="2"/>
            <w:tcBorders>
              <w:top w:val="nil"/>
              <w:left w:val="nil"/>
              <w:bottom w:val="single" w:sz="8" w:space="0" w:color="auto"/>
              <w:right w:val="nil"/>
            </w:tcBorders>
            <w:shd w:val="clear" w:color="000000" w:fill="BFBFBF"/>
            <w:noWrap/>
            <w:vAlign w:val="center"/>
            <w:hideMark/>
          </w:tcPr>
          <w:p w14:paraId="06E5629C"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w:t>
            </w:r>
          </w:p>
        </w:tc>
        <w:tc>
          <w:tcPr>
            <w:tcW w:w="882" w:type="dxa"/>
            <w:tcBorders>
              <w:top w:val="nil"/>
              <w:left w:val="nil"/>
              <w:bottom w:val="single" w:sz="8" w:space="0" w:color="auto"/>
              <w:right w:val="nil"/>
            </w:tcBorders>
            <w:shd w:val="clear" w:color="000000" w:fill="BFBFBF"/>
            <w:noWrap/>
            <w:vAlign w:val="center"/>
            <w:hideMark/>
          </w:tcPr>
          <w:p w14:paraId="2904A90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3</w:t>
            </w:r>
          </w:p>
        </w:tc>
        <w:tc>
          <w:tcPr>
            <w:tcW w:w="1076" w:type="dxa"/>
            <w:tcBorders>
              <w:top w:val="nil"/>
              <w:left w:val="nil"/>
              <w:bottom w:val="single" w:sz="8" w:space="0" w:color="auto"/>
              <w:right w:val="nil"/>
            </w:tcBorders>
            <w:shd w:val="clear" w:color="000000" w:fill="BFBFBF"/>
            <w:noWrap/>
            <w:vAlign w:val="center"/>
            <w:hideMark/>
          </w:tcPr>
          <w:p w14:paraId="32D6424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817" w:type="dxa"/>
            <w:tcBorders>
              <w:top w:val="nil"/>
              <w:left w:val="nil"/>
              <w:bottom w:val="single" w:sz="8" w:space="0" w:color="auto"/>
              <w:right w:val="nil"/>
            </w:tcBorders>
            <w:shd w:val="clear" w:color="000000" w:fill="BFBFBF"/>
            <w:noWrap/>
            <w:vAlign w:val="center"/>
            <w:hideMark/>
          </w:tcPr>
          <w:p w14:paraId="60B9362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5=4-3</w:t>
            </w:r>
          </w:p>
        </w:tc>
        <w:tc>
          <w:tcPr>
            <w:tcW w:w="737" w:type="dxa"/>
            <w:tcBorders>
              <w:top w:val="nil"/>
              <w:left w:val="nil"/>
              <w:bottom w:val="single" w:sz="8" w:space="0" w:color="auto"/>
              <w:right w:val="nil"/>
            </w:tcBorders>
            <w:shd w:val="clear" w:color="000000" w:fill="BFBFBF"/>
            <w:noWrap/>
            <w:vAlign w:val="center"/>
            <w:hideMark/>
          </w:tcPr>
          <w:p w14:paraId="3C5F048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6=4-3</w:t>
            </w:r>
          </w:p>
        </w:tc>
      </w:tr>
      <w:tr w:rsidR="00EA177A" w:rsidRPr="003E59E8" w14:paraId="162642EB" w14:textId="77777777" w:rsidTr="00C704A7">
        <w:trPr>
          <w:trHeight w:val="300"/>
        </w:trPr>
        <w:tc>
          <w:tcPr>
            <w:tcW w:w="2804" w:type="dxa"/>
            <w:tcBorders>
              <w:top w:val="nil"/>
              <w:left w:val="nil"/>
              <w:bottom w:val="nil"/>
              <w:right w:val="nil"/>
            </w:tcBorders>
            <w:shd w:val="clear" w:color="auto" w:fill="auto"/>
            <w:vAlign w:val="center"/>
            <w:hideMark/>
          </w:tcPr>
          <w:p w14:paraId="0F3F508D"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Služby</w:t>
            </w:r>
          </w:p>
        </w:tc>
        <w:tc>
          <w:tcPr>
            <w:tcW w:w="992" w:type="dxa"/>
            <w:tcBorders>
              <w:top w:val="nil"/>
              <w:left w:val="nil"/>
              <w:bottom w:val="nil"/>
              <w:right w:val="nil"/>
            </w:tcBorders>
            <w:shd w:val="clear" w:color="auto" w:fill="auto"/>
            <w:noWrap/>
            <w:vAlign w:val="center"/>
            <w:hideMark/>
          </w:tcPr>
          <w:p w14:paraId="0B01DF7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554 882</w:t>
            </w:r>
          </w:p>
        </w:tc>
        <w:tc>
          <w:tcPr>
            <w:tcW w:w="992" w:type="dxa"/>
            <w:gridSpan w:val="2"/>
            <w:tcBorders>
              <w:top w:val="nil"/>
              <w:left w:val="nil"/>
              <w:bottom w:val="nil"/>
              <w:right w:val="nil"/>
            </w:tcBorders>
            <w:shd w:val="clear" w:color="000000" w:fill="FFFFFF"/>
            <w:noWrap/>
            <w:vAlign w:val="center"/>
            <w:hideMark/>
          </w:tcPr>
          <w:p w14:paraId="61E641C0"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713 722</w:t>
            </w:r>
          </w:p>
        </w:tc>
        <w:tc>
          <w:tcPr>
            <w:tcW w:w="1056" w:type="dxa"/>
            <w:gridSpan w:val="2"/>
            <w:tcBorders>
              <w:top w:val="nil"/>
              <w:left w:val="nil"/>
              <w:bottom w:val="nil"/>
              <w:right w:val="nil"/>
            </w:tcBorders>
            <w:shd w:val="clear" w:color="auto" w:fill="auto"/>
            <w:noWrap/>
            <w:vAlign w:val="center"/>
            <w:hideMark/>
          </w:tcPr>
          <w:p w14:paraId="5975501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1 537 617</w:t>
            </w:r>
          </w:p>
        </w:tc>
        <w:tc>
          <w:tcPr>
            <w:tcW w:w="1076" w:type="dxa"/>
            <w:tcBorders>
              <w:top w:val="nil"/>
              <w:left w:val="nil"/>
              <w:bottom w:val="nil"/>
              <w:right w:val="nil"/>
            </w:tcBorders>
            <w:shd w:val="clear" w:color="000000" w:fill="BFBFBF"/>
            <w:noWrap/>
            <w:vAlign w:val="center"/>
            <w:hideMark/>
          </w:tcPr>
          <w:p w14:paraId="048D9CE8"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735 990</w:t>
            </w:r>
          </w:p>
        </w:tc>
        <w:tc>
          <w:tcPr>
            <w:tcW w:w="817" w:type="dxa"/>
            <w:tcBorders>
              <w:top w:val="nil"/>
              <w:left w:val="nil"/>
              <w:bottom w:val="nil"/>
              <w:right w:val="nil"/>
            </w:tcBorders>
            <w:shd w:val="clear" w:color="auto" w:fill="auto"/>
            <w:noWrap/>
            <w:vAlign w:val="center"/>
            <w:hideMark/>
          </w:tcPr>
          <w:p w14:paraId="47C9260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-801 627</w:t>
            </w:r>
          </w:p>
        </w:tc>
        <w:tc>
          <w:tcPr>
            <w:tcW w:w="737" w:type="dxa"/>
            <w:tcBorders>
              <w:top w:val="nil"/>
              <w:left w:val="nil"/>
              <w:bottom w:val="nil"/>
              <w:right w:val="nil"/>
            </w:tcBorders>
            <w:shd w:val="clear" w:color="auto" w:fill="auto"/>
            <w:noWrap/>
            <w:vAlign w:val="center"/>
            <w:hideMark/>
          </w:tcPr>
          <w:p w14:paraId="0AC3D74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-52,1</w:t>
            </w:r>
          </w:p>
        </w:tc>
      </w:tr>
      <w:tr w:rsidR="00EA177A" w:rsidRPr="003E59E8" w14:paraId="3C488997" w14:textId="77777777" w:rsidTr="00C704A7">
        <w:trPr>
          <w:trHeight w:val="300"/>
        </w:trPr>
        <w:tc>
          <w:tcPr>
            <w:tcW w:w="2804" w:type="dxa"/>
            <w:tcBorders>
              <w:top w:val="nil"/>
              <w:left w:val="nil"/>
              <w:bottom w:val="nil"/>
              <w:right w:val="nil"/>
            </w:tcBorders>
            <w:shd w:val="clear" w:color="auto" w:fill="auto"/>
            <w:vAlign w:val="center"/>
            <w:hideMark/>
          </w:tcPr>
          <w:p w14:paraId="54E1E479"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Rutinná a štandardná údržba</w:t>
            </w:r>
          </w:p>
        </w:tc>
        <w:tc>
          <w:tcPr>
            <w:tcW w:w="992" w:type="dxa"/>
            <w:tcBorders>
              <w:top w:val="nil"/>
              <w:left w:val="nil"/>
              <w:bottom w:val="nil"/>
              <w:right w:val="nil"/>
            </w:tcBorders>
            <w:shd w:val="clear" w:color="auto" w:fill="auto"/>
            <w:noWrap/>
            <w:vAlign w:val="center"/>
            <w:hideMark/>
          </w:tcPr>
          <w:p w14:paraId="7906CB2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287 430</w:t>
            </w:r>
          </w:p>
        </w:tc>
        <w:tc>
          <w:tcPr>
            <w:tcW w:w="992" w:type="dxa"/>
            <w:gridSpan w:val="2"/>
            <w:tcBorders>
              <w:top w:val="nil"/>
              <w:left w:val="nil"/>
              <w:bottom w:val="nil"/>
              <w:right w:val="nil"/>
            </w:tcBorders>
            <w:shd w:val="clear" w:color="000000" w:fill="FFFFFF"/>
            <w:noWrap/>
            <w:vAlign w:val="center"/>
            <w:hideMark/>
          </w:tcPr>
          <w:p w14:paraId="14AC5ECD"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288 069</w:t>
            </w:r>
          </w:p>
        </w:tc>
        <w:tc>
          <w:tcPr>
            <w:tcW w:w="1056" w:type="dxa"/>
            <w:gridSpan w:val="2"/>
            <w:tcBorders>
              <w:top w:val="nil"/>
              <w:left w:val="nil"/>
              <w:bottom w:val="nil"/>
              <w:right w:val="nil"/>
            </w:tcBorders>
            <w:shd w:val="clear" w:color="auto" w:fill="auto"/>
            <w:noWrap/>
            <w:vAlign w:val="center"/>
            <w:hideMark/>
          </w:tcPr>
          <w:p w14:paraId="33BDAAD3"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241 708</w:t>
            </w:r>
          </w:p>
        </w:tc>
        <w:tc>
          <w:tcPr>
            <w:tcW w:w="1076" w:type="dxa"/>
            <w:tcBorders>
              <w:top w:val="nil"/>
              <w:left w:val="nil"/>
              <w:bottom w:val="nil"/>
              <w:right w:val="nil"/>
            </w:tcBorders>
            <w:shd w:val="clear" w:color="000000" w:fill="BFBFBF"/>
            <w:noWrap/>
            <w:vAlign w:val="center"/>
            <w:hideMark/>
          </w:tcPr>
          <w:p w14:paraId="0E4F3E04"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329 707</w:t>
            </w:r>
          </w:p>
        </w:tc>
        <w:tc>
          <w:tcPr>
            <w:tcW w:w="817" w:type="dxa"/>
            <w:tcBorders>
              <w:top w:val="nil"/>
              <w:left w:val="nil"/>
              <w:bottom w:val="nil"/>
              <w:right w:val="nil"/>
            </w:tcBorders>
            <w:shd w:val="clear" w:color="auto" w:fill="auto"/>
            <w:noWrap/>
            <w:vAlign w:val="center"/>
            <w:hideMark/>
          </w:tcPr>
          <w:p w14:paraId="110ADF5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87 999</w:t>
            </w:r>
          </w:p>
        </w:tc>
        <w:tc>
          <w:tcPr>
            <w:tcW w:w="737" w:type="dxa"/>
            <w:tcBorders>
              <w:top w:val="nil"/>
              <w:left w:val="nil"/>
              <w:bottom w:val="nil"/>
              <w:right w:val="nil"/>
            </w:tcBorders>
            <w:shd w:val="clear" w:color="auto" w:fill="auto"/>
            <w:noWrap/>
            <w:vAlign w:val="center"/>
            <w:hideMark/>
          </w:tcPr>
          <w:p w14:paraId="6927F0A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36,4</w:t>
            </w:r>
          </w:p>
        </w:tc>
      </w:tr>
      <w:tr w:rsidR="00EA177A" w:rsidRPr="003E59E8" w14:paraId="6AE76F79" w14:textId="77777777" w:rsidTr="00C704A7">
        <w:trPr>
          <w:trHeight w:val="300"/>
        </w:trPr>
        <w:tc>
          <w:tcPr>
            <w:tcW w:w="2804" w:type="dxa"/>
            <w:tcBorders>
              <w:top w:val="nil"/>
              <w:left w:val="nil"/>
              <w:bottom w:val="nil"/>
              <w:right w:val="nil"/>
            </w:tcBorders>
            <w:shd w:val="clear" w:color="auto" w:fill="auto"/>
            <w:vAlign w:val="center"/>
            <w:hideMark/>
          </w:tcPr>
          <w:p w14:paraId="45D34BE8"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Materiál</w:t>
            </w:r>
          </w:p>
        </w:tc>
        <w:tc>
          <w:tcPr>
            <w:tcW w:w="992" w:type="dxa"/>
            <w:tcBorders>
              <w:top w:val="nil"/>
              <w:left w:val="nil"/>
              <w:bottom w:val="nil"/>
              <w:right w:val="nil"/>
            </w:tcBorders>
            <w:shd w:val="clear" w:color="auto" w:fill="auto"/>
            <w:noWrap/>
            <w:vAlign w:val="center"/>
            <w:hideMark/>
          </w:tcPr>
          <w:p w14:paraId="5613EC4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202 716</w:t>
            </w:r>
          </w:p>
        </w:tc>
        <w:tc>
          <w:tcPr>
            <w:tcW w:w="992" w:type="dxa"/>
            <w:gridSpan w:val="2"/>
            <w:tcBorders>
              <w:top w:val="nil"/>
              <w:left w:val="nil"/>
              <w:bottom w:val="nil"/>
              <w:right w:val="nil"/>
            </w:tcBorders>
            <w:shd w:val="clear" w:color="000000" w:fill="FFFFFF"/>
            <w:noWrap/>
            <w:vAlign w:val="center"/>
            <w:hideMark/>
          </w:tcPr>
          <w:p w14:paraId="555B65C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189 815</w:t>
            </w:r>
          </w:p>
        </w:tc>
        <w:tc>
          <w:tcPr>
            <w:tcW w:w="1056" w:type="dxa"/>
            <w:gridSpan w:val="2"/>
            <w:tcBorders>
              <w:top w:val="nil"/>
              <w:left w:val="nil"/>
              <w:bottom w:val="nil"/>
              <w:right w:val="nil"/>
            </w:tcBorders>
            <w:shd w:val="clear" w:color="auto" w:fill="auto"/>
            <w:noWrap/>
            <w:vAlign w:val="center"/>
            <w:hideMark/>
          </w:tcPr>
          <w:p w14:paraId="2E5D9B2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197 799</w:t>
            </w:r>
          </w:p>
        </w:tc>
        <w:tc>
          <w:tcPr>
            <w:tcW w:w="1076" w:type="dxa"/>
            <w:tcBorders>
              <w:top w:val="nil"/>
              <w:left w:val="nil"/>
              <w:bottom w:val="nil"/>
              <w:right w:val="nil"/>
            </w:tcBorders>
            <w:shd w:val="clear" w:color="000000" w:fill="BFBFBF"/>
            <w:noWrap/>
            <w:vAlign w:val="center"/>
            <w:hideMark/>
          </w:tcPr>
          <w:p w14:paraId="58150E2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209 816</w:t>
            </w:r>
          </w:p>
        </w:tc>
        <w:tc>
          <w:tcPr>
            <w:tcW w:w="817" w:type="dxa"/>
            <w:tcBorders>
              <w:top w:val="nil"/>
              <w:left w:val="nil"/>
              <w:bottom w:val="nil"/>
              <w:right w:val="nil"/>
            </w:tcBorders>
            <w:shd w:val="clear" w:color="auto" w:fill="auto"/>
            <w:noWrap/>
            <w:vAlign w:val="center"/>
            <w:hideMark/>
          </w:tcPr>
          <w:p w14:paraId="3ACD3E8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12 017</w:t>
            </w:r>
          </w:p>
        </w:tc>
        <w:tc>
          <w:tcPr>
            <w:tcW w:w="737" w:type="dxa"/>
            <w:tcBorders>
              <w:top w:val="nil"/>
              <w:left w:val="nil"/>
              <w:bottom w:val="nil"/>
              <w:right w:val="nil"/>
            </w:tcBorders>
            <w:shd w:val="clear" w:color="auto" w:fill="auto"/>
            <w:noWrap/>
            <w:vAlign w:val="center"/>
            <w:hideMark/>
          </w:tcPr>
          <w:p w14:paraId="6EE539CD"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6,1</w:t>
            </w:r>
          </w:p>
        </w:tc>
      </w:tr>
      <w:tr w:rsidR="00EA177A" w:rsidRPr="003E59E8" w14:paraId="146BFEA8" w14:textId="77777777" w:rsidTr="00C704A7">
        <w:trPr>
          <w:trHeight w:val="300"/>
        </w:trPr>
        <w:tc>
          <w:tcPr>
            <w:tcW w:w="2804" w:type="dxa"/>
            <w:tcBorders>
              <w:top w:val="nil"/>
              <w:left w:val="nil"/>
              <w:bottom w:val="nil"/>
              <w:right w:val="nil"/>
            </w:tcBorders>
            <w:shd w:val="clear" w:color="auto" w:fill="auto"/>
            <w:vAlign w:val="center"/>
            <w:hideMark/>
          </w:tcPr>
          <w:p w14:paraId="4BAC547D"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Energie, voda a komunikácie</w:t>
            </w:r>
          </w:p>
        </w:tc>
        <w:tc>
          <w:tcPr>
            <w:tcW w:w="992" w:type="dxa"/>
            <w:tcBorders>
              <w:top w:val="nil"/>
              <w:left w:val="nil"/>
              <w:bottom w:val="nil"/>
              <w:right w:val="nil"/>
            </w:tcBorders>
            <w:shd w:val="clear" w:color="auto" w:fill="auto"/>
            <w:noWrap/>
            <w:vAlign w:val="center"/>
            <w:hideMark/>
          </w:tcPr>
          <w:p w14:paraId="2D32300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175 935</w:t>
            </w:r>
          </w:p>
        </w:tc>
        <w:tc>
          <w:tcPr>
            <w:tcW w:w="992" w:type="dxa"/>
            <w:gridSpan w:val="2"/>
            <w:tcBorders>
              <w:top w:val="nil"/>
              <w:left w:val="nil"/>
              <w:bottom w:val="nil"/>
              <w:right w:val="nil"/>
            </w:tcBorders>
            <w:shd w:val="clear" w:color="000000" w:fill="FFFFFF"/>
            <w:noWrap/>
            <w:vAlign w:val="center"/>
            <w:hideMark/>
          </w:tcPr>
          <w:p w14:paraId="7969569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178 373</w:t>
            </w:r>
          </w:p>
        </w:tc>
        <w:tc>
          <w:tcPr>
            <w:tcW w:w="1056" w:type="dxa"/>
            <w:gridSpan w:val="2"/>
            <w:tcBorders>
              <w:top w:val="nil"/>
              <w:left w:val="nil"/>
              <w:bottom w:val="nil"/>
              <w:right w:val="nil"/>
            </w:tcBorders>
            <w:shd w:val="clear" w:color="auto" w:fill="auto"/>
            <w:noWrap/>
            <w:vAlign w:val="center"/>
            <w:hideMark/>
          </w:tcPr>
          <w:p w14:paraId="592C5EE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167 275</w:t>
            </w:r>
          </w:p>
        </w:tc>
        <w:tc>
          <w:tcPr>
            <w:tcW w:w="1076" w:type="dxa"/>
            <w:tcBorders>
              <w:top w:val="nil"/>
              <w:left w:val="nil"/>
              <w:bottom w:val="nil"/>
              <w:right w:val="nil"/>
            </w:tcBorders>
            <w:shd w:val="clear" w:color="000000" w:fill="BFBFBF"/>
            <w:noWrap/>
            <w:vAlign w:val="center"/>
            <w:hideMark/>
          </w:tcPr>
          <w:p w14:paraId="1640F79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174 697</w:t>
            </w:r>
          </w:p>
        </w:tc>
        <w:tc>
          <w:tcPr>
            <w:tcW w:w="817" w:type="dxa"/>
            <w:tcBorders>
              <w:top w:val="nil"/>
              <w:left w:val="nil"/>
              <w:bottom w:val="nil"/>
              <w:right w:val="nil"/>
            </w:tcBorders>
            <w:shd w:val="clear" w:color="auto" w:fill="auto"/>
            <w:noWrap/>
            <w:vAlign w:val="center"/>
            <w:hideMark/>
          </w:tcPr>
          <w:p w14:paraId="55664BF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7 422</w:t>
            </w:r>
          </w:p>
        </w:tc>
        <w:tc>
          <w:tcPr>
            <w:tcW w:w="737" w:type="dxa"/>
            <w:tcBorders>
              <w:top w:val="nil"/>
              <w:left w:val="nil"/>
              <w:bottom w:val="nil"/>
              <w:right w:val="nil"/>
            </w:tcBorders>
            <w:shd w:val="clear" w:color="auto" w:fill="auto"/>
            <w:noWrap/>
            <w:vAlign w:val="center"/>
            <w:hideMark/>
          </w:tcPr>
          <w:p w14:paraId="507E32B4"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4,4</w:t>
            </w:r>
          </w:p>
        </w:tc>
      </w:tr>
      <w:tr w:rsidR="00EA177A" w:rsidRPr="003E59E8" w14:paraId="6106DCB0" w14:textId="77777777" w:rsidTr="00C704A7">
        <w:trPr>
          <w:trHeight w:val="435"/>
        </w:trPr>
        <w:tc>
          <w:tcPr>
            <w:tcW w:w="2804" w:type="dxa"/>
            <w:tcBorders>
              <w:top w:val="nil"/>
              <w:left w:val="nil"/>
              <w:bottom w:val="nil"/>
              <w:right w:val="nil"/>
            </w:tcBorders>
            <w:shd w:val="clear" w:color="auto" w:fill="auto"/>
            <w:vAlign w:val="center"/>
            <w:hideMark/>
          </w:tcPr>
          <w:p w14:paraId="0E152FA7"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Nájomné za nájom nehnuteľných a hnuteľných vecí</w:t>
            </w:r>
          </w:p>
        </w:tc>
        <w:tc>
          <w:tcPr>
            <w:tcW w:w="992" w:type="dxa"/>
            <w:tcBorders>
              <w:top w:val="nil"/>
              <w:left w:val="nil"/>
              <w:bottom w:val="nil"/>
              <w:right w:val="nil"/>
            </w:tcBorders>
            <w:shd w:val="clear" w:color="auto" w:fill="auto"/>
            <w:noWrap/>
            <w:vAlign w:val="center"/>
            <w:hideMark/>
          </w:tcPr>
          <w:p w14:paraId="5DD1CB1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164 733</w:t>
            </w:r>
          </w:p>
        </w:tc>
        <w:tc>
          <w:tcPr>
            <w:tcW w:w="992" w:type="dxa"/>
            <w:gridSpan w:val="2"/>
            <w:tcBorders>
              <w:top w:val="nil"/>
              <w:left w:val="nil"/>
              <w:bottom w:val="nil"/>
              <w:right w:val="nil"/>
            </w:tcBorders>
            <w:shd w:val="clear" w:color="000000" w:fill="FFFFFF"/>
            <w:noWrap/>
            <w:vAlign w:val="center"/>
            <w:hideMark/>
          </w:tcPr>
          <w:p w14:paraId="546A399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163 704</w:t>
            </w:r>
          </w:p>
        </w:tc>
        <w:tc>
          <w:tcPr>
            <w:tcW w:w="1056" w:type="dxa"/>
            <w:gridSpan w:val="2"/>
            <w:tcBorders>
              <w:top w:val="nil"/>
              <w:left w:val="nil"/>
              <w:bottom w:val="nil"/>
              <w:right w:val="nil"/>
            </w:tcBorders>
            <w:shd w:val="clear" w:color="auto" w:fill="auto"/>
            <w:noWrap/>
            <w:vAlign w:val="center"/>
            <w:hideMark/>
          </w:tcPr>
          <w:p w14:paraId="0A30C4E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176 659</w:t>
            </w:r>
          </w:p>
        </w:tc>
        <w:tc>
          <w:tcPr>
            <w:tcW w:w="1076" w:type="dxa"/>
            <w:tcBorders>
              <w:top w:val="nil"/>
              <w:left w:val="nil"/>
              <w:bottom w:val="nil"/>
              <w:right w:val="nil"/>
            </w:tcBorders>
            <w:shd w:val="clear" w:color="000000" w:fill="BFBFBF"/>
            <w:noWrap/>
            <w:vAlign w:val="center"/>
            <w:hideMark/>
          </w:tcPr>
          <w:p w14:paraId="0BFDAFD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168 435</w:t>
            </w:r>
          </w:p>
        </w:tc>
        <w:tc>
          <w:tcPr>
            <w:tcW w:w="817" w:type="dxa"/>
            <w:tcBorders>
              <w:top w:val="nil"/>
              <w:left w:val="nil"/>
              <w:bottom w:val="nil"/>
              <w:right w:val="nil"/>
            </w:tcBorders>
            <w:shd w:val="clear" w:color="auto" w:fill="auto"/>
            <w:noWrap/>
            <w:vAlign w:val="center"/>
            <w:hideMark/>
          </w:tcPr>
          <w:p w14:paraId="1E4FF5F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-8 224</w:t>
            </w:r>
          </w:p>
        </w:tc>
        <w:tc>
          <w:tcPr>
            <w:tcW w:w="737" w:type="dxa"/>
            <w:tcBorders>
              <w:top w:val="nil"/>
              <w:left w:val="nil"/>
              <w:bottom w:val="nil"/>
              <w:right w:val="nil"/>
            </w:tcBorders>
            <w:shd w:val="clear" w:color="auto" w:fill="auto"/>
            <w:noWrap/>
            <w:vAlign w:val="center"/>
            <w:hideMark/>
          </w:tcPr>
          <w:p w14:paraId="7C9AFDC8"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-4,7</w:t>
            </w:r>
          </w:p>
        </w:tc>
      </w:tr>
      <w:tr w:rsidR="00EA177A" w:rsidRPr="003E59E8" w14:paraId="7081D994" w14:textId="77777777" w:rsidTr="00C704A7">
        <w:trPr>
          <w:trHeight w:val="300"/>
        </w:trPr>
        <w:tc>
          <w:tcPr>
            <w:tcW w:w="2804" w:type="dxa"/>
            <w:tcBorders>
              <w:top w:val="nil"/>
              <w:left w:val="nil"/>
              <w:bottom w:val="nil"/>
              <w:right w:val="nil"/>
            </w:tcBorders>
            <w:shd w:val="clear" w:color="auto" w:fill="auto"/>
            <w:vAlign w:val="center"/>
            <w:hideMark/>
          </w:tcPr>
          <w:p w14:paraId="5F4D2FAA"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Dopravné</w:t>
            </w:r>
          </w:p>
        </w:tc>
        <w:tc>
          <w:tcPr>
            <w:tcW w:w="992" w:type="dxa"/>
            <w:tcBorders>
              <w:top w:val="nil"/>
              <w:left w:val="nil"/>
              <w:bottom w:val="nil"/>
              <w:right w:val="nil"/>
            </w:tcBorders>
            <w:shd w:val="clear" w:color="auto" w:fill="auto"/>
            <w:noWrap/>
            <w:vAlign w:val="center"/>
            <w:hideMark/>
          </w:tcPr>
          <w:p w14:paraId="2F2A83E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62 949</w:t>
            </w:r>
          </w:p>
        </w:tc>
        <w:tc>
          <w:tcPr>
            <w:tcW w:w="992" w:type="dxa"/>
            <w:gridSpan w:val="2"/>
            <w:tcBorders>
              <w:top w:val="nil"/>
              <w:left w:val="nil"/>
              <w:bottom w:val="nil"/>
              <w:right w:val="nil"/>
            </w:tcBorders>
            <w:shd w:val="clear" w:color="000000" w:fill="FFFFFF"/>
            <w:noWrap/>
            <w:vAlign w:val="center"/>
            <w:hideMark/>
          </w:tcPr>
          <w:p w14:paraId="0D12BAB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67 937</w:t>
            </w:r>
          </w:p>
        </w:tc>
        <w:tc>
          <w:tcPr>
            <w:tcW w:w="1056" w:type="dxa"/>
            <w:gridSpan w:val="2"/>
            <w:tcBorders>
              <w:top w:val="nil"/>
              <w:left w:val="nil"/>
              <w:bottom w:val="nil"/>
              <w:right w:val="nil"/>
            </w:tcBorders>
            <w:shd w:val="clear" w:color="auto" w:fill="auto"/>
            <w:noWrap/>
            <w:vAlign w:val="center"/>
            <w:hideMark/>
          </w:tcPr>
          <w:p w14:paraId="2290CB4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70 905</w:t>
            </w:r>
          </w:p>
        </w:tc>
        <w:tc>
          <w:tcPr>
            <w:tcW w:w="1076" w:type="dxa"/>
            <w:tcBorders>
              <w:top w:val="nil"/>
              <w:left w:val="nil"/>
              <w:bottom w:val="nil"/>
              <w:right w:val="nil"/>
            </w:tcBorders>
            <w:shd w:val="clear" w:color="000000" w:fill="BFBFBF"/>
            <w:noWrap/>
            <w:vAlign w:val="center"/>
            <w:hideMark/>
          </w:tcPr>
          <w:p w14:paraId="27D243D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72 742</w:t>
            </w:r>
          </w:p>
        </w:tc>
        <w:tc>
          <w:tcPr>
            <w:tcW w:w="817" w:type="dxa"/>
            <w:tcBorders>
              <w:top w:val="nil"/>
              <w:left w:val="nil"/>
              <w:bottom w:val="nil"/>
              <w:right w:val="nil"/>
            </w:tcBorders>
            <w:shd w:val="clear" w:color="auto" w:fill="auto"/>
            <w:noWrap/>
            <w:vAlign w:val="center"/>
            <w:hideMark/>
          </w:tcPr>
          <w:p w14:paraId="488291E3"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1 837</w:t>
            </w:r>
          </w:p>
        </w:tc>
        <w:tc>
          <w:tcPr>
            <w:tcW w:w="737" w:type="dxa"/>
            <w:tcBorders>
              <w:top w:val="nil"/>
              <w:left w:val="nil"/>
              <w:bottom w:val="nil"/>
              <w:right w:val="nil"/>
            </w:tcBorders>
            <w:shd w:val="clear" w:color="auto" w:fill="auto"/>
            <w:noWrap/>
            <w:vAlign w:val="center"/>
            <w:hideMark/>
          </w:tcPr>
          <w:p w14:paraId="54237D1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2,6</w:t>
            </w:r>
          </w:p>
        </w:tc>
      </w:tr>
      <w:tr w:rsidR="00EA177A" w:rsidRPr="003E59E8" w14:paraId="10FF8776" w14:textId="77777777" w:rsidTr="00C704A7">
        <w:trPr>
          <w:trHeight w:val="300"/>
        </w:trPr>
        <w:tc>
          <w:tcPr>
            <w:tcW w:w="2804" w:type="dxa"/>
            <w:tcBorders>
              <w:top w:val="nil"/>
              <w:left w:val="nil"/>
              <w:bottom w:val="nil"/>
              <w:right w:val="nil"/>
            </w:tcBorders>
            <w:shd w:val="clear" w:color="auto" w:fill="auto"/>
            <w:vAlign w:val="center"/>
            <w:hideMark/>
          </w:tcPr>
          <w:p w14:paraId="4084EBE4"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Cestovné náhrady</w:t>
            </w:r>
          </w:p>
        </w:tc>
        <w:tc>
          <w:tcPr>
            <w:tcW w:w="992" w:type="dxa"/>
            <w:tcBorders>
              <w:top w:val="nil"/>
              <w:left w:val="nil"/>
              <w:bottom w:val="nil"/>
              <w:right w:val="nil"/>
            </w:tcBorders>
            <w:shd w:val="clear" w:color="auto" w:fill="auto"/>
            <w:noWrap/>
            <w:vAlign w:val="center"/>
            <w:hideMark/>
          </w:tcPr>
          <w:p w14:paraId="465A5DAC"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35 059</w:t>
            </w:r>
          </w:p>
        </w:tc>
        <w:tc>
          <w:tcPr>
            <w:tcW w:w="992" w:type="dxa"/>
            <w:gridSpan w:val="2"/>
            <w:tcBorders>
              <w:top w:val="nil"/>
              <w:left w:val="nil"/>
              <w:bottom w:val="nil"/>
              <w:right w:val="nil"/>
            </w:tcBorders>
            <w:shd w:val="clear" w:color="000000" w:fill="FFFFFF"/>
            <w:noWrap/>
            <w:vAlign w:val="center"/>
            <w:hideMark/>
          </w:tcPr>
          <w:p w14:paraId="13C87324"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33 032</w:t>
            </w:r>
          </w:p>
        </w:tc>
        <w:tc>
          <w:tcPr>
            <w:tcW w:w="1056" w:type="dxa"/>
            <w:gridSpan w:val="2"/>
            <w:tcBorders>
              <w:top w:val="nil"/>
              <w:left w:val="nil"/>
              <w:bottom w:val="nil"/>
              <w:right w:val="nil"/>
            </w:tcBorders>
            <w:shd w:val="clear" w:color="auto" w:fill="auto"/>
            <w:noWrap/>
            <w:vAlign w:val="center"/>
            <w:hideMark/>
          </w:tcPr>
          <w:p w14:paraId="0BF5F5E3"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36 295</w:t>
            </w:r>
          </w:p>
        </w:tc>
        <w:tc>
          <w:tcPr>
            <w:tcW w:w="1076" w:type="dxa"/>
            <w:tcBorders>
              <w:top w:val="nil"/>
              <w:left w:val="nil"/>
              <w:bottom w:val="nil"/>
              <w:right w:val="nil"/>
            </w:tcBorders>
            <w:shd w:val="clear" w:color="000000" w:fill="BFBFBF"/>
            <w:noWrap/>
            <w:vAlign w:val="center"/>
            <w:hideMark/>
          </w:tcPr>
          <w:p w14:paraId="75E6B5B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36 595</w:t>
            </w:r>
          </w:p>
        </w:tc>
        <w:tc>
          <w:tcPr>
            <w:tcW w:w="817" w:type="dxa"/>
            <w:tcBorders>
              <w:top w:val="nil"/>
              <w:left w:val="nil"/>
              <w:bottom w:val="single" w:sz="8" w:space="0" w:color="auto"/>
              <w:right w:val="nil"/>
            </w:tcBorders>
            <w:shd w:val="clear" w:color="auto" w:fill="auto"/>
            <w:noWrap/>
            <w:vAlign w:val="center"/>
            <w:hideMark/>
          </w:tcPr>
          <w:p w14:paraId="2ED62CC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300</w:t>
            </w:r>
          </w:p>
        </w:tc>
        <w:tc>
          <w:tcPr>
            <w:tcW w:w="737" w:type="dxa"/>
            <w:tcBorders>
              <w:top w:val="nil"/>
              <w:left w:val="nil"/>
              <w:bottom w:val="single" w:sz="8" w:space="0" w:color="auto"/>
              <w:right w:val="nil"/>
            </w:tcBorders>
            <w:shd w:val="clear" w:color="auto" w:fill="auto"/>
            <w:noWrap/>
            <w:vAlign w:val="center"/>
            <w:hideMark/>
          </w:tcPr>
          <w:p w14:paraId="6980E5D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0,8</w:t>
            </w:r>
          </w:p>
        </w:tc>
      </w:tr>
      <w:tr w:rsidR="00EA177A" w:rsidRPr="003E59E8" w14:paraId="547B2EE8" w14:textId="77777777" w:rsidTr="00C704A7">
        <w:trPr>
          <w:trHeight w:val="300"/>
        </w:trPr>
        <w:tc>
          <w:tcPr>
            <w:tcW w:w="2804" w:type="dxa"/>
            <w:tcBorders>
              <w:top w:val="single" w:sz="8" w:space="0" w:color="auto"/>
              <w:left w:val="nil"/>
              <w:bottom w:val="single" w:sz="8" w:space="0" w:color="auto"/>
              <w:right w:val="nil"/>
            </w:tcBorders>
            <w:shd w:val="clear" w:color="auto" w:fill="auto"/>
            <w:vAlign w:val="center"/>
            <w:hideMark/>
          </w:tcPr>
          <w:p w14:paraId="35FC7F7A"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Tovary a služby spolu</w:t>
            </w:r>
          </w:p>
        </w:tc>
        <w:tc>
          <w:tcPr>
            <w:tcW w:w="992" w:type="dxa"/>
            <w:tcBorders>
              <w:top w:val="single" w:sz="8" w:space="0" w:color="auto"/>
              <w:left w:val="nil"/>
              <w:bottom w:val="single" w:sz="8" w:space="0" w:color="auto"/>
              <w:right w:val="nil"/>
            </w:tcBorders>
            <w:shd w:val="clear" w:color="auto" w:fill="auto"/>
            <w:noWrap/>
            <w:vAlign w:val="center"/>
            <w:hideMark/>
          </w:tcPr>
          <w:p w14:paraId="32B33B58"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1 483 704</w:t>
            </w:r>
          </w:p>
        </w:tc>
        <w:tc>
          <w:tcPr>
            <w:tcW w:w="992" w:type="dxa"/>
            <w:gridSpan w:val="2"/>
            <w:tcBorders>
              <w:top w:val="single" w:sz="8" w:space="0" w:color="auto"/>
              <w:left w:val="nil"/>
              <w:bottom w:val="single" w:sz="8" w:space="0" w:color="auto"/>
              <w:right w:val="nil"/>
            </w:tcBorders>
            <w:shd w:val="clear" w:color="auto" w:fill="auto"/>
            <w:noWrap/>
            <w:vAlign w:val="center"/>
            <w:hideMark/>
          </w:tcPr>
          <w:p w14:paraId="20F87883"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1 634 652</w:t>
            </w:r>
          </w:p>
        </w:tc>
        <w:tc>
          <w:tcPr>
            <w:tcW w:w="1056" w:type="dxa"/>
            <w:gridSpan w:val="2"/>
            <w:tcBorders>
              <w:top w:val="single" w:sz="8" w:space="0" w:color="auto"/>
              <w:left w:val="nil"/>
              <w:bottom w:val="single" w:sz="8" w:space="0" w:color="auto"/>
              <w:right w:val="nil"/>
            </w:tcBorders>
            <w:shd w:val="clear" w:color="auto" w:fill="auto"/>
            <w:noWrap/>
            <w:vAlign w:val="center"/>
            <w:hideMark/>
          </w:tcPr>
          <w:p w14:paraId="7733EF63"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2 428 258</w:t>
            </w:r>
          </w:p>
        </w:tc>
        <w:tc>
          <w:tcPr>
            <w:tcW w:w="1076" w:type="dxa"/>
            <w:tcBorders>
              <w:top w:val="single" w:sz="8" w:space="0" w:color="auto"/>
              <w:left w:val="nil"/>
              <w:bottom w:val="single" w:sz="8" w:space="0" w:color="auto"/>
              <w:right w:val="nil"/>
            </w:tcBorders>
            <w:shd w:val="clear" w:color="000000" w:fill="BFBFBF"/>
            <w:noWrap/>
            <w:vAlign w:val="center"/>
            <w:hideMark/>
          </w:tcPr>
          <w:p w14:paraId="1E7392D7"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1 727 982</w:t>
            </w:r>
          </w:p>
        </w:tc>
        <w:tc>
          <w:tcPr>
            <w:tcW w:w="817" w:type="dxa"/>
            <w:tcBorders>
              <w:top w:val="nil"/>
              <w:left w:val="nil"/>
              <w:bottom w:val="single" w:sz="8" w:space="0" w:color="auto"/>
              <w:right w:val="nil"/>
            </w:tcBorders>
            <w:shd w:val="clear" w:color="auto" w:fill="auto"/>
            <w:noWrap/>
            <w:vAlign w:val="center"/>
            <w:hideMark/>
          </w:tcPr>
          <w:p w14:paraId="52D50EE8"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-700 276</w:t>
            </w:r>
          </w:p>
        </w:tc>
        <w:tc>
          <w:tcPr>
            <w:tcW w:w="737" w:type="dxa"/>
            <w:tcBorders>
              <w:top w:val="nil"/>
              <w:left w:val="nil"/>
              <w:bottom w:val="single" w:sz="8" w:space="0" w:color="auto"/>
              <w:right w:val="nil"/>
            </w:tcBorders>
            <w:shd w:val="clear" w:color="auto" w:fill="auto"/>
            <w:noWrap/>
            <w:vAlign w:val="center"/>
            <w:hideMark/>
          </w:tcPr>
          <w:p w14:paraId="52A9BB1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-28,8</w:t>
            </w:r>
          </w:p>
        </w:tc>
      </w:tr>
      <w:tr w:rsidR="00EA177A" w:rsidRPr="003E59E8" w14:paraId="247C1B11" w14:textId="77777777" w:rsidTr="00C704A7">
        <w:trPr>
          <w:trHeight w:val="330"/>
        </w:trPr>
        <w:tc>
          <w:tcPr>
            <w:tcW w:w="8474" w:type="dxa"/>
            <w:gridSpan w:val="9"/>
            <w:tcBorders>
              <w:top w:val="nil"/>
              <w:left w:val="nil"/>
              <w:bottom w:val="nil"/>
              <w:right w:val="nil"/>
            </w:tcBorders>
            <w:shd w:val="clear" w:color="auto" w:fill="auto"/>
            <w:noWrap/>
            <w:vAlign w:val="bottom"/>
            <w:hideMark/>
          </w:tcPr>
          <w:p w14:paraId="14C3540C" w14:textId="77777777" w:rsidR="00EA177A" w:rsidRPr="003E59E8" w:rsidRDefault="00EA177A" w:rsidP="00C704A7">
            <w:pPr>
              <w:spacing w:after="0" w:line="240" w:lineRule="auto"/>
              <w:ind w:hanging="8"/>
              <w:jc w:val="right"/>
              <w:rPr>
                <w:rFonts w:eastAsia="Times New Roman" w:cs="Times New Roman"/>
                <w:sz w:val="18"/>
                <w:szCs w:val="18"/>
                <w:lang w:eastAsia="sk-SK"/>
              </w:rPr>
            </w:pPr>
            <w:r w:rsidRPr="003E59E8">
              <w:rPr>
                <w:rFonts w:eastAsia="Times New Roman" w:cs="Times New Roman"/>
                <w:sz w:val="18"/>
                <w:szCs w:val="18"/>
                <w:lang w:eastAsia="sk-SK"/>
              </w:rPr>
              <w:t>Zdroj: MF SR</w:t>
            </w:r>
          </w:p>
        </w:tc>
      </w:tr>
    </w:tbl>
    <w:p w14:paraId="48271253" w14:textId="77777777" w:rsidR="00EA177A" w:rsidRPr="00A23804" w:rsidRDefault="00EA177A" w:rsidP="00EA177A">
      <w:pPr>
        <w:spacing w:before="120"/>
      </w:pPr>
      <w:r w:rsidRPr="00A23804">
        <w:t xml:space="preserve">Z celkových výdavkov za </w:t>
      </w:r>
      <w:r w:rsidRPr="00A23804">
        <w:rPr>
          <w:b/>
        </w:rPr>
        <w:t>služby</w:t>
      </w:r>
      <w:r w:rsidRPr="00A23804">
        <w:rPr>
          <w:b/>
          <w:i/>
        </w:rPr>
        <w:t xml:space="preserve"> </w:t>
      </w:r>
      <w:r w:rsidRPr="00A23804">
        <w:t>realizovaných vo výške 735 990 tis. eur</w:t>
      </w:r>
      <w:r w:rsidRPr="00A23804">
        <w:rPr>
          <w:i/>
        </w:rPr>
        <w:t xml:space="preserve"> </w:t>
      </w:r>
      <w:r w:rsidRPr="00A23804">
        <w:t>boli najvyššie výdavky</w:t>
      </w:r>
      <w:r w:rsidRPr="00D744D2">
        <w:t xml:space="preserve"> </w:t>
      </w:r>
      <w:r w:rsidRPr="00A23804">
        <w:t xml:space="preserve">vynaložené na </w:t>
      </w:r>
      <w:r w:rsidRPr="00A23804">
        <w:rPr>
          <w:b/>
          <w:i/>
        </w:rPr>
        <w:t>špeciálne služby</w:t>
      </w:r>
      <w:r w:rsidRPr="00A23804">
        <w:t>, vo výške 204 234 tis. eur, pričom najviac prostriedkov na tento účel vyčerpalo</w:t>
      </w:r>
      <w:r w:rsidRPr="00D744D2">
        <w:t xml:space="preserve"> </w:t>
      </w:r>
      <w:r w:rsidRPr="00A23804">
        <w:t>Ministerstvo obrany SR, a to v sume</w:t>
      </w:r>
      <w:r w:rsidRPr="00D744D2">
        <w:t xml:space="preserve"> </w:t>
      </w:r>
      <w:r w:rsidRPr="00A23804">
        <w:t>104 913 tis. eur, najmä na zabezpečenie obrany štátu a v súvislosti s realizáciou modernizačných projektov rezortu obrany.</w:t>
      </w:r>
      <w:r w:rsidRPr="00D744D2">
        <w:t xml:space="preserve"> </w:t>
      </w:r>
    </w:p>
    <w:p w14:paraId="1DF6C801" w14:textId="77777777" w:rsidR="00EA177A" w:rsidRPr="00973EE1" w:rsidRDefault="00EA177A" w:rsidP="00EA177A">
      <w:r w:rsidRPr="00A23804">
        <w:t>Významnou sumou sa na čerpaní výdavkov na špeciálne služby</w:t>
      </w:r>
      <w:r w:rsidRPr="00D744D2">
        <w:t xml:space="preserve"> ďalej</w:t>
      </w:r>
      <w:r w:rsidRPr="00A23804">
        <w:t xml:space="preserve"> podieľalo Ministerstvo spravodlivosti SR, a to sumou 16 869 tis. eur</w:t>
      </w:r>
      <w:r w:rsidRPr="00422309">
        <w:t xml:space="preserve">, ktoré </w:t>
      </w:r>
      <w:r w:rsidRPr="00D744D2">
        <w:rPr>
          <w:rFonts w:cs="Times New Roman"/>
        </w:rPr>
        <w:t>uhrádzalo prevažne výdavky na súdne konania na súdoch (advokátom, znalcom, tlmočníkom, prekladateľom, exekútorom, notárom, svedkom a prísediacim) a výdavky súvisiace s osobným bankrotom, ktoré realizuje Centrum právnej pomoci (odmeny pre správcov konkurzu)</w:t>
      </w:r>
      <w:r w:rsidRPr="00D744D2">
        <w:rPr>
          <w:rFonts w:ascii="Calibri" w:hAnsi="Calibri"/>
          <w:sz w:val="20"/>
          <w:szCs w:val="20"/>
        </w:rPr>
        <w:t>.</w:t>
      </w:r>
      <w:r w:rsidRPr="00422309">
        <w:t xml:space="preserve"> </w:t>
      </w:r>
    </w:p>
    <w:p w14:paraId="1F639DA4" w14:textId="77777777" w:rsidR="00EA177A" w:rsidRPr="00422309" w:rsidRDefault="00EA177A" w:rsidP="00EA177A">
      <w:pPr>
        <w:rPr>
          <w:rFonts w:cs="Times New Roman"/>
        </w:rPr>
      </w:pPr>
      <w:r w:rsidRPr="00973EE1">
        <w:rPr>
          <w:rFonts w:cs="Times New Roman"/>
        </w:rPr>
        <w:t xml:space="preserve">Ministerstvo financií SR sumou 16 289 tis. eur </w:t>
      </w:r>
      <w:r w:rsidRPr="00D744D2">
        <w:rPr>
          <w:rFonts w:eastAsia="Times New Roman" w:cs="Times New Roman"/>
          <w:lang w:eastAsia="sk-SK"/>
        </w:rPr>
        <w:t xml:space="preserve">financovalo najmä arbitrážne konania vedené voči Slovenskej republike a výdavky na zabezpečenia aktivít súvisiacich s poskytovaním audítorských služieb pri výkone auditu konsolidovaných účtovných závierok vybraných účtovných jednotiek verejnej správy a ústrednej správy. Ďalšie výdavky sa týkali projektov - Riadenie, kontrola a audit EŠIF – prioritná os 1 Operačného programu Technická pomoc 2014 – 2020, Posilnené inštitucionálne kapacity a efektívna </w:t>
      </w:r>
      <w:r>
        <w:rPr>
          <w:rFonts w:eastAsia="Times New Roman" w:cs="Times New Roman"/>
          <w:lang w:eastAsia="sk-SK"/>
        </w:rPr>
        <w:t>verejná správa</w:t>
      </w:r>
      <w:r w:rsidRPr="00D744D2">
        <w:rPr>
          <w:rFonts w:eastAsia="Times New Roman" w:cs="Times New Roman"/>
          <w:lang w:eastAsia="sk-SK"/>
        </w:rPr>
        <w:t xml:space="preserve"> – prioritná os 1. Operačného programu Efektívna verejná správa 2014 – 2020. </w:t>
      </w:r>
    </w:p>
    <w:p w14:paraId="4BA356CC" w14:textId="77777777" w:rsidR="00EA177A" w:rsidRDefault="00EA177A" w:rsidP="00EA177A">
      <w:pPr>
        <w:rPr>
          <w:rFonts w:cs="Times New Roman"/>
        </w:rPr>
      </w:pPr>
      <w:r w:rsidRPr="00973EE1">
        <w:rPr>
          <w:rFonts w:cs="Times New Roman"/>
        </w:rPr>
        <w:t xml:space="preserve">Ministerstvo životného prostredia SR </w:t>
      </w:r>
      <w:r w:rsidRPr="00F85D6E">
        <w:rPr>
          <w:rFonts w:cs="Times New Roman"/>
        </w:rPr>
        <w:t xml:space="preserve">sa podieľalo sumou 14 927 tis. eur a tieto prostriedky použilo v prevažnej miere na sanácie a geologické prieskumy environmentálnych záťaží v rámci projektov ako </w:t>
      </w:r>
      <w:r w:rsidRPr="00D744D2">
        <w:rPr>
          <w:rFonts w:cs="Times New Roman"/>
        </w:rPr>
        <w:t>napríklad služby na podporu riadenia a</w:t>
      </w:r>
      <w:r>
        <w:rPr>
          <w:rFonts w:cs="Times New Roman"/>
        </w:rPr>
        <w:t> </w:t>
      </w:r>
      <w:r w:rsidRPr="00D744D2">
        <w:rPr>
          <w:rFonts w:cs="Times New Roman"/>
        </w:rPr>
        <w:t>implementácie</w:t>
      </w:r>
      <w:r>
        <w:rPr>
          <w:rFonts w:cs="Times New Roman"/>
        </w:rPr>
        <w:t>,</w:t>
      </w:r>
      <w:r w:rsidRPr="00D744D2">
        <w:rPr>
          <w:rFonts w:cs="Times New Roman"/>
        </w:rPr>
        <w:t xml:space="preserve"> </w:t>
      </w:r>
      <w:r w:rsidRPr="00C830BC">
        <w:rPr>
          <w:rFonts w:cs="Times New Roman"/>
        </w:rPr>
        <w:t>Operačný program Kvalita životného prostredia</w:t>
      </w:r>
      <w:r>
        <w:rPr>
          <w:rFonts w:cs="Times New Roman"/>
        </w:rPr>
        <w:t>,</w:t>
      </w:r>
      <w:r>
        <w:t xml:space="preserve"> </w:t>
      </w:r>
      <w:r w:rsidRPr="00D744D2">
        <w:rPr>
          <w:rFonts w:cs="Times New Roman"/>
        </w:rPr>
        <w:t>geologický prieskum vybraných pravdepodobných environmentálnych záťaží, sanácia vybraných environmentálnych záťaží SR a sanácia svahových deformácií na vybraných lokalitách Slovenska.</w:t>
      </w:r>
    </w:p>
    <w:p w14:paraId="5445AF1E" w14:textId="3110A0A1" w:rsidR="00EA177A" w:rsidRPr="00A00C20" w:rsidRDefault="00EA177A" w:rsidP="00EA177A">
      <w:pPr>
        <w:rPr>
          <w:rFonts w:cs="Times New Roman"/>
        </w:rPr>
      </w:pPr>
      <w:r w:rsidRPr="00A00C20">
        <w:rPr>
          <w:rFonts w:cs="Times New Roman"/>
        </w:rPr>
        <w:t>Výdavky na špeciálne služby boli v skutočnosti nižšie oproti s</w:t>
      </w:r>
      <w:r w:rsidR="0035297E">
        <w:rPr>
          <w:rFonts w:cs="Times New Roman"/>
        </w:rPr>
        <w:t>chválenému rozpočtu</w:t>
      </w:r>
      <w:r w:rsidR="0035297E">
        <w:rPr>
          <w:rFonts w:cs="Times New Roman"/>
        </w:rPr>
        <w:br/>
      </w:r>
      <w:r w:rsidRPr="00A00C20">
        <w:rPr>
          <w:rFonts w:cs="Times New Roman"/>
        </w:rPr>
        <w:t xml:space="preserve">o 84 944 tis. eur, a to najmä v kapitole Ministerstva pôdohospodárstva a rozvoja vidieka SR z dôvodu, </w:t>
      </w:r>
      <w:r w:rsidRPr="00A00C20">
        <w:rPr>
          <w:rFonts w:cs="Times New Roman"/>
          <w:bCs/>
        </w:rPr>
        <w:t xml:space="preserve"> že na</w:t>
      </w:r>
      <w:r>
        <w:rPr>
          <w:rFonts w:cs="Times New Roman"/>
          <w:bCs/>
        </w:rPr>
        <w:t> </w:t>
      </w:r>
      <w:r w:rsidRPr="00A00C20">
        <w:rPr>
          <w:rFonts w:cs="Times New Roman"/>
          <w:bCs/>
        </w:rPr>
        <w:t xml:space="preserve">tejto podpoložke boli rozpočtované predpokladané výdavky štrukturálnych fondov poskytované v rámci Európskeho fondu regionálneho rozvoja 2014-2020 prostredníctvom Integrovaného regionálneho operačného programu 2014-2020 a programov cezhraničnej spolupráce </w:t>
      </w:r>
      <w:proofErr w:type="spellStart"/>
      <w:r w:rsidRPr="00A00C20">
        <w:rPr>
          <w:rFonts w:cs="Times New Roman"/>
          <w:bCs/>
        </w:rPr>
        <w:t>Interreg</w:t>
      </w:r>
      <w:proofErr w:type="spellEnd"/>
      <w:r w:rsidRPr="00A00C20">
        <w:rPr>
          <w:rFonts w:cs="Times New Roman"/>
          <w:bCs/>
        </w:rPr>
        <w:t xml:space="preserve"> V-A 2014-2020. Išlo o rozpočtovanie výdavkov na základe</w:t>
      </w:r>
      <w:r w:rsidRPr="00A00C20">
        <w:rPr>
          <w:rFonts w:cs="Times New Roman"/>
        </w:rPr>
        <w:t xml:space="preserve"> očakávaných odhadov čerpania týchto prostriedkov v jednotlivých výzvach a  nie na základe  </w:t>
      </w:r>
      <w:proofErr w:type="spellStart"/>
      <w:r w:rsidRPr="00A00C20">
        <w:rPr>
          <w:rFonts w:cs="Times New Roman"/>
        </w:rPr>
        <w:t>zazmluvnených</w:t>
      </w:r>
      <w:proofErr w:type="spellEnd"/>
      <w:r w:rsidRPr="00A00C20">
        <w:rPr>
          <w:rFonts w:cs="Times New Roman"/>
        </w:rPr>
        <w:t xml:space="preserve"> prostriedkov. Vzhľadom na to, že uvedené odhady sa sledujú v štruktúre operačného programu na úr</w:t>
      </w:r>
      <w:r>
        <w:rPr>
          <w:rFonts w:cs="Times New Roman"/>
        </w:rPr>
        <w:t>ovni prioritných osí (opatrení)</w:t>
      </w:r>
      <w:r w:rsidRPr="00A00C20">
        <w:rPr>
          <w:rFonts w:cs="Times New Roman"/>
        </w:rPr>
        <w:t xml:space="preserve"> a nie v štruktúre podľa typu prijímateľov (odlíšených ekonomickou klasifikáciou), úpravami rozpočtu v priebehu rozpočtového roka bol tento objem postupne znížený. N</w:t>
      </w:r>
      <w:r w:rsidRPr="00A00C20">
        <w:rPr>
          <w:rFonts w:cs="Times New Roman"/>
          <w:bCs/>
        </w:rPr>
        <w:t xml:space="preserve">evyčerpané prostriedky boli prevedené </w:t>
      </w:r>
      <w:r w:rsidR="0035297E">
        <w:rPr>
          <w:rFonts w:cs="Times New Roman"/>
          <w:bCs/>
        </w:rPr>
        <w:t xml:space="preserve">podľa § 8 zákona </w:t>
      </w:r>
      <w:r w:rsidR="00D075A6">
        <w:rPr>
          <w:rFonts w:cs="Times New Roman"/>
          <w:lang w:eastAsia="sk-SK"/>
        </w:rPr>
        <w:t xml:space="preserve">o rozpočtových pravidlách </w:t>
      </w:r>
      <w:r w:rsidRPr="00A00C20">
        <w:rPr>
          <w:rFonts w:cs="Times New Roman"/>
          <w:bCs/>
        </w:rPr>
        <w:t>do</w:t>
      </w:r>
      <w:r>
        <w:rPr>
          <w:rFonts w:cs="Times New Roman"/>
          <w:bCs/>
        </w:rPr>
        <w:t xml:space="preserve"> r</w:t>
      </w:r>
      <w:r w:rsidRPr="00A00C20">
        <w:rPr>
          <w:rFonts w:cs="Times New Roman"/>
          <w:bCs/>
        </w:rPr>
        <w:t>oku 2020 rozpočtovým opatrením Ministerstva financií SR č. 108/2019 a zvyšné prostriedky boli presunuté v prospech iných klasifikácií.</w:t>
      </w:r>
    </w:p>
    <w:p w14:paraId="105BF807" w14:textId="77777777" w:rsidR="00EA177A" w:rsidRPr="004A08A9" w:rsidRDefault="00EA177A" w:rsidP="00EA177A">
      <w:pPr>
        <w:rPr>
          <w:rFonts w:cs="Times New Roman"/>
        </w:rPr>
      </w:pPr>
      <w:r>
        <w:t xml:space="preserve">Druhou najvyššou položkou v rámci služieb sú výdavky </w:t>
      </w:r>
      <w:r w:rsidRPr="00F85D6E">
        <w:t>na</w:t>
      </w:r>
      <w:r w:rsidRPr="00F85D6E">
        <w:rPr>
          <w:b/>
          <w:i/>
        </w:rPr>
        <w:t xml:space="preserve"> v</w:t>
      </w:r>
      <w:r w:rsidRPr="001A0988">
        <w:rPr>
          <w:b/>
          <w:i/>
        </w:rPr>
        <w:t>šeobecné služby</w:t>
      </w:r>
      <w:r>
        <w:t>, ktoré dosiahli 68 495 tis. eur</w:t>
      </w:r>
      <w:r w:rsidRPr="006167EC">
        <w:rPr>
          <w:i/>
        </w:rPr>
        <w:t>.</w:t>
      </w:r>
      <w:r>
        <w:rPr>
          <w:b/>
          <w:i/>
        </w:rPr>
        <w:t xml:space="preserve"> </w:t>
      </w:r>
      <w:r>
        <w:t xml:space="preserve">Ide o výkony obstarávané dodávateľským spôsobom a predstavujú širokú paletu služieb súvisiacich so správou štátnych budov a zariadení (napr. čistiace a upratovacie služby, odvoz a likvidácia odpadu, ako aj platby za externé služby ako sú tlmočenie, prekladateľské služby, výkon revízií a kontrol dopravnej techniky, výdavky na prevádzku varovného systému civilnej obrany, odmeny asistentov poslancov a podobne). Vzhľadom na najväčší počet budov, zariadení a dopravnej technicky v kapitole Ministerstva vnútra SR, dosiahli výdavky na všeobecné služby </w:t>
      </w:r>
      <w:r w:rsidRPr="006603ED">
        <w:t xml:space="preserve">15 644 tis. eur. </w:t>
      </w:r>
      <w:r w:rsidRPr="00134EC0">
        <w:rPr>
          <w:rFonts w:cs="Times New Roman"/>
        </w:rPr>
        <w:t xml:space="preserve">Ministerstvo pôdohospodárstva a rozvoja vidieka SR vynaložilo </w:t>
      </w:r>
      <w:r>
        <w:rPr>
          <w:rFonts w:cs="Times New Roman"/>
        </w:rPr>
        <w:t>na</w:t>
      </w:r>
      <w:r w:rsidRPr="00134EC0">
        <w:rPr>
          <w:rFonts w:cs="Times New Roman"/>
        </w:rPr>
        <w:t xml:space="preserve"> všeobecné služby čiastku 7 037 tis. eur</w:t>
      </w:r>
      <w:r>
        <w:rPr>
          <w:rFonts w:cs="Times New Roman"/>
        </w:rPr>
        <w:t>, Ministerstvo financií SR sumu</w:t>
      </w:r>
      <w:r>
        <w:rPr>
          <w:rFonts w:cs="Times New Roman"/>
        </w:rPr>
        <w:br/>
      </w:r>
      <w:r w:rsidRPr="00134EC0">
        <w:rPr>
          <w:rFonts w:cs="Times New Roman"/>
        </w:rPr>
        <w:t>5 494 tis. eur a Kancelária Národnej rady SR sumu 4 929 tis. eur. Ostatné kapitoly poskytli na tento účel menšie čiastky.</w:t>
      </w:r>
    </w:p>
    <w:p w14:paraId="2E80B9FB" w14:textId="24867C3C" w:rsidR="0035297E" w:rsidRDefault="00EA177A" w:rsidP="00C50050">
      <w:pPr>
        <w:rPr>
          <w:b/>
          <w:i/>
        </w:rPr>
      </w:pPr>
      <w:r w:rsidRPr="00D3567C">
        <w:rPr>
          <w:rFonts w:cs="Times New Roman"/>
        </w:rPr>
        <w:t>Výdavky na všeobecné služby boli v skutočnosti nižšie oproti schválenému rozpočtu o 223 905 tis. eur, a to najmä u kapitoly Ministerstva pôdohospodárstva a rozvoja vidieka SR  z dôvodu, že s</w:t>
      </w:r>
      <w:r w:rsidRPr="00D3567C">
        <w:rPr>
          <w:rFonts w:cs="Times New Roman"/>
          <w:bCs/>
        </w:rPr>
        <w:t xml:space="preserve">účasťou schváleného rozpočtu boli aj predpokladané výdavky súvisiace </w:t>
      </w:r>
      <w:r w:rsidRPr="00D3567C">
        <w:rPr>
          <w:rFonts w:cs="Times New Roman"/>
        </w:rPr>
        <w:t>s legislatívnou zmenou upravujúcou povinnosť platenia osobitného odvodu obchodnými reťazcami, ktorá mala byť podporou sektora poľnohospodárstva a potravinárstva. Následne, v</w:t>
      </w:r>
      <w:r>
        <w:rPr>
          <w:rFonts w:cs="Times New Roman"/>
        </w:rPr>
        <w:t> </w:t>
      </w:r>
      <w:r w:rsidRPr="00D3567C">
        <w:rPr>
          <w:rFonts w:cs="Times New Roman"/>
        </w:rPr>
        <w:t>nadväznosti na oznámenie predbežného opatrenia Európskej komisie na pozastavenia uplatňovania zákona NR SR č. 385/2018 Z. z.  o osobitnom odvode obchodných reťazcov a</w:t>
      </w:r>
      <w:r>
        <w:rPr>
          <w:rFonts w:cs="Times New Roman"/>
        </w:rPr>
        <w:t> </w:t>
      </w:r>
      <w:r w:rsidRPr="00D3567C">
        <w:rPr>
          <w:rFonts w:cs="Times New Roman"/>
        </w:rPr>
        <w:t>o</w:t>
      </w:r>
      <w:r>
        <w:rPr>
          <w:rFonts w:cs="Times New Roman"/>
        </w:rPr>
        <w:t> </w:t>
      </w:r>
      <w:r w:rsidRPr="00D3567C">
        <w:rPr>
          <w:rFonts w:cs="Times New Roman"/>
        </w:rPr>
        <w:t>doplnení zákona č. 595/2003 Z. z. o dani z príjmov v znení neskorších predpisov, Národná rada S</w:t>
      </w:r>
      <w:r>
        <w:rPr>
          <w:rFonts w:cs="Times New Roman"/>
        </w:rPr>
        <w:t>R</w:t>
      </w:r>
      <w:r w:rsidRPr="00D3567C">
        <w:rPr>
          <w:rFonts w:cs="Times New Roman"/>
        </w:rPr>
        <w:t xml:space="preserve"> zrušila zákon o osobitnom odvode obchodných reťazcov, čo spôsobilo pokles skutočných výdavkov oproti plánovanému rozpočtu.</w:t>
      </w:r>
      <w:r w:rsidR="0035297E">
        <w:rPr>
          <w:b/>
          <w:i/>
        </w:rPr>
        <w:br w:type="page"/>
      </w:r>
    </w:p>
    <w:p w14:paraId="432A0356" w14:textId="16F11854" w:rsidR="00EA177A" w:rsidRDefault="00EA177A" w:rsidP="00EA177A">
      <w:pPr>
        <w:rPr>
          <w:rFonts w:ascii="Calibri" w:eastAsia="Calibri" w:hAnsi="Calibri"/>
        </w:rPr>
      </w:pPr>
      <w:r w:rsidRPr="006603ED">
        <w:rPr>
          <w:b/>
          <w:i/>
        </w:rPr>
        <w:t>Služby v oblasti informačno-komunikačných technológií</w:t>
      </w:r>
      <w:r w:rsidRPr="006603ED">
        <w:rPr>
          <w:i/>
        </w:rPr>
        <w:t xml:space="preserve"> </w:t>
      </w:r>
      <w:r w:rsidRPr="006603ED">
        <w:t>dosiahli</w:t>
      </w:r>
      <w:r w:rsidRPr="00D744D2">
        <w:t xml:space="preserve"> </w:t>
      </w:r>
      <w:r w:rsidRPr="006603ED">
        <w:t>53 471 tis. eur</w:t>
      </w:r>
      <w:r>
        <w:t xml:space="preserve"> naplnili tak rozpočtovanú hodnotu na 100,4 %.</w:t>
      </w:r>
      <w:r w:rsidRPr="006603ED">
        <w:t xml:space="preserve"> </w:t>
      </w:r>
      <w:r>
        <w:t>Ide nie len o výdavky na zaškolenie IT pracovníkov pri nadobúdaní nových softvérov, výdavky za údržbu a vytvorenie intranetových a internetových webových sídiel, ale najmä o výkony aplikačnej podpory k informačným systémom štátu, štúdie, expertízy a posudky týkajúce sa informačných technológií. V</w:t>
      </w:r>
      <w:r w:rsidRPr="006603ED">
        <w:t xml:space="preserve"> najvyššej miere </w:t>
      </w:r>
      <w:r>
        <w:t xml:space="preserve">sa na týchto službách </w:t>
      </w:r>
      <w:r w:rsidRPr="006603ED">
        <w:t>podieľalo Ministerstvo financií SR</w:t>
      </w:r>
      <w:r>
        <w:t>,</w:t>
      </w:r>
      <w:r w:rsidRPr="006603ED">
        <w:t xml:space="preserve"> vo výške 2</w:t>
      </w:r>
      <w:r w:rsidRPr="00101DFB">
        <w:t>1</w:t>
      </w:r>
      <w:r w:rsidRPr="00DB141C">
        <w:t> </w:t>
      </w:r>
      <w:r w:rsidRPr="005C2029">
        <w:t>792</w:t>
      </w:r>
      <w:r>
        <w:t xml:space="preserve"> tis. eur. Čerpanie týchto finančných prostriedkov súviselo najmä s prevádzkou informačného systému pre systém štátnej pokladnice a na podpornú infraštruktúru pre informačné systémy riadenia verejných financií (medzi ďalšie systémy patrí Rozpočtový informačný systém a Rozpočtový informačný systém samosprávy, Register účtovných závierok, Centrálny konsolidačný systém a ďalšie). Ďalšiu významnú sumu v tejto podpoložke čerpalo Ministerstvo školstva, vedy, výskumu a športu SR v sume 8 137 tis. eur, ktoré financovalo najmä </w:t>
      </w:r>
      <w:r w:rsidRPr="002D3D0F">
        <w:rPr>
          <w:rFonts w:eastAsia="Times New Roman"/>
        </w:rPr>
        <w:t>servis Centrálneho úložiska digitálneho edukačného obsahu</w:t>
      </w:r>
      <w:r>
        <w:rPr>
          <w:rFonts w:eastAsia="Times New Roman"/>
        </w:rPr>
        <w:t xml:space="preserve">, </w:t>
      </w:r>
      <w:r w:rsidRPr="002D3D0F">
        <w:rPr>
          <w:rFonts w:eastAsia="Times New Roman"/>
        </w:rPr>
        <w:t xml:space="preserve">servisné služby </w:t>
      </w:r>
      <w:r>
        <w:rPr>
          <w:rFonts w:eastAsia="Times New Roman"/>
        </w:rPr>
        <w:t xml:space="preserve">a </w:t>
      </w:r>
      <w:r w:rsidRPr="002D3D0F">
        <w:rPr>
          <w:rFonts w:eastAsia="Times New Roman"/>
        </w:rPr>
        <w:t>realizáci</w:t>
      </w:r>
      <w:r>
        <w:rPr>
          <w:rFonts w:eastAsia="Times New Roman"/>
        </w:rPr>
        <w:t>u</w:t>
      </w:r>
      <w:r w:rsidRPr="002D3D0F">
        <w:rPr>
          <w:rFonts w:eastAsia="Times New Roman"/>
        </w:rPr>
        <w:t xml:space="preserve"> zmenových požiadaviek pre projekt Elektronizácia vzdelávacieho systému regionálneho školstva</w:t>
      </w:r>
      <w:r>
        <w:rPr>
          <w:rFonts w:eastAsia="Times New Roman"/>
        </w:rPr>
        <w:t xml:space="preserve">. Taktiež boli hradené </w:t>
      </w:r>
      <w:r w:rsidRPr="002D3D0F">
        <w:t>školen</w:t>
      </w:r>
      <w:r>
        <w:t>ia</w:t>
      </w:r>
      <w:r w:rsidRPr="002D3D0F">
        <w:t xml:space="preserve"> </w:t>
      </w:r>
      <w:r w:rsidRPr="0035297E">
        <w:rPr>
          <w:rFonts w:cs="Times New Roman"/>
        </w:rPr>
        <w:t>Microsoft pre učiteľov v regionálnom školstve.</w:t>
      </w:r>
      <w:r w:rsidRPr="0035297E">
        <w:rPr>
          <w:rFonts w:eastAsia="Times New Roman" w:cs="Times New Roman"/>
        </w:rPr>
        <w:t xml:space="preserve"> </w:t>
      </w:r>
      <w:r w:rsidRPr="0035297E">
        <w:rPr>
          <w:rFonts w:cs="Times New Roman"/>
        </w:rPr>
        <w:t xml:space="preserve"> Ministerstvo pôdohospodárstva a rozvoja vidieka SR čerpalo na služby v oblasti informačno-komunikačných technológií sumu 5 637 tis. eur, pričom najväčší podiel  predstavovali výdavky Pôdohospodárskej platobnej agentúry na </w:t>
      </w:r>
      <w:r w:rsidRPr="0035297E">
        <w:rPr>
          <w:rFonts w:eastAsia="Calibri" w:cs="Times New Roman"/>
        </w:rPr>
        <w:t>servis informačného systému IACS, informačného systému AGIS a služby v oblasti informačno-komunikačných technológií.</w:t>
      </w:r>
    </w:p>
    <w:p w14:paraId="3DCEDF8C" w14:textId="77777777" w:rsidR="00EA177A" w:rsidRPr="006603ED" w:rsidRDefault="00EA177A" w:rsidP="00EA177A">
      <w:r>
        <w:t>Výdavky na</w:t>
      </w:r>
      <w:r>
        <w:rPr>
          <w:i/>
        </w:rPr>
        <w:t xml:space="preserve"> </w:t>
      </w:r>
      <w:r>
        <w:rPr>
          <w:b/>
          <w:i/>
        </w:rPr>
        <w:t>stravovanie</w:t>
      </w:r>
      <w:r>
        <w:t xml:space="preserve"> zamestnancov podľa platných predpisov boli v sume</w:t>
      </w:r>
      <w:r w:rsidRPr="00D744D2">
        <w:t xml:space="preserve"> </w:t>
      </w:r>
      <w:r w:rsidRPr="006603ED">
        <w:t>49 389 tis. eur, kde najvýznamnejšiu sumu čerpalo Ministerstvo vnútra SR, a to v sume 19 72</w:t>
      </w:r>
      <w:r w:rsidRPr="00D744D2">
        <w:t>2</w:t>
      </w:r>
      <w:r w:rsidRPr="006603ED">
        <w:t> tis. eur</w:t>
      </w:r>
      <w:r>
        <w:t>, z dôvodu najvyššieho počtu zamestnancov v tejto kapitole (48 834 osôb)</w:t>
      </w:r>
      <w:r w:rsidRPr="006603ED">
        <w:t>.</w:t>
      </w:r>
    </w:p>
    <w:p w14:paraId="4462C784" w14:textId="77777777" w:rsidR="00EA177A" w:rsidRDefault="00EA177A" w:rsidP="00EA177A">
      <w:pPr>
        <w:rPr>
          <w:rFonts w:cs="Times New Roman"/>
        </w:rPr>
      </w:pPr>
      <w:r w:rsidRPr="00EC05A6">
        <w:t xml:space="preserve">Na </w:t>
      </w:r>
      <w:r w:rsidRPr="00EC05A6">
        <w:rPr>
          <w:b/>
          <w:i/>
        </w:rPr>
        <w:t>š</w:t>
      </w:r>
      <w:r w:rsidRPr="005327F7">
        <w:rPr>
          <w:rFonts w:cs="Times New Roman"/>
          <w:b/>
          <w:i/>
        </w:rPr>
        <w:t xml:space="preserve">kolenia, kurzy, semináre, </w:t>
      </w:r>
      <w:r>
        <w:rPr>
          <w:rFonts w:cs="Times New Roman"/>
          <w:b/>
          <w:i/>
        </w:rPr>
        <w:t xml:space="preserve">a </w:t>
      </w:r>
      <w:r w:rsidRPr="005327F7">
        <w:rPr>
          <w:rFonts w:cs="Times New Roman"/>
          <w:b/>
          <w:i/>
        </w:rPr>
        <w:t>konferencie</w:t>
      </w:r>
      <w:r w:rsidRPr="00071A28">
        <w:rPr>
          <w:i/>
        </w:rPr>
        <w:t xml:space="preserve"> </w:t>
      </w:r>
      <w:r w:rsidRPr="00071A28">
        <w:t>sa pou</w:t>
      </w:r>
      <w:r w:rsidRPr="00101DFB">
        <w:t>žilo</w:t>
      </w:r>
      <w:r w:rsidRPr="00D744D2">
        <w:t xml:space="preserve"> </w:t>
      </w:r>
      <w:r w:rsidRPr="00EC05A6">
        <w:t>47 </w:t>
      </w:r>
      <w:r w:rsidRPr="005327F7">
        <w:t>074</w:t>
      </w:r>
      <w:r w:rsidRPr="00071A28">
        <w:t> tis. eur.</w:t>
      </w:r>
      <w:r w:rsidRPr="00D744D2">
        <w:t xml:space="preserve"> </w:t>
      </w:r>
      <w:r w:rsidRPr="00EC05A6">
        <w:t>Na týchto výdavkoch sa najviac podieľalo</w:t>
      </w:r>
      <w:r w:rsidRPr="00D744D2">
        <w:t xml:space="preserve"> </w:t>
      </w:r>
      <w:r w:rsidRPr="00EC05A6">
        <w:t>Ministerstvo obrany</w:t>
      </w:r>
      <w:r w:rsidRPr="005327F7">
        <w:t xml:space="preserve"> SR</w:t>
      </w:r>
      <w:r w:rsidRPr="00071A28">
        <w:t xml:space="preserve"> v sume 3</w:t>
      </w:r>
      <w:r w:rsidRPr="00101DFB">
        <w:t xml:space="preserve">7 462 tis. eur. </w:t>
      </w:r>
      <w:r w:rsidRPr="00D744D2">
        <w:t>Ide</w:t>
      </w:r>
      <w:r>
        <w:t xml:space="preserve"> o </w:t>
      </w:r>
      <w:r w:rsidRPr="00D744D2">
        <w:rPr>
          <w:rFonts w:cs="Times New Roman"/>
        </w:rPr>
        <w:t>školenia, kurzy</w:t>
      </w:r>
      <w:r>
        <w:rPr>
          <w:rFonts w:cs="Times New Roman"/>
        </w:rPr>
        <w:t xml:space="preserve"> a zácvik personálu</w:t>
      </w:r>
      <w:r w:rsidRPr="00D744D2">
        <w:rPr>
          <w:rFonts w:cs="Times New Roman"/>
        </w:rPr>
        <w:t xml:space="preserve"> súvisiace s realizáciou modernizačných projektov.</w:t>
      </w:r>
      <w:r>
        <w:rPr>
          <w:rFonts w:cs="Times New Roman"/>
        </w:rPr>
        <w:t xml:space="preserve"> Na medziročnom zvýšení výdavkov na tieto služby sa podieľala práve kapitola Ministerstva obrany SR (o 30 072 tis. eur), z dôvodu úhrad za </w:t>
      </w:r>
      <w:r>
        <w:t>výcvik pilotov  k vrtuľníkom a lietadlám.</w:t>
      </w:r>
    </w:p>
    <w:p w14:paraId="1D931DB6" w14:textId="77777777" w:rsidR="00436F7E" w:rsidRDefault="00EA177A" w:rsidP="00EA177A">
      <w:r>
        <w:rPr>
          <w:rFonts w:cs="Times New Roman"/>
        </w:rPr>
        <w:t xml:space="preserve">Z ostatných položiek služieb boli významné napr. </w:t>
      </w:r>
      <w:r w:rsidRPr="006F4D4C">
        <w:rPr>
          <w:rFonts w:cs="Times New Roman"/>
          <w:b/>
          <w:i/>
        </w:rPr>
        <w:t>vrátenie príjmov z minulých rokov</w:t>
      </w:r>
      <w:r>
        <w:rPr>
          <w:rFonts w:cs="Times New Roman"/>
        </w:rPr>
        <w:t xml:space="preserve"> (36 165 tis. eur) čerpané v rozhodujúcej miere Všeobecnou pokladničnou správou, ktorá ich realizovala v sume 35 507 tis. eur, </w:t>
      </w:r>
      <w:r w:rsidRPr="00071A28">
        <w:rPr>
          <w:b/>
          <w:i/>
        </w:rPr>
        <w:t>prídel do sociálneho fondu</w:t>
      </w:r>
      <w:r>
        <w:rPr>
          <w:b/>
          <w:i/>
        </w:rPr>
        <w:t xml:space="preserve"> </w:t>
      </w:r>
      <w:r>
        <w:t>(</w:t>
      </w:r>
      <w:r w:rsidRPr="00101DFB">
        <w:t>26 680 tis. eur</w:t>
      </w:r>
      <w:r>
        <w:t>) realizovaný</w:t>
      </w:r>
      <w:r w:rsidRPr="00101DFB">
        <w:t xml:space="preserve"> v súlade so zákonom č.152/1994 Z. z. o sociálnom fonde a o </w:t>
      </w:r>
      <w:r w:rsidR="0035297E">
        <w:t>doplnení zákona č. 286/1992 Zb.</w:t>
      </w:r>
      <w:r w:rsidR="0035297E">
        <w:br/>
      </w:r>
      <w:r w:rsidRPr="00101DFB">
        <w:t>o daniach z príjmov v znení neskorších predpisov, kde je stanovená hranica minimálnej výšky tvorby sociálneho fondu, ktorá je pre každého zamestnávateľa záväzná</w:t>
      </w:r>
      <w:r>
        <w:t xml:space="preserve">, ďalej </w:t>
      </w:r>
      <w:r w:rsidRPr="00C85AFC">
        <w:rPr>
          <w:b/>
          <w:i/>
        </w:rPr>
        <w:t>výdavky na štúdie, expertízy a posudky</w:t>
      </w:r>
      <w:r w:rsidRPr="00092459">
        <w:t xml:space="preserve"> </w:t>
      </w:r>
      <w:r>
        <w:t>(</w:t>
      </w:r>
      <w:r w:rsidRPr="00092459">
        <w:t>24 960 tis. eur</w:t>
      </w:r>
      <w:r>
        <w:t>)</w:t>
      </w:r>
      <w:r w:rsidRPr="00092459">
        <w:t xml:space="preserve">. </w:t>
      </w:r>
      <w:r>
        <w:t>čerpané v rozhodujúcej miere</w:t>
      </w:r>
      <w:r w:rsidRPr="00092459">
        <w:t xml:space="preserve"> Ministerstvo</w:t>
      </w:r>
      <w:r>
        <w:t>m</w:t>
      </w:r>
      <w:r w:rsidRPr="00092459">
        <w:t xml:space="preserve"> vnútra SR</w:t>
      </w:r>
      <w:r w:rsidRPr="00D744D2">
        <w:t xml:space="preserve"> </w:t>
      </w:r>
      <w:r w:rsidRPr="00101DFB">
        <w:t>1</w:t>
      </w:r>
      <w:r w:rsidRPr="00C85AFC">
        <w:t>3 </w:t>
      </w:r>
      <w:r w:rsidRPr="00092459">
        <w:t>993 tis. eur</w:t>
      </w:r>
      <w:r>
        <w:t xml:space="preserve"> najmä</w:t>
      </w:r>
      <w:r w:rsidRPr="00092459">
        <w:t xml:space="preserve"> na znalecké posudky a odborné vyjadrenia </w:t>
      </w:r>
      <w:r>
        <w:t>pre</w:t>
      </w:r>
      <w:r w:rsidRPr="00092459">
        <w:t xml:space="preserve"> činnosť Policajného zboru</w:t>
      </w:r>
      <w:r w:rsidRPr="00101DFB">
        <w:t>.</w:t>
      </w:r>
      <w:r w:rsidRPr="00C85AFC">
        <w:t xml:space="preserve"> </w:t>
      </w:r>
      <w:r>
        <w:t xml:space="preserve">Na </w:t>
      </w:r>
      <w:r w:rsidRPr="006F4D4C">
        <w:rPr>
          <w:b/>
          <w:i/>
        </w:rPr>
        <w:t>odmeny zamestnancom mimo pracovného pomeru</w:t>
      </w:r>
      <w:r>
        <w:t xml:space="preserve"> bolo vynaložených 24 833 tis. eur, z toho najviac v kapitolách Ministerstva školstva vedy, výskumu a športu SR 4 002 tis. eur a Ministerstva vnút</w:t>
      </w:r>
      <w:r w:rsidR="00436F7E">
        <w:t>ra SR v sume 3 053 tis. eur.</w:t>
      </w:r>
    </w:p>
    <w:p w14:paraId="1C8CDBA3" w14:textId="2FE7904E" w:rsidR="00EA177A" w:rsidRPr="00101DFB" w:rsidRDefault="00EA177A" w:rsidP="00EA177A">
      <w:r>
        <w:t xml:space="preserve">Ďalšie kapitoly sa podieľali na tomto čerpaní v menších objemoch. Výdavky </w:t>
      </w:r>
      <w:r w:rsidRPr="001C009B">
        <w:rPr>
          <w:b/>
          <w:i/>
        </w:rPr>
        <w:t>na propagáciu, reklamu a inzerciu</w:t>
      </w:r>
      <w:r>
        <w:t xml:space="preserve"> boli čerpané sume 22 940 tis. eur, výdavky za </w:t>
      </w:r>
      <w:r w:rsidRPr="00736678">
        <w:rPr>
          <w:b/>
          <w:i/>
        </w:rPr>
        <w:t xml:space="preserve">náhrady </w:t>
      </w:r>
      <w:r>
        <w:t xml:space="preserve">sume 20 775 tis. eur. </w:t>
      </w:r>
    </w:p>
    <w:p w14:paraId="62D2B708" w14:textId="3F066D66" w:rsidR="00EA177A" w:rsidRPr="00C762A7" w:rsidRDefault="00EA177A" w:rsidP="00EA177A">
      <w:r w:rsidRPr="00C85AFC">
        <w:rPr>
          <w:b/>
        </w:rPr>
        <w:t>Rut</w:t>
      </w:r>
      <w:r w:rsidRPr="00092459">
        <w:rPr>
          <w:b/>
        </w:rPr>
        <w:t>inná a štandardná údržba</w:t>
      </w:r>
      <w:r w:rsidRPr="00092459">
        <w:t xml:space="preserve"> predstavuje </w:t>
      </w:r>
      <w:r>
        <w:t>druhé najvyššie výdavky čerpané v sume</w:t>
      </w:r>
      <w:r>
        <w:br/>
      </w:r>
      <w:r w:rsidRPr="00092459">
        <w:t>329 707 tis. eur</w:t>
      </w:r>
      <w:r>
        <w:t>. Ide o najmä o dodávateľsky obstarávané</w:t>
      </w:r>
      <w:r w:rsidRPr="00092459">
        <w:t xml:space="preserve"> práce a </w:t>
      </w:r>
      <w:r>
        <w:t>výkony</w:t>
      </w:r>
      <w:r w:rsidRPr="00092459">
        <w:t>, ktorými sa zabezpečuje bežná prevádzka majetku, napr. budov, prevádzkového zariadenia, kancelárskeho vybavenia, softvéru a pod.</w:t>
      </w:r>
      <w:r w:rsidRPr="00D744D2">
        <w:t xml:space="preserve"> </w:t>
      </w:r>
      <w:r w:rsidRPr="00C85AFC">
        <w:t>Objemovo najväčšie čerpanie si</w:t>
      </w:r>
      <w:r w:rsidRPr="00092459">
        <w:t xml:space="preserve"> vyžiadala údržba </w:t>
      </w:r>
      <w:r w:rsidRPr="00092459">
        <w:rPr>
          <w:b/>
          <w:i/>
        </w:rPr>
        <w:t>softvéru</w:t>
      </w:r>
      <w:r w:rsidRPr="00092459">
        <w:t xml:space="preserve"> </w:t>
      </w:r>
      <w:r>
        <w:t>(</w:t>
      </w:r>
      <w:r w:rsidRPr="00092459">
        <w:t>105 888 tis. eur</w:t>
      </w:r>
      <w:r>
        <w:t>)</w:t>
      </w:r>
      <w:r w:rsidRPr="00092459">
        <w:t>,</w:t>
      </w:r>
      <w:r>
        <w:t xml:space="preserve"> údržba </w:t>
      </w:r>
      <w:r w:rsidRPr="00C762A7">
        <w:rPr>
          <w:b/>
          <w:i/>
        </w:rPr>
        <w:t>budov, objektov alebo ich častí</w:t>
      </w:r>
      <w:r>
        <w:t xml:space="preserve"> (92 165 tis. eur), údržba </w:t>
      </w:r>
      <w:r w:rsidRPr="00C762A7">
        <w:rPr>
          <w:b/>
          <w:i/>
        </w:rPr>
        <w:t>špeciálnych strojov, prístrojov a zariadení</w:t>
      </w:r>
      <w:r>
        <w:t xml:space="preserve"> (66 972 tis. </w:t>
      </w:r>
      <w:r w:rsidR="00DB08D4">
        <w:t>eur</w:t>
      </w:r>
      <w:r>
        <w:t xml:space="preserve"> a </w:t>
      </w:r>
      <w:r w:rsidRPr="00C762A7">
        <w:rPr>
          <w:b/>
          <w:i/>
        </w:rPr>
        <w:t>komunikačnej infraštruktúry</w:t>
      </w:r>
      <w:r>
        <w:t xml:space="preserve"> (25 715 tis. eur). Medzi ďalšie položky rutinnej údržby patrí </w:t>
      </w:r>
      <w:r w:rsidRPr="00C762A7">
        <w:rPr>
          <w:b/>
          <w:i/>
        </w:rPr>
        <w:t>výpočtová technika</w:t>
      </w:r>
      <w:r>
        <w:t xml:space="preserve"> (15 020 tis. eur), </w:t>
      </w:r>
      <w:r w:rsidRPr="00C762A7">
        <w:rPr>
          <w:b/>
          <w:i/>
        </w:rPr>
        <w:t>prevádzkové stroje a zariadenia</w:t>
      </w:r>
      <w:r>
        <w:t xml:space="preserve"> (15 533 tis. eur) a </w:t>
      </w:r>
      <w:r w:rsidRPr="00C762A7">
        <w:rPr>
          <w:b/>
          <w:i/>
        </w:rPr>
        <w:t>telekomunikačn</w:t>
      </w:r>
      <w:r>
        <w:rPr>
          <w:b/>
          <w:i/>
        </w:rPr>
        <w:t>á</w:t>
      </w:r>
      <w:r w:rsidRPr="00C762A7">
        <w:rPr>
          <w:b/>
          <w:i/>
        </w:rPr>
        <w:t xml:space="preserve"> technik</w:t>
      </w:r>
      <w:r>
        <w:rPr>
          <w:b/>
          <w:i/>
        </w:rPr>
        <w:t>a</w:t>
      </w:r>
      <w:r>
        <w:t xml:space="preserve"> (7 591 tis. eur).</w:t>
      </w:r>
    </w:p>
    <w:p w14:paraId="48C49E4C" w14:textId="77777777" w:rsidR="00EA177A" w:rsidRPr="00C85AFC" w:rsidRDefault="00EA177A" w:rsidP="00EA177A">
      <w:pPr>
        <w:rPr>
          <w:rFonts w:cs="Times New Roman"/>
        </w:rPr>
      </w:pPr>
      <w:r>
        <w:t>N</w:t>
      </w:r>
      <w:r w:rsidRPr="00092459">
        <w:t xml:space="preserve">ajvyšší objem finančných prostriedkov </w:t>
      </w:r>
      <w:r>
        <w:t xml:space="preserve">na </w:t>
      </w:r>
      <w:r w:rsidRPr="00091A96">
        <w:rPr>
          <w:b/>
          <w:i/>
        </w:rPr>
        <w:t>údržbu softvéru</w:t>
      </w:r>
      <w:r>
        <w:t xml:space="preserve"> </w:t>
      </w:r>
      <w:r w:rsidRPr="00092459">
        <w:t>čerpalo</w:t>
      </w:r>
      <w:r w:rsidRPr="00D744D2">
        <w:t xml:space="preserve"> </w:t>
      </w:r>
      <w:r w:rsidRPr="00C85AFC">
        <w:t>Ministerstvo financií SR</w:t>
      </w:r>
      <w:r w:rsidRPr="00D744D2">
        <w:t xml:space="preserve"> </w:t>
      </w:r>
      <w:r w:rsidRPr="00C85AFC">
        <w:t>v sume 43 426 tis. eur.</w:t>
      </w:r>
      <w:r w:rsidRPr="00092459">
        <w:t xml:space="preserve"> V rámci tejto podpoložky boli čerpané aj zdroje EÚ a príslušné spolufinancovanie</w:t>
      </w:r>
      <w:r w:rsidRPr="001A42C5">
        <w:t>.</w:t>
      </w:r>
      <w:r w:rsidRPr="005C2029">
        <w:t xml:space="preserve"> Oproti schválenému rozpočtu</w:t>
      </w:r>
      <w:r>
        <w:t xml:space="preserve"> boli navýšené skutočné výdavky o 22 850 tis. eur, najmä z dôvodu </w:t>
      </w:r>
      <w:r w:rsidRPr="0061373E">
        <w:rPr>
          <w:rFonts w:cs="Times New Roman"/>
        </w:rPr>
        <w:t xml:space="preserve">priebežného uvoľňovania finančných prostriedkov z kapitoly Všeobecná pokladničná správa na financovanie centrálne obstarávaných licencií </w:t>
      </w:r>
      <w:r>
        <w:rPr>
          <w:rFonts w:cs="Times New Roman"/>
        </w:rPr>
        <w:t>k informačným systémom</w:t>
      </w:r>
      <w:r w:rsidRPr="0061373E">
        <w:rPr>
          <w:rFonts w:cs="Times New Roman"/>
        </w:rPr>
        <w:t xml:space="preserve">, financovania prevádzky Ekonomického informačného systému pre vybrané subjekty (formou rozpočtových opatrení) a zabezpečenia financovania legislatívnych zmien do daňových a colných informačných systémov. </w:t>
      </w:r>
    </w:p>
    <w:p w14:paraId="39F9B522" w14:textId="77777777" w:rsidR="00EA177A" w:rsidRPr="00092459" w:rsidRDefault="00EA177A" w:rsidP="00EA177A">
      <w:r>
        <w:t>N</w:t>
      </w:r>
      <w:r w:rsidRPr="00092459">
        <w:t xml:space="preserve">ajvyšší objem finančných prostriedkov </w:t>
      </w:r>
      <w:r>
        <w:t>na</w:t>
      </w:r>
      <w:r w:rsidRPr="00092459">
        <w:t xml:space="preserve"> údržb</w:t>
      </w:r>
      <w:r>
        <w:t>u</w:t>
      </w:r>
      <w:r w:rsidRPr="00092459">
        <w:t xml:space="preserve"> </w:t>
      </w:r>
      <w:r w:rsidRPr="00667016">
        <w:rPr>
          <w:b/>
          <w:i/>
        </w:rPr>
        <w:t>budov a objektov alebo ich častí</w:t>
      </w:r>
      <w:r w:rsidRPr="00892F3C">
        <w:t xml:space="preserve"> použil</w:t>
      </w:r>
      <w:r>
        <w:t>a</w:t>
      </w:r>
      <w:r w:rsidRPr="00892F3C">
        <w:t xml:space="preserve"> kapitol</w:t>
      </w:r>
      <w:r>
        <w:t>a</w:t>
      </w:r>
      <w:r w:rsidRPr="00892F3C">
        <w:t xml:space="preserve"> Ministerstva dopravy a výstavby SR v objeme 5</w:t>
      </w:r>
      <w:r w:rsidRPr="001A42C5">
        <w:t>2</w:t>
      </w:r>
      <w:r w:rsidRPr="005C2029">
        <w:t> </w:t>
      </w:r>
      <w:r>
        <w:t>367 tis. eur, z toho</w:t>
      </w:r>
      <w:r>
        <w:rPr>
          <w:rFonts w:cs="Times New Roman"/>
        </w:rPr>
        <w:t xml:space="preserve"> Slovenská správa ciest v sume 51 727 tis. eur, na bežnú údržbu a opravy úsekov ciest I. triedy.</w:t>
      </w:r>
      <w:r>
        <w:t xml:space="preserve"> V rámci tejto podpoložky čerpalo </w:t>
      </w:r>
      <w:r w:rsidRPr="00D744D2">
        <w:t xml:space="preserve">významné </w:t>
      </w:r>
      <w:r w:rsidRPr="00092459">
        <w:t>finančné prostriedky</w:t>
      </w:r>
      <w:r w:rsidRPr="00D744D2">
        <w:t xml:space="preserve"> aj</w:t>
      </w:r>
      <w:r w:rsidRPr="00092459">
        <w:t xml:space="preserve"> </w:t>
      </w:r>
      <w:r w:rsidRPr="00667016">
        <w:t>Ministerstv</w:t>
      </w:r>
      <w:r w:rsidRPr="00892F3C">
        <w:t>o vnútra SR v sume</w:t>
      </w:r>
      <w:r w:rsidRPr="00892F3C">
        <w:rPr>
          <w:b/>
        </w:rPr>
        <w:t xml:space="preserve"> </w:t>
      </w:r>
      <w:r w:rsidRPr="00892F3C">
        <w:t>13 9</w:t>
      </w:r>
      <w:r w:rsidRPr="001A42C5">
        <w:t>44</w:t>
      </w:r>
      <w:r w:rsidRPr="005C2029">
        <w:t xml:space="preserve"> tis. eur, ktoré </w:t>
      </w:r>
      <w:r>
        <w:t>ich</w:t>
      </w:r>
      <w:r>
        <w:rPr>
          <w:b/>
          <w:bCs/>
        </w:rPr>
        <w:t xml:space="preserve"> </w:t>
      </w:r>
      <w:r>
        <w:rPr>
          <w:bCs/>
        </w:rPr>
        <w:t>p</w:t>
      </w:r>
      <w:r>
        <w:t>oužilo na úhradu výdavkov za práce a služby, ktorými sa zabezpečuje bežná prevádzka majetku, stavebné práce, údržba a opravy.</w:t>
      </w:r>
    </w:p>
    <w:p w14:paraId="3BA6A5EE" w14:textId="77777777" w:rsidR="00EA177A" w:rsidRDefault="00EA177A" w:rsidP="00EA177A">
      <w:r>
        <w:t>Na v</w:t>
      </w:r>
      <w:r w:rsidRPr="00667016">
        <w:t>ýdavk</w:t>
      </w:r>
      <w:r>
        <w:t>och</w:t>
      </w:r>
      <w:r w:rsidRPr="00667016">
        <w:t xml:space="preserve"> spojen</w:t>
      </w:r>
      <w:r>
        <w:t>ých</w:t>
      </w:r>
      <w:r w:rsidRPr="00667016">
        <w:t xml:space="preserve"> s údržbou </w:t>
      </w:r>
      <w:r w:rsidRPr="00892F3C">
        <w:rPr>
          <w:b/>
          <w:i/>
        </w:rPr>
        <w:t>špeciálnych strojov a prístrojov</w:t>
      </w:r>
      <w:r w:rsidRPr="00892F3C">
        <w:rPr>
          <w:i/>
        </w:rPr>
        <w:t xml:space="preserve"> </w:t>
      </w:r>
      <w:r>
        <w:t>sa podieľalo najmä</w:t>
      </w:r>
      <w:r w:rsidRPr="001A42C5">
        <w:t xml:space="preserve"> Ministerstvo o</w:t>
      </w:r>
      <w:r w:rsidRPr="005C2029">
        <w:t xml:space="preserve">brany SR, a to </w:t>
      </w:r>
      <w:r>
        <w:t>55 792 tis. eur</w:t>
      </w:r>
      <w:r w:rsidRPr="00D744D2">
        <w:t xml:space="preserve"> </w:t>
      </w:r>
      <w:r>
        <w:t>za</w:t>
      </w:r>
      <w:r w:rsidRPr="00D744D2">
        <w:t xml:space="preserve"> údržbu pozemnej a leteckej techniky ozbrojených síl SR. </w:t>
      </w:r>
    </w:p>
    <w:p w14:paraId="0338675E" w14:textId="77777777" w:rsidR="00EA177A" w:rsidRPr="00A76035" w:rsidRDefault="00EA177A" w:rsidP="00EA177A">
      <w:pPr>
        <w:rPr>
          <w:rFonts w:eastAsia="Times New Roman" w:cs="Times New Roman"/>
          <w:color w:val="000000"/>
        </w:rPr>
      </w:pPr>
      <w:r w:rsidRPr="00A76035">
        <w:rPr>
          <w:rFonts w:cs="Times New Roman"/>
          <w:color w:val="000000"/>
        </w:rPr>
        <w:t xml:space="preserve">V kapitole Ministerstva vnútra SR boli výdavky vyššie oproti rozpočtu na údržbu </w:t>
      </w:r>
      <w:r w:rsidRPr="003C1E59">
        <w:rPr>
          <w:rFonts w:cs="Times New Roman"/>
          <w:b/>
          <w:i/>
          <w:color w:val="000000"/>
        </w:rPr>
        <w:t>komunikačnej infraštruktúry</w:t>
      </w:r>
      <w:r w:rsidRPr="00A76035">
        <w:rPr>
          <w:rFonts w:cs="Times New Roman"/>
          <w:color w:val="000000"/>
        </w:rPr>
        <w:t xml:space="preserve"> o 19 548 tis. eur a </w:t>
      </w:r>
      <w:r w:rsidRPr="00A76035">
        <w:rPr>
          <w:rFonts w:eastAsia="Times New Roman" w:cs="Times New Roman"/>
          <w:color w:val="000000"/>
        </w:rPr>
        <w:t>súviseli s neplánovaným nevyhnutným odstránením havarijných stavov objektov v správe rezortu Ministerstva Vnútra SR</w:t>
      </w:r>
      <w:r>
        <w:rPr>
          <w:rFonts w:eastAsia="Times New Roman" w:cs="Times New Roman"/>
          <w:color w:val="000000"/>
        </w:rPr>
        <w:t>.</w:t>
      </w:r>
    </w:p>
    <w:p w14:paraId="25E234B3" w14:textId="77777777" w:rsidR="00EA177A" w:rsidRDefault="00EA177A" w:rsidP="00EA177A">
      <w:r w:rsidRPr="00892F3C">
        <w:t xml:space="preserve">Výdavky na spotrebný </w:t>
      </w:r>
      <w:r w:rsidRPr="00892F3C">
        <w:rPr>
          <w:b/>
        </w:rPr>
        <w:t>materiál</w:t>
      </w:r>
      <w:r w:rsidRPr="00892F3C">
        <w:t xml:space="preserve"> dosiahli sumu 209</w:t>
      </w:r>
      <w:r w:rsidRPr="001A42C5">
        <w:t> 81</w:t>
      </w:r>
      <w:r w:rsidRPr="005C2029">
        <w:t>6</w:t>
      </w:r>
      <w:r>
        <w:t xml:space="preserve"> tis. eur, pričom ide o výdavky, ktoré súvisia priamo s prevádzkou jednotlivých rozpočtových organizácií, ale aj s poskytovaním určitej formy pomoci napr. pre fyzické osoby.</w:t>
      </w:r>
      <w:r w:rsidRPr="00D744D2">
        <w:t xml:space="preserve"> </w:t>
      </w:r>
      <w:r w:rsidRPr="00892F3C">
        <w:t xml:space="preserve">Najviac prostriedkov sa vynaložilo na </w:t>
      </w:r>
      <w:r w:rsidRPr="00892F3C">
        <w:rPr>
          <w:b/>
          <w:i/>
        </w:rPr>
        <w:t xml:space="preserve">všeobecný materiál </w:t>
      </w:r>
      <w:r w:rsidRPr="008F3490">
        <w:t>(</w:t>
      </w:r>
      <w:r w:rsidRPr="00892F3C">
        <w:t>52 5</w:t>
      </w:r>
      <w:r w:rsidRPr="001A42C5">
        <w:t>41 tis. eur</w:t>
      </w:r>
      <w:r>
        <w:t xml:space="preserve">), </w:t>
      </w:r>
      <w:r w:rsidRPr="00172DD3">
        <w:rPr>
          <w:b/>
          <w:i/>
        </w:rPr>
        <w:t>pracovné odevy a pracovné pomôcky</w:t>
      </w:r>
      <w:r>
        <w:t xml:space="preserve"> (28 547 tis. eur), </w:t>
      </w:r>
      <w:r w:rsidRPr="00172DD3">
        <w:rPr>
          <w:b/>
          <w:i/>
        </w:rPr>
        <w:t>potraviny</w:t>
      </w:r>
      <w:r>
        <w:br/>
        <w:t xml:space="preserve">(28 474 tis. eur), </w:t>
      </w:r>
      <w:r w:rsidRPr="00172DD3">
        <w:rPr>
          <w:b/>
          <w:i/>
        </w:rPr>
        <w:t>výpočtovú</w:t>
      </w:r>
      <w:r>
        <w:t xml:space="preserve"> </w:t>
      </w:r>
      <w:r w:rsidRPr="00172DD3">
        <w:rPr>
          <w:b/>
          <w:i/>
        </w:rPr>
        <w:t>techniku</w:t>
      </w:r>
      <w:r>
        <w:t xml:space="preserve"> (22 071 tis. eur), </w:t>
      </w:r>
      <w:r w:rsidRPr="00172DD3">
        <w:rPr>
          <w:b/>
          <w:i/>
        </w:rPr>
        <w:t>špeciálne prístroje a</w:t>
      </w:r>
      <w:r>
        <w:rPr>
          <w:b/>
          <w:i/>
        </w:rPr>
        <w:t> </w:t>
      </w:r>
      <w:r w:rsidRPr="00172DD3">
        <w:rPr>
          <w:b/>
          <w:i/>
        </w:rPr>
        <w:t>zariadenia</w:t>
      </w:r>
      <w:r>
        <w:br/>
        <w:t>(20 009 tis. eur) a </w:t>
      </w:r>
      <w:r w:rsidRPr="00172DD3">
        <w:rPr>
          <w:b/>
          <w:i/>
        </w:rPr>
        <w:t>špeciálny</w:t>
      </w:r>
      <w:r>
        <w:t xml:space="preserve"> </w:t>
      </w:r>
      <w:r w:rsidRPr="00172DD3">
        <w:rPr>
          <w:b/>
          <w:i/>
        </w:rPr>
        <w:t>materiál</w:t>
      </w:r>
      <w:r>
        <w:t xml:space="preserve"> (15 843 tis. eur).</w:t>
      </w:r>
    </w:p>
    <w:p w14:paraId="720C8FAB" w14:textId="77777777" w:rsidR="00EA177A" w:rsidRDefault="00EA177A" w:rsidP="00EA177A">
      <w:r>
        <w:t xml:space="preserve">V rámci výdavkov na materiál použila </w:t>
      </w:r>
      <w:r w:rsidRPr="001A42C5">
        <w:t>kapitol</w:t>
      </w:r>
      <w:r>
        <w:t>a</w:t>
      </w:r>
      <w:r w:rsidRPr="001A42C5">
        <w:t xml:space="preserve"> Ministerstva vnútra SR</w:t>
      </w:r>
      <w:r w:rsidRPr="00D744D2">
        <w:t xml:space="preserve"> </w:t>
      </w:r>
      <w:r w:rsidRPr="00892F3C">
        <w:t>2</w:t>
      </w:r>
      <w:r w:rsidRPr="001A42C5">
        <w:t>7 07</w:t>
      </w:r>
      <w:r w:rsidRPr="00D744D2">
        <w:t>5</w:t>
      </w:r>
      <w:r w:rsidRPr="00892F3C">
        <w:t> </w:t>
      </w:r>
      <w:r w:rsidRPr="001A42C5">
        <w:t>tis. eur najmä na spotrebný materiál k výpočtovej technike, ka</w:t>
      </w:r>
      <w:r w:rsidRPr="00516109">
        <w:t>ncelárske potreby a tiež nákup tabuliek evidenčných čísel vozidiel, chemikálií pre expertíznu činnosť, očkovací</w:t>
      </w:r>
      <w:r>
        <w:t xml:space="preserve">ch sér a materiálu pre zvieratá, kapitola Ministerstva obrany SR 12 474 tis. eur a kapitola Ministerstva vnútra SR 6 650 tis. eur na </w:t>
      </w:r>
      <w:r w:rsidRPr="00C33ED4">
        <w:t>zabezpečen</w:t>
      </w:r>
      <w:r>
        <w:t>ie</w:t>
      </w:r>
      <w:r w:rsidRPr="00C33ED4">
        <w:t xml:space="preserve"> výstroja pre profesionálnych vojakov</w:t>
      </w:r>
      <w:r>
        <w:t xml:space="preserve">, </w:t>
      </w:r>
      <w:r w:rsidRPr="00C33ED4">
        <w:t>policajtov</w:t>
      </w:r>
      <w:r>
        <w:t xml:space="preserve">. Potraviny boli rozhodujúcou položkou </w:t>
      </w:r>
      <w:r w:rsidRPr="00C33ED4">
        <w:t xml:space="preserve">v kapitole Ministerstva práce, sociálnych vecí a rodiny SR </w:t>
      </w:r>
      <w:r>
        <w:t>(</w:t>
      </w:r>
      <w:r w:rsidRPr="00C33ED4">
        <w:t>15 283 tis. eur</w:t>
      </w:r>
      <w:r>
        <w:t>), pričom</w:t>
      </w:r>
      <w:r w:rsidRPr="00C33ED4">
        <w:rPr>
          <w:rFonts w:cs="Times New Roman"/>
        </w:rPr>
        <w:t xml:space="preserve"> 12 706 tis. eur</w:t>
      </w:r>
      <w:r w:rsidRPr="00D744D2">
        <w:rPr>
          <w:rFonts w:cs="Times New Roman"/>
        </w:rPr>
        <w:t xml:space="preserve"> sa týka</w:t>
      </w:r>
      <w:r>
        <w:rPr>
          <w:rFonts w:cs="Times New Roman"/>
        </w:rPr>
        <w:t>lo</w:t>
      </w:r>
      <w:r w:rsidRPr="00D744D2">
        <w:rPr>
          <w:rFonts w:cs="Times New Roman"/>
        </w:rPr>
        <w:t xml:space="preserve"> výdavkov v zmysle Operačného programu </w:t>
      </w:r>
      <w:r w:rsidRPr="00A36B73">
        <w:rPr>
          <w:rFonts w:cs="Times New Roman"/>
        </w:rPr>
        <w:t>potravinovej a základnej materiálnej pomoci</w:t>
      </w:r>
      <w:r>
        <w:t xml:space="preserve"> </w:t>
      </w:r>
      <w:r w:rsidRPr="00A36B73">
        <w:rPr>
          <w:rFonts w:cs="Times New Roman"/>
        </w:rPr>
        <w:t>pre najodkázanejšie osoby</w:t>
      </w:r>
      <w:r w:rsidRPr="00D744D2">
        <w:rPr>
          <w:rFonts w:cs="Times New Roman"/>
          <w:color w:val="FF0000"/>
        </w:rPr>
        <w:t xml:space="preserve"> </w:t>
      </w:r>
      <w:r w:rsidRPr="00C33ED4">
        <w:t xml:space="preserve">a výdavky súvisiace s prípravou stravy najmä </w:t>
      </w:r>
      <w:r w:rsidRPr="00D744D2">
        <w:rPr>
          <w:rFonts w:cs="Times New Roman"/>
        </w:rPr>
        <w:t>v centrách pre deti a rodinu.</w:t>
      </w:r>
      <w:r w:rsidRPr="00D744D2">
        <w:t xml:space="preserve"> </w:t>
      </w:r>
      <w:r w:rsidRPr="00C33ED4">
        <w:t xml:space="preserve">Ministerstvo spravodlivosti SR </w:t>
      </w:r>
      <w:r>
        <w:t>použilo</w:t>
      </w:r>
      <w:r w:rsidRPr="00C33ED4">
        <w:t xml:space="preserve"> 8 744 tis. eur</w:t>
      </w:r>
      <w:r w:rsidRPr="00516109">
        <w:t xml:space="preserve"> hlavne na prípravu stravy pre obvinených a odsúdených, príslušníkov Zboru väzenskej a justičnej stráže</w:t>
      </w:r>
      <w:r>
        <w:t>.</w:t>
      </w:r>
    </w:p>
    <w:p w14:paraId="66F07F64" w14:textId="77777777" w:rsidR="00EA177A" w:rsidRPr="00DB141C" w:rsidRDefault="00EA177A" w:rsidP="00EA177A">
      <w:r w:rsidRPr="007663B4">
        <w:t xml:space="preserve">Položku </w:t>
      </w:r>
      <w:r w:rsidRPr="007663B4">
        <w:rPr>
          <w:b/>
        </w:rPr>
        <w:t>energie, voda a komunikácie</w:t>
      </w:r>
      <w:r w:rsidRPr="007663B4">
        <w:t xml:space="preserve"> tvoria súhrnné výdavky na všetky druhy energií, poštové a telekomunikačné služby, ako aj výdavky na komunikačnú infraštruktúru.</w:t>
      </w:r>
      <w:r w:rsidRPr="00D744D2">
        <w:t xml:space="preserve"> </w:t>
      </w:r>
      <w:r w:rsidRPr="007663B4">
        <w:t xml:space="preserve">V rozhodujúcej miere sa na nich podieľajú úhrady </w:t>
      </w:r>
      <w:r w:rsidRPr="00516109">
        <w:rPr>
          <w:b/>
          <w:i/>
        </w:rPr>
        <w:t>energií</w:t>
      </w:r>
      <w:r w:rsidRPr="00516109">
        <w:t xml:space="preserve"> </w:t>
      </w:r>
      <w:r>
        <w:t>(81 753 tis. eur) a </w:t>
      </w:r>
      <w:r w:rsidRPr="00A30338">
        <w:rPr>
          <w:b/>
          <w:i/>
        </w:rPr>
        <w:t>komunikačná infraštruktúra</w:t>
      </w:r>
      <w:r>
        <w:br/>
        <w:t>(45 236 tis. eur). V rámci komunikačnej infraštruktúry sa uhrádzajú napríklad poplatky za užívanie rezortných a medzinárodných spojovacích sietí, elektronický prenos dát, prístup k internetu, poplatok za vydanie kvalifikovaného certifikátu pre elektronický podpis a podobne. Na energiách sa podieľajú najmä kapitoly Ministerstvo vnútra SR (28 990 tis. eur) a Ministerstvo obrany SR (18 553 tis. eur) a na komunikačnej infraštruktúre</w:t>
      </w:r>
      <w:r w:rsidRPr="00A30338">
        <w:t xml:space="preserve"> </w:t>
      </w:r>
      <w:r w:rsidRPr="007663B4">
        <w:t>Ministerstvo financií SR</w:t>
      </w:r>
      <w:r w:rsidRPr="00D744D2">
        <w:t xml:space="preserve"> </w:t>
      </w:r>
      <w:r>
        <w:t>(</w:t>
      </w:r>
      <w:r w:rsidRPr="007663B4">
        <w:t>13 333 tis. eur</w:t>
      </w:r>
      <w:r>
        <w:t xml:space="preserve">) vrátane </w:t>
      </w:r>
      <w:r w:rsidRPr="007663B4">
        <w:t>DataCent</w:t>
      </w:r>
      <w:r>
        <w:t>ra</w:t>
      </w:r>
      <w:r w:rsidRPr="007663B4">
        <w:t xml:space="preserve"> </w:t>
      </w:r>
      <w:r>
        <w:t>(11 863 tis. eur).</w:t>
      </w:r>
      <w:r w:rsidRPr="00DB141C">
        <w:t xml:space="preserve"> </w:t>
      </w:r>
    </w:p>
    <w:p w14:paraId="33540B4D" w14:textId="77777777" w:rsidR="00EA177A" w:rsidRPr="00782B51" w:rsidRDefault="00EA177A" w:rsidP="00EA177A">
      <w:pPr>
        <w:suppressAutoHyphens/>
        <w:rPr>
          <w:b/>
          <w:i/>
        </w:rPr>
      </w:pPr>
      <w:r w:rsidRPr="00782B51">
        <w:t xml:space="preserve">Výdavky na </w:t>
      </w:r>
      <w:r w:rsidRPr="00782B51">
        <w:rPr>
          <w:b/>
        </w:rPr>
        <w:t xml:space="preserve">nájomné </w:t>
      </w:r>
      <w:r w:rsidRPr="00782B51">
        <w:t>dosiahli súhrnne 168 435 ti</w:t>
      </w:r>
      <w:r>
        <w:t xml:space="preserve">s. eur, z toho za nájom budov a </w:t>
      </w:r>
      <w:r w:rsidRPr="00782B51">
        <w:t>objektov alebo ich častí 164 873 tis. eur.</w:t>
      </w:r>
      <w:r>
        <w:t xml:space="preserve"> N</w:t>
      </w:r>
      <w:r w:rsidRPr="00782B51">
        <w:t>ajvýznamnejšiu sumu čerpalo</w:t>
      </w:r>
      <w:r w:rsidRPr="00D744D2">
        <w:t xml:space="preserve"> </w:t>
      </w:r>
      <w:r w:rsidRPr="00782B51">
        <w:t xml:space="preserve">Ministerstvo dopravy a výstavby SR </w:t>
      </w:r>
      <w:r w:rsidRPr="00D744D2">
        <w:rPr>
          <w:rFonts w:cs="Times New Roman"/>
        </w:rPr>
        <w:t>v sume 126 142 tis. eur</w:t>
      </w:r>
      <w:r>
        <w:rPr>
          <w:rFonts w:cs="Times New Roman"/>
        </w:rPr>
        <w:t>,</w:t>
      </w:r>
      <w:r w:rsidRPr="00D744D2">
        <w:rPr>
          <w:rFonts w:cs="Times New Roman"/>
        </w:rPr>
        <w:t xml:space="preserve"> hlavne na úhradu </w:t>
      </w:r>
      <w:proofErr w:type="spellStart"/>
      <w:r w:rsidRPr="00D744D2">
        <w:rPr>
          <w:rFonts w:cs="Times New Roman"/>
        </w:rPr>
        <w:t>nerozporovaných</w:t>
      </w:r>
      <w:proofErr w:type="spellEnd"/>
      <w:r w:rsidRPr="00D744D2">
        <w:rPr>
          <w:rFonts w:cs="Times New Roman"/>
        </w:rPr>
        <w:t xml:space="preserve"> častí mesačných jednotkových platieb za mesiace november a december 2018 a január až október 2019 fakt</w:t>
      </w:r>
      <w:r>
        <w:rPr>
          <w:rFonts w:cs="Times New Roman"/>
        </w:rPr>
        <w:t>u</w:t>
      </w:r>
      <w:r w:rsidRPr="00D744D2">
        <w:rPr>
          <w:rFonts w:cs="Times New Roman"/>
        </w:rPr>
        <w:t>rovaných spoločnosťou GRANVIA, a.s. v súlade s Koncesnou zmluvou R1, a to v sume 125 361 tis. eur.</w:t>
      </w:r>
      <w:r w:rsidRPr="00782B51">
        <w:t xml:space="preserve"> </w:t>
      </w:r>
    </w:p>
    <w:p w14:paraId="3A4258FF" w14:textId="77777777" w:rsidR="00EA177A" w:rsidRPr="00F17378" w:rsidRDefault="00EA177A" w:rsidP="00EA177A">
      <w:pPr>
        <w:suppressAutoHyphens/>
      </w:pPr>
      <w:r w:rsidRPr="00782B51">
        <w:t xml:space="preserve">V </w:t>
      </w:r>
      <w:r w:rsidRPr="000F1E9E">
        <w:rPr>
          <w:b/>
        </w:rPr>
        <w:t>dopravnom</w:t>
      </w:r>
      <w:r w:rsidRPr="000F1E9E">
        <w:rPr>
          <w:b/>
          <w:i/>
        </w:rPr>
        <w:t xml:space="preserve"> </w:t>
      </w:r>
      <w:r w:rsidRPr="000F1E9E">
        <w:t>sú zahrnuté výdavky vo výške 72 742 tis. eur,</w:t>
      </w:r>
      <w:r>
        <w:t xml:space="preserve"> z toho na pohonné hmoty</w:t>
      </w:r>
      <w:r>
        <w:br/>
        <w:t>29 689 tis. eur a na servis a údržbu dopravných prostriedkov rôznych druhov 30 969 tis. eur.</w:t>
      </w:r>
      <w:r w:rsidRPr="000F1E9E">
        <w:t xml:space="preserve"> </w:t>
      </w:r>
      <w:r>
        <w:t>Rozhodujúcou kapitolou v tejto položke je Ministerstvo vnútra SR (42 481 tis. eur), a to z </w:t>
      </w:r>
      <w:r w:rsidRPr="00390B91">
        <w:t>dôvodu policajných a záchranárskych zložiek spadajúcich do rezortu, ktoré majú k dispozícii rôznu dopravnú techniku – vozidlá, vládnu letku, policajné vrtuľníky a ďalšie.</w:t>
      </w:r>
    </w:p>
    <w:p w14:paraId="1E5D082E" w14:textId="77777777" w:rsidR="00EA177A" w:rsidRPr="00F17378" w:rsidRDefault="00EA177A" w:rsidP="00EA177A">
      <w:pPr>
        <w:tabs>
          <w:tab w:val="left" w:pos="284"/>
        </w:tabs>
        <w:suppressAutoHyphens/>
        <w:contextualSpacing/>
        <w:rPr>
          <w:rFonts w:cs="Times New Roman"/>
          <w:b/>
        </w:rPr>
      </w:pPr>
      <w:r w:rsidRPr="00D744D2">
        <w:rPr>
          <w:rFonts w:cs="Times New Roman"/>
          <w:b/>
        </w:rPr>
        <w:t>Bežné transfery</w:t>
      </w:r>
    </w:p>
    <w:p w14:paraId="720F8282" w14:textId="77777777" w:rsidR="00EA177A" w:rsidRPr="0059125B" w:rsidRDefault="00EA177A" w:rsidP="00EA177A">
      <w:r w:rsidRPr="00D744D2">
        <w:t>Transfery, ako platby jednotlivcom alebo skupinám subjektov uskutočňované bez toho, aby ich príjemcovia poskytovali v súvislosti s nimi nejaké protislužby alebo tovary,</w:t>
      </w:r>
      <w:r w:rsidRPr="00D744D2">
        <w:rPr>
          <w:color w:val="FF0000"/>
        </w:rPr>
        <w:t xml:space="preserve"> </w:t>
      </w:r>
      <w:r>
        <w:t>tvorili 57,1 </w:t>
      </w:r>
      <w:r w:rsidRPr="00D744D2">
        <w:t>% z</w:t>
      </w:r>
      <w:r>
        <w:t> </w:t>
      </w:r>
      <w:r w:rsidRPr="00D744D2">
        <w:t xml:space="preserve">celkových výdavkov štátneho rozpočtu v roku 2019. </w:t>
      </w:r>
    </w:p>
    <w:p w14:paraId="580E9F19" w14:textId="77777777" w:rsidR="00EA177A" w:rsidRPr="00D04535" w:rsidRDefault="00EA177A" w:rsidP="00EA177A">
      <w:r w:rsidRPr="00D744D2">
        <w:t xml:space="preserve">Bežné transfery boli realizované zo štátneho rozpočtu vo výške 10 284 024 tis. eur, pričom rozpočet bol schválený vo výške 9 817 228 tis. eur. </w:t>
      </w:r>
      <w:r w:rsidRPr="00D04535">
        <w:t>Prehľad bežných transferov podľa skupín prijímateľov poskytuje nasledovná tabuľka:</w:t>
      </w:r>
    </w:p>
    <w:tbl>
      <w:tblPr>
        <w:tblW w:w="8308" w:type="dxa"/>
        <w:tblInd w:w="56" w:type="dxa"/>
        <w:tblCellMar>
          <w:left w:w="70" w:type="dxa"/>
          <w:right w:w="70" w:type="dxa"/>
        </w:tblCellMar>
        <w:tblLook w:val="04A0" w:firstRow="1" w:lastRow="0" w:firstColumn="1" w:lastColumn="0" w:noHBand="0" w:noVBand="1"/>
      </w:tblPr>
      <w:tblGrid>
        <w:gridCol w:w="2804"/>
        <w:gridCol w:w="976"/>
        <w:gridCol w:w="984"/>
        <w:gridCol w:w="1001"/>
        <w:gridCol w:w="1025"/>
        <w:gridCol w:w="817"/>
        <w:gridCol w:w="701"/>
      </w:tblGrid>
      <w:tr w:rsidR="00EA177A" w:rsidRPr="003E59E8" w14:paraId="7A70D2B1" w14:textId="77777777" w:rsidTr="008E7DDA">
        <w:trPr>
          <w:trHeight w:val="434"/>
        </w:trPr>
        <w:tc>
          <w:tcPr>
            <w:tcW w:w="8308" w:type="dxa"/>
            <w:gridSpan w:val="7"/>
            <w:tcBorders>
              <w:top w:val="nil"/>
              <w:left w:val="nil"/>
              <w:bottom w:val="nil"/>
              <w:right w:val="nil"/>
            </w:tcBorders>
            <w:shd w:val="clear" w:color="000000" w:fill="000000"/>
            <w:vAlign w:val="center"/>
            <w:hideMark/>
          </w:tcPr>
          <w:p w14:paraId="43FA753F"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 xml:space="preserve">Bežné transfery                                                                                         </w:t>
            </w:r>
            <w:r>
              <w:rPr>
                <w:rFonts w:eastAsia="Times New Roman" w:cs="Times New Roman"/>
                <w:b/>
                <w:bCs/>
                <w:sz w:val="18"/>
                <w:szCs w:val="18"/>
                <w:lang w:eastAsia="sk-SK"/>
              </w:rPr>
              <w:t xml:space="preserve">         </w:t>
            </w:r>
            <w:r w:rsidRPr="003E59E8">
              <w:rPr>
                <w:rFonts w:eastAsia="Times New Roman" w:cs="Times New Roman"/>
                <w:b/>
                <w:bCs/>
                <w:sz w:val="18"/>
                <w:szCs w:val="18"/>
                <w:lang w:eastAsia="sk-SK"/>
              </w:rPr>
              <w:t xml:space="preserve">                                    v tis. eur</w:t>
            </w:r>
          </w:p>
        </w:tc>
      </w:tr>
      <w:tr w:rsidR="00EA177A" w:rsidRPr="003E59E8" w14:paraId="6FB786EC" w14:textId="77777777" w:rsidTr="008E7DDA">
        <w:trPr>
          <w:trHeight w:val="330"/>
        </w:trPr>
        <w:tc>
          <w:tcPr>
            <w:tcW w:w="2804" w:type="dxa"/>
            <w:vMerge w:val="restart"/>
            <w:tcBorders>
              <w:top w:val="nil"/>
              <w:left w:val="nil"/>
              <w:bottom w:val="nil"/>
              <w:right w:val="nil"/>
            </w:tcBorders>
            <w:shd w:val="clear" w:color="000000" w:fill="BFBFBF"/>
            <w:vAlign w:val="center"/>
            <w:hideMark/>
          </w:tcPr>
          <w:p w14:paraId="554FC437"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xml:space="preserve"> </w:t>
            </w:r>
          </w:p>
        </w:tc>
        <w:tc>
          <w:tcPr>
            <w:tcW w:w="1960" w:type="dxa"/>
            <w:gridSpan w:val="2"/>
            <w:tcBorders>
              <w:top w:val="nil"/>
              <w:left w:val="nil"/>
              <w:bottom w:val="nil"/>
              <w:right w:val="nil"/>
            </w:tcBorders>
            <w:shd w:val="clear" w:color="000000" w:fill="BFBFBF"/>
            <w:noWrap/>
            <w:vAlign w:val="center"/>
            <w:hideMark/>
          </w:tcPr>
          <w:p w14:paraId="70274BD1"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001" w:type="dxa"/>
            <w:tcBorders>
              <w:top w:val="nil"/>
              <w:left w:val="nil"/>
              <w:bottom w:val="nil"/>
              <w:right w:val="nil"/>
            </w:tcBorders>
            <w:shd w:val="clear" w:color="000000" w:fill="BFBFBF"/>
            <w:noWrap/>
            <w:vAlign w:val="center"/>
            <w:hideMark/>
          </w:tcPr>
          <w:p w14:paraId="2E9488F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Rozpočet</w:t>
            </w:r>
          </w:p>
        </w:tc>
        <w:tc>
          <w:tcPr>
            <w:tcW w:w="1025" w:type="dxa"/>
            <w:tcBorders>
              <w:top w:val="nil"/>
              <w:left w:val="nil"/>
              <w:bottom w:val="nil"/>
              <w:right w:val="nil"/>
            </w:tcBorders>
            <w:shd w:val="clear" w:color="000000" w:fill="BFBFBF"/>
            <w:noWrap/>
            <w:vAlign w:val="center"/>
            <w:hideMark/>
          </w:tcPr>
          <w:p w14:paraId="13571EE9"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518" w:type="dxa"/>
            <w:gridSpan w:val="2"/>
            <w:tcBorders>
              <w:top w:val="nil"/>
              <w:left w:val="nil"/>
              <w:bottom w:val="nil"/>
              <w:right w:val="nil"/>
            </w:tcBorders>
            <w:shd w:val="clear" w:color="000000" w:fill="BFBFBF"/>
            <w:noWrap/>
            <w:vAlign w:val="center"/>
            <w:hideMark/>
          </w:tcPr>
          <w:p w14:paraId="10498672"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Rozdiel</w:t>
            </w:r>
          </w:p>
        </w:tc>
      </w:tr>
      <w:tr w:rsidR="00EA177A" w:rsidRPr="003E59E8" w14:paraId="140F4576" w14:textId="77777777" w:rsidTr="008E7DDA">
        <w:trPr>
          <w:trHeight w:val="330"/>
        </w:trPr>
        <w:tc>
          <w:tcPr>
            <w:tcW w:w="2804" w:type="dxa"/>
            <w:vMerge/>
            <w:tcBorders>
              <w:top w:val="nil"/>
              <w:left w:val="nil"/>
              <w:bottom w:val="nil"/>
              <w:right w:val="nil"/>
            </w:tcBorders>
            <w:vAlign w:val="center"/>
            <w:hideMark/>
          </w:tcPr>
          <w:p w14:paraId="6EBFFED2" w14:textId="77777777" w:rsidR="00EA177A" w:rsidRPr="003E59E8" w:rsidRDefault="00EA177A" w:rsidP="00C704A7">
            <w:pPr>
              <w:spacing w:after="0" w:line="240" w:lineRule="auto"/>
              <w:jc w:val="left"/>
              <w:rPr>
                <w:rFonts w:eastAsia="Times New Roman" w:cs="Times New Roman"/>
                <w:b/>
                <w:bCs/>
                <w:sz w:val="18"/>
                <w:szCs w:val="18"/>
                <w:lang w:eastAsia="sk-SK"/>
              </w:rPr>
            </w:pPr>
          </w:p>
        </w:tc>
        <w:tc>
          <w:tcPr>
            <w:tcW w:w="976" w:type="dxa"/>
            <w:tcBorders>
              <w:top w:val="nil"/>
              <w:left w:val="nil"/>
              <w:bottom w:val="nil"/>
              <w:right w:val="nil"/>
            </w:tcBorders>
            <w:shd w:val="clear" w:color="000000" w:fill="BFBFBF"/>
            <w:noWrap/>
            <w:vAlign w:val="center"/>
            <w:hideMark/>
          </w:tcPr>
          <w:p w14:paraId="569FBE7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2017</w:t>
            </w:r>
          </w:p>
        </w:tc>
        <w:tc>
          <w:tcPr>
            <w:tcW w:w="984" w:type="dxa"/>
            <w:tcBorders>
              <w:top w:val="nil"/>
              <w:left w:val="nil"/>
              <w:bottom w:val="nil"/>
              <w:right w:val="nil"/>
            </w:tcBorders>
            <w:shd w:val="clear" w:color="000000" w:fill="BFBFBF"/>
            <w:noWrap/>
            <w:vAlign w:val="center"/>
            <w:hideMark/>
          </w:tcPr>
          <w:p w14:paraId="495BB98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2018</w:t>
            </w:r>
          </w:p>
        </w:tc>
        <w:tc>
          <w:tcPr>
            <w:tcW w:w="1001" w:type="dxa"/>
            <w:tcBorders>
              <w:top w:val="nil"/>
              <w:left w:val="nil"/>
              <w:bottom w:val="nil"/>
              <w:right w:val="nil"/>
            </w:tcBorders>
            <w:shd w:val="clear" w:color="000000" w:fill="BFBFBF"/>
            <w:noWrap/>
            <w:vAlign w:val="center"/>
            <w:hideMark/>
          </w:tcPr>
          <w:p w14:paraId="5EE903AC"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1025" w:type="dxa"/>
            <w:tcBorders>
              <w:top w:val="nil"/>
              <w:left w:val="nil"/>
              <w:bottom w:val="nil"/>
              <w:right w:val="nil"/>
            </w:tcBorders>
            <w:shd w:val="clear" w:color="000000" w:fill="BFBFBF"/>
            <w:noWrap/>
            <w:vAlign w:val="center"/>
            <w:hideMark/>
          </w:tcPr>
          <w:p w14:paraId="2C3ECDF4"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817" w:type="dxa"/>
            <w:tcBorders>
              <w:top w:val="nil"/>
              <w:left w:val="nil"/>
              <w:bottom w:val="nil"/>
              <w:right w:val="nil"/>
            </w:tcBorders>
            <w:shd w:val="clear" w:color="000000" w:fill="BFBFBF"/>
            <w:noWrap/>
            <w:vAlign w:val="center"/>
            <w:hideMark/>
          </w:tcPr>
          <w:p w14:paraId="006FD5C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tis. eur</w:t>
            </w:r>
          </w:p>
        </w:tc>
        <w:tc>
          <w:tcPr>
            <w:tcW w:w="701" w:type="dxa"/>
            <w:tcBorders>
              <w:top w:val="nil"/>
              <w:left w:val="nil"/>
              <w:bottom w:val="nil"/>
              <w:right w:val="nil"/>
            </w:tcBorders>
            <w:shd w:val="clear" w:color="000000" w:fill="BFBFBF"/>
            <w:noWrap/>
            <w:vAlign w:val="center"/>
            <w:hideMark/>
          </w:tcPr>
          <w:p w14:paraId="5D68AF0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w:t>
            </w:r>
          </w:p>
        </w:tc>
      </w:tr>
      <w:tr w:rsidR="00EA177A" w:rsidRPr="003E59E8" w14:paraId="177362AD" w14:textId="77777777" w:rsidTr="008E7DDA">
        <w:trPr>
          <w:trHeight w:val="345"/>
        </w:trPr>
        <w:tc>
          <w:tcPr>
            <w:tcW w:w="2804" w:type="dxa"/>
            <w:tcBorders>
              <w:top w:val="nil"/>
              <w:left w:val="nil"/>
              <w:bottom w:val="single" w:sz="8" w:space="0" w:color="auto"/>
              <w:right w:val="nil"/>
            </w:tcBorders>
            <w:shd w:val="clear" w:color="000000" w:fill="BFBFBF"/>
            <w:vAlign w:val="center"/>
            <w:hideMark/>
          </w:tcPr>
          <w:p w14:paraId="28E87B5D"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w:t>
            </w:r>
          </w:p>
        </w:tc>
        <w:tc>
          <w:tcPr>
            <w:tcW w:w="976" w:type="dxa"/>
            <w:tcBorders>
              <w:top w:val="nil"/>
              <w:left w:val="nil"/>
              <w:bottom w:val="single" w:sz="8" w:space="0" w:color="auto"/>
              <w:right w:val="nil"/>
            </w:tcBorders>
            <w:shd w:val="clear" w:color="000000" w:fill="BFBFBF"/>
            <w:noWrap/>
            <w:vAlign w:val="center"/>
            <w:hideMark/>
          </w:tcPr>
          <w:p w14:paraId="79D15ACD"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1</w:t>
            </w:r>
          </w:p>
        </w:tc>
        <w:tc>
          <w:tcPr>
            <w:tcW w:w="984" w:type="dxa"/>
            <w:tcBorders>
              <w:top w:val="nil"/>
              <w:left w:val="nil"/>
              <w:bottom w:val="single" w:sz="8" w:space="0" w:color="auto"/>
              <w:right w:val="nil"/>
            </w:tcBorders>
            <w:shd w:val="clear" w:color="000000" w:fill="BFBFBF"/>
            <w:noWrap/>
            <w:vAlign w:val="center"/>
            <w:hideMark/>
          </w:tcPr>
          <w:p w14:paraId="6F955744"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w:t>
            </w:r>
          </w:p>
        </w:tc>
        <w:tc>
          <w:tcPr>
            <w:tcW w:w="1001" w:type="dxa"/>
            <w:tcBorders>
              <w:top w:val="nil"/>
              <w:left w:val="nil"/>
              <w:bottom w:val="single" w:sz="8" w:space="0" w:color="auto"/>
              <w:right w:val="nil"/>
            </w:tcBorders>
            <w:shd w:val="clear" w:color="000000" w:fill="BFBFBF"/>
            <w:noWrap/>
            <w:vAlign w:val="center"/>
            <w:hideMark/>
          </w:tcPr>
          <w:p w14:paraId="4F41C204"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3</w:t>
            </w:r>
          </w:p>
        </w:tc>
        <w:tc>
          <w:tcPr>
            <w:tcW w:w="1025" w:type="dxa"/>
            <w:tcBorders>
              <w:top w:val="nil"/>
              <w:left w:val="nil"/>
              <w:bottom w:val="single" w:sz="8" w:space="0" w:color="auto"/>
              <w:right w:val="nil"/>
            </w:tcBorders>
            <w:shd w:val="clear" w:color="000000" w:fill="BFBFBF"/>
            <w:noWrap/>
            <w:vAlign w:val="center"/>
            <w:hideMark/>
          </w:tcPr>
          <w:p w14:paraId="28BCE61A"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817" w:type="dxa"/>
            <w:tcBorders>
              <w:top w:val="nil"/>
              <w:left w:val="nil"/>
              <w:bottom w:val="single" w:sz="8" w:space="0" w:color="auto"/>
              <w:right w:val="nil"/>
            </w:tcBorders>
            <w:shd w:val="clear" w:color="000000" w:fill="BFBFBF"/>
            <w:noWrap/>
            <w:vAlign w:val="center"/>
            <w:hideMark/>
          </w:tcPr>
          <w:p w14:paraId="71D4345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5=4-3</w:t>
            </w:r>
          </w:p>
        </w:tc>
        <w:tc>
          <w:tcPr>
            <w:tcW w:w="701" w:type="dxa"/>
            <w:tcBorders>
              <w:top w:val="nil"/>
              <w:left w:val="nil"/>
              <w:bottom w:val="single" w:sz="8" w:space="0" w:color="auto"/>
              <w:right w:val="nil"/>
            </w:tcBorders>
            <w:shd w:val="clear" w:color="000000" w:fill="BFBFBF"/>
            <w:noWrap/>
            <w:vAlign w:val="center"/>
            <w:hideMark/>
          </w:tcPr>
          <w:p w14:paraId="74E88641"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6=4-3</w:t>
            </w:r>
          </w:p>
        </w:tc>
      </w:tr>
      <w:tr w:rsidR="00EA177A" w:rsidRPr="003E59E8" w14:paraId="13FA3C07" w14:textId="77777777" w:rsidTr="008E7DDA">
        <w:trPr>
          <w:trHeight w:val="315"/>
        </w:trPr>
        <w:tc>
          <w:tcPr>
            <w:tcW w:w="2804" w:type="dxa"/>
            <w:tcBorders>
              <w:top w:val="nil"/>
              <w:left w:val="nil"/>
              <w:bottom w:val="nil"/>
              <w:right w:val="nil"/>
            </w:tcBorders>
            <w:shd w:val="clear" w:color="auto" w:fill="auto"/>
            <w:vAlign w:val="center"/>
            <w:hideMark/>
          </w:tcPr>
          <w:p w14:paraId="409D5273"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Transfery v rámci verejnej správy</w:t>
            </w:r>
          </w:p>
        </w:tc>
        <w:tc>
          <w:tcPr>
            <w:tcW w:w="976" w:type="dxa"/>
            <w:tcBorders>
              <w:top w:val="nil"/>
              <w:left w:val="nil"/>
              <w:bottom w:val="nil"/>
              <w:right w:val="nil"/>
            </w:tcBorders>
            <w:shd w:val="clear" w:color="auto" w:fill="auto"/>
            <w:vAlign w:val="center"/>
            <w:hideMark/>
          </w:tcPr>
          <w:p w14:paraId="6E70EA2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4 600 132</w:t>
            </w:r>
          </w:p>
        </w:tc>
        <w:tc>
          <w:tcPr>
            <w:tcW w:w="984" w:type="dxa"/>
            <w:tcBorders>
              <w:top w:val="nil"/>
              <w:left w:val="nil"/>
              <w:bottom w:val="nil"/>
              <w:right w:val="nil"/>
            </w:tcBorders>
            <w:shd w:val="clear" w:color="000000" w:fill="FFFFFF"/>
            <w:vAlign w:val="center"/>
            <w:hideMark/>
          </w:tcPr>
          <w:p w14:paraId="7CD4CFD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4 411 134</w:t>
            </w:r>
          </w:p>
        </w:tc>
        <w:tc>
          <w:tcPr>
            <w:tcW w:w="1001" w:type="dxa"/>
            <w:tcBorders>
              <w:top w:val="nil"/>
              <w:left w:val="nil"/>
              <w:bottom w:val="nil"/>
              <w:right w:val="nil"/>
            </w:tcBorders>
            <w:shd w:val="clear" w:color="auto" w:fill="auto"/>
            <w:vAlign w:val="center"/>
            <w:hideMark/>
          </w:tcPr>
          <w:p w14:paraId="0B36189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4 054 060</w:t>
            </w:r>
          </w:p>
        </w:tc>
        <w:tc>
          <w:tcPr>
            <w:tcW w:w="1025" w:type="dxa"/>
            <w:tcBorders>
              <w:top w:val="nil"/>
              <w:left w:val="nil"/>
              <w:bottom w:val="nil"/>
              <w:right w:val="nil"/>
            </w:tcBorders>
            <w:shd w:val="clear" w:color="000000" w:fill="BFBFBF"/>
            <w:vAlign w:val="center"/>
            <w:hideMark/>
          </w:tcPr>
          <w:p w14:paraId="355A163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4 612 021</w:t>
            </w:r>
          </w:p>
        </w:tc>
        <w:tc>
          <w:tcPr>
            <w:tcW w:w="817" w:type="dxa"/>
            <w:tcBorders>
              <w:top w:val="nil"/>
              <w:left w:val="nil"/>
              <w:bottom w:val="nil"/>
              <w:right w:val="nil"/>
            </w:tcBorders>
            <w:shd w:val="clear" w:color="auto" w:fill="auto"/>
            <w:vAlign w:val="center"/>
            <w:hideMark/>
          </w:tcPr>
          <w:p w14:paraId="5C13597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557 961</w:t>
            </w:r>
          </w:p>
        </w:tc>
        <w:tc>
          <w:tcPr>
            <w:tcW w:w="701" w:type="dxa"/>
            <w:tcBorders>
              <w:top w:val="nil"/>
              <w:left w:val="nil"/>
              <w:bottom w:val="nil"/>
              <w:right w:val="nil"/>
            </w:tcBorders>
            <w:shd w:val="clear" w:color="auto" w:fill="auto"/>
            <w:vAlign w:val="center"/>
            <w:hideMark/>
          </w:tcPr>
          <w:p w14:paraId="6D5C962D"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13,8</w:t>
            </w:r>
          </w:p>
        </w:tc>
      </w:tr>
      <w:tr w:rsidR="00EA177A" w:rsidRPr="003E59E8" w14:paraId="666BA294" w14:textId="77777777" w:rsidTr="008E7DDA">
        <w:trPr>
          <w:trHeight w:val="570"/>
        </w:trPr>
        <w:tc>
          <w:tcPr>
            <w:tcW w:w="2804" w:type="dxa"/>
            <w:tcBorders>
              <w:top w:val="nil"/>
              <w:left w:val="nil"/>
              <w:bottom w:val="nil"/>
              <w:right w:val="nil"/>
            </w:tcBorders>
            <w:shd w:val="clear" w:color="auto" w:fill="auto"/>
            <w:vAlign w:val="center"/>
            <w:hideMark/>
          </w:tcPr>
          <w:p w14:paraId="01DD9FCE"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Transfery jednotlivcom a nezisk. právnickým osobám</w:t>
            </w:r>
          </w:p>
        </w:tc>
        <w:tc>
          <w:tcPr>
            <w:tcW w:w="976" w:type="dxa"/>
            <w:tcBorders>
              <w:top w:val="nil"/>
              <w:left w:val="nil"/>
              <w:bottom w:val="nil"/>
              <w:right w:val="nil"/>
            </w:tcBorders>
            <w:shd w:val="clear" w:color="auto" w:fill="auto"/>
            <w:vAlign w:val="center"/>
            <w:hideMark/>
          </w:tcPr>
          <w:p w14:paraId="2E484B5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3 696 261</w:t>
            </w:r>
          </w:p>
        </w:tc>
        <w:tc>
          <w:tcPr>
            <w:tcW w:w="984" w:type="dxa"/>
            <w:tcBorders>
              <w:top w:val="nil"/>
              <w:left w:val="nil"/>
              <w:bottom w:val="nil"/>
              <w:right w:val="nil"/>
            </w:tcBorders>
            <w:shd w:val="clear" w:color="000000" w:fill="FFFFFF"/>
            <w:vAlign w:val="center"/>
            <w:hideMark/>
          </w:tcPr>
          <w:p w14:paraId="267F60F0"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3 757 414</w:t>
            </w:r>
          </w:p>
        </w:tc>
        <w:tc>
          <w:tcPr>
            <w:tcW w:w="1001" w:type="dxa"/>
            <w:tcBorders>
              <w:top w:val="nil"/>
              <w:left w:val="nil"/>
              <w:bottom w:val="nil"/>
              <w:right w:val="nil"/>
            </w:tcBorders>
            <w:shd w:val="clear" w:color="auto" w:fill="auto"/>
            <w:vAlign w:val="center"/>
            <w:hideMark/>
          </w:tcPr>
          <w:p w14:paraId="7FB6AC3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3 890 460</w:t>
            </w:r>
          </w:p>
        </w:tc>
        <w:tc>
          <w:tcPr>
            <w:tcW w:w="1025" w:type="dxa"/>
            <w:tcBorders>
              <w:top w:val="nil"/>
              <w:left w:val="nil"/>
              <w:bottom w:val="nil"/>
              <w:right w:val="nil"/>
            </w:tcBorders>
            <w:shd w:val="clear" w:color="000000" w:fill="BFBFBF"/>
            <w:vAlign w:val="center"/>
            <w:hideMark/>
          </w:tcPr>
          <w:p w14:paraId="1DFA337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4 002 928</w:t>
            </w:r>
          </w:p>
        </w:tc>
        <w:tc>
          <w:tcPr>
            <w:tcW w:w="817" w:type="dxa"/>
            <w:tcBorders>
              <w:top w:val="nil"/>
              <w:left w:val="nil"/>
              <w:bottom w:val="nil"/>
              <w:right w:val="nil"/>
            </w:tcBorders>
            <w:shd w:val="clear" w:color="auto" w:fill="auto"/>
            <w:vAlign w:val="center"/>
            <w:hideMark/>
          </w:tcPr>
          <w:p w14:paraId="22963D8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112 468</w:t>
            </w:r>
          </w:p>
        </w:tc>
        <w:tc>
          <w:tcPr>
            <w:tcW w:w="701" w:type="dxa"/>
            <w:tcBorders>
              <w:top w:val="nil"/>
              <w:left w:val="nil"/>
              <w:bottom w:val="nil"/>
              <w:right w:val="nil"/>
            </w:tcBorders>
            <w:shd w:val="clear" w:color="auto" w:fill="auto"/>
            <w:vAlign w:val="center"/>
            <w:hideMark/>
          </w:tcPr>
          <w:p w14:paraId="78C2DB7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2,9</w:t>
            </w:r>
          </w:p>
        </w:tc>
      </w:tr>
      <w:tr w:rsidR="00EA177A" w:rsidRPr="003E59E8" w14:paraId="5723ACCF" w14:textId="77777777" w:rsidTr="008E7DDA">
        <w:trPr>
          <w:trHeight w:val="300"/>
        </w:trPr>
        <w:tc>
          <w:tcPr>
            <w:tcW w:w="2804" w:type="dxa"/>
            <w:tcBorders>
              <w:top w:val="nil"/>
              <w:left w:val="nil"/>
              <w:bottom w:val="nil"/>
              <w:right w:val="nil"/>
            </w:tcBorders>
            <w:shd w:val="clear" w:color="auto" w:fill="auto"/>
            <w:vAlign w:val="center"/>
            <w:hideMark/>
          </w:tcPr>
          <w:p w14:paraId="4A48E2F4"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Transfery do zahraničia</w:t>
            </w:r>
          </w:p>
        </w:tc>
        <w:tc>
          <w:tcPr>
            <w:tcW w:w="976" w:type="dxa"/>
            <w:tcBorders>
              <w:top w:val="nil"/>
              <w:left w:val="nil"/>
              <w:bottom w:val="nil"/>
              <w:right w:val="nil"/>
            </w:tcBorders>
            <w:shd w:val="clear" w:color="auto" w:fill="auto"/>
            <w:vAlign w:val="center"/>
            <w:hideMark/>
          </w:tcPr>
          <w:p w14:paraId="693786A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711 358</w:t>
            </w:r>
          </w:p>
        </w:tc>
        <w:tc>
          <w:tcPr>
            <w:tcW w:w="984" w:type="dxa"/>
            <w:tcBorders>
              <w:top w:val="nil"/>
              <w:left w:val="nil"/>
              <w:bottom w:val="nil"/>
              <w:right w:val="nil"/>
            </w:tcBorders>
            <w:shd w:val="clear" w:color="000000" w:fill="FFFFFF"/>
            <w:vAlign w:val="center"/>
            <w:hideMark/>
          </w:tcPr>
          <w:p w14:paraId="1235909C"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824 498</w:t>
            </w:r>
          </w:p>
        </w:tc>
        <w:tc>
          <w:tcPr>
            <w:tcW w:w="1001" w:type="dxa"/>
            <w:tcBorders>
              <w:top w:val="nil"/>
              <w:left w:val="nil"/>
              <w:bottom w:val="nil"/>
              <w:right w:val="nil"/>
            </w:tcBorders>
            <w:shd w:val="clear" w:color="auto" w:fill="auto"/>
            <w:vAlign w:val="center"/>
            <w:hideMark/>
          </w:tcPr>
          <w:p w14:paraId="2BF95F4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917 861</w:t>
            </w:r>
          </w:p>
        </w:tc>
        <w:tc>
          <w:tcPr>
            <w:tcW w:w="1025" w:type="dxa"/>
            <w:tcBorders>
              <w:top w:val="nil"/>
              <w:left w:val="nil"/>
              <w:bottom w:val="nil"/>
              <w:right w:val="nil"/>
            </w:tcBorders>
            <w:shd w:val="clear" w:color="000000" w:fill="BFBFBF"/>
            <w:vAlign w:val="center"/>
            <w:hideMark/>
          </w:tcPr>
          <w:p w14:paraId="18C8FFE3"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845 667</w:t>
            </w:r>
          </w:p>
        </w:tc>
        <w:tc>
          <w:tcPr>
            <w:tcW w:w="817" w:type="dxa"/>
            <w:tcBorders>
              <w:top w:val="nil"/>
              <w:left w:val="nil"/>
              <w:bottom w:val="nil"/>
              <w:right w:val="nil"/>
            </w:tcBorders>
            <w:shd w:val="clear" w:color="auto" w:fill="auto"/>
            <w:vAlign w:val="center"/>
            <w:hideMark/>
          </w:tcPr>
          <w:p w14:paraId="720D59D0"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-72 194</w:t>
            </w:r>
          </w:p>
        </w:tc>
        <w:tc>
          <w:tcPr>
            <w:tcW w:w="701" w:type="dxa"/>
            <w:tcBorders>
              <w:top w:val="nil"/>
              <w:left w:val="nil"/>
              <w:bottom w:val="nil"/>
              <w:right w:val="nil"/>
            </w:tcBorders>
            <w:shd w:val="clear" w:color="auto" w:fill="auto"/>
            <w:vAlign w:val="center"/>
            <w:hideMark/>
          </w:tcPr>
          <w:p w14:paraId="053B832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-7,9</w:t>
            </w:r>
          </w:p>
        </w:tc>
      </w:tr>
      <w:tr w:rsidR="00EA177A" w:rsidRPr="003E59E8" w14:paraId="63E30963" w14:textId="77777777" w:rsidTr="008E7DDA">
        <w:trPr>
          <w:trHeight w:val="420"/>
        </w:trPr>
        <w:tc>
          <w:tcPr>
            <w:tcW w:w="2804" w:type="dxa"/>
            <w:tcBorders>
              <w:top w:val="nil"/>
              <w:left w:val="nil"/>
              <w:bottom w:val="nil"/>
              <w:right w:val="nil"/>
            </w:tcBorders>
            <w:shd w:val="clear" w:color="auto" w:fill="auto"/>
            <w:vAlign w:val="center"/>
            <w:hideMark/>
          </w:tcPr>
          <w:p w14:paraId="0EA97724"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Transfery nefinančným subjektom</w:t>
            </w:r>
          </w:p>
        </w:tc>
        <w:tc>
          <w:tcPr>
            <w:tcW w:w="976" w:type="dxa"/>
            <w:tcBorders>
              <w:top w:val="nil"/>
              <w:left w:val="nil"/>
              <w:bottom w:val="nil"/>
              <w:right w:val="nil"/>
            </w:tcBorders>
            <w:shd w:val="clear" w:color="auto" w:fill="auto"/>
            <w:vAlign w:val="center"/>
            <w:hideMark/>
          </w:tcPr>
          <w:p w14:paraId="164C4FC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643 405</w:t>
            </w:r>
          </w:p>
        </w:tc>
        <w:tc>
          <w:tcPr>
            <w:tcW w:w="984" w:type="dxa"/>
            <w:tcBorders>
              <w:top w:val="nil"/>
              <w:left w:val="nil"/>
              <w:bottom w:val="nil"/>
              <w:right w:val="nil"/>
            </w:tcBorders>
            <w:shd w:val="clear" w:color="000000" w:fill="FFFFFF"/>
            <w:vAlign w:val="center"/>
            <w:hideMark/>
          </w:tcPr>
          <w:p w14:paraId="089E86B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713 871</w:t>
            </w:r>
          </w:p>
        </w:tc>
        <w:tc>
          <w:tcPr>
            <w:tcW w:w="1001" w:type="dxa"/>
            <w:tcBorders>
              <w:top w:val="nil"/>
              <w:left w:val="nil"/>
              <w:bottom w:val="nil"/>
              <w:right w:val="nil"/>
            </w:tcBorders>
            <w:shd w:val="clear" w:color="auto" w:fill="auto"/>
            <w:vAlign w:val="center"/>
            <w:hideMark/>
          </w:tcPr>
          <w:p w14:paraId="44A34ED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952 557</w:t>
            </w:r>
          </w:p>
        </w:tc>
        <w:tc>
          <w:tcPr>
            <w:tcW w:w="1025" w:type="dxa"/>
            <w:tcBorders>
              <w:top w:val="nil"/>
              <w:left w:val="nil"/>
              <w:bottom w:val="nil"/>
              <w:right w:val="nil"/>
            </w:tcBorders>
            <w:shd w:val="clear" w:color="000000" w:fill="BFBFBF"/>
            <w:vAlign w:val="center"/>
            <w:hideMark/>
          </w:tcPr>
          <w:p w14:paraId="4814233C"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814 907</w:t>
            </w:r>
          </w:p>
        </w:tc>
        <w:tc>
          <w:tcPr>
            <w:tcW w:w="817" w:type="dxa"/>
            <w:tcBorders>
              <w:top w:val="nil"/>
              <w:left w:val="nil"/>
              <w:bottom w:val="nil"/>
              <w:right w:val="nil"/>
            </w:tcBorders>
            <w:shd w:val="clear" w:color="auto" w:fill="auto"/>
            <w:vAlign w:val="center"/>
            <w:hideMark/>
          </w:tcPr>
          <w:p w14:paraId="4798972D"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-137 650</w:t>
            </w:r>
          </w:p>
        </w:tc>
        <w:tc>
          <w:tcPr>
            <w:tcW w:w="701" w:type="dxa"/>
            <w:tcBorders>
              <w:top w:val="nil"/>
              <w:left w:val="nil"/>
              <w:bottom w:val="nil"/>
              <w:right w:val="nil"/>
            </w:tcBorders>
            <w:shd w:val="clear" w:color="auto" w:fill="auto"/>
            <w:vAlign w:val="center"/>
            <w:hideMark/>
          </w:tcPr>
          <w:p w14:paraId="43EC862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-14,5</w:t>
            </w:r>
          </w:p>
        </w:tc>
      </w:tr>
      <w:tr w:rsidR="00EA177A" w:rsidRPr="003E59E8" w14:paraId="10CCFB2D" w14:textId="77777777" w:rsidTr="008E7DDA">
        <w:trPr>
          <w:trHeight w:val="540"/>
        </w:trPr>
        <w:tc>
          <w:tcPr>
            <w:tcW w:w="2804" w:type="dxa"/>
            <w:tcBorders>
              <w:top w:val="nil"/>
              <w:left w:val="nil"/>
              <w:bottom w:val="nil"/>
              <w:right w:val="nil"/>
            </w:tcBorders>
            <w:shd w:val="clear" w:color="auto" w:fill="auto"/>
            <w:vAlign w:val="center"/>
            <w:hideMark/>
          </w:tcPr>
          <w:p w14:paraId="17EC13E7"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Transfery do tuzemských finančných inštitúcií</w:t>
            </w:r>
          </w:p>
        </w:tc>
        <w:tc>
          <w:tcPr>
            <w:tcW w:w="976" w:type="dxa"/>
            <w:tcBorders>
              <w:top w:val="nil"/>
              <w:left w:val="nil"/>
              <w:bottom w:val="nil"/>
              <w:right w:val="nil"/>
            </w:tcBorders>
            <w:shd w:val="clear" w:color="auto" w:fill="auto"/>
            <w:vAlign w:val="center"/>
            <w:hideMark/>
          </w:tcPr>
          <w:p w14:paraId="56C43ED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1 774</w:t>
            </w:r>
          </w:p>
        </w:tc>
        <w:tc>
          <w:tcPr>
            <w:tcW w:w="984" w:type="dxa"/>
            <w:tcBorders>
              <w:top w:val="nil"/>
              <w:left w:val="nil"/>
              <w:bottom w:val="nil"/>
              <w:right w:val="nil"/>
            </w:tcBorders>
            <w:shd w:val="clear" w:color="000000" w:fill="FFFFFF"/>
            <w:vAlign w:val="center"/>
            <w:hideMark/>
          </w:tcPr>
          <w:p w14:paraId="41AB813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64 740</w:t>
            </w:r>
          </w:p>
        </w:tc>
        <w:tc>
          <w:tcPr>
            <w:tcW w:w="1001" w:type="dxa"/>
            <w:tcBorders>
              <w:top w:val="nil"/>
              <w:left w:val="nil"/>
              <w:bottom w:val="nil"/>
              <w:right w:val="nil"/>
            </w:tcBorders>
            <w:shd w:val="clear" w:color="auto" w:fill="auto"/>
            <w:vAlign w:val="center"/>
            <w:hideMark/>
          </w:tcPr>
          <w:p w14:paraId="6B89F7C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2 290</w:t>
            </w:r>
          </w:p>
        </w:tc>
        <w:tc>
          <w:tcPr>
            <w:tcW w:w="1025" w:type="dxa"/>
            <w:tcBorders>
              <w:top w:val="nil"/>
              <w:left w:val="nil"/>
              <w:bottom w:val="nil"/>
              <w:right w:val="nil"/>
            </w:tcBorders>
            <w:shd w:val="clear" w:color="000000" w:fill="BFBFBF"/>
            <w:vAlign w:val="center"/>
            <w:hideMark/>
          </w:tcPr>
          <w:p w14:paraId="26F32F03"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8 501</w:t>
            </w:r>
          </w:p>
        </w:tc>
        <w:tc>
          <w:tcPr>
            <w:tcW w:w="817" w:type="dxa"/>
            <w:tcBorders>
              <w:top w:val="nil"/>
              <w:left w:val="nil"/>
              <w:bottom w:val="single" w:sz="8" w:space="0" w:color="auto"/>
              <w:right w:val="nil"/>
            </w:tcBorders>
            <w:shd w:val="clear" w:color="auto" w:fill="auto"/>
            <w:vAlign w:val="center"/>
            <w:hideMark/>
          </w:tcPr>
          <w:p w14:paraId="5A5F560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6 211</w:t>
            </w:r>
          </w:p>
        </w:tc>
        <w:tc>
          <w:tcPr>
            <w:tcW w:w="701" w:type="dxa"/>
            <w:tcBorders>
              <w:top w:val="nil"/>
              <w:left w:val="nil"/>
              <w:bottom w:val="single" w:sz="8" w:space="0" w:color="auto"/>
              <w:right w:val="nil"/>
            </w:tcBorders>
            <w:shd w:val="clear" w:color="auto" w:fill="auto"/>
            <w:vAlign w:val="center"/>
            <w:hideMark/>
          </w:tcPr>
          <w:p w14:paraId="1674903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271,2</w:t>
            </w:r>
          </w:p>
        </w:tc>
      </w:tr>
      <w:tr w:rsidR="00EA177A" w:rsidRPr="003E59E8" w14:paraId="56A6A8A4" w14:textId="77777777" w:rsidTr="008E7DDA">
        <w:trPr>
          <w:trHeight w:val="300"/>
        </w:trPr>
        <w:tc>
          <w:tcPr>
            <w:tcW w:w="2804" w:type="dxa"/>
            <w:tcBorders>
              <w:top w:val="single" w:sz="8" w:space="0" w:color="auto"/>
              <w:left w:val="nil"/>
              <w:bottom w:val="single" w:sz="8" w:space="0" w:color="auto"/>
              <w:right w:val="nil"/>
            </w:tcBorders>
            <w:shd w:val="clear" w:color="auto" w:fill="auto"/>
            <w:vAlign w:val="center"/>
            <w:hideMark/>
          </w:tcPr>
          <w:p w14:paraId="22CCB07C" w14:textId="77777777" w:rsidR="00EA177A" w:rsidRPr="003E59E8" w:rsidRDefault="00EA177A" w:rsidP="00C704A7">
            <w:pPr>
              <w:spacing w:after="0" w:line="240" w:lineRule="auto"/>
              <w:rPr>
                <w:rFonts w:eastAsia="Times New Roman" w:cs="Times New Roman"/>
                <w:b/>
                <w:bCs/>
                <w:sz w:val="18"/>
                <w:szCs w:val="18"/>
                <w:lang w:eastAsia="sk-SK"/>
              </w:rPr>
            </w:pPr>
            <w:r w:rsidRPr="003E59E8">
              <w:rPr>
                <w:rFonts w:eastAsia="Times New Roman" w:cs="Times New Roman"/>
                <w:b/>
                <w:bCs/>
                <w:sz w:val="18"/>
                <w:szCs w:val="18"/>
                <w:lang w:eastAsia="sk-SK"/>
              </w:rPr>
              <w:t>Spolu</w:t>
            </w:r>
          </w:p>
        </w:tc>
        <w:tc>
          <w:tcPr>
            <w:tcW w:w="976" w:type="dxa"/>
            <w:tcBorders>
              <w:top w:val="single" w:sz="8" w:space="0" w:color="auto"/>
              <w:left w:val="nil"/>
              <w:bottom w:val="single" w:sz="8" w:space="0" w:color="auto"/>
              <w:right w:val="nil"/>
            </w:tcBorders>
            <w:shd w:val="clear" w:color="auto" w:fill="auto"/>
            <w:noWrap/>
            <w:vAlign w:val="center"/>
            <w:hideMark/>
          </w:tcPr>
          <w:p w14:paraId="219B554C"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9 652 930</w:t>
            </w:r>
          </w:p>
        </w:tc>
        <w:tc>
          <w:tcPr>
            <w:tcW w:w="984" w:type="dxa"/>
            <w:tcBorders>
              <w:top w:val="single" w:sz="8" w:space="0" w:color="auto"/>
              <w:left w:val="nil"/>
              <w:bottom w:val="single" w:sz="8" w:space="0" w:color="auto"/>
              <w:right w:val="nil"/>
            </w:tcBorders>
            <w:shd w:val="clear" w:color="auto" w:fill="auto"/>
            <w:noWrap/>
            <w:vAlign w:val="center"/>
            <w:hideMark/>
          </w:tcPr>
          <w:p w14:paraId="5F240CB0"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9 771 657</w:t>
            </w:r>
          </w:p>
        </w:tc>
        <w:tc>
          <w:tcPr>
            <w:tcW w:w="1001" w:type="dxa"/>
            <w:tcBorders>
              <w:top w:val="single" w:sz="8" w:space="0" w:color="auto"/>
              <w:left w:val="nil"/>
              <w:bottom w:val="single" w:sz="8" w:space="0" w:color="auto"/>
              <w:right w:val="nil"/>
            </w:tcBorders>
            <w:shd w:val="clear" w:color="auto" w:fill="auto"/>
            <w:noWrap/>
            <w:vAlign w:val="center"/>
            <w:hideMark/>
          </w:tcPr>
          <w:p w14:paraId="0507B21A"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9 817 228</w:t>
            </w:r>
          </w:p>
        </w:tc>
        <w:tc>
          <w:tcPr>
            <w:tcW w:w="1025" w:type="dxa"/>
            <w:tcBorders>
              <w:top w:val="single" w:sz="8" w:space="0" w:color="auto"/>
              <w:left w:val="nil"/>
              <w:bottom w:val="single" w:sz="8" w:space="0" w:color="auto"/>
              <w:right w:val="nil"/>
            </w:tcBorders>
            <w:shd w:val="clear" w:color="000000" w:fill="BFBFBF"/>
            <w:noWrap/>
            <w:vAlign w:val="center"/>
            <w:hideMark/>
          </w:tcPr>
          <w:p w14:paraId="13485415"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10 284 024</w:t>
            </w:r>
          </w:p>
        </w:tc>
        <w:tc>
          <w:tcPr>
            <w:tcW w:w="817" w:type="dxa"/>
            <w:tcBorders>
              <w:top w:val="nil"/>
              <w:left w:val="nil"/>
              <w:bottom w:val="single" w:sz="8" w:space="0" w:color="auto"/>
              <w:right w:val="nil"/>
            </w:tcBorders>
            <w:shd w:val="clear" w:color="auto" w:fill="auto"/>
            <w:vAlign w:val="center"/>
            <w:hideMark/>
          </w:tcPr>
          <w:p w14:paraId="58CE6BCA"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466 796</w:t>
            </w:r>
          </w:p>
        </w:tc>
        <w:tc>
          <w:tcPr>
            <w:tcW w:w="701" w:type="dxa"/>
            <w:tcBorders>
              <w:top w:val="nil"/>
              <w:left w:val="nil"/>
              <w:bottom w:val="single" w:sz="8" w:space="0" w:color="auto"/>
              <w:right w:val="nil"/>
            </w:tcBorders>
            <w:shd w:val="clear" w:color="auto" w:fill="auto"/>
            <w:vAlign w:val="center"/>
            <w:hideMark/>
          </w:tcPr>
          <w:p w14:paraId="020A0D23"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4,8</w:t>
            </w:r>
          </w:p>
        </w:tc>
      </w:tr>
    </w:tbl>
    <w:p w14:paraId="52A08CDF" w14:textId="77777777" w:rsidR="00EA177A" w:rsidRPr="00D04535" w:rsidRDefault="00EA177A" w:rsidP="00EA177A">
      <w:pPr>
        <w:ind w:left="7088"/>
        <w:rPr>
          <w:rFonts w:eastAsia="Times New Roman" w:cs="Times New Roman"/>
          <w:sz w:val="18"/>
          <w:szCs w:val="18"/>
          <w:lang w:eastAsia="sk-SK"/>
        </w:rPr>
      </w:pPr>
      <w:r>
        <w:rPr>
          <w:rFonts w:eastAsia="Times New Roman" w:cs="Times New Roman"/>
          <w:sz w:val="18"/>
          <w:szCs w:val="18"/>
          <w:lang w:eastAsia="sk-SK"/>
        </w:rPr>
        <w:t xml:space="preserve">     </w:t>
      </w:r>
      <w:r w:rsidRPr="00D744D2">
        <w:rPr>
          <w:rFonts w:eastAsia="Times New Roman" w:cs="Times New Roman"/>
          <w:sz w:val="18"/>
          <w:szCs w:val="18"/>
          <w:lang w:eastAsia="sk-SK"/>
        </w:rPr>
        <w:t>Zdroj: MF SR</w:t>
      </w:r>
    </w:p>
    <w:p w14:paraId="74492A10" w14:textId="77777777" w:rsidR="00EA177A" w:rsidRDefault="00EA177A" w:rsidP="00EA177A">
      <w:pPr>
        <w:rPr>
          <w:color w:val="000000"/>
        </w:rPr>
      </w:pPr>
      <w:r w:rsidRPr="008277A9">
        <w:rPr>
          <w:b/>
          <w:i/>
        </w:rPr>
        <w:t>Transfery v rámci verejnej správy</w:t>
      </w:r>
      <w:r w:rsidRPr="00D04535">
        <w:rPr>
          <w:b/>
          <w:i/>
        </w:rPr>
        <w:t xml:space="preserve"> </w:t>
      </w:r>
      <w:r w:rsidRPr="00D04535">
        <w:t xml:space="preserve">predstavujú platby subjektom, ktoré sú </w:t>
      </w:r>
      <w:r w:rsidRPr="00147FF5">
        <w:t xml:space="preserve">v registri organizácií vedenom Štatistickým úradom </w:t>
      </w:r>
      <w:r>
        <w:t>klasifikované pod</w:t>
      </w:r>
      <w:r w:rsidRPr="00147FF5">
        <w:t xml:space="preserve"> jedn</w:t>
      </w:r>
      <w:r>
        <w:t>ým</w:t>
      </w:r>
      <w:r w:rsidRPr="00147FF5">
        <w:t xml:space="preserve"> zo subsektorov ústredná správa, územná samospráva alebo fondy sociálneho a zdravotného zabezp</w:t>
      </w:r>
      <w:r>
        <w:t xml:space="preserve">ečenia. </w:t>
      </w:r>
    </w:p>
    <w:p w14:paraId="35DFACF6" w14:textId="77777777" w:rsidR="00EA177A" w:rsidRPr="00D04535" w:rsidRDefault="00EA177A" w:rsidP="00EA177A">
      <w:r w:rsidRPr="00363264">
        <w:rPr>
          <w:rFonts w:cs="Times New Roman"/>
        </w:rPr>
        <w:t>Na </w:t>
      </w:r>
      <w:r w:rsidRPr="00363264">
        <w:rPr>
          <w:rFonts w:cs="Times New Roman"/>
          <w:iCs/>
        </w:rPr>
        <w:t>transfery</w:t>
      </w:r>
      <w:r w:rsidRPr="001719F6">
        <w:rPr>
          <w:rFonts w:cs="Times New Roman"/>
          <w:i/>
          <w:iCs/>
        </w:rPr>
        <w:t xml:space="preserve"> </w:t>
      </w:r>
      <w:r w:rsidRPr="00363264">
        <w:rPr>
          <w:rFonts w:cs="Times New Roman"/>
          <w:i/>
          <w:iCs/>
          <w:u w:val="single"/>
        </w:rPr>
        <w:t>rozpočtovej organizácii</w:t>
      </w:r>
      <w:r w:rsidRPr="00363264">
        <w:rPr>
          <w:rFonts w:cs="Times New Roman"/>
        </w:rPr>
        <w:t> </w:t>
      </w:r>
      <w:r>
        <w:rPr>
          <w:rFonts w:cs="Times New Roman"/>
        </w:rPr>
        <w:t xml:space="preserve">sa </w:t>
      </w:r>
      <w:r w:rsidRPr="00363264">
        <w:rPr>
          <w:rFonts w:cs="Times New Roman"/>
        </w:rPr>
        <w:t>vynaložil</w:t>
      </w:r>
      <w:r>
        <w:rPr>
          <w:rFonts w:cs="Times New Roman"/>
        </w:rPr>
        <w:t>o</w:t>
      </w:r>
      <w:r w:rsidRPr="00363264">
        <w:rPr>
          <w:rFonts w:cs="Times New Roman"/>
        </w:rPr>
        <w:t xml:space="preserve"> 1 073 455 tis. eur, z toho najviac Všeobecná pokladni</w:t>
      </w:r>
      <w:r>
        <w:rPr>
          <w:rFonts w:cs="Times New Roman"/>
        </w:rPr>
        <w:t>čná správa (1 039 205 tis. eur), pričom n</w:t>
      </w:r>
      <w:r>
        <w:t>ajvyššiu hodnotu predstavuje transfer</w:t>
      </w:r>
      <w:r w:rsidRPr="00D744D2">
        <w:rPr>
          <w:color w:val="FF0000"/>
        </w:rPr>
        <w:t xml:space="preserve"> </w:t>
      </w:r>
      <w:r w:rsidRPr="00363264">
        <w:t>na vyrovnanie samostatného účtu štátneho dlhu</w:t>
      </w:r>
      <w:r w:rsidRPr="00D04535">
        <w:rPr>
          <w:i/>
        </w:rPr>
        <w:t xml:space="preserve"> </w:t>
      </w:r>
      <w:r w:rsidRPr="00147FF5">
        <w:t>(</w:t>
      </w:r>
      <w:r>
        <w:t>vedeného</w:t>
      </w:r>
      <w:r w:rsidRPr="00147FF5">
        <w:t xml:space="preserve"> Ministerstvom financií SR),</w:t>
      </w:r>
      <w:r>
        <w:rPr>
          <w:b/>
        </w:rPr>
        <w:t xml:space="preserve"> </w:t>
      </w:r>
      <w:r>
        <w:t>ktorý</w:t>
      </w:r>
      <w:r>
        <w:rPr>
          <w:b/>
        </w:rPr>
        <w:t xml:space="preserve"> </w:t>
      </w:r>
      <w:r>
        <w:t>bol uhradený v objeme 1 036 908 tis. eur. Ide o účet s povoleným debetným zostatkom, prostredníctvom ktorého ARDAL realizuje transakcie súvisiace s úrokmi a poplatkami, a na ktorý ARDAL priebežne prevádza prijaté úroky a poplatky súvisiace s finančnými operáciami vykonávanými v mene a na účet Ministerstva financií SR</w:t>
      </w:r>
      <w:r w:rsidRPr="00D04535">
        <w:rPr>
          <w:vertAlign w:val="superscript"/>
        </w:rPr>
        <w:footnoteReference w:id="25"/>
      </w:r>
      <w:r w:rsidRPr="00D04535">
        <w:t>.</w:t>
      </w:r>
    </w:p>
    <w:tbl>
      <w:tblPr>
        <w:tblW w:w="8409" w:type="dxa"/>
        <w:tblInd w:w="56" w:type="dxa"/>
        <w:tblCellMar>
          <w:left w:w="70" w:type="dxa"/>
          <w:right w:w="70" w:type="dxa"/>
        </w:tblCellMar>
        <w:tblLook w:val="04A0" w:firstRow="1" w:lastRow="0" w:firstColumn="1" w:lastColumn="0" w:noHBand="0" w:noVBand="1"/>
      </w:tblPr>
      <w:tblGrid>
        <w:gridCol w:w="2486"/>
        <w:gridCol w:w="960"/>
        <w:gridCol w:w="960"/>
        <w:gridCol w:w="960"/>
        <w:gridCol w:w="1080"/>
        <w:gridCol w:w="960"/>
        <w:gridCol w:w="1003"/>
      </w:tblGrid>
      <w:tr w:rsidR="00EA177A" w:rsidRPr="003E59E8" w14:paraId="1EA098AC" w14:textId="77777777" w:rsidTr="00AB0EFE">
        <w:trPr>
          <w:trHeight w:val="486"/>
        </w:trPr>
        <w:tc>
          <w:tcPr>
            <w:tcW w:w="8409" w:type="dxa"/>
            <w:gridSpan w:val="7"/>
            <w:tcBorders>
              <w:top w:val="single" w:sz="8" w:space="0" w:color="FFFFFF"/>
              <w:left w:val="single" w:sz="8" w:space="0" w:color="auto"/>
              <w:bottom w:val="nil"/>
              <w:right w:val="single" w:sz="8" w:space="0" w:color="000000"/>
            </w:tcBorders>
            <w:shd w:val="clear" w:color="000000" w:fill="000000"/>
            <w:noWrap/>
            <w:vAlign w:val="center"/>
            <w:hideMark/>
          </w:tcPr>
          <w:p w14:paraId="60FB2AAA"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Výdavky štátneho dlhu                                                                                                                                v tis. eur</w:t>
            </w:r>
          </w:p>
        </w:tc>
      </w:tr>
      <w:tr w:rsidR="00EA177A" w:rsidRPr="003E59E8" w14:paraId="7DDDBA84" w14:textId="77777777" w:rsidTr="00C704A7">
        <w:trPr>
          <w:trHeight w:val="330"/>
        </w:trPr>
        <w:tc>
          <w:tcPr>
            <w:tcW w:w="2486" w:type="dxa"/>
            <w:tcBorders>
              <w:top w:val="nil"/>
              <w:left w:val="nil"/>
              <w:bottom w:val="nil"/>
              <w:right w:val="nil"/>
            </w:tcBorders>
            <w:shd w:val="clear" w:color="000000" w:fill="BFBFBF"/>
            <w:vAlign w:val="center"/>
            <w:hideMark/>
          </w:tcPr>
          <w:p w14:paraId="120DBAF4"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w:t>
            </w:r>
          </w:p>
        </w:tc>
        <w:tc>
          <w:tcPr>
            <w:tcW w:w="1920" w:type="dxa"/>
            <w:gridSpan w:val="2"/>
            <w:tcBorders>
              <w:top w:val="nil"/>
              <w:left w:val="nil"/>
              <w:bottom w:val="nil"/>
              <w:right w:val="nil"/>
            </w:tcBorders>
            <w:shd w:val="clear" w:color="000000" w:fill="BFBFBF"/>
            <w:vAlign w:val="center"/>
            <w:hideMark/>
          </w:tcPr>
          <w:p w14:paraId="33C9EC8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960" w:type="dxa"/>
            <w:tcBorders>
              <w:top w:val="nil"/>
              <w:left w:val="nil"/>
              <w:bottom w:val="nil"/>
              <w:right w:val="nil"/>
            </w:tcBorders>
            <w:shd w:val="clear" w:color="000000" w:fill="BFBFBF"/>
            <w:vAlign w:val="center"/>
            <w:hideMark/>
          </w:tcPr>
          <w:p w14:paraId="648387E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Rozpočet</w:t>
            </w:r>
          </w:p>
        </w:tc>
        <w:tc>
          <w:tcPr>
            <w:tcW w:w="1080" w:type="dxa"/>
            <w:tcBorders>
              <w:top w:val="nil"/>
              <w:left w:val="nil"/>
              <w:bottom w:val="nil"/>
              <w:right w:val="nil"/>
            </w:tcBorders>
            <w:shd w:val="clear" w:color="000000" w:fill="BFBFBF"/>
            <w:vAlign w:val="center"/>
            <w:hideMark/>
          </w:tcPr>
          <w:p w14:paraId="25017DBD"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963" w:type="dxa"/>
            <w:gridSpan w:val="2"/>
            <w:tcBorders>
              <w:top w:val="nil"/>
              <w:left w:val="nil"/>
              <w:bottom w:val="nil"/>
              <w:right w:val="nil"/>
            </w:tcBorders>
            <w:shd w:val="clear" w:color="000000" w:fill="BFBFBF"/>
            <w:vAlign w:val="center"/>
            <w:hideMark/>
          </w:tcPr>
          <w:p w14:paraId="454186D0"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Rozdiel</w:t>
            </w:r>
          </w:p>
        </w:tc>
      </w:tr>
      <w:tr w:rsidR="00EA177A" w:rsidRPr="003E59E8" w14:paraId="0680D75B" w14:textId="77777777" w:rsidTr="00C704A7">
        <w:trPr>
          <w:trHeight w:val="330"/>
        </w:trPr>
        <w:tc>
          <w:tcPr>
            <w:tcW w:w="2486" w:type="dxa"/>
            <w:tcBorders>
              <w:top w:val="nil"/>
              <w:left w:val="nil"/>
              <w:bottom w:val="nil"/>
              <w:right w:val="nil"/>
            </w:tcBorders>
            <w:shd w:val="clear" w:color="000000" w:fill="BFBFBF"/>
            <w:vAlign w:val="center"/>
            <w:hideMark/>
          </w:tcPr>
          <w:p w14:paraId="3E495BC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w:t>
            </w:r>
          </w:p>
        </w:tc>
        <w:tc>
          <w:tcPr>
            <w:tcW w:w="960" w:type="dxa"/>
            <w:tcBorders>
              <w:top w:val="nil"/>
              <w:left w:val="nil"/>
              <w:bottom w:val="nil"/>
              <w:right w:val="nil"/>
            </w:tcBorders>
            <w:shd w:val="clear" w:color="000000" w:fill="BFBFBF"/>
            <w:vAlign w:val="center"/>
            <w:hideMark/>
          </w:tcPr>
          <w:p w14:paraId="1F53BF6F"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2017</w:t>
            </w:r>
          </w:p>
        </w:tc>
        <w:tc>
          <w:tcPr>
            <w:tcW w:w="960" w:type="dxa"/>
            <w:tcBorders>
              <w:top w:val="nil"/>
              <w:left w:val="nil"/>
              <w:bottom w:val="nil"/>
              <w:right w:val="nil"/>
            </w:tcBorders>
            <w:shd w:val="clear" w:color="000000" w:fill="BFBFBF"/>
            <w:vAlign w:val="center"/>
            <w:hideMark/>
          </w:tcPr>
          <w:p w14:paraId="6AE3D7B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2018</w:t>
            </w:r>
          </w:p>
        </w:tc>
        <w:tc>
          <w:tcPr>
            <w:tcW w:w="960" w:type="dxa"/>
            <w:tcBorders>
              <w:top w:val="nil"/>
              <w:left w:val="nil"/>
              <w:bottom w:val="nil"/>
              <w:right w:val="nil"/>
            </w:tcBorders>
            <w:shd w:val="clear" w:color="000000" w:fill="BFBFBF"/>
            <w:vAlign w:val="center"/>
            <w:hideMark/>
          </w:tcPr>
          <w:p w14:paraId="41D88CBC"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1080" w:type="dxa"/>
            <w:tcBorders>
              <w:top w:val="nil"/>
              <w:left w:val="nil"/>
              <w:bottom w:val="nil"/>
              <w:right w:val="nil"/>
            </w:tcBorders>
            <w:shd w:val="clear" w:color="000000" w:fill="BFBFBF"/>
            <w:vAlign w:val="center"/>
            <w:hideMark/>
          </w:tcPr>
          <w:p w14:paraId="2B9BD3C0"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960" w:type="dxa"/>
            <w:tcBorders>
              <w:top w:val="nil"/>
              <w:left w:val="nil"/>
              <w:bottom w:val="nil"/>
              <w:right w:val="nil"/>
            </w:tcBorders>
            <w:shd w:val="clear" w:color="000000" w:fill="BFBFBF"/>
            <w:vAlign w:val="center"/>
            <w:hideMark/>
          </w:tcPr>
          <w:p w14:paraId="1417433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xml:space="preserve"> v tis. eur</w:t>
            </w:r>
          </w:p>
        </w:tc>
        <w:tc>
          <w:tcPr>
            <w:tcW w:w="1003" w:type="dxa"/>
            <w:tcBorders>
              <w:top w:val="nil"/>
              <w:left w:val="nil"/>
              <w:bottom w:val="nil"/>
              <w:right w:val="nil"/>
            </w:tcBorders>
            <w:shd w:val="clear" w:color="000000" w:fill="BFBFBF"/>
            <w:vAlign w:val="center"/>
            <w:hideMark/>
          </w:tcPr>
          <w:p w14:paraId="5B7A865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w:t>
            </w:r>
          </w:p>
        </w:tc>
      </w:tr>
      <w:tr w:rsidR="00EA177A" w:rsidRPr="003E59E8" w14:paraId="1A3CFA4F" w14:textId="77777777" w:rsidTr="00C704A7">
        <w:trPr>
          <w:trHeight w:val="345"/>
        </w:trPr>
        <w:tc>
          <w:tcPr>
            <w:tcW w:w="2486" w:type="dxa"/>
            <w:tcBorders>
              <w:top w:val="nil"/>
              <w:left w:val="nil"/>
              <w:bottom w:val="single" w:sz="8" w:space="0" w:color="auto"/>
              <w:right w:val="nil"/>
            </w:tcBorders>
            <w:shd w:val="clear" w:color="000000" w:fill="BFBFBF"/>
            <w:vAlign w:val="center"/>
            <w:hideMark/>
          </w:tcPr>
          <w:p w14:paraId="17D27B6D"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w:t>
            </w:r>
          </w:p>
        </w:tc>
        <w:tc>
          <w:tcPr>
            <w:tcW w:w="960" w:type="dxa"/>
            <w:tcBorders>
              <w:top w:val="nil"/>
              <w:left w:val="nil"/>
              <w:bottom w:val="single" w:sz="8" w:space="0" w:color="auto"/>
              <w:right w:val="nil"/>
            </w:tcBorders>
            <w:shd w:val="clear" w:color="000000" w:fill="BFBFBF"/>
            <w:vAlign w:val="center"/>
            <w:hideMark/>
          </w:tcPr>
          <w:p w14:paraId="00D5D560"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w:t>
            </w:r>
          </w:p>
        </w:tc>
        <w:tc>
          <w:tcPr>
            <w:tcW w:w="960" w:type="dxa"/>
            <w:tcBorders>
              <w:top w:val="nil"/>
              <w:left w:val="nil"/>
              <w:bottom w:val="single" w:sz="8" w:space="0" w:color="auto"/>
              <w:right w:val="nil"/>
            </w:tcBorders>
            <w:shd w:val="clear" w:color="000000" w:fill="BFBFBF"/>
            <w:vAlign w:val="center"/>
            <w:hideMark/>
          </w:tcPr>
          <w:p w14:paraId="26677002"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960" w:type="dxa"/>
            <w:tcBorders>
              <w:top w:val="nil"/>
              <w:left w:val="nil"/>
              <w:bottom w:val="single" w:sz="8" w:space="0" w:color="auto"/>
              <w:right w:val="nil"/>
            </w:tcBorders>
            <w:shd w:val="clear" w:color="000000" w:fill="BFBFBF"/>
            <w:vAlign w:val="center"/>
            <w:hideMark/>
          </w:tcPr>
          <w:p w14:paraId="6940D60A"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3</w:t>
            </w:r>
          </w:p>
        </w:tc>
        <w:tc>
          <w:tcPr>
            <w:tcW w:w="1080" w:type="dxa"/>
            <w:tcBorders>
              <w:top w:val="nil"/>
              <w:left w:val="nil"/>
              <w:bottom w:val="single" w:sz="8" w:space="0" w:color="auto"/>
              <w:right w:val="nil"/>
            </w:tcBorders>
            <w:shd w:val="clear" w:color="000000" w:fill="BFBFBF"/>
            <w:vAlign w:val="center"/>
            <w:hideMark/>
          </w:tcPr>
          <w:p w14:paraId="776036C0"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960" w:type="dxa"/>
            <w:tcBorders>
              <w:top w:val="nil"/>
              <w:left w:val="nil"/>
              <w:bottom w:val="single" w:sz="8" w:space="0" w:color="auto"/>
              <w:right w:val="nil"/>
            </w:tcBorders>
            <w:shd w:val="clear" w:color="000000" w:fill="BFBFBF"/>
            <w:vAlign w:val="center"/>
            <w:hideMark/>
          </w:tcPr>
          <w:p w14:paraId="412168AC"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5=4-3</w:t>
            </w:r>
          </w:p>
        </w:tc>
        <w:tc>
          <w:tcPr>
            <w:tcW w:w="1003" w:type="dxa"/>
            <w:tcBorders>
              <w:top w:val="nil"/>
              <w:left w:val="nil"/>
              <w:bottom w:val="single" w:sz="8" w:space="0" w:color="auto"/>
              <w:right w:val="nil"/>
            </w:tcBorders>
            <w:shd w:val="clear" w:color="000000" w:fill="BFBFBF"/>
            <w:vAlign w:val="center"/>
            <w:hideMark/>
          </w:tcPr>
          <w:p w14:paraId="39B97151"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6=4-3</w:t>
            </w:r>
          </w:p>
        </w:tc>
      </w:tr>
      <w:tr w:rsidR="00EA177A" w:rsidRPr="003E59E8" w14:paraId="7E0EC679" w14:textId="77777777" w:rsidTr="00C704A7">
        <w:trPr>
          <w:trHeight w:val="289"/>
        </w:trPr>
        <w:tc>
          <w:tcPr>
            <w:tcW w:w="2486" w:type="dxa"/>
            <w:tcBorders>
              <w:top w:val="nil"/>
              <w:left w:val="nil"/>
              <w:bottom w:val="nil"/>
              <w:right w:val="nil"/>
            </w:tcBorders>
            <w:shd w:val="clear" w:color="auto" w:fill="auto"/>
            <w:noWrap/>
            <w:vAlign w:val="center"/>
            <w:hideMark/>
          </w:tcPr>
          <w:p w14:paraId="305B5FEC"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dlhová služba - transfer</w:t>
            </w:r>
          </w:p>
        </w:tc>
        <w:tc>
          <w:tcPr>
            <w:tcW w:w="960" w:type="dxa"/>
            <w:tcBorders>
              <w:top w:val="nil"/>
              <w:left w:val="nil"/>
              <w:bottom w:val="nil"/>
              <w:right w:val="nil"/>
            </w:tcBorders>
            <w:shd w:val="clear" w:color="auto" w:fill="auto"/>
            <w:vAlign w:val="center"/>
            <w:hideMark/>
          </w:tcPr>
          <w:p w14:paraId="3C7BB58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1 166 299</w:t>
            </w:r>
          </w:p>
        </w:tc>
        <w:tc>
          <w:tcPr>
            <w:tcW w:w="960" w:type="dxa"/>
            <w:tcBorders>
              <w:top w:val="nil"/>
              <w:left w:val="nil"/>
              <w:bottom w:val="nil"/>
              <w:right w:val="nil"/>
            </w:tcBorders>
            <w:shd w:val="clear" w:color="000000" w:fill="FFFFFF"/>
            <w:vAlign w:val="center"/>
            <w:hideMark/>
          </w:tcPr>
          <w:p w14:paraId="70F0D3BD"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1 134 322</w:t>
            </w:r>
          </w:p>
        </w:tc>
        <w:tc>
          <w:tcPr>
            <w:tcW w:w="960" w:type="dxa"/>
            <w:tcBorders>
              <w:top w:val="nil"/>
              <w:left w:val="nil"/>
              <w:bottom w:val="nil"/>
              <w:right w:val="nil"/>
            </w:tcBorders>
            <w:shd w:val="clear" w:color="auto" w:fill="auto"/>
            <w:vAlign w:val="center"/>
            <w:hideMark/>
          </w:tcPr>
          <w:p w14:paraId="61F7DA9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1 178 328</w:t>
            </w:r>
          </w:p>
        </w:tc>
        <w:tc>
          <w:tcPr>
            <w:tcW w:w="1080" w:type="dxa"/>
            <w:tcBorders>
              <w:top w:val="nil"/>
              <w:left w:val="nil"/>
              <w:bottom w:val="nil"/>
              <w:right w:val="nil"/>
            </w:tcBorders>
            <w:shd w:val="clear" w:color="000000" w:fill="BFBFBF"/>
            <w:vAlign w:val="center"/>
            <w:hideMark/>
          </w:tcPr>
          <w:p w14:paraId="7C8ABB08"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1 036 908</w:t>
            </w:r>
          </w:p>
        </w:tc>
        <w:tc>
          <w:tcPr>
            <w:tcW w:w="960" w:type="dxa"/>
            <w:tcBorders>
              <w:top w:val="nil"/>
              <w:left w:val="nil"/>
              <w:bottom w:val="nil"/>
              <w:right w:val="nil"/>
            </w:tcBorders>
            <w:shd w:val="clear" w:color="auto" w:fill="auto"/>
            <w:vAlign w:val="center"/>
            <w:hideMark/>
          </w:tcPr>
          <w:p w14:paraId="713627B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-141 420</w:t>
            </w:r>
          </w:p>
        </w:tc>
        <w:tc>
          <w:tcPr>
            <w:tcW w:w="1003" w:type="dxa"/>
            <w:tcBorders>
              <w:top w:val="nil"/>
              <w:left w:val="nil"/>
              <w:bottom w:val="nil"/>
              <w:right w:val="nil"/>
            </w:tcBorders>
            <w:shd w:val="clear" w:color="auto" w:fill="auto"/>
            <w:vAlign w:val="center"/>
            <w:hideMark/>
          </w:tcPr>
          <w:p w14:paraId="459EF44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-12,0</w:t>
            </w:r>
          </w:p>
        </w:tc>
      </w:tr>
      <w:tr w:rsidR="00EA177A" w:rsidRPr="003E59E8" w14:paraId="486D3F0B" w14:textId="77777777" w:rsidTr="00C704A7">
        <w:trPr>
          <w:trHeight w:val="289"/>
        </w:trPr>
        <w:tc>
          <w:tcPr>
            <w:tcW w:w="2486" w:type="dxa"/>
            <w:tcBorders>
              <w:top w:val="nil"/>
              <w:left w:val="nil"/>
              <w:bottom w:val="single" w:sz="8" w:space="0" w:color="auto"/>
              <w:right w:val="nil"/>
            </w:tcBorders>
            <w:shd w:val="clear" w:color="auto" w:fill="auto"/>
            <w:noWrap/>
            <w:vAlign w:val="center"/>
            <w:hideMark/>
          </w:tcPr>
          <w:p w14:paraId="17E0F902"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manipulačné poplatky</w:t>
            </w:r>
          </w:p>
        </w:tc>
        <w:tc>
          <w:tcPr>
            <w:tcW w:w="960" w:type="dxa"/>
            <w:tcBorders>
              <w:top w:val="nil"/>
              <w:left w:val="nil"/>
              <w:bottom w:val="single" w:sz="8" w:space="0" w:color="auto"/>
              <w:right w:val="nil"/>
            </w:tcBorders>
            <w:shd w:val="clear" w:color="auto" w:fill="auto"/>
            <w:vAlign w:val="center"/>
            <w:hideMark/>
          </w:tcPr>
          <w:p w14:paraId="2CBD8EA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270</w:t>
            </w:r>
          </w:p>
        </w:tc>
        <w:tc>
          <w:tcPr>
            <w:tcW w:w="960" w:type="dxa"/>
            <w:tcBorders>
              <w:top w:val="nil"/>
              <w:left w:val="nil"/>
              <w:bottom w:val="single" w:sz="8" w:space="0" w:color="auto"/>
              <w:right w:val="nil"/>
            </w:tcBorders>
            <w:shd w:val="clear" w:color="000000" w:fill="FFFFFF"/>
            <w:vAlign w:val="center"/>
            <w:hideMark/>
          </w:tcPr>
          <w:p w14:paraId="7F17719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270</w:t>
            </w:r>
          </w:p>
        </w:tc>
        <w:tc>
          <w:tcPr>
            <w:tcW w:w="960" w:type="dxa"/>
            <w:tcBorders>
              <w:top w:val="nil"/>
              <w:left w:val="nil"/>
              <w:bottom w:val="single" w:sz="8" w:space="0" w:color="auto"/>
              <w:right w:val="nil"/>
            </w:tcBorders>
            <w:shd w:val="clear" w:color="auto" w:fill="auto"/>
            <w:vAlign w:val="center"/>
            <w:hideMark/>
          </w:tcPr>
          <w:p w14:paraId="416D998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270</w:t>
            </w:r>
          </w:p>
        </w:tc>
        <w:tc>
          <w:tcPr>
            <w:tcW w:w="1080" w:type="dxa"/>
            <w:tcBorders>
              <w:top w:val="nil"/>
              <w:left w:val="nil"/>
              <w:bottom w:val="single" w:sz="8" w:space="0" w:color="auto"/>
              <w:right w:val="nil"/>
            </w:tcBorders>
            <w:shd w:val="clear" w:color="000000" w:fill="BFBFBF"/>
            <w:vAlign w:val="center"/>
            <w:hideMark/>
          </w:tcPr>
          <w:p w14:paraId="24A7AAA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270</w:t>
            </w:r>
          </w:p>
        </w:tc>
        <w:tc>
          <w:tcPr>
            <w:tcW w:w="960" w:type="dxa"/>
            <w:tcBorders>
              <w:top w:val="nil"/>
              <w:left w:val="nil"/>
              <w:bottom w:val="single" w:sz="8" w:space="0" w:color="auto"/>
              <w:right w:val="nil"/>
            </w:tcBorders>
            <w:shd w:val="clear" w:color="auto" w:fill="auto"/>
            <w:vAlign w:val="center"/>
            <w:hideMark/>
          </w:tcPr>
          <w:p w14:paraId="4F49D37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0</w:t>
            </w:r>
          </w:p>
        </w:tc>
        <w:tc>
          <w:tcPr>
            <w:tcW w:w="1003" w:type="dxa"/>
            <w:tcBorders>
              <w:top w:val="nil"/>
              <w:left w:val="nil"/>
              <w:bottom w:val="single" w:sz="8" w:space="0" w:color="auto"/>
              <w:right w:val="nil"/>
            </w:tcBorders>
            <w:shd w:val="clear" w:color="auto" w:fill="auto"/>
            <w:vAlign w:val="center"/>
            <w:hideMark/>
          </w:tcPr>
          <w:p w14:paraId="5E42EC3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0,0</w:t>
            </w:r>
          </w:p>
        </w:tc>
      </w:tr>
      <w:tr w:rsidR="00EA177A" w:rsidRPr="003E59E8" w14:paraId="0E7FB431" w14:textId="77777777" w:rsidTr="00C704A7">
        <w:trPr>
          <w:trHeight w:val="289"/>
        </w:trPr>
        <w:tc>
          <w:tcPr>
            <w:tcW w:w="2486" w:type="dxa"/>
            <w:tcBorders>
              <w:top w:val="nil"/>
              <w:left w:val="nil"/>
              <w:bottom w:val="single" w:sz="8" w:space="0" w:color="auto"/>
              <w:right w:val="nil"/>
            </w:tcBorders>
            <w:shd w:val="clear" w:color="000000" w:fill="FFFFFF"/>
            <w:vAlign w:val="center"/>
            <w:hideMark/>
          </w:tcPr>
          <w:p w14:paraId="221857E6"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Celkom štátny dlh</w:t>
            </w:r>
          </w:p>
        </w:tc>
        <w:tc>
          <w:tcPr>
            <w:tcW w:w="960" w:type="dxa"/>
            <w:tcBorders>
              <w:top w:val="nil"/>
              <w:left w:val="nil"/>
              <w:bottom w:val="single" w:sz="8" w:space="0" w:color="auto"/>
              <w:right w:val="nil"/>
            </w:tcBorders>
            <w:shd w:val="clear" w:color="auto" w:fill="auto"/>
            <w:vAlign w:val="center"/>
            <w:hideMark/>
          </w:tcPr>
          <w:p w14:paraId="1AF0D04C"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1 166 569</w:t>
            </w:r>
          </w:p>
        </w:tc>
        <w:tc>
          <w:tcPr>
            <w:tcW w:w="960" w:type="dxa"/>
            <w:tcBorders>
              <w:top w:val="nil"/>
              <w:left w:val="nil"/>
              <w:bottom w:val="single" w:sz="8" w:space="0" w:color="auto"/>
              <w:right w:val="nil"/>
            </w:tcBorders>
            <w:shd w:val="clear" w:color="auto" w:fill="auto"/>
            <w:vAlign w:val="center"/>
            <w:hideMark/>
          </w:tcPr>
          <w:p w14:paraId="2373C0DD"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1 134 592</w:t>
            </w:r>
          </w:p>
        </w:tc>
        <w:tc>
          <w:tcPr>
            <w:tcW w:w="960" w:type="dxa"/>
            <w:tcBorders>
              <w:top w:val="nil"/>
              <w:left w:val="nil"/>
              <w:bottom w:val="single" w:sz="8" w:space="0" w:color="auto"/>
              <w:right w:val="nil"/>
            </w:tcBorders>
            <w:shd w:val="clear" w:color="auto" w:fill="auto"/>
            <w:vAlign w:val="center"/>
            <w:hideMark/>
          </w:tcPr>
          <w:p w14:paraId="2ABA9C2D"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1 178 598</w:t>
            </w:r>
          </w:p>
        </w:tc>
        <w:tc>
          <w:tcPr>
            <w:tcW w:w="1080" w:type="dxa"/>
            <w:tcBorders>
              <w:top w:val="nil"/>
              <w:left w:val="nil"/>
              <w:bottom w:val="single" w:sz="8" w:space="0" w:color="auto"/>
              <w:right w:val="nil"/>
            </w:tcBorders>
            <w:shd w:val="clear" w:color="000000" w:fill="BFBFBF"/>
            <w:vAlign w:val="center"/>
            <w:hideMark/>
          </w:tcPr>
          <w:p w14:paraId="54064589"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1 037 178</w:t>
            </w:r>
          </w:p>
        </w:tc>
        <w:tc>
          <w:tcPr>
            <w:tcW w:w="960" w:type="dxa"/>
            <w:tcBorders>
              <w:top w:val="nil"/>
              <w:left w:val="nil"/>
              <w:bottom w:val="single" w:sz="8" w:space="0" w:color="auto"/>
              <w:right w:val="nil"/>
            </w:tcBorders>
            <w:shd w:val="clear" w:color="auto" w:fill="auto"/>
            <w:vAlign w:val="center"/>
            <w:hideMark/>
          </w:tcPr>
          <w:p w14:paraId="0FA674C9"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-141 420</w:t>
            </w:r>
          </w:p>
        </w:tc>
        <w:tc>
          <w:tcPr>
            <w:tcW w:w="1003" w:type="dxa"/>
            <w:tcBorders>
              <w:top w:val="nil"/>
              <w:left w:val="nil"/>
              <w:bottom w:val="single" w:sz="8" w:space="0" w:color="auto"/>
              <w:right w:val="nil"/>
            </w:tcBorders>
            <w:shd w:val="clear" w:color="auto" w:fill="auto"/>
            <w:vAlign w:val="center"/>
            <w:hideMark/>
          </w:tcPr>
          <w:p w14:paraId="7FDAF89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-12,0</w:t>
            </w:r>
          </w:p>
        </w:tc>
      </w:tr>
    </w:tbl>
    <w:p w14:paraId="54306EAD" w14:textId="77777777" w:rsidR="00EA177A" w:rsidRPr="0007387D" w:rsidRDefault="00EA177A" w:rsidP="00EA177A">
      <w:pPr>
        <w:shd w:val="clear" w:color="auto" w:fill="FFFFFF" w:themeFill="background1"/>
        <w:rPr>
          <w:rFonts w:cs="Times New Roman"/>
          <w:sz w:val="18"/>
          <w:szCs w:val="18"/>
        </w:rPr>
      </w:pPr>
      <w:r w:rsidRPr="0007387D">
        <w:rPr>
          <w:rFonts w:cs="Times New Roman"/>
          <w:sz w:val="18"/>
          <w:szCs w:val="18"/>
        </w:rPr>
        <w:tab/>
      </w:r>
      <w:r w:rsidRPr="0007387D">
        <w:rPr>
          <w:rFonts w:cs="Times New Roman"/>
          <w:sz w:val="18"/>
          <w:szCs w:val="18"/>
        </w:rPr>
        <w:tab/>
      </w:r>
      <w:r w:rsidRPr="0007387D">
        <w:rPr>
          <w:rFonts w:cs="Times New Roman"/>
          <w:sz w:val="18"/>
          <w:szCs w:val="18"/>
        </w:rPr>
        <w:tab/>
      </w:r>
      <w:r w:rsidRPr="0007387D">
        <w:rPr>
          <w:rFonts w:cs="Times New Roman"/>
          <w:sz w:val="18"/>
          <w:szCs w:val="18"/>
        </w:rPr>
        <w:tab/>
      </w:r>
      <w:r w:rsidRPr="0007387D">
        <w:rPr>
          <w:rFonts w:cs="Times New Roman"/>
          <w:sz w:val="18"/>
          <w:szCs w:val="18"/>
        </w:rPr>
        <w:tab/>
      </w:r>
      <w:r w:rsidRPr="0007387D">
        <w:rPr>
          <w:rFonts w:cs="Times New Roman"/>
          <w:sz w:val="18"/>
          <w:szCs w:val="18"/>
        </w:rPr>
        <w:tab/>
      </w:r>
      <w:r w:rsidRPr="0007387D">
        <w:rPr>
          <w:rFonts w:cs="Times New Roman"/>
          <w:sz w:val="18"/>
          <w:szCs w:val="18"/>
        </w:rPr>
        <w:tab/>
      </w:r>
      <w:r w:rsidRPr="0007387D">
        <w:rPr>
          <w:rFonts w:cs="Times New Roman"/>
          <w:sz w:val="18"/>
          <w:szCs w:val="18"/>
        </w:rPr>
        <w:tab/>
      </w:r>
      <w:r w:rsidRPr="0007387D">
        <w:rPr>
          <w:rFonts w:cs="Times New Roman"/>
          <w:sz w:val="18"/>
          <w:szCs w:val="18"/>
        </w:rPr>
        <w:tab/>
      </w:r>
      <w:r>
        <w:rPr>
          <w:rFonts w:cs="Times New Roman"/>
          <w:sz w:val="18"/>
          <w:szCs w:val="18"/>
        </w:rPr>
        <w:tab/>
        <w:t xml:space="preserve">      </w:t>
      </w:r>
      <w:r w:rsidRPr="0007387D">
        <w:rPr>
          <w:rFonts w:cs="Times New Roman"/>
          <w:sz w:val="18"/>
          <w:szCs w:val="18"/>
        </w:rPr>
        <w:t>Zdroj: MF SR</w:t>
      </w:r>
    </w:p>
    <w:p w14:paraId="6112C97F" w14:textId="77777777" w:rsidR="00EA177A" w:rsidRPr="00D04535" w:rsidRDefault="00EA177A" w:rsidP="00EA177A">
      <w:pPr>
        <w:shd w:val="clear" w:color="auto" w:fill="FFFFFF" w:themeFill="background1"/>
        <w:rPr>
          <w:rFonts w:cs="Times New Roman"/>
        </w:rPr>
      </w:pPr>
      <w:r w:rsidRPr="00D04535">
        <w:rPr>
          <w:rFonts w:cs="Times New Roman"/>
        </w:rPr>
        <w:t xml:space="preserve">V hotovostnom rozpočte štátneho dlhu v roku 2019 sa </w:t>
      </w:r>
      <w:r>
        <w:rPr>
          <w:rFonts w:cs="Times New Roman"/>
        </w:rPr>
        <w:t>ušetrilo</w:t>
      </w:r>
      <w:r w:rsidRPr="00D04535">
        <w:rPr>
          <w:rFonts w:cs="Times New Roman"/>
        </w:rPr>
        <w:t xml:space="preserve"> 141 420 tis. eur. Pozitívnym vplyvom bol pokles úrokových sadzieb. Významným faktorom boli aj nákupy slovenských š</w:t>
      </w:r>
      <w:r>
        <w:rPr>
          <w:rFonts w:cs="Times New Roman"/>
        </w:rPr>
        <w:t>tátnych dlhopisov zo strany ECB (prostredníctvom NBS)</w:t>
      </w:r>
      <w:r w:rsidRPr="00D04535">
        <w:rPr>
          <w:rFonts w:cs="Times New Roman"/>
        </w:rPr>
        <w:t xml:space="preserve">. Pokles úrokových sadzieb v situácii, kedy sa predávajú dlhopisy s vysokými úrokovými sadzbami kupónov v porovnaní s výnosom do </w:t>
      </w:r>
      <w:r>
        <w:rPr>
          <w:rFonts w:cs="Times New Roman"/>
        </w:rPr>
        <w:t>splatnosti, spôsobil vysoké prijaté prémie pri aukciách štátnych dlhopisov a teda zodpovedajúce úspory na nákladoch dlhu. Vývoj úrokových sadzieb na finančných trhoch a aktívna správa portfólia sa prejavili v poklese priemernej váženej úrokovej sadzby záväzkov štátu z úrovne 2,25 % p. a. v roku 2018 na úroveň 2,09 % p. a. na konci roka 2019. Na správu Štátneho dlhu výrazne vplýval systém štátnej pokladnice, ktorý zabezpečil okrem centralizácie finančných zdrojov verejného sektora aj zlepšenú pozíciu štátu voči medzibankovému trhu.</w:t>
      </w:r>
    </w:p>
    <w:tbl>
      <w:tblPr>
        <w:tblW w:w="8373" w:type="dxa"/>
        <w:tblInd w:w="56" w:type="dxa"/>
        <w:tblCellMar>
          <w:left w:w="70" w:type="dxa"/>
          <w:right w:w="70" w:type="dxa"/>
        </w:tblCellMar>
        <w:tblLook w:val="04A0" w:firstRow="1" w:lastRow="0" w:firstColumn="1" w:lastColumn="0" w:noHBand="0" w:noVBand="1"/>
      </w:tblPr>
      <w:tblGrid>
        <w:gridCol w:w="4272"/>
        <w:gridCol w:w="1059"/>
        <w:gridCol w:w="1624"/>
        <w:gridCol w:w="1418"/>
      </w:tblGrid>
      <w:tr w:rsidR="00EA177A" w:rsidRPr="003E59E8" w14:paraId="43315E5D" w14:textId="77777777" w:rsidTr="00AB0EFE">
        <w:trPr>
          <w:trHeight w:val="455"/>
        </w:trPr>
        <w:tc>
          <w:tcPr>
            <w:tcW w:w="8373" w:type="dxa"/>
            <w:gridSpan w:val="4"/>
            <w:tcBorders>
              <w:top w:val="nil"/>
              <w:left w:val="nil"/>
              <w:bottom w:val="nil"/>
              <w:right w:val="nil"/>
            </w:tcBorders>
            <w:shd w:val="clear" w:color="000000" w:fill="000000"/>
            <w:vAlign w:val="center"/>
            <w:hideMark/>
          </w:tcPr>
          <w:p w14:paraId="28C9077F"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Prehľad príjmov a výdavkov na saldo účte Štátneho dlhu                                                                    v tis. eur</w:t>
            </w:r>
          </w:p>
        </w:tc>
      </w:tr>
      <w:tr w:rsidR="00EA177A" w:rsidRPr="003E59E8" w14:paraId="4A3494F1" w14:textId="77777777" w:rsidTr="00C24825">
        <w:trPr>
          <w:trHeight w:val="271"/>
        </w:trPr>
        <w:tc>
          <w:tcPr>
            <w:tcW w:w="4272" w:type="dxa"/>
            <w:vMerge w:val="restart"/>
            <w:tcBorders>
              <w:top w:val="nil"/>
              <w:left w:val="nil"/>
              <w:bottom w:val="single" w:sz="8" w:space="0" w:color="000000"/>
              <w:right w:val="nil"/>
            </w:tcBorders>
            <w:shd w:val="clear" w:color="000000" w:fill="BFBFBF"/>
            <w:noWrap/>
            <w:vAlign w:val="center"/>
            <w:hideMark/>
          </w:tcPr>
          <w:p w14:paraId="57FDFDB6" w14:textId="77777777" w:rsidR="00EA177A" w:rsidRPr="003E59E8" w:rsidRDefault="00EA177A" w:rsidP="00C704A7">
            <w:pPr>
              <w:spacing w:after="0" w:line="240" w:lineRule="auto"/>
              <w:jc w:val="left"/>
              <w:rPr>
                <w:rFonts w:eastAsia="Times New Roman" w:cs="Times New Roman"/>
                <w:lang w:eastAsia="sk-SK"/>
              </w:rPr>
            </w:pPr>
            <w:r w:rsidRPr="003E59E8">
              <w:rPr>
                <w:rFonts w:eastAsia="Times New Roman" w:cs="Times New Roman"/>
                <w:lang w:eastAsia="sk-SK"/>
              </w:rPr>
              <w:t> </w:t>
            </w:r>
          </w:p>
        </w:tc>
        <w:tc>
          <w:tcPr>
            <w:tcW w:w="4101" w:type="dxa"/>
            <w:gridSpan w:val="3"/>
            <w:tcBorders>
              <w:top w:val="nil"/>
              <w:left w:val="nil"/>
              <w:bottom w:val="nil"/>
              <w:right w:val="nil"/>
            </w:tcBorders>
            <w:shd w:val="clear" w:color="000000" w:fill="BFBFBF"/>
            <w:vAlign w:val="center"/>
            <w:hideMark/>
          </w:tcPr>
          <w:p w14:paraId="45FB067C"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r>
      <w:tr w:rsidR="00EA177A" w:rsidRPr="003E59E8" w14:paraId="7E3A3325" w14:textId="77777777" w:rsidTr="00C24825">
        <w:trPr>
          <w:trHeight w:val="285"/>
        </w:trPr>
        <w:tc>
          <w:tcPr>
            <w:tcW w:w="4272" w:type="dxa"/>
            <w:vMerge/>
            <w:tcBorders>
              <w:top w:val="nil"/>
              <w:left w:val="nil"/>
              <w:bottom w:val="single" w:sz="8" w:space="0" w:color="000000"/>
              <w:right w:val="nil"/>
            </w:tcBorders>
            <w:vAlign w:val="center"/>
            <w:hideMark/>
          </w:tcPr>
          <w:p w14:paraId="5E42CFD8" w14:textId="77777777" w:rsidR="00EA177A" w:rsidRPr="003E59E8" w:rsidRDefault="00EA177A" w:rsidP="00C704A7">
            <w:pPr>
              <w:spacing w:after="0" w:line="240" w:lineRule="auto"/>
              <w:jc w:val="left"/>
              <w:rPr>
                <w:rFonts w:eastAsia="Times New Roman" w:cs="Times New Roman"/>
                <w:lang w:eastAsia="sk-SK"/>
              </w:rPr>
            </w:pPr>
          </w:p>
        </w:tc>
        <w:tc>
          <w:tcPr>
            <w:tcW w:w="1059" w:type="dxa"/>
            <w:tcBorders>
              <w:top w:val="nil"/>
              <w:left w:val="nil"/>
              <w:bottom w:val="single" w:sz="8" w:space="0" w:color="auto"/>
              <w:right w:val="nil"/>
            </w:tcBorders>
            <w:shd w:val="clear" w:color="000000" w:fill="BFBFBF"/>
            <w:vAlign w:val="center"/>
            <w:hideMark/>
          </w:tcPr>
          <w:p w14:paraId="442C79B2"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2017</w:t>
            </w:r>
          </w:p>
        </w:tc>
        <w:tc>
          <w:tcPr>
            <w:tcW w:w="1624" w:type="dxa"/>
            <w:tcBorders>
              <w:top w:val="nil"/>
              <w:left w:val="nil"/>
              <w:bottom w:val="single" w:sz="8" w:space="0" w:color="auto"/>
              <w:right w:val="nil"/>
            </w:tcBorders>
            <w:shd w:val="clear" w:color="000000" w:fill="BFBFBF"/>
            <w:vAlign w:val="center"/>
            <w:hideMark/>
          </w:tcPr>
          <w:p w14:paraId="79456E8A"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2018</w:t>
            </w:r>
          </w:p>
        </w:tc>
        <w:tc>
          <w:tcPr>
            <w:tcW w:w="1418" w:type="dxa"/>
            <w:tcBorders>
              <w:top w:val="nil"/>
              <w:left w:val="nil"/>
              <w:bottom w:val="single" w:sz="8" w:space="0" w:color="auto"/>
              <w:right w:val="nil"/>
            </w:tcBorders>
            <w:shd w:val="clear" w:color="000000" w:fill="BFBFBF"/>
            <w:vAlign w:val="center"/>
            <w:hideMark/>
          </w:tcPr>
          <w:p w14:paraId="77AE8BE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r>
      <w:tr w:rsidR="00EA177A" w:rsidRPr="003E59E8" w14:paraId="3FFBACC5" w14:textId="77777777" w:rsidTr="00C704A7">
        <w:trPr>
          <w:trHeight w:val="278"/>
        </w:trPr>
        <w:tc>
          <w:tcPr>
            <w:tcW w:w="4272" w:type="dxa"/>
            <w:tcBorders>
              <w:top w:val="nil"/>
              <w:left w:val="nil"/>
              <w:bottom w:val="nil"/>
              <w:right w:val="nil"/>
            </w:tcBorders>
            <w:shd w:val="clear" w:color="auto" w:fill="auto"/>
            <w:noWrap/>
            <w:vAlign w:val="center"/>
            <w:hideMark/>
          </w:tcPr>
          <w:p w14:paraId="19C919FD"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Príjmy</w:t>
            </w:r>
          </w:p>
        </w:tc>
        <w:tc>
          <w:tcPr>
            <w:tcW w:w="1059" w:type="dxa"/>
            <w:tcBorders>
              <w:top w:val="nil"/>
              <w:left w:val="nil"/>
              <w:bottom w:val="nil"/>
              <w:right w:val="nil"/>
            </w:tcBorders>
            <w:shd w:val="clear" w:color="auto" w:fill="auto"/>
            <w:vAlign w:val="center"/>
            <w:hideMark/>
          </w:tcPr>
          <w:p w14:paraId="52F6C903"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294 253</w:t>
            </w:r>
          </w:p>
        </w:tc>
        <w:tc>
          <w:tcPr>
            <w:tcW w:w="1624" w:type="dxa"/>
            <w:tcBorders>
              <w:top w:val="nil"/>
              <w:left w:val="nil"/>
              <w:bottom w:val="nil"/>
              <w:right w:val="nil"/>
            </w:tcBorders>
            <w:shd w:val="clear" w:color="000000" w:fill="FFFFFF"/>
            <w:vAlign w:val="center"/>
            <w:hideMark/>
          </w:tcPr>
          <w:p w14:paraId="608A6A94"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179 245</w:t>
            </w:r>
          </w:p>
        </w:tc>
        <w:tc>
          <w:tcPr>
            <w:tcW w:w="1418" w:type="dxa"/>
            <w:tcBorders>
              <w:top w:val="nil"/>
              <w:left w:val="nil"/>
              <w:bottom w:val="nil"/>
              <w:right w:val="nil"/>
            </w:tcBorders>
            <w:shd w:val="clear" w:color="000000" w:fill="BFBFBF"/>
            <w:vAlign w:val="center"/>
            <w:hideMark/>
          </w:tcPr>
          <w:p w14:paraId="39279E96"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267 660</w:t>
            </w:r>
          </w:p>
        </w:tc>
      </w:tr>
      <w:tr w:rsidR="00EA177A" w:rsidRPr="003E59E8" w14:paraId="00B693C9" w14:textId="77777777" w:rsidTr="00C704A7">
        <w:trPr>
          <w:trHeight w:val="278"/>
        </w:trPr>
        <w:tc>
          <w:tcPr>
            <w:tcW w:w="4272" w:type="dxa"/>
            <w:tcBorders>
              <w:top w:val="nil"/>
              <w:left w:val="nil"/>
              <w:bottom w:val="nil"/>
              <w:right w:val="nil"/>
            </w:tcBorders>
            <w:shd w:val="clear" w:color="auto" w:fill="auto"/>
            <w:noWrap/>
            <w:vAlign w:val="center"/>
            <w:hideMark/>
          </w:tcPr>
          <w:p w14:paraId="351FD7F6"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Výdavky spolu</w:t>
            </w:r>
          </w:p>
        </w:tc>
        <w:tc>
          <w:tcPr>
            <w:tcW w:w="1059" w:type="dxa"/>
            <w:tcBorders>
              <w:top w:val="nil"/>
              <w:left w:val="nil"/>
              <w:bottom w:val="nil"/>
              <w:right w:val="nil"/>
            </w:tcBorders>
            <w:shd w:val="clear" w:color="auto" w:fill="auto"/>
            <w:vAlign w:val="center"/>
            <w:hideMark/>
          </w:tcPr>
          <w:p w14:paraId="21ACBC67"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1 460 552</w:t>
            </w:r>
          </w:p>
        </w:tc>
        <w:tc>
          <w:tcPr>
            <w:tcW w:w="1624" w:type="dxa"/>
            <w:tcBorders>
              <w:top w:val="nil"/>
              <w:left w:val="nil"/>
              <w:bottom w:val="nil"/>
              <w:right w:val="nil"/>
            </w:tcBorders>
            <w:shd w:val="clear" w:color="000000" w:fill="FFFFFF"/>
            <w:vAlign w:val="center"/>
            <w:hideMark/>
          </w:tcPr>
          <w:p w14:paraId="7AC4928E"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1 313 567</w:t>
            </w:r>
          </w:p>
        </w:tc>
        <w:tc>
          <w:tcPr>
            <w:tcW w:w="1418" w:type="dxa"/>
            <w:tcBorders>
              <w:top w:val="nil"/>
              <w:left w:val="nil"/>
              <w:bottom w:val="nil"/>
              <w:right w:val="nil"/>
            </w:tcBorders>
            <w:shd w:val="clear" w:color="000000" w:fill="BFBFBF"/>
            <w:vAlign w:val="center"/>
            <w:hideMark/>
          </w:tcPr>
          <w:p w14:paraId="62375B4D"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1 304 568</w:t>
            </w:r>
          </w:p>
        </w:tc>
      </w:tr>
      <w:tr w:rsidR="00EA177A" w:rsidRPr="003E59E8" w14:paraId="105A1B9B" w14:textId="77777777" w:rsidTr="00C704A7">
        <w:trPr>
          <w:trHeight w:val="278"/>
        </w:trPr>
        <w:tc>
          <w:tcPr>
            <w:tcW w:w="4272" w:type="dxa"/>
            <w:tcBorders>
              <w:top w:val="nil"/>
              <w:left w:val="nil"/>
              <w:bottom w:val="nil"/>
              <w:right w:val="nil"/>
            </w:tcBorders>
            <w:shd w:val="clear" w:color="auto" w:fill="auto"/>
            <w:noWrap/>
            <w:vAlign w:val="center"/>
            <w:hideMark/>
          </w:tcPr>
          <w:p w14:paraId="77502E54" w14:textId="77777777" w:rsidR="00EA177A" w:rsidRPr="003E59E8" w:rsidRDefault="00EA177A" w:rsidP="00C704A7">
            <w:pPr>
              <w:spacing w:after="0" w:line="240" w:lineRule="auto"/>
              <w:jc w:val="left"/>
              <w:rPr>
                <w:rFonts w:eastAsia="Times New Roman" w:cs="Times New Roman"/>
                <w:sz w:val="18"/>
                <w:szCs w:val="18"/>
                <w:lang w:eastAsia="sk-SK"/>
              </w:rPr>
            </w:pPr>
            <w:r w:rsidRPr="003E59E8">
              <w:rPr>
                <w:rFonts w:eastAsia="Times New Roman" w:cs="Times New Roman"/>
                <w:sz w:val="18"/>
                <w:szCs w:val="18"/>
                <w:lang w:eastAsia="sk-SK"/>
              </w:rPr>
              <w:t xml:space="preserve">v tom: </w:t>
            </w:r>
          </w:p>
        </w:tc>
        <w:tc>
          <w:tcPr>
            <w:tcW w:w="1059" w:type="dxa"/>
            <w:tcBorders>
              <w:top w:val="nil"/>
              <w:left w:val="nil"/>
              <w:bottom w:val="nil"/>
              <w:right w:val="nil"/>
            </w:tcBorders>
            <w:shd w:val="clear" w:color="auto" w:fill="auto"/>
            <w:vAlign w:val="center"/>
            <w:hideMark/>
          </w:tcPr>
          <w:p w14:paraId="5A0E4214" w14:textId="77777777" w:rsidR="00EA177A" w:rsidRPr="003E59E8" w:rsidRDefault="00EA177A" w:rsidP="00C704A7">
            <w:pPr>
              <w:spacing w:after="0" w:line="240" w:lineRule="auto"/>
              <w:jc w:val="left"/>
              <w:rPr>
                <w:rFonts w:eastAsia="Times New Roman" w:cs="Times New Roman"/>
                <w:lang w:eastAsia="sk-SK"/>
              </w:rPr>
            </w:pPr>
          </w:p>
        </w:tc>
        <w:tc>
          <w:tcPr>
            <w:tcW w:w="1624" w:type="dxa"/>
            <w:tcBorders>
              <w:top w:val="nil"/>
              <w:left w:val="nil"/>
              <w:bottom w:val="nil"/>
              <w:right w:val="nil"/>
            </w:tcBorders>
            <w:shd w:val="clear" w:color="000000" w:fill="FFFFFF"/>
            <w:vAlign w:val="center"/>
            <w:hideMark/>
          </w:tcPr>
          <w:p w14:paraId="7009DE7E" w14:textId="77777777" w:rsidR="00EA177A" w:rsidRPr="003E59E8" w:rsidRDefault="00EA177A" w:rsidP="00C704A7">
            <w:pPr>
              <w:spacing w:after="0" w:line="240" w:lineRule="auto"/>
              <w:jc w:val="left"/>
              <w:rPr>
                <w:rFonts w:eastAsia="Times New Roman" w:cs="Times New Roman"/>
                <w:lang w:eastAsia="sk-SK"/>
              </w:rPr>
            </w:pPr>
            <w:r w:rsidRPr="003E59E8">
              <w:rPr>
                <w:rFonts w:eastAsia="Times New Roman" w:cs="Times New Roman"/>
                <w:lang w:eastAsia="sk-SK"/>
              </w:rPr>
              <w:t> </w:t>
            </w:r>
          </w:p>
        </w:tc>
        <w:tc>
          <w:tcPr>
            <w:tcW w:w="1418" w:type="dxa"/>
            <w:tcBorders>
              <w:top w:val="nil"/>
              <w:left w:val="nil"/>
              <w:bottom w:val="nil"/>
              <w:right w:val="nil"/>
            </w:tcBorders>
            <w:shd w:val="clear" w:color="000000" w:fill="BFBFBF"/>
            <w:vAlign w:val="center"/>
            <w:hideMark/>
          </w:tcPr>
          <w:p w14:paraId="45A970D3" w14:textId="77777777" w:rsidR="00EA177A" w:rsidRPr="003E59E8" w:rsidRDefault="00EA177A" w:rsidP="00C704A7">
            <w:pPr>
              <w:spacing w:after="0" w:line="240" w:lineRule="auto"/>
              <w:jc w:val="left"/>
              <w:rPr>
                <w:rFonts w:eastAsia="Times New Roman" w:cs="Times New Roman"/>
                <w:lang w:eastAsia="sk-SK"/>
              </w:rPr>
            </w:pPr>
            <w:r w:rsidRPr="003E59E8">
              <w:rPr>
                <w:rFonts w:eastAsia="Times New Roman" w:cs="Times New Roman"/>
                <w:lang w:eastAsia="sk-SK"/>
              </w:rPr>
              <w:t> </w:t>
            </w:r>
          </w:p>
        </w:tc>
      </w:tr>
      <w:tr w:rsidR="00EA177A" w:rsidRPr="003E59E8" w14:paraId="03C56FA4" w14:textId="77777777" w:rsidTr="00C704A7">
        <w:trPr>
          <w:trHeight w:val="278"/>
        </w:trPr>
        <w:tc>
          <w:tcPr>
            <w:tcW w:w="4272" w:type="dxa"/>
            <w:tcBorders>
              <w:top w:val="nil"/>
              <w:left w:val="nil"/>
              <w:bottom w:val="nil"/>
              <w:right w:val="nil"/>
            </w:tcBorders>
            <w:shd w:val="clear" w:color="auto" w:fill="auto"/>
            <w:noWrap/>
            <w:vAlign w:val="center"/>
            <w:hideMark/>
          </w:tcPr>
          <w:p w14:paraId="6BE1D1B0" w14:textId="77777777" w:rsidR="00EA177A" w:rsidRPr="0035297E" w:rsidRDefault="00EA177A" w:rsidP="00C704A7">
            <w:pPr>
              <w:spacing w:after="0" w:line="240" w:lineRule="auto"/>
              <w:jc w:val="left"/>
              <w:rPr>
                <w:rFonts w:eastAsia="Times New Roman" w:cs="Times New Roman"/>
                <w:iCs/>
                <w:sz w:val="18"/>
                <w:szCs w:val="18"/>
                <w:lang w:eastAsia="sk-SK"/>
              </w:rPr>
            </w:pPr>
            <w:r w:rsidRPr="0035297E">
              <w:rPr>
                <w:rFonts w:eastAsia="Times New Roman" w:cs="Times New Roman"/>
                <w:iCs/>
                <w:sz w:val="18"/>
                <w:szCs w:val="18"/>
                <w:lang w:eastAsia="sk-SK"/>
              </w:rPr>
              <w:t xml:space="preserve">   úroky zo štátnych dlhopisov + obchodov +úverov</w:t>
            </w:r>
          </w:p>
        </w:tc>
        <w:tc>
          <w:tcPr>
            <w:tcW w:w="1059" w:type="dxa"/>
            <w:tcBorders>
              <w:top w:val="nil"/>
              <w:left w:val="nil"/>
              <w:bottom w:val="nil"/>
              <w:right w:val="nil"/>
            </w:tcBorders>
            <w:shd w:val="clear" w:color="auto" w:fill="auto"/>
            <w:vAlign w:val="center"/>
            <w:hideMark/>
          </w:tcPr>
          <w:p w14:paraId="5136389C"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1 342 029</w:t>
            </w:r>
          </w:p>
        </w:tc>
        <w:tc>
          <w:tcPr>
            <w:tcW w:w="1624" w:type="dxa"/>
            <w:tcBorders>
              <w:top w:val="nil"/>
              <w:left w:val="nil"/>
              <w:bottom w:val="nil"/>
              <w:right w:val="nil"/>
            </w:tcBorders>
            <w:shd w:val="clear" w:color="000000" w:fill="FFFFFF"/>
            <w:vAlign w:val="center"/>
            <w:hideMark/>
          </w:tcPr>
          <w:p w14:paraId="28269343"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1 249 841</w:t>
            </w:r>
          </w:p>
        </w:tc>
        <w:tc>
          <w:tcPr>
            <w:tcW w:w="1418" w:type="dxa"/>
            <w:tcBorders>
              <w:top w:val="nil"/>
              <w:left w:val="nil"/>
              <w:bottom w:val="nil"/>
              <w:right w:val="nil"/>
            </w:tcBorders>
            <w:shd w:val="clear" w:color="000000" w:fill="BFBFBF"/>
            <w:vAlign w:val="center"/>
            <w:hideMark/>
          </w:tcPr>
          <w:p w14:paraId="6AEC3BF7"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1 242 950</w:t>
            </w:r>
          </w:p>
        </w:tc>
      </w:tr>
      <w:tr w:rsidR="00EA177A" w:rsidRPr="003E59E8" w14:paraId="3E0E37C1" w14:textId="77777777" w:rsidTr="00C704A7">
        <w:trPr>
          <w:trHeight w:val="278"/>
        </w:trPr>
        <w:tc>
          <w:tcPr>
            <w:tcW w:w="4272" w:type="dxa"/>
            <w:tcBorders>
              <w:top w:val="nil"/>
              <w:left w:val="nil"/>
              <w:bottom w:val="nil"/>
              <w:right w:val="nil"/>
            </w:tcBorders>
            <w:shd w:val="clear" w:color="auto" w:fill="auto"/>
            <w:noWrap/>
            <w:vAlign w:val="center"/>
            <w:hideMark/>
          </w:tcPr>
          <w:p w14:paraId="48589243" w14:textId="77777777" w:rsidR="00EA177A" w:rsidRPr="0035297E" w:rsidRDefault="00EA177A" w:rsidP="00C704A7">
            <w:pPr>
              <w:spacing w:after="0" w:line="240" w:lineRule="auto"/>
              <w:jc w:val="left"/>
              <w:rPr>
                <w:rFonts w:eastAsia="Times New Roman" w:cs="Times New Roman"/>
                <w:iCs/>
                <w:sz w:val="18"/>
                <w:szCs w:val="18"/>
                <w:lang w:eastAsia="sk-SK"/>
              </w:rPr>
            </w:pPr>
            <w:r w:rsidRPr="0035297E">
              <w:rPr>
                <w:rFonts w:eastAsia="Times New Roman" w:cs="Times New Roman"/>
                <w:iCs/>
                <w:sz w:val="18"/>
                <w:szCs w:val="18"/>
                <w:lang w:eastAsia="sk-SK"/>
              </w:rPr>
              <w:t xml:space="preserve">   úroky z refinančného systému - ŠP</w:t>
            </w:r>
          </w:p>
        </w:tc>
        <w:tc>
          <w:tcPr>
            <w:tcW w:w="1059" w:type="dxa"/>
            <w:tcBorders>
              <w:top w:val="nil"/>
              <w:left w:val="nil"/>
              <w:bottom w:val="nil"/>
              <w:right w:val="nil"/>
            </w:tcBorders>
            <w:shd w:val="clear" w:color="auto" w:fill="auto"/>
            <w:vAlign w:val="center"/>
            <w:hideMark/>
          </w:tcPr>
          <w:p w14:paraId="08EFEA36"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48 259</w:t>
            </w:r>
          </w:p>
        </w:tc>
        <w:tc>
          <w:tcPr>
            <w:tcW w:w="1624" w:type="dxa"/>
            <w:tcBorders>
              <w:top w:val="nil"/>
              <w:left w:val="nil"/>
              <w:bottom w:val="nil"/>
              <w:right w:val="nil"/>
            </w:tcBorders>
            <w:shd w:val="clear" w:color="000000" w:fill="FFFFFF"/>
            <w:vAlign w:val="center"/>
            <w:hideMark/>
          </w:tcPr>
          <w:p w14:paraId="76F8D33C"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51 806</w:t>
            </w:r>
          </w:p>
        </w:tc>
        <w:tc>
          <w:tcPr>
            <w:tcW w:w="1418" w:type="dxa"/>
            <w:tcBorders>
              <w:top w:val="nil"/>
              <w:left w:val="nil"/>
              <w:bottom w:val="nil"/>
              <w:right w:val="nil"/>
            </w:tcBorders>
            <w:shd w:val="clear" w:color="000000" w:fill="BFBFBF"/>
            <w:vAlign w:val="center"/>
            <w:hideMark/>
          </w:tcPr>
          <w:p w14:paraId="42CC98C9"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53 434</w:t>
            </w:r>
          </w:p>
        </w:tc>
      </w:tr>
      <w:tr w:rsidR="00EA177A" w:rsidRPr="003E59E8" w14:paraId="52A8CC11" w14:textId="77777777" w:rsidTr="00C704A7">
        <w:trPr>
          <w:trHeight w:val="278"/>
        </w:trPr>
        <w:tc>
          <w:tcPr>
            <w:tcW w:w="4272" w:type="dxa"/>
            <w:tcBorders>
              <w:top w:val="nil"/>
              <w:left w:val="nil"/>
              <w:bottom w:val="nil"/>
              <w:right w:val="nil"/>
            </w:tcBorders>
            <w:shd w:val="clear" w:color="auto" w:fill="auto"/>
            <w:noWrap/>
            <w:vAlign w:val="center"/>
            <w:hideMark/>
          </w:tcPr>
          <w:p w14:paraId="427DADB2" w14:textId="77777777" w:rsidR="00EA177A" w:rsidRPr="0035297E" w:rsidRDefault="00EA177A" w:rsidP="00C704A7">
            <w:pPr>
              <w:spacing w:after="0" w:line="240" w:lineRule="auto"/>
              <w:jc w:val="left"/>
              <w:rPr>
                <w:rFonts w:eastAsia="Times New Roman" w:cs="Times New Roman"/>
                <w:iCs/>
                <w:sz w:val="18"/>
                <w:szCs w:val="18"/>
                <w:lang w:eastAsia="sk-SK"/>
              </w:rPr>
            </w:pPr>
            <w:r w:rsidRPr="0035297E">
              <w:rPr>
                <w:rFonts w:eastAsia="Times New Roman" w:cs="Times New Roman"/>
                <w:iCs/>
                <w:sz w:val="18"/>
                <w:szCs w:val="18"/>
                <w:lang w:eastAsia="sk-SK"/>
              </w:rPr>
              <w:t xml:space="preserve">   </w:t>
            </w:r>
            <w:proofErr w:type="spellStart"/>
            <w:r w:rsidRPr="0035297E">
              <w:rPr>
                <w:rFonts w:eastAsia="Times New Roman" w:cs="Times New Roman"/>
                <w:iCs/>
                <w:sz w:val="18"/>
                <w:szCs w:val="18"/>
                <w:lang w:eastAsia="sk-SK"/>
              </w:rPr>
              <w:t>disážio</w:t>
            </w:r>
            <w:proofErr w:type="spellEnd"/>
            <w:r w:rsidRPr="0035297E">
              <w:rPr>
                <w:rFonts w:eastAsia="Times New Roman" w:cs="Times New Roman"/>
                <w:iCs/>
                <w:sz w:val="18"/>
                <w:szCs w:val="18"/>
                <w:lang w:eastAsia="sk-SK"/>
              </w:rPr>
              <w:t xml:space="preserve"> (diskont CP)</w:t>
            </w:r>
          </w:p>
        </w:tc>
        <w:tc>
          <w:tcPr>
            <w:tcW w:w="1059" w:type="dxa"/>
            <w:tcBorders>
              <w:top w:val="nil"/>
              <w:left w:val="nil"/>
              <w:bottom w:val="nil"/>
              <w:right w:val="nil"/>
            </w:tcBorders>
            <w:shd w:val="clear" w:color="auto" w:fill="auto"/>
            <w:vAlign w:val="center"/>
            <w:hideMark/>
          </w:tcPr>
          <w:p w14:paraId="6A7D638C"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61 413</w:t>
            </w:r>
          </w:p>
        </w:tc>
        <w:tc>
          <w:tcPr>
            <w:tcW w:w="1624" w:type="dxa"/>
            <w:tcBorders>
              <w:top w:val="nil"/>
              <w:left w:val="nil"/>
              <w:bottom w:val="nil"/>
              <w:right w:val="nil"/>
            </w:tcBorders>
            <w:shd w:val="clear" w:color="000000" w:fill="FFFFFF"/>
            <w:vAlign w:val="center"/>
            <w:hideMark/>
          </w:tcPr>
          <w:p w14:paraId="6760E28D"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6 683</w:t>
            </w:r>
          </w:p>
        </w:tc>
        <w:tc>
          <w:tcPr>
            <w:tcW w:w="1418" w:type="dxa"/>
            <w:tcBorders>
              <w:top w:val="nil"/>
              <w:left w:val="nil"/>
              <w:bottom w:val="nil"/>
              <w:right w:val="nil"/>
            </w:tcBorders>
            <w:shd w:val="clear" w:color="000000" w:fill="BFBFBF"/>
            <w:vAlign w:val="center"/>
            <w:hideMark/>
          </w:tcPr>
          <w:p w14:paraId="0AE01C42"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3 040</w:t>
            </w:r>
          </w:p>
        </w:tc>
      </w:tr>
      <w:tr w:rsidR="00EA177A" w:rsidRPr="003E59E8" w14:paraId="25ED0582" w14:textId="77777777" w:rsidTr="00C704A7">
        <w:trPr>
          <w:trHeight w:val="278"/>
        </w:trPr>
        <w:tc>
          <w:tcPr>
            <w:tcW w:w="4272" w:type="dxa"/>
            <w:tcBorders>
              <w:top w:val="nil"/>
              <w:left w:val="nil"/>
              <w:bottom w:val="single" w:sz="8" w:space="0" w:color="auto"/>
              <w:right w:val="nil"/>
            </w:tcBorders>
            <w:shd w:val="clear" w:color="auto" w:fill="auto"/>
            <w:noWrap/>
            <w:vAlign w:val="center"/>
            <w:hideMark/>
          </w:tcPr>
          <w:p w14:paraId="30A99BF1" w14:textId="77777777" w:rsidR="00EA177A" w:rsidRPr="0035297E" w:rsidRDefault="00EA177A" w:rsidP="00C704A7">
            <w:pPr>
              <w:spacing w:after="0" w:line="240" w:lineRule="auto"/>
              <w:jc w:val="left"/>
              <w:rPr>
                <w:rFonts w:eastAsia="Times New Roman" w:cs="Times New Roman"/>
                <w:iCs/>
                <w:sz w:val="18"/>
                <w:szCs w:val="18"/>
                <w:lang w:eastAsia="sk-SK"/>
              </w:rPr>
            </w:pPr>
            <w:r w:rsidRPr="0035297E">
              <w:rPr>
                <w:rFonts w:eastAsia="Times New Roman" w:cs="Times New Roman"/>
                <w:iCs/>
                <w:sz w:val="18"/>
                <w:szCs w:val="18"/>
                <w:lang w:eastAsia="sk-SK"/>
              </w:rPr>
              <w:t xml:space="preserve">   poplatky </w:t>
            </w:r>
          </w:p>
        </w:tc>
        <w:tc>
          <w:tcPr>
            <w:tcW w:w="1059" w:type="dxa"/>
            <w:tcBorders>
              <w:top w:val="nil"/>
              <w:left w:val="nil"/>
              <w:bottom w:val="single" w:sz="8" w:space="0" w:color="auto"/>
              <w:right w:val="nil"/>
            </w:tcBorders>
            <w:shd w:val="clear" w:color="auto" w:fill="auto"/>
            <w:vAlign w:val="center"/>
            <w:hideMark/>
          </w:tcPr>
          <w:p w14:paraId="75D03860"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8 851</w:t>
            </w:r>
          </w:p>
        </w:tc>
        <w:tc>
          <w:tcPr>
            <w:tcW w:w="1624" w:type="dxa"/>
            <w:tcBorders>
              <w:top w:val="nil"/>
              <w:left w:val="nil"/>
              <w:bottom w:val="single" w:sz="8" w:space="0" w:color="auto"/>
              <w:right w:val="nil"/>
            </w:tcBorders>
            <w:shd w:val="clear" w:color="000000" w:fill="FFFFFF"/>
            <w:vAlign w:val="center"/>
            <w:hideMark/>
          </w:tcPr>
          <w:p w14:paraId="500FB42F"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5 237</w:t>
            </w:r>
          </w:p>
        </w:tc>
        <w:tc>
          <w:tcPr>
            <w:tcW w:w="1418" w:type="dxa"/>
            <w:tcBorders>
              <w:top w:val="nil"/>
              <w:left w:val="nil"/>
              <w:bottom w:val="single" w:sz="8" w:space="0" w:color="auto"/>
              <w:right w:val="nil"/>
            </w:tcBorders>
            <w:shd w:val="clear" w:color="000000" w:fill="BFBFBF"/>
            <w:vAlign w:val="center"/>
            <w:hideMark/>
          </w:tcPr>
          <w:p w14:paraId="05804BEA" w14:textId="77777777" w:rsidR="00EA177A" w:rsidRPr="0035297E" w:rsidRDefault="00EA177A" w:rsidP="00C704A7">
            <w:pPr>
              <w:spacing w:after="0" w:line="240" w:lineRule="auto"/>
              <w:jc w:val="right"/>
              <w:rPr>
                <w:rFonts w:eastAsia="Times New Roman" w:cs="Times New Roman"/>
                <w:iCs/>
                <w:sz w:val="18"/>
                <w:szCs w:val="18"/>
                <w:lang w:eastAsia="sk-SK"/>
              </w:rPr>
            </w:pPr>
            <w:r w:rsidRPr="0035297E">
              <w:rPr>
                <w:rFonts w:eastAsia="Times New Roman" w:cs="Times New Roman"/>
                <w:iCs/>
                <w:sz w:val="18"/>
                <w:szCs w:val="18"/>
                <w:lang w:eastAsia="sk-SK"/>
              </w:rPr>
              <w:t>5 144</w:t>
            </w:r>
          </w:p>
        </w:tc>
      </w:tr>
      <w:tr w:rsidR="00EA177A" w:rsidRPr="003E59E8" w14:paraId="05684D48" w14:textId="77777777" w:rsidTr="00C704A7">
        <w:trPr>
          <w:trHeight w:val="278"/>
        </w:trPr>
        <w:tc>
          <w:tcPr>
            <w:tcW w:w="4272" w:type="dxa"/>
            <w:tcBorders>
              <w:top w:val="nil"/>
              <w:left w:val="nil"/>
              <w:bottom w:val="single" w:sz="8" w:space="0" w:color="auto"/>
              <w:right w:val="nil"/>
            </w:tcBorders>
            <w:shd w:val="clear" w:color="auto" w:fill="auto"/>
            <w:noWrap/>
            <w:vAlign w:val="center"/>
            <w:hideMark/>
          </w:tcPr>
          <w:p w14:paraId="10F91A3B"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Spolu saldo</w:t>
            </w:r>
          </w:p>
        </w:tc>
        <w:tc>
          <w:tcPr>
            <w:tcW w:w="1059" w:type="dxa"/>
            <w:tcBorders>
              <w:top w:val="nil"/>
              <w:left w:val="nil"/>
              <w:bottom w:val="single" w:sz="8" w:space="0" w:color="auto"/>
              <w:right w:val="nil"/>
            </w:tcBorders>
            <w:shd w:val="clear" w:color="000000" w:fill="FFFFFF"/>
            <w:vAlign w:val="center"/>
            <w:hideMark/>
          </w:tcPr>
          <w:p w14:paraId="3F700048"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1 166 299</w:t>
            </w:r>
          </w:p>
        </w:tc>
        <w:tc>
          <w:tcPr>
            <w:tcW w:w="1624" w:type="dxa"/>
            <w:tcBorders>
              <w:top w:val="nil"/>
              <w:left w:val="nil"/>
              <w:bottom w:val="single" w:sz="8" w:space="0" w:color="auto"/>
              <w:right w:val="nil"/>
            </w:tcBorders>
            <w:shd w:val="clear" w:color="000000" w:fill="FFFFFF"/>
            <w:vAlign w:val="center"/>
            <w:hideMark/>
          </w:tcPr>
          <w:p w14:paraId="46C7A27F"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1 134 322</w:t>
            </w:r>
          </w:p>
        </w:tc>
        <w:tc>
          <w:tcPr>
            <w:tcW w:w="1418" w:type="dxa"/>
            <w:tcBorders>
              <w:top w:val="nil"/>
              <w:left w:val="nil"/>
              <w:bottom w:val="single" w:sz="8" w:space="0" w:color="auto"/>
              <w:right w:val="nil"/>
            </w:tcBorders>
            <w:shd w:val="clear" w:color="000000" w:fill="BFBFBF"/>
            <w:vAlign w:val="center"/>
            <w:hideMark/>
          </w:tcPr>
          <w:p w14:paraId="73B1C1E4"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1 036 908</w:t>
            </w:r>
          </w:p>
        </w:tc>
      </w:tr>
      <w:tr w:rsidR="00EA177A" w:rsidRPr="003E59E8" w14:paraId="43D3A761" w14:textId="77777777" w:rsidTr="00C704A7">
        <w:trPr>
          <w:trHeight w:val="330"/>
        </w:trPr>
        <w:tc>
          <w:tcPr>
            <w:tcW w:w="4272" w:type="dxa"/>
            <w:tcBorders>
              <w:top w:val="nil"/>
              <w:left w:val="nil"/>
              <w:bottom w:val="nil"/>
              <w:right w:val="nil"/>
            </w:tcBorders>
            <w:shd w:val="clear" w:color="auto" w:fill="auto"/>
            <w:noWrap/>
            <w:vAlign w:val="bottom"/>
            <w:hideMark/>
          </w:tcPr>
          <w:p w14:paraId="0D69639B" w14:textId="77777777" w:rsidR="00EA177A" w:rsidRPr="003E59E8" w:rsidRDefault="00EA177A" w:rsidP="00C704A7">
            <w:pPr>
              <w:spacing w:after="0" w:line="240" w:lineRule="auto"/>
              <w:jc w:val="left"/>
              <w:rPr>
                <w:rFonts w:eastAsia="Times New Roman" w:cs="Times New Roman"/>
                <w:lang w:eastAsia="sk-SK"/>
              </w:rPr>
            </w:pPr>
          </w:p>
        </w:tc>
        <w:tc>
          <w:tcPr>
            <w:tcW w:w="1059" w:type="dxa"/>
            <w:tcBorders>
              <w:top w:val="nil"/>
              <w:left w:val="nil"/>
              <w:bottom w:val="nil"/>
              <w:right w:val="nil"/>
            </w:tcBorders>
            <w:shd w:val="clear" w:color="auto" w:fill="auto"/>
            <w:noWrap/>
            <w:vAlign w:val="bottom"/>
            <w:hideMark/>
          </w:tcPr>
          <w:p w14:paraId="1F1ED760" w14:textId="77777777" w:rsidR="00EA177A" w:rsidRPr="003E59E8" w:rsidRDefault="00EA177A" w:rsidP="00C704A7">
            <w:pPr>
              <w:spacing w:after="0" w:line="240" w:lineRule="auto"/>
              <w:jc w:val="left"/>
              <w:rPr>
                <w:rFonts w:eastAsia="Times New Roman" w:cs="Times New Roman"/>
                <w:lang w:eastAsia="sk-SK"/>
              </w:rPr>
            </w:pPr>
          </w:p>
        </w:tc>
        <w:tc>
          <w:tcPr>
            <w:tcW w:w="1624" w:type="dxa"/>
            <w:tcBorders>
              <w:top w:val="nil"/>
              <w:left w:val="nil"/>
              <w:bottom w:val="nil"/>
              <w:right w:val="nil"/>
            </w:tcBorders>
            <w:shd w:val="clear" w:color="auto" w:fill="auto"/>
            <w:noWrap/>
            <w:vAlign w:val="bottom"/>
            <w:hideMark/>
          </w:tcPr>
          <w:p w14:paraId="7D393BD6" w14:textId="77777777" w:rsidR="00EA177A" w:rsidRPr="003E59E8" w:rsidRDefault="00EA177A" w:rsidP="00C704A7">
            <w:pPr>
              <w:spacing w:after="0" w:line="240" w:lineRule="auto"/>
              <w:jc w:val="left"/>
              <w:rPr>
                <w:rFonts w:eastAsia="Times New Roman" w:cs="Times New Roman"/>
                <w:lang w:eastAsia="sk-SK"/>
              </w:rPr>
            </w:pPr>
          </w:p>
        </w:tc>
        <w:tc>
          <w:tcPr>
            <w:tcW w:w="1418" w:type="dxa"/>
            <w:tcBorders>
              <w:top w:val="nil"/>
              <w:left w:val="nil"/>
              <w:bottom w:val="nil"/>
              <w:right w:val="nil"/>
            </w:tcBorders>
            <w:shd w:val="clear" w:color="auto" w:fill="auto"/>
            <w:noWrap/>
            <w:vAlign w:val="center"/>
            <w:hideMark/>
          </w:tcPr>
          <w:p w14:paraId="17B98944" w14:textId="77777777" w:rsidR="00EA177A" w:rsidRPr="003E59E8" w:rsidRDefault="00EA177A" w:rsidP="000F7527">
            <w:pPr>
              <w:spacing w:line="240" w:lineRule="auto"/>
              <w:jc w:val="right"/>
              <w:rPr>
                <w:rFonts w:eastAsia="Times New Roman" w:cs="Times New Roman"/>
                <w:sz w:val="18"/>
                <w:szCs w:val="18"/>
                <w:lang w:eastAsia="sk-SK"/>
              </w:rPr>
            </w:pPr>
            <w:r w:rsidRPr="003E59E8">
              <w:rPr>
                <w:rFonts w:eastAsia="Times New Roman" w:cs="Times New Roman"/>
                <w:sz w:val="18"/>
                <w:szCs w:val="18"/>
                <w:lang w:eastAsia="sk-SK"/>
              </w:rPr>
              <w:t>Zdroj: MF SR</w:t>
            </w:r>
          </w:p>
        </w:tc>
      </w:tr>
    </w:tbl>
    <w:p w14:paraId="29C91E7D" w14:textId="77777777" w:rsidR="00EA177A" w:rsidRPr="007B4122" w:rsidRDefault="00EA177A" w:rsidP="000F7527">
      <w:pPr>
        <w:contextualSpacing/>
        <w:rPr>
          <w:rFonts w:cs="Times New Roman"/>
        </w:rPr>
      </w:pPr>
      <w:r w:rsidRPr="00D04535">
        <w:rPr>
          <w:rFonts w:cs="Times New Roman"/>
        </w:rPr>
        <w:t xml:space="preserve">Na </w:t>
      </w:r>
      <w:r w:rsidRPr="00D04535">
        <w:rPr>
          <w:rFonts w:cs="Times New Roman"/>
          <w:i/>
          <w:u w:val="single"/>
        </w:rPr>
        <w:t>transfery obciam</w:t>
      </w:r>
      <w:r w:rsidRPr="001804A4">
        <w:rPr>
          <w:rFonts w:cs="Times New Roman"/>
          <w:i/>
        </w:rPr>
        <w:t xml:space="preserve"> </w:t>
      </w:r>
      <w:r w:rsidRPr="00D04535">
        <w:rPr>
          <w:rFonts w:cs="Times New Roman"/>
        </w:rPr>
        <w:t>bola vynaložená suma 1 199 965 tis. eur, čo je v porovnaní s rokom 2018 o 205 719 tis. eur viac. Na úhradu nákladov preneseného výkonu štátnej správy sa vyčerpalo 1 008 541 tis. eur (2018: 892 678 tis. eur). Tieto prostriedky sú kryté najmä zo zdrojov štátneho rozpočtu, a to hlavne prostredníctvom kapitoly Ministerstva vnútra SR (1 000 033 tis. eur)</w:t>
      </w:r>
      <w:r>
        <w:rPr>
          <w:rFonts w:cs="Times New Roman"/>
        </w:rPr>
        <w:t>.</w:t>
      </w:r>
      <w:r w:rsidRPr="00D04535">
        <w:rPr>
          <w:rFonts w:cs="Times New Roman"/>
        </w:rPr>
        <w:t xml:space="preserve"> </w:t>
      </w:r>
    </w:p>
    <w:p w14:paraId="55B25E0D" w14:textId="5C99443A" w:rsidR="00354633" w:rsidRPr="00354633" w:rsidRDefault="00EA177A" w:rsidP="00354633">
      <w:pPr>
        <w:rPr>
          <w:rFonts w:cs="Times New Roman"/>
          <w:b/>
          <w:i/>
        </w:rPr>
      </w:pPr>
      <w:r w:rsidRPr="00EC054F">
        <w:rPr>
          <w:b/>
          <w:i/>
        </w:rPr>
        <w:t>Podrobn</w:t>
      </w:r>
      <w:r>
        <w:rPr>
          <w:b/>
          <w:i/>
        </w:rPr>
        <w:t>ejšie</w:t>
      </w:r>
      <w:r w:rsidRPr="00EC054F">
        <w:rPr>
          <w:b/>
          <w:i/>
        </w:rPr>
        <w:t xml:space="preserve"> údaje o</w:t>
      </w:r>
      <w:r>
        <w:rPr>
          <w:b/>
          <w:i/>
        </w:rPr>
        <w:t> transferoch obciam</w:t>
      </w:r>
      <w:r w:rsidRPr="00EC054F">
        <w:rPr>
          <w:b/>
          <w:i/>
        </w:rPr>
        <w:t xml:space="preserve"> sú uvedené </w:t>
      </w:r>
      <w:r>
        <w:rPr>
          <w:b/>
          <w:i/>
        </w:rPr>
        <w:t>v časti 3.2.3. Vzť</w:t>
      </w:r>
      <w:r w:rsidR="00354633">
        <w:rPr>
          <w:b/>
          <w:i/>
        </w:rPr>
        <w:t>ahy štátneho rozpočtu k </w:t>
      </w:r>
      <w:r w:rsidR="00354633" w:rsidRPr="00354633">
        <w:rPr>
          <w:rFonts w:cs="Times New Roman"/>
          <w:b/>
          <w:i/>
        </w:rPr>
        <w:t>obciam</w:t>
      </w:r>
    </w:p>
    <w:p w14:paraId="4F3DF4A2" w14:textId="36CF084B" w:rsidR="00EA177A" w:rsidRPr="00354633" w:rsidRDefault="00EA177A" w:rsidP="00354633">
      <w:pPr>
        <w:rPr>
          <w:b/>
          <w:i/>
        </w:rPr>
      </w:pPr>
      <w:r w:rsidRPr="00354633">
        <w:rPr>
          <w:rFonts w:cs="Times New Roman"/>
          <w:i/>
          <w:u w:val="single"/>
        </w:rPr>
        <w:t>Verejným vysokým školám</w:t>
      </w:r>
      <w:r w:rsidRPr="00354633">
        <w:rPr>
          <w:rFonts w:cs="Times New Roman"/>
        </w:rPr>
        <w:t xml:space="preserve"> boli poskytnuté finančné prostriedky v sume 575 715 tis. eur (2018: 530 365 tis. eur), a to predovšetkým prostredníctvom rezortu Ministerstva školstva, vedy, výskumu</w:t>
      </w:r>
      <w:r w:rsidRPr="00D744D2">
        <w:rPr>
          <w:rFonts w:cs="Times New Roman"/>
        </w:rPr>
        <w:t xml:space="preserve"> a športu SR v sume 571 624 tis. eur. </w:t>
      </w:r>
      <w:r w:rsidRPr="00F02594">
        <w:rPr>
          <w:rFonts w:cs="Times New Roman"/>
        </w:rPr>
        <w:t>Z toho v rámci programu Vysokoškolské vzdelávanie a veda, sociálna podpora študentov vysokých škôl bola poskytnutá suma 5</w:t>
      </w:r>
      <w:r w:rsidRPr="00AB6556">
        <w:rPr>
          <w:rFonts w:cs="Times New Roman"/>
        </w:rPr>
        <w:t>43 </w:t>
      </w:r>
      <w:r w:rsidRPr="00541E46">
        <w:rPr>
          <w:rFonts w:cs="Times New Roman"/>
        </w:rPr>
        <w:t>874 tis. eur na uskutočňovanie akreditovaných študijných programov, na výskumnú vývojovú alebo umeleckú činnosť, na rozvoj škôl a sociálnu podporu študentov. V</w:t>
      </w:r>
      <w:r w:rsidRPr="00D744D2">
        <w:rPr>
          <w:rFonts w:cs="Times New Roman"/>
        </w:rPr>
        <w:t xml:space="preserve"> rámci programu Národný program rozvoja vedy a techniky bolo poskytnutých </w:t>
      </w:r>
      <w:r w:rsidRPr="00AB6556">
        <w:rPr>
          <w:rFonts w:cs="Times New Roman"/>
        </w:rPr>
        <w:t xml:space="preserve">24 580 tis. eur. </w:t>
      </w:r>
    </w:p>
    <w:p w14:paraId="16DEBE66" w14:textId="77777777" w:rsidR="00EA177A" w:rsidRPr="00702A78" w:rsidRDefault="00EA177A" w:rsidP="00EA177A">
      <w:pPr>
        <w:spacing w:before="120"/>
        <w:contextualSpacing/>
        <w:rPr>
          <w:rFonts w:cs="Times New Roman"/>
        </w:rPr>
      </w:pPr>
      <w:r w:rsidRPr="00D744D2">
        <w:rPr>
          <w:i/>
          <w:u w:val="single"/>
        </w:rPr>
        <w:t xml:space="preserve">Transfery vyšším územným celkom </w:t>
      </w:r>
      <w:r w:rsidRPr="00D744D2">
        <w:t xml:space="preserve">dosiahli úhrnom </w:t>
      </w:r>
      <w:r w:rsidRPr="00D744D2">
        <w:rPr>
          <w:rFonts w:cs="Times New Roman"/>
        </w:rPr>
        <w:t xml:space="preserve">478 070 tis. eur, z toho na úhradu nákladov preneseného výkonu štátnej správy sa vyčerpalo 471 446 tis. eur a na ostatné transfery sa použilo </w:t>
      </w:r>
      <w:r w:rsidRPr="00702A78">
        <w:rPr>
          <w:rFonts w:cs="Times New Roman"/>
        </w:rPr>
        <w:t xml:space="preserve">6 624 tis. eur. </w:t>
      </w:r>
    </w:p>
    <w:p w14:paraId="7A3B16D5" w14:textId="77777777" w:rsidR="00EA177A" w:rsidRPr="00702A78" w:rsidRDefault="00EA177A" w:rsidP="00EA177A">
      <w:pPr>
        <w:rPr>
          <w:rFonts w:cs="Times New Roman"/>
        </w:rPr>
      </w:pPr>
      <w:r w:rsidRPr="00702A78">
        <w:rPr>
          <w:rFonts w:cs="Times New Roman"/>
          <w:b/>
          <w:i/>
        </w:rPr>
        <w:t>Podrobnejšie údaje o transferoch vyšším územným celkom sú uvedené v časti 3.2.4. Vzťahy štátneho rozpočtu k vyšším územným celkom.</w:t>
      </w:r>
    </w:p>
    <w:p w14:paraId="47E7EA08" w14:textId="62B33D29" w:rsidR="00EA177A" w:rsidRPr="0004141F" w:rsidRDefault="00EA177A" w:rsidP="00EA177A">
      <w:r w:rsidRPr="00D744D2">
        <w:rPr>
          <w:i/>
          <w:u w:val="single"/>
        </w:rPr>
        <w:t>Príspevkovým organizáciám</w:t>
      </w:r>
      <w:r w:rsidRPr="00D744D2">
        <w:t xml:space="preserve"> sa poukázali rozpočtové prostriedky vo výške</w:t>
      </w:r>
      <w:r w:rsidRPr="00D744D2">
        <w:rPr>
          <w:color w:val="FF0000"/>
        </w:rPr>
        <w:t xml:space="preserve"> </w:t>
      </w:r>
      <w:r w:rsidRPr="00B500C6">
        <w:t>429 442 tis. eur</w:t>
      </w:r>
      <w:r w:rsidRPr="00D744D2">
        <w:rPr>
          <w:color w:val="FF0000"/>
        </w:rPr>
        <w:t xml:space="preserve"> </w:t>
      </w:r>
      <w:r w:rsidRPr="00D744D2">
        <w:t>(2018: 375 348 tis. eur), pričom ide o čerpanie prostriedkov príspevkových organizácií ústrednej správy, ktoré sú v gescii jednotlivých ministerstiev. Bežnými transfermi sa spolufinancuje činnosť štátnych príspevkových organizácií v oblasti kultúry, školstva, vedy a výskumu či zdravotníctva. Skutočné čerpanie transferov príspevkovým organizáciám bolo oproti schválenému rozpočtu vyššie o 184 883 tis. e</w:t>
      </w:r>
      <w:r w:rsidR="006E6F7D">
        <w:t>ur, na čom sa najviac podieľalo</w:t>
      </w:r>
      <w:r w:rsidR="006E6F7D">
        <w:br/>
      </w:r>
      <w:r w:rsidRPr="00D744D2">
        <w:t xml:space="preserve">Ministerstvo životného prostredia SR (o 55 487 tis. eur), Ministerstvo školstva, vedy, výskumu a športu SR (o 24 039 tis. eur), Ministerstvo kultúry SR (o 19 400 tis. eur) a Ministerstvo pôdohospodárstva a rozvoja vidieka SR (o 18 548 tis. eur). </w:t>
      </w:r>
      <w:r w:rsidR="006E6F7D">
        <w:t>Vyššie čerpanie vyplynulo najmä</w:t>
      </w:r>
      <w:r w:rsidR="006E6F7D">
        <w:br/>
      </w:r>
      <w:r w:rsidRPr="0004141F">
        <w:t>z potreby dofinancovania čin</w:t>
      </w:r>
      <w:r w:rsidRPr="007C4438">
        <w:t>ností vyplývajúcich z plánov hlavných úloh, finančného zabezpečenia povinností vyplývajúcich z osobitných predpisov, ako aj zo zmlúv o poskytnutí nenávratného finančného príspevku</w:t>
      </w:r>
      <w:r>
        <w:t xml:space="preserve"> v rámci operačných programov a</w:t>
      </w:r>
      <w:r w:rsidRPr="007C4438">
        <w:t xml:space="preserve"> z</w:t>
      </w:r>
      <w:r>
        <w:t> medzinárodných záväzkov SR.</w:t>
      </w:r>
    </w:p>
    <w:p w14:paraId="270A0A1A" w14:textId="77777777" w:rsidR="00EA177A" w:rsidRPr="00B83D32" w:rsidRDefault="00EA177A" w:rsidP="00EA177A">
      <w:pPr>
        <w:rPr>
          <w:rFonts w:cs="Times New Roman"/>
        </w:rPr>
      </w:pPr>
      <w:r w:rsidRPr="007C4438">
        <w:t>Významnou hodnotou na čerpaní týchto transferov sa podieľala kapitola Ministerstva kultúry SR</w:t>
      </w:r>
      <w:r w:rsidRPr="00D744D2">
        <w:t xml:space="preserve"> </w:t>
      </w:r>
      <w:r w:rsidRPr="007C4438">
        <w:t>v sume 97 820 tis. eur, ktorá použila prostriedky na činnosť</w:t>
      </w:r>
      <w:r w:rsidRPr="00B83D32">
        <w:t xml:space="preserve"> 24</w:t>
      </w:r>
      <w:r w:rsidRPr="00D744D2">
        <w:t xml:space="preserve"> </w:t>
      </w:r>
      <w:r w:rsidRPr="007C4438">
        <w:t>príspevkových organizácií vo svojej zriaďovateľskej pôsobnosti.</w:t>
      </w:r>
      <w:r w:rsidRPr="00D744D2">
        <w:t xml:space="preserve"> </w:t>
      </w:r>
      <w:r w:rsidRPr="007C4438">
        <w:t>Boli financované projekty</w:t>
      </w:r>
      <w:r w:rsidRPr="00D744D2">
        <w:t xml:space="preserve"> </w:t>
      </w:r>
      <w:r w:rsidRPr="00D744D2">
        <w:rPr>
          <w:rFonts w:cs="Times New Roman"/>
        </w:rPr>
        <w:t xml:space="preserve">08S - Tvorba, šírenie, ochrana a prezentácia kultúrnych hodnôt (v sume </w:t>
      </w:r>
      <w:r w:rsidRPr="007C4438">
        <w:rPr>
          <w:rFonts w:cs="Times New Roman"/>
        </w:rPr>
        <w:t>12 412 tis. eur)</w:t>
      </w:r>
      <w:r w:rsidRPr="007C4438">
        <w:t xml:space="preserve">, </w:t>
      </w:r>
      <w:r w:rsidRPr="00B83D32">
        <w:rPr>
          <w:rFonts w:cs="Times New Roman"/>
        </w:rPr>
        <w:t>n</w:t>
      </w:r>
      <w:r w:rsidRPr="00D744D2">
        <w:rPr>
          <w:rFonts w:cs="Times New Roman"/>
        </w:rPr>
        <w:t>ajväčšia suma bola poskytnutá na zvýšenie platov zamestnancov, ďalej na dofinancovanie prevádzkových potrieb organizácií, na opravy a údržby budov, objektov a na kultúrne poukazy</w:t>
      </w:r>
      <w:r w:rsidRPr="00D744D2">
        <w:rPr>
          <w:rFonts w:ascii="Calibri" w:hAnsi="Calibri"/>
        </w:rPr>
        <w:t xml:space="preserve">. </w:t>
      </w:r>
      <w:r w:rsidRPr="00D744D2">
        <w:rPr>
          <w:rFonts w:cs="Times New Roman"/>
        </w:rPr>
        <w:t xml:space="preserve">Projekt 08T - Tvorba a implementácia politík, prostredníctvom ktorého bolo financované zabezpečenie osláv 75. výročia SNP, zabezpečenie 30. výročia Novembra "89" a zabezpečenie prípravy a realizácie podujatí a aktivít k významným výročiam. </w:t>
      </w:r>
    </w:p>
    <w:p w14:paraId="47324F14" w14:textId="6373728F" w:rsidR="00EA177A" w:rsidRPr="005B2F6B" w:rsidRDefault="00EA177A" w:rsidP="00EA177A">
      <w:r w:rsidRPr="00B83D32">
        <w:t>Kapitola Ministerstva životného prostredia SR čerpala sumu</w:t>
      </w:r>
      <w:r w:rsidRPr="00D744D2">
        <w:t xml:space="preserve"> </w:t>
      </w:r>
      <w:r w:rsidRPr="00B83D32">
        <w:t>82 298</w:t>
      </w:r>
      <w:r w:rsidRPr="005B2F6B">
        <w:t xml:space="preserve"> tis. eur. </w:t>
      </w:r>
      <w:r w:rsidRPr="005B2F6B">
        <w:rPr>
          <w:rFonts w:cs="Times New Roman"/>
        </w:rPr>
        <w:t>Tieto finančné prostriedky boli určené najmä ako príspevok na činnosť príspevkovým organizáciám v pôsobnosti kapitoly, ako sú Štátna ochrana prírody, Slovenská agentúra životného prostredia, Výskumný ús</w:t>
      </w:r>
      <w:r>
        <w:rPr>
          <w:rFonts w:cs="Times New Roman"/>
        </w:rPr>
        <w:t>tav vodného hospodárstva a iným. Ďalšie prostriedky boli poskytnuté v rámci Operačného programu kvalita životného prostredia. Najväčšími príjemcami boli Slovenská inovačná a energetická agentúra (20 180 tis. eur), Slovenská agentúra životného prostredia (13 733 tis. eur) a Štátny geologický ústav Dionýza Štúra (3 165 tis. eur).</w:t>
      </w:r>
      <w:r>
        <w:t xml:space="preserve"> </w:t>
      </w:r>
      <w:r>
        <w:rPr>
          <w:rFonts w:cs="Times New Roman"/>
        </w:rPr>
        <w:t>Skutočné čerpanie bolo oproti schválenému rozpočtu o 55 487 tis. eur vyššie. Navýšenie výdavkov s</w:t>
      </w:r>
      <w:r w:rsidR="00354633">
        <w:rPr>
          <w:rFonts w:cs="Times New Roman"/>
        </w:rPr>
        <w:t>úviselo taktiež</w:t>
      </w:r>
      <w:r w:rsidR="00354633">
        <w:rPr>
          <w:rFonts w:cs="Times New Roman"/>
        </w:rPr>
        <w:br/>
      </w:r>
      <w:r>
        <w:rPr>
          <w:rFonts w:cs="Times New Roman"/>
        </w:rPr>
        <w:t>aj s poskytnutím finančných prostriedkov na rozpočtovo nezabezpečené úlohy, na udržateľnosť projektov a na valorizáciu miezd.</w:t>
      </w:r>
    </w:p>
    <w:p w14:paraId="70107E9D" w14:textId="77777777" w:rsidR="00EA177A" w:rsidRPr="00457435" w:rsidRDefault="00EA177A" w:rsidP="00EA177A">
      <w:pPr>
        <w:rPr>
          <w:rFonts w:cs="Times New Roman"/>
        </w:rPr>
      </w:pPr>
      <w:r>
        <w:rPr>
          <w:rFonts w:cs="Times New Roman"/>
        </w:rPr>
        <w:t>Slovensk</w:t>
      </w:r>
      <w:r w:rsidRPr="00D744D2">
        <w:rPr>
          <w:rFonts w:cs="Times New Roman"/>
        </w:rPr>
        <w:t>á</w:t>
      </w:r>
      <w:r w:rsidRPr="00457435">
        <w:rPr>
          <w:rFonts w:cs="Times New Roman"/>
        </w:rPr>
        <w:t xml:space="preserve"> akadémi</w:t>
      </w:r>
      <w:r w:rsidRPr="00D744D2">
        <w:rPr>
          <w:rFonts w:cs="Times New Roman"/>
        </w:rPr>
        <w:t>a</w:t>
      </w:r>
      <w:r w:rsidRPr="00457435">
        <w:rPr>
          <w:rFonts w:cs="Times New Roman"/>
        </w:rPr>
        <w:t xml:space="preserve"> vied </w:t>
      </w:r>
      <w:r w:rsidRPr="00D744D2">
        <w:rPr>
          <w:rFonts w:cs="Times New Roman"/>
        </w:rPr>
        <w:t>poukázala</w:t>
      </w:r>
      <w:r w:rsidRPr="00457435">
        <w:rPr>
          <w:rFonts w:cs="Times New Roman"/>
          <w:sz w:val="24"/>
          <w:szCs w:val="24"/>
        </w:rPr>
        <w:t xml:space="preserve"> </w:t>
      </w:r>
      <w:r w:rsidRPr="00457435">
        <w:rPr>
          <w:rFonts w:cs="Times New Roman"/>
        </w:rPr>
        <w:t>finančné prostriedky v sume 52 303 tis. eur</w:t>
      </w:r>
      <w:r w:rsidRPr="00DD3AE5">
        <w:rPr>
          <w:rFonts w:cs="Times New Roman"/>
        </w:rPr>
        <w:t xml:space="preserve">, </w:t>
      </w:r>
      <w:r w:rsidRPr="00A30984">
        <w:rPr>
          <w:rFonts w:cs="Times New Roman"/>
        </w:rPr>
        <w:t xml:space="preserve">najmä </w:t>
      </w:r>
      <w:r w:rsidRPr="00D744D2">
        <w:rPr>
          <w:rFonts w:cs="Times New Roman"/>
        </w:rPr>
        <w:t>na výdavky súvisiace s bežnou prevádzkou príspevkových organizácií vo svojej zriaďovateľskej pôsobnosti</w:t>
      </w:r>
      <w:r w:rsidRPr="00457435">
        <w:rPr>
          <w:rFonts w:cs="Times New Roman"/>
        </w:rPr>
        <w:t xml:space="preserve"> </w:t>
      </w:r>
      <w:r w:rsidRPr="00D744D2">
        <w:rPr>
          <w:rFonts w:cs="Times New Roman"/>
        </w:rPr>
        <w:t>(51 918 tis. eur). Išlo najmä o transfery Biomedicínskemu centru Slovenskej akadémie vied (6 787 tis. eur),</w:t>
      </w:r>
      <w:r w:rsidRPr="00D744D2">
        <w:rPr>
          <w:rFonts w:ascii="Arial" w:hAnsi="Arial" w:cs="Arial"/>
          <w:sz w:val="14"/>
          <w:szCs w:val="14"/>
        </w:rPr>
        <w:t xml:space="preserve"> </w:t>
      </w:r>
      <w:r w:rsidRPr="00D744D2">
        <w:rPr>
          <w:rFonts w:cs="Times New Roman"/>
        </w:rPr>
        <w:t>Centru spoločných činností Slovenskej akadémie vied (5 324 tis. eur), Chemickému ústavu Slovenskej akadémie vied (2 786 tis. eur), Centru experimentálnej medicíny Slovenskej akadémie vied (2 751 tis. eur) a ostatným príspevkovým organizáciám, ktorých je zriaďovateľom.</w:t>
      </w:r>
    </w:p>
    <w:p w14:paraId="2A98549A" w14:textId="113E3496" w:rsidR="004C2D7E" w:rsidRDefault="00EA177A" w:rsidP="006E6F7D">
      <w:pPr>
        <w:rPr>
          <w:rFonts w:cs="Times New Roman"/>
        </w:rPr>
      </w:pPr>
      <w:r w:rsidRPr="00457435">
        <w:t>Ministerstvo zdravotníctva SR</w:t>
      </w:r>
      <w:r w:rsidRPr="00DD3AE5">
        <w:rPr>
          <w:b/>
        </w:rPr>
        <w:t xml:space="preserve"> </w:t>
      </w:r>
      <w:r w:rsidRPr="00621CA3">
        <w:t>poukázalo príspevkovým organizáciám sumu</w:t>
      </w:r>
      <w:r w:rsidRPr="00D744D2">
        <w:t xml:space="preserve"> </w:t>
      </w:r>
      <w:r w:rsidRPr="00457435">
        <w:t>50</w:t>
      </w:r>
      <w:r w:rsidRPr="00DD3AE5">
        <w:t> </w:t>
      </w:r>
      <w:r w:rsidRPr="00621CA3">
        <w:t>338</w:t>
      </w:r>
      <w:r w:rsidRPr="00D61DC5">
        <w:t> tis. eur,</w:t>
      </w:r>
      <w:r w:rsidRPr="00D744D2">
        <w:t xml:space="preserve"> </w:t>
      </w:r>
      <w:r w:rsidRPr="00457435">
        <w:t>napríklad pre Národné centrum zdravotníckych informácií, Operačné stre</w:t>
      </w:r>
      <w:r>
        <w:t xml:space="preserve">disko záchrannej zdravotnej služby SR, Národnú transplantačnú organizáciu, Slovenskú zdravotnícku univerzitu a Centrum pre liečbu drogových závislostí v Bratislave. Išlo o činnosť výučbovej základne, činnosť Národných referenčných centier a Slovenského ústredia radiačnej a monitorovacej siete. </w:t>
      </w:r>
      <w:r w:rsidR="004C2D7E">
        <w:rPr>
          <w:rFonts w:cs="Times New Roman"/>
        </w:rPr>
        <w:br w:type="page"/>
      </w:r>
    </w:p>
    <w:p w14:paraId="0FE508E8" w14:textId="7E8AB6EB" w:rsidR="00EA177A" w:rsidRPr="00D61DC5" w:rsidRDefault="00EA177A" w:rsidP="00EA177A">
      <w:r w:rsidRPr="00621CA3">
        <w:rPr>
          <w:rFonts w:cs="Times New Roman"/>
        </w:rPr>
        <w:t xml:space="preserve">Kapitola Ministerstva dopravy a výstavby SR poskytla transfery </w:t>
      </w:r>
      <w:r w:rsidRPr="00354633">
        <w:rPr>
          <w:rFonts w:cs="Times New Roman"/>
          <w:i/>
          <w:u w:val="single"/>
        </w:rPr>
        <w:t>Železniciam SR</w:t>
      </w:r>
      <w:r w:rsidRPr="00A30984">
        <w:rPr>
          <w:rFonts w:cs="Times New Roman"/>
          <w:b/>
        </w:rPr>
        <w:t xml:space="preserve"> </w:t>
      </w:r>
      <w:r w:rsidRPr="002C5E7D">
        <w:rPr>
          <w:rFonts w:cs="Times New Roman"/>
        </w:rPr>
        <w:t xml:space="preserve">v sume </w:t>
      </w:r>
      <w:r>
        <w:rPr>
          <w:rFonts w:cs="Times New Roman"/>
        </w:rPr>
        <w:t xml:space="preserve">317 550 tis. eur, čo je o 45 050 tis. eur viac oproti schválenému rozpočtu. Finančné prostriedky boli použité v rámci podprogramu Podpora verejných služieb a prevádzkovanie dráh (317 450 tis. eur), z toho na prevádzkovanie železničnej infraštruktúry na roky 2017-2021 (290 950 tis. eur), na kompenzáciu finančných dopadov spojených so znížením úhrad za prístup k železničnej infraštruktúre pre železničných nákladných dopravcov (26 500 tis. eur). </w:t>
      </w:r>
    </w:p>
    <w:p w14:paraId="60936B5F" w14:textId="1A7422D4" w:rsidR="00EA177A" w:rsidRPr="002C5E7D" w:rsidRDefault="00EA177A" w:rsidP="00EA177A">
      <w:pPr>
        <w:rPr>
          <w:rFonts w:cs="Times New Roman"/>
          <w:sz w:val="20"/>
          <w:szCs w:val="20"/>
        </w:rPr>
      </w:pPr>
      <w:r w:rsidRPr="00D744D2">
        <w:rPr>
          <w:rFonts w:cs="Times New Roman"/>
        </w:rPr>
        <w:t xml:space="preserve">Ďalej </w:t>
      </w:r>
      <w:r>
        <w:rPr>
          <w:rFonts w:cs="Times New Roman"/>
        </w:rPr>
        <w:t xml:space="preserve">boli poskytnuté bežné transfery </w:t>
      </w:r>
      <w:r w:rsidRPr="00354633">
        <w:rPr>
          <w:rFonts w:cs="Times New Roman"/>
          <w:i/>
          <w:iCs/>
          <w:u w:val="single"/>
        </w:rPr>
        <w:t>Železničnej spoločnosti Slovensko, a.</w:t>
      </w:r>
      <w:r w:rsidR="006E6F7D">
        <w:rPr>
          <w:rFonts w:cs="Times New Roman"/>
          <w:i/>
          <w:iCs/>
          <w:u w:val="single"/>
        </w:rPr>
        <w:t xml:space="preserve"> </w:t>
      </w:r>
      <w:r w:rsidRPr="00354633">
        <w:rPr>
          <w:rFonts w:cs="Times New Roman"/>
          <w:i/>
          <w:iCs/>
          <w:u w:val="single"/>
        </w:rPr>
        <w:t>s.</w:t>
      </w:r>
      <w:r w:rsidRPr="00D744D2">
        <w:rPr>
          <w:rFonts w:cs="Times New Roman"/>
          <w:i/>
          <w:iCs/>
        </w:rPr>
        <w:t>,</w:t>
      </w:r>
      <w:r>
        <w:rPr>
          <w:rFonts w:cs="Times New Roman"/>
        </w:rPr>
        <w:t xml:space="preserve"> v sume </w:t>
      </w:r>
      <w:r w:rsidRPr="00D744D2">
        <w:rPr>
          <w:rFonts w:cs="Times New Roman"/>
        </w:rPr>
        <w:t>264 361 tis. eur,</w:t>
      </w:r>
      <w:r w:rsidRPr="002C5E7D">
        <w:rPr>
          <w:rFonts w:cs="Times New Roman"/>
        </w:rPr>
        <w:t xml:space="preserve"> čo je o 45 652 tis. eur viac oproti schválenému rozpočtu. Tieto finančné prostriedky boli použité v</w:t>
      </w:r>
      <w:r>
        <w:rPr>
          <w:rFonts w:cs="Times New Roman"/>
        </w:rPr>
        <w:t xml:space="preserve"> zmysle Zmluvy o dopravných službách vo verejnom záujme pri prevádzkovaní osobnej dopravy (226 229 tis. eur) a na úhradu oprávnených nákladov </w:t>
      </w:r>
      <w:r>
        <w:rPr>
          <w:rFonts w:eastAsia="Times New Roman" w:cs="Times New Roman"/>
          <w:lang w:eastAsia="sk-SK"/>
        </w:rPr>
        <w:t>na základe rozpočtového opatrenia</w:t>
      </w:r>
      <w:r w:rsidRPr="00D744D2">
        <w:rPr>
          <w:rFonts w:eastAsia="Times New Roman" w:cs="Times New Roman"/>
          <w:color w:val="FF0000"/>
          <w:lang w:eastAsia="sk-SK"/>
        </w:rPr>
        <w:t xml:space="preserve"> </w:t>
      </w:r>
      <w:r w:rsidRPr="00B500C6">
        <w:rPr>
          <w:rFonts w:eastAsia="Times New Roman" w:cs="Times New Roman"/>
          <w:lang w:eastAsia="sk-SK"/>
        </w:rPr>
        <w:t>Ministerstva financií</w:t>
      </w:r>
      <w:r w:rsidRPr="002C5E7D">
        <w:rPr>
          <w:rFonts w:eastAsia="Times New Roman" w:cs="Times New Roman"/>
          <w:lang w:eastAsia="sk-SK"/>
        </w:rPr>
        <w:t xml:space="preserve"> SR č. 25/2019, ako úhrada za nekrytú stratu za dopravné služby vo verejnom zá</w:t>
      </w:r>
      <w:r>
        <w:rPr>
          <w:rFonts w:eastAsia="Times New Roman" w:cs="Times New Roman"/>
          <w:lang w:eastAsia="sk-SK"/>
        </w:rPr>
        <w:t>ujme za rok 2017 (38 116 tis. </w:t>
      </w:r>
      <w:r w:rsidRPr="002C5E7D">
        <w:rPr>
          <w:rFonts w:eastAsia="Times New Roman" w:cs="Times New Roman"/>
          <w:lang w:eastAsia="sk-SK"/>
        </w:rPr>
        <w:t xml:space="preserve">eur). </w:t>
      </w:r>
    </w:p>
    <w:p w14:paraId="128AF31B" w14:textId="77777777" w:rsidR="00EA177A" w:rsidRPr="00081586" w:rsidRDefault="00EA177A" w:rsidP="00EA177A">
      <w:r w:rsidRPr="001C05B4">
        <w:t xml:space="preserve">Na transfery </w:t>
      </w:r>
      <w:r w:rsidRPr="00354633">
        <w:rPr>
          <w:i/>
          <w:u w:val="single"/>
        </w:rPr>
        <w:t>štátnym účelovým fondom</w:t>
      </w:r>
      <w:r w:rsidRPr="00D81EB7">
        <w:t xml:space="preserve"> sa vyčerpalo</w:t>
      </w:r>
      <w:r w:rsidRPr="00D744D2">
        <w:t xml:space="preserve"> </w:t>
      </w:r>
      <w:r w:rsidRPr="001C05B4">
        <w:t>150 </w:t>
      </w:r>
      <w:r w:rsidRPr="00D81EB7">
        <w:t>552</w:t>
      </w:r>
      <w:r w:rsidRPr="00081586">
        <w:t> tis. eur</w:t>
      </w:r>
      <w:r w:rsidRPr="00D744D2">
        <w:t xml:space="preserve"> </w:t>
      </w:r>
      <w:r w:rsidRPr="001C05B4">
        <w:t>(2018: 1</w:t>
      </w:r>
      <w:r w:rsidRPr="00D81EB7">
        <w:t>52</w:t>
      </w:r>
      <w:r w:rsidRPr="00081586">
        <w:t> 081 tis. eur), z toho Ministerstvo pôdohospodárstva a rozvoja vidieka SR</w:t>
      </w:r>
      <w:r>
        <w:t xml:space="preserve"> čerpalo úhrnom 66 325 tis. eur. </w:t>
      </w:r>
      <w:r>
        <w:rPr>
          <w:rFonts w:cs="Times New Roman"/>
        </w:rPr>
        <w:t xml:space="preserve">V rámci Integrovaného regionálneho operačného programu 2014-2020 </w:t>
      </w:r>
      <w:r>
        <w:t>poukázalo</w:t>
      </w:r>
      <w:r>
        <w:rPr>
          <w:rFonts w:cs="Times New Roman"/>
        </w:rPr>
        <w:t xml:space="preserve"> 54 044 tis. eur za zdroj EÚ a 12 281 tis. eur za zdroj štátneho rozpočtu. Išlo o prevod 3. a 4. tranže pre Štátny fond rozvoja bývania v rámci prioritnej osi Zlepšenie kvality života v regiónoch s dôrazom na životné prostredie - špecifického cieľa Zvýšenie energetickej efektívnosti bytových domov. </w:t>
      </w:r>
      <w:r w:rsidRPr="00081586">
        <w:t>Ministerstvo hospodárstva SR čerpalo sumu 59 227</w:t>
      </w:r>
      <w:r w:rsidRPr="00324D3C">
        <w:t> tis. eur a najvýznamnejšiu</w:t>
      </w:r>
      <w:r w:rsidRPr="00D744D2">
        <w:t xml:space="preserve"> </w:t>
      </w:r>
      <w:r w:rsidRPr="00081586">
        <w:t>časť finančných prostriedkov poukázalo Národnému jadrovému fondu (58 903 tis. eur) z odvodov</w:t>
      </w:r>
      <w:r w:rsidRPr="00D744D2">
        <w:t xml:space="preserve"> </w:t>
      </w:r>
      <w:r w:rsidRPr="00081586">
        <w:t>od prevádzkovateľov prenosových a distribučných sústav</w:t>
      </w:r>
      <w:r w:rsidRPr="00D744D2">
        <w:t xml:space="preserve"> </w:t>
      </w:r>
      <w:r w:rsidRPr="00081586">
        <w:t>v zmysle zákona č. 308/2018 Z</w:t>
      </w:r>
      <w:r>
        <w:t>.</w:t>
      </w:r>
      <w:r w:rsidRPr="00081586">
        <w:t> z.</w:t>
      </w:r>
      <w:r w:rsidRPr="00D744D2">
        <w:t xml:space="preserve"> </w:t>
      </w:r>
      <w:r w:rsidRPr="00081586">
        <w:rPr>
          <w:rFonts w:cs="Times New Roman"/>
        </w:rPr>
        <w:t>o Národnom jadrovom fonde.</w:t>
      </w:r>
      <w:r w:rsidRPr="00D744D2">
        <w:t xml:space="preserve"> </w:t>
      </w:r>
      <w:r w:rsidRPr="00081586">
        <w:t>Ministerstvo dopravy a výstavby SR poskytlo Štátnemu fondu rozvoja bývania 25 000 tis. eur</w:t>
      </w:r>
      <w:r w:rsidRPr="00D744D2">
        <w:t xml:space="preserve">, </w:t>
      </w:r>
      <w:r w:rsidRPr="00081586">
        <w:t>ktorý tieto finančné prostriedky použil v zmysle zákona</w:t>
      </w:r>
      <w:r>
        <w:br/>
      </w:r>
      <w:r w:rsidRPr="00081586">
        <w:t>č. 150/2013 Z. z. o Štátnom fonde rozvoje bývania a §</w:t>
      </w:r>
      <w:r w:rsidRPr="00D744D2">
        <w:t xml:space="preserve"> </w:t>
      </w:r>
      <w:r w:rsidRPr="00081586">
        <w:t>5 zákona o rozpočtových pravidlách</w:t>
      </w:r>
      <w:r w:rsidRPr="00D744D2">
        <w:t xml:space="preserve"> </w:t>
      </w:r>
      <w:r w:rsidRPr="00081586">
        <w:t>najmä na</w:t>
      </w:r>
      <w:r w:rsidRPr="00324D3C">
        <w:t xml:space="preserve"> zlepšenie kvality života v reg</w:t>
      </w:r>
      <w:r>
        <w:t xml:space="preserve">iónoch, s ohľadom na životné prostredie a </w:t>
      </w:r>
      <w:r>
        <w:rPr>
          <w:rFonts w:cs="Times New Roman"/>
        </w:rPr>
        <w:t>na financovanie obnovy bytových budov.</w:t>
      </w:r>
    </w:p>
    <w:p w14:paraId="779D133E" w14:textId="77777777" w:rsidR="00EA177A" w:rsidRPr="00324D3C" w:rsidRDefault="00EA177A" w:rsidP="00EA177A">
      <w:r>
        <w:rPr>
          <w:b/>
        </w:rPr>
        <w:t>T</w:t>
      </w:r>
      <w:r w:rsidRPr="008B7CF2">
        <w:rPr>
          <w:b/>
        </w:rPr>
        <w:t xml:space="preserve">ransfery jednotlivcom a neziskovým právnickým osobám </w:t>
      </w:r>
      <w:r>
        <w:t>boli</w:t>
      </w:r>
      <w:r w:rsidRPr="005C2029">
        <w:t xml:space="preserve"> rozpočtovan</w:t>
      </w:r>
      <w:r>
        <w:t>é vo výške</w:t>
      </w:r>
      <w:r w:rsidRPr="00D744D2">
        <w:t xml:space="preserve"> </w:t>
      </w:r>
      <w:r w:rsidRPr="00324D3C">
        <w:t>3 8</w:t>
      </w:r>
      <w:r w:rsidRPr="008B7CF2">
        <w:t>90 4</w:t>
      </w:r>
      <w:r w:rsidRPr="005C2029">
        <w:t>60</w:t>
      </w:r>
      <w:r>
        <w:t xml:space="preserve"> tis. eur a ich skutočné čerpanie predstavovalo 4 002 928 tis. eur, a to najmä na platby vo forme príspevkov, dávok, dôchodkov, odstupného, členského a štipendií. </w:t>
      </w:r>
    </w:p>
    <w:tbl>
      <w:tblPr>
        <w:tblW w:w="8539" w:type="dxa"/>
        <w:tblInd w:w="56" w:type="dxa"/>
        <w:tblCellMar>
          <w:left w:w="70" w:type="dxa"/>
          <w:right w:w="70" w:type="dxa"/>
        </w:tblCellMar>
        <w:tblLook w:val="04A0" w:firstRow="1" w:lastRow="0" w:firstColumn="1" w:lastColumn="0" w:noHBand="0" w:noVBand="1"/>
      </w:tblPr>
      <w:tblGrid>
        <w:gridCol w:w="2779"/>
        <w:gridCol w:w="1080"/>
        <w:gridCol w:w="940"/>
        <w:gridCol w:w="1100"/>
        <w:gridCol w:w="1140"/>
        <w:gridCol w:w="860"/>
        <w:gridCol w:w="640"/>
      </w:tblGrid>
      <w:tr w:rsidR="00EA177A" w:rsidRPr="003E59E8" w14:paraId="50CEF059" w14:textId="77777777" w:rsidTr="00C704A7">
        <w:trPr>
          <w:trHeight w:val="458"/>
        </w:trPr>
        <w:tc>
          <w:tcPr>
            <w:tcW w:w="8539" w:type="dxa"/>
            <w:gridSpan w:val="7"/>
            <w:tcBorders>
              <w:top w:val="nil"/>
              <w:left w:val="nil"/>
              <w:bottom w:val="nil"/>
              <w:right w:val="nil"/>
            </w:tcBorders>
            <w:shd w:val="clear" w:color="000000" w:fill="000000"/>
            <w:vAlign w:val="center"/>
            <w:hideMark/>
          </w:tcPr>
          <w:p w14:paraId="5FF839D1"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 xml:space="preserve">Transfery jednotlivcom a neziskovým právnickým osobám </w:t>
            </w:r>
            <w:r>
              <w:rPr>
                <w:rFonts w:eastAsia="Times New Roman" w:cs="Times New Roman"/>
                <w:b/>
                <w:bCs/>
                <w:sz w:val="18"/>
                <w:szCs w:val="18"/>
                <w:lang w:eastAsia="sk-SK"/>
              </w:rPr>
              <w:t xml:space="preserve">    </w:t>
            </w:r>
            <w:r w:rsidRPr="003E59E8">
              <w:rPr>
                <w:rFonts w:eastAsia="Times New Roman" w:cs="Times New Roman"/>
                <w:b/>
                <w:bCs/>
                <w:sz w:val="18"/>
                <w:szCs w:val="18"/>
                <w:lang w:eastAsia="sk-SK"/>
              </w:rPr>
              <w:t xml:space="preserve">                                                                v tis. eur </w:t>
            </w:r>
          </w:p>
        </w:tc>
      </w:tr>
      <w:tr w:rsidR="00EA177A" w:rsidRPr="003E59E8" w14:paraId="1D565B84" w14:textId="77777777" w:rsidTr="00C704A7">
        <w:trPr>
          <w:trHeight w:val="330"/>
        </w:trPr>
        <w:tc>
          <w:tcPr>
            <w:tcW w:w="2779" w:type="dxa"/>
            <w:vMerge w:val="restart"/>
            <w:tcBorders>
              <w:top w:val="nil"/>
              <w:left w:val="nil"/>
              <w:bottom w:val="nil"/>
              <w:right w:val="nil"/>
            </w:tcBorders>
            <w:shd w:val="clear" w:color="000000" w:fill="BFBFBF"/>
            <w:vAlign w:val="center"/>
            <w:hideMark/>
          </w:tcPr>
          <w:p w14:paraId="2DE775FA"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xml:space="preserve"> </w:t>
            </w:r>
          </w:p>
        </w:tc>
        <w:tc>
          <w:tcPr>
            <w:tcW w:w="2020" w:type="dxa"/>
            <w:gridSpan w:val="2"/>
            <w:tcBorders>
              <w:top w:val="nil"/>
              <w:left w:val="nil"/>
              <w:bottom w:val="nil"/>
              <w:right w:val="nil"/>
            </w:tcBorders>
            <w:shd w:val="clear" w:color="000000" w:fill="BFBFBF"/>
            <w:noWrap/>
            <w:vAlign w:val="center"/>
            <w:hideMark/>
          </w:tcPr>
          <w:p w14:paraId="23A5C40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100" w:type="dxa"/>
            <w:tcBorders>
              <w:top w:val="nil"/>
              <w:left w:val="nil"/>
              <w:bottom w:val="nil"/>
              <w:right w:val="nil"/>
            </w:tcBorders>
            <w:shd w:val="clear" w:color="000000" w:fill="BFBFBF"/>
            <w:noWrap/>
            <w:vAlign w:val="center"/>
            <w:hideMark/>
          </w:tcPr>
          <w:p w14:paraId="295DE99B"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Rozpočet</w:t>
            </w:r>
          </w:p>
        </w:tc>
        <w:tc>
          <w:tcPr>
            <w:tcW w:w="1140" w:type="dxa"/>
            <w:tcBorders>
              <w:top w:val="nil"/>
              <w:left w:val="nil"/>
              <w:bottom w:val="nil"/>
              <w:right w:val="nil"/>
            </w:tcBorders>
            <w:shd w:val="clear" w:color="000000" w:fill="BFBFBF"/>
            <w:noWrap/>
            <w:vAlign w:val="center"/>
            <w:hideMark/>
          </w:tcPr>
          <w:p w14:paraId="12D7A77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500" w:type="dxa"/>
            <w:gridSpan w:val="2"/>
            <w:tcBorders>
              <w:top w:val="nil"/>
              <w:left w:val="nil"/>
              <w:bottom w:val="nil"/>
              <w:right w:val="nil"/>
            </w:tcBorders>
            <w:shd w:val="clear" w:color="000000" w:fill="BFBFBF"/>
            <w:noWrap/>
            <w:vAlign w:val="center"/>
            <w:hideMark/>
          </w:tcPr>
          <w:p w14:paraId="764056FF"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Rozdiel</w:t>
            </w:r>
          </w:p>
        </w:tc>
      </w:tr>
      <w:tr w:rsidR="00EA177A" w:rsidRPr="003E59E8" w14:paraId="22CAA423" w14:textId="77777777" w:rsidTr="00C704A7">
        <w:trPr>
          <w:trHeight w:val="330"/>
        </w:trPr>
        <w:tc>
          <w:tcPr>
            <w:tcW w:w="2779" w:type="dxa"/>
            <w:vMerge/>
            <w:tcBorders>
              <w:top w:val="nil"/>
              <w:left w:val="nil"/>
              <w:bottom w:val="nil"/>
              <w:right w:val="nil"/>
            </w:tcBorders>
            <w:vAlign w:val="center"/>
            <w:hideMark/>
          </w:tcPr>
          <w:p w14:paraId="15019991" w14:textId="77777777" w:rsidR="00EA177A" w:rsidRPr="003E59E8" w:rsidRDefault="00EA177A" w:rsidP="00C704A7">
            <w:pPr>
              <w:spacing w:after="0" w:line="240" w:lineRule="auto"/>
              <w:jc w:val="left"/>
              <w:rPr>
                <w:rFonts w:eastAsia="Times New Roman" w:cs="Times New Roman"/>
                <w:b/>
                <w:bCs/>
                <w:sz w:val="18"/>
                <w:szCs w:val="18"/>
                <w:lang w:eastAsia="sk-SK"/>
              </w:rPr>
            </w:pPr>
          </w:p>
        </w:tc>
        <w:tc>
          <w:tcPr>
            <w:tcW w:w="1080" w:type="dxa"/>
            <w:tcBorders>
              <w:top w:val="nil"/>
              <w:left w:val="nil"/>
              <w:bottom w:val="nil"/>
              <w:right w:val="nil"/>
            </w:tcBorders>
            <w:shd w:val="clear" w:color="000000" w:fill="BFBFBF"/>
            <w:noWrap/>
            <w:vAlign w:val="center"/>
            <w:hideMark/>
          </w:tcPr>
          <w:p w14:paraId="796D1581"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2017</w:t>
            </w:r>
          </w:p>
        </w:tc>
        <w:tc>
          <w:tcPr>
            <w:tcW w:w="940" w:type="dxa"/>
            <w:tcBorders>
              <w:top w:val="nil"/>
              <w:left w:val="nil"/>
              <w:bottom w:val="nil"/>
              <w:right w:val="nil"/>
            </w:tcBorders>
            <w:shd w:val="clear" w:color="000000" w:fill="BFBFBF"/>
            <w:noWrap/>
            <w:vAlign w:val="center"/>
            <w:hideMark/>
          </w:tcPr>
          <w:p w14:paraId="68DF0127"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2018</w:t>
            </w:r>
          </w:p>
        </w:tc>
        <w:tc>
          <w:tcPr>
            <w:tcW w:w="1100" w:type="dxa"/>
            <w:tcBorders>
              <w:top w:val="nil"/>
              <w:left w:val="nil"/>
              <w:bottom w:val="nil"/>
              <w:right w:val="nil"/>
            </w:tcBorders>
            <w:shd w:val="clear" w:color="000000" w:fill="BFBFBF"/>
            <w:noWrap/>
            <w:vAlign w:val="center"/>
            <w:hideMark/>
          </w:tcPr>
          <w:p w14:paraId="4E3C28C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1140" w:type="dxa"/>
            <w:tcBorders>
              <w:top w:val="nil"/>
              <w:left w:val="nil"/>
              <w:bottom w:val="nil"/>
              <w:right w:val="nil"/>
            </w:tcBorders>
            <w:shd w:val="clear" w:color="000000" w:fill="BFBFBF"/>
            <w:noWrap/>
            <w:vAlign w:val="center"/>
            <w:hideMark/>
          </w:tcPr>
          <w:p w14:paraId="74F564E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860" w:type="dxa"/>
            <w:tcBorders>
              <w:top w:val="nil"/>
              <w:left w:val="nil"/>
              <w:bottom w:val="nil"/>
              <w:right w:val="nil"/>
            </w:tcBorders>
            <w:shd w:val="clear" w:color="000000" w:fill="BFBFBF"/>
            <w:noWrap/>
            <w:vAlign w:val="center"/>
            <w:hideMark/>
          </w:tcPr>
          <w:p w14:paraId="052D19D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tis. eur</w:t>
            </w:r>
          </w:p>
        </w:tc>
        <w:tc>
          <w:tcPr>
            <w:tcW w:w="640" w:type="dxa"/>
            <w:tcBorders>
              <w:top w:val="nil"/>
              <w:left w:val="nil"/>
              <w:bottom w:val="nil"/>
              <w:right w:val="nil"/>
            </w:tcBorders>
            <w:shd w:val="clear" w:color="000000" w:fill="BFBFBF"/>
            <w:noWrap/>
            <w:vAlign w:val="center"/>
            <w:hideMark/>
          </w:tcPr>
          <w:p w14:paraId="2E44DC78"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w:t>
            </w:r>
          </w:p>
        </w:tc>
      </w:tr>
      <w:tr w:rsidR="00EA177A" w:rsidRPr="003E59E8" w14:paraId="5D781848" w14:textId="77777777" w:rsidTr="00C704A7">
        <w:trPr>
          <w:trHeight w:val="345"/>
        </w:trPr>
        <w:tc>
          <w:tcPr>
            <w:tcW w:w="2779" w:type="dxa"/>
            <w:tcBorders>
              <w:top w:val="nil"/>
              <w:left w:val="nil"/>
              <w:bottom w:val="single" w:sz="8" w:space="0" w:color="auto"/>
              <w:right w:val="nil"/>
            </w:tcBorders>
            <w:shd w:val="clear" w:color="000000" w:fill="BFBFBF"/>
            <w:vAlign w:val="center"/>
            <w:hideMark/>
          </w:tcPr>
          <w:p w14:paraId="5307A390"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w:t>
            </w:r>
          </w:p>
        </w:tc>
        <w:tc>
          <w:tcPr>
            <w:tcW w:w="1080" w:type="dxa"/>
            <w:tcBorders>
              <w:top w:val="nil"/>
              <w:left w:val="nil"/>
              <w:bottom w:val="single" w:sz="8" w:space="0" w:color="auto"/>
              <w:right w:val="nil"/>
            </w:tcBorders>
            <w:shd w:val="clear" w:color="000000" w:fill="BFBFBF"/>
            <w:noWrap/>
            <w:vAlign w:val="center"/>
            <w:hideMark/>
          </w:tcPr>
          <w:p w14:paraId="671AA4C6"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w:t>
            </w:r>
          </w:p>
        </w:tc>
        <w:tc>
          <w:tcPr>
            <w:tcW w:w="940" w:type="dxa"/>
            <w:tcBorders>
              <w:top w:val="nil"/>
              <w:left w:val="nil"/>
              <w:bottom w:val="single" w:sz="8" w:space="0" w:color="auto"/>
              <w:right w:val="nil"/>
            </w:tcBorders>
            <w:shd w:val="clear" w:color="000000" w:fill="BFBFBF"/>
            <w:noWrap/>
            <w:vAlign w:val="center"/>
            <w:hideMark/>
          </w:tcPr>
          <w:p w14:paraId="04303B7E"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1100" w:type="dxa"/>
            <w:tcBorders>
              <w:top w:val="nil"/>
              <w:left w:val="nil"/>
              <w:bottom w:val="single" w:sz="8" w:space="0" w:color="auto"/>
              <w:right w:val="nil"/>
            </w:tcBorders>
            <w:shd w:val="clear" w:color="000000" w:fill="BFBFBF"/>
            <w:noWrap/>
            <w:vAlign w:val="center"/>
            <w:hideMark/>
          </w:tcPr>
          <w:p w14:paraId="4966F20B"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3</w:t>
            </w:r>
          </w:p>
        </w:tc>
        <w:tc>
          <w:tcPr>
            <w:tcW w:w="1140" w:type="dxa"/>
            <w:tcBorders>
              <w:top w:val="nil"/>
              <w:left w:val="nil"/>
              <w:bottom w:val="single" w:sz="8" w:space="0" w:color="auto"/>
              <w:right w:val="nil"/>
            </w:tcBorders>
            <w:shd w:val="clear" w:color="000000" w:fill="BFBFBF"/>
            <w:noWrap/>
            <w:vAlign w:val="center"/>
            <w:hideMark/>
          </w:tcPr>
          <w:p w14:paraId="0D605C5A"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860" w:type="dxa"/>
            <w:tcBorders>
              <w:top w:val="nil"/>
              <w:left w:val="nil"/>
              <w:bottom w:val="single" w:sz="8" w:space="0" w:color="auto"/>
              <w:right w:val="nil"/>
            </w:tcBorders>
            <w:shd w:val="clear" w:color="000000" w:fill="BFBFBF"/>
            <w:noWrap/>
            <w:vAlign w:val="center"/>
            <w:hideMark/>
          </w:tcPr>
          <w:p w14:paraId="44C39FB1"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5=4-3</w:t>
            </w:r>
          </w:p>
        </w:tc>
        <w:tc>
          <w:tcPr>
            <w:tcW w:w="640" w:type="dxa"/>
            <w:tcBorders>
              <w:top w:val="nil"/>
              <w:left w:val="nil"/>
              <w:bottom w:val="single" w:sz="8" w:space="0" w:color="auto"/>
              <w:right w:val="nil"/>
            </w:tcBorders>
            <w:shd w:val="clear" w:color="000000" w:fill="BFBFBF"/>
            <w:noWrap/>
            <w:vAlign w:val="center"/>
            <w:hideMark/>
          </w:tcPr>
          <w:p w14:paraId="1FD22F95" w14:textId="77777777" w:rsidR="00EA177A" w:rsidRPr="003E59E8" w:rsidRDefault="00EA177A" w:rsidP="00C704A7">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6=4-3</w:t>
            </w:r>
          </w:p>
        </w:tc>
      </w:tr>
      <w:tr w:rsidR="00EA177A" w:rsidRPr="003E59E8" w14:paraId="254A4B8B" w14:textId="77777777" w:rsidTr="00C704A7">
        <w:trPr>
          <w:trHeight w:val="397"/>
        </w:trPr>
        <w:tc>
          <w:tcPr>
            <w:tcW w:w="2779" w:type="dxa"/>
            <w:tcBorders>
              <w:top w:val="nil"/>
              <w:left w:val="nil"/>
              <w:bottom w:val="nil"/>
              <w:right w:val="nil"/>
            </w:tcBorders>
            <w:shd w:val="clear" w:color="auto" w:fill="auto"/>
            <w:vAlign w:val="center"/>
            <w:hideMark/>
          </w:tcPr>
          <w:p w14:paraId="634861FD"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Sociálne dávky</w:t>
            </w:r>
          </w:p>
        </w:tc>
        <w:tc>
          <w:tcPr>
            <w:tcW w:w="1080" w:type="dxa"/>
            <w:tcBorders>
              <w:top w:val="nil"/>
              <w:left w:val="nil"/>
              <w:bottom w:val="nil"/>
              <w:right w:val="nil"/>
            </w:tcBorders>
            <w:shd w:val="clear" w:color="auto" w:fill="auto"/>
            <w:vAlign w:val="center"/>
            <w:hideMark/>
          </w:tcPr>
          <w:p w14:paraId="6AE40CF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1 316 774</w:t>
            </w:r>
          </w:p>
        </w:tc>
        <w:tc>
          <w:tcPr>
            <w:tcW w:w="940" w:type="dxa"/>
            <w:tcBorders>
              <w:top w:val="nil"/>
              <w:left w:val="nil"/>
              <w:bottom w:val="nil"/>
              <w:right w:val="nil"/>
            </w:tcBorders>
            <w:shd w:val="clear" w:color="000000" w:fill="FFFFFF"/>
            <w:vAlign w:val="center"/>
            <w:hideMark/>
          </w:tcPr>
          <w:p w14:paraId="49D2225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1 349 189</w:t>
            </w:r>
          </w:p>
        </w:tc>
        <w:tc>
          <w:tcPr>
            <w:tcW w:w="1100" w:type="dxa"/>
            <w:tcBorders>
              <w:top w:val="nil"/>
              <w:left w:val="nil"/>
              <w:bottom w:val="nil"/>
              <w:right w:val="nil"/>
            </w:tcBorders>
            <w:shd w:val="clear" w:color="auto" w:fill="auto"/>
            <w:vAlign w:val="center"/>
            <w:hideMark/>
          </w:tcPr>
          <w:p w14:paraId="1D7C4FE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1 457 030</w:t>
            </w:r>
          </w:p>
        </w:tc>
        <w:tc>
          <w:tcPr>
            <w:tcW w:w="1140" w:type="dxa"/>
            <w:tcBorders>
              <w:top w:val="nil"/>
              <w:left w:val="nil"/>
              <w:bottom w:val="nil"/>
              <w:right w:val="nil"/>
            </w:tcBorders>
            <w:shd w:val="clear" w:color="000000" w:fill="BFBFBF"/>
            <w:vAlign w:val="center"/>
            <w:hideMark/>
          </w:tcPr>
          <w:p w14:paraId="4511304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1 544 851</w:t>
            </w:r>
          </w:p>
        </w:tc>
        <w:tc>
          <w:tcPr>
            <w:tcW w:w="860" w:type="dxa"/>
            <w:tcBorders>
              <w:top w:val="nil"/>
              <w:left w:val="nil"/>
              <w:bottom w:val="nil"/>
              <w:right w:val="nil"/>
            </w:tcBorders>
            <w:shd w:val="clear" w:color="auto" w:fill="auto"/>
            <w:vAlign w:val="center"/>
            <w:hideMark/>
          </w:tcPr>
          <w:p w14:paraId="3F75B67C"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87 821</w:t>
            </w:r>
          </w:p>
        </w:tc>
        <w:tc>
          <w:tcPr>
            <w:tcW w:w="640" w:type="dxa"/>
            <w:tcBorders>
              <w:top w:val="nil"/>
              <w:left w:val="nil"/>
              <w:bottom w:val="nil"/>
              <w:right w:val="nil"/>
            </w:tcBorders>
            <w:shd w:val="clear" w:color="auto" w:fill="auto"/>
            <w:vAlign w:val="center"/>
            <w:hideMark/>
          </w:tcPr>
          <w:p w14:paraId="21E690B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6,0</w:t>
            </w:r>
          </w:p>
        </w:tc>
      </w:tr>
      <w:tr w:rsidR="00EA177A" w:rsidRPr="003E59E8" w14:paraId="0722A3C4" w14:textId="77777777" w:rsidTr="00C704A7">
        <w:trPr>
          <w:trHeight w:val="643"/>
        </w:trPr>
        <w:tc>
          <w:tcPr>
            <w:tcW w:w="2779" w:type="dxa"/>
            <w:tcBorders>
              <w:top w:val="nil"/>
              <w:left w:val="nil"/>
              <w:bottom w:val="nil"/>
              <w:right w:val="nil"/>
            </w:tcBorders>
            <w:shd w:val="clear" w:color="auto" w:fill="auto"/>
            <w:vAlign w:val="center"/>
            <w:hideMark/>
          </w:tcPr>
          <w:p w14:paraId="2E40DA88"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Transfery na platené poistné za s</w:t>
            </w:r>
            <w:r>
              <w:rPr>
                <w:rFonts w:eastAsia="Times New Roman" w:cs="Times New Roman"/>
                <w:sz w:val="18"/>
                <w:szCs w:val="18"/>
                <w:lang w:eastAsia="sk-SK"/>
              </w:rPr>
              <w:t>kupiny osôb ustanovené zákonom</w:t>
            </w:r>
          </w:p>
        </w:tc>
        <w:tc>
          <w:tcPr>
            <w:tcW w:w="1080" w:type="dxa"/>
            <w:tcBorders>
              <w:top w:val="nil"/>
              <w:left w:val="nil"/>
              <w:bottom w:val="nil"/>
              <w:right w:val="nil"/>
            </w:tcBorders>
            <w:shd w:val="clear" w:color="auto" w:fill="auto"/>
            <w:vAlign w:val="center"/>
            <w:hideMark/>
          </w:tcPr>
          <w:p w14:paraId="090C4E6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1 543 050</w:t>
            </w:r>
          </w:p>
        </w:tc>
        <w:tc>
          <w:tcPr>
            <w:tcW w:w="940" w:type="dxa"/>
            <w:tcBorders>
              <w:top w:val="nil"/>
              <w:left w:val="nil"/>
              <w:bottom w:val="nil"/>
              <w:right w:val="nil"/>
            </w:tcBorders>
            <w:shd w:val="clear" w:color="000000" w:fill="FFFFFF"/>
            <w:vAlign w:val="center"/>
            <w:hideMark/>
          </w:tcPr>
          <w:p w14:paraId="382790D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1 484 358</w:t>
            </w:r>
          </w:p>
        </w:tc>
        <w:tc>
          <w:tcPr>
            <w:tcW w:w="1100" w:type="dxa"/>
            <w:tcBorders>
              <w:top w:val="nil"/>
              <w:left w:val="nil"/>
              <w:bottom w:val="nil"/>
              <w:right w:val="nil"/>
            </w:tcBorders>
            <w:shd w:val="clear" w:color="auto" w:fill="auto"/>
            <w:vAlign w:val="center"/>
            <w:hideMark/>
          </w:tcPr>
          <w:p w14:paraId="60EC6B6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1 307 119</w:t>
            </w:r>
          </w:p>
        </w:tc>
        <w:tc>
          <w:tcPr>
            <w:tcW w:w="1140" w:type="dxa"/>
            <w:tcBorders>
              <w:top w:val="nil"/>
              <w:left w:val="nil"/>
              <w:bottom w:val="nil"/>
              <w:right w:val="nil"/>
            </w:tcBorders>
            <w:shd w:val="clear" w:color="000000" w:fill="BFBFBF"/>
            <w:vAlign w:val="center"/>
            <w:hideMark/>
          </w:tcPr>
          <w:p w14:paraId="68E0824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1 483 741</w:t>
            </w:r>
          </w:p>
        </w:tc>
        <w:tc>
          <w:tcPr>
            <w:tcW w:w="860" w:type="dxa"/>
            <w:tcBorders>
              <w:top w:val="nil"/>
              <w:left w:val="nil"/>
              <w:bottom w:val="nil"/>
              <w:right w:val="nil"/>
            </w:tcBorders>
            <w:shd w:val="clear" w:color="auto" w:fill="auto"/>
            <w:vAlign w:val="center"/>
            <w:hideMark/>
          </w:tcPr>
          <w:p w14:paraId="07F33C1C"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176 622</w:t>
            </w:r>
          </w:p>
        </w:tc>
        <w:tc>
          <w:tcPr>
            <w:tcW w:w="640" w:type="dxa"/>
            <w:tcBorders>
              <w:top w:val="nil"/>
              <w:left w:val="nil"/>
              <w:bottom w:val="nil"/>
              <w:right w:val="nil"/>
            </w:tcBorders>
            <w:shd w:val="clear" w:color="auto" w:fill="auto"/>
            <w:vAlign w:val="center"/>
            <w:hideMark/>
          </w:tcPr>
          <w:p w14:paraId="1955AEE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13,5</w:t>
            </w:r>
          </w:p>
        </w:tc>
      </w:tr>
      <w:tr w:rsidR="00EA177A" w:rsidRPr="003E59E8" w14:paraId="1382A4A6" w14:textId="77777777" w:rsidTr="00C704A7">
        <w:trPr>
          <w:trHeight w:val="454"/>
        </w:trPr>
        <w:tc>
          <w:tcPr>
            <w:tcW w:w="2779" w:type="dxa"/>
            <w:tcBorders>
              <w:top w:val="nil"/>
              <w:left w:val="nil"/>
              <w:bottom w:val="nil"/>
              <w:right w:val="nil"/>
            </w:tcBorders>
            <w:shd w:val="clear" w:color="auto" w:fill="auto"/>
            <w:vAlign w:val="center"/>
            <w:hideMark/>
          </w:tcPr>
          <w:p w14:paraId="56F14841" w14:textId="5E6CF7D5" w:rsidR="00EA177A" w:rsidRPr="003E59E8" w:rsidRDefault="00EA177A" w:rsidP="004C2D7E">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Transfery OZ, nadáciám, neziskovým</w:t>
            </w:r>
            <w:r>
              <w:rPr>
                <w:rFonts w:eastAsia="Times New Roman" w:cs="Times New Roman"/>
                <w:sz w:val="18"/>
                <w:szCs w:val="18"/>
                <w:lang w:eastAsia="sk-SK"/>
              </w:rPr>
              <w:t xml:space="preserve"> organizáciám, polit. stranám</w:t>
            </w:r>
            <w:r w:rsidR="004C2D7E">
              <w:rPr>
                <w:rFonts w:eastAsia="Times New Roman" w:cs="Times New Roman"/>
                <w:sz w:val="18"/>
                <w:szCs w:val="18"/>
                <w:lang w:eastAsia="sk-SK"/>
              </w:rPr>
              <w:t>...</w:t>
            </w:r>
          </w:p>
        </w:tc>
        <w:tc>
          <w:tcPr>
            <w:tcW w:w="1080" w:type="dxa"/>
            <w:tcBorders>
              <w:top w:val="nil"/>
              <w:left w:val="nil"/>
              <w:bottom w:val="nil"/>
              <w:right w:val="nil"/>
            </w:tcBorders>
            <w:shd w:val="clear" w:color="auto" w:fill="auto"/>
            <w:vAlign w:val="center"/>
            <w:hideMark/>
          </w:tcPr>
          <w:p w14:paraId="016DCC58"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372 296</w:t>
            </w:r>
          </w:p>
        </w:tc>
        <w:tc>
          <w:tcPr>
            <w:tcW w:w="940" w:type="dxa"/>
            <w:tcBorders>
              <w:top w:val="nil"/>
              <w:left w:val="nil"/>
              <w:bottom w:val="nil"/>
              <w:right w:val="nil"/>
            </w:tcBorders>
            <w:shd w:val="clear" w:color="000000" w:fill="FFFFFF"/>
            <w:vAlign w:val="center"/>
            <w:hideMark/>
          </w:tcPr>
          <w:p w14:paraId="6C45009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429 280</w:t>
            </w:r>
          </w:p>
        </w:tc>
        <w:tc>
          <w:tcPr>
            <w:tcW w:w="1100" w:type="dxa"/>
            <w:tcBorders>
              <w:top w:val="nil"/>
              <w:left w:val="nil"/>
              <w:bottom w:val="nil"/>
              <w:right w:val="nil"/>
            </w:tcBorders>
            <w:shd w:val="clear" w:color="auto" w:fill="auto"/>
            <w:vAlign w:val="center"/>
            <w:hideMark/>
          </w:tcPr>
          <w:p w14:paraId="2E33A82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443 888</w:t>
            </w:r>
          </w:p>
        </w:tc>
        <w:tc>
          <w:tcPr>
            <w:tcW w:w="1140" w:type="dxa"/>
            <w:tcBorders>
              <w:top w:val="nil"/>
              <w:left w:val="nil"/>
              <w:bottom w:val="nil"/>
              <w:right w:val="nil"/>
            </w:tcBorders>
            <w:shd w:val="clear" w:color="000000" w:fill="BFBFBF"/>
            <w:vAlign w:val="center"/>
            <w:hideMark/>
          </w:tcPr>
          <w:p w14:paraId="0EC6875C"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513 876</w:t>
            </w:r>
          </w:p>
        </w:tc>
        <w:tc>
          <w:tcPr>
            <w:tcW w:w="860" w:type="dxa"/>
            <w:tcBorders>
              <w:top w:val="nil"/>
              <w:left w:val="nil"/>
              <w:bottom w:val="nil"/>
              <w:right w:val="nil"/>
            </w:tcBorders>
            <w:shd w:val="clear" w:color="auto" w:fill="auto"/>
            <w:vAlign w:val="center"/>
            <w:hideMark/>
          </w:tcPr>
          <w:p w14:paraId="714387D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69 988</w:t>
            </w:r>
          </w:p>
        </w:tc>
        <w:tc>
          <w:tcPr>
            <w:tcW w:w="640" w:type="dxa"/>
            <w:tcBorders>
              <w:top w:val="nil"/>
              <w:left w:val="nil"/>
              <w:bottom w:val="nil"/>
              <w:right w:val="nil"/>
            </w:tcBorders>
            <w:shd w:val="clear" w:color="auto" w:fill="auto"/>
            <w:vAlign w:val="center"/>
            <w:hideMark/>
          </w:tcPr>
          <w:p w14:paraId="46BE745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15,8</w:t>
            </w:r>
          </w:p>
        </w:tc>
      </w:tr>
      <w:tr w:rsidR="00354633" w:rsidRPr="003E59E8" w14:paraId="1138C7BF" w14:textId="77777777" w:rsidTr="00E35D7C">
        <w:trPr>
          <w:trHeight w:val="458"/>
        </w:trPr>
        <w:tc>
          <w:tcPr>
            <w:tcW w:w="8539" w:type="dxa"/>
            <w:gridSpan w:val="7"/>
            <w:tcBorders>
              <w:top w:val="nil"/>
              <w:left w:val="nil"/>
              <w:bottom w:val="nil"/>
              <w:right w:val="nil"/>
            </w:tcBorders>
            <w:shd w:val="clear" w:color="000000" w:fill="000000"/>
            <w:vAlign w:val="center"/>
            <w:hideMark/>
          </w:tcPr>
          <w:p w14:paraId="5C786147" w14:textId="013476DA" w:rsidR="00354633" w:rsidRPr="003E59E8" w:rsidRDefault="00354633" w:rsidP="004C2D7E">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 xml:space="preserve">Transfery jednotlivcom a neziskovým právnickým osobám </w:t>
            </w:r>
            <w:r>
              <w:rPr>
                <w:rFonts w:eastAsia="Times New Roman" w:cs="Times New Roman"/>
                <w:b/>
                <w:bCs/>
                <w:sz w:val="18"/>
                <w:szCs w:val="18"/>
                <w:lang w:eastAsia="sk-SK"/>
              </w:rPr>
              <w:t xml:space="preserve">    - </w:t>
            </w:r>
            <w:r w:rsidR="004C2D7E">
              <w:rPr>
                <w:rFonts w:eastAsia="Times New Roman" w:cs="Times New Roman"/>
                <w:b/>
                <w:bCs/>
                <w:sz w:val="18"/>
                <w:szCs w:val="18"/>
                <w:lang w:eastAsia="sk-SK"/>
              </w:rPr>
              <w:t xml:space="preserve">  </w:t>
            </w:r>
            <w:r>
              <w:rPr>
                <w:rFonts w:eastAsia="Times New Roman" w:cs="Times New Roman"/>
                <w:b/>
                <w:bCs/>
                <w:sz w:val="18"/>
                <w:szCs w:val="18"/>
                <w:lang w:eastAsia="sk-SK"/>
              </w:rPr>
              <w:t>pokračovanie</w:t>
            </w:r>
            <w:r w:rsidRPr="003E59E8">
              <w:rPr>
                <w:rFonts w:eastAsia="Times New Roman" w:cs="Times New Roman"/>
                <w:b/>
                <w:bCs/>
                <w:sz w:val="18"/>
                <w:szCs w:val="18"/>
                <w:lang w:eastAsia="sk-SK"/>
              </w:rPr>
              <w:t xml:space="preserve">                                   v tis. eur </w:t>
            </w:r>
          </w:p>
        </w:tc>
      </w:tr>
      <w:tr w:rsidR="00354633" w:rsidRPr="003E59E8" w14:paraId="235A3D19" w14:textId="77777777" w:rsidTr="00E35D7C">
        <w:trPr>
          <w:trHeight w:val="330"/>
        </w:trPr>
        <w:tc>
          <w:tcPr>
            <w:tcW w:w="2779" w:type="dxa"/>
            <w:vMerge w:val="restart"/>
            <w:tcBorders>
              <w:top w:val="nil"/>
              <w:left w:val="nil"/>
              <w:bottom w:val="nil"/>
              <w:right w:val="nil"/>
            </w:tcBorders>
            <w:shd w:val="clear" w:color="000000" w:fill="BFBFBF"/>
            <w:vAlign w:val="center"/>
            <w:hideMark/>
          </w:tcPr>
          <w:p w14:paraId="4A53B3E4"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xml:space="preserve"> </w:t>
            </w:r>
          </w:p>
        </w:tc>
        <w:tc>
          <w:tcPr>
            <w:tcW w:w="2020" w:type="dxa"/>
            <w:gridSpan w:val="2"/>
            <w:tcBorders>
              <w:top w:val="nil"/>
              <w:left w:val="nil"/>
              <w:bottom w:val="nil"/>
              <w:right w:val="nil"/>
            </w:tcBorders>
            <w:shd w:val="clear" w:color="000000" w:fill="BFBFBF"/>
            <w:noWrap/>
            <w:vAlign w:val="center"/>
            <w:hideMark/>
          </w:tcPr>
          <w:p w14:paraId="082912F0"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100" w:type="dxa"/>
            <w:tcBorders>
              <w:top w:val="nil"/>
              <w:left w:val="nil"/>
              <w:bottom w:val="nil"/>
              <w:right w:val="nil"/>
            </w:tcBorders>
            <w:shd w:val="clear" w:color="000000" w:fill="BFBFBF"/>
            <w:noWrap/>
            <w:vAlign w:val="center"/>
            <w:hideMark/>
          </w:tcPr>
          <w:p w14:paraId="2AC84440"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Rozpočet</w:t>
            </w:r>
          </w:p>
        </w:tc>
        <w:tc>
          <w:tcPr>
            <w:tcW w:w="1140" w:type="dxa"/>
            <w:tcBorders>
              <w:top w:val="nil"/>
              <w:left w:val="nil"/>
              <w:bottom w:val="nil"/>
              <w:right w:val="nil"/>
            </w:tcBorders>
            <w:shd w:val="clear" w:color="000000" w:fill="BFBFBF"/>
            <w:noWrap/>
            <w:vAlign w:val="center"/>
            <w:hideMark/>
          </w:tcPr>
          <w:p w14:paraId="5FEF1487"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Skutočnosť</w:t>
            </w:r>
          </w:p>
        </w:tc>
        <w:tc>
          <w:tcPr>
            <w:tcW w:w="1500" w:type="dxa"/>
            <w:gridSpan w:val="2"/>
            <w:tcBorders>
              <w:top w:val="nil"/>
              <w:left w:val="nil"/>
              <w:bottom w:val="nil"/>
              <w:right w:val="nil"/>
            </w:tcBorders>
            <w:shd w:val="clear" w:color="000000" w:fill="BFBFBF"/>
            <w:noWrap/>
            <w:vAlign w:val="center"/>
            <w:hideMark/>
          </w:tcPr>
          <w:p w14:paraId="71F3719B"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Rozdiel</w:t>
            </w:r>
          </w:p>
        </w:tc>
      </w:tr>
      <w:tr w:rsidR="00354633" w:rsidRPr="003E59E8" w14:paraId="55483FA7" w14:textId="77777777" w:rsidTr="00E35D7C">
        <w:trPr>
          <w:trHeight w:val="330"/>
        </w:trPr>
        <w:tc>
          <w:tcPr>
            <w:tcW w:w="2779" w:type="dxa"/>
            <w:vMerge/>
            <w:tcBorders>
              <w:top w:val="nil"/>
              <w:left w:val="nil"/>
              <w:bottom w:val="nil"/>
              <w:right w:val="nil"/>
            </w:tcBorders>
            <w:vAlign w:val="center"/>
            <w:hideMark/>
          </w:tcPr>
          <w:p w14:paraId="57E6B03D" w14:textId="77777777" w:rsidR="00354633" w:rsidRPr="003E59E8" w:rsidRDefault="00354633" w:rsidP="00E35D7C">
            <w:pPr>
              <w:spacing w:after="0" w:line="240" w:lineRule="auto"/>
              <w:jc w:val="left"/>
              <w:rPr>
                <w:rFonts w:eastAsia="Times New Roman" w:cs="Times New Roman"/>
                <w:b/>
                <w:bCs/>
                <w:sz w:val="18"/>
                <w:szCs w:val="18"/>
                <w:lang w:eastAsia="sk-SK"/>
              </w:rPr>
            </w:pPr>
          </w:p>
        </w:tc>
        <w:tc>
          <w:tcPr>
            <w:tcW w:w="1080" w:type="dxa"/>
            <w:tcBorders>
              <w:top w:val="nil"/>
              <w:left w:val="nil"/>
              <w:bottom w:val="nil"/>
              <w:right w:val="nil"/>
            </w:tcBorders>
            <w:shd w:val="clear" w:color="000000" w:fill="BFBFBF"/>
            <w:noWrap/>
            <w:vAlign w:val="center"/>
            <w:hideMark/>
          </w:tcPr>
          <w:p w14:paraId="4803EAED"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2017</w:t>
            </w:r>
          </w:p>
        </w:tc>
        <w:tc>
          <w:tcPr>
            <w:tcW w:w="940" w:type="dxa"/>
            <w:tcBorders>
              <w:top w:val="nil"/>
              <w:left w:val="nil"/>
              <w:bottom w:val="nil"/>
              <w:right w:val="nil"/>
            </w:tcBorders>
            <w:shd w:val="clear" w:color="000000" w:fill="BFBFBF"/>
            <w:noWrap/>
            <w:vAlign w:val="center"/>
            <w:hideMark/>
          </w:tcPr>
          <w:p w14:paraId="59586CF9"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2018</w:t>
            </w:r>
          </w:p>
        </w:tc>
        <w:tc>
          <w:tcPr>
            <w:tcW w:w="1100" w:type="dxa"/>
            <w:tcBorders>
              <w:top w:val="nil"/>
              <w:left w:val="nil"/>
              <w:bottom w:val="nil"/>
              <w:right w:val="nil"/>
            </w:tcBorders>
            <w:shd w:val="clear" w:color="000000" w:fill="BFBFBF"/>
            <w:noWrap/>
            <w:vAlign w:val="center"/>
            <w:hideMark/>
          </w:tcPr>
          <w:p w14:paraId="3059755C"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1140" w:type="dxa"/>
            <w:tcBorders>
              <w:top w:val="nil"/>
              <w:left w:val="nil"/>
              <w:bottom w:val="nil"/>
              <w:right w:val="nil"/>
            </w:tcBorders>
            <w:shd w:val="clear" w:color="000000" w:fill="BFBFBF"/>
            <w:noWrap/>
            <w:vAlign w:val="center"/>
            <w:hideMark/>
          </w:tcPr>
          <w:p w14:paraId="72F80949"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2019</w:t>
            </w:r>
          </w:p>
        </w:tc>
        <w:tc>
          <w:tcPr>
            <w:tcW w:w="860" w:type="dxa"/>
            <w:tcBorders>
              <w:top w:val="nil"/>
              <w:left w:val="nil"/>
              <w:bottom w:val="nil"/>
              <w:right w:val="nil"/>
            </w:tcBorders>
            <w:shd w:val="clear" w:color="000000" w:fill="BFBFBF"/>
            <w:noWrap/>
            <w:vAlign w:val="center"/>
            <w:hideMark/>
          </w:tcPr>
          <w:p w14:paraId="30891E92"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tis. eur</w:t>
            </w:r>
          </w:p>
        </w:tc>
        <w:tc>
          <w:tcPr>
            <w:tcW w:w="640" w:type="dxa"/>
            <w:tcBorders>
              <w:top w:val="nil"/>
              <w:left w:val="nil"/>
              <w:bottom w:val="nil"/>
              <w:right w:val="nil"/>
            </w:tcBorders>
            <w:shd w:val="clear" w:color="000000" w:fill="BFBFBF"/>
            <w:noWrap/>
            <w:vAlign w:val="center"/>
            <w:hideMark/>
          </w:tcPr>
          <w:p w14:paraId="176693FE"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v %</w:t>
            </w:r>
          </w:p>
        </w:tc>
      </w:tr>
      <w:tr w:rsidR="00354633" w:rsidRPr="003E59E8" w14:paraId="1E7E18D9" w14:textId="77777777" w:rsidTr="00E35D7C">
        <w:trPr>
          <w:trHeight w:val="345"/>
        </w:trPr>
        <w:tc>
          <w:tcPr>
            <w:tcW w:w="2779" w:type="dxa"/>
            <w:tcBorders>
              <w:top w:val="nil"/>
              <w:left w:val="nil"/>
              <w:bottom w:val="single" w:sz="8" w:space="0" w:color="auto"/>
              <w:right w:val="nil"/>
            </w:tcBorders>
            <w:shd w:val="clear" w:color="000000" w:fill="BFBFBF"/>
            <w:vAlign w:val="center"/>
            <w:hideMark/>
          </w:tcPr>
          <w:p w14:paraId="4FBED557"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 </w:t>
            </w:r>
          </w:p>
        </w:tc>
        <w:tc>
          <w:tcPr>
            <w:tcW w:w="1080" w:type="dxa"/>
            <w:tcBorders>
              <w:top w:val="nil"/>
              <w:left w:val="nil"/>
              <w:bottom w:val="single" w:sz="8" w:space="0" w:color="auto"/>
              <w:right w:val="nil"/>
            </w:tcBorders>
            <w:shd w:val="clear" w:color="000000" w:fill="BFBFBF"/>
            <w:noWrap/>
            <w:vAlign w:val="center"/>
            <w:hideMark/>
          </w:tcPr>
          <w:p w14:paraId="670B451E"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2</w:t>
            </w:r>
          </w:p>
        </w:tc>
        <w:tc>
          <w:tcPr>
            <w:tcW w:w="940" w:type="dxa"/>
            <w:tcBorders>
              <w:top w:val="nil"/>
              <w:left w:val="nil"/>
              <w:bottom w:val="single" w:sz="8" w:space="0" w:color="auto"/>
              <w:right w:val="nil"/>
            </w:tcBorders>
            <w:shd w:val="clear" w:color="000000" w:fill="BFBFBF"/>
            <w:noWrap/>
            <w:vAlign w:val="center"/>
            <w:hideMark/>
          </w:tcPr>
          <w:p w14:paraId="366779EC"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1100" w:type="dxa"/>
            <w:tcBorders>
              <w:top w:val="nil"/>
              <w:left w:val="nil"/>
              <w:bottom w:val="single" w:sz="8" w:space="0" w:color="auto"/>
              <w:right w:val="nil"/>
            </w:tcBorders>
            <w:shd w:val="clear" w:color="000000" w:fill="BFBFBF"/>
            <w:noWrap/>
            <w:vAlign w:val="center"/>
            <w:hideMark/>
          </w:tcPr>
          <w:p w14:paraId="3ABD2D66"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3</w:t>
            </w:r>
          </w:p>
        </w:tc>
        <w:tc>
          <w:tcPr>
            <w:tcW w:w="1140" w:type="dxa"/>
            <w:tcBorders>
              <w:top w:val="nil"/>
              <w:left w:val="nil"/>
              <w:bottom w:val="single" w:sz="8" w:space="0" w:color="auto"/>
              <w:right w:val="nil"/>
            </w:tcBorders>
            <w:shd w:val="clear" w:color="000000" w:fill="BFBFBF"/>
            <w:noWrap/>
            <w:vAlign w:val="center"/>
            <w:hideMark/>
          </w:tcPr>
          <w:p w14:paraId="068373A8"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4</w:t>
            </w:r>
          </w:p>
        </w:tc>
        <w:tc>
          <w:tcPr>
            <w:tcW w:w="860" w:type="dxa"/>
            <w:tcBorders>
              <w:top w:val="nil"/>
              <w:left w:val="nil"/>
              <w:bottom w:val="single" w:sz="8" w:space="0" w:color="auto"/>
              <w:right w:val="nil"/>
            </w:tcBorders>
            <w:shd w:val="clear" w:color="000000" w:fill="BFBFBF"/>
            <w:noWrap/>
            <w:vAlign w:val="center"/>
            <w:hideMark/>
          </w:tcPr>
          <w:p w14:paraId="7BF8A016"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5=4-3</w:t>
            </w:r>
          </w:p>
        </w:tc>
        <w:tc>
          <w:tcPr>
            <w:tcW w:w="640" w:type="dxa"/>
            <w:tcBorders>
              <w:top w:val="nil"/>
              <w:left w:val="nil"/>
              <w:bottom w:val="single" w:sz="8" w:space="0" w:color="auto"/>
              <w:right w:val="nil"/>
            </w:tcBorders>
            <w:shd w:val="clear" w:color="000000" w:fill="BFBFBF"/>
            <w:noWrap/>
            <w:vAlign w:val="center"/>
            <w:hideMark/>
          </w:tcPr>
          <w:p w14:paraId="0C2264B5" w14:textId="77777777" w:rsidR="00354633" w:rsidRPr="003E59E8" w:rsidRDefault="00354633" w:rsidP="00E35D7C">
            <w:pPr>
              <w:spacing w:after="0" w:line="240" w:lineRule="auto"/>
              <w:jc w:val="center"/>
              <w:rPr>
                <w:rFonts w:eastAsia="Times New Roman" w:cs="Times New Roman"/>
                <w:b/>
                <w:bCs/>
                <w:sz w:val="18"/>
                <w:szCs w:val="18"/>
                <w:lang w:eastAsia="sk-SK"/>
              </w:rPr>
            </w:pPr>
            <w:r w:rsidRPr="003E59E8">
              <w:rPr>
                <w:rFonts w:eastAsia="Times New Roman" w:cs="Times New Roman"/>
                <w:b/>
                <w:bCs/>
                <w:sz w:val="18"/>
                <w:szCs w:val="18"/>
                <w:lang w:eastAsia="sk-SK"/>
              </w:rPr>
              <w:t>6=4-3</w:t>
            </w:r>
          </w:p>
        </w:tc>
      </w:tr>
      <w:tr w:rsidR="00EA177A" w:rsidRPr="003E59E8" w14:paraId="770EE6F6" w14:textId="77777777" w:rsidTr="00C704A7">
        <w:trPr>
          <w:trHeight w:val="397"/>
        </w:trPr>
        <w:tc>
          <w:tcPr>
            <w:tcW w:w="2779" w:type="dxa"/>
            <w:tcBorders>
              <w:top w:val="nil"/>
              <w:left w:val="nil"/>
              <w:bottom w:val="nil"/>
              <w:right w:val="nil"/>
            </w:tcBorders>
            <w:shd w:val="clear" w:color="auto" w:fill="auto"/>
            <w:vAlign w:val="center"/>
            <w:hideMark/>
          </w:tcPr>
          <w:p w14:paraId="15F322C3"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Na aktívne opatrenia trhu práce</w:t>
            </w:r>
          </w:p>
        </w:tc>
        <w:tc>
          <w:tcPr>
            <w:tcW w:w="1080" w:type="dxa"/>
            <w:tcBorders>
              <w:top w:val="nil"/>
              <w:left w:val="nil"/>
              <w:bottom w:val="nil"/>
              <w:right w:val="nil"/>
            </w:tcBorders>
            <w:shd w:val="clear" w:color="auto" w:fill="auto"/>
            <w:vAlign w:val="center"/>
            <w:hideMark/>
          </w:tcPr>
          <w:p w14:paraId="2B895DF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165 085</w:t>
            </w:r>
          </w:p>
        </w:tc>
        <w:tc>
          <w:tcPr>
            <w:tcW w:w="940" w:type="dxa"/>
            <w:tcBorders>
              <w:top w:val="nil"/>
              <w:left w:val="nil"/>
              <w:bottom w:val="nil"/>
              <w:right w:val="nil"/>
            </w:tcBorders>
            <w:shd w:val="clear" w:color="000000" w:fill="FFFFFF"/>
            <w:vAlign w:val="center"/>
            <w:hideMark/>
          </w:tcPr>
          <w:p w14:paraId="4FE7BA3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191 432</w:t>
            </w:r>
          </w:p>
        </w:tc>
        <w:tc>
          <w:tcPr>
            <w:tcW w:w="1100" w:type="dxa"/>
            <w:tcBorders>
              <w:top w:val="nil"/>
              <w:left w:val="nil"/>
              <w:bottom w:val="nil"/>
              <w:right w:val="nil"/>
            </w:tcBorders>
            <w:shd w:val="clear" w:color="auto" w:fill="auto"/>
            <w:vAlign w:val="center"/>
            <w:hideMark/>
          </w:tcPr>
          <w:p w14:paraId="07E044ED"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99 130</w:t>
            </w:r>
          </w:p>
        </w:tc>
        <w:tc>
          <w:tcPr>
            <w:tcW w:w="1140" w:type="dxa"/>
            <w:tcBorders>
              <w:top w:val="nil"/>
              <w:left w:val="nil"/>
              <w:bottom w:val="nil"/>
              <w:right w:val="nil"/>
            </w:tcBorders>
            <w:shd w:val="clear" w:color="000000" w:fill="BFBFBF"/>
            <w:vAlign w:val="center"/>
            <w:hideMark/>
          </w:tcPr>
          <w:p w14:paraId="41C0E34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185 461</w:t>
            </w:r>
          </w:p>
        </w:tc>
        <w:tc>
          <w:tcPr>
            <w:tcW w:w="860" w:type="dxa"/>
            <w:tcBorders>
              <w:top w:val="nil"/>
              <w:left w:val="nil"/>
              <w:bottom w:val="nil"/>
              <w:right w:val="nil"/>
            </w:tcBorders>
            <w:shd w:val="clear" w:color="auto" w:fill="auto"/>
            <w:vAlign w:val="center"/>
            <w:hideMark/>
          </w:tcPr>
          <w:p w14:paraId="1FDB266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86 331</w:t>
            </w:r>
          </w:p>
        </w:tc>
        <w:tc>
          <w:tcPr>
            <w:tcW w:w="640" w:type="dxa"/>
            <w:tcBorders>
              <w:top w:val="nil"/>
              <w:left w:val="nil"/>
              <w:bottom w:val="nil"/>
              <w:right w:val="nil"/>
            </w:tcBorders>
            <w:shd w:val="clear" w:color="auto" w:fill="auto"/>
            <w:vAlign w:val="center"/>
            <w:hideMark/>
          </w:tcPr>
          <w:p w14:paraId="355E206E"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87,1</w:t>
            </w:r>
          </w:p>
        </w:tc>
      </w:tr>
      <w:tr w:rsidR="00EA177A" w:rsidRPr="003E59E8" w14:paraId="09BDC357" w14:textId="77777777" w:rsidTr="00C704A7">
        <w:trPr>
          <w:trHeight w:val="397"/>
        </w:trPr>
        <w:tc>
          <w:tcPr>
            <w:tcW w:w="2779" w:type="dxa"/>
            <w:tcBorders>
              <w:top w:val="nil"/>
              <w:left w:val="nil"/>
              <w:bottom w:val="nil"/>
              <w:right w:val="nil"/>
            </w:tcBorders>
            <w:shd w:val="clear" w:color="auto" w:fill="auto"/>
            <w:vAlign w:val="center"/>
            <w:hideMark/>
          </w:tcPr>
          <w:p w14:paraId="11BF64C1"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Ostatné transfery</w:t>
            </w:r>
          </w:p>
        </w:tc>
        <w:tc>
          <w:tcPr>
            <w:tcW w:w="1080" w:type="dxa"/>
            <w:tcBorders>
              <w:top w:val="nil"/>
              <w:left w:val="nil"/>
              <w:bottom w:val="nil"/>
              <w:right w:val="nil"/>
            </w:tcBorders>
            <w:shd w:val="clear" w:color="auto" w:fill="auto"/>
            <w:vAlign w:val="center"/>
            <w:hideMark/>
          </w:tcPr>
          <w:p w14:paraId="7688FD7A"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133 736</w:t>
            </w:r>
          </w:p>
        </w:tc>
        <w:tc>
          <w:tcPr>
            <w:tcW w:w="940" w:type="dxa"/>
            <w:tcBorders>
              <w:top w:val="nil"/>
              <w:left w:val="nil"/>
              <w:bottom w:val="nil"/>
              <w:right w:val="nil"/>
            </w:tcBorders>
            <w:shd w:val="clear" w:color="000000" w:fill="FFFFFF"/>
            <w:vAlign w:val="center"/>
            <w:hideMark/>
          </w:tcPr>
          <w:p w14:paraId="00712876"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145 528</w:t>
            </w:r>
          </w:p>
        </w:tc>
        <w:tc>
          <w:tcPr>
            <w:tcW w:w="1100" w:type="dxa"/>
            <w:tcBorders>
              <w:top w:val="nil"/>
              <w:left w:val="nil"/>
              <w:bottom w:val="nil"/>
              <w:right w:val="nil"/>
            </w:tcBorders>
            <w:shd w:val="clear" w:color="auto" w:fill="auto"/>
            <w:vAlign w:val="center"/>
            <w:hideMark/>
          </w:tcPr>
          <w:p w14:paraId="1029E327"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425 420</w:t>
            </w:r>
          </w:p>
        </w:tc>
        <w:tc>
          <w:tcPr>
            <w:tcW w:w="1140" w:type="dxa"/>
            <w:tcBorders>
              <w:top w:val="nil"/>
              <w:left w:val="nil"/>
              <w:bottom w:val="nil"/>
              <w:right w:val="nil"/>
            </w:tcBorders>
            <w:shd w:val="clear" w:color="000000" w:fill="BFBFBF"/>
            <w:vAlign w:val="center"/>
            <w:hideMark/>
          </w:tcPr>
          <w:p w14:paraId="31FC100F"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142 693</w:t>
            </w:r>
          </w:p>
        </w:tc>
        <w:tc>
          <w:tcPr>
            <w:tcW w:w="860" w:type="dxa"/>
            <w:tcBorders>
              <w:top w:val="nil"/>
              <w:left w:val="nil"/>
              <w:bottom w:val="nil"/>
              <w:right w:val="nil"/>
            </w:tcBorders>
            <w:shd w:val="clear" w:color="auto" w:fill="auto"/>
            <w:vAlign w:val="center"/>
            <w:hideMark/>
          </w:tcPr>
          <w:p w14:paraId="2E00D9F8"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-282 727</w:t>
            </w:r>
          </w:p>
        </w:tc>
        <w:tc>
          <w:tcPr>
            <w:tcW w:w="640" w:type="dxa"/>
            <w:tcBorders>
              <w:top w:val="nil"/>
              <w:left w:val="nil"/>
              <w:bottom w:val="nil"/>
              <w:right w:val="nil"/>
            </w:tcBorders>
            <w:shd w:val="clear" w:color="auto" w:fill="auto"/>
            <w:vAlign w:val="center"/>
            <w:hideMark/>
          </w:tcPr>
          <w:p w14:paraId="71B6B800"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-66,5</w:t>
            </w:r>
          </w:p>
        </w:tc>
      </w:tr>
      <w:tr w:rsidR="00EA177A" w:rsidRPr="003E59E8" w14:paraId="6917F92F" w14:textId="77777777" w:rsidTr="00C704A7">
        <w:trPr>
          <w:trHeight w:val="397"/>
        </w:trPr>
        <w:tc>
          <w:tcPr>
            <w:tcW w:w="2779" w:type="dxa"/>
            <w:tcBorders>
              <w:top w:val="nil"/>
              <w:left w:val="nil"/>
              <w:bottom w:val="nil"/>
              <w:right w:val="nil"/>
            </w:tcBorders>
            <w:shd w:val="clear" w:color="auto" w:fill="auto"/>
            <w:vAlign w:val="center"/>
            <w:hideMark/>
          </w:tcPr>
          <w:p w14:paraId="4FFB88B1"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Príspevok na osobitný účet</w:t>
            </w:r>
          </w:p>
        </w:tc>
        <w:tc>
          <w:tcPr>
            <w:tcW w:w="1080" w:type="dxa"/>
            <w:tcBorders>
              <w:top w:val="nil"/>
              <w:left w:val="nil"/>
              <w:bottom w:val="nil"/>
              <w:right w:val="nil"/>
            </w:tcBorders>
            <w:shd w:val="clear" w:color="auto" w:fill="auto"/>
            <w:vAlign w:val="center"/>
            <w:hideMark/>
          </w:tcPr>
          <w:p w14:paraId="7FB7CEF4"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93 713</w:t>
            </w:r>
          </w:p>
        </w:tc>
        <w:tc>
          <w:tcPr>
            <w:tcW w:w="940" w:type="dxa"/>
            <w:tcBorders>
              <w:top w:val="nil"/>
              <w:left w:val="nil"/>
              <w:bottom w:val="nil"/>
              <w:right w:val="nil"/>
            </w:tcBorders>
            <w:shd w:val="clear" w:color="000000" w:fill="FFFFFF"/>
            <w:vAlign w:val="center"/>
            <w:hideMark/>
          </w:tcPr>
          <w:p w14:paraId="498B72FB"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90 123</w:t>
            </w:r>
          </w:p>
        </w:tc>
        <w:tc>
          <w:tcPr>
            <w:tcW w:w="1100" w:type="dxa"/>
            <w:tcBorders>
              <w:top w:val="nil"/>
              <w:left w:val="nil"/>
              <w:bottom w:val="nil"/>
              <w:right w:val="nil"/>
            </w:tcBorders>
            <w:shd w:val="clear" w:color="auto" w:fill="auto"/>
            <w:vAlign w:val="center"/>
            <w:hideMark/>
          </w:tcPr>
          <w:p w14:paraId="05C6E94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96 311</w:t>
            </w:r>
          </w:p>
        </w:tc>
        <w:tc>
          <w:tcPr>
            <w:tcW w:w="1140" w:type="dxa"/>
            <w:tcBorders>
              <w:top w:val="nil"/>
              <w:left w:val="nil"/>
              <w:bottom w:val="nil"/>
              <w:right w:val="nil"/>
            </w:tcBorders>
            <w:shd w:val="clear" w:color="000000" w:fill="BFBFBF"/>
            <w:vAlign w:val="center"/>
            <w:hideMark/>
          </w:tcPr>
          <w:p w14:paraId="3AEFA6A0"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76 349</w:t>
            </w:r>
          </w:p>
        </w:tc>
        <w:tc>
          <w:tcPr>
            <w:tcW w:w="860" w:type="dxa"/>
            <w:tcBorders>
              <w:top w:val="nil"/>
              <w:left w:val="nil"/>
              <w:bottom w:val="nil"/>
              <w:right w:val="nil"/>
            </w:tcBorders>
            <w:shd w:val="clear" w:color="auto" w:fill="auto"/>
            <w:vAlign w:val="center"/>
            <w:hideMark/>
          </w:tcPr>
          <w:p w14:paraId="16D82890"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-19 962</w:t>
            </w:r>
          </w:p>
        </w:tc>
        <w:tc>
          <w:tcPr>
            <w:tcW w:w="640" w:type="dxa"/>
            <w:tcBorders>
              <w:top w:val="nil"/>
              <w:left w:val="nil"/>
              <w:bottom w:val="nil"/>
              <w:right w:val="nil"/>
            </w:tcBorders>
            <w:shd w:val="clear" w:color="auto" w:fill="auto"/>
            <w:vAlign w:val="center"/>
            <w:hideMark/>
          </w:tcPr>
          <w:p w14:paraId="7D98C70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-20,7</w:t>
            </w:r>
          </w:p>
        </w:tc>
      </w:tr>
      <w:tr w:rsidR="00EA177A" w:rsidRPr="003E59E8" w14:paraId="63E4F39B" w14:textId="77777777" w:rsidTr="00C704A7">
        <w:trPr>
          <w:trHeight w:val="397"/>
        </w:trPr>
        <w:tc>
          <w:tcPr>
            <w:tcW w:w="2779" w:type="dxa"/>
            <w:tcBorders>
              <w:top w:val="nil"/>
              <w:left w:val="nil"/>
              <w:bottom w:val="single" w:sz="8" w:space="0" w:color="auto"/>
              <w:right w:val="nil"/>
            </w:tcBorders>
            <w:shd w:val="clear" w:color="auto" w:fill="auto"/>
            <w:vAlign w:val="center"/>
            <w:hideMark/>
          </w:tcPr>
          <w:p w14:paraId="57BF6F57" w14:textId="77777777" w:rsidR="00EA177A" w:rsidRPr="003E59E8" w:rsidRDefault="00EA177A" w:rsidP="00C704A7">
            <w:pPr>
              <w:spacing w:after="0" w:line="240" w:lineRule="auto"/>
              <w:rPr>
                <w:rFonts w:eastAsia="Times New Roman" w:cs="Times New Roman"/>
                <w:sz w:val="18"/>
                <w:szCs w:val="18"/>
                <w:lang w:eastAsia="sk-SK"/>
              </w:rPr>
            </w:pPr>
            <w:r w:rsidRPr="003E59E8">
              <w:rPr>
                <w:rFonts w:eastAsia="Times New Roman" w:cs="Times New Roman"/>
                <w:sz w:val="18"/>
                <w:szCs w:val="18"/>
                <w:lang w:eastAsia="sk-SK"/>
              </w:rPr>
              <w:t>Jednotlivcom</w:t>
            </w:r>
          </w:p>
        </w:tc>
        <w:tc>
          <w:tcPr>
            <w:tcW w:w="1080" w:type="dxa"/>
            <w:tcBorders>
              <w:top w:val="nil"/>
              <w:left w:val="nil"/>
              <w:bottom w:val="single" w:sz="8" w:space="0" w:color="auto"/>
              <w:right w:val="nil"/>
            </w:tcBorders>
            <w:shd w:val="clear" w:color="auto" w:fill="auto"/>
            <w:vAlign w:val="center"/>
            <w:hideMark/>
          </w:tcPr>
          <w:p w14:paraId="661F52B1"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71 607</w:t>
            </w:r>
          </w:p>
        </w:tc>
        <w:tc>
          <w:tcPr>
            <w:tcW w:w="940" w:type="dxa"/>
            <w:tcBorders>
              <w:top w:val="nil"/>
              <w:left w:val="nil"/>
              <w:bottom w:val="single" w:sz="8" w:space="0" w:color="auto"/>
              <w:right w:val="nil"/>
            </w:tcBorders>
            <w:shd w:val="clear" w:color="000000" w:fill="FFFFFF"/>
            <w:vAlign w:val="center"/>
            <w:hideMark/>
          </w:tcPr>
          <w:p w14:paraId="5AB43454"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67 504</w:t>
            </w:r>
          </w:p>
        </w:tc>
        <w:tc>
          <w:tcPr>
            <w:tcW w:w="1100" w:type="dxa"/>
            <w:tcBorders>
              <w:top w:val="nil"/>
              <w:left w:val="nil"/>
              <w:bottom w:val="single" w:sz="8" w:space="0" w:color="auto"/>
              <w:right w:val="nil"/>
            </w:tcBorders>
            <w:shd w:val="clear" w:color="auto" w:fill="auto"/>
            <w:vAlign w:val="center"/>
            <w:hideMark/>
          </w:tcPr>
          <w:p w14:paraId="4E48672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61 562</w:t>
            </w:r>
          </w:p>
        </w:tc>
        <w:tc>
          <w:tcPr>
            <w:tcW w:w="1140" w:type="dxa"/>
            <w:tcBorders>
              <w:top w:val="nil"/>
              <w:left w:val="nil"/>
              <w:bottom w:val="single" w:sz="8" w:space="0" w:color="auto"/>
              <w:right w:val="nil"/>
            </w:tcBorders>
            <w:shd w:val="clear" w:color="000000" w:fill="BFBFBF"/>
            <w:vAlign w:val="center"/>
            <w:hideMark/>
          </w:tcPr>
          <w:p w14:paraId="4AAA784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55 957</w:t>
            </w:r>
          </w:p>
        </w:tc>
        <w:tc>
          <w:tcPr>
            <w:tcW w:w="860" w:type="dxa"/>
            <w:tcBorders>
              <w:top w:val="nil"/>
              <w:left w:val="nil"/>
              <w:bottom w:val="single" w:sz="8" w:space="0" w:color="auto"/>
              <w:right w:val="nil"/>
            </w:tcBorders>
            <w:shd w:val="clear" w:color="auto" w:fill="auto"/>
            <w:vAlign w:val="center"/>
            <w:hideMark/>
          </w:tcPr>
          <w:p w14:paraId="08D4C9E2"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-5 605</w:t>
            </w:r>
          </w:p>
        </w:tc>
        <w:tc>
          <w:tcPr>
            <w:tcW w:w="640" w:type="dxa"/>
            <w:tcBorders>
              <w:top w:val="nil"/>
              <w:left w:val="nil"/>
              <w:bottom w:val="single" w:sz="8" w:space="0" w:color="auto"/>
              <w:right w:val="nil"/>
            </w:tcBorders>
            <w:shd w:val="clear" w:color="auto" w:fill="auto"/>
            <w:vAlign w:val="center"/>
            <w:hideMark/>
          </w:tcPr>
          <w:p w14:paraId="66519C45"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-9,1</w:t>
            </w:r>
          </w:p>
        </w:tc>
      </w:tr>
      <w:tr w:rsidR="00EA177A" w:rsidRPr="003E59E8" w14:paraId="0AD8795F" w14:textId="77777777" w:rsidTr="00C704A7">
        <w:trPr>
          <w:trHeight w:val="345"/>
        </w:trPr>
        <w:tc>
          <w:tcPr>
            <w:tcW w:w="2779" w:type="dxa"/>
            <w:tcBorders>
              <w:top w:val="nil"/>
              <w:left w:val="nil"/>
              <w:bottom w:val="single" w:sz="8" w:space="0" w:color="auto"/>
              <w:right w:val="nil"/>
            </w:tcBorders>
            <w:shd w:val="clear" w:color="auto" w:fill="auto"/>
            <w:vAlign w:val="center"/>
            <w:hideMark/>
          </w:tcPr>
          <w:p w14:paraId="61627AC4" w14:textId="77777777" w:rsidR="00EA177A" w:rsidRPr="003E59E8" w:rsidRDefault="00EA177A" w:rsidP="00C704A7">
            <w:pPr>
              <w:spacing w:after="0" w:line="240" w:lineRule="auto"/>
              <w:jc w:val="left"/>
              <w:rPr>
                <w:rFonts w:eastAsia="Times New Roman" w:cs="Times New Roman"/>
                <w:b/>
                <w:bCs/>
                <w:sz w:val="18"/>
                <w:szCs w:val="18"/>
                <w:lang w:eastAsia="sk-SK"/>
              </w:rPr>
            </w:pPr>
            <w:r w:rsidRPr="003E59E8">
              <w:rPr>
                <w:rFonts w:eastAsia="Times New Roman" w:cs="Times New Roman"/>
                <w:b/>
                <w:bCs/>
                <w:sz w:val="18"/>
                <w:szCs w:val="18"/>
                <w:lang w:eastAsia="sk-SK"/>
              </w:rPr>
              <w:t>Spolu</w:t>
            </w:r>
          </w:p>
        </w:tc>
        <w:tc>
          <w:tcPr>
            <w:tcW w:w="1080" w:type="dxa"/>
            <w:tcBorders>
              <w:top w:val="nil"/>
              <w:left w:val="nil"/>
              <w:bottom w:val="single" w:sz="8" w:space="0" w:color="auto"/>
              <w:right w:val="nil"/>
            </w:tcBorders>
            <w:shd w:val="clear" w:color="auto" w:fill="auto"/>
            <w:vAlign w:val="center"/>
            <w:hideMark/>
          </w:tcPr>
          <w:p w14:paraId="1A0C9BE7"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3 696 261</w:t>
            </w:r>
          </w:p>
        </w:tc>
        <w:tc>
          <w:tcPr>
            <w:tcW w:w="940" w:type="dxa"/>
            <w:tcBorders>
              <w:top w:val="nil"/>
              <w:left w:val="nil"/>
              <w:bottom w:val="single" w:sz="8" w:space="0" w:color="auto"/>
              <w:right w:val="nil"/>
            </w:tcBorders>
            <w:shd w:val="clear" w:color="auto" w:fill="auto"/>
            <w:vAlign w:val="center"/>
            <w:hideMark/>
          </w:tcPr>
          <w:p w14:paraId="70C5B991"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3 757 414</w:t>
            </w:r>
          </w:p>
        </w:tc>
        <w:tc>
          <w:tcPr>
            <w:tcW w:w="1100" w:type="dxa"/>
            <w:tcBorders>
              <w:top w:val="nil"/>
              <w:left w:val="nil"/>
              <w:bottom w:val="single" w:sz="8" w:space="0" w:color="auto"/>
              <w:right w:val="nil"/>
            </w:tcBorders>
            <w:shd w:val="clear" w:color="auto" w:fill="auto"/>
            <w:vAlign w:val="center"/>
            <w:hideMark/>
          </w:tcPr>
          <w:p w14:paraId="6C6CE8E8"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3 890 460</w:t>
            </w:r>
          </w:p>
        </w:tc>
        <w:tc>
          <w:tcPr>
            <w:tcW w:w="1140" w:type="dxa"/>
            <w:tcBorders>
              <w:top w:val="nil"/>
              <w:left w:val="nil"/>
              <w:bottom w:val="single" w:sz="8" w:space="0" w:color="auto"/>
              <w:right w:val="nil"/>
            </w:tcBorders>
            <w:shd w:val="clear" w:color="000000" w:fill="BFBFBF"/>
            <w:vAlign w:val="center"/>
            <w:hideMark/>
          </w:tcPr>
          <w:p w14:paraId="29300897"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4 002 928</w:t>
            </w:r>
          </w:p>
        </w:tc>
        <w:tc>
          <w:tcPr>
            <w:tcW w:w="860" w:type="dxa"/>
            <w:tcBorders>
              <w:top w:val="nil"/>
              <w:left w:val="nil"/>
              <w:bottom w:val="single" w:sz="8" w:space="0" w:color="auto"/>
              <w:right w:val="nil"/>
            </w:tcBorders>
            <w:shd w:val="clear" w:color="auto" w:fill="auto"/>
            <w:vAlign w:val="center"/>
            <w:hideMark/>
          </w:tcPr>
          <w:p w14:paraId="32C64985" w14:textId="77777777" w:rsidR="00EA177A" w:rsidRPr="003E59E8" w:rsidRDefault="00EA177A" w:rsidP="00C704A7">
            <w:pPr>
              <w:spacing w:after="0" w:line="240" w:lineRule="auto"/>
              <w:jc w:val="right"/>
              <w:rPr>
                <w:rFonts w:eastAsia="Times New Roman" w:cs="Times New Roman"/>
                <w:b/>
                <w:bCs/>
                <w:sz w:val="18"/>
                <w:szCs w:val="18"/>
                <w:lang w:eastAsia="sk-SK"/>
              </w:rPr>
            </w:pPr>
            <w:r w:rsidRPr="003E59E8">
              <w:rPr>
                <w:rFonts w:eastAsia="Times New Roman" w:cs="Times New Roman"/>
                <w:b/>
                <w:bCs/>
                <w:sz w:val="18"/>
                <w:szCs w:val="18"/>
                <w:lang w:eastAsia="sk-SK"/>
              </w:rPr>
              <w:t>112 468</w:t>
            </w:r>
          </w:p>
        </w:tc>
        <w:tc>
          <w:tcPr>
            <w:tcW w:w="640" w:type="dxa"/>
            <w:tcBorders>
              <w:top w:val="nil"/>
              <w:left w:val="nil"/>
              <w:bottom w:val="single" w:sz="8" w:space="0" w:color="auto"/>
              <w:right w:val="nil"/>
            </w:tcBorders>
            <w:shd w:val="clear" w:color="auto" w:fill="auto"/>
            <w:vAlign w:val="center"/>
            <w:hideMark/>
          </w:tcPr>
          <w:p w14:paraId="7BFF43C9" w14:textId="77777777" w:rsidR="00EA177A" w:rsidRPr="003E59E8" w:rsidRDefault="00EA177A" w:rsidP="00C704A7">
            <w:pPr>
              <w:spacing w:after="0" w:line="240" w:lineRule="auto"/>
              <w:jc w:val="right"/>
              <w:rPr>
                <w:rFonts w:eastAsia="Times New Roman" w:cs="Times New Roman"/>
                <w:sz w:val="18"/>
                <w:szCs w:val="18"/>
                <w:lang w:eastAsia="sk-SK"/>
              </w:rPr>
            </w:pPr>
            <w:r w:rsidRPr="003E59E8">
              <w:rPr>
                <w:rFonts w:eastAsia="Times New Roman" w:cs="Times New Roman"/>
                <w:sz w:val="18"/>
                <w:szCs w:val="18"/>
                <w:lang w:eastAsia="sk-SK"/>
              </w:rPr>
              <w:t>2,9</w:t>
            </w:r>
          </w:p>
        </w:tc>
      </w:tr>
    </w:tbl>
    <w:p w14:paraId="2DB4F506" w14:textId="77777777" w:rsidR="00EA177A" w:rsidRPr="008B7CF2" w:rsidRDefault="00EA177A" w:rsidP="00EA177A">
      <w:pPr>
        <w:jc w:val="right"/>
      </w:pPr>
      <w:r w:rsidRPr="008B7CF2">
        <w:rPr>
          <w:sz w:val="18"/>
          <w:szCs w:val="18"/>
        </w:rPr>
        <w:t>Zdroj: MF SR</w:t>
      </w:r>
    </w:p>
    <w:p w14:paraId="1228B3E9" w14:textId="77777777" w:rsidR="00EA177A" w:rsidRPr="004C1A9F" w:rsidRDefault="00EA177A" w:rsidP="00EA177A">
      <w:pPr>
        <w:rPr>
          <w:rFonts w:cs="Times New Roman"/>
        </w:rPr>
      </w:pPr>
      <w:r w:rsidRPr="008B7CF2">
        <w:rPr>
          <w:i/>
          <w:u w:val="single"/>
        </w:rPr>
        <w:t>Sociálne dávky</w:t>
      </w:r>
      <w:r w:rsidRPr="004C1A9F">
        <w:rPr>
          <w:i/>
        </w:rPr>
        <w:t xml:space="preserve"> </w:t>
      </w:r>
      <w:r w:rsidRPr="004C1A9F">
        <w:t>boli čerpané v objeme 1 544 851 tis. eur.</w:t>
      </w:r>
      <w:r w:rsidRPr="00D744D2">
        <w:t xml:space="preserve"> </w:t>
      </w:r>
      <w:r w:rsidRPr="008B7CF2">
        <w:t>Najväčší objem výdavkov v rámci sociálnych dávok realizuje kapitola Ministerstva práce, sociálnych vecí a rodiny</w:t>
      </w:r>
      <w:r>
        <w:t xml:space="preserve"> SR, napríklad na kompenzáciu sociálnych dôsledkov ťažkého zdravotného postihnutia (395 511 tis. eur), na rodičovský príspevok (377 342 tis. eur), prídavok na dieťa (322 297 tis. eur) a ostatné dávky poskytované štátom (250 922 tis. eur).</w:t>
      </w:r>
      <w:r w:rsidRPr="00D744D2">
        <w:t xml:space="preserve"> </w:t>
      </w:r>
      <w:r w:rsidRPr="008B7CF2">
        <w:t>V rámci týchto výd</w:t>
      </w:r>
      <w:r w:rsidRPr="004C1A9F">
        <w:t xml:space="preserve">avkov ide aj o poskytovanie peňažného príspevku na opatrovanie. </w:t>
      </w:r>
      <w:r w:rsidRPr="004C1A9F">
        <w:rPr>
          <w:rFonts w:cs="Times New Roman"/>
        </w:rPr>
        <w:t>Ďalšiu významnú časť sociálnych dávok tvorí dávka v hmotnej núdzi</w:t>
      </w:r>
      <w:r w:rsidRPr="004C1A9F">
        <w:rPr>
          <w:rFonts w:cs="Times New Roman"/>
          <w:i/>
        </w:rPr>
        <w:t xml:space="preserve"> </w:t>
      </w:r>
      <w:r w:rsidRPr="004C1A9F">
        <w:rPr>
          <w:rFonts w:cs="Times New Roman"/>
        </w:rPr>
        <w:t>a príspevky k dávke v sume</w:t>
      </w:r>
      <w:r w:rsidRPr="00D744D2">
        <w:rPr>
          <w:rFonts w:cs="Times New Roman"/>
        </w:rPr>
        <w:t xml:space="preserve"> </w:t>
      </w:r>
      <w:r>
        <w:rPr>
          <w:rFonts w:cs="Times New Roman"/>
        </w:rPr>
        <w:t>111 081 tis. eur</w:t>
      </w:r>
      <w:r w:rsidRPr="004C1A9F">
        <w:rPr>
          <w:rFonts w:cs="Times New Roman"/>
        </w:rPr>
        <w:t>,</w:t>
      </w:r>
      <w:r w:rsidRPr="00D744D2">
        <w:rPr>
          <w:rFonts w:cs="Times New Roman"/>
        </w:rPr>
        <w:t xml:space="preserve"> </w:t>
      </w:r>
      <w:r w:rsidRPr="004C1A9F">
        <w:rPr>
          <w:rFonts w:cs="Times New Roman"/>
        </w:rPr>
        <w:t>vyplácaná na základe zákona č. 417/2013 Z. z. o pomoci v hmotnej núdzi.</w:t>
      </w:r>
      <w:r w:rsidRPr="00D744D2">
        <w:rPr>
          <w:rFonts w:cs="Times New Roman"/>
        </w:rPr>
        <w:t xml:space="preserve"> Je tu tiež zahrnutý resocializačný príspevok a osobitný príspevok, ktorý sa s účinnosťou od 1. 1. 2019 poskytuje dlhodobo nezamestnaným osobám, ktoré si nájdu zamestnanie, po dobu najviac 18 mesiacov. Pokles </w:t>
      </w:r>
      <w:r>
        <w:rPr>
          <w:rFonts w:cs="Times New Roman"/>
        </w:rPr>
        <w:t xml:space="preserve">týchto výdavkov </w:t>
      </w:r>
      <w:r w:rsidRPr="00D744D2">
        <w:rPr>
          <w:rFonts w:cs="Times New Roman"/>
        </w:rPr>
        <w:t>oproti minulému roku vo výške 13 917 tis. eur súvisí najmä s vývojom počtu poberateľov dávky v hmotnej núdzi. Zatiaľ čo v roku 2018 bol priemerný počet poberateľov 72 024, v roku 2019 bol 63</w:t>
      </w:r>
      <w:r>
        <w:rPr>
          <w:rFonts w:cs="Times New Roman"/>
        </w:rPr>
        <w:t> </w:t>
      </w:r>
      <w:r w:rsidRPr="00D744D2">
        <w:rPr>
          <w:rFonts w:cs="Times New Roman"/>
        </w:rPr>
        <w:t>244</w:t>
      </w:r>
      <w:r>
        <w:rPr>
          <w:rFonts w:cs="Times New Roman"/>
        </w:rPr>
        <w:t>.</w:t>
      </w:r>
      <w:r w:rsidRPr="00D744D2">
        <w:rPr>
          <w:rFonts w:cs="Times New Roman"/>
        </w:rPr>
        <w:t xml:space="preserve"> </w:t>
      </w:r>
    </w:p>
    <w:p w14:paraId="3E8AA51F" w14:textId="77777777" w:rsidR="00EA177A" w:rsidRPr="004C1A9F" w:rsidRDefault="00EA177A" w:rsidP="00EA177A">
      <w:pPr>
        <w:rPr>
          <w:rFonts w:cs="Times New Roman"/>
        </w:rPr>
      </w:pPr>
      <w:r w:rsidRPr="004C1A9F">
        <w:t>V rámci ostatných</w:t>
      </w:r>
      <w:r w:rsidRPr="004C1A9F">
        <w:rPr>
          <w:i/>
        </w:rPr>
        <w:t xml:space="preserve"> </w:t>
      </w:r>
      <w:r w:rsidRPr="004C1A9F">
        <w:t>dávok poskytovaných štátom, ktoré predstavovali sumu 248 136 tis. eur</w:t>
      </w:r>
      <w:r w:rsidRPr="005C2029">
        <w:t>,</w:t>
      </w:r>
      <w:r w:rsidRPr="008D01FB">
        <w:t xml:space="preserve"> boli </w:t>
      </w:r>
      <w:r>
        <w:t>finančné prostriedky použité</w:t>
      </w:r>
      <w:r w:rsidRPr="00D744D2">
        <w:t xml:space="preserve"> </w:t>
      </w:r>
      <w:r w:rsidRPr="00D744D2">
        <w:rPr>
          <w:rFonts w:cs="Times New Roman"/>
        </w:rPr>
        <w:t>na úhrady nesystémových dávok sociálneho poistenia (93 818 tis. eur) a</w:t>
      </w:r>
      <w:r>
        <w:rPr>
          <w:rFonts w:cs="Times New Roman"/>
        </w:rPr>
        <w:t xml:space="preserve"> </w:t>
      </w:r>
      <w:r w:rsidRPr="00D744D2">
        <w:rPr>
          <w:rFonts w:cs="Times New Roman"/>
        </w:rPr>
        <w:t xml:space="preserve">na vianočný príspevok dôchodcom (154 319 tis. eur), </w:t>
      </w:r>
      <w:r w:rsidRPr="004C1A9F">
        <w:rPr>
          <w:rFonts w:cs="Times New Roman"/>
        </w:rPr>
        <w:t>ktorý uhrádza štát podľa § 82b, § 168a a § 285 zákona č. 461/2003 Z. z. o sociálnom poistení v znení neskorších predpisov</w:t>
      </w:r>
      <w:r w:rsidRPr="00D744D2">
        <w:rPr>
          <w:rFonts w:cs="Times New Roman"/>
        </w:rPr>
        <w:t xml:space="preserve">. </w:t>
      </w:r>
    </w:p>
    <w:p w14:paraId="67ED67EE" w14:textId="77777777" w:rsidR="00EA177A" w:rsidRPr="004C1A9F" w:rsidRDefault="00EA177A" w:rsidP="00EA177A">
      <w:r w:rsidRPr="004C1A9F">
        <w:rPr>
          <w:i/>
          <w:u w:val="single"/>
        </w:rPr>
        <w:t>Transfery na platené poistné za skupiny osôb ustanovené zákonom</w:t>
      </w:r>
      <w:r w:rsidRPr="004C1A9F">
        <w:rPr>
          <w:i/>
          <w:vertAlign w:val="superscript"/>
        </w:rPr>
        <w:footnoteReference w:id="26"/>
      </w:r>
      <w:r w:rsidRPr="004C1A9F">
        <w:t xml:space="preserve"> dosiahli súhrnne</w:t>
      </w:r>
      <w:r w:rsidRPr="00D744D2">
        <w:t xml:space="preserve"> </w:t>
      </w:r>
      <w:r w:rsidRPr="004C1A9F">
        <w:t>1 483 741 tis. eur,</w:t>
      </w:r>
      <w:r w:rsidRPr="00D744D2">
        <w:t xml:space="preserve"> </w:t>
      </w:r>
      <w:r w:rsidRPr="004C1A9F">
        <w:t>ktoré boli v prevažnej miere poskytované Ministerstvom zdravotníctva SR v sume</w:t>
      </w:r>
      <w:r w:rsidRPr="00D744D2">
        <w:t xml:space="preserve"> </w:t>
      </w:r>
      <w:r w:rsidRPr="004C1A9F">
        <w:t>1 202 781 tis. eur, a to na úhradu zdravot</w:t>
      </w:r>
      <w:r>
        <w:t>nej starostlivosti za poistencov štátu v zmysle zákona č. 580/2004 Z. z. o zdravotnom poistení v znení neskorších predpisov, za poistencov, ktorí nie sú zamestnancami alebo samostatne zárobkovo činnými osobami a to napríklad nezaopatrené deti, fyzické osoby poberajúce dôchodok, fyzické osoby poberajúce rodičovský príspevok, fyzické osoby obvinené vo väzbe alebo vo výkone trestu odňatia slobody a iné.</w:t>
      </w:r>
      <w:r w:rsidRPr="00D744D2">
        <w:t xml:space="preserve"> </w:t>
      </w:r>
    </w:p>
    <w:p w14:paraId="19B91537" w14:textId="77777777" w:rsidR="00EA177A" w:rsidRPr="004C1A9F" w:rsidRDefault="00EA177A" w:rsidP="00EA177A">
      <w:r w:rsidRPr="004C1A9F">
        <w:rPr>
          <w:i/>
          <w:u w:val="single"/>
        </w:rPr>
        <w:t>Transfery občianskym združeniam, nadáciám,</w:t>
      </w:r>
      <w:r>
        <w:rPr>
          <w:i/>
          <w:u w:val="single"/>
        </w:rPr>
        <w:t xml:space="preserve"> neziskovým organizáciám, politickým</w:t>
      </w:r>
      <w:r w:rsidRPr="004C1A9F">
        <w:rPr>
          <w:i/>
          <w:u w:val="single"/>
        </w:rPr>
        <w:t xml:space="preserve"> stranám a hnutiam, odborovým organizáciám, cirkevným a súkromným školám, cirkvám, náboženským spoločnostiam a cirkevnej charite</w:t>
      </w:r>
      <w:r w:rsidRPr="00D744D2">
        <w:t xml:space="preserve"> </w:t>
      </w:r>
      <w:r w:rsidRPr="004C1A9F">
        <w:t>boli poskytnuté vo výške</w:t>
      </w:r>
      <w:r w:rsidRPr="00D744D2">
        <w:t xml:space="preserve"> </w:t>
      </w:r>
      <w:r w:rsidRPr="004C1A9F">
        <w:t>513 </w:t>
      </w:r>
      <w:r w:rsidRPr="00BC6A0B">
        <w:t>876 tis. eur, čo je o 69 </w:t>
      </w:r>
      <w:r w:rsidRPr="001F44A3">
        <w:t xml:space="preserve">988 tis. eur viac ako bolo rozpočtované. Z celkovej výšky transferov poskytnutých </w:t>
      </w:r>
      <w:r>
        <w:rPr>
          <w:u w:val="single"/>
        </w:rPr>
        <w:t>občianskym</w:t>
      </w:r>
      <w:r w:rsidRPr="00625889">
        <w:rPr>
          <w:u w:val="single"/>
        </w:rPr>
        <w:t xml:space="preserve"> združeni</w:t>
      </w:r>
      <w:r>
        <w:rPr>
          <w:u w:val="single"/>
        </w:rPr>
        <w:t>am</w:t>
      </w:r>
      <w:r w:rsidRPr="00625889">
        <w:rPr>
          <w:u w:val="single"/>
        </w:rPr>
        <w:t>, nadáci</w:t>
      </w:r>
      <w:r>
        <w:rPr>
          <w:u w:val="single"/>
        </w:rPr>
        <w:t>ám</w:t>
      </w:r>
      <w:r w:rsidRPr="00625889">
        <w:rPr>
          <w:u w:val="single"/>
        </w:rPr>
        <w:t xml:space="preserve"> a neinvestičn</w:t>
      </w:r>
      <w:r>
        <w:rPr>
          <w:u w:val="single"/>
        </w:rPr>
        <w:t>ým</w:t>
      </w:r>
      <w:r w:rsidRPr="00625889">
        <w:rPr>
          <w:u w:val="single"/>
        </w:rPr>
        <w:t xml:space="preserve"> fond</w:t>
      </w:r>
      <w:r>
        <w:rPr>
          <w:u w:val="single"/>
        </w:rPr>
        <w:t>om</w:t>
      </w:r>
      <w:r>
        <w:t xml:space="preserve"> vo výške</w:t>
      </w:r>
      <w:r w:rsidRPr="00D744D2">
        <w:t xml:space="preserve"> </w:t>
      </w:r>
      <w:r w:rsidRPr="004C1A9F">
        <w:t>146</w:t>
      </w:r>
      <w:r w:rsidRPr="00BC6A0B">
        <w:t> 495 tis. eur bolo vyčerpaných najviac v kapitole Ministerstva školstva, vedy, výskumu a športu SR,</w:t>
      </w:r>
      <w:r w:rsidRPr="00D744D2">
        <w:t xml:space="preserve"> </w:t>
      </w:r>
      <w:r w:rsidRPr="004C1A9F">
        <w:t>a to 78</w:t>
      </w:r>
      <w:r w:rsidRPr="00BC6A0B">
        <w:t> 424 tis. eur.</w:t>
      </w:r>
      <w:r w:rsidRPr="00D744D2">
        <w:t xml:space="preserve"> </w:t>
      </w:r>
      <w:r w:rsidRPr="004C1A9F">
        <w:t>Najväčšie sumy boli použité najmä v oblasti športu, v rámci podprogramu Uznané športy v sume</w:t>
      </w:r>
      <w:r>
        <w:t xml:space="preserve"> 43 774 tis. eur. </w:t>
      </w:r>
    </w:p>
    <w:p w14:paraId="6C6FAD34" w14:textId="77777777" w:rsidR="00EA177A" w:rsidRPr="001F44A3" w:rsidRDefault="00EA177A" w:rsidP="00EA177A">
      <w:r w:rsidRPr="001F44A3">
        <w:t xml:space="preserve">Transfery </w:t>
      </w:r>
      <w:r w:rsidRPr="00625889">
        <w:rPr>
          <w:u w:val="single"/>
        </w:rPr>
        <w:t>cirkevn</w:t>
      </w:r>
      <w:r>
        <w:rPr>
          <w:u w:val="single"/>
        </w:rPr>
        <w:t>ým</w:t>
      </w:r>
      <w:r w:rsidRPr="00625889">
        <w:rPr>
          <w:u w:val="single"/>
        </w:rPr>
        <w:t xml:space="preserve"> škol</w:t>
      </w:r>
      <w:r>
        <w:rPr>
          <w:u w:val="single"/>
        </w:rPr>
        <w:t>ám</w:t>
      </w:r>
      <w:r w:rsidRPr="001F44A3">
        <w:t xml:space="preserve"> v sume</w:t>
      </w:r>
      <w:r w:rsidRPr="00D744D2">
        <w:t xml:space="preserve"> </w:t>
      </w:r>
      <w:r w:rsidRPr="001F44A3">
        <w:t>110 0</w:t>
      </w:r>
      <w:r w:rsidRPr="00D744D2">
        <w:t>70</w:t>
      </w:r>
      <w:r w:rsidRPr="001F44A3">
        <w:t xml:space="preserve"> tis. eur a </w:t>
      </w:r>
      <w:r w:rsidRPr="00625889">
        <w:rPr>
          <w:u w:val="single"/>
        </w:rPr>
        <w:t>súkromn</w:t>
      </w:r>
      <w:r>
        <w:rPr>
          <w:u w:val="single"/>
        </w:rPr>
        <w:t>ým</w:t>
      </w:r>
      <w:r w:rsidRPr="00625889">
        <w:rPr>
          <w:u w:val="single"/>
        </w:rPr>
        <w:t xml:space="preserve"> škol</w:t>
      </w:r>
      <w:r>
        <w:rPr>
          <w:u w:val="single"/>
        </w:rPr>
        <w:t>ám</w:t>
      </w:r>
      <w:r w:rsidRPr="001F44A3">
        <w:t xml:space="preserve"> vo výške 91</w:t>
      </w:r>
      <w:r w:rsidRPr="00674419">
        <w:t> 22</w:t>
      </w:r>
      <w:r w:rsidRPr="00D744D2">
        <w:t>2</w:t>
      </w:r>
      <w:r w:rsidRPr="001F44A3">
        <w:t> tis. eur boli poskytnuté takmer výlučne Ministerstvom vnútra SR na zab</w:t>
      </w:r>
      <w:r w:rsidRPr="00674419">
        <w:t>ezpečenie výchovy a vzdelávania mládeže v základných a stredných školách, na zabezpečenie prevádzky škôl, na financovanie</w:t>
      </w:r>
      <w:r w:rsidRPr="00D744D2">
        <w:t xml:space="preserve"> </w:t>
      </w:r>
      <w:r w:rsidRPr="001F44A3">
        <w:t xml:space="preserve">normatívnych výdavkov a na úhradu nenormatívnych výdavkov škôl a školských zariadení (najmä na vzdelávacie poukazy, príspevky </w:t>
      </w:r>
      <w:r>
        <w:t>pre asistentov učiteľov, na lyžiarske kurzy, na dopravné a príspevok na výchovu a vzdelávanie detí materských škôl).</w:t>
      </w:r>
    </w:p>
    <w:p w14:paraId="13549602" w14:textId="77777777" w:rsidR="00EA177A" w:rsidRPr="00E676AF" w:rsidRDefault="00EA177A" w:rsidP="00EA177A">
      <w:r>
        <w:rPr>
          <w:u w:val="single"/>
        </w:rPr>
        <w:t>Neziskovým organizáciám</w:t>
      </w:r>
      <w:r w:rsidRPr="00625889">
        <w:rPr>
          <w:u w:val="single"/>
        </w:rPr>
        <w:t xml:space="preserve"> poskytujúc</w:t>
      </w:r>
      <w:r>
        <w:rPr>
          <w:u w:val="single"/>
        </w:rPr>
        <w:t>im</w:t>
      </w:r>
      <w:r w:rsidRPr="00625889">
        <w:rPr>
          <w:u w:val="single"/>
        </w:rPr>
        <w:t xml:space="preserve"> všeobecne prospešné služby</w:t>
      </w:r>
      <w:r w:rsidRPr="00E676AF">
        <w:t xml:space="preserve"> boli poskytnuté</w:t>
      </w:r>
      <w:r w:rsidRPr="00D744D2">
        <w:t xml:space="preserve"> </w:t>
      </w:r>
      <w:r w:rsidRPr="00E676AF">
        <w:t>prostriedky v celkovej výške</w:t>
      </w:r>
      <w:r w:rsidRPr="00D744D2">
        <w:t xml:space="preserve"> </w:t>
      </w:r>
      <w:r w:rsidRPr="00E676AF">
        <w:t xml:space="preserve">90 129 tis. eur. </w:t>
      </w:r>
      <w:r w:rsidRPr="00E676AF">
        <w:rPr>
          <w:rFonts w:cs="Times New Roman"/>
        </w:rPr>
        <w:t>Najvýznamnejšiu časť výdavkov čerpalo Ministerstvo</w:t>
      </w:r>
      <w:r w:rsidRPr="00F75174">
        <w:rPr>
          <w:rFonts w:cs="Times New Roman"/>
        </w:rPr>
        <w:t xml:space="preserve"> práce, sociálnych vecí a rodiny SR (75 574 tis. eur), a</w:t>
      </w:r>
      <w:r>
        <w:rPr>
          <w:rFonts w:cs="Times New Roman"/>
        </w:rPr>
        <w:t xml:space="preserve"> </w:t>
      </w:r>
      <w:r w:rsidRPr="00F75174">
        <w:rPr>
          <w:rFonts w:cs="Times New Roman"/>
        </w:rPr>
        <w:t xml:space="preserve">to </w:t>
      </w:r>
      <w:r>
        <w:rPr>
          <w:rFonts w:cs="Times New Roman"/>
        </w:rPr>
        <w:t>na</w:t>
      </w:r>
      <w:r w:rsidRPr="00D744D2">
        <w:rPr>
          <w:rFonts w:cs="Times New Roman"/>
        </w:rPr>
        <w:t xml:space="preserve"> financovanie sociálnych služieb (59 077 tis. eur), ústavnej starostlivosti pre neštátne centrá pre deti a rodiny a výdavky na prevenciu a sanáciu (9 122 tis. eur), národných projektov Operačného programu Ľ</w:t>
      </w:r>
      <w:r>
        <w:rPr>
          <w:rFonts w:cs="Times New Roman"/>
        </w:rPr>
        <w:t>udské zdroje (7 207 tis. eur) a</w:t>
      </w:r>
      <w:r w:rsidRPr="00D744D2">
        <w:rPr>
          <w:rFonts w:cs="Times New Roman"/>
        </w:rPr>
        <w:t xml:space="preserve"> dotácií v súlade so zákonom č. 544/2010 Z. z. o dotáciách.</w:t>
      </w:r>
    </w:p>
    <w:p w14:paraId="2F0B96C8" w14:textId="77777777" w:rsidR="00EA177A" w:rsidRPr="005C2029" w:rsidRDefault="00EA177A" w:rsidP="00EA177A">
      <w:r w:rsidRPr="005C2029">
        <w:t xml:space="preserve">Z celkového transferu </w:t>
      </w:r>
      <w:r w:rsidRPr="00625889">
        <w:rPr>
          <w:u w:val="single"/>
        </w:rPr>
        <w:t>cirkv</w:t>
      </w:r>
      <w:r>
        <w:rPr>
          <w:u w:val="single"/>
        </w:rPr>
        <w:t>ám</w:t>
      </w:r>
      <w:r w:rsidRPr="00625889">
        <w:rPr>
          <w:u w:val="single"/>
        </w:rPr>
        <w:t>, nábožensk</w:t>
      </w:r>
      <w:r>
        <w:rPr>
          <w:u w:val="single"/>
        </w:rPr>
        <w:t>ým</w:t>
      </w:r>
      <w:r w:rsidRPr="00625889">
        <w:rPr>
          <w:u w:val="single"/>
        </w:rPr>
        <w:t xml:space="preserve"> spoločnosti</w:t>
      </w:r>
      <w:r>
        <w:rPr>
          <w:u w:val="single"/>
        </w:rPr>
        <w:t>am</w:t>
      </w:r>
      <w:r w:rsidRPr="00625889">
        <w:rPr>
          <w:u w:val="single"/>
        </w:rPr>
        <w:t xml:space="preserve"> a cirkevn</w:t>
      </w:r>
      <w:r>
        <w:rPr>
          <w:u w:val="single"/>
        </w:rPr>
        <w:t>ým</w:t>
      </w:r>
      <w:r w:rsidRPr="00625889">
        <w:rPr>
          <w:u w:val="single"/>
        </w:rPr>
        <w:t xml:space="preserve"> charit</w:t>
      </w:r>
      <w:r>
        <w:rPr>
          <w:u w:val="single"/>
        </w:rPr>
        <w:t>ám</w:t>
      </w:r>
      <w:r w:rsidRPr="005C2029">
        <w:t xml:space="preserve"> vo výške</w:t>
      </w:r>
      <w:r w:rsidRPr="00D744D2">
        <w:t xml:space="preserve"> </w:t>
      </w:r>
      <w:r w:rsidRPr="005C2029">
        <w:t>65 </w:t>
      </w:r>
      <w:r w:rsidRPr="008D01FB">
        <w:t>634 tis. eur boli v najväčšej miere poukázané prostriedky prostre</w:t>
      </w:r>
      <w:r>
        <w:t xml:space="preserve">dníctvom kapitoly Ministerstva kultúry SR, a to v sume 50 680 tis. eur na platy duchovných a zákonné odvody a prevádzku cirkví a náboženských spoločností. </w:t>
      </w:r>
    </w:p>
    <w:p w14:paraId="6AA43824" w14:textId="77777777" w:rsidR="00EA177A" w:rsidRPr="00523807" w:rsidRDefault="00EA177A" w:rsidP="00EA177A">
      <w:pPr>
        <w:rPr>
          <w:rFonts w:cs="Times New Roman"/>
        </w:rPr>
      </w:pPr>
      <w:r>
        <w:rPr>
          <w:rFonts w:cs="Times New Roman"/>
        </w:rPr>
        <w:t xml:space="preserve">Na </w:t>
      </w:r>
      <w:r>
        <w:rPr>
          <w:rFonts w:cs="Times New Roman"/>
          <w:i/>
          <w:u w:val="single"/>
        </w:rPr>
        <w:t>aktívne opatrenia trhu práce</w:t>
      </w:r>
      <w:r>
        <w:rPr>
          <w:rFonts w:cs="Times New Roman"/>
        </w:rPr>
        <w:t xml:space="preserve"> boli čerpané v sume</w:t>
      </w:r>
      <w:r w:rsidRPr="00D744D2">
        <w:rPr>
          <w:rFonts w:cs="Times New Roman"/>
        </w:rPr>
        <w:t xml:space="preserve"> </w:t>
      </w:r>
      <w:r w:rsidRPr="008D01FB">
        <w:rPr>
          <w:rFonts w:cs="Times New Roman"/>
        </w:rPr>
        <w:t xml:space="preserve">185 461 tis. eur, </w:t>
      </w:r>
      <w:r w:rsidRPr="00523807">
        <w:rPr>
          <w:rFonts w:cs="Times New Roman"/>
        </w:rPr>
        <w:t xml:space="preserve">výlučne Ministerstvom </w:t>
      </w:r>
      <w:r w:rsidRPr="004A77D2">
        <w:rPr>
          <w:rFonts w:cs="Times New Roman"/>
        </w:rPr>
        <w:t>práce sociálnych vecí a rodiny SR, ktoré prostredníctvom nich financovalo</w:t>
      </w:r>
      <w:r w:rsidRPr="00D744D2">
        <w:rPr>
          <w:rFonts w:cs="Times New Roman"/>
        </w:rPr>
        <w:t xml:space="preserve"> </w:t>
      </w:r>
      <w:r w:rsidRPr="00523807">
        <w:rPr>
          <w:rFonts w:cs="Times New Roman"/>
          <w:lang w:eastAsia="sk-SK"/>
        </w:rPr>
        <w:t xml:space="preserve">najmä </w:t>
      </w:r>
      <w:r w:rsidRPr="004A77D2">
        <w:rPr>
          <w:rFonts w:cs="Times New Roman"/>
        </w:rPr>
        <w:t>národné projekty Operačného programu Ľudské zdroje (</w:t>
      </w:r>
      <w:r w:rsidRPr="004A77D2">
        <w:rPr>
          <w:rFonts w:cs="Times New Roman"/>
          <w:lang w:eastAsia="sk-SK"/>
        </w:rPr>
        <w:t>162 242 tis. eur),</w:t>
      </w:r>
      <w:r w:rsidRPr="00D744D2">
        <w:rPr>
          <w:rFonts w:cs="Times New Roman"/>
          <w:lang w:eastAsia="sk-SK"/>
        </w:rPr>
        <w:t xml:space="preserve"> </w:t>
      </w:r>
      <w:r w:rsidRPr="00D744D2">
        <w:rPr>
          <w:rFonts w:cs="Times New Roman"/>
        </w:rPr>
        <w:t xml:space="preserve">rozvoj aktívnej politiky trhu práce a zvýšenie </w:t>
      </w:r>
      <w:proofErr w:type="spellStart"/>
      <w:r w:rsidRPr="00D744D2">
        <w:rPr>
          <w:rFonts w:cs="Times New Roman"/>
        </w:rPr>
        <w:t>zamestnateľnosti</w:t>
      </w:r>
      <w:proofErr w:type="spellEnd"/>
      <w:r w:rsidRPr="00D744D2">
        <w:rPr>
          <w:rFonts w:cs="Times New Roman"/>
        </w:rPr>
        <w:t xml:space="preserve"> (21 559 tis. eur) a individuálnu štátnu pomoc</w:t>
      </w:r>
      <w:r>
        <w:rPr>
          <w:rFonts w:cs="Times New Roman"/>
        </w:rPr>
        <w:t>, príspevky na vytvorenie nových pracovných</w:t>
      </w:r>
      <w:r w:rsidRPr="00D744D2">
        <w:rPr>
          <w:rFonts w:cs="Times New Roman"/>
        </w:rPr>
        <w:t xml:space="preserve"> miest (1 659 tis. eur).</w:t>
      </w:r>
      <w:r w:rsidRPr="00D744D2">
        <w:rPr>
          <w:sz w:val="20"/>
          <w:szCs w:val="20"/>
        </w:rPr>
        <w:t xml:space="preserve"> </w:t>
      </w:r>
      <w:r w:rsidRPr="00523807">
        <w:rPr>
          <w:rFonts w:cs="Times New Roman"/>
          <w:lang w:eastAsia="sk-SK"/>
        </w:rPr>
        <w:t>Išlo o výdavky Úradov práce,</w:t>
      </w:r>
      <w:r w:rsidRPr="004A77D2">
        <w:rPr>
          <w:rFonts w:cs="Times New Roman"/>
          <w:b/>
          <w:bCs/>
          <w:lang w:eastAsia="sk-SK"/>
        </w:rPr>
        <w:t xml:space="preserve"> </w:t>
      </w:r>
      <w:r w:rsidRPr="004A77D2">
        <w:rPr>
          <w:rFonts w:cs="Times New Roman"/>
          <w:lang w:eastAsia="sk-SK"/>
        </w:rPr>
        <w:t>sociálnych vecí a rodiny poskytované formou príspevkov v súlade so zákonom o službách zamestnanosti.</w:t>
      </w:r>
    </w:p>
    <w:p w14:paraId="390AB3D7" w14:textId="77777777" w:rsidR="00EA177A" w:rsidRPr="004A77D2" w:rsidRDefault="00EA177A" w:rsidP="00EA177A">
      <w:pPr>
        <w:rPr>
          <w:rFonts w:cs="Times New Roman"/>
        </w:rPr>
      </w:pPr>
      <w:r w:rsidRPr="004A77D2">
        <w:t xml:space="preserve">Na celkovú výšku </w:t>
      </w:r>
      <w:r w:rsidRPr="004A77D2">
        <w:rPr>
          <w:i/>
          <w:u w:val="single"/>
        </w:rPr>
        <w:t>ostatných transferov</w:t>
      </w:r>
      <w:r w:rsidRPr="004A77D2">
        <w:t xml:space="preserve"> 142 693 tis. eur mali podstatný vplyv transfery na peňažné náležitosti v ozbrojených silách v sume</w:t>
      </w:r>
      <w:r w:rsidRPr="00D744D2">
        <w:t xml:space="preserve"> </w:t>
      </w:r>
      <w:r w:rsidRPr="004A77D2">
        <w:t>65 041 tis. eur, čerpané najmä</w:t>
      </w:r>
      <w:r w:rsidRPr="00D744D2">
        <w:t xml:space="preserve"> </w:t>
      </w:r>
      <w:r w:rsidRPr="004A77D2">
        <w:t>Ministerstvom obrany SR sumou</w:t>
      </w:r>
      <w:r w:rsidRPr="00D744D2">
        <w:t xml:space="preserve"> </w:t>
      </w:r>
      <w:r w:rsidRPr="004A77D2">
        <w:t>46 312 tis. eur, predovšetkým na stabilizačný príspevok profesionálnym vojakom podľa § 190 zákona č. 281/2015 Z. z. o štátnej službe profesionálnych vojakov a</w:t>
      </w:r>
      <w:r w:rsidRPr="00D744D2">
        <w:t xml:space="preserve"> </w:t>
      </w:r>
      <w:r w:rsidRPr="004A77D2">
        <w:t>Ministerstvom vnútra SR vo výške</w:t>
      </w:r>
      <w:r w:rsidRPr="00D744D2">
        <w:t xml:space="preserve"> </w:t>
      </w:r>
      <w:r w:rsidRPr="004A77D2">
        <w:t>15 391 tis. eur najmä na príspevky na bývanie pre príslušníkov Policajného zboru SR</w:t>
      </w:r>
      <w:r w:rsidRPr="00D744D2">
        <w:t xml:space="preserve">. </w:t>
      </w:r>
    </w:p>
    <w:p w14:paraId="6AA2151F" w14:textId="77777777" w:rsidR="00EA177A" w:rsidRPr="00853130" w:rsidRDefault="00EA177A" w:rsidP="00EA177A">
      <w:pPr>
        <w:rPr>
          <w:rFonts w:cs="Times New Roman"/>
        </w:rPr>
      </w:pPr>
      <w:r w:rsidRPr="004A77D2">
        <w:rPr>
          <w:rFonts w:cs="Times New Roman"/>
          <w:i/>
          <w:u w:val="single"/>
        </w:rPr>
        <w:t>Príspevok na osobitný účet</w:t>
      </w:r>
      <w:r w:rsidRPr="004A77D2">
        <w:rPr>
          <w:rFonts w:cs="Times New Roman"/>
          <w:b/>
          <w:i/>
        </w:rPr>
        <w:t xml:space="preserve"> </w:t>
      </w:r>
      <w:r>
        <w:rPr>
          <w:rFonts w:cs="Times New Roman"/>
        </w:rPr>
        <w:t>dosiahol</w:t>
      </w:r>
      <w:r w:rsidRPr="004A77D2">
        <w:rPr>
          <w:rFonts w:cs="Times New Roman"/>
        </w:rPr>
        <w:t xml:space="preserve"> súhrnne sumu 76 349 tis. eur a bol čerpaný Ministerstvom obrany SR (75 073 tis. eur)</w:t>
      </w:r>
      <w:r w:rsidRPr="001C1FCA">
        <w:rPr>
          <w:rFonts w:cs="Times New Roman"/>
        </w:rPr>
        <w:t xml:space="preserve">, ktoré uskutočňuje úhrady v zmysle </w:t>
      </w:r>
      <w:r>
        <w:rPr>
          <w:rFonts w:cs="Times New Roman"/>
        </w:rPr>
        <w:t>§ 94 ods. 4 zákona</w:t>
      </w:r>
      <w:r>
        <w:rPr>
          <w:rFonts w:cs="Times New Roman"/>
        </w:rPr>
        <w:br/>
      </w:r>
      <w:r w:rsidRPr="00D744D2">
        <w:rPr>
          <w:rFonts w:cs="Times New Roman"/>
        </w:rPr>
        <w:t>č. 328/2002 Z.</w:t>
      </w:r>
      <w:r>
        <w:rPr>
          <w:rFonts w:cs="Times New Roman"/>
        </w:rPr>
        <w:t> </w:t>
      </w:r>
      <w:r w:rsidRPr="00D744D2">
        <w:rPr>
          <w:rFonts w:cs="Times New Roman"/>
        </w:rPr>
        <w:t>z. o</w:t>
      </w:r>
      <w:r>
        <w:rPr>
          <w:rFonts w:cs="Times New Roman"/>
        </w:rPr>
        <w:t> </w:t>
      </w:r>
      <w:r w:rsidRPr="00D744D2">
        <w:rPr>
          <w:rFonts w:cs="Times New Roman"/>
        </w:rPr>
        <w:t>sociálnom zabezpečení policajtov a vojakov a o zmene a doplnení niektorých zákonov</w:t>
      </w:r>
      <w:r w:rsidRPr="004A77D2">
        <w:rPr>
          <w:rFonts w:cs="Times New Roman"/>
        </w:rPr>
        <w:t xml:space="preserve"> </w:t>
      </w:r>
      <w:r w:rsidRPr="001C1FCA">
        <w:rPr>
          <w:rFonts w:cs="Times New Roman"/>
        </w:rPr>
        <w:t>a Ministerstvom spravodlivosti SR (1 276 tis. eur)</w:t>
      </w:r>
      <w:r w:rsidRPr="00D744D2">
        <w:rPr>
          <w:rFonts w:ascii="Tahoma" w:hAnsi="Tahoma" w:cs="Tahoma"/>
          <w:sz w:val="18"/>
          <w:szCs w:val="18"/>
        </w:rPr>
        <w:t xml:space="preserve">. </w:t>
      </w:r>
    </w:p>
    <w:p w14:paraId="6711342E" w14:textId="77777777" w:rsidR="00EA177A" w:rsidRPr="001C1FCA" w:rsidRDefault="00EA177A" w:rsidP="00EA177A">
      <w:r w:rsidRPr="001C1FCA">
        <w:rPr>
          <w:i/>
          <w:u w:val="single"/>
        </w:rPr>
        <w:t>Transfery jednotlivcom</w:t>
      </w:r>
      <w:r w:rsidRPr="001C1FCA">
        <w:t xml:space="preserve"> dosiahli sumu</w:t>
      </w:r>
      <w:r w:rsidRPr="00D744D2">
        <w:t xml:space="preserve"> </w:t>
      </w:r>
      <w:r w:rsidRPr="001C1FCA">
        <w:t>55 597 tis. eur.</w:t>
      </w:r>
      <w:r w:rsidRPr="00D744D2">
        <w:t xml:space="preserve"> </w:t>
      </w:r>
      <w:r w:rsidRPr="001C1FCA">
        <w:t>Na týchto výdavkoch sa významne podieľalo Ministerstvo dopravy a výstavby SR (45 314 tis. eur). Ide najmä o výdavky na príspevok na štátnu prémiu k stavebnému sporeniu a výdavky na štátny príspevok k hypot</w:t>
      </w:r>
      <w:r>
        <w:t>ekárnym úverom a štátny príspevok pre mladých k hypotekárnym úverom.</w:t>
      </w:r>
    </w:p>
    <w:p w14:paraId="1A0BB476" w14:textId="77777777" w:rsidR="00EA177A" w:rsidRPr="001C1FCA" w:rsidRDefault="00EA177A" w:rsidP="00EA177A">
      <w:r w:rsidRPr="001C1FCA">
        <w:rPr>
          <w:b/>
        </w:rPr>
        <w:t xml:space="preserve">Transfery nefinančným subjektom </w:t>
      </w:r>
      <w:r w:rsidRPr="00715BA4">
        <w:t>boli rozpočtované vo výške</w:t>
      </w:r>
      <w:r w:rsidRPr="00D744D2">
        <w:t xml:space="preserve"> </w:t>
      </w:r>
      <w:r w:rsidRPr="001C1FCA">
        <w:t>9</w:t>
      </w:r>
      <w:r w:rsidRPr="00715BA4">
        <w:t xml:space="preserve">52 557 tis. eur a ich čerpanie dosiahlo úroveň </w:t>
      </w:r>
      <w:r>
        <w:t>814 907 tis. eur.</w:t>
      </w:r>
    </w:p>
    <w:tbl>
      <w:tblPr>
        <w:tblW w:w="8449" w:type="dxa"/>
        <w:tblInd w:w="56" w:type="dxa"/>
        <w:tblLayout w:type="fixed"/>
        <w:tblCellMar>
          <w:left w:w="70" w:type="dxa"/>
          <w:right w:w="70" w:type="dxa"/>
        </w:tblCellMar>
        <w:tblLook w:val="04A0" w:firstRow="1" w:lastRow="0" w:firstColumn="1" w:lastColumn="0" w:noHBand="0" w:noVBand="1"/>
      </w:tblPr>
      <w:tblGrid>
        <w:gridCol w:w="2746"/>
        <w:gridCol w:w="850"/>
        <w:gridCol w:w="1134"/>
        <w:gridCol w:w="993"/>
        <w:gridCol w:w="1025"/>
        <w:gridCol w:w="851"/>
        <w:gridCol w:w="850"/>
      </w:tblGrid>
      <w:tr w:rsidR="00EA177A" w:rsidRPr="0088708C" w14:paraId="5BE92273" w14:textId="77777777" w:rsidTr="00AB0EFE">
        <w:trPr>
          <w:trHeight w:val="503"/>
        </w:trPr>
        <w:tc>
          <w:tcPr>
            <w:tcW w:w="8449" w:type="dxa"/>
            <w:gridSpan w:val="7"/>
            <w:tcBorders>
              <w:top w:val="nil"/>
              <w:left w:val="nil"/>
              <w:bottom w:val="nil"/>
              <w:right w:val="nil"/>
            </w:tcBorders>
            <w:shd w:val="clear" w:color="000000" w:fill="000000"/>
            <w:vAlign w:val="center"/>
            <w:hideMark/>
          </w:tcPr>
          <w:p w14:paraId="4E16CDFC" w14:textId="77777777" w:rsidR="00EA177A" w:rsidRPr="0088708C" w:rsidRDefault="00EA177A" w:rsidP="00C704A7">
            <w:pPr>
              <w:spacing w:after="0" w:line="240" w:lineRule="auto"/>
              <w:jc w:val="left"/>
              <w:rPr>
                <w:rFonts w:eastAsia="Times New Roman" w:cs="Times New Roman"/>
                <w:b/>
                <w:bCs/>
                <w:sz w:val="18"/>
                <w:szCs w:val="18"/>
                <w:lang w:eastAsia="sk-SK"/>
              </w:rPr>
            </w:pPr>
            <w:r w:rsidRPr="0088708C">
              <w:rPr>
                <w:rFonts w:eastAsia="Times New Roman" w:cs="Times New Roman"/>
                <w:b/>
                <w:bCs/>
                <w:sz w:val="18"/>
                <w:szCs w:val="18"/>
                <w:lang w:eastAsia="sk-SK"/>
              </w:rPr>
              <w:t>Transfery nef</w:t>
            </w:r>
            <w:r>
              <w:rPr>
                <w:rFonts w:eastAsia="Times New Roman" w:cs="Times New Roman"/>
                <w:b/>
                <w:bCs/>
                <w:sz w:val="18"/>
                <w:szCs w:val="18"/>
                <w:lang w:eastAsia="sk-SK"/>
              </w:rPr>
              <w:t>inančným</w:t>
            </w:r>
            <w:r w:rsidRPr="0088708C">
              <w:rPr>
                <w:rFonts w:eastAsia="Times New Roman" w:cs="Times New Roman"/>
                <w:b/>
                <w:bCs/>
                <w:sz w:val="18"/>
                <w:szCs w:val="18"/>
                <w:lang w:eastAsia="sk-SK"/>
              </w:rPr>
              <w:t xml:space="preserve"> subjektom               </w:t>
            </w:r>
            <w:r>
              <w:rPr>
                <w:rFonts w:eastAsia="Times New Roman" w:cs="Times New Roman"/>
                <w:b/>
                <w:bCs/>
                <w:sz w:val="18"/>
                <w:szCs w:val="18"/>
                <w:lang w:eastAsia="sk-SK"/>
              </w:rPr>
              <w:t xml:space="preserve">                                                                                          </w:t>
            </w:r>
            <w:r w:rsidRPr="0088708C">
              <w:rPr>
                <w:rFonts w:eastAsia="Times New Roman" w:cs="Times New Roman"/>
                <w:b/>
                <w:bCs/>
                <w:sz w:val="18"/>
                <w:szCs w:val="18"/>
                <w:lang w:eastAsia="sk-SK"/>
              </w:rPr>
              <w:t>v tis. eur</w:t>
            </w:r>
          </w:p>
        </w:tc>
      </w:tr>
      <w:tr w:rsidR="00EA177A" w:rsidRPr="0088708C" w14:paraId="754280C7" w14:textId="77777777" w:rsidTr="00C704A7">
        <w:trPr>
          <w:trHeight w:val="330"/>
        </w:trPr>
        <w:tc>
          <w:tcPr>
            <w:tcW w:w="2746" w:type="dxa"/>
            <w:vMerge w:val="restart"/>
            <w:tcBorders>
              <w:top w:val="nil"/>
              <w:left w:val="nil"/>
              <w:bottom w:val="nil"/>
              <w:right w:val="nil"/>
            </w:tcBorders>
            <w:shd w:val="clear" w:color="000000" w:fill="BFBFBF"/>
            <w:vAlign w:val="center"/>
            <w:hideMark/>
          </w:tcPr>
          <w:p w14:paraId="19DB70D1"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 xml:space="preserve"> </w:t>
            </w:r>
          </w:p>
        </w:tc>
        <w:tc>
          <w:tcPr>
            <w:tcW w:w="1984" w:type="dxa"/>
            <w:gridSpan w:val="2"/>
            <w:tcBorders>
              <w:top w:val="nil"/>
              <w:left w:val="nil"/>
              <w:bottom w:val="nil"/>
              <w:right w:val="nil"/>
            </w:tcBorders>
            <w:shd w:val="clear" w:color="000000" w:fill="BFBFBF"/>
            <w:noWrap/>
            <w:vAlign w:val="center"/>
            <w:hideMark/>
          </w:tcPr>
          <w:p w14:paraId="1283D001"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Skutočnosť</w:t>
            </w:r>
          </w:p>
        </w:tc>
        <w:tc>
          <w:tcPr>
            <w:tcW w:w="993" w:type="dxa"/>
            <w:tcBorders>
              <w:top w:val="nil"/>
              <w:left w:val="nil"/>
              <w:bottom w:val="nil"/>
              <w:right w:val="nil"/>
            </w:tcBorders>
            <w:shd w:val="clear" w:color="000000" w:fill="BFBFBF"/>
            <w:noWrap/>
            <w:vAlign w:val="center"/>
            <w:hideMark/>
          </w:tcPr>
          <w:p w14:paraId="65CF742D"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Rozpočet</w:t>
            </w:r>
          </w:p>
        </w:tc>
        <w:tc>
          <w:tcPr>
            <w:tcW w:w="1025" w:type="dxa"/>
            <w:tcBorders>
              <w:top w:val="nil"/>
              <w:left w:val="nil"/>
              <w:bottom w:val="nil"/>
              <w:right w:val="nil"/>
            </w:tcBorders>
            <w:shd w:val="clear" w:color="000000" w:fill="BFBFBF"/>
            <w:noWrap/>
            <w:vAlign w:val="center"/>
            <w:hideMark/>
          </w:tcPr>
          <w:p w14:paraId="62A8DCEE"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Skutočnosť</w:t>
            </w:r>
          </w:p>
        </w:tc>
        <w:tc>
          <w:tcPr>
            <w:tcW w:w="1701" w:type="dxa"/>
            <w:gridSpan w:val="2"/>
            <w:tcBorders>
              <w:top w:val="nil"/>
              <w:left w:val="nil"/>
              <w:bottom w:val="nil"/>
              <w:right w:val="nil"/>
            </w:tcBorders>
            <w:shd w:val="clear" w:color="000000" w:fill="BFBFBF"/>
            <w:noWrap/>
            <w:vAlign w:val="center"/>
            <w:hideMark/>
          </w:tcPr>
          <w:p w14:paraId="03307699"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Rozdiel</w:t>
            </w:r>
          </w:p>
        </w:tc>
      </w:tr>
      <w:tr w:rsidR="00EA177A" w:rsidRPr="0088708C" w14:paraId="1CC5185E" w14:textId="77777777" w:rsidTr="00C704A7">
        <w:trPr>
          <w:trHeight w:val="330"/>
        </w:trPr>
        <w:tc>
          <w:tcPr>
            <w:tcW w:w="2746" w:type="dxa"/>
            <w:vMerge/>
            <w:tcBorders>
              <w:top w:val="nil"/>
              <w:left w:val="nil"/>
              <w:bottom w:val="nil"/>
              <w:right w:val="nil"/>
            </w:tcBorders>
            <w:vAlign w:val="center"/>
            <w:hideMark/>
          </w:tcPr>
          <w:p w14:paraId="13535127" w14:textId="77777777" w:rsidR="00EA177A" w:rsidRPr="0088708C" w:rsidRDefault="00EA177A" w:rsidP="00C704A7">
            <w:pPr>
              <w:spacing w:after="0" w:line="240" w:lineRule="auto"/>
              <w:jc w:val="left"/>
              <w:rPr>
                <w:rFonts w:eastAsia="Times New Roman" w:cs="Times New Roman"/>
                <w:b/>
                <w:bCs/>
                <w:sz w:val="18"/>
                <w:szCs w:val="18"/>
                <w:lang w:eastAsia="sk-SK"/>
              </w:rPr>
            </w:pPr>
          </w:p>
        </w:tc>
        <w:tc>
          <w:tcPr>
            <w:tcW w:w="850" w:type="dxa"/>
            <w:tcBorders>
              <w:top w:val="nil"/>
              <w:left w:val="nil"/>
              <w:bottom w:val="nil"/>
              <w:right w:val="nil"/>
            </w:tcBorders>
            <w:shd w:val="clear" w:color="000000" w:fill="BFBFBF"/>
            <w:noWrap/>
            <w:vAlign w:val="center"/>
            <w:hideMark/>
          </w:tcPr>
          <w:p w14:paraId="7E5CFD23"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2017</w:t>
            </w:r>
          </w:p>
        </w:tc>
        <w:tc>
          <w:tcPr>
            <w:tcW w:w="1134" w:type="dxa"/>
            <w:tcBorders>
              <w:top w:val="nil"/>
              <w:left w:val="nil"/>
              <w:bottom w:val="nil"/>
              <w:right w:val="nil"/>
            </w:tcBorders>
            <w:shd w:val="clear" w:color="000000" w:fill="BFBFBF"/>
            <w:noWrap/>
            <w:vAlign w:val="center"/>
            <w:hideMark/>
          </w:tcPr>
          <w:p w14:paraId="50681BDA"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2018</w:t>
            </w:r>
          </w:p>
        </w:tc>
        <w:tc>
          <w:tcPr>
            <w:tcW w:w="993" w:type="dxa"/>
            <w:tcBorders>
              <w:top w:val="nil"/>
              <w:left w:val="nil"/>
              <w:bottom w:val="nil"/>
              <w:right w:val="nil"/>
            </w:tcBorders>
            <w:shd w:val="clear" w:color="000000" w:fill="BFBFBF"/>
            <w:noWrap/>
            <w:vAlign w:val="center"/>
            <w:hideMark/>
          </w:tcPr>
          <w:p w14:paraId="45016904"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2019</w:t>
            </w:r>
          </w:p>
        </w:tc>
        <w:tc>
          <w:tcPr>
            <w:tcW w:w="1025" w:type="dxa"/>
            <w:tcBorders>
              <w:top w:val="nil"/>
              <w:left w:val="nil"/>
              <w:bottom w:val="nil"/>
              <w:right w:val="nil"/>
            </w:tcBorders>
            <w:shd w:val="clear" w:color="000000" w:fill="BFBFBF"/>
            <w:noWrap/>
            <w:vAlign w:val="center"/>
            <w:hideMark/>
          </w:tcPr>
          <w:p w14:paraId="62268ABA"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2019</w:t>
            </w:r>
          </w:p>
        </w:tc>
        <w:tc>
          <w:tcPr>
            <w:tcW w:w="851" w:type="dxa"/>
            <w:tcBorders>
              <w:top w:val="nil"/>
              <w:left w:val="nil"/>
              <w:bottom w:val="nil"/>
              <w:right w:val="nil"/>
            </w:tcBorders>
            <w:shd w:val="clear" w:color="000000" w:fill="BFBFBF"/>
            <w:noWrap/>
            <w:vAlign w:val="center"/>
            <w:hideMark/>
          </w:tcPr>
          <w:p w14:paraId="7BA4FE53"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v tis. eur</w:t>
            </w:r>
          </w:p>
        </w:tc>
        <w:tc>
          <w:tcPr>
            <w:tcW w:w="850" w:type="dxa"/>
            <w:tcBorders>
              <w:top w:val="nil"/>
              <w:left w:val="nil"/>
              <w:bottom w:val="nil"/>
              <w:right w:val="nil"/>
            </w:tcBorders>
            <w:shd w:val="clear" w:color="000000" w:fill="BFBFBF"/>
            <w:noWrap/>
            <w:vAlign w:val="center"/>
            <w:hideMark/>
          </w:tcPr>
          <w:p w14:paraId="03BDA08E"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v %</w:t>
            </w:r>
          </w:p>
        </w:tc>
      </w:tr>
      <w:tr w:rsidR="00EA177A" w:rsidRPr="0088708C" w14:paraId="43A248F8" w14:textId="77777777" w:rsidTr="00C704A7">
        <w:trPr>
          <w:trHeight w:val="345"/>
        </w:trPr>
        <w:tc>
          <w:tcPr>
            <w:tcW w:w="2746" w:type="dxa"/>
            <w:tcBorders>
              <w:top w:val="nil"/>
              <w:left w:val="nil"/>
              <w:bottom w:val="single" w:sz="8" w:space="0" w:color="auto"/>
              <w:right w:val="nil"/>
            </w:tcBorders>
            <w:shd w:val="clear" w:color="000000" w:fill="BFBFBF"/>
            <w:vAlign w:val="center"/>
            <w:hideMark/>
          </w:tcPr>
          <w:p w14:paraId="50448B24"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 </w:t>
            </w:r>
          </w:p>
        </w:tc>
        <w:tc>
          <w:tcPr>
            <w:tcW w:w="850" w:type="dxa"/>
            <w:tcBorders>
              <w:top w:val="nil"/>
              <w:left w:val="nil"/>
              <w:bottom w:val="single" w:sz="8" w:space="0" w:color="auto"/>
              <w:right w:val="nil"/>
            </w:tcBorders>
            <w:shd w:val="clear" w:color="000000" w:fill="BFBFBF"/>
            <w:noWrap/>
            <w:vAlign w:val="center"/>
            <w:hideMark/>
          </w:tcPr>
          <w:p w14:paraId="709AB85F"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1</w:t>
            </w:r>
          </w:p>
        </w:tc>
        <w:tc>
          <w:tcPr>
            <w:tcW w:w="1134" w:type="dxa"/>
            <w:tcBorders>
              <w:top w:val="nil"/>
              <w:left w:val="nil"/>
              <w:bottom w:val="single" w:sz="8" w:space="0" w:color="auto"/>
              <w:right w:val="nil"/>
            </w:tcBorders>
            <w:shd w:val="clear" w:color="000000" w:fill="BFBFBF"/>
            <w:noWrap/>
            <w:vAlign w:val="center"/>
            <w:hideMark/>
          </w:tcPr>
          <w:p w14:paraId="7A9FFB9C"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2</w:t>
            </w:r>
          </w:p>
        </w:tc>
        <w:tc>
          <w:tcPr>
            <w:tcW w:w="993" w:type="dxa"/>
            <w:tcBorders>
              <w:top w:val="nil"/>
              <w:left w:val="nil"/>
              <w:bottom w:val="single" w:sz="8" w:space="0" w:color="auto"/>
              <w:right w:val="nil"/>
            </w:tcBorders>
            <w:shd w:val="clear" w:color="000000" w:fill="BFBFBF"/>
            <w:noWrap/>
            <w:vAlign w:val="center"/>
            <w:hideMark/>
          </w:tcPr>
          <w:p w14:paraId="66848D79"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3</w:t>
            </w:r>
          </w:p>
        </w:tc>
        <w:tc>
          <w:tcPr>
            <w:tcW w:w="1025" w:type="dxa"/>
            <w:tcBorders>
              <w:top w:val="nil"/>
              <w:left w:val="nil"/>
              <w:bottom w:val="single" w:sz="8" w:space="0" w:color="auto"/>
              <w:right w:val="nil"/>
            </w:tcBorders>
            <w:shd w:val="clear" w:color="000000" w:fill="BFBFBF"/>
            <w:noWrap/>
            <w:vAlign w:val="center"/>
            <w:hideMark/>
          </w:tcPr>
          <w:p w14:paraId="06345A44"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4</w:t>
            </w:r>
          </w:p>
        </w:tc>
        <w:tc>
          <w:tcPr>
            <w:tcW w:w="851" w:type="dxa"/>
            <w:tcBorders>
              <w:top w:val="nil"/>
              <w:left w:val="nil"/>
              <w:bottom w:val="single" w:sz="8" w:space="0" w:color="auto"/>
              <w:right w:val="nil"/>
            </w:tcBorders>
            <w:shd w:val="clear" w:color="000000" w:fill="BFBFBF"/>
            <w:noWrap/>
            <w:vAlign w:val="center"/>
            <w:hideMark/>
          </w:tcPr>
          <w:p w14:paraId="2177871F"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5=4-3</w:t>
            </w:r>
          </w:p>
        </w:tc>
        <w:tc>
          <w:tcPr>
            <w:tcW w:w="850" w:type="dxa"/>
            <w:tcBorders>
              <w:top w:val="nil"/>
              <w:left w:val="nil"/>
              <w:bottom w:val="single" w:sz="8" w:space="0" w:color="auto"/>
              <w:right w:val="nil"/>
            </w:tcBorders>
            <w:shd w:val="clear" w:color="000000" w:fill="BFBFBF"/>
            <w:noWrap/>
            <w:vAlign w:val="center"/>
            <w:hideMark/>
          </w:tcPr>
          <w:p w14:paraId="01876E62" w14:textId="77777777" w:rsidR="00EA177A" w:rsidRPr="0088708C" w:rsidRDefault="00EA177A" w:rsidP="00C704A7">
            <w:pPr>
              <w:spacing w:after="0" w:line="240" w:lineRule="auto"/>
              <w:jc w:val="center"/>
              <w:rPr>
                <w:rFonts w:eastAsia="Times New Roman" w:cs="Times New Roman"/>
                <w:b/>
                <w:bCs/>
                <w:sz w:val="18"/>
                <w:szCs w:val="18"/>
                <w:lang w:eastAsia="sk-SK"/>
              </w:rPr>
            </w:pPr>
            <w:r w:rsidRPr="0088708C">
              <w:rPr>
                <w:rFonts w:eastAsia="Times New Roman" w:cs="Times New Roman"/>
                <w:b/>
                <w:bCs/>
                <w:sz w:val="18"/>
                <w:szCs w:val="18"/>
                <w:lang w:eastAsia="sk-SK"/>
              </w:rPr>
              <w:t>6=4-3</w:t>
            </w:r>
          </w:p>
        </w:tc>
      </w:tr>
      <w:tr w:rsidR="00EA177A" w:rsidRPr="0088708C" w14:paraId="6FA6630B" w14:textId="77777777" w:rsidTr="00C704A7">
        <w:trPr>
          <w:trHeight w:val="349"/>
        </w:trPr>
        <w:tc>
          <w:tcPr>
            <w:tcW w:w="2746" w:type="dxa"/>
            <w:tcBorders>
              <w:top w:val="nil"/>
              <w:left w:val="nil"/>
              <w:bottom w:val="nil"/>
              <w:right w:val="nil"/>
            </w:tcBorders>
            <w:shd w:val="clear" w:color="auto" w:fill="auto"/>
            <w:vAlign w:val="center"/>
            <w:hideMark/>
          </w:tcPr>
          <w:p w14:paraId="43D621BE" w14:textId="77777777" w:rsidR="00EA177A" w:rsidRPr="0088708C" w:rsidRDefault="00EA177A" w:rsidP="00C704A7">
            <w:pPr>
              <w:spacing w:after="0" w:line="240" w:lineRule="auto"/>
              <w:jc w:val="left"/>
              <w:rPr>
                <w:rFonts w:eastAsia="Times New Roman" w:cs="Times New Roman"/>
                <w:sz w:val="18"/>
                <w:szCs w:val="18"/>
                <w:lang w:eastAsia="sk-SK"/>
              </w:rPr>
            </w:pPr>
            <w:r w:rsidRPr="0088708C">
              <w:rPr>
                <w:rFonts w:eastAsia="Times New Roman" w:cs="Times New Roman"/>
                <w:sz w:val="18"/>
                <w:szCs w:val="18"/>
                <w:lang w:eastAsia="sk-SK"/>
              </w:rPr>
              <w:t>Ostatnej právnickej osobe</w:t>
            </w:r>
          </w:p>
        </w:tc>
        <w:tc>
          <w:tcPr>
            <w:tcW w:w="850" w:type="dxa"/>
            <w:tcBorders>
              <w:top w:val="nil"/>
              <w:left w:val="nil"/>
              <w:bottom w:val="nil"/>
              <w:right w:val="nil"/>
            </w:tcBorders>
            <w:shd w:val="clear" w:color="auto" w:fill="auto"/>
            <w:vAlign w:val="center"/>
            <w:hideMark/>
          </w:tcPr>
          <w:p w14:paraId="08D95E8D"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476 207</w:t>
            </w:r>
          </w:p>
        </w:tc>
        <w:tc>
          <w:tcPr>
            <w:tcW w:w="1134" w:type="dxa"/>
            <w:tcBorders>
              <w:top w:val="nil"/>
              <w:left w:val="nil"/>
              <w:bottom w:val="nil"/>
              <w:right w:val="nil"/>
            </w:tcBorders>
            <w:shd w:val="clear" w:color="000000" w:fill="FFFFFF"/>
            <w:vAlign w:val="center"/>
            <w:hideMark/>
          </w:tcPr>
          <w:p w14:paraId="160D099D"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530 115</w:t>
            </w:r>
          </w:p>
        </w:tc>
        <w:tc>
          <w:tcPr>
            <w:tcW w:w="993" w:type="dxa"/>
            <w:tcBorders>
              <w:top w:val="nil"/>
              <w:left w:val="nil"/>
              <w:bottom w:val="nil"/>
              <w:right w:val="nil"/>
            </w:tcBorders>
            <w:shd w:val="clear" w:color="auto" w:fill="auto"/>
            <w:vAlign w:val="center"/>
            <w:hideMark/>
          </w:tcPr>
          <w:p w14:paraId="0D367CF7"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915 197</w:t>
            </w:r>
          </w:p>
        </w:tc>
        <w:tc>
          <w:tcPr>
            <w:tcW w:w="1025" w:type="dxa"/>
            <w:tcBorders>
              <w:top w:val="nil"/>
              <w:left w:val="nil"/>
              <w:bottom w:val="nil"/>
              <w:right w:val="nil"/>
            </w:tcBorders>
            <w:shd w:val="clear" w:color="000000" w:fill="BFBFBF"/>
            <w:vAlign w:val="center"/>
            <w:hideMark/>
          </w:tcPr>
          <w:p w14:paraId="7E64DAA8"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649 596</w:t>
            </w:r>
          </w:p>
        </w:tc>
        <w:tc>
          <w:tcPr>
            <w:tcW w:w="851" w:type="dxa"/>
            <w:tcBorders>
              <w:top w:val="nil"/>
              <w:left w:val="nil"/>
              <w:bottom w:val="nil"/>
              <w:right w:val="nil"/>
            </w:tcBorders>
            <w:shd w:val="clear" w:color="auto" w:fill="auto"/>
            <w:vAlign w:val="center"/>
            <w:hideMark/>
          </w:tcPr>
          <w:p w14:paraId="7E255171"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-265 601</w:t>
            </w:r>
          </w:p>
        </w:tc>
        <w:tc>
          <w:tcPr>
            <w:tcW w:w="850" w:type="dxa"/>
            <w:tcBorders>
              <w:top w:val="nil"/>
              <w:left w:val="nil"/>
              <w:bottom w:val="nil"/>
              <w:right w:val="nil"/>
            </w:tcBorders>
            <w:shd w:val="clear" w:color="auto" w:fill="auto"/>
            <w:vAlign w:val="center"/>
            <w:hideMark/>
          </w:tcPr>
          <w:p w14:paraId="78B26A56"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-29,0</w:t>
            </w:r>
          </w:p>
        </w:tc>
      </w:tr>
      <w:tr w:rsidR="00EA177A" w:rsidRPr="0088708C" w14:paraId="5746DD7F" w14:textId="77777777" w:rsidTr="00C704A7">
        <w:trPr>
          <w:trHeight w:val="349"/>
        </w:trPr>
        <w:tc>
          <w:tcPr>
            <w:tcW w:w="2746" w:type="dxa"/>
            <w:tcBorders>
              <w:top w:val="nil"/>
              <w:left w:val="nil"/>
              <w:right w:val="nil"/>
            </w:tcBorders>
            <w:shd w:val="clear" w:color="auto" w:fill="auto"/>
            <w:vAlign w:val="center"/>
            <w:hideMark/>
          </w:tcPr>
          <w:p w14:paraId="5D329C4C" w14:textId="77777777" w:rsidR="00EA177A" w:rsidRPr="0088708C" w:rsidRDefault="00EA177A" w:rsidP="00C704A7">
            <w:pPr>
              <w:spacing w:after="0" w:line="240" w:lineRule="auto"/>
              <w:jc w:val="left"/>
              <w:rPr>
                <w:rFonts w:eastAsia="Times New Roman" w:cs="Times New Roman"/>
                <w:sz w:val="18"/>
                <w:szCs w:val="18"/>
                <w:lang w:eastAsia="sk-SK"/>
              </w:rPr>
            </w:pPr>
            <w:r w:rsidRPr="0088708C">
              <w:rPr>
                <w:rFonts w:eastAsia="Times New Roman" w:cs="Times New Roman"/>
                <w:sz w:val="18"/>
                <w:szCs w:val="18"/>
                <w:lang w:eastAsia="sk-SK"/>
              </w:rPr>
              <w:t>Fyzickej osobe podnikateľovi</w:t>
            </w:r>
          </w:p>
        </w:tc>
        <w:tc>
          <w:tcPr>
            <w:tcW w:w="850" w:type="dxa"/>
            <w:tcBorders>
              <w:top w:val="nil"/>
              <w:left w:val="nil"/>
              <w:right w:val="nil"/>
            </w:tcBorders>
            <w:shd w:val="clear" w:color="auto" w:fill="auto"/>
            <w:vAlign w:val="center"/>
            <w:hideMark/>
          </w:tcPr>
          <w:p w14:paraId="79A300D3"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90 998</w:t>
            </w:r>
          </w:p>
        </w:tc>
        <w:tc>
          <w:tcPr>
            <w:tcW w:w="1134" w:type="dxa"/>
            <w:tcBorders>
              <w:top w:val="nil"/>
              <w:left w:val="nil"/>
              <w:right w:val="nil"/>
            </w:tcBorders>
            <w:shd w:val="clear" w:color="000000" w:fill="FFFFFF"/>
            <w:vAlign w:val="center"/>
            <w:hideMark/>
          </w:tcPr>
          <w:p w14:paraId="7D638A19"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109 485</w:t>
            </w:r>
          </w:p>
        </w:tc>
        <w:tc>
          <w:tcPr>
            <w:tcW w:w="993" w:type="dxa"/>
            <w:tcBorders>
              <w:top w:val="nil"/>
              <w:left w:val="nil"/>
              <w:right w:val="nil"/>
            </w:tcBorders>
            <w:shd w:val="clear" w:color="auto" w:fill="auto"/>
            <w:vAlign w:val="center"/>
            <w:hideMark/>
          </w:tcPr>
          <w:p w14:paraId="6EB5CD33"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196</w:t>
            </w:r>
          </w:p>
        </w:tc>
        <w:tc>
          <w:tcPr>
            <w:tcW w:w="1025" w:type="dxa"/>
            <w:tcBorders>
              <w:top w:val="nil"/>
              <w:left w:val="nil"/>
              <w:right w:val="nil"/>
            </w:tcBorders>
            <w:shd w:val="clear" w:color="000000" w:fill="BFBFBF"/>
            <w:vAlign w:val="center"/>
            <w:hideMark/>
          </w:tcPr>
          <w:p w14:paraId="4F8E21ED"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111 041</w:t>
            </w:r>
          </w:p>
        </w:tc>
        <w:tc>
          <w:tcPr>
            <w:tcW w:w="851" w:type="dxa"/>
            <w:tcBorders>
              <w:top w:val="nil"/>
              <w:left w:val="nil"/>
              <w:right w:val="nil"/>
            </w:tcBorders>
            <w:shd w:val="clear" w:color="auto" w:fill="auto"/>
            <w:vAlign w:val="center"/>
            <w:hideMark/>
          </w:tcPr>
          <w:p w14:paraId="1AB85971"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110 845</w:t>
            </w:r>
          </w:p>
        </w:tc>
        <w:tc>
          <w:tcPr>
            <w:tcW w:w="850" w:type="dxa"/>
            <w:tcBorders>
              <w:top w:val="nil"/>
              <w:left w:val="nil"/>
              <w:right w:val="nil"/>
            </w:tcBorders>
            <w:shd w:val="clear" w:color="auto" w:fill="auto"/>
            <w:vAlign w:val="center"/>
            <w:hideMark/>
          </w:tcPr>
          <w:p w14:paraId="2D4BFD73"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56553,6</w:t>
            </w:r>
          </w:p>
        </w:tc>
      </w:tr>
      <w:tr w:rsidR="00EA177A" w:rsidRPr="0088708C" w14:paraId="38E0D59E" w14:textId="77777777" w:rsidTr="0044781D">
        <w:trPr>
          <w:trHeight w:val="578"/>
        </w:trPr>
        <w:tc>
          <w:tcPr>
            <w:tcW w:w="2746" w:type="dxa"/>
            <w:tcBorders>
              <w:top w:val="nil"/>
              <w:left w:val="nil"/>
              <w:bottom w:val="single" w:sz="4" w:space="0" w:color="auto"/>
              <w:right w:val="nil"/>
            </w:tcBorders>
            <w:shd w:val="clear" w:color="auto" w:fill="auto"/>
            <w:vAlign w:val="center"/>
            <w:hideMark/>
          </w:tcPr>
          <w:p w14:paraId="54AC3E3B" w14:textId="09DA9252" w:rsidR="00EA177A" w:rsidRPr="0088708C" w:rsidRDefault="00EA177A" w:rsidP="00354633">
            <w:pPr>
              <w:spacing w:after="0" w:line="240" w:lineRule="auto"/>
              <w:jc w:val="left"/>
              <w:rPr>
                <w:rFonts w:eastAsia="Times New Roman" w:cs="Times New Roman"/>
                <w:sz w:val="18"/>
                <w:szCs w:val="18"/>
                <w:lang w:eastAsia="sk-SK"/>
              </w:rPr>
            </w:pPr>
            <w:r w:rsidRPr="0088708C">
              <w:rPr>
                <w:rFonts w:eastAsia="Times New Roman" w:cs="Times New Roman"/>
                <w:sz w:val="18"/>
                <w:szCs w:val="18"/>
                <w:lang w:eastAsia="sk-SK"/>
              </w:rPr>
              <w:t xml:space="preserve">Právnickej osobe založenej štátom, obcou alebo </w:t>
            </w:r>
            <w:r w:rsidR="00354633">
              <w:rPr>
                <w:rFonts w:eastAsia="Times New Roman" w:cs="Times New Roman"/>
                <w:sz w:val="18"/>
                <w:szCs w:val="18"/>
                <w:lang w:eastAsia="sk-SK"/>
              </w:rPr>
              <w:t>VÚC</w:t>
            </w:r>
          </w:p>
        </w:tc>
        <w:tc>
          <w:tcPr>
            <w:tcW w:w="850" w:type="dxa"/>
            <w:tcBorders>
              <w:top w:val="nil"/>
              <w:left w:val="nil"/>
              <w:bottom w:val="single" w:sz="4" w:space="0" w:color="auto"/>
              <w:right w:val="nil"/>
            </w:tcBorders>
            <w:shd w:val="clear" w:color="auto" w:fill="auto"/>
            <w:vAlign w:val="center"/>
            <w:hideMark/>
          </w:tcPr>
          <w:p w14:paraId="6EDC4941"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75 915</w:t>
            </w:r>
          </w:p>
        </w:tc>
        <w:tc>
          <w:tcPr>
            <w:tcW w:w="1134" w:type="dxa"/>
            <w:tcBorders>
              <w:top w:val="nil"/>
              <w:left w:val="nil"/>
              <w:bottom w:val="single" w:sz="4" w:space="0" w:color="auto"/>
              <w:right w:val="nil"/>
            </w:tcBorders>
            <w:shd w:val="clear" w:color="000000" w:fill="FFFFFF"/>
            <w:vAlign w:val="center"/>
            <w:hideMark/>
          </w:tcPr>
          <w:p w14:paraId="13F32B11"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74 255</w:t>
            </w:r>
          </w:p>
        </w:tc>
        <w:tc>
          <w:tcPr>
            <w:tcW w:w="993" w:type="dxa"/>
            <w:tcBorders>
              <w:top w:val="nil"/>
              <w:left w:val="nil"/>
              <w:bottom w:val="single" w:sz="4" w:space="0" w:color="auto"/>
              <w:right w:val="nil"/>
            </w:tcBorders>
            <w:shd w:val="clear" w:color="auto" w:fill="auto"/>
            <w:vAlign w:val="center"/>
            <w:hideMark/>
          </w:tcPr>
          <w:p w14:paraId="72C7E6BE"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37 164</w:t>
            </w:r>
          </w:p>
        </w:tc>
        <w:tc>
          <w:tcPr>
            <w:tcW w:w="1025" w:type="dxa"/>
            <w:tcBorders>
              <w:top w:val="nil"/>
              <w:left w:val="nil"/>
              <w:bottom w:val="single" w:sz="4" w:space="0" w:color="auto"/>
              <w:right w:val="nil"/>
            </w:tcBorders>
            <w:shd w:val="clear" w:color="auto" w:fill="BFBFBF" w:themeFill="background1" w:themeFillShade="BF"/>
            <w:vAlign w:val="center"/>
            <w:hideMark/>
          </w:tcPr>
          <w:p w14:paraId="79EBF05F"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54 270</w:t>
            </w:r>
          </w:p>
        </w:tc>
        <w:tc>
          <w:tcPr>
            <w:tcW w:w="851" w:type="dxa"/>
            <w:tcBorders>
              <w:top w:val="nil"/>
              <w:left w:val="nil"/>
              <w:bottom w:val="single" w:sz="4" w:space="0" w:color="auto"/>
              <w:right w:val="nil"/>
            </w:tcBorders>
            <w:shd w:val="clear" w:color="auto" w:fill="auto"/>
            <w:vAlign w:val="center"/>
            <w:hideMark/>
          </w:tcPr>
          <w:p w14:paraId="6B715556"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17 106</w:t>
            </w:r>
          </w:p>
        </w:tc>
        <w:tc>
          <w:tcPr>
            <w:tcW w:w="850" w:type="dxa"/>
            <w:tcBorders>
              <w:top w:val="nil"/>
              <w:left w:val="nil"/>
              <w:bottom w:val="single" w:sz="4" w:space="0" w:color="auto"/>
              <w:right w:val="nil"/>
            </w:tcBorders>
            <w:shd w:val="clear" w:color="auto" w:fill="auto"/>
            <w:vAlign w:val="center"/>
            <w:hideMark/>
          </w:tcPr>
          <w:p w14:paraId="75E3A293" w14:textId="77777777" w:rsidR="00EA177A" w:rsidRPr="0088708C" w:rsidRDefault="00EA177A" w:rsidP="00C704A7">
            <w:pPr>
              <w:spacing w:after="0" w:line="240" w:lineRule="auto"/>
              <w:jc w:val="right"/>
              <w:rPr>
                <w:rFonts w:eastAsia="Times New Roman" w:cs="Times New Roman"/>
                <w:sz w:val="18"/>
                <w:szCs w:val="18"/>
                <w:lang w:eastAsia="sk-SK"/>
              </w:rPr>
            </w:pPr>
            <w:r w:rsidRPr="0088708C">
              <w:rPr>
                <w:rFonts w:eastAsia="Times New Roman" w:cs="Times New Roman"/>
                <w:sz w:val="18"/>
                <w:szCs w:val="18"/>
                <w:lang w:eastAsia="sk-SK"/>
              </w:rPr>
              <w:t>46,0</w:t>
            </w:r>
          </w:p>
        </w:tc>
      </w:tr>
      <w:tr w:rsidR="00EA177A" w:rsidRPr="0088708C" w14:paraId="3D5753B2" w14:textId="77777777" w:rsidTr="0044781D">
        <w:trPr>
          <w:trHeight w:val="345"/>
        </w:trPr>
        <w:tc>
          <w:tcPr>
            <w:tcW w:w="2746" w:type="dxa"/>
            <w:tcBorders>
              <w:top w:val="single" w:sz="4" w:space="0" w:color="auto"/>
              <w:left w:val="nil"/>
              <w:bottom w:val="single" w:sz="8" w:space="0" w:color="auto"/>
              <w:right w:val="nil"/>
            </w:tcBorders>
            <w:shd w:val="clear" w:color="auto" w:fill="auto"/>
            <w:vAlign w:val="center"/>
            <w:hideMark/>
          </w:tcPr>
          <w:p w14:paraId="246FDDC0" w14:textId="77777777" w:rsidR="00EA177A" w:rsidRPr="0088708C" w:rsidRDefault="00EA177A" w:rsidP="00C704A7">
            <w:pPr>
              <w:spacing w:after="0" w:line="240" w:lineRule="auto"/>
              <w:jc w:val="left"/>
              <w:rPr>
                <w:rFonts w:eastAsia="Times New Roman" w:cs="Times New Roman"/>
                <w:b/>
                <w:bCs/>
                <w:sz w:val="18"/>
                <w:szCs w:val="18"/>
                <w:lang w:eastAsia="sk-SK"/>
              </w:rPr>
            </w:pPr>
            <w:r w:rsidRPr="0088708C">
              <w:rPr>
                <w:rFonts w:eastAsia="Times New Roman" w:cs="Times New Roman"/>
                <w:b/>
                <w:bCs/>
                <w:sz w:val="18"/>
                <w:szCs w:val="18"/>
                <w:lang w:eastAsia="sk-SK"/>
              </w:rPr>
              <w:t>Spolu</w:t>
            </w:r>
          </w:p>
        </w:tc>
        <w:tc>
          <w:tcPr>
            <w:tcW w:w="850" w:type="dxa"/>
            <w:tcBorders>
              <w:top w:val="single" w:sz="4" w:space="0" w:color="auto"/>
              <w:left w:val="nil"/>
              <w:bottom w:val="single" w:sz="8" w:space="0" w:color="auto"/>
              <w:right w:val="nil"/>
            </w:tcBorders>
            <w:shd w:val="clear" w:color="auto" w:fill="auto"/>
            <w:noWrap/>
            <w:vAlign w:val="center"/>
            <w:hideMark/>
          </w:tcPr>
          <w:p w14:paraId="729ACFEF" w14:textId="77777777" w:rsidR="00EA177A" w:rsidRPr="0088708C" w:rsidRDefault="00EA177A" w:rsidP="00C704A7">
            <w:pPr>
              <w:spacing w:after="0" w:line="240" w:lineRule="auto"/>
              <w:jc w:val="right"/>
              <w:rPr>
                <w:rFonts w:eastAsia="Times New Roman" w:cs="Times New Roman"/>
                <w:b/>
                <w:bCs/>
                <w:sz w:val="18"/>
                <w:szCs w:val="18"/>
                <w:lang w:eastAsia="sk-SK"/>
              </w:rPr>
            </w:pPr>
            <w:r w:rsidRPr="0088708C">
              <w:rPr>
                <w:rFonts w:eastAsia="Times New Roman" w:cs="Times New Roman"/>
                <w:b/>
                <w:bCs/>
                <w:sz w:val="18"/>
                <w:szCs w:val="18"/>
                <w:lang w:eastAsia="sk-SK"/>
              </w:rPr>
              <w:t>643 120</w:t>
            </w:r>
          </w:p>
        </w:tc>
        <w:tc>
          <w:tcPr>
            <w:tcW w:w="1134" w:type="dxa"/>
            <w:tcBorders>
              <w:top w:val="single" w:sz="4" w:space="0" w:color="auto"/>
              <w:left w:val="nil"/>
              <w:bottom w:val="single" w:sz="8" w:space="0" w:color="auto"/>
              <w:right w:val="nil"/>
            </w:tcBorders>
            <w:shd w:val="clear" w:color="auto" w:fill="auto"/>
            <w:noWrap/>
            <w:vAlign w:val="center"/>
            <w:hideMark/>
          </w:tcPr>
          <w:p w14:paraId="38280514" w14:textId="77777777" w:rsidR="00EA177A" w:rsidRPr="0088708C" w:rsidRDefault="00EA177A" w:rsidP="00C704A7">
            <w:pPr>
              <w:spacing w:after="0" w:line="240" w:lineRule="auto"/>
              <w:jc w:val="right"/>
              <w:rPr>
                <w:rFonts w:eastAsia="Times New Roman" w:cs="Times New Roman"/>
                <w:b/>
                <w:bCs/>
                <w:sz w:val="18"/>
                <w:szCs w:val="18"/>
                <w:lang w:eastAsia="sk-SK"/>
              </w:rPr>
            </w:pPr>
            <w:r w:rsidRPr="0088708C">
              <w:rPr>
                <w:rFonts w:eastAsia="Times New Roman" w:cs="Times New Roman"/>
                <w:b/>
                <w:bCs/>
                <w:sz w:val="18"/>
                <w:szCs w:val="18"/>
                <w:lang w:eastAsia="sk-SK"/>
              </w:rPr>
              <w:t>713 855</w:t>
            </w:r>
          </w:p>
        </w:tc>
        <w:tc>
          <w:tcPr>
            <w:tcW w:w="993" w:type="dxa"/>
            <w:tcBorders>
              <w:top w:val="single" w:sz="4" w:space="0" w:color="auto"/>
              <w:left w:val="nil"/>
              <w:bottom w:val="single" w:sz="8" w:space="0" w:color="auto"/>
              <w:right w:val="nil"/>
            </w:tcBorders>
            <w:shd w:val="clear" w:color="auto" w:fill="auto"/>
            <w:noWrap/>
            <w:vAlign w:val="center"/>
            <w:hideMark/>
          </w:tcPr>
          <w:p w14:paraId="7257907A" w14:textId="77777777" w:rsidR="00EA177A" w:rsidRPr="0088708C" w:rsidRDefault="00EA177A" w:rsidP="00C704A7">
            <w:pPr>
              <w:spacing w:after="0" w:line="240" w:lineRule="auto"/>
              <w:jc w:val="right"/>
              <w:rPr>
                <w:rFonts w:eastAsia="Times New Roman" w:cs="Times New Roman"/>
                <w:b/>
                <w:bCs/>
                <w:sz w:val="18"/>
                <w:szCs w:val="18"/>
                <w:lang w:eastAsia="sk-SK"/>
              </w:rPr>
            </w:pPr>
            <w:r w:rsidRPr="0088708C">
              <w:rPr>
                <w:rFonts w:eastAsia="Times New Roman" w:cs="Times New Roman"/>
                <w:b/>
                <w:bCs/>
                <w:sz w:val="18"/>
                <w:szCs w:val="18"/>
                <w:lang w:eastAsia="sk-SK"/>
              </w:rPr>
              <w:t>952 557</w:t>
            </w:r>
          </w:p>
        </w:tc>
        <w:tc>
          <w:tcPr>
            <w:tcW w:w="1025" w:type="dxa"/>
            <w:tcBorders>
              <w:top w:val="single" w:sz="4" w:space="0" w:color="auto"/>
              <w:left w:val="nil"/>
              <w:bottom w:val="single" w:sz="8" w:space="0" w:color="auto"/>
              <w:right w:val="nil"/>
            </w:tcBorders>
            <w:shd w:val="clear" w:color="auto" w:fill="BFBFBF" w:themeFill="background1" w:themeFillShade="BF"/>
            <w:noWrap/>
            <w:vAlign w:val="center"/>
            <w:hideMark/>
          </w:tcPr>
          <w:p w14:paraId="244E8BB6" w14:textId="77777777" w:rsidR="00EA177A" w:rsidRPr="0088708C" w:rsidRDefault="00EA177A" w:rsidP="00C704A7">
            <w:pPr>
              <w:spacing w:after="0" w:line="240" w:lineRule="auto"/>
              <w:jc w:val="right"/>
              <w:rPr>
                <w:rFonts w:eastAsia="Times New Roman" w:cs="Times New Roman"/>
                <w:b/>
                <w:bCs/>
                <w:sz w:val="18"/>
                <w:szCs w:val="18"/>
                <w:lang w:eastAsia="sk-SK"/>
              </w:rPr>
            </w:pPr>
            <w:r w:rsidRPr="0088708C">
              <w:rPr>
                <w:rFonts w:eastAsia="Times New Roman" w:cs="Times New Roman"/>
                <w:b/>
                <w:bCs/>
                <w:sz w:val="18"/>
                <w:szCs w:val="18"/>
                <w:lang w:eastAsia="sk-SK"/>
              </w:rPr>
              <w:t>814 907</w:t>
            </w:r>
          </w:p>
        </w:tc>
        <w:tc>
          <w:tcPr>
            <w:tcW w:w="851" w:type="dxa"/>
            <w:tcBorders>
              <w:top w:val="single" w:sz="4" w:space="0" w:color="auto"/>
              <w:left w:val="nil"/>
              <w:bottom w:val="single" w:sz="8" w:space="0" w:color="auto"/>
              <w:right w:val="nil"/>
            </w:tcBorders>
            <w:shd w:val="clear" w:color="auto" w:fill="auto"/>
            <w:vAlign w:val="center"/>
            <w:hideMark/>
          </w:tcPr>
          <w:p w14:paraId="74529477" w14:textId="77777777" w:rsidR="00EA177A" w:rsidRPr="0088708C" w:rsidRDefault="00EA177A" w:rsidP="00C704A7">
            <w:pPr>
              <w:spacing w:after="0" w:line="240" w:lineRule="auto"/>
              <w:jc w:val="right"/>
              <w:rPr>
                <w:rFonts w:eastAsia="Times New Roman" w:cs="Times New Roman"/>
                <w:b/>
                <w:bCs/>
                <w:sz w:val="18"/>
                <w:szCs w:val="18"/>
                <w:lang w:eastAsia="sk-SK"/>
              </w:rPr>
            </w:pPr>
            <w:r w:rsidRPr="0088708C">
              <w:rPr>
                <w:rFonts w:eastAsia="Times New Roman" w:cs="Times New Roman"/>
                <w:b/>
                <w:bCs/>
                <w:sz w:val="18"/>
                <w:szCs w:val="18"/>
                <w:lang w:eastAsia="sk-SK"/>
              </w:rPr>
              <w:t>-137 650</w:t>
            </w:r>
          </w:p>
        </w:tc>
        <w:tc>
          <w:tcPr>
            <w:tcW w:w="850" w:type="dxa"/>
            <w:tcBorders>
              <w:top w:val="single" w:sz="4" w:space="0" w:color="auto"/>
              <w:left w:val="nil"/>
              <w:bottom w:val="single" w:sz="8" w:space="0" w:color="auto"/>
              <w:right w:val="nil"/>
            </w:tcBorders>
            <w:shd w:val="clear" w:color="auto" w:fill="auto"/>
            <w:vAlign w:val="center"/>
            <w:hideMark/>
          </w:tcPr>
          <w:p w14:paraId="1F1680C9" w14:textId="77777777" w:rsidR="00EA177A" w:rsidRPr="0088708C" w:rsidRDefault="00EA177A" w:rsidP="00C704A7">
            <w:pPr>
              <w:spacing w:after="0" w:line="240" w:lineRule="auto"/>
              <w:jc w:val="right"/>
              <w:rPr>
                <w:rFonts w:eastAsia="Times New Roman" w:cs="Times New Roman"/>
                <w:b/>
                <w:bCs/>
                <w:sz w:val="18"/>
                <w:szCs w:val="18"/>
                <w:lang w:eastAsia="sk-SK"/>
              </w:rPr>
            </w:pPr>
            <w:r w:rsidRPr="0088708C">
              <w:rPr>
                <w:rFonts w:eastAsia="Times New Roman" w:cs="Times New Roman"/>
                <w:b/>
                <w:bCs/>
                <w:sz w:val="18"/>
                <w:szCs w:val="18"/>
                <w:lang w:eastAsia="sk-SK"/>
              </w:rPr>
              <w:t>-14,5</w:t>
            </w:r>
          </w:p>
        </w:tc>
      </w:tr>
    </w:tbl>
    <w:p w14:paraId="5A32A1BD" w14:textId="77777777" w:rsidR="00EA177A" w:rsidRPr="00645FDD" w:rsidRDefault="00EA177A" w:rsidP="00EA177A">
      <w:pPr>
        <w:spacing w:after="200"/>
        <w:jc w:val="right"/>
      </w:pPr>
      <w:r w:rsidRPr="00715BA4">
        <w:rPr>
          <w:sz w:val="18"/>
          <w:szCs w:val="18"/>
        </w:rPr>
        <w:t>Z</w:t>
      </w:r>
      <w:r w:rsidRPr="00645FDD">
        <w:rPr>
          <w:sz w:val="18"/>
          <w:szCs w:val="18"/>
        </w:rPr>
        <w:t>droj: MF SR</w:t>
      </w:r>
    </w:p>
    <w:p w14:paraId="6373B3D6" w14:textId="77777777" w:rsidR="00EA177A" w:rsidRPr="00140200" w:rsidRDefault="00EA177A" w:rsidP="00EA177A">
      <w:r w:rsidRPr="00645FDD">
        <w:t xml:space="preserve">Najvyšší podiel tvorili </w:t>
      </w:r>
      <w:r w:rsidRPr="00645FDD">
        <w:rPr>
          <w:bCs/>
          <w:i/>
          <w:u w:val="single"/>
        </w:rPr>
        <w:t>transfery ostatn</w:t>
      </w:r>
      <w:r>
        <w:rPr>
          <w:bCs/>
          <w:i/>
          <w:u w:val="single"/>
        </w:rPr>
        <w:t>ým</w:t>
      </w:r>
      <w:r w:rsidRPr="00645FDD">
        <w:rPr>
          <w:bCs/>
          <w:i/>
          <w:u w:val="single"/>
        </w:rPr>
        <w:t xml:space="preserve"> právnick</w:t>
      </w:r>
      <w:r>
        <w:rPr>
          <w:bCs/>
          <w:i/>
          <w:u w:val="single"/>
        </w:rPr>
        <w:t>ým</w:t>
      </w:r>
      <w:r w:rsidRPr="00645FDD">
        <w:rPr>
          <w:bCs/>
          <w:i/>
          <w:u w:val="single"/>
        </w:rPr>
        <w:t xml:space="preserve"> osob</w:t>
      </w:r>
      <w:r>
        <w:rPr>
          <w:bCs/>
          <w:i/>
          <w:u w:val="single"/>
        </w:rPr>
        <w:t>ám</w:t>
      </w:r>
      <w:r w:rsidRPr="00645FDD">
        <w:t>,</w:t>
      </w:r>
      <w:r w:rsidRPr="00D744D2">
        <w:t xml:space="preserve"> </w:t>
      </w:r>
      <w:r w:rsidRPr="00645FDD">
        <w:t>ktoré boli v rozhodujúcej miere hradené rezortom</w:t>
      </w:r>
      <w:r w:rsidRPr="00D744D2">
        <w:rPr>
          <w:color w:val="FF0000"/>
        </w:rPr>
        <w:t xml:space="preserve"> </w:t>
      </w:r>
      <w:r w:rsidRPr="00645FDD">
        <w:t>Ministerstva pôdohospodárstva a rozvoja vidieka SR v sume</w:t>
      </w:r>
      <w:r w:rsidRPr="00D744D2">
        <w:t xml:space="preserve"> </w:t>
      </w:r>
      <w:r w:rsidRPr="00645FDD">
        <w:t>564 942 tis. eur</w:t>
      </w:r>
      <w:r w:rsidRPr="00140200">
        <w:t>, a to priame platby z Európskeho poľnohospodárskeho a záručného fondu</w:t>
      </w:r>
      <w:r>
        <w:t xml:space="preserve"> (399 925 tis. eur), na projektové podpory poskytnuté v rámci programu rozvoja vidieka SR 2014 </w:t>
      </w:r>
      <w:r w:rsidRPr="00645FDD">
        <w:t>-</w:t>
      </w:r>
      <w:r>
        <w:t xml:space="preserve"> </w:t>
      </w:r>
      <w:r w:rsidRPr="00645FDD">
        <w:t xml:space="preserve">2020 (111 911 tis. eur), </w:t>
      </w:r>
      <w:r w:rsidRPr="00140200">
        <w:t>program Štátna pomoc (38 358 tis. eur),</w:t>
      </w:r>
      <w:r w:rsidRPr="00B72CD3">
        <w:t xml:space="preserve"> Kompenzačná platba v horských oblastiach (27 640 tis. eur), Platba na dobré životné podmienky zvierat (25 194 tis. eur), Kompenzačná platba na ostatné oblasti, ktoré čelia významným prírodným obmedzeniam (18 659 tis. eur), Platba na enviro</w:t>
      </w:r>
      <w:r>
        <w:t>n</w:t>
      </w:r>
      <w:r w:rsidRPr="00B72CD3">
        <w:t>mentálne záväzky</w:t>
      </w:r>
      <w:r>
        <w:t xml:space="preserve"> súvisiace s klímou (17 576 tis. eur) a iné. Skutočné čerpanie oproti rozpočtu bolo o 259 237 tis. eur nižšie, z dôvodu, že schválený rozpočet vychádza z očakávaných odhadov čerpania týchto prostriedkov v jednotlivých výzvach, a nie z už </w:t>
      </w:r>
      <w:proofErr w:type="spellStart"/>
      <w:r>
        <w:t>zazmluvnených</w:t>
      </w:r>
      <w:proofErr w:type="spellEnd"/>
      <w:r>
        <w:t xml:space="preserve"> prostriedkov.</w:t>
      </w:r>
      <w:r w:rsidRPr="00D744D2">
        <w:t xml:space="preserve"> </w:t>
      </w:r>
    </w:p>
    <w:p w14:paraId="68C71353" w14:textId="77777777" w:rsidR="00EA177A" w:rsidRPr="00B72CD3" w:rsidRDefault="00EA177A" w:rsidP="00EA177A">
      <w:r w:rsidRPr="00B72CD3">
        <w:rPr>
          <w:i/>
          <w:u w:val="single"/>
        </w:rPr>
        <w:t>Transfery fyzick</w:t>
      </w:r>
      <w:r>
        <w:rPr>
          <w:i/>
          <w:u w:val="single"/>
        </w:rPr>
        <w:t>ým</w:t>
      </w:r>
      <w:r w:rsidRPr="00B72CD3">
        <w:rPr>
          <w:i/>
          <w:u w:val="single"/>
        </w:rPr>
        <w:t xml:space="preserve"> osob</w:t>
      </w:r>
      <w:r>
        <w:rPr>
          <w:i/>
          <w:u w:val="single"/>
        </w:rPr>
        <w:t>ám</w:t>
      </w:r>
      <w:r w:rsidRPr="00B72CD3">
        <w:rPr>
          <w:i/>
          <w:u w:val="single"/>
        </w:rPr>
        <w:t xml:space="preserve"> podnikateľo</w:t>
      </w:r>
      <w:r>
        <w:rPr>
          <w:i/>
          <w:u w:val="single"/>
        </w:rPr>
        <w:t>m</w:t>
      </w:r>
      <w:r w:rsidRPr="00B72CD3">
        <w:rPr>
          <w:b/>
        </w:rPr>
        <w:t xml:space="preserve"> </w:t>
      </w:r>
      <w:r w:rsidRPr="00B72CD3">
        <w:t>v sume</w:t>
      </w:r>
      <w:r w:rsidRPr="00D744D2">
        <w:t xml:space="preserve"> </w:t>
      </w:r>
      <w:r w:rsidRPr="00B72CD3">
        <w:t>111 041 tis. eur</w:t>
      </w:r>
      <w:r w:rsidRPr="0066770E">
        <w:rPr>
          <w:b/>
        </w:rPr>
        <w:t xml:space="preserve"> </w:t>
      </w:r>
      <w:r w:rsidRPr="0066770E">
        <w:t>boli poskytnuté v rozhodujúcej miere Ministerstvom pôdohospodárstva a rozvoja vidieka SR v sume 1</w:t>
      </w:r>
      <w:r>
        <w:t xml:space="preserve">10 021 tis. eur. Z týchto finančných prostriedkov bola uhradená podpora v rámci priamych platieb z Európskeho poľnohospodárskeho a záručného fondu (88 081 tis. eur), projektové podpory poskytnuté v rámci programu Rozvoj vidieka SR 2014 </w:t>
      </w:r>
      <w:r w:rsidRPr="00B72CD3">
        <w:t>-</w:t>
      </w:r>
      <w:r>
        <w:t xml:space="preserve"> </w:t>
      </w:r>
      <w:r w:rsidRPr="00B72CD3">
        <w:t>2020 (17 832 tis. eur), Kompenzačná platba v horských oblastiach (6 521 tis. eur), ďalej v rámci progra</w:t>
      </w:r>
      <w:r>
        <w:t xml:space="preserve">mu Kompenzačná platba na ostatné oblasti, ktoré čelia významným prírodným obmedzeniam (4 457 tis. eur) a na platby iných projektov. </w:t>
      </w:r>
    </w:p>
    <w:p w14:paraId="383D3749" w14:textId="77777777" w:rsidR="00EA177A" w:rsidRDefault="00EA177A" w:rsidP="00EA177A">
      <w:r w:rsidRPr="0066770E">
        <w:t xml:space="preserve">Pri </w:t>
      </w:r>
      <w:r w:rsidRPr="0066770E">
        <w:rPr>
          <w:i/>
          <w:u w:val="single"/>
        </w:rPr>
        <w:t>transferoch</w:t>
      </w:r>
      <w:r w:rsidRPr="0066770E">
        <w:rPr>
          <w:b/>
          <w:u w:val="single"/>
        </w:rPr>
        <w:t xml:space="preserve"> </w:t>
      </w:r>
      <w:r w:rsidRPr="008076AF">
        <w:rPr>
          <w:i/>
          <w:u w:val="single"/>
        </w:rPr>
        <w:t>právnick</w:t>
      </w:r>
      <w:r>
        <w:rPr>
          <w:i/>
          <w:u w:val="single"/>
        </w:rPr>
        <w:t>ým</w:t>
      </w:r>
      <w:r w:rsidRPr="008076AF">
        <w:rPr>
          <w:i/>
          <w:u w:val="single"/>
        </w:rPr>
        <w:t xml:space="preserve"> osob</w:t>
      </w:r>
      <w:r>
        <w:rPr>
          <w:i/>
          <w:u w:val="single"/>
        </w:rPr>
        <w:t>ám</w:t>
      </w:r>
      <w:r w:rsidRPr="008076AF">
        <w:rPr>
          <w:i/>
          <w:u w:val="single"/>
        </w:rPr>
        <w:t xml:space="preserve"> založen</w:t>
      </w:r>
      <w:r>
        <w:rPr>
          <w:i/>
          <w:u w:val="single"/>
        </w:rPr>
        <w:t>ým</w:t>
      </w:r>
      <w:r w:rsidRPr="008076AF">
        <w:rPr>
          <w:i/>
          <w:u w:val="single"/>
        </w:rPr>
        <w:t xml:space="preserve"> štátom, obcou alebo vyšším územným celkom</w:t>
      </w:r>
      <w:r w:rsidRPr="008076AF">
        <w:rPr>
          <w:b/>
        </w:rPr>
        <w:t xml:space="preserve">, </w:t>
      </w:r>
      <w:r w:rsidRPr="008076AF">
        <w:t>ktoré boli čerpané v objeme</w:t>
      </w:r>
      <w:r w:rsidRPr="00D744D2">
        <w:t xml:space="preserve"> </w:t>
      </w:r>
      <w:r w:rsidRPr="0066770E">
        <w:t>54 270</w:t>
      </w:r>
      <w:r w:rsidRPr="008076AF">
        <w:t> tis. eur, najviac finančných prostriedkov poskytla kapitola Ministerstva životného prostredia SR v sume</w:t>
      </w:r>
      <w:r w:rsidRPr="00D744D2">
        <w:t xml:space="preserve"> </w:t>
      </w:r>
      <w:r w:rsidRPr="0066770E">
        <w:t>28</w:t>
      </w:r>
      <w:r w:rsidRPr="008076AF">
        <w:t xml:space="preserve"> 204 tis. eur, </w:t>
      </w:r>
      <w:r w:rsidRPr="008076AF">
        <w:rPr>
          <w:rFonts w:cs="Times New Roman"/>
        </w:rPr>
        <w:t xml:space="preserve">čo je oproti schválenému rozpočtu o 8 704 tis. eur viac. Z toho </w:t>
      </w:r>
      <w:r>
        <w:rPr>
          <w:rFonts w:cs="Times New Roman"/>
        </w:rPr>
        <w:t>27 535 tis. eur bolo určených</w:t>
      </w:r>
      <w:r w:rsidRPr="008076AF">
        <w:rPr>
          <w:rFonts w:cs="Times New Roman"/>
        </w:rPr>
        <w:t xml:space="preserve"> Slovenskému vodohospodárskemu podniku</w:t>
      </w:r>
      <w:r>
        <w:rPr>
          <w:rFonts w:cs="Times New Roman"/>
        </w:rPr>
        <w:t xml:space="preserve">, š. p. na neregulované platby a povodňové zabezpečovacie práce. Navýšenie skutočne čerpaných výdavkov bolo spôsobené presunmi prostriedkov na ťarchu iných výdavkových titulov v nadväznosti na Uznesenia vlády SR č. 183/2019 a č. 583/2019. </w:t>
      </w:r>
    </w:p>
    <w:p w14:paraId="1F7EC716" w14:textId="77777777" w:rsidR="00EA177A" w:rsidRPr="00E66A34" w:rsidRDefault="00EA177A" w:rsidP="00EA177A">
      <w:r>
        <w:t>V</w:t>
      </w:r>
      <w:r w:rsidRPr="008076AF">
        <w:t>o výdavkovej položk</w:t>
      </w:r>
      <w:r>
        <w:t>e</w:t>
      </w:r>
      <w:r w:rsidRPr="008076AF">
        <w:t xml:space="preserve"> </w:t>
      </w:r>
      <w:r w:rsidRPr="008076AF">
        <w:rPr>
          <w:b/>
        </w:rPr>
        <w:t xml:space="preserve">transfery do zahraničia </w:t>
      </w:r>
      <w:r w:rsidRPr="008076AF">
        <w:t xml:space="preserve">sa zahŕňajú </w:t>
      </w:r>
      <w:r>
        <w:t xml:space="preserve">najmä </w:t>
      </w:r>
      <w:r>
        <w:rPr>
          <w:i/>
          <w:u w:val="single"/>
        </w:rPr>
        <w:t>odvody Slovenskej republiky do rozpočtu Európskej únie</w:t>
      </w:r>
      <w:r>
        <w:t xml:space="preserve"> na financovanie rôznych programov a politík EÚ. Skutočné čerpanie týchto výdavkov na úrovni 750 226 tis. eur je nižšie oproti rozpočtu o 89 441 tis. eur.</w:t>
      </w:r>
      <w:r w:rsidRPr="00D744D2">
        <w:t xml:space="preserve"> </w:t>
      </w:r>
    </w:p>
    <w:p w14:paraId="5DA8491E" w14:textId="77777777" w:rsidR="00EA177A" w:rsidRPr="0066770E" w:rsidRDefault="00EA177A" w:rsidP="00EA177A">
      <w:r w:rsidRPr="00E66A34">
        <w:rPr>
          <w:i/>
          <w:u w:val="single"/>
        </w:rPr>
        <w:t>Medzinárodným organizáciám</w:t>
      </w:r>
      <w:r w:rsidRPr="00E66A34">
        <w:t xml:space="preserve"> sa poukázalo</w:t>
      </w:r>
      <w:r w:rsidRPr="00D744D2">
        <w:t xml:space="preserve"> </w:t>
      </w:r>
      <w:r w:rsidRPr="00E66A34">
        <w:t>86 466 tis. eur, na čom sa podieľalo najmä</w:t>
      </w:r>
      <w:r w:rsidRPr="00D744D2">
        <w:t xml:space="preserve"> </w:t>
      </w:r>
      <w:r w:rsidRPr="00E66A34">
        <w:t>Ministerstvo zahraničných vecí a európskych záležitostí SR sumou</w:t>
      </w:r>
      <w:r w:rsidRPr="00D744D2">
        <w:t xml:space="preserve"> </w:t>
      </w:r>
      <w:r>
        <w:t>25 953 tis. eur, ktoré realizovalo</w:t>
      </w:r>
      <w:r w:rsidRPr="00E66A34">
        <w:t xml:space="preserve"> najmä úhrady členských príspevkov do medzinárodných organizácií, ako napríklad Mierové operácie OSN, OECD, NATO a iné. Významná suma týchto transferov bola realizovaná Všeobecnou pokladničnou správou vo výške</w:t>
      </w:r>
      <w:r w:rsidRPr="00D744D2">
        <w:t xml:space="preserve"> </w:t>
      </w:r>
      <w:r w:rsidRPr="00E66A34">
        <w:t>22 8896 tis. eur</w:t>
      </w:r>
      <w:r>
        <w:t>, k</w:t>
      </w:r>
      <w:r w:rsidRPr="00E66A34">
        <w:t>apitol</w:t>
      </w:r>
      <w:r>
        <w:t>ou</w:t>
      </w:r>
      <w:r w:rsidRPr="00E66A34">
        <w:t xml:space="preserve"> Ministerstva školstva, vedy, výskumu a športu SR </w:t>
      </w:r>
      <w:r>
        <w:t xml:space="preserve">v objeme </w:t>
      </w:r>
      <w:r w:rsidRPr="00E66A34">
        <w:t>15 081 tis. eur</w:t>
      </w:r>
      <w:r>
        <w:t>,</w:t>
      </w:r>
      <w:r w:rsidRPr="00D744D2">
        <w:t xml:space="preserve"> </w:t>
      </w:r>
      <w:r>
        <w:t>ktorá</w:t>
      </w:r>
      <w:r w:rsidRPr="00E66A34">
        <w:t> realizovala úhrady pravidelných príspevkov na členstvo v medzinárodných organizáciách, ako napr</w:t>
      </w:r>
      <w:r>
        <w:rPr>
          <w:rFonts w:cs="Times New Roman"/>
        </w:rPr>
        <w:t xml:space="preserve">. </w:t>
      </w:r>
      <w:r w:rsidRPr="00D744D2">
        <w:rPr>
          <w:rFonts w:cs="Times New Roman"/>
        </w:rPr>
        <w:t xml:space="preserve">CERN, CESSDA ERIC, ESS ERIC, </w:t>
      </w:r>
      <w:proofErr w:type="spellStart"/>
      <w:r w:rsidRPr="00D744D2">
        <w:rPr>
          <w:rFonts w:cs="Times New Roman"/>
        </w:rPr>
        <w:t>European</w:t>
      </w:r>
      <w:proofErr w:type="spellEnd"/>
      <w:r w:rsidRPr="00D744D2">
        <w:rPr>
          <w:rFonts w:cs="Times New Roman"/>
        </w:rPr>
        <w:t xml:space="preserve"> XFEL </w:t>
      </w:r>
      <w:proofErr w:type="spellStart"/>
      <w:r w:rsidRPr="00D744D2">
        <w:rPr>
          <w:rFonts w:cs="Times New Roman"/>
        </w:rPr>
        <w:t>GmbH</w:t>
      </w:r>
      <w:proofErr w:type="spellEnd"/>
      <w:r w:rsidRPr="00D744D2">
        <w:rPr>
          <w:rFonts w:cs="Times New Roman"/>
        </w:rPr>
        <w:t xml:space="preserve">, XFEL SFX-DESY </w:t>
      </w:r>
      <w:proofErr w:type="spellStart"/>
      <w:r w:rsidRPr="00D744D2">
        <w:rPr>
          <w:rFonts w:cs="Times New Roman"/>
        </w:rPr>
        <w:t>DeutschesElektronen-Synchrotron</w:t>
      </w:r>
      <w:proofErr w:type="spellEnd"/>
      <w:r w:rsidRPr="00D744D2">
        <w:rPr>
          <w:rFonts w:cs="Times New Roman"/>
        </w:rPr>
        <w:t xml:space="preserve">, </w:t>
      </w:r>
      <w:proofErr w:type="spellStart"/>
      <w:r w:rsidRPr="00D744D2">
        <w:rPr>
          <w:rFonts w:cs="Times New Roman"/>
        </w:rPr>
        <w:t>European</w:t>
      </w:r>
      <w:proofErr w:type="spellEnd"/>
      <w:r w:rsidRPr="00D744D2">
        <w:rPr>
          <w:rFonts w:cs="Times New Roman"/>
        </w:rPr>
        <w:t xml:space="preserve"> </w:t>
      </w:r>
      <w:proofErr w:type="spellStart"/>
      <w:r w:rsidRPr="00D744D2">
        <w:rPr>
          <w:rFonts w:cs="Times New Roman"/>
        </w:rPr>
        <w:t>Molecular</w:t>
      </w:r>
      <w:proofErr w:type="spellEnd"/>
      <w:r w:rsidRPr="00D744D2">
        <w:rPr>
          <w:rFonts w:cs="Times New Roman"/>
        </w:rPr>
        <w:t xml:space="preserve"> </w:t>
      </w:r>
      <w:proofErr w:type="spellStart"/>
      <w:r w:rsidRPr="00D744D2">
        <w:rPr>
          <w:rFonts w:cs="Times New Roman"/>
        </w:rPr>
        <w:t>Biology</w:t>
      </w:r>
      <w:proofErr w:type="spellEnd"/>
      <w:r w:rsidRPr="00D744D2">
        <w:rPr>
          <w:rFonts w:cs="Times New Roman"/>
        </w:rPr>
        <w:t xml:space="preserve"> </w:t>
      </w:r>
      <w:proofErr w:type="spellStart"/>
      <w:r w:rsidRPr="00D744D2">
        <w:rPr>
          <w:rFonts w:cs="Times New Roman"/>
        </w:rPr>
        <w:t>Laboratory</w:t>
      </w:r>
      <w:proofErr w:type="spellEnd"/>
      <w:r w:rsidRPr="00D744D2">
        <w:rPr>
          <w:rFonts w:cs="Times New Roman"/>
        </w:rPr>
        <w:t xml:space="preserve"> (EMBL), ESRF, </w:t>
      </w:r>
      <w:proofErr w:type="spellStart"/>
      <w:r w:rsidRPr="00D744D2">
        <w:rPr>
          <w:rFonts w:cs="Times New Roman"/>
        </w:rPr>
        <w:t>Joint</w:t>
      </w:r>
      <w:proofErr w:type="spellEnd"/>
      <w:r w:rsidRPr="00D744D2">
        <w:rPr>
          <w:rFonts w:cs="Times New Roman"/>
        </w:rPr>
        <w:t xml:space="preserve"> Institute </w:t>
      </w:r>
      <w:proofErr w:type="spellStart"/>
      <w:r w:rsidRPr="00D744D2">
        <w:rPr>
          <w:rFonts w:cs="Times New Roman"/>
        </w:rPr>
        <w:t>for</w:t>
      </w:r>
      <w:proofErr w:type="spellEnd"/>
      <w:r w:rsidRPr="00D744D2">
        <w:rPr>
          <w:rFonts w:cs="Times New Roman"/>
        </w:rPr>
        <w:t xml:space="preserve"> </w:t>
      </w:r>
      <w:proofErr w:type="spellStart"/>
      <w:r w:rsidRPr="00D744D2">
        <w:rPr>
          <w:rFonts w:cs="Times New Roman"/>
        </w:rPr>
        <w:t>Nuclear</w:t>
      </w:r>
      <w:proofErr w:type="spellEnd"/>
      <w:r w:rsidRPr="00D744D2">
        <w:rPr>
          <w:rFonts w:cs="Times New Roman"/>
        </w:rPr>
        <w:t xml:space="preserve"> </w:t>
      </w:r>
      <w:proofErr w:type="spellStart"/>
      <w:r w:rsidRPr="00D744D2">
        <w:rPr>
          <w:rFonts w:cs="Times New Roman"/>
        </w:rPr>
        <w:t>Research</w:t>
      </w:r>
      <w:proofErr w:type="spellEnd"/>
      <w:r w:rsidRPr="00D744D2">
        <w:rPr>
          <w:rFonts w:cs="Times New Roman"/>
        </w:rPr>
        <w:t xml:space="preserve"> Dubna, EUROPEAN SPACE AGENCY (ESA)</w:t>
      </w:r>
      <w:r w:rsidRPr="00D744D2">
        <w:t xml:space="preserve"> </w:t>
      </w:r>
      <w:r w:rsidRPr="00E66A34">
        <w:t>a Ministerstvom obrany SR v sume</w:t>
      </w:r>
      <w:r w:rsidRPr="00D744D2">
        <w:t xml:space="preserve"> </w:t>
      </w:r>
      <w:r w:rsidRPr="00E66A34">
        <w:t>12 102 tis. eur</w:t>
      </w:r>
      <w:r w:rsidRPr="00D744D2">
        <w:t xml:space="preserve"> </w:t>
      </w:r>
      <w:r w:rsidRPr="00E66A34">
        <w:t>na úhradu príspevkov do NATO, EÚ a platby iným medzinárodným inštitúciám.</w:t>
      </w:r>
    </w:p>
    <w:p w14:paraId="149A7E0B" w14:textId="01B90F92" w:rsidR="00354633" w:rsidRDefault="00EA177A" w:rsidP="00EA177A">
      <w:pPr>
        <w:rPr>
          <w:rFonts w:cs="Times New Roman"/>
        </w:rPr>
      </w:pPr>
      <w:r w:rsidRPr="008076AF">
        <w:rPr>
          <w:b/>
        </w:rPr>
        <w:t>Transfery do tuzemských finančných inštitúcií</w:t>
      </w:r>
      <w:r w:rsidRPr="008076AF">
        <w:t xml:space="preserve"> boli poskytnuté v celkovej sume</w:t>
      </w:r>
      <w:r w:rsidRPr="00D744D2">
        <w:t xml:space="preserve"> </w:t>
      </w:r>
      <w:r w:rsidRPr="008076AF">
        <w:t>8 501 tis. eur.</w:t>
      </w:r>
      <w:r w:rsidRPr="00D744D2">
        <w:t xml:space="preserve"> </w:t>
      </w:r>
      <w:r w:rsidRPr="008076AF">
        <w:t xml:space="preserve">V najväčšej miere sa na tejto sume podieľalo Ministerstvo dopravy a výstavby SR, ktoré </w:t>
      </w:r>
      <w:r>
        <w:t xml:space="preserve">poskytlo </w:t>
      </w:r>
      <w:r w:rsidRPr="008076AF">
        <w:t>transfery v sume 6 733 tis. eur</w:t>
      </w:r>
      <w:r w:rsidRPr="00D744D2">
        <w:rPr>
          <w:rFonts w:ascii="Calibri" w:hAnsi="Calibri"/>
          <w:sz w:val="20"/>
          <w:szCs w:val="20"/>
        </w:rPr>
        <w:t xml:space="preserve"> </w:t>
      </w:r>
      <w:r w:rsidRPr="008076AF">
        <w:t xml:space="preserve">SZRB </w:t>
      </w:r>
      <w:proofErr w:type="spellStart"/>
      <w:r w:rsidRPr="008076AF">
        <w:t>Asset</w:t>
      </w:r>
      <w:proofErr w:type="spellEnd"/>
      <w:r w:rsidRPr="008076AF">
        <w:t xml:space="preserve"> Management, a.s. a Slovak </w:t>
      </w:r>
      <w:proofErr w:type="spellStart"/>
      <w:r w:rsidRPr="008076AF">
        <w:t>Investment</w:t>
      </w:r>
      <w:proofErr w:type="spellEnd"/>
      <w:r w:rsidRPr="008076AF">
        <w:t xml:space="preserve"> Holding, a. s.</w:t>
      </w:r>
      <w:r>
        <w:t xml:space="preserve"> </w:t>
      </w:r>
      <w:r w:rsidRPr="008076AF">
        <w:t>v rámci Operačného programu Integrovaná infraštruktúra z prioritnej osi Železničná infraštruktúra a obnova mobilných prostriedkov na základe</w:t>
      </w:r>
      <w:r>
        <w:t xml:space="preserve"> Zmluvy o financovaní</w:t>
      </w:r>
      <w:r w:rsidRPr="008076AF">
        <w:t xml:space="preserve">, </w:t>
      </w:r>
      <w:r w:rsidRPr="008076AF">
        <w:rPr>
          <w:rFonts w:cs="Times New Roman"/>
        </w:rPr>
        <w:t xml:space="preserve">ktorá bola uzatvorená v nadväznosti na uznesenie </w:t>
      </w:r>
      <w:r>
        <w:rPr>
          <w:rFonts w:cs="Times New Roman"/>
        </w:rPr>
        <w:t>vlády SR č. 736/2013 zo dňa 18. </w:t>
      </w:r>
      <w:r w:rsidRPr="008076AF">
        <w:rPr>
          <w:rFonts w:cs="Times New Roman"/>
        </w:rPr>
        <w:t>12.</w:t>
      </w:r>
      <w:r>
        <w:rPr>
          <w:rFonts w:cs="Times New Roman"/>
        </w:rPr>
        <w:t> </w:t>
      </w:r>
      <w:r w:rsidRPr="008076AF">
        <w:rPr>
          <w:rFonts w:cs="Times New Roman"/>
        </w:rPr>
        <w:t xml:space="preserve">2013. </w:t>
      </w:r>
      <w:r>
        <w:rPr>
          <w:rFonts w:cs="Times New Roman"/>
        </w:rPr>
        <w:t>Predmetným uznesením vlády SR bol schválený Postup implementácie finančných nástrojov cez Slovenský investičný holding v programovom období 2014 – 2020. Finančné prostriedky budú použité na obstaranie diagnostických vozidiel pre potreby Železníc SR.</w:t>
      </w:r>
    </w:p>
    <w:p w14:paraId="339704AB" w14:textId="77777777" w:rsidR="00354633" w:rsidRDefault="00354633">
      <w:pPr>
        <w:spacing w:after="160" w:line="259" w:lineRule="auto"/>
        <w:jc w:val="left"/>
        <w:rPr>
          <w:rFonts w:cs="Times New Roman"/>
        </w:rPr>
      </w:pPr>
      <w:r>
        <w:rPr>
          <w:rFonts w:cs="Times New Roman"/>
        </w:rPr>
        <w:br w:type="page"/>
      </w:r>
    </w:p>
    <w:p w14:paraId="1396C814" w14:textId="77777777" w:rsidR="0051484D" w:rsidRDefault="0051484D" w:rsidP="00354633">
      <w:pPr>
        <w:pStyle w:val="Nadpis4"/>
      </w:pPr>
      <w:r>
        <w:t>Kapitálové výdavky</w:t>
      </w:r>
    </w:p>
    <w:p w14:paraId="18430E0C" w14:textId="77777777" w:rsidR="00EA177A" w:rsidRPr="00A23277" w:rsidRDefault="00EA177A" w:rsidP="00EA177A">
      <w:r w:rsidRPr="00312D19">
        <w:t xml:space="preserve">Kapitálové výdavky tvoria výdavky na obstaranie hmotného a nehmotného majetku, vrátane výdavkov súvisiacich s obstaraním tohto majetku (napr. montážne práce, dopravné) a kapitálové transfery, teda platby vykonané s cieľom umožniť </w:t>
      </w:r>
      <w:r w:rsidRPr="00A23277">
        <w:t>príjemcovi nadobudnúť kapitálové aktíva alebo kompenzovať ich poškodenie alebo zničenie. Rozpočet kapitálových výdavkov na rok 2019 predstavoval sumu 2 288 578 tis. eur, ktorá sa rozpočtovými opatreniami zvýšila na 2 859</w:t>
      </w:r>
      <w:r>
        <w:t> </w:t>
      </w:r>
      <w:r w:rsidRPr="00A23277">
        <w:t>216</w:t>
      </w:r>
      <w:r>
        <w:t> </w:t>
      </w:r>
      <w:r w:rsidRPr="00A23277">
        <w:t xml:space="preserve">tis. eur. V skutočnosti sa čerpalo </w:t>
      </w:r>
      <w:r w:rsidRPr="00B11D85">
        <w:t>2 858 949 tis. eur (201</w:t>
      </w:r>
      <w:r w:rsidRPr="00F06ED2">
        <w:t>8: 2 402 324 tis. eur). Podstatné zmeny v upravenom rozpočte vznikli v dôsledku realizácie § 8 zákona o rozpočtových pravidlách. V zmysle uvedeného paragrafu môže Ministerstvo financií SR na konci bežného rozpočtového roka viazať výdavky (znížiť upravený r</w:t>
      </w:r>
      <w:r w:rsidRPr="00C71980">
        <w:t>ozpočet) o nevyčerpané prostriedky, ktoré budú v nasledujúcom rozpočtovom roku použité a týmto spôsobom navýšia upravený rozpočet nasledujúceho rozpočtového roka. O sumu viazaných prostriedkov Ministerstvo financií SR môže povoliť prek</w:t>
      </w:r>
      <w:r w:rsidRPr="00A23277">
        <w:t xml:space="preserve">ročenie limitu výdavkov v nasledujúcom rozpočtovom roku. </w:t>
      </w:r>
    </w:p>
    <w:p w14:paraId="160D8701" w14:textId="28FE46AD" w:rsidR="00EA177A" w:rsidRDefault="00EA177A" w:rsidP="00354633">
      <w:r w:rsidRPr="00B11D85">
        <w:t>V roku 2019 sa spolu použili kapitálové výdavky rozpočtované pred rokom 2019 v sume 842 868 </w:t>
      </w:r>
      <w:r w:rsidRPr="00791F0F">
        <w:t>tis. eur. V roku 2018 sa zaviazali kapitálové výdavky rozpočtované v rokoch 2018 a 2019 v sume 730 717 tis. eur. Saldo kapitálových výdavkov rozpočtovaných pred rokom 2019 a použitých v roku 2019 a výdavkov zaviazaných v roku 2019 podľa § 8 zákona o rozpočtových pravidlách predstavuje hodnotu 112 151 tis. eur.</w:t>
      </w:r>
    </w:p>
    <w:p w14:paraId="2000EA16" w14:textId="77777777" w:rsidR="00EA177A" w:rsidRPr="00791F0F" w:rsidRDefault="00EA177A" w:rsidP="00354633">
      <w:pPr>
        <w:spacing w:after="0"/>
      </w:pPr>
      <w:r w:rsidRPr="00791F0F">
        <w:t>Prehľad o kapitálových výdavkoch poskytuje nasledovná tabuľka:</w:t>
      </w:r>
    </w:p>
    <w:tbl>
      <w:tblPr>
        <w:tblW w:w="8779" w:type="dxa"/>
        <w:tblLayout w:type="fixed"/>
        <w:tblCellMar>
          <w:left w:w="70" w:type="dxa"/>
          <w:right w:w="70" w:type="dxa"/>
        </w:tblCellMar>
        <w:tblLook w:val="04A0" w:firstRow="1" w:lastRow="0" w:firstColumn="1" w:lastColumn="0" w:noHBand="0" w:noVBand="1"/>
      </w:tblPr>
      <w:tblGrid>
        <w:gridCol w:w="2967"/>
        <w:gridCol w:w="851"/>
        <w:gridCol w:w="1134"/>
        <w:gridCol w:w="983"/>
        <w:gridCol w:w="1143"/>
        <w:gridCol w:w="992"/>
        <w:gridCol w:w="709"/>
      </w:tblGrid>
      <w:tr w:rsidR="00EA177A" w:rsidRPr="00D67952" w14:paraId="3624E908" w14:textId="77777777" w:rsidTr="006733E7">
        <w:trPr>
          <w:trHeight w:val="421"/>
        </w:trPr>
        <w:tc>
          <w:tcPr>
            <w:tcW w:w="8779" w:type="dxa"/>
            <w:gridSpan w:val="7"/>
            <w:tcBorders>
              <w:top w:val="nil"/>
              <w:left w:val="single" w:sz="8" w:space="0" w:color="auto"/>
              <w:bottom w:val="nil"/>
              <w:right w:val="nil"/>
            </w:tcBorders>
            <w:shd w:val="clear" w:color="000000" w:fill="000000"/>
            <w:vAlign w:val="center"/>
            <w:hideMark/>
          </w:tcPr>
          <w:p w14:paraId="5E2114B9" w14:textId="687B88EA" w:rsidR="00EA177A" w:rsidRPr="00D67952" w:rsidRDefault="00EA177A" w:rsidP="00AB0EFE">
            <w:pPr>
              <w:spacing w:after="0" w:line="240" w:lineRule="auto"/>
              <w:rPr>
                <w:rFonts w:eastAsia="Times New Roman" w:cs="Times New Roman"/>
                <w:b/>
                <w:bCs/>
                <w:sz w:val="18"/>
                <w:szCs w:val="18"/>
                <w:lang w:eastAsia="sk-SK"/>
              </w:rPr>
            </w:pPr>
            <w:r w:rsidRPr="00D67952">
              <w:rPr>
                <w:rFonts w:eastAsia="Times New Roman" w:cs="Times New Roman"/>
                <w:b/>
                <w:bCs/>
                <w:sz w:val="18"/>
                <w:szCs w:val="18"/>
                <w:lang w:eastAsia="sk-SK"/>
              </w:rPr>
              <w:t xml:space="preserve">Kapitálové výdavky </w:t>
            </w:r>
            <w:r w:rsidR="00AB0EFE">
              <w:rPr>
                <w:rFonts w:eastAsia="Times New Roman" w:cs="Times New Roman"/>
                <w:b/>
                <w:bCs/>
                <w:sz w:val="18"/>
                <w:szCs w:val="18"/>
                <w:lang w:eastAsia="sk-SK"/>
              </w:rPr>
              <w:t xml:space="preserve">                                                                                                                                      </w:t>
            </w:r>
            <w:r w:rsidRPr="00D67952">
              <w:rPr>
                <w:rFonts w:eastAsia="Times New Roman" w:cs="Times New Roman"/>
                <w:b/>
                <w:bCs/>
                <w:sz w:val="18"/>
                <w:szCs w:val="18"/>
                <w:lang w:eastAsia="sk-SK"/>
              </w:rPr>
              <w:t>v tis. eur</w:t>
            </w:r>
          </w:p>
        </w:tc>
      </w:tr>
      <w:tr w:rsidR="00EA177A" w:rsidRPr="00D67952" w14:paraId="10D5ED7E" w14:textId="77777777" w:rsidTr="006733E7">
        <w:trPr>
          <w:trHeight w:val="300"/>
        </w:trPr>
        <w:tc>
          <w:tcPr>
            <w:tcW w:w="2967" w:type="dxa"/>
            <w:tcBorders>
              <w:top w:val="nil"/>
              <w:left w:val="nil"/>
              <w:bottom w:val="nil"/>
              <w:right w:val="nil"/>
            </w:tcBorders>
            <w:shd w:val="clear" w:color="000000" w:fill="BFBFBF"/>
            <w:vAlign w:val="center"/>
            <w:hideMark/>
          </w:tcPr>
          <w:p w14:paraId="410C99FE" w14:textId="77777777" w:rsidR="00EA177A" w:rsidRPr="00D67952" w:rsidRDefault="00EA177A" w:rsidP="00C704A7">
            <w:pPr>
              <w:spacing w:after="0" w:line="240" w:lineRule="auto"/>
              <w:jc w:val="center"/>
              <w:rPr>
                <w:rFonts w:ascii="Arial Narrow" w:eastAsia="Times New Roman" w:hAnsi="Arial Narrow" w:cs="Times New Roman"/>
                <w:b/>
                <w:bCs/>
                <w:sz w:val="18"/>
                <w:szCs w:val="18"/>
                <w:lang w:eastAsia="sk-SK"/>
              </w:rPr>
            </w:pPr>
            <w:r w:rsidRPr="00D67952">
              <w:rPr>
                <w:rFonts w:ascii="Arial Narrow" w:eastAsia="Times New Roman" w:hAnsi="Arial Narrow" w:cs="Times New Roman"/>
                <w:b/>
                <w:bCs/>
                <w:sz w:val="18"/>
                <w:szCs w:val="18"/>
                <w:lang w:eastAsia="sk-SK"/>
              </w:rPr>
              <w:t> </w:t>
            </w:r>
          </w:p>
        </w:tc>
        <w:tc>
          <w:tcPr>
            <w:tcW w:w="1985" w:type="dxa"/>
            <w:gridSpan w:val="2"/>
            <w:tcBorders>
              <w:top w:val="nil"/>
              <w:left w:val="nil"/>
              <w:bottom w:val="nil"/>
              <w:right w:val="nil"/>
            </w:tcBorders>
            <w:shd w:val="clear" w:color="000000" w:fill="BFBFBF"/>
            <w:vAlign w:val="center"/>
            <w:hideMark/>
          </w:tcPr>
          <w:p w14:paraId="1B7C870F"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Skutočnosť</w:t>
            </w:r>
          </w:p>
        </w:tc>
        <w:tc>
          <w:tcPr>
            <w:tcW w:w="983" w:type="dxa"/>
            <w:tcBorders>
              <w:top w:val="nil"/>
              <w:left w:val="nil"/>
              <w:bottom w:val="nil"/>
              <w:right w:val="nil"/>
            </w:tcBorders>
            <w:shd w:val="clear" w:color="000000" w:fill="BFBFBF"/>
            <w:vAlign w:val="center"/>
            <w:hideMark/>
          </w:tcPr>
          <w:p w14:paraId="1355FF80"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Rozpočet</w:t>
            </w:r>
          </w:p>
        </w:tc>
        <w:tc>
          <w:tcPr>
            <w:tcW w:w="1143" w:type="dxa"/>
            <w:tcBorders>
              <w:top w:val="nil"/>
              <w:left w:val="nil"/>
              <w:bottom w:val="nil"/>
              <w:right w:val="nil"/>
            </w:tcBorders>
            <w:shd w:val="clear" w:color="000000" w:fill="BFBFBF"/>
            <w:vAlign w:val="center"/>
            <w:hideMark/>
          </w:tcPr>
          <w:p w14:paraId="65379C0D"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Skutočnosť</w:t>
            </w:r>
          </w:p>
        </w:tc>
        <w:tc>
          <w:tcPr>
            <w:tcW w:w="1701" w:type="dxa"/>
            <w:gridSpan w:val="2"/>
            <w:tcBorders>
              <w:top w:val="nil"/>
              <w:left w:val="nil"/>
              <w:bottom w:val="nil"/>
              <w:right w:val="nil"/>
            </w:tcBorders>
            <w:shd w:val="clear" w:color="000000" w:fill="BFBFBF"/>
            <w:vAlign w:val="center"/>
            <w:hideMark/>
          </w:tcPr>
          <w:p w14:paraId="216A94A9"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Rozdiel</w:t>
            </w:r>
          </w:p>
        </w:tc>
      </w:tr>
      <w:tr w:rsidR="00EA177A" w:rsidRPr="00D67952" w14:paraId="303F7C2D" w14:textId="77777777" w:rsidTr="006733E7">
        <w:trPr>
          <w:trHeight w:val="300"/>
        </w:trPr>
        <w:tc>
          <w:tcPr>
            <w:tcW w:w="2967" w:type="dxa"/>
            <w:tcBorders>
              <w:top w:val="nil"/>
              <w:left w:val="nil"/>
              <w:bottom w:val="nil"/>
              <w:right w:val="nil"/>
            </w:tcBorders>
            <w:shd w:val="clear" w:color="000000" w:fill="BFBFBF"/>
            <w:vAlign w:val="center"/>
            <w:hideMark/>
          </w:tcPr>
          <w:p w14:paraId="7A04A2EF" w14:textId="77777777" w:rsidR="00EA177A" w:rsidRPr="00D67952" w:rsidRDefault="00EA177A" w:rsidP="00C704A7">
            <w:pPr>
              <w:spacing w:after="0" w:line="240" w:lineRule="auto"/>
              <w:jc w:val="center"/>
              <w:rPr>
                <w:rFonts w:ascii="Arial Narrow" w:eastAsia="Times New Roman" w:hAnsi="Arial Narrow" w:cs="Times New Roman"/>
                <w:b/>
                <w:bCs/>
                <w:sz w:val="18"/>
                <w:szCs w:val="18"/>
                <w:lang w:eastAsia="sk-SK"/>
              </w:rPr>
            </w:pPr>
            <w:r w:rsidRPr="00D67952">
              <w:rPr>
                <w:rFonts w:ascii="Arial Narrow" w:eastAsia="Times New Roman" w:hAnsi="Arial Narrow" w:cs="Times New Roman"/>
                <w:b/>
                <w:bCs/>
                <w:sz w:val="18"/>
                <w:szCs w:val="18"/>
                <w:lang w:eastAsia="sk-SK"/>
              </w:rPr>
              <w:t> </w:t>
            </w:r>
          </w:p>
        </w:tc>
        <w:tc>
          <w:tcPr>
            <w:tcW w:w="851" w:type="dxa"/>
            <w:tcBorders>
              <w:top w:val="nil"/>
              <w:left w:val="nil"/>
              <w:bottom w:val="nil"/>
              <w:right w:val="nil"/>
            </w:tcBorders>
            <w:shd w:val="clear" w:color="000000" w:fill="BFBFBF"/>
            <w:vAlign w:val="center"/>
            <w:hideMark/>
          </w:tcPr>
          <w:p w14:paraId="1EEB9274"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2017</w:t>
            </w:r>
          </w:p>
        </w:tc>
        <w:tc>
          <w:tcPr>
            <w:tcW w:w="1134" w:type="dxa"/>
            <w:tcBorders>
              <w:top w:val="nil"/>
              <w:left w:val="nil"/>
              <w:bottom w:val="nil"/>
              <w:right w:val="nil"/>
            </w:tcBorders>
            <w:shd w:val="clear" w:color="000000" w:fill="BFBFBF"/>
            <w:vAlign w:val="center"/>
            <w:hideMark/>
          </w:tcPr>
          <w:p w14:paraId="4E5E27B5"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2018</w:t>
            </w:r>
          </w:p>
        </w:tc>
        <w:tc>
          <w:tcPr>
            <w:tcW w:w="983" w:type="dxa"/>
            <w:tcBorders>
              <w:top w:val="nil"/>
              <w:left w:val="nil"/>
              <w:bottom w:val="nil"/>
              <w:right w:val="nil"/>
            </w:tcBorders>
            <w:shd w:val="clear" w:color="000000" w:fill="BFBFBF"/>
            <w:vAlign w:val="center"/>
            <w:hideMark/>
          </w:tcPr>
          <w:p w14:paraId="0D26341B"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2019</w:t>
            </w:r>
          </w:p>
        </w:tc>
        <w:tc>
          <w:tcPr>
            <w:tcW w:w="1143" w:type="dxa"/>
            <w:tcBorders>
              <w:top w:val="nil"/>
              <w:left w:val="nil"/>
              <w:bottom w:val="nil"/>
              <w:right w:val="nil"/>
            </w:tcBorders>
            <w:shd w:val="clear" w:color="000000" w:fill="BFBFBF"/>
            <w:vAlign w:val="center"/>
            <w:hideMark/>
          </w:tcPr>
          <w:p w14:paraId="0DA9B220"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2019</w:t>
            </w:r>
          </w:p>
        </w:tc>
        <w:tc>
          <w:tcPr>
            <w:tcW w:w="992" w:type="dxa"/>
            <w:tcBorders>
              <w:top w:val="nil"/>
              <w:left w:val="nil"/>
              <w:bottom w:val="nil"/>
              <w:right w:val="nil"/>
            </w:tcBorders>
            <w:shd w:val="clear" w:color="000000" w:fill="BFBFBF"/>
            <w:vAlign w:val="center"/>
            <w:hideMark/>
          </w:tcPr>
          <w:p w14:paraId="42231F96"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 xml:space="preserve"> v tis. eur</w:t>
            </w:r>
          </w:p>
        </w:tc>
        <w:tc>
          <w:tcPr>
            <w:tcW w:w="709" w:type="dxa"/>
            <w:tcBorders>
              <w:top w:val="nil"/>
              <w:left w:val="nil"/>
              <w:bottom w:val="nil"/>
              <w:right w:val="nil"/>
            </w:tcBorders>
            <w:shd w:val="clear" w:color="000000" w:fill="BFBFBF"/>
            <w:vAlign w:val="center"/>
            <w:hideMark/>
          </w:tcPr>
          <w:p w14:paraId="587F8C8A"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v %</w:t>
            </w:r>
          </w:p>
        </w:tc>
      </w:tr>
      <w:tr w:rsidR="00EA177A" w:rsidRPr="00D67952" w14:paraId="6809ACB8" w14:textId="77777777" w:rsidTr="006733E7">
        <w:trPr>
          <w:trHeight w:val="251"/>
        </w:trPr>
        <w:tc>
          <w:tcPr>
            <w:tcW w:w="2967" w:type="dxa"/>
            <w:tcBorders>
              <w:top w:val="nil"/>
              <w:left w:val="nil"/>
              <w:bottom w:val="single" w:sz="8" w:space="0" w:color="auto"/>
              <w:right w:val="nil"/>
            </w:tcBorders>
            <w:shd w:val="clear" w:color="000000" w:fill="BFBFBF"/>
            <w:vAlign w:val="center"/>
            <w:hideMark/>
          </w:tcPr>
          <w:p w14:paraId="0E8B8F5C" w14:textId="77777777" w:rsidR="00EA177A" w:rsidRPr="00D67952" w:rsidRDefault="00EA177A" w:rsidP="00C704A7">
            <w:pPr>
              <w:spacing w:after="0" w:line="240" w:lineRule="auto"/>
              <w:jc w:val="center"/>
              <w:rPr>
                <w:rFonts w:ascii="Arial Narrow" w:eastAsia="Times New Roman" w:hAnsi="Arial Narrow" w:cs="Times New Roman"/>
                <w:b/>
                <w:bCs/>
                <w:sz w:val="18"/>
                <w:szCs w:val="18"/>
                <w:lang w:eastAsia="sk-SK"/>
              </w:rPr>
            </w:pPr>
            <w:r w:rsidRPr="00D67952">
              <w:rPr>
                <w:rFonts w:ascii="Arial Narrow" w:eastAsia="Times New Roman" w:hAnsi="Arial Narrow" w:cs="Times New Roman"/>
                <w:b/>
                <w:bCs/>
                <w:sz w:val="18"/>
                <w:szCs w:val="18"/>
                <w:lang w:eastAsia="sk-SK"/>
              </w:rPr>
              <w:t> </w:t>
            </w:r>
          </w:p>
        </w:tc>
        <w:tc>
          <w:tcPr>
            <w:tcW w:w="851" w:type="dxa"/>
            <w:tcBorders>
              <w:top w:val="nil"/>
              <w:left w:val="nil"/>
              <w:bottom w:val="single" w:sz="8" w:space="0" w:color="auto"/>
              <w:right w:val="nil"/>
            </w:tcBorders>
            <w:shd w:val="clear" w:color="000000" w:fill="BFBFBF"/>
            <w:vAlign w:val="center"/>
            <w:hideMark/>
          </w:tcPr>
          <w:p w14:paraId="1B077B11"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1</w:t>
            </w:r>
          </w:p>
        </w:tc>
        <w:tc>
          <w:tcPr>
            <w:tcW w:w="1134" w:type="dxa"/>
            <w:tcBorders>
              <w:top w:val="nil"/>
              <w:left w:val="nil"/>
              <w:bottom w:val="single" w:sz="8" w:space="0" w:color="auto"/>
              <w:right w:val="nil"/>
            </w:tcBorders>
            <w:shd w:val="clear" w:color="000000" w:fill="BFBFBF"/>
            <w:vAlign w:val="center"/>
            <w:hideMark/>
          </w:tcPr>
          <w:p w14:paraId="0908E8F6"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w:t>
            </w:r>
          </w:p>
        </w:tc>
        <w:tc>
          <w:tcPr>
            <w:tcW w:w="983" w:type="dxa"/>
            <w:tcBorders>
              <w:top w:val="nil"/>
              <w:left w:val="nil"/>
              <w:bottom w:val="single" w:sz="8" w:space="0" w:color="auto"/>
              <w:right w:val="nil"/>
            </w:tcBorders>
            <w:shd w:val="clear" w:color="000000" w:fill="BFBFBF"/>
            <w:vAlign w:val="center"/>
            <w:hideMark/>
          </w:tcPr>
          <w:p w14:paraId="35DDD82B"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3</w:t>
            </w:r>
          </w:p>
        </w:tc>
        <w:tc>
          <w:tcPr>
            <w:tcW w:w="1143" w:type="dxa"/>
            <w:tcBorders>
              <w:top w:val="nil"/>
              <w:left w:val="nil"/>
              <w:bottom w:val="single" w:sz="8" w:space="0" w:color="auto"/>
              <w:right w:val="nil"/>
            </w:tcBorders>
            <w:shd w:val="clear" w:color="000000" w:fill="BFBFBF"/>
            <w:vAlign w:val="center"/>
            <w:hideMark/>
          </w:tcPr>
          <w:p w14:paraId="1ABAC94F"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0AC98D75"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5=4-3</w:t>
            </w:r>
          </w:p>
        </w:tc>
        <w:tc>
          <w:tcPr>
            <w:tcW w:w="709" w:type="dxa"/>
            <w:tcBorders>
              <w:top w:val="nil"/>
              <w:left w:val="nil"/>
              <w:bottom w:val="single" w:sz="8" w:space="0" w:color="auto"/>
              <w:right w:val="nil"/>
            </w:tcBorders>
            <w:shd w:val="clear" w:color="000000" w:fill="BFBFBF"/>
            <w:vAlign w:val="center"/>
            <w:hideMark/>
          </w:tcPr>
          <w:p w14:paraId="714465FE"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6=4-3</w:t>
            </w:r>
          </w:p>
        </w:tc>
      </w:tr>
      <w:tr w:rsidR="00EA177A" w:rsidRPr="00D67952" w14:paraId="5A7115FF" w14:textId="77777777" w:rsidTr="006733E7">
        <w:trPr>
          <w:trHeight w:val="300"/>
        </w:trPr>
        <w:tc>
          <w:tcPr>
            <w:tcW w:w="2967" w:type="dxa"/>
            <w:tcBorders>
              <w:top w:val="nil"/>
              <w:left w:val="nil"/>
              <w:bottom w:val="nil"/>
              <w:right w:val="nil"/>
            </w:tcBorders>
            <w:shd w:val="clear" w:color="auto" w:fill="auto"/>
            <w:vAlign w:val="center"/>
            <w:hideMark/>
          </w:tcPr>
          <w:p w14:paraId="5633FAF7" w14:textId="77777777" w:rsidR="00EA177A" w:rsidRPr="00D67952" w:rsidRDefault="00EA177A" w:rsidP="00C704A7">
            <w:pPr>
              <w:spacing w:after="0" w:line="240" w:lineRule="auto"/>
              <w:jc w:val="left"/>
              <w:rPr>
                <w:rFonts w:eastAsia="Times New Roman" w:cs="Times New Roman"/>
                <w:b/>
                <w:bCs/>
                <w:sz w:val="18"/>
                <w:szCs w:val="18"/>
                <w:lang w:eastAsia="sk-SK"/>
              </w:rPr>
            </w:pPr>
            <w:r w:rsidRPr="00D67952">
              <w:rPr>
                <w:rFonts w:eastAsia="Times New Roman" w:cs="Times New Roman"/>
                <w:b/>
                <w:bCs/>
                <w:sz w:val="18"/>
                <w:szCs w:val="18"/>
                <w:lang w:eastAsia="sk-SK"/>
              </w:rPr>
              <w:t>Obstarávanie kapitálových aktív</w:t>
            </w:r>
          </w:p>
        </w:tc>
        <w:tc>
          <w:tcPr>
            <w:tcW w:w="851" w:type="dxa"/>
            <w:tcBorders>
              <w:top w:val="nil"/>
              <w:left w:val="nil"/>
              <w:bottom w:val="nil"/>
              <w:right w:val="nil"/>
            </w:tcBorders>
            <w:shd w:val="clear" w:color="auto" w:fill="auto"/>
            <w:noWrap/>
            <w:vAlign w:val="center"/>
            <w:hideMark/>
          </w:tcPr>
          <w:p w14:paraId="232FB3B1"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605 629</w:t>
            </w:r>
          </w:p>
        </w:tc>
        <w:tc>
          <w:tcPr>
            <w:tcW w:w="1134" w:type="dxa"/>
            <w:tcBorders>
              <w:top w:val="nil"/>
              <w:left w:val="nil"/>
              <w:bottom w:val="nil"/>
              <w:right w:val="nil"/>
            </w:tcBorders>
            <w:shd w:val="clear" w:color="auto" w:fill="auto"/>
            <w:noWrap/>
            <w:vAlign w:val="center"/>
            <w:hideMark/>
          </w:tcPr>
          <w:p w14:paraId="780D5E98"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721 148</w:t>
            </w:r>
          </w:p>
        </w:tc>
        <w:tc>
          <w:tcPr>
            <w:tcW w:w="983" w:type="dxa"/>
            <w:tcBorders>
              <w:top w:val="nil"/>
              <w:left w:val="nil"/>
              <w:bottom w:val="nil"/>
              <w:right w:val="nil"/>
            </w:tcBorders>
            <w:shd w:val="clear" w:color="auto" w:fill="auto"/>
            <w:noWrap/>
            <w:vAlign w:val="center"/>
            <w:hideMark/>
          </w:tcPr>
          <w:p w14:paraId="33F2F07F"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1 283 011</w:t>
            </w:r>
          </w:p>
        </w:tc>
        <w:tc>
          <w:tcPr>
            <w:tcW w:w="1143" w:type="dxa"/>
            <w:tcBorders>
              <w:top w:val="nil"/>
              <w:left w:val="nil"/>
              <w:bottom w:val="nil"/>
              <w:right w:val="nil"/>
            </w:tcBorders>
            <w:shd w:val="clear" w:color="000000" w:fill="BFBFBF"/>
            <w:noWrap/>
            <w:vAlign w:val="center"/>
            <w:hideMark/>
          </w:tcPr>
          <w:p w14:paraId="0A00F49C"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1 096 498</w:t>
            </w:r>
          </w:p>
        </w:tc>
        <w:tc>
          <w:tcPr>
            <w:tcW w:w="992" w:type="dxa"/>
            <w:tcBorders>
              <w:top w:val="nil"/>
              <w:left w:val="nil"/>
              <w:bottom w:val="nil"/>
              <w:right w:val="nil"/>
            </w:tcBorders>
            <w:shd w:val="clear" w:color="auto" w:fill="auto"/>
            <w:noWrap/>
            <w:vAlign w:val="center"/>
            <w:hideMark/>
          </w:tcPr>
          <w:p w14:paraId="61B4A830"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-186 513</w:t>
            </w:r>
          </w:p>
        </w:tc>
        <w:tc>
          <w:tcPr>
            <w:tcW w:w="709" w:type="dxa"/>
            <w:tcBorders>
              <w:top w:val="nil"/>
              <w:left w:val="nil"/>
              <w:bottom w:val="nil"/>
              <w:right w:val="nil"/>
            </w:tcBorders>
            <w:shd w:val="clear" w:color="auto" w:fill="auto"/>
            <w:noWrap/>
            <w:vAlign w:val="center"/>
            <w:hideMark/>
          </w:tcPr>
          <w:p w14:paraId="6AA51705"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-15</w:t>
            </w:r>
          </w:p>
        </w:tc>
      </w:tr>
      <w:tr w:rsidR="00EA177A" w:rsidRPr="00D67952" w14:paraId="5D65D61D" w14:textId="77777777" w:rsidTr="006733E7">
        <w:trPr>
          <w:trHeight w:val="480"/>
        </w:trPr>
        <w:tc>
          <w:tcPr>
            <w:tcW w:w="2967" w:type="dxa"/>
            <w:tcBorders>
              <w:top w:val="nil"/>
              <w:left w:val="nil"/>
              <w:bottom w:val="nil"/>
              <w:right w:val="nil"/>
            </w:tcBorders>
            <w:shd w:val="clear" w:color="auto" w:fill="auto"/>
            <w:vAlign w:val="center"/>
            <w:hideMark/>
          </w:tcPr>
          <w:p w14:paraId="3F65C927"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nákup strojov, prístrojov, zariadení, techniky</w:t>
            </w:r>
          </w:p>
        </w:tc>
        <w:tc>
          <w:tcPr>
            <w:tcW w:w="851" w:type="dxa"/>
            <w:tcBorders>
              <w:top w:val="nil"/>
              <w:left w:val="nil"/>
              <w:bottom w:val="nil"/>
              <w:right w:val="nil"/>
            </w:tcBorders>
            <w:shd w:val="clear" w:color="auto" w:fill="auto"/>
            <w:noWrap/>
            <w:vAlign w:val="center"/>
            <w:hideMark/>
          </w:tcPr>
          <w:p w14:paraId="3EE2BE20"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93 353</w:t>
            </w:r>
          </w:p>
        </w:tc>
        <w:tc>
          <w:tcPr>
            <w:tcW w:w="1134" w:type="dxa"/>
            <w:tcBorders>
              <w:top w:val="nil"/>
              <w:left w:val="nil"/>
              <w:bottom w:val="nil"/>
              <w:right w:val="nil"/>
            </w:tcBorders>
            <w:shd w:val="clear" w:color="auto" w:fill="auto"/>
            <w:noWrap/>
            <w:vAlign w:val="center"/>
            <w:hideMark/>
          </w:tcPr>
          <w:p w14:paraId="1BA4AD1D"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198 434</w:t>
            </w:r>
          </w:p>
        </w:tc>
        <w:tc>
          <w:tcPr>
            <w:tcW w:w="983" w:type="dxa"/>
            <w:tcBorders>
              <w:top w:val="nil"/>
              <w:left w:val="nil"/>
              <w:bottom w:val="nil"/>
              <w:right w:val="nil"/>
            </w:tcBorders>
            <w:shd w:val="clear" w:color="000000" w:fill="FFFFFF"/>
            <w:noWrap/>
            <w:vAlign w:val="center"/>
            <w:hideMark/>
          </w:tcPr>
          <w:p w14:paraId="1792030F"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731 079</w:t>
            </w:r>
          </w:p>
        </w:tc>
        <w:tc>
          <w:tcPr>
            <w:tcW w:w="1143" w:type="dxa"/>
            <w:tcBorders>
              <w:top w:val="nil"/>
              <w:left w:val="nil"/>
              <w:bottom w:val="nil"/>
              <w:right w:val="nil"/>
            </w:tcBorders>
            <w:shd w:val="clear" w:color="000000" w:fill="BFBFBF"/>
            <w:noWrap/>
            <w:vAlign w:val="center"/>
            <w:hideMark/>
          </w:tcPr>
          <w:p w14:paraId="578C21E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594 668</w:t>
            </w:r>
          </w:p>
        </w:tc>
        <w:tc>
          <w:tcPr>
            <w:tcW w:w="992" w:type="dxa"/>
            <w:tcBorders>
              <w:top w:val="nil"/>
              <w:left w:val="nil"/>
              <w:bottom w:val="nil"/>
              <w:right w:val="nil"/>
            </w:tcBorders>
            <w:shd w:val="clear" w:color="auto" w:fill="auto"/>
            <w:noWrap/>
            <w:vAlign w:val="center"/>
            <w:hideMark/>
          </w:tcPr>
          <w:p w14:paraId="35FD7163"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-136 411</w:t>
            </w:r>
          </w:p>
        </w:tc>
        <w:tc>
          <w:tcPr>
            <w:tcW w:w="709" w:type="dxa"/>
            <w:tcBorders>
              <w:top w:val="nil"/>
              <w:left w:val="nil"/>
              <w:bottom w:val="nil"/>
              <w:right w:val="nil"/>
            </w:tcBorders>
            <w:shd w:val="clear" w:color="auto" w:fill="auto"/>
            <w:noWrap/>
            <w:vAlign w:val="center"/>
            <w:hideMark/>
          </w:tcPr>
          <w:p w14:paraId="56F3ADF8"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-19</w:t>
            </w:r>
          </w:p>
        </w:tc>
      </w:tr>
      <w:tr w:rsidR="00EA177A" w:rsidRPr="00D67952" w14:paraId="22DC1906" w14:textId="77777777" w:rsidTr="006733E7">
        <w:trPr>
          <w:trHeight w:val="480"/>
        </w:trPr>
        <w:tc>
          <w:tcPr>
            <w:tcW w:w="2967" w:type="dxa"/>
            <w:tcBorders>
              <w:top w:val="nil"/>
              <w:left w:val="nil"/>
              <w:bottom w:val="nil"/>
              <w:right w:val="nil"/>
            </w:tcBorders>
            <w:shd w:val="clear" w:color="auto" w:fill="auto"/>
            <w:vAlign w:val="center"/>
            <w:hideMark/>
          </w:tcPr>
          <w:p w14:paraId="26D3FA44"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realizácia stavieb a ich technického zhodnotenia</w:t>
            </w:r>
          </w:p>
        </w:tc>
        <w:tc>
          <w:tcPr>
            <w:tcW w:w="851" w:type="dxa"/>
            <w:tcBorders>
              <w:top w:val="nil"/>
              <w:left w:val="nil"/>
              <w:bottom w:val="nil"/>
              <w:right w:val="nil"/>
            </w:tcBorders>
            <w:shd w:val="clear" w:color="auto" w:fill="auto"/>
            <w:noWrap/>
            <w:vAlign w:val="center"/>
            <w:hideMark/>
          </w:tcPr>
          <w:p w14:paraId="2D34D37A"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263 801</w:t>
            </w:r>
          </w:p>
        </w:tc>
        <w:tc>
          <w:tcPr>
            <w:tcW w:w="1134" w:type="dxa"/>
            <w:tcBorders>
              <w:top w:val="nil"/>
              <w:left w:val="nil"/>
              <w:bottom w:val="nil"/>
              <w:right w:val="nil"/>
            </w:tcBorders>
            <w:shd w:val="clear" w:color="auto" w:fill="auto"/>
            <w:noWrap/>
            <w:vAlign w:val="center"/>
            <w:hideMark/>
          </w:tcPr>
          <w:p w14:paraId="5EA1C1D1"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218 274</w:t>
            </w:r>
          </w:p>
        </w:tc>
        <w:tc>
          <w:tcPr>
            <w:tcW w:w="983" w:type="dxa"/>
            <w:tcBorders>
              <w:top w:val="nil"/>
              <w:left w:val="nil"/>
              <w:bottom w:val="nil"/>
              <w:right w:val="nil"/>
            </w:tcBorders>
            <w:shd w:val="clear" w:color="000000" w:fill="FFFFFF"/>
            <w:noWrap/>
            <w:vAlign w:val="center"/>
            <w:hideMark/>
          </w:tcPr>
          <w:p w14:paraId="7E95483D"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112 703</w:t>
            </w:r>
          </w:p>
        </w:tc>
        <w:tc>
          <w:tcPr>
            <w:tcW w:w="1143" w:type="dxa"/>
            <w:tcBorders>
              <w:top w:val="nil"/>
              <w:left w:val="nil"/>
              <w:bottom w:val="nil"/>
              <w:right w:val="nil"/>
            </w:tcBorders>
            <w:shd w:val="clear" w:color="000000" w:fill="BFBFBF"/>
            <w:noWrap/>
            <w:vAlign w:val="center"/>
            <w:hideMark/>
          </w:tcPr>
          <w:p w14:paraId="400139C8"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144 967</w:t>
            </w:r>
          </w:p>
        </w:tc>
        <w:tc>
          <w:tcPr>
            <w:tcW w:w="992" w:type="dxa"/>
            <w:tcBorders>
              <w:top w:val="nil"/>
              <w:left w:val="nil"/>
              <w:bottom w:val="nil"/>
              <w:right w:val="nil"/>
            </w:tcBorders>
            <w:shd w:val="clear" w:color="auto" w:fill="auto"/>
            <w:noWrap/>
            <w:vAlign w:val="center"/>
            <w:hideMark/>
          </w:tcPr>
          <w:p w14:paraId="0A127D9C"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32 264</w:t>
            </w:r>
          </w:p>
        </w:tc>
        <w:tc>
          <w:tcPr>
            <w:tcW w:w="709" w:type="dxa"/>
            <w:tcBorders>
              <w:top w:val="nil"/>
              <w:left w:val="nil"/>
              <w:bottom w:val="nil"/>
              <w:right w:val="nil"/>
            </w:tcBorders>
            <w:shd w:val="clear" w:color="auto" w:fill="auto"/>
            <w:noWrap/>
            <w:vAlign w:val="center"/>
            <w:hideMark/>
          </w:tcPr>
          <w:p w14:paraId="026975E2"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29</w:t>
            </w:r>
          </w:p>
        </w:tc>
      </w:tr>
      <w:tr w:rsidR="00EA177A" w:rsidRPr="00D67952" w14:paraId="4C1852B7" w14:textId="77777777" w:rsidTr="006733E7">
        <w:trPr>
          <w:trHeight w:val="300"/>
        </w:trPr>
        <w:tc>
          <w:tcPr>
            <w:tcW w:w="2967" w:type="dxa"/>
            <w:tcBorders>
              <w:top w:val="nil"/>
              <w:left w:val="nil"/>
              <w:bottom w:val="nil"/>
              <w:right w:val="nil"/>
            </w:tcBorders>
            <w:shd w:val="clear" w:color="auto" w:fill="auto"/>
            <w:vAlign w:val="center"/>
            <w:hideMark/>
          </w:tcPr>
          <w:p w14:paraId="70B8BE51" w14:textId="77777777" w:rsidR="00EA177A" w:rsidRPr="00D67952" w:rsidRDefault="00EA177A" w:rsidP="00C704A7">
            <w:pPr>
              <w:spacing w:after="0" w:line="240" w:lineRule="auto"/>
              <w:jc w:val="left"/>
              <w:rPr>
                <w:rFonts w:eastAsia="Times New Roman" w:cs="Times New Roman"/>
                <w:sz w:val="18"/>
                <w:szCs w:val="18"/>
                <w:lang w:eastAsia="sk-SK"/>
              </w:rPr>
            </w:pPr>
            <w:r>
              <w:rPr>
                <w:rFonts w:eastAsia="Times New Roman" w:cs="Times New Roman"/>
                <w:sz w:val="18"/>
                <w:szCs w:val="18"/>
                <w:lang w:eastAsia="sk-SK"/>
              </w:rPr>
              <w:t>n</w:t>
            </w:r>
            <w:r w:rsidRPr="00D67952">
              <w:rPr>
                <w:rFonts w:eastAsia="Times New Roman" w:cs="Times New Roman"/>
                <w:sz w:val="18"/>
                <w:szCs w:val="18"/>
                <w:lang w:eastAsia="sk-SK"/>
              </w:rPr>
              <w:t>ákup dopr. prostriedkov</w:t>
            </w:r>
          </w:p>
        </w:tc>
        <w:tc>
          <w:tcPr>
            <w:tcW w:w="851" w:type="dxa"/>
            <w:tcBorders>
              <w:top w:val="nil"/>
              <w:left w:val="nil"/>
              <w:bottom w:val="nil"/>
              <w:right w:val="nil"/>
            </w:tcBorders>
            <w:shd w:val="clear" w:color="auto" w:fill="auto"/>
            <w:noWrap/>
            <w:vAlign w:val="center"/>
            <w:hideMark/>
          </w:tcPr>
          <w:p w14:paraId="7A6A10A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83 439</w:t>
            </w:r>
          </w:p>
        </w:tc>
        <w:tc>
          <w:tcPr>
            <w:tcW w:w="1134" w:type="dxa"/>
            <w:tcBorders>
              <w:top w:val="nil"/>
              <w:left w:val="nil"/>
              <w:bottom w:val="nil"/>
              <w:right w:val="nil"/>
            </w:tcBorders>
            <w:shd w:val="clear" w:color="auto" w:fill="auto"/>
            <w:noWrap/>
            <w:vAlign w:val="center"/>
            <w:hideMark/>
          </w:tcPr>
          <w:p w14:paraId="520EA260"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97 326</w:t>
            </w:r>
          </w:p>
        </w:tc>
        <w:tc>
          <w:tcPr>
            <w:tcW w:w="983" w:type="dxa"/>
            <w:tcBorders>
              <w:top w:val="nil"/>
              <w:left w:val="nil"/>
              <w:bottom w:val="nil"/>
              <w:right w:val="nil"/>
            </w:tcBorders>
            <w:shd w:val="clear" w:color="000000" w:fill="FFFFFF"/>
            <w:noWrap/>
            <w:vAlign w:val="center"/>
            <w:hideMark/>
          </w:tcPr>
          <w:p w14:paraId="16781B83"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155 547</w:t>
            </w:r>
          </w:p>
        </w:tc>
        <w:tc>
          <w:tcPr>
            <w:tcW w:w="1143" w:type="dxa"/>
            <w:tcBorders>
              <w:top w:val="nil"/>
              <w:left w:val="nil"/>
              <w:bottom w:val="nil"/>
              <w:right w:val="nil"/>
            </w:tcBorders>
            <w:shd w:val="clear" w:color="000000" w:fill="BFBFBF"/>
            <w:noWrap/>
            <w:vAlign w:val="center"/>
            <w:hideMark/>
          </w:tcPr>
          <w:p w14:paraId="18C433E1"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114 606</w:t>
            </w:r>
          </w:p>
        </w:tc>
        <w:tc>
          <w:tcPr>
            <w:tcW w:w="992" w:type="dxa"/>
            <w:tcBorders>
              <w:top w:val="nil"/>
              <w:left w:val="nil"/>
              <w:bottom w:val="nil"/>
              <w:right w:val="nil"/>
            </w:tcBorders>
            <w:shd w:val="clear" w:color="auto" w:fill="auto"/>
            <w:noWrap/>
            <w:vAlign w:val="center"/>
            <w:hideMark/>
          </w:tcPr>
          <w:p w14:paraId="3A06F690"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-40 941</w:t>
            </w:r>
          </w:p>
        </w:tc>
        <w:tc>
          <w:tcPr>
            <w:tcW w:w="709" w:type="dxa"/>
            <w:tcBorders>
              <w:top w:val="nil"/>
              <w:left w:val="nil"/>
              <w:bottom w:val="nil"/>
              <w:right w:val="nil"/>
            </w:tcBorders>
            <w:shd w:val="clear" w:color="auto" w:fill="auto"/>
            <w:noWrap/>
            <w:vAlign w:val="center"/>
            <w:hideMark/>
          </w:tcPr>
          <w:p w14:paraId="382DB227"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-26</w:t>
            </w:r>
          </w:p>
        </w:tc>
      </w:tr>
      <w:tr w:rsidR="00EA177A" w:rsidRPr="00D67952" w14:paraId="44B102C0" w14:textId="77777777" w:rsidTr="006733E7">
        <w:trPr>
          <w:trHeight w:val="720"/>
        </w:trPr>
        <w:tc>
          <w:tcPr>
            <w:tcW w:w="2967" w:type="dxa"/>
            <w:tcBorders>
              <w:top w:val="nil"/>
              <w:left w:val="nil"/>
              <w:bottom w:val="nil"/>
              <w:right w:val="nil"/>
            </w:tcBorders>
            <w:shd w:val="clear" w:color="auto" w:fill="auto"/>
            <w:vAlign w:val="center"/>
            <w:hideMark/>
          </w:tcPr>
          <w:p w14:paraId="5C2A1A6F" w14:textId="77777777" w:rsidR="00EA177A" w:rsidRPr="00D67952" w:rsidRDefault="00EA177A" w:rsidP="00C704A7">
            <w:pPr>
              <w:spacing w:after="0" w:line="240" w:lineRule="auto"/>
              <w:jc w:val="left"/>
              <w:rPr>
                <w:rFonts w:eastAsia="Times New Roman" w:cs="Times New Roman"/>
                <w:sz w:val="18"/>
                <w:szCs w:val="18"/>
                <w:lang w:eastAsia="sk-SK"/>
              </w:rPr>
            </w:pPr>
            <w:proofErr w:type="spellStart"/>
            <w:r w:rsidRPr="00D67952">
              <w:rPr>
                <w:rFonts w:eastAsia="Times New Roman" w:cs="Times New Roman"/>
                <w:sz w:val="18"/>
                <w:szCs w:val="18"/>
                <w:lang w:eastAsia="sk-SK"/>
              </w:rPr>
              <w:t>ost</w:t>
            </w:r>
            <w:proofErr w:type="spellEnd"/>
            <w:r w:rsidRPr="00D67952">
              <w:rPr>
                <w:rFonts w:eastAsia="Times New Roman" w:cs="Times New Roman"/>
                <w:sz w:val="18"/>
                <w:szCs w:val="18"/>
                <w:lang w:eastAsia="sk-SK"/>
              </w:rPr>
              <w:t>. kapitálové výdavky (dokumentácia, rekonštrukcia a modernizácia strojov a </w:t>
            </w:r>
            <w:proofErr w:type="spellStart"/>
            <w:r w:rsidRPr="00D67952">
              <w:rPr>
                <w:rFonts w:eastAsia="Times New Roman" w:cs="Times New Roman"/>
                <w:sz w:val="18"/>
                <w:szCs w:val="18"/>
                <w:lang w:eastAsia="sk-SK"/>
              </w:rPr>
              <w:t>ost</w:t>
            </w:r>
            <w:proofErr w:type="spellEnd"/>
            <w:r w:rsidRPr="00D67952">
              <w:rPr>
                <w:rFonts w:eastAsia="Times New Roman" w:cs="Times New Roman"/>
                <w:sz w:val="18"/>
                <w:szCs w:val="18"/>
                <w:lang w:eastAsia="sk-SK"/>
              </w:rPr>
              <w:t>.)</w:t>
            </w:r>
          </w:p>
        </w:tc>
        <w:tc>
          <w:tcPr>
            <w:tcW w:w="851" w:type="dxa"/>
            <w:tcBorders>
              <w:top w:val="nil"/>
              <w:left w:val="nil"/>
              <w:bottom w:val="nil"/>
              <w:right w:val="nil"/>
            </w:tcBorders>
            <w:shd w:val="clear" w:color="auto" w:fill="auto"/>
            <w:noWrap/>
            <w:vAlign w:val="center"/>
            <w:hideMark/>
          </w:tcPr>
          <w:p w14:paraId="5644FA00"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112 917</w:t>
            </w:r>
          </w:p>
        </w:tc>
        <w:tc>
          <w:tcPr>
            <w:tcW w:w="1134" w:type="dxa"/>
            <w:tcBorders>
              <w:top w:val="nil"/>
              <w:left w:val="nil"/>
              <w:bottom w:val="nil"/>
              <w:right w:val="nil"/>
            </w:tcBorders>
            <w:shd w:val="clear" w:color="auto" w:fill="auto"/>
            <w:noWrap/>
            <w:vAlign w:val="center"/>
            <w:hideMark/>
          </w:tcPr>
          <w:p w14:paraId="2F37BE7F"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116 377</w:t>
            </w:r>
          </w:p>
        </w:tc>
        <w:tc>
          <w:tcPr>
            <w:tcW w:w="983" w:type="dxa"/>
            <w:tcBorders>
              <w:top w:val="nil"/>
              <w:left w:val="nil"/>
              <w:bottom w:val="nil"/>
              <w:right w:val="nil"/>
            </w:tcBorders>
            <w:shd w:val="clear" w:color="000000" w:fill="FFFFFF"/>
            <w:noWrap/>
            <w:vAlign w:val="center"/>
            <w:hideMark/>
          </w:tcPr>
          <w:p w14:paraId="0893E89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261 410</w:t>
            </w:r>
          </w:p>
        </w:tc>
        <w:tc>
          <w:tcPr>
            <w:tcW w:w="1143" w:type="dxa"/>
            <w:tcBorders>
              <w:top w:val="nil"/>
              <w:left w:val="nil"/>
              <w:bottom w:val="nil"/>
              <w:right w:val="nil"/>
            </w:tcBorders>
            <w:shd w:val="clear" w:color="000000" w:fill="BFBFBF"/>
            <w:noWrap/>
            <w:vAlign w:val="center"/>
            <w:hideMark/>
          </w:tcPr>
          <w:p w14:paraId="2D4E3276"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99 126</w:t>
            </w:r>
          </w:p>
        </w:tc>
        <w:tc>
          <w:tcPr>
            <w:tcW w:w="992" w:type="dxa"/>
            <w:tcBorders>
              <w:top w:val="nil"/>
              <w:left w:val="nil"/>
              <w:bottom w:val="nil"/>
              <w:right w:val="nil"/>
            </w:tcBorders>
            <w:shd w:val="clear" w:color="auto" w:fill="auto"/>
            <w:noWrap/>
            <w:vAlign w:val="center"/>
            <w:hideMark/>
          </w:tcPr>
          <w:p w14:paraId="2BF2914A"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-162 284</w:t>
            </w:r>
          </w:p>
        </w:tc>
        <w:tc>
          <w:tcPr>
            <w:tcW w:w="709" w:type="dxa"/>
            <w:tcBorders>
              <w:top w:val="nil"/>
              <w:left w:val="nil"/>
              <w:bottom w:val="nil"/>
              <w:right w:val="nil"/>
            </w:tcBorders>
            <w:shd w:val="clear" w:color="auto" w:fill="auto"/>
            <w:noWrap/>
            <w:vAlign w:val="center"/>
            <w:hideMark/>
          </w:tcPr>
          <w:p w14:paraId="13BC951C"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-62</w:t>
            </w:r>
          </w:p>
        </w:tc>
      </w:tr>
      <w:tr w:rsidR="00EA177A" w:rsidRPr="00D67952" w14:paraId="75D63547" w14:textId="77777777" w:rsidTr="006733E7">
        <w:trPr>
          <w:trHeight w:val="300"/>
        </w:trPr>
        <w:tc>
          <w:tcPr>
            <w:tcW w:w="2967" w:type="dxa"/>
            <w:tcBorders>
              <w:top w:val="nil"/>
              <w:left w:val="nil"/>
              <w:bottom w:val="nil"/>
              <w:right w:val="nil"/>
            </w:tcBorders>
            <w:shd w:val="clear" w:color="auto" w:fill="auto"/>
            <w:vAlign w:val="center"/>
            <w:hideMark/>
          </w:tcPr>
          <w:p w14:paraId="55C366B3"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nákup budov, objektov a ich častí</w:t>
            </w:r>
          </w:p>
        </w:tc>
        <w:tc>
          <w:tcPr>
            <w:tcW w:w="851" w:type="dxa"/>
            <w:tcBorders>
              <w:top w:val="nil"/>
              <w:left w:val="nil"/>
              <w:bottom w:val="nil"/>
              <w:right w:val="nil"/>
            </w:tcBorders>
            <w:shd w:val="clear" w:color="auto" w:fill="auto"/>
            <w:noWrap/>
            <w:vAlign w:val="center"/>
            <w:hideMark/>
          </w:tcPr>
          <w:p w14:paraId="4447D0E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10 587</w:t>
            </w:r>
          </w:p>
        </w:tc>
        <w:tc>
          <w:tcPr>
            <w:tcW w:w="1134" w:type="dxa"/>
            <w:tcBorders>
              <w:top w:val="nil"/>
              <w:left w:val="nil"/>
              <w:bottom w:val="nil"/>
              <w:right w:val="nil"/>
            </w:tcBorders>
            <w:shd w:val="clear" w:color="auto" w:fill="auto"/>
            <w:noWrap/>
            <w:vAlign w:val="center"/>
            <w:hideMark/>
          </w:tcPr>
          <w:p w14:paraId="1225C24D"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12 734</w:t>
            </w:r>
          </w:p>
        </w:tc>
        <w:tc>
          <w:tcPr>
            <w:tcW w:w="983" w:type="dxa"/>
            <w:tcBorders>
              <w:top w:val="nil"/>
              <w:left w:val="nil"/>
              <w:bottom w:val="nil"/>
              <w:right w:val="nil"/>
            </w:tcBorders>
            <w:shd w:val="clear" w:color="000000" w:fill="FFFFFF"/>
            <w:noWrap/>
            <w:vAlign w:val="center"/>
            <w:hideMark/>
          </w:tcPr>
          <w:p w14:paraId="4D9BC708"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2 970</w:t>
            </w:r>
          </w:p>
        </w:tc>
        <w:tc>
          <w:tcPr>
            <w:tcW w:w="1143" w:type="dxa"/>
            <w:tcBorders>
              <w:top w:val="nil"/>
              <w:left w:val="nil"/>
              <w:bottom w:val="nil"/>
              <w:right w:val="nil"/>
            </w:tcBorders>
            <w:shd w:val="clear" w:color="000000" w:fill="BFBFBF"/>
            <w:noWrap/>
            <w:vAlign w:val="center"/>
            <w:hideMark/>
          </w:tcPr>
          <w:p w14:paraId="6C2F6D8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73 698</w:t>
            </w:r>
          </w:p>
        </w:tc>
        <w:tc>
          <w:tcPr>
            <w:tcW w:w="992" w:type="dxa"/>
            <w:tcBorders>
              <w:top w:val="nil"/>
              <w:left w:val="nil"/>
              <w:bottom w:val="nil"/>
              <w:right w:val="nil"/>
            </w:tcBorders>
            <w:shd w:val="clear" w:color="auto" w:fill="auto"/>
            <w:noWrap/>
            <w:vAlign w:val="center"/>
            <w:hideMark/>
          </w:tcPr>
          <w:p w14:paraId="728A866C"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70 728</w:t>
            </w:r>
          </w:p>
        </w:tc>
        <w:tc>
          <w:tcPr>
            <w:tcW w:w="709" w:type="dxa"/>
            <w:tcBorders>
              <w:top w:val="nil"/>
              <w:left w:val="nil"/>
              <w:bottom w:val="nil"/>
              <w:right w:val="nil"/>
            </w:tcBorders>
            <w:shd w:val="clear" w:color="auto" w:fill="auto"/>
            <w:noWrap/>
            <w:vAlign w:val="center"/>
            <w:hideMark/>
          </w:tcPr>
          <w:p w14:paraId="4753D319"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2 381</w:t>
            </w:r>
          </w:p>
        </w:tc>
      </w:tr>
      <w:tr w:rsidR="00EA177A" w:rsidRPr="00D67952" w14:paraId="0ACF661E" w14:textId="77777777" w:rsidTr="006733E7">
        <w:trPr>
          <w:trHeight w:val="300"/>
        </w:trPr>
        <w:tc>
          <w:tcPr>
            <w:tcW w:w="2967" w:type="dxa"/>
            <w:tcBorders>
              <w:top w:val="nil"/>
              <w:left w:val="nil"/>
              <w:bottom w:val="nil"/>
              <w:right w:val="nil"/>
            </w:tcBorders>
            <w:shd w:val="clear" w:color="auto" w:fill="auto"/>
            <w:vAlign w:val="center"/>
            <w:hideMark/>
          </w:tcPr>
          <w:p w14:paraId="35C6E4C5"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nákup pozemkov a nehmotných aktív</w:t>
            </w:r>
          </w:p>
        </w:tc>
        <w:tc>
          <w:tcPr>
            <w:tcW w:w="851" w:type="dxa"/>
            <w:tcBorders>
              <w:top w:val="nil"/>
              <w:left w:val="nil"/>
              <w:bottom w:val="nil"/>
              <w:right w:val="nil"/>
            </w:tcBorders>
            <w:shd w:val="clear" w:color="auto" w:fill="auto"/>
            <w:noWrap/>
            <w:vAlign w:val="center"/>
            <w:hideMark/>
          </w:tcPr>
          <w:p w14:paraId="2A433CB3"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41 532</w:t>
            </w:r>
          </w:p>
        </w:tc>
        <w:tc>
          <w:tcPr>
            <w:tcW w:w="1134" w:type="dxa"/>
            <w:tcBorders>
              <w:top w:val="nil"/>
              <w:left w:val="nil"/>
              <w:bottom w:val="nil"/>
              <w:right w:val="nil"/>
            </w:tcBorders>
            <w:shd w:val="clear" w:color="auto" w:fill="auto"/>
            <w:noWrap/>
            <w:vAlign w:val="center"/>
            <w:hideMark/>
          </w:tcPr>
          <w:p w14:paraId="707C5E6A"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78 003</w:t>
            </w:r>
          </w:p>
        </w:tc>
        <w:tc>
          <w:tcPr>
            <w:tcW w:w="983" w:type="dxa"/>
            <w:tcBorders>
              <w:top w:val="nil"/>
              <w:left w:val="nil"/>
              <w:bottom w:val="nil"/>
              <w:right w:val="nil"/>
            </w:tcBorders>
            <w:shd w:val="clear" w:color="000000" w:fill="FFFFFF"/>
            <w:noWrap/>
            <w:vAlign w:val="center"/>
            <w:hideMark/>
          </w:tcPr>
          <w:p w14:paraId="6E3EFBF8"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19 302</w:t>
            </w:r>
          </w:p>
        </w:tc>
        <w:tc>
          <w:tcPr>
            <w:tcW w:w="1143" w:type="dxa"/>
            <w:tcBorders>
              <w:top w:val="nil"/>
              <w:left w:val="nil"/>
              <w:bottom w:val="nil"/>
              <w:right w:val="nil"/>
            </w:tcBorders>
            <w:shd w:val="clear" w:color="000000" w:fill="BFBFBF"/>
            <w:noWrap/>
            <w:vAlign w:val="center"/>
            <w:hideMark/>
          </w:tcPr>
          <w:p w14:paraId="015555DA"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69 433</w:t>
            </w:r>
          </w:p>
        </w:tc>
        <w:tc>
          <w:tcPr>
            <w:tcW w:w="992" w:type="dxa"/>
            <w:tcBorders>
              <w:top w:val="nil"/>
              <w:left w:val="nil"/>
              <w:bottom w:val="nil"/>
              <w:right w:val="nil"/>
            </w:tcBorders>
            <w:shd w:val="clear" w:color="auto" w:fill="auto"/>
            <w:noWrap/>
            <w:vAlign w:val="center"/>
            <w:hideMark/>
          </w:tcPr>
          <w:p w14:paraId="41CB504E"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50 131</w:t>
            </w:r>
          </w:p>
        </w:tc>
        <w:tc>
          <w:tcPr>
            <w:tcW w:w="709" w:type="dxa"/>
            <w:tcBorders>
              <w:top w:val="nil"/>
              <w:left w:val="nil"/>
              <w:bottom w:val="nil"/>
              <w:right w:val="nil"/>
            </w:tcBorders>
            <w:shd w:val="clear" w:color="auto" w:fill="auto"/>
            <w:noWrap/>
            <w:vAlign w:val="center"/>
            <w:hideMark/>
          </w:tcPr>
          <w:p w14:paraId="2FD49E73"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260</w:t>
            </w:r>
          </w:p>
        </w:tc>
      </w:tr>
      <w:tr w:rsidR="00EA177A" w:rsidRPr="00D67952" w14:paraId="169D32E4" w14:textId="77777777" w:rsidTr="006733E7">
        <w:trPr>
          <w:trHeight w:val="300"/>
        </w:trPr>
        <w:tc>
          <w:tcPr>
            <w:tcW w:w="2967" w:type="dxa"/>
            <w:tcBorders>
              <w:top w:val="nil"/>
              <w:left w:val="nil"/>
              <w:bottom w:val="nil"/>
              <w:right w:val="nil"/>
            </w:tcBorders>
            <w:shd w:val="clear" w:color="auto" w:fill="auto"/>
            <w:vAlign w:val="center"/>
            <w:hideMark/>
          </w:tcPr>
          <w:p w14:paraId="518D3330" w14:textId="77777777" w:rsidR="00EA177A" w:rsidRPr="00D67952" w:rsidRDefault="00EA177A" w:rsidP="00C704A7">
            <w:pPr>
              <w:spacing w:after="0" w:line="240" w:lineRule="auto"/>
              <w:rPr>
                <w:rFonts w:eastAsia="Times New Roman" w:cs="Times New Roman"/>
                <w:b/>
                <w:bCs/>
                <w:sz w:val="18"/>
                <w:szCs w:val="18"/>
                <w:lang w:eastAsia="sk-SK"/>
              </w:rPr>
            </w:pPr>
            <w:r w:rsidRPr="00D67952">
              <w:rPr>
                <w:rFonts w:eastAsia="Times New Roman" w:cs="Times New Roman"/>
                <w:b/>
                <w:bCs/>
                <w:sz w:val="18"/>
                <w:szCs w:val="18"/>
                <w:lang w:eastAsia="sk-SK"/>
              </w:rPr>
              <w:t>Kapitálové transfery</w:t>
            </w:r>
          </w:p>
        </w:tc>
        <w:tc>
          <w:tcPr>
            <w:tcW w:w="851" w:type="dxa"/>
            <w:tcBorders>
              <w:top w:val="nil"/>
              <w:left w:val="nil"/>
              <w:bottom w:val="nil"/>
              <w:right w:val="nil"/>
            </w:tcBorders>
            <w:shd w:val="clear" w:color="auto" w:fill="auto"/>
            <w:noWrap/>
            <w:vAlign w:val="center"/>
            <w:hideMark/>
          </w:tcPr>
          <w:p w14:paraId="30F18B4F"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947 164</w:t>
            </w:r>
          </w:p>
        </w:tc>
        <w:tc>
          <w:tcPr>
            <w:tcW w:w="1134" w:type="dxa"/>
            <w:tcBorders>
              <w:top w:val="nil"/>
              <w:left w:val="nil"/>
              <w:bottom w:val="nil"/>
              <w:right w:val="nil"/>
            </w:tcBorders>
            <w:shd w:val="clear" w:color="auto" w:fill="auto"/>
            <w:noWrap/>
            <w:vAlign w:val="center"/>
            <w:hideMark/>
          </w:tcPr>
          <w:p w14:paraId="3D7A2B7E"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1 681 176</w:t>
            </w:r>
          </w:p>
        </w:tc>
        <w:tc>
          <w:tcPr>
            <w:tcW w:w="983" w:type="dxa"/>
            <w:tcBorders>
              <w:top w:val="nil"/>
              <w:left w:val="nil"/>
              <w:bottom w:val="nil"/>
              <w:right w:val="nil"/>
            </w:tcBorders>
            <w:shd w:val="clear" w:color="000000" w:fill="FFFFFF"/>
            <w:noWrap/>
            <w:vAlign w:val="center"/>
            <w:hideMark/>
          </w:tcPr>
          <w:p w14:paraId="12E359CB"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1 005 567</w:t>
            </w:r>
          </w:p>
        </w:tc>
        <w:tc>
          <w:tcPr>
            <w:tcW w:w="1143" w:type="dxa"/>
            <w:tcBorders>
              <w:top w:val="nil"/>
              <w:left w:val="nil"/>
              <w:bottom w:val="nil"/>
              <w:right w:val="nil"/>
            </w:tcBorders>
            <w:shd w:val="clear" w:color="000000" w:fill="BFBFBF"/>
            <w:noWrap/>
            <w:vAlign w:val="center"/>
            <w:hideMark/>
          </w:tcPr>
          <w:p w14:paraId="36F86C21"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1 762 451</w:t>
            </w:r>
          </w:p>
        </w:tc>
        <w:tc>
          <w:tcPr>
            <w:tcW w:w="992" w:type="dxa"/>
            <w:tcBorders>
              <w:top w:val="nil"/>
              <w:left w:val="nil"/>
              <w:bottom w:val="nil"/>
              <w:right w:val="nil"/>
            </w:tcBorders>
            <w:shd w:val="clear" w:color="auto" w:fill="auto"/>
            <w:noWrap/>
            <w:vAlign w:val="center"/>
            <w:hideMark/>
          </w:tcPr>
          <w:p w14:paraId="73590E58"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756 884</w:t>
            </w:r>
          </w:p>
        </w:tc>
        <w:tc>
          <w:tcPr>
            <w:tcW w:w="709" w:type="dxa"/>
            <w:tcBorders>
              <w:top w:val="nil"/>
              <w:left w:val="nil"/>
              <w:bottom w:val="nil"/>
              <w:right w:val="nil"/>
            </w:tcBorders>
            <w:shd w:val="clear" w:color="auto" w:fill="auto"/>
            <w:noWrap/>
            <w:vAlign w:val="center"/>
            <w:hideMark/>
          </w:tcPr>
          <w:p w14:paraId="3A883670"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75</w:t>
            </w:r>
          </w:p>
        </w:tc>
      </w:tr>
      <w:tr w:rsidR="00EA177A" w:rsidRPr="00D67952" w14:paraId="4B48C1FE" w14:textId="77777777" w:rsidTr="006733E7">
        <w:trPr>
          <w:trHeight w:val="300"/>
        </w:trPr>
        <w:tc>
          <w:tcPr>
            <w:tcW w:w="2967" w:type="dxa"/>
            <w:tcBorders>
              <w:top w:val="nil"/>
              <w:left w:val="nil"/>
              <w:bottom w:val="nil"/>
              <w:right w:val="nil"/>
            </w:tcBorders>
            <w:shd w:val="clear" w:color="auto" w:fill="auto"/>
            <w:vAlign w:val="center"/>
            <w:hideMark/>
          </w:tcPr>
          <w:p w14:paraId="27B62441"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v rámci verejnej správy</w:t>
            </w:r>
          </w:p>
        </w:tc>
        <w:tc>
          <w:tcPr>
            <w:tcW w:w="851" w:type="dxa"/>
            <w:tcBorders>
              <w:top w:val="nil"/>
              <w:left w:val="nil"/>
              <w:bottom w:val="nil"/>
              <w:right w:val="nil"/>
            </w:tcBorders>
            <w:shd w:val="clear" w:color="auto" w:fill="auto"/>
            <w:noWrap/>
            <w:vAlign w:val="center"/>
            <w:hideMark/>
          </w:tcPr>
          <w:p w14:paraId="119999C6"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734 040</w:t>
            </w:r>
          </w:p>
        </w:tc>
        <w:tc>
          <w:tcPr>
            <w:tcW w:w="1134" w:type="dxa"/>
            <w:tcBorders>
              <w:top w:val="nil"/>
              <w:left w:val="nil"/>
              <w:bottom w:val="nil"/>
              <w:right w:val="nil"/>
            </w:tcBorders>
            <w:shd w:val="clear" w:color="auto" w:fill="auto"/>
            <w:noWrap/>
            <w:vAlign w:val="center"/>
            <w:hideMark/>
          </w:tcPr>
          <w:p w14:paraId="4CACF15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1 319 259</w:t>
            </w:r>
          </w:p>
        </w:tc>
        <w:tc>
          <w:tcPr>
            <w:tcW w:w="983" w:type="dxa"/>
            <w:tcBorders>
              <w:top w:val="nil"/>
              <w:left w:val="nil"/>
              <w:bottom w:val="nil"/>
              <w:right w:val="nil"/>
            </w:tcBorders>
            <w:shd w:val="clear" w:color="000000" w:fill="FFFFFF"/>
            <w:noWrap/>
            <w:vAlign w:val="center"/>
            <w:hideMark/>
          </w:tcPr>
          <w:p w14:paraId="21B330C2"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223 218</w:t>
            </w:r>
          </w:p>
        </w:tc>
        <w:tc>
          <w:tcPr>
            <w:tcW w:w="1143" w:type="dxa"/>
            <w:tcBorders>
              <w:top w:val="nil"/>
              <w:left w:val="nil"/>
              <w:bottom w:val="nil"/>
              <w:right w:val="nil"/>
            </w:tcBorders>
            <w:shd w:val="clear" w:color="000000" w:fill="BFBFBF"/>
            <w:noWrap/>
            <w:vAlign w:val="center"/>
            <w:hideMark/>
          </w:tcPr>
          <w:p w14:paraId="72624503"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1 228 162</w:t>
            </w:r>
          </w:p>
        </w:tc>
        <w:tc>
          <w:tcPr>
            <w:tcW w:w="992" w:type="dxa"/>
            <w:tcBorders>
              <w:top w:val="nil"/>
              <w:left w:val="nil"/>
              <w:bottom w:val="nil"/>
              <w:right w:val="nil"/>
            </w:tcBorders>
            <w:shd w:val="clear" w:color="auto" w:fill="auto"/>
            <w:noWrap/>
            <w:vAlign w:val="center"/>
            <w:hideMark/>
          </w:tcPr>
          <w:p w14:paraId="3EFE6952"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1 004 944</w:t>
            </w:r>
          </w:p>
        </w:tc>
        <w:tc>
          <w:tcPr>
            <w:tcW w:w="709" w:type="dxa"/>
            <w:tcBorders>
              <w:top w:val="nil"/>
              <w:left w:val="nil"/>
              <w:bottom w:val="nil"/>
              <w:right w:val="nil"/>
            </w:tcBorders>
            <w:shd w:val="clear" w:color="auto" w:fill="auto"/>
            <w:noWrap/>
            <w:vAlign w:val="center"/>
            <w:hideMark/>
          </w:tcPr>
          <w:p w14:paraId="411B318D"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450</w:t>
            </w:r>
          </w:p>
        </w:tc>
      </w:tr>
      <w:tr w:rsidR="00EA177A" w:rsidRPr="00D67952" w14:paraId="77C960DC" w14:textId="77777777" w:rsidTr="006733E7">
        <w:trPr>
          <w:trHeight w:val="301"/>
        </w:trPr>
        <w:tc>
          <w:tcPr>
            <w:tcW w:w="2967" w:type="dxa"/>
            <w:tcBorders>
              <w:top w:val="nil"/>
              <w:left w:val="nil"/>
              <w:bottom w:val="nil"/>
              <w:right w:val="nil"/>
            </w:tcBorders>
            <w:shd w:val="clear" w:color="auto" w:fill="auto"/>
            <w:vAlign w:val="center"/>
            <w:hideMark/>
          </w:tcPr>
          <w:p w14:paraId="414709F6"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nefinančným subjektom</w:t>
            </w:r>
          </w:p>
        </w:tc>
        <w:tc>
          <w:tcPr>
            <w:tcW w:w="851" w:type="dxa"/>
            <w:tcBorders>
              <w:top w:val="nil"/>
              <w:left w:val="nil"/>
              <w:bottom w:val="nil"/>
              <w:right w:val="nil"/>
            </w:tcBorders>
            <w:shd w:val="clear" w:color="auto" w:fill="auto"/>
            <w:noWrap/>
            <w:vAlign w:val="center"/>
            <w:hideMark/>
          </w:tcPr>
          <w:p w14:paraId="5D55F04B"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177 324</w:t>
            </w:r>
          </w:p>
        </w:tc>
        <w:tc>
          <w:tcPr>
            <w:tcW w:w="1134" w:type="dxa"/>
            <w:tcBorders>
              <w:top w:val="nil"/>
              <w:left w:val="nil"/>
              <w:bottom w:val="nil"/>
              <w:right w:val="nil"/>
            </w:tcBorders>
            <w:shd w:val="clear" w:color="auto" w:fill="auto"/>
            <w:noWrap/>
            <w:vAlign w:val="center"/>
            <w:hideMark/>
          </w:tcPr>
          <w:p w14:paraId="44F0437D"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331 578</w:t>
            </w:r>
          </w:p>
        </w:tc>
        <w:tc>
          <w:tcPr>
            <w:tcW w:w="983" w:type="dxa"/>
            <w:tcBorders>
              <w:top w:val="nil"/>
              <w:left w:val="nil"/>
              <w:bottom w:val="nil"/>
              <w:right w:val="nil"/>
            </w:tcBorders>
            <w:shd w:val="clear" w:color="000000" w:fill="FFFFFF"/>
            <w:noWrap/>
            <w:vAlign w:val="center"/>
            <w:hideMark/>
          </w:tcPr>
          <w:p w14:paraId="5059EEDF"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713 595</w:t>
            </w:r>
          </w:p>
        </w:tc>
        <w:tc>
          <w:tcPr>
            <w:tcW w:w="1143" w:type="dxa"/>
            <w:tcBorders>
              <w:top w:val="nil"/>
              <w:left w:val="nil"/>
              <w:bottom w:val="nil"/>
              <w:right w:val="nil"/>
            </w:tcBorders>
            <w:shd w:val="clear" w:color="000000" w:fill="BFBFBF"/>
            <w:noWrap/>
            <w:vAlign w:val="center"/>
            <w:hideMark/>
          </w:tcPr>
          <w:p w14:paraId="252DC066"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465 570</w:t>
            </w:r>
          </w:p>
        </w:tc>
        <w:tc>
          <w:tcPr>
            <w:tcW w:w="992" w:type="dxa"/>
            <w:tcBorders>
              <w:top w:val="nil"/>
              <w:left w:val="nil"/>
              <w:bottom w:val="nil"/>
              <w:right w:val="nil"/>
            </w:tcBorders>
            <w:shd w:val="clear" w:color="auto" w:fill="auto"/>
            <w:noWrap/>
            <w:vAlign w:val="center"/>
            <w:hideMark/>
          </w:tcPr>
          <w:p w14:paraId="673AC54C"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-248 025</w:t>
            </w:r>
          </w:p>
        </w:tc>
        <w:tc>
          <w:tcPr>
            <w:tcW w:w="709" w:type="dxa"/>
            <w:tcBorders>
              <w:top w:val="nil"/>
              <w:left w:val="nil"/>
              <w:bottom w:val="nil"/>
              <w:right w:val="nil"/>
            </w:tcBorders>
            <w:shd w:val="clear" w:color="auto" w:fill="auto"/>
            <w:noWrap/>
            <w:vAlign w:val="center"/>
            <w:hideMark/>
          </w:tcPr>
          <w:p w14:paraId="54AFCFF2"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-35</w:t>
            </w:r>
          </w:p>
        </w:tc>
      </w:tr>
      <w:tr w:rsidR="00EA177A" w:rsidRPr="00D67952" w14:paraId="5F88F845" w14:textId="77777777" w:rsidTr="006733E7">
        <w:trPr>
          <w:trHeight w:val="480"/>
        </w:trPr>
        <w:tc>
          <w:tcPr>
            <w:tcW w:w="2967" w:type="dxa"/>
            <w:tcBorders>
              <w:top w:val="nil"/>
              <w:left w:val="nil"/>
              <w:right w:val="nil"/>
            </w:tcBorders>
            <w:shd w:val="clear" w:color="auto" w:fill="auto"/>
            <w:vAlign w:val="center"/>
            <w:hideMark/>
          </w:tcPr>
          <w:p w14:paraId="0395D1FC"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jednotlivcom a neziskovým právnickým osobám</w:t>
            </w:r>
          </w:p>
        </w:tc>
        <w:tc>
          <w:tcPr>
            <w:tcW w:w="851" w:type="dxa"/>
            <w:tcBorders>
              <w:top w:val="nil"/>
              <w:left w:val="nil"/>
              <w:right w:val="nil"/>
            </w:tcBorders>
            <w:shd w:val="clear" w:color="auto" w:fill="auto"/>
            <w:noWrap/>
            <w:vAlign w:val="center"/>
            <w:hideMark/>
          </w:tcPr>
          <w:p w14:paraId="25A55FFA"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35 049</w:t>
            </w:r>
          </w:p>
        </w:tc>
        <w:tc>
          <w:tcPr>
            <w:tcW w:w="1134" w:type="dxa"/>
            <w:tcBorders>
              <w:top w:val="nil"/>
              <w:left w:val="nil"/>
              <w:right w:val="nil"/>
            </w:tcBorders>
            <w:shd w:val="clear" w:color="auto" w:fill="auto"/>
            <w:noWrap/>
            <w:vAlign w:val="center"/>
            <w:hideMark/>
          </w:tcPr>
          <w:p w14:paraId="545FD2D6"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22 417</w:t>
            </w:r>
          </w:p>
        </w:tc>
        <w:tc>
          <w:tcPr>
            <w:tcW w:w="983" w:type="dxa"/>
            <w:tcBorders>
              <w:top w:val="nil"/>
              <w:left w:val="nil"/>
              <w:right w:val="nil"/>
            </w:tcBorders>
            <w:shd w:val="clear" w:color="000000" w:fill="FFFFFF"/>
            <w:noWrap/>
            <w:vAlign w:val="center"/>
            <w:hideMark/>
          </w:tcPr>
          <w:p w14:paraId="7B282D7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68 754</w:t>
            </w:r>
          </w:p>
        </w:tc>
        <w:tc>
          <w:tcPr>
            <w:tcW w:w="1143" w:type="dxa"/>
            <w:tcBorders>
              <w:top w:val="nil"/>
              <w:left w:val="nil"/>
              <w:right w:val="nil"/>
            </w:tcBorders>
            <w:shd w:val="clear" w:color="000000" w:fill="BFBFBF"/>
            <w:noWrap/>
            <w:vAlign w:val="center"/>
            <w:hideMark/>
          </w:tcPr>
          <w:p w14:paraId="4F65F4C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65 711</w:t>
            </w:r>
          </w:p>
        </w:tc>
        <w:tc>
          <w:tcPr>
            <w:tcW w:w="992" w:type="dxa"/>
            <w:tcBorders>
              <w:top w:val="nil"/>
              <w:left w:val="nil"/>
              <w:right w:val="nil"/>
            </w:tcBorders>
            <w:shd w:val="clear" w:color="auto" w:fill="auto"/>
            <w:noWrap/>
            <w:vAlign w:val="center"/>
            <w:hideMark/>
          </w:tcPr>
          <w:p w14:paraId="156BF3D3"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-3 043</w:t>
            </w:r>
          </w:p>
        </w:tc>
        <w:tc>
          <w:tcPr>
            <w:tcW w:w="709" w:type="dxa"/>
            <w:tcBorders>
              <w:top w:val="nil"/>
              <w:left w:val="nil"/>
              <w:right w:val="nil"/>
            </w:tcBorders>
            <w:shd w:val="clear" w:color="auto" w:fill="auto"/>
            <w:noWrap/>
            <w:vAlign w:val="center"/>
            <w:hideMark/>
          </w:tcPr>
          <w:p w14:paraId="6975995A"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-4</w:t>
            </w:r>
          </w:p>
        </w:tc>
      </w:tr>
      <w:tr w:rsidR="00EA177A" w:rsidRPr="00D67952" w14:paraId="31341737" w14:textId="77777777" w:rsidTr="006733E7">
        <w:trPr>
          <w:trHeight w:val="315"/>
        </w:trPr>
        <w:tc>
          <w:tcPr>
            <w:tcW w:w="2967" w:type="dxa"/>
            <w:tcBorders>
              <w:top w:val="nil"/>
              <w:left w:val="nil"/>
              <w:right w:val="nil"/>
            </w:tcBorders>
            <w:shd w:val="clear" w:color="auto" w:fill="auto"/>
            <w:vAlign w:val="center"/>
            <w:hideMark/>
          </w:tcPr>
          <w:p w14:paraId="24A96275"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do zahraničia</w:t>
            </w:r>
          </w:p>
        </w:tc>
        <w:tc>
          <w:tcPr>
            <w:tcW w:w="851" w:type="dxa"/>
            <w:tcBorders>
              <w:top w:val="nil"/>
              <w:left w:val="nil"/>
              <w:right w:val="nil"/>
            </w:tcBorders>
            <w:shd w:val="clear" w:color="auto" w:fill="auto"/>
            <w:noWrap/>
            <w:vAlign w:val="center"/>
            <w:hideMark/>
          </w:tcPr>
          <w:p w14:paraId="1132F1DB"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751</w:t>
            </w:r>
          </w:p>
        </w:tc>
        <w:tc>
          <w:tcPr>
            <w:tcW w:w="1134" w:type="dxa"/>
            <w:tcBorders>
              <w:top w:val="nil"/>
              <w:left w:val="nil"/>
              <w:right w:val="nil"/>
            </w:tcBorders>
            <w:shd w:val="clear" w:color="auto" w:fill="auto"/>
            <w:noWrap/>
            <w:vAlign w:val="center"/>
            <w:hideMark/>
          </w:tcPr>
          <w:p w14:paraId="6A751FBE"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275</w:t>
            </w:r>
          </w:p>
        </w:tc>
        <w:tc>
          <w:tcPr>
            <w:tcW w:w="983" w:type="dxa"/>
            <w:tcBorders>
              <w:top w:val="nil"/>
              <w:left w:val="nil"/>
              <w:right w:val="nil"/>
            </w:tcBorders>
            <w:shd w:val="clear" w:color="000000" w:fill="FFFFFF"/>
            <w:noWrap/>
            <w:vAlign w:val="center"/>
            <w:hideMark/>
          </w:tcPr>
          <w:p w14:paraId="2A4FBD4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1143" w:type="dxa"/>
            <w:tcBorders>
              <w:top w:val="nil"/>
              <w:left w:val="nil"/>
              <w:right w:val="nil"/>
            </w:tcBorders>
            <w:shd w:val="clear" w:color="000000" w:fill="BFBFBF"/>
            <w:noWrap/>
            <w:vAlign w:val="center"/>
            <w:hideMark/>
          </w:tcPr>
          <w:p w14:paraId="501D0CEE"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3 008</w:t>
            </w:r>
          </w:p>
        </w:tc>
        <w:tc>
          <w:tcPr>
            <w:tcW w:w="992" w:type="dxa"/>
            <w:tcBorders>
              <w:top w:val="nil"/>
              <w:left w:val="nil"/>
              <w:right w:val="nil"/>
            </w:tcBorders>
            <w:shd w:val="clear" w:color="auto" w:fill="auto"/>
            <w:noWrap/>
            <w:vAlign w:val="center"/>
            <w:hideMark/>
          </w:tcPr>
          <w:p w14:paraId="0585F2E3"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3 008</w:t>
            </w:r>
          </w:p>
        </w:tc>
        <w:tc>
          <w:tcPr>
            <w:tcW w:w="709" w:type="dxa"/>
            <w:tcBorders>
              <w:top w:val="nil"/>
              <w:left w:val="nil"/>
              <w:right w:val="nil"/>
            </w:tcBorders>
            <w:shd w:val="clear" w:color="auto" w:fill="auto"/>
            <w:noWrap/>
            <w:vAlign w:val="center"/>
            <w:hideMark/>
          </w:tcPr>
          <w:p w14:paraId="7EC39B91"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0</w:t>
            </w:r>
          </w:p>
        </w:tc>
      </w:tr>
      <w:tr w:rsidR="00EA177A" w:rsidRPr="00D67952" w14:paraId="31FB47DE" w14:textId="77777777" w:rsidTr="006733E7">
        <w:trPr>
          <w:trHeight w:val="300"/>
        </w:trPr>
        <w:tc>
          <w:tcPr>
            <w:tcW w:w="2967" w:type="dxa"/>
            <w:tcBorders>
              <w:left w:val="nil"/>
              <w:bottom w:val="single" w:sz="4" w:space="0" w:color="auto"/>
              <w:right w:val="nil"/>
            </w:tcBorders>
            <w:shd w:val="clear" w:color="auto" w:fill="auto"/>
            <w:vAlign w:val="center"/>
            <w:hideMark/>
          </w:tcPr>
          <w:p w14:paraId="366B7777"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transfery finančným inštitúciám</w:t>
            </w:r>
          </w:p>
        </w:tc>
        <w:tc>
          <w:tcPr>
            <w:tcW w:w="851" w:type="dxa"/>
            <w:tcBorders>
              <w:left w:val="nil"/>
              <w:bottom w:val="single" w:sz="4" w:space="0" w:color="auto"/>
              <w:right w:val="nil"/>
            </w:tcBorders>
            <w:shd w:val="clear" w:color="auto" w:fill="auto"/>
            <w:noWrap/>
            <w:vAlign w:val="center"/>
            <w:hideMark/>
          </w:tcPr>
          <w:p w14:paraId="53D2EBF1"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1134" w:type="dxa"/>
            <w:tcBorders>
              <w:left w:val="nil"/>
              <w:bottom w:val="single" w:sz="4" w:space="0" w:color="auto"/>
              <w:right w:val="nil"/>
            </w:tcBorders>
            <w:shd w:val="clear" w:color="auto" w:fill="auto"/>
            <w:noWrap/>
            <w:vAlign w:val="center"/>
            <w:hideMark/>
          </w:tcPr>
          <w:p w14:paraId="5DB262FA"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7 647</w:t>
            </w:r>
          </w:p>
        </w:tc>
        <w:tc>
          <w:tcPr>
            <w:tcW w:w="983" w:type="dxa"/>
            <w:tcBorders>
              <w:left w:val="nil"/>
              <w:bottom w:val="single" w:sz="4" w:space="0" w:color="auto"/>
              <w:right w:val="nil"/>
            </w:tcBorders>
            <w:shd w:val="clear" w:color="000000" w:fill="FFFFFF"/>
            <w:noWrap/>
            <w:vAlign w:val="center"/>
            <w:hideMark/>
          </w:tcPr>
          <w:p w14:paraId="1F8BF64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1143" w:type="dxa"/>
            <w:tcBorders>
              <w:left w:val="nil"/>
              <w:bottom w:val="single" w:sz="4" w:space="0" w:color="auto"/>
              <w:right w:val="nil"/>
            </w:tcBorders>
            <w:shd w:val="clear" w:color="000000" w:fill="BFBFBF"/>
            <w:noWrap/>
            <w:vAlign w:val="center"/>
            <w:hideMark/>
          </w:tcPr>
          <w:p w14:paraId="5773B30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992" w:type="dxa"/>
            <w:tcBorders>
              <w:left w:val="nil"/>
              <w:bottom w:val="single" w:sz="4" w:space="0" w:color="auto"/>
              <w:right w:val="nil"/>
            </w:tcBorders>
            <w:shd w:val="clear" w:color="auto" w:fill="auto"/>
            <w:noWrap/>
            <w:vAlign w:val="center"/>
            <w:hideMark/>
          </w:tcPr>
          <w:p w14:paraId="0CA7AD9F"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0</w:t>
            </w:r>
          </w:p>
        </w:tc>
        <w:tc>
          <w:tcPr>
            <w:tcW w:w="709" w:type="dxa"/>
            <w:tcBorders>
              <w:left w:val="nil"/>
              <w:bottom w:val="single" w:sz="4" w:space="0" w:color="auto"/>
              <w:right w:val="nil"/>
            </w:tcBorders>
            <w:shd w:val="clear" w:color="auto" w:fill="auto"/>
            <w:noWrap/>
            <w:vAlign w:val="center"/>
            <w:hideMark/>
          </w:tcPr>
          <w:p w14:paraId="17BC6855"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0</w:t>
            </w:r>
          </w:p>
        </w:tc>
      </w:tr>
      <w:tr w:rsidR="00EA177A" w:rsidRPr="00D67952" w14:paraId="2AEF6E4A" w14:textId="77777777" w:rsidTr="006733E7">
        <w:trPr>
          <w:trHeight w:val="315"/>
        </w:trPr>
        <w:tc>
          <w:tcPr>
            <w:tcW w:w="2967" w:type="dxa"/>
            <w:tcBorders>
              <w:top w:val="nil"/>
              <w:left w:val="nil"/>
              <w:bottom w:val="single" w:sz="8" w:space="0" w:color="auto"/>
              <w:right w:val="nil"/>
            </w:tcBorders>
            <w:shd w:val="clear" w:color="000000" w:fill="FFFFFF"/>
            <w:noWrap/>
            <w:vAlign w:val="center"/>
            <w:hideMark/>
          </w:tcPr>
          <w:p w14:paraId="1000D1F7" w14:textId="77777777" w:rsidR="00EA177A" w:rsidRPr="00D67952" w:rsidRDefault="00EA177A" w:rsidP="00C704A7">
            <w:pPr>
              <w:spacing w:after="0" w:line="240" w:lineRule="auto"/>
              <w:jc w:val="left"/>
              <w:rPr>
                <w:rFonts w:eastAsia="Times New Roman" w:cs="Times New Roman"/>
                <w:b/>
                <w:bCs/>
                <w:sz w:val="18"/>
                <w:szCs w:val="18"/>
                <w:lang w:eastAsia="sk-SK"/>
              </w:rPr>
            </w:pPr>
            <w:r w:rsidRPr="00D67952">
              <w:rPr>
                <w:rFonts w:eastAsia="Times New Roman" w:cs="Times New Roman"/>
                <w:b/>
                <w:bCs/>
                <w:sz w:val="18"/>
                <w:szCs w:val="18"/>
                <w:lang w:eastAsia="sk-SK"/>
              </w:rPr>
              <w:t>Spolu</w:t>
            </w:r>
          </w:p>
        </w:tc>
        <w:tc>
          <w:tcPr>
            <w:tcW w:w="851" w:type="dxa"/>
            <w:tcBorders>
              <w:top w:val="nil"/>
              <w:left w:val="nil"/>
              <w:bottom w:val="single" w:sz="8" w:space="0" w:color="auto"/>
              <w:right w:val="nil"/>
            </w:tcBorders>
            <w:shd w:val="clear" w:color="auto" w:fill="auto"/>
            <w:noWrap/>
            <w:vAlign w:val="center"/>
            <w:hideMark/>
          </w:tcPr>
          <w:p w14:paraId="0A839AB2"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1 552 793</w:t>
            </w:r>
          </w:p>
        </w:tc>
        <w:tc>
          <w:tcPr>
            <w:tcW w:w="1134" w:type="dxa"/>
            <w:tcBorders>
              <w:top w:val="nil"/>
              <w:left w:val="nil"/>
              <w:bottom w:val="single" w:sz="8" w:space="0" w:color="auto"/>
              <w:right w:val="nil"/>
            </w:tcBorders>
            <w:shd w:val="clear" w:color="auto" w:fill="auto"/>
            <w:noWrap/>
            <w:vAlign w:val="center"/>
            <w:hideMark/>
          </w:tcPr>
          <w:p w14:paraId="75D24759"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2 402 324</w:t>
            </w:r>
          </w:p>
        </w:tc>
        <w:tc>
          <w:tcPr>
            <w:tcW w:w="983" w:type="dxa"/>
            <w:tcBorders>
              <w:top w:val="nil"/>
              <w:left w:val="nil"/>
              <w:bottom w:val="single" w:sz="8" w:space="0" w:color="auto"/>
              <w:right w:val="nil"/>
            </w:tcBorders>
            <w:shd w:val="clear" w:color="auto" w:fill="auto"/>
            <w:noWrap/>
            <w:vAlign w:val="center"/>
            <w:hideMark/>
          </w:tcPr>
          <w:p w14:paraId="1F081360"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2 288 578</w:t>
            </w:r>
          </w:p>
        </w:tc>
        <w:tc>
          <w:tcPr>
            <w:tcW w:w="1143" w:type="dxa"/>
            <w:tcBorders>
              <w:top w:val="nil"/>
              <w:left w:val="nil"/>
              <w:bottom w:val="single" w:sz="8" w:space="0" w:color="auto"/>
              <w:right w:val="nil"/>
            </w:tcBorders>
            <w:shd w:val="clear" w:color="000000" w:fill="BFBFBF"/>
            <w:noWrap/>
            <w:vAlign w:val="center"/>
            <w:hideMark/>
          </w:tcPr>
          <w:p w14:paraId="13DC0F09"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2 858 949</w:t>
            </w:r>
          </w:p>
        </w:tc>
        <w:tc>
          <w:tcPr>
            <w:tcW w:w="992" w:type="dxa"/>
            <w:tcBorders>
              <w:top w:val="nil"/>
              <w:left w:val="nil"/>
              <w:bottom w:val="single" w:sz="8" w:space="0" w:color="auto"/>
              <w:right w:val="nil"/>
            </w:tcBorders>
            <w:shd w:val="clear" w:color="auto" w:fill="auto"/>
            <w:noWrap/>
            <w:vAlign w:val="center"/>
            <w:hideMark/>
          </w:tcPr>
          <w:p w14:paraId="7C3998D8"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570 371</w:t>
            </w:r>
          </w:p>
        </w:tc>
        <w:tc>
          <w:tcPr>
            <w:tcW w:w="709" w:type="dxa"/>
            <w:tcBorders>
              <w:top w:val="nil"/>
              <w:left w:val="nil"/>
              <w:bottom w:val="single" w:sz="8" w:space="0" w:color="auto"/>
              <w:right w:val="nil"/>
            </w:tcBorders>
            <w:shd w:val="clear" w:color="auto" w:fill="auto"/>
            <w:noWrap/>
            <w:vAlign w:val="center"/>
            <w:hideMark/>
          </w:tcPr>
          <w:p w14:paraId="48A988BC"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25</w:t>
            </w:r>
          </w:p>
        </w:tc>
      </w:tr>
    </w:tbl>
    <w:p w14:paraId="3E66C621" w14:textId="77777777" w:rsidR="00EA177A" w:rsidRPr="005B6D1E" w:rsidRDefault="00EA177A" w:rsidP="00EA177A">
      <w:pPr>
        <w:rPr>
          <w:sz w:val="18"/>
          <w:szCs w:val="18"/>
        </w:rPr>
      </w:pPr>
      <w:r>
        <w:tab/>
      </w:r>
      <w:r>
        <w:tab/>
      </w:r>
      <w:r>
        <w:tab/>
      </w:r>
      <w:r>
        <w:tab/>
      </w:r>
      <w:r>
        <w:tab/>
      </w:r>
      <w:r>
        <w:tab/>
      </w:r>
      <w:r>
        <w:tab/>
      </w:r>
      <w:r>
        <w:tab/>
      </w:r>
      <w:r>
        <w:tab/>
      </w:r>
      <w:r>
        <w:tab/>
        <w:t xml:space="preserve">       </w:t>
      </w:r>
      <w:r w:rsidRPr="005B6D1E">
        <w:rPr>
          <w:sz w:val="18"/>
          <w:szCs w:val="18"/>
        </w:rPr>
        <w:t>Zdroj: MF SR</w:t>
      </w:r>
    </w:p>
    <w:p w14:paraId="07CBB124" w14:textId="77777777" w:rsidR="00EA177A" w:rsidRPr="00D67952" w:rsidRDefault="00EA177A" w:rsidP="00EA177A">
      <w:pPr>
        <w:tabs>
          <w:tab w:val="left" w:pos="284"/>
        </w:tabs>
        <w:spacing w:before="120" w:after="0"/>
        <w:contextualSpacing/>
      </w:pPr>
      <w:r w:rsidRPr="00D67952">
        <w:rPr>
          <w:b/>
        </w:rPr>
        <w:t xml:space="preserve">Obstarávanie kapitálových aktív </w:t>
      </w:r>
      <w:r w:rsidRPr="00D67952">
        <w:t xml:space="preserve">predstavuje </w:t>
      </w:r>
      <w:r>
        <w:t>obstaranie</w:t>
      </w:r>
      <w:r w:rsidRPr="00D67952">
        <w:t xml:space="preserve"> majetku dlhodobej povahy do vlastníctva štátu dodávateľským spôsobom alebo v rámci vlastných výkonov štátu. Rozpočet na obstarávanie kapitálových aktív bol stanovený sumou 1 283 011 tis. eur, ktorá sa rozpočtovými opatreniami počas roka znížila na 1 096 714 tis. eur. Skutočné čerpanie predstavovalo sumu 1 096 498 tis. eur.</w:t>
      </w:r>
    </w:p>
    <w:p w14:paraId="2C575AB1" w14:textId="77777777" w:rsidR="00EA177A" w:rsidRPr="00D67952" w:rsidRDefault="00EA177A" w:rsidP="00EA177A">
      <w:pPr>
        <w:spacing w:before="120"/>
      </w:pPr>
      <w:r w:rsidRPr="00D67952">
        <w:rPr>
          <w:b/>
          <w:i/>
        </w:rPr>
        <w:t>Nákup strojov, prístrojov, zariadení</w:t>
      </w:r>
      <w:r>
        <w:rPr>
          <w:b/>
          <w:i/>
        </w:rPr>
        <w:t xml:space="preserve"> a</w:t>
      </w:r>
      <w:r w:rsidRPr="00D67952">
        <w:rPr>
          <w:b/>
          <w:i/>
        </w:rPr>
        <w:t xml:space="preserve"> techniky </w:t>
      </w:r>
      <w:r w:rsidRPr="00D67952">
        <w:t xml:space="preserve">dosiahol v skutočnosti 594 668 tis. eur. V porovnaní s predchádzajúcim rokom išlo o nárast o 396 234 tis. eur. Najväčší podiel na tejto sume predstavoval </w:t>
      </w:r>
      <w:r w:rsidRPr="00D67952">
        <w:rPr>
          <w:i/>
          <w:u w:val="single"/>
        </w:rPr>
        <w:t>Nákup špeciálnych strojov, prístrojov, zariadení</w:t>
      </w:r>
      <w:r>
        <w:rPr>
          <w:i/>
          <w:u w:val="single"/>
        </w:rPr>
        <w:t xml:space="preserve"> a</w:t>
      </w:r>
      <w:r w:rsidRPr="00D67952">
        <w:rPr>
          <w:i/>
          <w:u w:val="single"/>
        </w:rPr>
        <w:t xml:space="preserve"> techniky</w:t>
      </w:r>
      <w:r w:rsidRPr="00D67952">
        <w:rPr>
          <w:i/>
        </w:rPr>
        <w:t xml:space="preserve"> </w:t>
      </w:r>
      <w:r w:rsidRPr="00D67952">
        <w:t xml:space="preserve">v objeme 545 598 tis. eur, ktorý zaznamenal medziročný nárast o 371 718 tis. eur. </w:t>
      </w:r>
    </w:p>
    <w:p w14:paraId="2E3EFD03" w14:textId="77777777" w:rsidR="00EA177A" w:rsidRPr="00D67952" w:rsidRDefault="00EA177A" w:rsidP="00EA177A">
      <w:pPr>
        <w:rPr>
          <w:highlight w:val="yellow"/>
        </w:rPr>
      </w:pPr>
      <w:r w:rsidRPr="00D67952">
        <w:t xml:space="preserve">Ministerstvo obrany SR čerpalo prostriedky v sume 518 033 tis. eur, predovšetkým v rámci programu Rozvoj obrany - Rozvoj výzbroje, techniky a materiálu, napr. na viacúčelové taktické </w:t>
      </w:r>
      <w:r>
        <w:t xml:space="preserve">stíhacie </w:t>
      </w:r>
      <w:r w:rsidRPr="00D67952">
        <w:t xml:space="preserve">lietadlá (451 528 tis. eur), lietadlá SPARTAN (8 419 tis. eur) a na Rozvoj komunikačných a informačných systémov. Pokles skutočnosti oproti schválenému rozpočtu o 87 991 tis. eur bol najmä z dôvodu presunu rozpočtových prostriedkov do kategórie Tovary a služby a súvisel s platbami za viacúčelové taktické lietadlá, pričom v porovnaní so skutočným čerpaním v roku 2018 došlo k nárastu výdavkov o 383 478 tis. eur. </w:t>
      </w:r>
    </w:p>
    <w:p w14:paraId="417D2538" w14:textId="77777777" w:rsidR="00EA177A" w:rsidRPr="00D67952" w:rsidRDefault="00EA177A" w:rsidP="00EA177A">
      <w:r w:rsidRPr="00D67952">
        <w:t>Výdavky Ministerstva vnútra SR boli v sume 14 244 tis. eur. Išlo o obstaranie informačných systémov v rámci Projektu obnovy a rozšírenia pokrytia od dodávateľa Ericsson Slovakia. s. r. o. (7 928 tis. eur), o obstaranie spravodajskej techniky policajného zboru (1 382 tis</w:t>
      </w:r>
      <w:r>
        <w:t>.</w:t>
      </w:r>
      <w:r w:rsidRPr="00D67952">
        <w:t xml:space="preserve"> eur), nákup špeciálnej hasičskej techniky, ventilačných zariadení, nafukovacích stanov (1 124 tis. eur). Ďalej boli prostriedky použité na obstaranie špeciálnej záchranárskej techniky, ako napr. špeciálne nosidlá, prístroje na detekciu plynov, </w:t>
      </w:r>
      <w:proofErr w:type="spellStart"/>
      <w:r w:rsidRPr="00D67952">
        <w:t>drony</w:t>
      </w:r>
      <w:proofErr w:type="spellEnd"/>
      <w:r w:rsidRPr="00D67952">
        <w:t xml:space="preserve"> s </w:t>
      </w:r>
      <w:proofErr w:type="spellStart"/>
      <w:r w:rsidRPr="00D67952">
        <w:t>termokamerou</w:t>
      </w:r>
      <w:proofErr w:type="spellEnd"/>
      <w:r w:rsidRPr="00D67952">
        <w:t>, štrbinové kamery, záchranné evakuačné systémy a pod.</w:t>
      </w:r>
    </w:p>
    <w:p w14:paraId="7909B9F8" w14:textId="77777777" w:rsidR="00EA177A" w:rsidRPr="00D67952" w:rsidRDefault="00EA177A" w:rsidP="00EA177A">
      <w:r>
        <w:t>Nižšie čerpanie výdavkov oproti schválenému rozpočtu bolo hlavne</w:t>
      </w:r>
      <w:r w:rsidRPr="00D67952">
        <w:t xml:space="preserve"> </w:t>
      </w:r>
      <w:r>
        <w:t xml:space="preserve">v </w:t>
      </w:r>
      <w:r w:rsidRPr="00D67952">
        <w:t>kapitol</w:t>
      </w:r>
      <w:r>
        <w:t>e</w:t>
      </w:r>
      <w:r w:rsidRPr="00D67952">
        <w:t xml:space="preserve"> Ministerstva zdravotn</w:t>
      </w:r>
      <w:r>
        <w:t>íctva SR v sume 99 088 tis. eur z</w:t>
      </w:r>
      <w:r w:rsidRPr="00D67952">
        <w:t xml:space="preserve"> dôvod</w:t>
      </w:r>
      <w:r>
        <w:t>u</w:t>
      </w:r>
      <w:r w:rsidRPr="00D67952">
        <w:t xml:space="preserve"> </w:t>
      </w:r>
      <w:proofErr w:type="spellStart"/>
      <w:r w:rsidRPr="00D67952">
        <w:t>prekvalifikovani</w:t>
      </w:r>
      <w:r>
        <w:t>a</w:t>
      </w:r>
      <w:proofErr w:type="spellEnd"/>
      <w:r w:rsidRPr="00D67952">
        <w:t xml:space="preserve"> kapitálových výdavkov na kapitálové transfery pre príspevkové organizácie pod ministerstvom a vyčlenenie prostriedkov pre rozpočtové organizácie mimo kapitoly.</w:t>
      </w:r>
    </w:p>
    <w:p w14:paraId="05305D21" w14:textId="77777777" w:rsidR="00EA177A" w:rsidRDefault="00EA177A" w:rsidP="00EA177A">
      <w:r w:rsidRPr="00D67952">
        <w:rPr>
          <w:b/>
          <w:i/>
        </w:rPr>
        <w:t>Realizácia stavieb a ich technického zhodnotenia</w:t>
      </w:r>
      <w:r w:rsidRPr="00D67952">
        <w:t xml:space="preserve"> predstavovala výdavky v hodnote 144 967 tis. eur. V porovnaní s rokom 2018 došlo k zníženiu výdavkov o 73 307 tis. eur a k vyššiemu čerpaniu oproti schválenému rozpočtu o 32 264 tis. eur. Najvyšší podiel na výdavkoch mala kapitola Ministerstva dopravy a výstavby SR (57 907 tis. eur), Ministerstvo vnútra SR (16 987 tis. eur), Ministerstvo obrany SR (16 897 tis. eur) a Ministerstvo spravodlivosti SR (9 729 tis. eur). Výdavky </w:t>
      </w:r>
      <w:r w:rsidRPr="00D67952">
        <w:rPr>
          <w:i/>
        </w:rPr>
        <w:t>na rekonštrukciu a</w:t>
      </w:r>
      <w:r>
        <w:rPr>
          <w:i/>
        </w:rPr>
        <w:t> </w:t>
      </w:r>
      <w:r w:rsidRPr="00D67952">
        <w:rPr>
          <w:i/>
        </w:rPr>
        <w:t>modernizáciu</w:t>
      </w:r>
      <w:r>
        <w:rPr>
          <w:i/>
        </w:rPr>
        <w:t xml:space="preserve"> (107 446 tis. eur)</w:t>
      </w:r>
      <w:r w:rsidRPr="00D67952">
        <w:rPr>
          <w:i/>
        </w:rPr>
        <w:t xml:space="preserve"> </w:t>
      </w:r>
      <w:r w:rsidRPr="00D67952">
        <w:t xml:space="preserve">boli najvyššie na Ministerstve dopravy a výstavby SR (33 749 tis. eur), išlo o rekonštrukcie a modernizácie ciest I. triedy, mostov, vozoviek, prechodov pre chodcov a pod. v rámci projektu Výstavby cestnej siete. </w:t>
      </w:r>
    </w:p>
    <w:p w14:paraId="2B715C2F" w14:textId="77777777" w:rsidR="00EA177A" w:rsidRPr="00D67952" w:rsidRDefault="00EA177A" w:rsidP="00EA177A">
      <w:r w:rsidRPr="00D67952">
        <w:t xml:space="preserve">Ministerstvo vnútra SR čerpalo výdavky vo výške 14 221 tis. eur, ktoré boli použité na rekonštrukciu objektov, budov a ich častí (napr. striech), z toho v rámci programu </w:t>
      </w:r>
      <w:r>
        <w:t>V</w:t>
      </w:r>
      <w:r w:rsidRPr="00D67952">
        <w:t>ýchova a vzdelávanie mládeže suma 6 381 tis. eur bola použitá na rekonštrukciu a modernizáciu škôl a školských zariadení.</w:t>
      </w:r>
    </w:p>
    <w:p w14:paraId="36EA3C75" w14:textId="4F47E823" w:rsidR="00EA177A" w:rsidRPr="00D67952" w:rsidRDefault="00EA177A" w:rsidP="00EA177A">
      <w:r w:rsidRPr="00D67952">
        <w:t>Výdavky Ministerstva obrany SR dosiahli sumu 13 </w:t>
      </w:r>
      <w:r w:rsidR="00635F10">
        <w:t>070 tis. eur, išlo predovšetkým</w:t>
      </w:r>
      <w:r w:rsidR="00635F10">
        <w:br/>
      </w:r>
      <w:r w:rsidRPr="00D67952">
        <w:t>o rekonštrukciu a modernizáciu nehnuteľného majetku v rámci programu Rozvoj obrany - Rozvoj infraštruktúry v sume 11 263 tis. eur.</w:t>
      </w:r>
    </w:p>
    <w:p w14:paraId="531E35FC" w14:textId="77777777" w:rsidR="00EA177A" w:rsidRPr="00D67952" w:rsidRDefault="00EA177A" w:rsidP="00EA177A">
      <w:r w:rsidRPr="00D67952">
        <w:t>Kancelária Národnej rady SR čerpala výdavky v celkovej sume 10 403 tis. eur, išlo predovšetkým o technické zhodnotenie národnej kultúrnej pamiatky</w:t>
      </w:r>
      <w:r>
        <w:t xml:space="preserve"> Bratislavský hrad, konkrétne o </w:t>
      </w:r>
      <w:r w:rsidRPr="00D67952">
        <w:t>rekonštrukciu hradného paláca a objektov v areáli Bratislavského hradu.</w:t>
      </w:r>
    </w:p>
    <w:p w14:paraId="4909EA73" w14:textId="77777777" w:rsidR="00EA177A" w:rsidRPr="00D67952" w:rsidRDefault="00EA177A" w:rsidP="00EA177A">
      <w:r w:rsidRPr="00D67952">
        <w:t>Výdavky Ministerstva spravodlivosti SR dosiahli na tejto podpoložke hodnotu 9 271 tis. eur, z toho prostriedky v sume 4 696 tis. eur boli vynaložené na rekonštrukciu väzenských objektov (predovšetkým Nitra - Chrenová a Leopoldov), v sume 4 483 tis. eur na rekonštrukciu budov súdov (predovšetkým na rekonštrukciu strechy Justičného paláca a revitalizáciu areálu v Brezne) a pod.</w:t>
      </w:r>
    </w:p>
    <w:p w14:paraId="1C7418D1" w14:textId="0FE4E389" w:rsidR="00EA177A" w:rsidRPr="00D67952" w:rsidRDefault="00EA177A" w:rsidP="00EA177A">
      <w:r w:rsidRPr="00D67952">
        <w:t xml:space="preserve">Najvyšší pokles skutočnosti oproti schválenému rozpočtu bol </w:t>
      </w:r>
      <w:r>
        <w:t>v</w:t>
      </w:r>
      <w:r w:rsidRPr="00D67952">
        <w:t xml:space="preserve"> kapitole Ministerstva obrany SR (12 098 tis. eur) z dôvodu presunu prostriedkov na použitie v nasledujúcom roku a na Ministerstve hospodárstva SR (o 6 314 tis. eur) v súvi</w:t>
      </w:r>
      <w:r w:rsidR="00635F10">
        <w:t>slosti s budúcou rekonštrukciou</w:t>
      </w:r>
      <w:r w:rsidR="00635F10">
        <w:br/>
      </w:r>
      <w:r w:rsidRPr="00D67952">
        <w:t>a modernizáciou budovy ministerstva.</w:t>
      </w:r>
    </w:p>
    <w:p w14:paraId="2CE8D801" w14:textId="77777777" w:rsidR="00EA177A" w:rsidRPr="00D67952" w:rsidRDefault="00EA177A" w:rsidP="00EA177A">
      <w:pPr>
        <w:tabs>
          <w:tab w:val="left" w:pos="284"/>
        </w:tabs>
        <w:spacing w:before="120" w:after="0"/>
        <w:contextualSpacing/>
      </w:pPr>
      <w:r w:rsidRPr="00D67952">
        <w:t xml:space="preserve">Výdavky Ministerstva dopravy a výstavby SR </w:t>
      </w:r>
      <w:r w:rsidRPr="00D67952">
        <w:rPr>
          <w:i/>
        </w:rPr>
        <w:t>na realizáciu nových stavieb</w:t>
      </w:r>
      <w:r w:rsidRPr="00D67952">
        <w:t xml:space="preserve"> predstavovali sumu 24 159 tis. eur, predovšetkým pre Slovenskú správu ciest na výstavbu verejných účelových komunikácií v regióne Nitra</w:t>
      </w:r>
      <w:r>
        <w:t>.</w:t>
      </w:r>
      <w:r w:rsidRPr="00D67952">
        <w:t xml:space="preserve"> </w:t>
      </w:r>
    </w:p>
    <w:p w14:paraId="7BB35C2D" w14:textId="77777777" w:rsidR="00EA177A" w:rsidRPr="00D67952" w:rsidRDefault="00EA177A" w:rsidP="00EA177A">
      <w:r w:rsidRPr="00D67952">
        <w:rPr>
          <w:b/>
          <w:i/>
        </w:rPr>
        <w:t xml:space="preserve">Nákup dopravných prostriedkov </w:t>
      </w:r>
      <w:r w:rsidRPr="00D67952">
        <w:t>dosiahol 114 606 tis. eur, z toho najväčší podiel výdavkov tvorila kapitola</w:t>
      </w:r>
      <w:r w:rsidRPr="00D67952">
        <w:rPr>
          <w:color w:val="FF0000"/>
        </w:rPr>
        <w:t xml:space="preserve"> </w:t>
      </w:r>
      <w:r w:rsidRPr="00D67952">
        <w:t>Ministerstva vnútra SR vo výške 59 249 tis. eur, Ministerstvo obrany SR 48 973 tis. eur a Ministerstvo zahraničných vecí a európskych záležitostí SR 1 385 tis. eur. V porovnaní s rokom 2018 bol zaznamenaný nárast výdavkov o </w:t>
      </w:r>
      <w:r w:rsidRPr="00D67952">
        <w:rPr>
          <w:rFonts w:eastAsia="Times New Roman" w:cs="Times New Roman"/>
          <w:bCs/>
          <w:lang w:eastAsia="sk-SK"/>
        </w:rPr>
        <w:t>17 280</w:t>
      </w:r>
      <w:r w:rsidRPr="00D67952">
        <w:t> tis. eur. Pokles čerpania finančných prostriedkov oproti schválenému rozpočtu bol najvyšší na Ministerstve obrany SR (o 99 47</w:t>
      </w:r>
      <w:r>
        <w:t>7 tis. eur), dôvodom bol presun</w:t>
      </w:r>
      <w:r w:rsidRPr="00D67952">
        <w:t xml:space="preserve"> časti rozpočtových prostriedkov na plnenie iných prioritných úloh rezortu obrany. </w:t>
      </w:r>
    </w:p>
    <w:p w14:paraId="2AE424EF" w14:textId="2B4A88C0" w:rsidR="00EA177A" w:rsidRPr="00D67952" w:rsidRDefault="00EA177A" w:rsidP="00EA177A">
      <w:r w:rsidRPr="00D67952">
        <w:t xml:space="preserve">Výdavky Ministerstva vnútra SR tvorili v prevažnej miere výdavky na </w:t>
      </w:r>
      <w:r w:rsidRPr="00D67952">
        <w:rPr>
          <w:i/>
        </w:rPr>
        <w:t>nákup špeciálnych automobilov</w:t>
      </w:r>
      <w:r w:rsidRPr="00D67952">
        <w:t xml:space="preserve"> vo výške 50 637 tis</w:t>
      </w:r>
      <w:r>
        <w:t>.</w:t>
      </w:r>
      <w:r w:rsidRPr="00D67952">
        <w:t> eur. Išlo o obstaranie vozidiel a nákl</w:t>
      </w:r>
      <w:r w:rsidR="00635F10">
        <w:t>adných automobilov</w:t>
      </w:r>
      <w:r w:rsidR="00635F10">
        <w:br/>
      </w:r>
      <w:r w:rsidRPr="00D67952">
        <w:t>na činnosť hasičského a záchranného zboru, nákup cisternových auto</w:t>
      </w:r>
      <w:r w:rsidR="00635F10">
        <w:t>mobilových striekačiek</w:t>
      </w:r>
      <w:r w:rsidR="00635F10">
        <w:br/>
      </w:r>
      <w:r>
        <w:t>a</w:t>
      </w:r>
      <w:r w:rsidRPr="00D67952">
        <w:t xml:space="preserve"> obstaranie súprav na prevoz kontajnerov, nákup špeciálnych zásahových vozidiel a skútrov pre Horskú záchrannú službu. Čerpanie výdavkov na </w:t>
      </w:r>
      <w:r w:rsidRPr="00D67952">
        <w:rPr>
          <w:i/>
        </w:rPr>
        <w:t>nákup nákladných vozidiel, ťahačov, prípojných vozidiel</w:t>
      </w:r>
      <w:r w:rsidRPr="00D67952">
        <w:t xml:space="preserve"> predstavovalo sumu 5 265 tis. eur, išlo predovšetkým o obstaranie systémov vysokokapacitného odčerpávania vody (5 017 tis. eur) v rámci programu Efektívna a spoľahlivá štátna správa a programu Výchova. Na </w:t>
      </w:r>
      <w:r w:rsidRPr="00D67952">
        <w:rPr>
          <w:i/>
        </w:rPr>
        <w:t>nákup osobných automobilov</w:t>
      </w:r>
      <w:r w:rsidRPr="00D67952">
        <w:t xml:space="preserve"> sa čerpalo 3 186 tis. eur, napr. na nákup osobných automobilov a príslušenstva, na úpravu služobných vozidiel pre potreby výkonu policajných, záchranných zložiek a rôznych útvarov ministerstva. </w:t>
      </w:r>
    </w:p>
    <w:p w14:paraId="0D699E99" w14:textId="77777777" w:rsidR="00EA177A" w:rsidRPr="00D67952" w:rsidRDefault="00EA177A" w:rsidP="00EA177A">
      <w:r w:rsidRPr="00D67952">
        <w:t xml:space="preserve">Ministerstvo obrany SR realizovalo výdavky na </w:t>
      </w:r>
      <w:r w:rsidRPr="00D67952">
        <w:rPr>
          <w:i/>
        </w:rPr>
        <w:t>nákup lietadiel</w:t>
      </w:r>
      <w:r w:rsidRPr="00D67952">
        <w:t xml:space="preserve"> v hodnote 39 205 tis. eur, pričom išlo o platby za viacúčelové vrtuľníky UH-60M </w:t>
      </w:r>
      <w:proofErr w:type="spellStart"/>
      <w:r w:rsidRPr="00D67952">
        <w:t>Blackhawk</w:t>
      </w:r>
      <w:proofErr w:type="spellEnd"/>
      <w:r w:rsidRPr="00D77429">
        <w:t>.</w:t>
      </w:r>
      <w:r>
        <w:t xml:space="preserve"> Slovensku bolo dodaných všetkých 9 vrtuľníkov (posledné kusy prileteli po Novom roku 2019), </w:t>
      </w:r>
      <w:r w:rsidRPr="00D77429">
        <w:t xml:space="preserve">výdavky v súvislosti </w:t>
      </w:r>
      <w:r>
        <w:t>s nimi</w:t>
      </w:r>
      <w:r w:rsidRPr="00D77429">
        <w:t xml:space="preserve"> </w:t>
      </w:r>
      <w:r>
        <w:t xml:space="preserve">však </w:t>
      </w:r>
      <w:r w:rsidRPr="00D77429">
        <w:t>neboli posledné. Platby budú pokračovať v súlade s uzatvorenou zmluvou</w:t>
      </w:r>
      <w:r>
        <w:t xml:space="preserve"> napr. na servisnú podporu a údržbu,  školenia pilotov a technikov, administratívne náklady na zabezpečenie kontraktu a dodávky náhradných dielov</w:t>
      </w:r>
      <w:r>
        <w:rPr>
          <w:color w:val="1F497D"/>
        </w:rPr>
        <w:t>.</w:t>
      </w:r>
      <w:r>
        <w:t xml:space="preserve"> </w:t>
      </w:r>
      <w:r w:rsidRPr="00D67952">
        <w:t xml:space="preserve">Na </w:t>
      </w:r>
      <w:r w:rsidRPr="00D67952">
        <w:rPr>
          <w:i/>
        </w:rPr>
        <w:t>nákup nákladných vozidiel, ťahačov</w:t>
      </w:r>
      <w:r w:rsidRPr="00D67952">
        <w:t xml:space="preserve">, </w:t>
      </w:r>
      <w:r w:rsidRPr="00D67952">
        <w:rPr>
          <w:i/>
        </w:rPr>
        <w:t xml:space="preserve">prípojných vozidiel </w:t>
      </w:r>
      <w:r w:rsidRPr="00D67952">
        <w:t>boli výdavky</w:t>
      </w:r>
      <w:r w:rsidRPr="00D67952">
        <w:rPr>
          <w:i/>
        </w:rPr>
        <w:t xml:space="preserve"> </w:t>
      </w:r>
      <w:r w:rsidRPr="00D67952">
        <w:t xml:space="preserve">v hodnote 6 975 tis. eur v rámci podprogramu Rozvoj výzbroje, techniky a materiálu najmä na nákup nákladných terénnych ťažkých automobilov (ANTT – N3G). </w:t>
      </w:r>
    </w:p>
    <w:p w14:paraId="27F608C8" w14:textId="77777777" w:rsidR="00EA177A" w:rsidRPr="00D67952" w:rsidRDefault="00EA177A" w:rsidP="00EA177A">
      <w:r w:rsidRPr="00D67952">
        <w:t xml:space="preserve">Na </w:t>
      </w:r>
      <w:r w:rsidRPr="00D67952">
        <w:rPr>
          <w:b/>
          <w:i/>
        </w:rPr>
        <w:t>rekonštrukciu a modernizáciu strojov</w:t>
      </w:r>
      <w:r w:rsidRPr="00D67952">
        <w:rPr>
          <w:i/>
        </w:rPr>
        <w:t xml:space="preserve"> </w:t>
      </w:r>
      <w:r w:rsidRPr="00D67952">
        <w:rPr>
          <w:b/>
          <w:i/>
        </w:rPr>
        <w:t>a zariadení, výpočtovej a telekomunikačnej techniky, softvéru a komunikačnej infraštruktúry</w:t>
      </w:r>
      <w:r w:rsidRPr="00D67952">
        <w:rPr>
          <w:i/>
        </w:rPr>
        <w:t xml:space="preserve"> </w:t>
      </w:r>
      <w:r w:rsidRPr="00D67952">
        <w:t>boli použité kapitálové výdavky</w:t>
      </w:r>
      <w:r w:rsidRPr="00D67952">
        <w:rPr>
          <w:i/>
        </w:rPr>
        <w:t xml:space="preserve"> </w:t>
      </w:r>
      <w:r w:rsidRPr="00D67952">
        <w:t xml:space="preserve">v hodnote 77 909 tis. eur. Z toho najvýznamnejšie sumy boli čerpané </w:t>
      </w:r>
      <w:r>
        <w:t>v</w:t>
      </w:r>
      <w:r w:rsidRPr="00D67952">
        <w:t xml:space="preserve"> kapitole</w:t>
      </w:r>
      <w:r w:rsidRPr="00D67952">
        <w:rPr>
          <w:color w:val="FF0000"/>
        </w:rPr>
        <w:t xml:space="preserve"> </w:t>
      </w:r>
      <w:r w:rsidRPr="00D67952">
        <w:t>Ministerstva financií SR (46 728 tis. eur), Ministerstva obrany SR</w:t>
      </w:r>
      <w:r w:rsidRPr="00D67952">
        <w:rPr>
          <w:color w:val="FF0000"/>
        </w:rPr>
        <w:t xml:space="preserve"> </w:t>
      </w:r>
      <w:r w:rsidRPr="00D67952">
        <w:t xml:space="preserve">(14 001 tis. eur), na Úrade podpredsedu SR vlády pre investície a informatizáciu (6 276 tis. eur) a </w:t>
      </w:r>
      <w:r>
        <w:t>v</w:t>
      </w:r>
      <w:r w:rsidRPr="00D67952">
        <w:t xml:space="preserve"> kapitole Ministerstva vnútra SR (5 079 tis. eur).</w:t>
      </w:r>
    </w:p>
    <w:p w14:paraId="24BBB926" w14:textId="77777777" w:rsidR="00EA177A" w:rsidRPr="00D67952" w:rsidRDefault="00EA177A" w:rsidP="00EA177A">
      <w:r w:rsidRPr="00D67952">
        <w:t xml:space="preserve">Výdavky </w:t>
      </w:r>
      <w:r w:rsidRPr="00D67952">
        <w:rPr>
          <w:i/>
          <w:u w:val="single"/>
        </w:rPr>
        <w:t>na rekonštrukciu a modernizáciu softvéru</w:t>
      </w:r>
      <w:r w:rsidRPr="00D67952">
        <w:t xml:space="preserve"> predstavovali sumu 60 370 tis. eur. Najviac čerpalo výdavky Ministerstvo financií SR (46 317 tis. eur), napr. Finančné riaditeľstvo SR modernizovalo softvér, analýzy, riziká a bezpečnosť IS na boj proti podvodom (11 400 tis. eur) a daňové systémy v rámci Integrovaného systému finančnej správy – správy daní (5 040 tis. eur). Úrad Ministerstva financií SR čerpal výdavky na modernizáciu Centrálneho účtovného systému v rámci programu Informačné technológie (7 612 tis. eur), na reformu daňovej a colnej správy, zjednotenie výberu daní, cla a poistných odvodov (7 496 tis. eur) a na nákup softvéru aplikačného programového vybavenia pre rozpočtový informačný systém (7 163 tis. eur). </w:t>
      </w:r>
    </w:p>
    <w:p w14:paraId="50BAAE23" w14:textId="77777777" w:rsidR="00EA177A" w:rsidRPr="00D67952" w:rsidRDefault="00EA177A" w:rsidP="00EA177A">
      <w:r w:rsidRPr="00D67952">
        <w:t xml:space="preserve">Výdavky Úradu podpredsedu vlády SR pre investície a informatizáciu (6 276 tis. eur) boli použité najmä na systémovú a aplikačnú podporu </w:t>
      </w:r>
      <w:proofErr w:type="spellStart"/>
      <w:r w:rsidRPr="00D67952">
        <w:t>Metainformačného</w:t>
      </w:r>
      <w:proofErr w:type="spellEnd"/>
      <w:r w:rsidRPr="00D67952">
        <w:t xml:space="preserve"> systému (2 227 tis. eur) na systémovú a aplikačnú podporu v rámci IS Integrovaných obslužných miest (1 813 tis. eur), na technické zhodnotenie softvéru IS Centrálnej správy referenčných údajov (1 887 tis. eur) a pod. </w:t>
      </w:r>
    </w:p>
    <w:p w14:paraId="24B74B8F" w14:textId="77777777" w:rsidR="00EA177A" w:rsidRPr="00D67952" w:rsidRDefault="00EA177A" w:rsidP="00EA177A">
      <w:r w:rsidRPr="00D67952">
        <w:t>Ministerstvo vnútra SR výdavky v sume 4 651 tis. eur čerpalo najmä na </w:t>
      </w:r>
      <w:r w:rsidRPr="00D67952">
        <w:rPr>
          <w:color w:val="000000"/>
        </w:rPr>
        <w:t>testovanie a úpravy softvérov a aplikácií, na monitoring výkonnosti systémov, rozšírenie softvérov a pod. v rámci programov Informačné technológie a Efektívna a spoľahlivá štátna správa.</w:t>
      </w:r>
    </w:p>
    <w:p w14:paraId="26DA746F" w14:textId="77777777" w:rsidR="00EA177A" w:rsidRPr="00D67952" w:rsidRDefault="00EA177A" w:rsidP="00EA177A">
      <w:r w:rsidRPr="00D67952">
        <w:t xml:space="preserve">Na </w:t>
      </w:r>
      <w:r w:rsidRPr="00D67952">
        <w:rPr>
          <w:i/>
        </w:rPr>
        <w:t xml:space="preserve">rekonštrukciu a modernizáciu špeciálnych strojov, prístrojov, zariadení a techniky </w:t>
      </w:r>
      <w:r w:rsidRPr="00D67952">
        <w:t>boli čerpané výdavky vo výške 13 793 tis. eur, z toho takmer celú sumu čerpala kapitola Ministerstva obrany SR (13 648 tis. eur), pričom išlo o modernizáciu bojových vozidiel pechoty.</w:t>
      </w:r>
    </w:p>
    <w:p w14:paraId="25B184BE" w14:textId="77777777" w:rsidR="00EA177A" w:rsidRPr="00D67952" w:rsidRDefault="00EA177A" w:rsidP="00EA177A">
      <w:r w:rsidRPr="00D67952">
        <w:rPr>
          <w:b/>
          <w:i/>
        </w:rPr>
        <w:t>Nákup pozemkov a nehmotných aktív</w:t>
      </w:r>
      <w:r w:rsidRPr="00D67952">
        <w:t xml:space="preserve"> predstavoval sumu 69 433 tis. eur, pričom schválený rozpočet bol prekročený o 50 131 tis. eur. Z týchto výdavkov boli najvyššie výdavky na </w:t>
      </w:r>
      <w:r w:rsidRPr="00D67952">
        <w:rPr>
          <w:i/>
          <w:u w:val="single"/>
        </w:rPr>
        <w:t>nákup softvéru</w:t>
      </w:r>
      <w:r w:rsidRPr="00D67952">
        <w:t> 57 054 tis. eur (2018: 66 378 tis. eur).</w:t>
      </w:r>
    </w:p>
    <w:p w14:paraId="263E2C44" w14:textId="77777777" w:rsidR="00EA177A" w:rsidRPr="00D67952" w:rsidRDefault="00EA177A" w:rsidP="00EA177A">
      <w:r w:rsidRPr="00D67952">
        <w:t xml:space="preserve">Kapitola Ministerstva financií SR čerpala výdavky na softvér v sume 11 175 tis. eur, z toho predovšetkým Štátna pokladnica na projekt Rozvoj jadra informačného systému </w:t>
      </w:r>
      <w:r>
        <w:t>Š</w:t>
      </w:r>
      <w:r w:rsidRPr="00D67952">
        <w:t xml:space="preserve">tátnej pokladnice (6 556 tis. eur) a úrad Ministerstva financií SR na nákup softvéru </w:t>
      </w:r>
      <w:r>
        <w:t>Š</w:t>
      </w:r>
      <w:r w:rsidRPr="00D67952">
        <w:t>tátnej pokladnice (3 322 tis. eur).</w:t>
      </w:r>
    </w:p>
    <w:p w14:paraId="3A34EBDE" w14:textId="77777777" w:rsidR="00EA177A" w:rsidRPr="00D67952" w:rsidRDefault="00EA177A" w:rsidP="00EA177A">
      <w:r w:rsidRPr="00D67952">
        <w:t>Výdavky Ministerstva školstva, vedy, výskumu a športu SR v sume 8 251 tis. eur boli použité predovšetkým v rámci programu Informačné systémy na IS CUDEO (Centrálne úložisko digitálneho edukačného programu) v sume 2 784 tis. eur, na zmenové konania Rezortného informačného systému (1 980 tis. eur), na nákup softvéru v rámci projektu Duálne vzdelávanie a zvýšenie atraktivity a kvality odborného vzdelávania a prípravy, ktoré sú realizované na Štátnom inštitúte odborného vzdelávania (1 195 tis. eur).</w:t>
      </w:r>
    </w:p>
    <w:p w14:paraId="1B498236" w14:textId="77777777" w:rsidR="00EA177A" w:rsidRPr="00D67952" w:rsidRDefault="00EA177A" w:rsidP="00EA177A">
      <w:r w:rsidRPr="00D67952">
        <w:t>Výdavky Ministerstva obrany SR boli v sume 4 595 tis. eur a súviseli s rozvojom Integrovaného informačného systému ministerstva a zabezpečením softvéru pre vojenské účely v rámci programu Rozvoj obrany.</w:t>
      </w:r>
    </w:p>
    <w:p w14:paraId="6E150DEF" w14:textId="77777777" w:rsidR="00EA177A" w:rsidRPr="00D67952" w:rsidRDefault="00EA177A" w:rsidP="00EA177A">
      <w:r w:rsidRPr="00D67952">
        <w:t xml:space="preserve">Ministerstvo spravodlivosti SR vynaložilo finančné prostriedky v hodnote 4 242 tis. eur. Išlo najmä o obstaranie softvéru vrátane realizácie zmenových konaní k existujúcim softvérom pre súdy napr. IS Obchodný register, IS Súdny manažment, IS </w:t>
      </w:r>
      <w:proofErr w:type="spellStart"/>
      <w:r w:rsidRPr="00D67952">
        <w:t>SlovLex</w:t>
      </w:r>
      <w:proofErr w:type="spellEnd"/>
      <w:r w:rsidRPr="00D67952">
        <w:t>, IS aplikačnej architektúry a bezpečnostnej infraštruktúry, IS Register úpadcov, IS Elektronický súdny spis.</w:t>
      </w:r>
    </w:p>
    <w:p w14:paraId="38C46C22" w14:textId="77777777" w:rsidR="00EA177A" w:rsidRPr="00D67952" w:rsidRDefault="00EA177A" w:rsidP="00EA177A">
      <w:r w:rsidRPr="00D67952">
        <w:t>Ministerstvo životného prostredia SR čerpalo výdavky na softvér v hodnote 4 195 tis. eur, pričom išlo o výdavky na obstaranie softvéru v rámci operačného programu Kvalita životného prostredia na vybudovanie a zavedenie jednotného environmentálneho monitorovacieho a informačného systému v odpadovom hospodárstve v sume 4 144 tis. eur.</w:t>
      </w:r>
    </w:p>
    <w:p w14:paraId="627513D0" w14:textId="77777777" w:rsidR="00EA177A" w:rsidRPr="00D67952" w:rsidRDefault="00EA177A" w:rsidP="00EA177A">
      <w:r w:rsidRPr="00D67952">
        <w:t>Výdavky Úradu podpredsedu vlády SR pre investície a informatizáciu boli v sume 3 971 tis. eur, z toho najviac v rámci Národného systému riadenia incident</w:t>
      </w:r>
      <w:r>
        <w:t>ov kybernetickej bezpečnosti vo </w:t>
      </w:r>
      <w:r w:rsidRPr="00D67952">
        <w:t>verejnej správe.</w:t>
      </w:r>
    </w:p>
    <w:p w14:paraId="40860CFF" w14:textId="77777777" w:rsidR="00EA177A" w:rsidRPr="00D67952" w:rsidRDefault="00EA177A" w:rsidP="00EA177A">
      <w:r w:rsidRPr="00D67952">
        <w:t xml:space="preserve">Pri </w:t>
      </w:r>
      <w:r w:rsidRPr="00D67952">
        <w:rPr>
          <w:i/>
        </w:rPr>
        <w:t>nákupe budov, objektov alebo ich častí výdavky</w:t>
      </w:r>
      <w:r w:rsidRPr="00D67952">
        <w:t xml:space="preserve"> dosiahli hodnotu 73 698 tis. eur. Najvyššiu sumu vykazovala kapitola Ministerstva financií SR (29 399 tis. eur) v súvislosti s </w:t>
      </w:r>
      <w:r>
        <w:t>obstaraním</w:t>
      </w:r>
      <w:r w:rsidRPr="00D67952">
        <w:t xml:space="preserve"> </w:t>
      </w:r>
      <w:r>
        <w:t xml:space="preserve">administratívnej budovy </w:t>
      </w:r>
      <w:r w:rsidRPr="00D67952">
        <w:t xml:space="preserve">ŽSR Košice pre výkon funkcií Finančnej správy, kapitola Ministerstva zahraničných vecí a európskych záležitostí SR (27 354 tis. eur) na </w:t>
      </w:r>
      <w:r>
        <w:t>obstaranie</w:t>
      </w:r>
      <w:r w:rsidRPr="00D67952">
        <w:t xml:space="preserve"> budovy generálneho konzulátu v New Yorku (14 812 tis. eur) a budovy pre stálu misiu OSN v New Yorku (12 541 tis. eur) a Ministerstvo vnútra SR (10 976 tis. eur) na </w:t>
      </w:r>
      <w:r>
        <w:t>obstaranie</w:t>
      </w:r>
      <w:r w:rsidRPr="00D67952">
        <w:t xml:space="preserve"> budov, priestorov a pozemkov v rámci programu Výchova a vzdelávanie mládeže a v rámci programu Efektívna a spoľahlivá štátna správa.</w:t>
      </w:r>
    </w:p>
    <w:p w14:paraId="0712CF2E" w14:textId="77777777" w:rsidR="00544916" w:rsidRDefault="00544916">
      <w:pPr>
        <w:spacing w:after="160" w:line="259" w:lineRule="auto"/>
        <w:jc w:val="left"/>
        <w:rPr>
          <w:b/>
        </w:rPr>
      </w:pPr>
      <w:r>
        <w:rPr>
          <w:b/>
        </w:rPr>
        <w:br w:type="page"/>
      </w:r>
    </w:p>
    <w:tbl>
      <w:tblPr>
        <w:tblW w:w="8516" w:type="dxa"/>
        <w:tblInd w:w="-10" w:type="dxa"/>
        <w:tblLayout w:type="fixed"/>
        <w:tblCellMar>
          <w:left w:w="70" w:type="dxa"/>
          <w:right w:w="70" w:type="dxa"/>
        </w:tblCellMar>
        <w:tblLook w:val="04A0" w:firstRow="1" w:lastRow="0" w:firstColumn="1" w:lastColumn="0" w:noHBand="0" w:noVBand="1"/>
      </w:tblPr>
      <w:tblGrid>
        <w:gridCol w:w="10"/>
        <w:gridCol w:w="2684"/>
        <w:gridCol w:w="851"/>
        <w:gridCol w:w="1134"/>
        <w:gridCol w:w="983"/>
        <w:gridCol w:w="1143"/>
        <w:gridCol w:w="992"/>
        <w:gridCol w:w="709"/>
        <w:gridCol w:w="10"/>
      </w:tblGrid>
      <w:tr w:rsidR="0060602C" w:rsidRPr="00D67952" w14:paraId="112E88A2" w14:textId="77777777" w:rsidTr="0060602C">
        <w:trPr>
          <w:gridBefore w:val="1"/>
          <w:wBefore w:w="10" w:type="dxa"/>
          <w:trHeight w:val="421"/>
        </w:trPr>
        <w:tc>
          <w:tcPr>
            <w:tcW w:w="8506" w:type="dxa"/>
            <w:gridSpan w:val="8"/>
            <w:tcBorders>
              <w:top w:val="nil"/>
              <w:left w:val="single" w:sz="8" w:space="0" w:color="auto"/>
              <w:bottom w:val="nil"/>
              <w:right w:val="nil"/>
            </w:tcBorders>
            <w:shd w:val="clear" w:color="000000" w:fill="000000"/>
            <w:vAlign w:val="center"/>
            <w:hideMark/>
          </w:tcPr>
          <w:p w14:paraId="3E09988F" w14:textId="429FA062" w:rsidR="0060602C" w:rsidRPr="00D67952" w:rsidRDefault="0060602C" w:rsidP="0060602C">
            <w:pPr>
              <w:spacing w:after="0" w:line="240" w:lineRule="auto"/>
              <w:rPr>
                <w:rFonts w:eastAsia="Times New Roman" w:cs="Times New Roman"/>
                <w:b/>
                <w:bCs/>
                <w:sz w:val="18"/>
                <w:szCs w:val="18"/>
                <w:lang w:eastAsia="sk-SK"/>
              </w:rPr>
            </w:pPr>
            <w:r w:rsidRPr="00D67952">
              <w:rPr>
                <w:rFonts w:eastAsia="Times New Roman" w:cs="Times New Roman"/>
                <w:b/>
                <w:bCs/>
                <w:sz w:val="18"/>
                <w:szCs w:val="18"/>
                <w:lang w:eastAsia="sk-SK"/>
              </w:rPr>
              <w:t xml:space="preserve">Kapitálové </w:t>
            </w:r>
            <w:r>
              <w:rPr>
                <w:rFonts w:eastAsia="Times New Roman" w:cs="Times New Roman"/>
                <w:b/>
                <w:bCs/>
                <w:sz w:val="18"/>
                <w:szCs w:val="18"/>
                <w:lang w:eastAsia="sk-SK"/>
              </w:rPr>
              <w:t xml:space="preserve">transfery                                                                                                                                          </w:t>
            </w:r>
            <w:r w:rsidRPr="00D67952">
              <w:rPr>
                <w:rFonts w:eastAsia="Times New Roman" w:cs="Times New Roman"/>
                <w:b/>
                <w:bCs/>
                <w:sz w:val="18"/>
                <w:szCs w:val="18"/>
                <w:lang w:eastAsia="sk-SK"/>
              </w:rPr>
              <w:t>v tis. eur</w:t>
            </w:r>
          </w:p>
        </w:tc>
      </w:tr>
      <w:tr w:rsidR="0060602C" w:rsidRPr="00D67952" w14:paraId="38B43533" w14:textId="77777777" w:rsidTr="0060602C">
        <w:trPr>
          <w:gridBefore w:val="1"/>
          <w:gridAfter w:val="1"/>
          <w:wBefore w:w="10" w:type="dxa"/>
          <w:wAfter w:w="10" w:type="dxa"/>
          <w:trHeight w:val="300"/>
        </w:trPr>
        <w:tc>
          <w:tcPr>
            <w:tcW w:w="2684" w:type="dxa"/>
            <w:tcBorders>
              <w:top w:val="nil"/>
              <w:left w:val="nil"/>
              <w:bottom w:val="nil"/>
              <w:right w:val="nil"/>
            </w:tcBorders>
            <w:shd w:val="clear" w:color="000000" w:fill="BFBFBF"/>
            <w:vAlign w:val="center"/>
            <w:hideMark/>
          </w:tcPr>
          <w:p w14:paraId="413C6ACB" w14:textId="77777777" w:rsidR="0060602C" w:rsidRPr="00D67952" w:rsidRDefault="0060602C" w:rsidP="0044781D">
            <w:pPr>
              <w:spacing w:after="0" w:line="240" w:lineRule="auto"/>
              <w:jc w:val="center"/>
              <w:rPr>
                <w:rFonts w:ascii="Arial Narrow" w:eastAsia="Times New Roman" w:hAnsi="Arial Narrow" w:cs="Times New Roman"/>
                <w:b/>
                <w:bCs/>
                <w:sz w:val="18"/>
                <w:szCs w:val="18"/>
                <w:lang w:eastAsia="sk-SK"/>
              </w:rPr>
            </w:pPr>
            <w:r w:rsidRPr="00D67952">
              <w:rPr>
                <w:rFonts w:ascii="Arial Narrow" w:eastAsia="Times New Roman" w:hAnsi="Arial Narrow" w:cs="Times New Roman"/>
                <w:b/>
                <w:bCs/>
                <w:sz w:val="18"/>
                <w:szCs w:val="18"/>
                <w:lang w:eastAsia="sk-SK"/>
              </w:rPr>
              <w:t> </w:t>
            </w:r>
          </w:p>
        </w:tc>
        <w:tc>
          <w:tcPr>
            <w:tcW w:w="1985" w:type="dxa"/>
            <w:gridSpan w:val="2"/>
            <w:tcBorders>
              <w:top w:val="nil"/>
              <w:left w:val="nil"/>
              <w:bottom w:val="nil"/>
              <w:right w:val="nil"/>
            </w:tcBorders>
            <w:shd w:val="clear" w:color="000000" w:fill="BFBFBF"/>
            <w:vAlign w:val="center"/>
            <w:hideMark/>
          </w:tcPr>
          <w:p w14:paraId="45D9D393"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Skutočnosť</w:t>
            </w:r>
          </w:p>
        </w:tc>
        <w:tc>
          <w:tcPr>
            <w:tcW w:w="983" w:type="dxa"/>
            <w:tcBorders>
              <w:top w:val="nil"/>
              <w:left w:val="nil"/>
              <w:bottom w:val="nil"/>
              <w:right w:val="nil"/>
            </w:tcBorders>
            <w:shd w:val="clear" w:color="000000" w:fill="BFBFBF"/>
            <w:vAlign w:val="center"/>
            <w:hideMark/>
          </w:tcPr>
          <w:p w14:paraId="50968279"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Rozpočet</w:t>
            </w:r>
          </w:p>
        </w:tc>
        <w:tc>
          <w:tcPr>
            <w:tcW w:w="1143" w:type="dxa"/>
            <w:tcBorders>
              <w:top w:val="nil"/>
              <w:left w:val="nil"/>
              <w:bottom w:val="nil"/>
              <w:right w:val="nil"/>
            </w:tcBorders>
            <w:shd w:val="clear" w:color="000000" w:fill="BFBFBF"/>
            <w:vAlign w:val="center"/>
            <w:hideMark/>
          </w:tcPr>
          <w:p w14:paraId="39182E27"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Skutočnosť</w:t>
            </w:r>
          </w:p>
        </w:tc>
        <w:tc>
          <w:tcPr>
            <w:tcW w:w="1701" w:type="dxa"/>
            <w:gridSpan w:val="2"/>
            <w:tcBorders>
              <w:top w:val="nil"/>
              <w:left w:val="nil"/>
              <w:bottom w:val="nil"/>
              <w:right w:val="nil"/>
            </w:tcBorders>
            <w:shd w:val="clear" w:color="000000" w:fill="BFBFBF"/>
            <w:vAlign w:val="center"/>
            <w:hideMark/>
          </w:tcPr>
          <w:p w14:paraId="6FAF71F8"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Rozdiel</w:t>
            </w:r>
          </w:p>
        </w:tc>
      </w:tr>
      <w:tr w:rsidR="0060602C" w:rsidRPr="00D67952" w14:paraId="4BC15C06" w14:textId="77777777" w:rsidTr="0060602C">
        <w:trPr>
          <w:gridBefore w:val="1"/>
          <w:gridAfter w:val="1"/>
          <w:wBefore w:w="10" w:type="dxa"/>
          <w:wAfter w:w="10" w:type="dxa"/>
          <w:trHeight w:val="300"/>
        </w:trPr>
        <w:tc>
          <w:tcPr>
            <w:tcW w:w="2684" w:type="dxa"/>
            <w:tcBorders>
              <w:top w:val="nil"/>
              <w:left w:val="nil"/>
              <w:bottom w:val="nil"/>
              <w:right w:val="nil"/>
            </w:tcBorders>
            <w:shd w:val="clear" w:color="000000" w:fill="BFBFBF"/>
            <w:vAlign w:val="center"/>
            <w:hideMark/>
          </w:tcPr>
          <w:p w14:paraId="7469B3F9" w14:textId="77777777" w:rsidR="0060602C" w:rsidRPr="00D67952" w:rsidRDefault="0060602C" w:rsidP="0044781D">
            <w:pPr>
              <w:spacing w:after="0" w:line="240" w:lineRule="auto"/>
              <w:jc w:val="center"/>
              <w:rPr>
                <w:rFonts w:ascii="Arial Narrow" w:eastAsia="Times New Roman" w:hAnsi="Arial Narrow" w:cs="Times New Roman"/>
                <w:b/>
                <w:bCs/>
                <w:sz w:val="18"/>
                <w:szCs w:val="18"/>
                <w:lang w:eastAsia="sk-SK"/>
              </w:rPr>
            </w:pPr>
            <w:r w:rsidRPr="00D67952">
              <w:rPr>
                <w:rFonts w:ascii="Arial Narrow" w:eastAsia="Times New Roman" w:hAnsi="Arial Narrow" w:cs="Times New Roman"/>
                <w:b/>
                <w:bCs/>
                <w:sz w:val="18"/>
                <w:szCs w:val="18"/>
                <w:lang w:eastAsia="sk-SK"/>
              </w:rPr>
              <w:t> </w:t>
            </w:r>
          </w:p>
        </w:tc>
        <w:tc>
          <w:tcPr>
            <w:tcW w:w="851" w:type="dxa"/>
            <w:tcBorders>
              <w:top w:val="nil"/>
              <w:left w:val="nil"/>
              <w:bottom w:val="nil"/>
              <w:right w:val="nil"/>
            </w:tcBorders>
            <w:shd w:val="clear" w:color="000000" w:fill="BFBFBF"/>
            <w:vAlign w:val="center"/>
            <w:hideMark/>
          </w:tcPr>
          <w:p w14:paraId="162A5E7B"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2017</w:t>
            </w:r>
          </w:p>
        </w:tc>
        <w:tc>
          <w:tcPr>
            <w:tcW w:w="1134" w:type="dxa"/>
            <w:tcBorders>
              <w:top w:val="nil"/>
              <w:left w:val="nil"/>
              <w:bottom w:val="nil"/>
              <w:right w:val="nil"/>
            </w:tcBorders>
            <w:shd w:val="clear" w:color="000000" w:fill="BFBFBF"/>
            <w:vAlign w:val="center"/>
            <w:hideMark/>
          </w:tcPr>
          <w:p w14:paraId="72775472"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2018</w:t>
            </w:r>
          </w:p>
        </w:tc>
        <w:tc>
          <w:tcPr>
            <w:tcW w:w="983" w:type="dxa"/>
            <w:tcBorders>
              <w:top w:val="nil"/>
              <w:left w:val="nil"/>
              <w:bottom w:val="nil"/>
              <w:right w:val="nil"/>
            </w:tcBorders>
            <w:shd w:val="clear" w:color="000000" w:fill="BFBFBF"/>
            <w:vAlign w:val="center"/>
            <w:hideMark/>
          </w:tcPr>
          <w:p w14:paraId="66EF895B"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2019</w:t>
            </w:r>
          </w:p>
        </w:tc>
        <w:tc>
          <w:tcPr>
            <w:tcW w:w="1143" w:type="dxa"/>
            <w:tcBorders>
              <w:top w:val="nil"/>
              <w:left w:val="nil"/>
              <w:bottom w:val="nil"/>
              <w:right w:val="nil"/>
            </w:tcBorders>
            <w:shd w:val="clear" w:color="000000" w:fill="BFBFBF"/>
            <w:vAlign w:val="center"/>
            <w:hideMark/>
          </w:tcPr>
          <w:p w14:paraId="0E75504A"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2019</w:t>
            </w:r>
          </w:p>
        </w:tc>
        <w:tc>
          <w:tcPr>
            <w:tcW w:w="992" w:type="dxa"/>
            <w:tcBorders>
              <w:top w:val="nil"/>
              <w:left w:val="nil"/>
              <w:bottom w:val="nil"/>
              <w:right w:val="nil"/>
            </w:tcBorders>
            <w:shd w:val="clear" w:color="000000" w:fill="BFBFBF"/>
            <w:vAlign w:val="center"/>
            <w:hideMark/>
          </w:tcPr>
          <w:p w14:paraId="4595CD65"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 xml:space="preserve"> v tis. eur</w:t>
            </w:r>
          </w:p>
        </w:tc>
        <w:tc>
          <w:tcPr>
            <w:tcW w:w="709" w:type="dxa"/>
            <w:tcBorders>
              <w:top w:val="nil"/>
              <w:left w:val="nil"/>
              <w:bottom w:val="nil"/>
              <w:right w:val="nil"/>
            </w:tcBorders>
            <w:shd w:val="clear" w:color="000000" w:fill="BFBFBF"/>
            <w:vAlign w:val="center"/>
            <w:hideMark/>
          </w:tcPr>
          <w:p w14:paraId="1EF58378"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v %</w:t>
            </w:r>
          </w:p>
        </w:tc>
      </w:tr>
      <w:tr w:rsidR="0060602C" w:rsidRPr="00D67952" w14:paraId="1251C841" w14:textId="77777777" w:rsidTr="0060602C">
        <w:trPr>
          <w:gridBefore w:val="1"/>
          <w:gridAfter w:val="1"/>
          <w:wBefore w:w="10" w:type="dxa"/>
          <w:wAfter w:w="10" w:type="dxa"/>
          <w:trHeight w:val="251"/>
        </w:trPr>
        <w:tc>
          <w:tcPr>
            <w:tcW w:w="2684" w:type="dxa"/>
            <w:tcBorders>
              <w:top w:val="nil"/>
              <w:left w:val="nil"/>
              <w:bottom w:val="single" w:sz="8" w:space="0" w:color="auto"/>
              <w:right w:val="nil"/>
            </w:tcBorders>
            <w:shd w:val="clear" w:color="000000" w:fill="BFBFBF"/>
            <w:vAlign w:val="center"/>
            <w:hideMark/>
          </w:tcPr>
          <w:p w14:paraId="53F42C51" w14:textId="77777777" w:rsidR="0060602C" w:rsidRPr="00D67952" w:rsidRDefault="0060602C" w:rsidP="0044781D">
            <w:pPr>
              <w:spacing w:after="0" w:line="240" w:lineRule="auto"/>
              <w:jc w:val="center"/>
              <w:rPr>
                <w:rFonts w:ascii="Arial Narrow" w:eastAsia="Times New Roman" w:hAnsi="Arial Narrow" w:cs="Times New Roman"/>
                <w:b/>
                <w:bCs/>
                <w:sz w:val="18"/>
                <w:szCs w:val="18"/>
                <w:lang w:eastAsia="sk-SK"/>
              </w:rPr>
            </w:pPr>
            <w:r w:rsidRPr="00D67952">
              <w:rPr>
                <w:rFonts w:ascii="Arial Narrow" w:eastAsia="Times New Roman" w:hAnsi="Arial Narrow" w:cs="Times New Roman"/>
                <w:b/>
                <w:bCs/>
                <w:sz w:val="18"/>
                <w:szCs w:val="18"/>
                <w:lang w:eastAsia="sk-SK"/>
              </w:rPr>
              <w:t> </w:t>
            </w:r>
          </w:p>
        </w:tc>
        <w:tc>
          <w:tcPr>
            <w:tcW w:w="851" w:type="dxa"/>
            <w:tcBorders>
              <w:top w:val="nil"/>
              <w:left w:val="nil"/>
              <w:bottom w:val="single" w:sz="8" w:space="0" w:color="auto"/>
              <w:right w:val="nil"/>
            </w:tcBorders>
            <w:shd w:val="clear" w:color="000000" w:fill="BFBFBF"/>
            <w:vAlign w:val="center"/>
            <w:hideMark/>
          </w:tcPr>
          <w:p w14:paraId="59550CF8"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1</w:t>
            </w:r>
          </w:p>
        </w:tc>
        <w:tc>
          <w:tcPr>
            <w:tcW w:w="1134" w:type="dxa"/>
            <w:tcBorders>
              <w:top w:val="nil"/>
              <w:left w:val="nil"/>
              <w:bottom w:val="single" w:sz="8" w:space="0" w:color="auto"/>
              <w:right w:val="nil"/>
            </w:tcBorders>
            <w:shd w:val="clear" w:color="000000" w:fill="BFBFBF"/>
            <w:vAlign w:val="center"/>
            <w:hideMark/>
          </w:tcPr>
          <w:p w14:paraId="2EDF755D"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w:t>
            </w:r>
          </w:p>
        </w:tc>
        <w:tc>
          <w:tcPr>
            <w:tcW w:w="983" w:type="dxa"/>
            <w:tcBorders>
              <w:top w:val="nil"/>
              <w:left w:val="nil"/>
              <w:bottom w:val="single" w:sz="8" w:space="0" w:color="auto"/>
              <w:right w:val="nil"/>
            </w:tcBorders>
            <w:shd w:val="clear" w:color="000000" w:fill="BFBFBF"/>
            <w:vAlign w:val="center"/>
            <w:hideMark/>
          </w:tcPr>
          <w:p w14:paraId="4DA64082"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3</w:t>
            </w:r>
          </w:p>
        </w:tc>
        <w:tc>
          <w:tcPr>
            <w:tcW w:w="1143" w:type="dxa"/>
            <w:tcBorders>
              <w:top w:val="nil"/>
              <w:left w:val="nil"/>
              <w:bottom w:val="single" w:sz="8" w:space="0" w:color="auto"/>
              <w:right w:val="nil"/>
            </w:tcBorders>
            <w:shd w:val="clear" w:color="000000" w:fill="BFBFBF"/>
            <w:vAlign w:val="center"/>
            <w:hideMark/>
          </w:tcPr>
          <w:p w14:paraId="7E059F41"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38BB6D43"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5=4-3</w:t>
            </w:r>
          </w:p>
        </w:tc>
        <w:tc>
          <w:tcPr>
            <w:tcW w:w="709" w:type="dxa"/>
            <w:tcBorders>
              <w:top w:val="nil"/>
              <w:left w:val="nil"/>
              <w:bottom w:val="single" w:sz="8" w:space="0" w:color="auto"/>
              <w:right w:val="nil"/>
            </w:tcBorders>
            <w:shd w:val="clear" w:color="000000" w:fill="BFBFBF"/>
            <w:vAlign w:val="center"/>
            <w:hideMark/>
          </w:tcPr>
          <w:p w14:paraId="095B6581" w14:textId="77777777" w:rsidR="0060602C" w:rsidRPr="00D67952" w:rsidRDefault="0060602C" w:rsidP="0044781D">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6=4-3</w:t>
            </w:r>
          </w:p>
        </w:tc>
      </w:tr>
      <w:tr w:rsidR="0060602C" w:rsidRPr="00D67952" w14:paraId="51B1C289" w14:textId="77777777" w:rsidTr="0060602C">
        <w:trPr>
          <w:gridAfter w:val="1"/>
          <w:wAfter w:w="10" w:type="dxa"/>
          <w:trHeight w:val="300"/>
        </w:trPr>
        <w:tc>
          <w:tcPr>
            <w:tcW w:w="2694" w:type="dxa"/>
            <w:gridSpan w:val="2"/>
            <w:tcBorders>
              <w:top w:val="nil"/>
              <w:left w:val="nil"/>
              <w:bottom w:val="nil"/>
              <w:right w:val="nil"/>
            </w:tcBorders>
            <w:shd w:val="clear" w:color="auto" w:fill="auto"/>
            <w:vAlign w:val="center"/>
            <w:hideMark/>
          </w:tcPr>
          <w:p w14:paraId="767087EF" w14:textId="69E74073" w:rsidR="0060602C" w:rsidRPr="00D67952" w:rsidRDefault="0060602C" w:rsidP="0060602C">
            <w:pPr>
              <w:spacing w:after="0" w:line="240" w:lineRule="auto"/>
              <w:jc w:val="left"/>
              <w:rPr>
                <w:rFonts w:eastAsia="Times New Roman" w:cs="Times New Roman"/>
                <w:sz w:val="18"/>
                <w:szCs w:val="18"/>
                <w:lang w:eastAsia="sk-SK"/>
              </w:rPr>
            </w:pPr>
            <w:r>
              <w:rPr>
                <w:rFonts w:eastAsia="Times New Roman" w:cs="Times New Roman"/>
                <w:sz w:val="18"/>
                <w:szCs w:val="18"/>
                <w:lang w:eastAsia="sk-SK"/>
              </w:rPr>
              <w:t>V</w:t>
            </w:r>
            <w:r w:rsidRPr="00D67952">
              <w:rPr>
                <w:rFonts w:eastAsia="Times New Roman" w:cs="Times New Roman"/>
                <w:sz w:val="18"/>
                <w:szCs w:val="18"/>
                <w:lang w:eastAsia="sk-SK"/>
              </w:rPr>
              <w:t> rámci verejnej správy</w:t>
            </w:r>
          </w:p>
        </w:tc>
        <w:tc>
          <w:tcPr>
            <w:tcW w:w="851" w:type="dxa"/>
            <w:tcBorders>
              <w:top w:val="nil"/>
              <w:left w:val="nil"/>
              <w:bottom w:val="nil"/>
              <w:right w:val="nil"/>
            </w:tcBorders>
            <w:shd w:val="clear" w:color="auto" w:fill="auto"/>
            <w:noWrap/>
            <w:vAlign w:val="center"/>
            <w:hideMark/>
          </w:tcPr>
          <w:p w14:paraId="561BC3E6"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734 040</w:t>
            </w:r>
          </w:p>
        </w:tc>
        <w:tc>
          <w:tcPr>
            <w:tcW w:w="1134" w:type="dxa"/>
            <w:tcBorders>
              <w:top w:val="nil"/>
              <w:left w:val="nil"/>
              <w:bottom w:val="nil"/>
              <w:right w:val="nil"/>
            </w:tcBorders>
            <w:shd w:val="clear" w:color="auto" w:fill="auto"/>
            <w:noWrap/>
            <w:vAlign w:val="center"/>
            <w:hideMark/>
          </w:tcPr>
          <w:p w14:paraId="023733F0"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1 319 259</w:t>
            </w:r>
          </w:p>
        </w:tc>
        <w:tc>
          <w:tcPr>
            <w:tcW w:w="983" w:type="dxa"/>
            <w:tcBorders>
              <w:top w:val="nil"/>
              <w:left w:val="nil"/>
              <w:bottom w:val="nil"/>
              <w:right w:val="nil"/>
            </w:tcBorders>
            <w:shd w:val="clear" w:color="000000" w:fill="FFFFFF"/>
            <w:noWrap/>
            <w:vAlign w:val="center"/>
            <w:hideMark/>
          </w:tcPr>
          <w:p w14:paraId="1AD02873"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223 218</w:t>
            </w:r>
          </w:p>
        </w:tc>
        <w:tc>
          <w:tcPr>
            <w:tcW w:w="1143" w:type="dxa"/>
            <w:tcBorders>
              <w:top w:val="nil"/>
              <w:left w:val="nil"/>
              <w:bottom w:val="nil"/>
              <w:right w:val="nil"/>
            </w:tcBorders>
            <w:shd w:val="clear" w:color="000000" w:fill="BFBFBF"/>
            <w:noWrap/>
            <w:vAlign w:val="center"/>
            <w:hideMark/>
          </w:tcPr>
          <w:p w14:paraId="3EAC8857"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1 228 162</w:t>
            </w:r>
          </w:p>
        </w:tc>
        <w:tc>
          <w:tcPr>
            <w:tcW w:w="992" w:type="dxa"/>
            <w:tcBorders>
              <w:top w:val="nil"/>
              <w:left w:val="nil"/>
              <w:bottom w:val="nil"/>
              <w:right w:val="nil"/>
            </w:tcBorders>
            <w:shd w:val="clear" w:color="auto" w:fill="auto"/>
            <w:noWrap/>
            <w:vAlign w:val="center"/>
            <w:hideMark/>
          </w:tcPr>
          <w:p w14:paraId="7BF743CC"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1 004 944</w:t>
            </w:r>
          </w:p>
        </w:tc>
        <w:tc>
          <w:tcPr>
            <w:tcW w:w="709" w:type="dxa"/>
            <w:tcBorders>
              <w:top w:val="nil"/>
              <w:left w:val="nil"/>
              <w:bottom w:val="nil"/>
              <w:right w:val="nil"/>
            </w:tcBorders>
            <w:shd w:val="clear" w:color="auto" w:fill="auto"/>
            <w:noWrap/>
            <w:vAlign w:val="center"/>
            <w:hideMark/>
          </w:tcPr>
          <w:p w14:paraId="57F0F347"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450</w:t>
            </w:r>
          </w:p>
        </w:tc>
      </w:tr>
      <w:tr w:rsidR="0060602C" w:rsidRPr="00D67952" w14:paraId="1CE8FBF8" w14:textId="77777777" w:rsidTr="0060602C">
        <w:trPr>
          <w:gridAfter w:val="1"/>
          <w:wAfter w:w="10" w:type="dxa"/>
          <w:trHeight w:val="301"/>
        </w:trPr>
        <w:tc>
          <w:tcPr>
            <w:tcW w:w="2694" w:type="dxa"/>
            <w:gridSpan w:val="2"/>
            <w:tcBorders>
              <w:top w:val="nil"/>
              <w:left w:val="nil"/>
              <w:bottom w:val="nil"/>
              <w:right w:val="nil"/>
            </w:tcBorders>
            <w:shd w:val="clear" w:color="auto" w:fill="auto"/>
            <w:vAlign w:val="center"/>
            <w:hideMark/>
          </w:tcPr>
          <w:p w14:paraId="2B80D025" w14:textId="0EBEEC07" w:rsidR="0060602C" w:rsidRPr="00D67952" w:rsidRDefault="0060602C" w:rsidP="0044781D">
            <w:pPr>
              <w:spacing w:after="0" w:line="240" w:lineRule="auto"/>
              <w:jc w:val="left"/>
              <w:rPr>
                <w:rFonts w:eastAsia="Times New Roman" w:cs="Times New Roman"/>
                <w:sz w:val="18"/>
                <w:szCs w:val="18"/>
                <w:lang w:eastAsia="sk-SK"/>
              </w:rPr>
            </w:pPr>
            <w:r>
              <w:rPr>
                <w:rFonts w:eastAsia="Times New Roman" w:cs="Times New Roman"/>
                <w:sz w:val="18"/>
                <w:szCs w:val="18"/>
                <w:lang w:eastAsia="sk-SK"/>
              </w:rPr>
              <w:t>N</w:t>
            </w:r>
            <w:r w:rsidRPr="00D67952">
              <w:rPr>
                <w:rFonts w:eastAsia="Times New Roman" w:cs="Times New Roman"/>
                <w:sz w:val="18"/>
                <w:szCs w:val="18"/>
                <w:lang w:eastAsia="sk-SK"/>
              </w:rPr>
              <w:t>efinančným subjektom</w:t>
            </w:r>
          </w:p>
        </w:tc>
        <w:tc>
          <w:tcPr>
            <w:tcW w:w="851" w:type="dxa"/>
            <w:tcBorders>
              <w:top w:val="nil"/>
              <w:left w:val="nil"/>
              <w:bottom w:val="nil"/>
              <w:right w:val="nil"/>
            </w:tcBorders>
            <w:shd w:val="clear" w:color="auto" w:fill="auto"/>
            <w:noWrap/>
            <w:vAlign w:val="center"/>
            <w:hideMark/>
          </w:tcPr>
          <w:p w14:paraId="07BDF522"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177 324</w:t>
            </w:r>
          </w:p>
        </w:tc>
        <w:tc>
          <w:tcPr>
            <w:tcW w:w="1134" w:type="dxa"/>
            <w:tcBorders>
              <w:top w:val="nil"/>
              <w:left w:val="nil"/>
              <w:bottom w:val="nil"/>
              <w:right w:val="nil"/>
            </w:tcBorders>
            <w:shd w:val="clear" w:color="auto" w:fill="auto"/>
            <w:noWrap/>
            <w:vAlign w:val="center"/>
            <w:hideMark/>
          </w:tcPr>
          <w:p w14:paraId="1D71DD17"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331 578</w:t>
            </w:r>
          </w:p>
        </w:tc>
        <w:tc>
          <w:tcPr>
            <w:tcW w:w="983" w:type="dxa"/>
            <w:tcBorders>
              <w:top w:val="nil"/>
              <w:left w:val="nil"/>
              <w:bottom w:val="nil"/>
              <w:right w:val="nil"/>
            </w:tcBorders>
            <w:shd w:val="clear" w:color="000000" w:fill="FFFFFF"/>
            <w:noWrap/>
            <w:vAlign w:val="center"/>
            <w:hideMark/>
          </w:tcPr>
          <w:p w14:paraId="343B76A0"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713 595</w:t>
            </w:r>
          </w:p>
        </w:tc>
        <w:tc>
          <w:tcPr>
            <w:tcW w:w="1143" w:type="dxa"/>
            <w:tcBorders>
              <w:top w:val="nil"/>
              <w:left w:val="nil"/>
              <w:bottom w:val="nil"/>
              <w:right w:val="nil"/>
            </w:tcBorders>
            <w:shd w:val="clear" w:color="000000" w:fill="BFBFBF"/>
            <w:noWrap/>
            <w:vAlign w:val="center"/>
            <w:hideMark/>
          </w:tcPr>
          <w:p w14:paraId="6842A599"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465 570</w:t>
            </w:r>
          </w:p>
        </w:tc>
        <w:tc>
          <w:tcPr>
            <w:tcW w:w="992" w:type="dxa"/>
            <w:tcBorders>
              <w:top w:val="nil"/>
              <w:left w:val="nil"/>
              <w:bottom w:val="nil"/>
              <w:right w:val="nil"/>
            </w:tcBorders>
            <w:shd w:val="clear" w:color="auto" w:fill="auto"/>
            <w:noWrap/>
            <w:vAlign w:val="center"/>
            <w:hideMark/>
          </w:tcPr>
          <w:p w14:paraId="5FD7D7BD"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-248 025</w:t>
            </w:r>
          </w:p>
        </w:tc>
        <w:tc>
          <w:tcPr>
            <w:tcW w:w="709" w:type="dxa"/>
            <w:tcBorders>
              <w:top w:val="nil"/>
              <w:left w:val="nil"/>
              <w:bottom w:val="nil"/>
              <w:right w:val="nil"/>
            </w:tcBorders>
            <w:shd w:val="clear" w:color="auto" w:fill="auto"/>
            <w:noWrap/>
            <w:vAlign w:val="center"/>
            <w:hideMark/>
          </w:tcPr>
          <w:p w14:paraId="767C62D8"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-35</w:t>
            </w:r>
          </w:p>
        </w:tc>
      </w:tr>
      <w:tr w:rsidR="0060602C" w:rsidRPr="00D67952" w14:paraId="713374B2" w14:textId="77777777" w:rsidTr="0060602C">
        <w:trPr>
          <w:gridAfter w:val="1"/>
          <w:wAfter w:w="10" w:type="dxa"/>
          <w:trHeight w:val="480"/>
        </w:trPr>
        <w:tc>
          <w:tcPr>
            <w:tcW w:w="2694" w:type="dxa"/>
            <w:gridSpan w:val="2"/>
            <w:tcBorders>
              <w:top w:val="nil"/>
              <w:left w:val="nil"/>
              <w:right w:val="nil"/>
            </w:tcBorders>
            <w:shd w:val="clear" w:color="auto" w:fill="auto"/>
            <w:vAlign w:val="center"/>
            <w:hideMark/>
          </w:tcPr>
          <w:p w14:paraId="31172A8B" w14:textId="17A0E71E" w:rsidR="0060602C" w:rsidRPr="00D67952" w:rsidRDefault="0060602C" w:rsidP="0044781D">
            <w:pPr>
              <w:spacing w:after="0" w:line="240" w:lineRule="auto"/>
              <w:jc w:val="left"/>
              <w:rPr>
                <w:rFonts w:eastAsia="Times New Roman" w:cs="Times New Roman"/>
                <w:sz w:val="18"/>
                <w:szCs w:val="18"/>
                <w:lang w:eastAsia="sk-SK"/>
              </w:rPr>
            </w:pPr>
            <w:r>
              <w:rPr>
                <w:rFonts w:eastAsia="Times New Roman" w:cs="Times New Roman"/>
                <w:sz w:val="18"/>
                <w:szCs w:val="18"/>
                <w:lang w:eastAsia="sk-SK"/>
              </w:rPr>
              <w:t>J</w:t>
            </w:r>
            <w:r w:rsidRPr="00D67952">
              <w:rPr>
                <w:rFonts w:eastAsia="Times New Roman" w:cs="Times New Roman"/>
                <w:sz w:val="18"/>
                <w:szCs w:val="18"/>
                <w:lang w:eastAsia="sk-SK"/>
              </w:rPr>
              <w:t>ednotlivcom a neziskovým právnickým osobám</w:t>
            </w:r>
          </w:p>
        </w:tc>
        <w:tc>
          <w:tcPr>
            <w:tcW w:w="851" w:type="dxa"/>
            <w:tcBorders>
              <w:top w:val="nil"/>
              <w:left w:val="nil"/>
              <w:right w:val="nil"/>
            </w:tcBorders>
            <w:shd w:val="clear" w:color="auto" w:fill="auto"/>
            <w:noWrap/>
            <w:vAlign w:val="center"/>
            <w:hideMark/>
          </w:tcPr>
          <w:p w14:paraId="60C7DAFB"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35 049</w:t>
            </w:r>
          </w:p>
        </w:tc>
        <w:tc>
          <w:tcPr>
            <w:tcW w:w="1134" w:type="dxa"/>
            <w:tcBorders>
              <w:top w:val="nil"/>
              <w:left w:val="nil"/>
              <w:right w:val="nil"/>
            </w:tcBorders>
            <w:shd w:val="clear" w:color="auto" w:fill="auto"/>
            <w:noWrap/>
            <w:vAlign w:val="center"/>
            <w:hideMark/>
          </w:tcPr>
          <w:p w14:paraId="6E28A9C5"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22 417</w:t>
            </w:r>
          </w:p>
        </w:tc>
        <w:tc>
          <w:tcPr>
            <w:tcW w:w="983" w:type="dxa"/>
            <w:tcBorders>
              <w:top w:val="nil"/>
              <w:left w:val="nil"/>
              <w:right w:val="nil"/>
            </w:tcBorders>
            <w:shd w:val="clear" w:color="000000" w:fill="FFFFFF"/>
            <w:noWrap/>
            <w:vAlign w:val="center"/>
            <w:hideMark/>
          </w:tcPr>
          <w:p w14:paraId="2905DB8F"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68 754</w:t>
            </w:r>
          </w:p>
        </w:tc>
        <w:tc>
          <w:tcPr>
            <w:tcW w:w="1143" w:type="dxa"/>
            <w:tcBorders>
              <w:top w:val="nil"/>
              <w:left w:val="nil"/>
              <w:right w:val="nil"/>
            </w:tcBorders>
            <w:shd w:val="clear" w:color="000000" w:fill="BFBFBF"/>
            <w:noWrap/>
            <w:vAlign w:val="center"/>
            <w:hideMark/>
          </w:tcPr>
          <w:p w14:paraId="60C4D37D"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65 711</w:t>
            </w:r>
          </w:p>
        </w:tc>
        <w:tc>
          <w:tcPr>
            <w:tcW w:w="992" w:type="dxa"/>
            <w:tcBorders>
              <w:top w:val="nil"/>
              <w:left w:val="nil"/>
              <w:right w:val="nil"/>
            </w:tcBorders>
            <w:shd w:val="clear" w:color="auto" w:fill="auto"/>
            <w:noWrap/>
            <w:vAlign w:val="center"/>
            <w:hideMark/>
          </w:tcPr>
          <w:p w14:paraId="79F25ABE"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-3 043</w:t>
            </w:r>
          </w:p>
        </w:tc>
        <w:tc>
          <w:tcPr>
            <w:tcW w:w="709" w:type="dxa"/>
            <w:tcBorders>
              <w:top w:val="nil"/>
              <w:left w:val="nil"/>
              <w:right w:val="nil"/>
            </w:tcBorders>
            <w:shd w:val="clear" w:color="auto" w:fill="auto"/>
            <w:noWrap/>
            <w:vAlign w:val="center"/>
            <w:hideMark/>
          </w:tcPr>
          <w:p w14:paraId="61902049"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-4</w:t>
            </w:r>
          </w:p>
        </w:tc>
      </w:tr>
      <w:tr w:rsidR="0060602C" w:rsidRPr="00D67952" w14:paraId="447A78A9" w14:textId="77777777" w:rsidTr="0060602C">
        <w:trPr>
          <w:gridAfter w:val="1"/>
          <w:wAfter w:w="10" w:type="dxa"/>
          <w:trHeight w:val="315"/>
        </w:trPr>
        <w:tc>
          <w:tcPr>
            <w:tcW w:w="2694" w:type="dxa"/>
            <w:gridSpan w:val="2"/>
            <w:tcBorders>
              <w:top w:val="nil"/>
              <w:left w:val="nil"/>
              <w:right w:val="nil"/>
            </w:tcBorders>
            <w:shd w:val="clear" w:color="auto" w:fill="auto"/>
            <w:vAlign w:val="center"/>
            <w:hideMark/>
          </w:tcPr>
          <w:p w14:paraId="5E10CB3F" w14:textId="30F9C2C7" w:rsidR="0060602C" w:rsidRPr="00D67952" w:rsidRDefault="0060602C" w:rsidP="0044781D">
            <w:pPr>
              <w:spacing w:after="0" w:line="240" w:lineRule="auto"/>
              <w:jc w:val="left"/>
              <w:rPr>
                <w:rFonts w:eastAsia="Times New Roman" w:cs="Times New Roman"/>
                <w:sz w:val="18"/>
                <w:szCs w:val="18"/>
                <w:lang w:eastAsia="sk-SK"/>
              </w:rPr>
            </w:pPr>
            <w:r>
              <w:rPr>
                <w:rFonts w:eastAsia="Times New Roman" w:cs="Times New Roman"/>
                <w:sz w:val="18"/>
                <w:szCs w:val="18"/>
                <w:lang w:eastAsia="sk-SK"/>
              </w:rPr>
              <w:t>D</w:t>
            </w:r>
            <w:r w:rsidRPr="00D67952">
              <w:rPr>
                <w:rFonts w:eastAsia="Times New Roman" w:cs="Times New Roman"/>
                <w:sz w:val="18"/>
                <w:szCs w:val="18"/>
                <w:lang w:eastAsia="sk-SK"/>
              </w:rPr>
              <w:t>o zahraničia</w:t>
            </w:r>
          </w:p>
        </w:tc>
        <w:tc>
          <w:tcPr>
            <w:tcW w:w="851" w:type="dxa"/>
            <w:tcBorders>
              <w:top w:val="nil"/>
              <w:left w:val="nil"/>
              <w:right w:val="nil"/>
            </w:tcBorders>
            <w:shd w:val="clear" w:color="auto" w:fill="auto"/>
            <w:noWrap/>
            <w:vAlign w:val="center"/>
            <w:hideMark/>
          </w:tcPr>
          <w:p w14:paraId="45521005"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751</w:t>
            </w:r>
          </w:p>
        </w:tc>
        <w:tc>
          <w:tcPr>
            <w:tcW w:w="1134" w:type="dxa"/>
            <w:tcBorders>
              <w:top w:val="nil"/>
              <w:left w:val="nil"/>
              <w:right w:val="nil"/>
            </w:tcBorders>
            <w:shd w:val="clear" w:color="auto" w:fill="auto"/>
            <w:noWrap/>
            <w:vAlign w:val="center"/>
            <w:hideMark/>
          </w:tcPr>
          <w:p w14:paraId="783D6B60"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275</w:t>
            </w:r>
          </w:p>
        </w:tc>
        <w:tc>
          <w:tcPr>
            <w:tcW w:w="983" w:type="dxa"/>
            <w:tcBorders>
              <w:top w:val="nil"/>
              <w:left w:val="nil"/>
              <w:right w:val="nil"/>
            </w:tcBorders>
            <w:shd w:val="clear" w:color="000000" w:fill="FFFFFF"/>
            <w:noWrap/>
            <w:vAlign w:val="center"/>
            <w:hideMark/>
          </w:tcPr>
          <w:p w14:paraId="674D40BA"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1143" w:type="dxa"/>
            <w:tcBorders>
              <w:top w:val="nil"/>
              <w:left w:val="nil"/>
              <w:right w:val="nil"/>
            </w:tcBorders>
            <w:shd w:val="clear" w:color="000000" w:fill="BFBFBF"/>
            <w:noWrap/>
            <w:vAlign w:val="center"/>
            <w:hideMark/>
          </w:tcPr>
          <w:p w14:paraId="19B90D58"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3 008</w:t>
            </w:r>
          </w:p>
        </w:tc>
        <w:tc>
          <w:tcPr>
            <w:tcW w:w="992" w:type="dxa"/>
            <w:tcBorders>
              <w:top w:val="nil"/>
              <w:left w:val="nil"/>
              <w:right w:val="nil"/>
            </w:tcBorders>
            <w:shd w:val="clear" w:color="auto" w:fill="auto"/>
            <w:noWrap/>
            <w:vAlign w:val="center"/>
            <w:hideMark/>
          </w:tcPr>
          <w:p w14:paraId="6B41A06A"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3 008</w:t>
            </w:r>
          </w:p>
        </w:tc>
        <w:tc>
          <w:tcPr>
            <w:tcW w:w="709" w:type="dxa"/>
            <w:tcBorders>
              <w:top w:val="nil"/>
              <w:left w:val="nil"/>
              <w:right w:val="nil"/>
            </w:tcBorders>
            <w:shd w:val="clear" w:color="auto" w:fill="auto"/>
            <w:noWrap/>
            <w:vAlign w:val="center"/>
            <w:hideMark/>
          </w:tcPr>
          <w:p w14:paraId="4FB3EC3B"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0</w:t>
            </w:r>
          </w:p>
        </w:tc>
      </w:tr>
      <w:tr w:rsidR="0060602C" w:rsidRPr="00D67952" w14:paraId="39BAFEB8" w14:textId="77777777" w:rsidTr="0060602C">
        <w:trPr>
          <w:gridAfter w:val="1"/>
          <w:wAfter w:w="10" w:type="dxa"/>
          <w:trHeight w:val="300"/>
        </w:trPr>
        <w:tc>
          <w:tcPr>
            <w:tcW w:w="2694" w:type="dxa"/>
            <w:gridSpan w:val="2"/>
            <w:tcBorders>
              <w:left w:val="nil"/>
              <w:bottom w:val="single" w:sz="4" w:space="0" w:color="auto"/>
              <w:right w:val="nil"/>
            </w:tcBorders>
            <w:shd w:val="clear" w:color="auto" w:fill="auto"/>
            <w:vAlign w:val="center"/>
            <w:hideMark/>
          </w:tcPr>
          <w:p w14:paraId="2973D472" w14:textId="6400A872" w:rsidR="0060602C" w:rsidRPr="00D67952" w:rsidRDefault="0060602C" w:rsidP="0044781D">
            <w:pPr>
              <w:spacing w:after="0" w:line="240" w:lineRule="auto"/>
              <w:jc w:val="left"/>
              <w:rPr>
                <w:rFonts w:eastAsia="Times New Roman" w:cs="Times New Roman"/>
                <w:sz w:val="18"/>
                <w:szCs w:val="18"/>
                <w:lang w:eastAsia="sk-SK"/>
              </w:rPr>
            </w:pPr>
            <w:r>
              <w:rPr>
                <w:rFonts w:eastAsia="Times New Roman" w:cs="Times New Roman"/>
                <w:sz w:val="18"/>
                <w:szCs w:val="18"/>
                <w:lang w:eastAsia="sk-SK"/>
              </w:rPr>
              <w:t>T</w:t>
            </w:r>
            <w:r w:rsidRPr="00D67952">
              <w:rPr>
                <w:rFonts w:eastAsia="Times New Roman" w:cs="Times New Roman"/>
                <w:sz w:val="18"/>
                <w:szCs w:val="18"/>
                <w:lang w:eastAsia="sk-SK"/>
              </w:rPr>
              <w:t>ransfery finančným inštitúciám</w:t>
            </w:r>
          </w:p>
        </w:tc>
        <w:tc>
          <w:tcPr>
            <w:tcW w:w="851" w:type="dxa"/>
            <w:tcBorders>
              <w:left w:val="nil"/>
              <w:bottom w:val="single" w:sz="4" w:space="0" w:color="auto"/>
              <w:right w:val="nil"/>
            </w:tcBorders>
            <w:shd w:val="clear" w:color="auto" w:fill="auto"/>
            <w:noWrap/>
            <w:vAlign w:val="center"/>
            <w:hideMark/>
          </w:tcPr>
          <w:p w14:paraId="5BA9E637"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1134" w:type="dxa"/>
            <w:tcBorders>
              <w:left w:val="nil"/>
              <w:bottom w:val="single" w:sz="4" w:space="0" w:color="auto"/>
              <w:right w:val="nil"/>
            </w:tcBorders>
            <w:shd w:val="clear" w:color="auto" w:fill="auto"/>
            <w:noWrap/>
            <w:vAlign w:val="center"/>
            <w:hideMark/>
          </w:tcPr>
          <w:p w14:paraId="1FF1ACCA"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7 647</w:t>
            </w:r>
          </w:p>
        </w:tc>
        <w:tc>
          <w:tcPr>
            <w:tcW w:w="983" w:type="dxa"/>
            <w:tcBorders>
              <w:left w:val="nil"/>
              <w:bottom w:val="single" w:sz="4" w:space="0" w:color="auto"/>
              <w:right w:val="nil"/>
            </w:tcBorders>
            <w:shd w:val="clear" w:color="000000" w:fill="FFFFFF"/>
            <w:noWrap/>
            <w:vAlign w:val="center"/>
            <w:hideMark/>
          </w:tcPr>
          <w:p w14:paraId="157E8EF0"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1143" w:type="dxa"/>
            <w:tcBorders>
              <w:left w:val="nil"/>
              <w:bottom w:val="single" w:sz="4" w:space="0" w:color="auto"/>
              <w:right w:val="nil"/>
            </w:tcBorders>
            <w:shd w:val="clear" w:color="000000" w:fill="BFBFBF"/>
            <w:noWrap/>
            <w:vAlign w:val="center"/>
            <w:hideMark/>
          </w:tcPr>
          <w:p w14:paraId="333E4097" w14:textId="77777777" w:rsidR="0060602C" w:rsidRPr="00D67952" w:rsidRDefault="0060602C" w:rsidP="0044781D">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0</w:t>
            </w:r>
          </w:p>
        </w:tc>
        <w:tc>
          <w:tcPr>
            <w:tcW w:w="992" w:type="dxa"/>
            <w:tcBorders>
              <w:left w:val="nil"/>
              <w:bottom w:val="single" w:sz="4" w:space="0" w:color="auto"/>
              <w:right w:val="nil"/>
            </w:tcBorders>
            <w:shd w:val="clear" w:color="auto" w:fill="auto"/>
            <w:noWrap/>
            <w:vAlign w:val="center"/>
            <w:hideMark/>
          </w:tcPr>
          <w:p w14:paraId="7640AB8E"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0</w:t>
            </w:r>
          </w:p>
        </w:tc>
        <w:tc>
          <w:tcPr>
            <w:tcW w:w="709" w:type="dxa"/>
            <w:tcBorders>
              <w:left w:val="nil"/>
              <w:bottom w:val="single" w:sz="4" w:space="0" w:color="auto"/>
              <w:right w:val="nil"/>
            </w:tcBorders>
            <w:shd w:val="clear" w:color="auto" w:fill="auto"/>
            <w:noWrap/>
            <w:vAlign w:val="center"/>
            <w:hideMark/>
          </w:tcPr>
          <w:p w14:paraId="2A026A76" w14:textId="77777777" w:rsidR="0060602C" w:rsidRPr="00D67952" w:rsidRDefault="0060602C" w:rsidP="0044781D">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0</w:t>
            </w:r>
          </w:p>
        </w:tc>
      </w:tr>
      <w:tr w:rsidR="0060602C" w:rsidRPr="00D67952" w14:paraId="7792989A" w14:textId="77777777" w:rsidTr="0060602C">
        <w:trPr>
          <w:gridAfter w:val="1"/>
          <w:wAfter w:w="10" w:type="dxa"/>
          <w:trHeight w:val="315"/>
        </w:trPr>
        <w:tc>
          <w:tcPr>
            <w:tcW w:w="2694" w:type="dxa"/>
            <w:gridSpan w:val="2"/>
            <w:tcBorders>
              <w:top w:val="nil"/>
              <w:left w:val="nil"/>
              <w:bottom w:val="single" w:sz="8" w:space="0" w:color="auto"/>
              <w:right w:val="nil"/>
            </w:tcBorders>
            <w:shd w:val="clear" w:color="000000" w:fill="FFFFFF"/>
            <w:noWrap/>
            <w:vAlign w:val="center"/>
            <w:hideMark/>
          </w:tcPr>
          <w:p w14:paraId="55CAA81E" w14:textId="77777777" w:rsidR="0060602C" w:rsidRPr="00D67952" w:rsidRDefault="0060602C" w:rsidP="0060602C">
            <w:pPr>
              <w:spacing w:after="0" w:line="240" w:lineRule="auto"/>
              <w:jc w:val="left"/>
              <w:rPr>
                <w:rFonts w:eastAsia="Times New Roman" w:cs="Times New Roman"/>
                <w:b/>
                <w:bCs/>
                <w:sz w:val="18"/>
                <w:szCs w:val="18"/>
                <w:lang w:eastAsia="sk-SK"/>
              </w:rPr>
            </w:pPr>
            <w:r w:rsidRPr="00D67952">
              <w:rPr>
                <w:rFonts w:eastAsia="Times New Roman" w:cs="Times New Roman"/>
                <w:b/>
                <w:bCs/>
                <w:sz w:val="18"/>
                <w:szCs w:val="18"/>
                <w:lang w:eastAsia="sk-SK"/>
              </w:rPr>
              <w:t>Spolu</w:t>
            </w:r>
          </w:p>
        </w:tc>
        <w:tc>
          <w:tcPr>
            <w:tcW w:w="851" w:type="dxa"/>
            <w:tcBorders>
              <w:top w:val="nil"/>
              <w:left w:val="nil"/>
              <w:bottom w:val="single" w:sz="8" w:space="0" w:color="auto"/>
              <w:right w:val="nil"/>
            </w:tcBorders>
            <w:shd w:val="clear" w:color="auto" w:fill="auto"/>
            <w:noWrap/>
            <w:vAlign w:val="center"/>
            <w:hideMark/>
          </w:tcPr>
          <w:p w14:paraId="5AA0677B" w14:textId="64CF2FFA" w:rsidR="0060602C" w:rsidRPr="00D67952" w:rsidRDefault="0060602C" w:rsidP="0060602C">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947 164</w:t>
            </w:r>
          </w:p>
        </w:tc>
        <w:tc>
          <w:tcPr>
            <w:tcW w:w="1134" w:type="dxa"/>
            <w:tcBorders>
              <w:top w:val="nil"/>
              <w:left w:val="nil"/>
              <w:bottom w:val="single" w:sz="8" w:space="0" w:color="auto"/>
              <w:right w:val="nil"/>
            </w:tcBorders>
            <w:shd w:val="clear" w:color="auto" w:fill="auto"/>
            <w:noWrap/>
            <w:vAlign w:val="center"/>
            <w:hideMark/>
          </w:tcPr>
          <w:p w14:paraId="56AEB8B1" w14:textId="25639143" w:rsidR="0060602C" w:rsidRPr="00D67952" w:rsidRDefault="0060602C" w:rsidP="0060602C">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1 681 176</w:t>
            </w:r>
          </w:p>
        </w:tc>
        <w:tc>
          <w:tcPr>
            <w:tcW w:w="983" w:type="dxa"/>
            <w:tcBorders>
              <w:top w:val="nil"/>
              <w:left w:val="nil"/>
              <w:bottom w:val="single" w:sz="8" w:space="0" w:color="auto"/>
              <w:right w:val="nil"/>
            </w:tcBorders>
            <w:shd w:val="clear" w:color="auto" w:fill="auto"/>
            <w:noWrap/>
            <w:vAlign w:val="center"/>
            <w:hideMark/>
          </w:tcPr>
          <w:p w14:paraId="07F0446F" w14:textId="6134C8E3" w:rsidR="0060602C" w:rsidRPr="00D67952" w:rsidRDefault="0060602C" w:rsidP="0060602C">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1 005 567</w:t>
            </w:r>
          </w:p>
        </w:tc>
        <w:tc>
          <w:tcPr>
            <w:tcW w:w="1143" w:type="dxa"/>
            <w:tcBorders>
              <w:top w:val="nil"/>
              <w:left w:val="nil"/>
              <w:bottom w:val="single" w:sz="8" w:space="0" w:color="auto"/>
              <w:right w:val="nil"/>
            </w:tcBorders>
            <w:shd w:val="clear" w:color="000000" w:fill="BFBFBF"/>
            <w:noWrap/>
            <w:vAlign w:val="center"/>
            <w:hideMark/>
          </w:tcPr>
          <w:p w14:paraId="277DF98B" w14:textId="72FB26B2" w:rsidR="0060602C" w:rsidRPr="00D67952" w:rsidRDefault="0060602C" w:rsidP="0060602C">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1 762 451</w:t>
            </w:r>
          </w:p>
        </w:tc>
        <w:tc>
          <w:tcPr>
            <w:tcW w:w="992" w:type="dxa"/>
            <w:tcBorders>
              <w:top w:val="nil"/>
              <w:left w:val="nil"/>
              <w:bottom w:val="single" w:sz="8" w:space="0" w:color="auto"/>
              <w:right w:val="nil"/>
            </w:tcBorders>
            <w:shd w:val="clear" w:color="auto" w:fill="auto"/>
            <w:noWrap/>
            <w:vAlign w:val="center"/>
            <w:hideMark/>
          </w:tcPr>
          <w:p w14:paraId="26DB0B36" w14:textId="641459CC" w:rsidR="0060602C" w:rsidRPr="00D67952" w:rsidRDefault="0060602C" w:rsidP="0060602C">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756 884</w:t>
            </w:r>
          </w:p>
        </w:tc>
        <w:tc>
          <w:tcPr>
            <w:tcW w:w="709" w:type="dxa"/>
            <w:tcBorders>
              <w:top w:val="nil"/>
              <w:left w:val="nil"/>
              <w:bottom w:val="single" w:sz="8" w:space="0" w:color="auto"/>
              <w:right w:val="nil"/>
            </w:tcBorders>
            <w:shd w:val="clear" w:color="auto" w:fill="auto"/>
            <w:noWrap/>
            <w:vAlign w:val="center"/>
            <w:hideMark/>
          </w:tcPr>
          <w:p w14:paraId="3C49D58F" w14:textId="6DB5CE5E" w:rsidR="0060602C" w:rsidRPr="00D67952" w:rsidRDefault="0060602C" w:rsidP="0060602C">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75</w:t>
            </w:r>
          </w:p>
        </w:tc>
      </w:tr>
    </w:tbl>
    <w:p w14:paraId="4DF53AFD" w14:textId="77777777" w:rsidR="0060602C" w:rsidRPr="005B6D1E" w:rsidRDefault="0060602C" w:rsidP="0060602C">
      <w:pPr>
        <w:rPr>
          <w:sz w:val="18"/>
          <w:szCs w:val="18"/>
        </w:rPr>
      </w:pPr>
      <w:r>
        <w:tab/>
      </w:r>
      <w:r>
        <w:tab/>
      </w:r>
      <w:r>
        <w:tab/>
      </w:r>
      <w:r>
        <w:tab/>
      </w:r>
      <w:r>
        <w:tab/>
      </w:r>
      <w:r>
        <w:tab/>
      </w:r>
      <w:r>
        <w:tab/>
      </w:r>
      <w:r>
        <w:tab/>
      </w:r>
      <w:r>
        <w:tab/>
      </w:r>
      <w:r>
        <w:tab/>
        <w:t xml:space="preserve">       </w:t>
      </w:r>
      <w:r w:rsidRPr="005B6D1E">
        <w:rPr>
          <w:sz w:val="18"/>
          <w:szCs w:val="18"/>
        </w:rPr>
        <w:t>Zdroj: MF SR</w:t>
      </w:r>
    </w:p>
    <w:p w14:paraId="2402232F" w14:textId="6F77FAA9" w:rsidR="00EA177A" w:rsidRPr="00D67952" w:rsidRDefault="00EA177A" w:rsidP="00EA177A">
      <w:r w:rsidRPr="00D67952">
        <w:t>Kapitálové transfery zahŕňajú platby vykonávané s cieľom umožniť príjemcovi nadobudnúť kapitálové aktíva alebo kompenzovať ich poškodenie alebo zničenie. Schválený rozpočet pre rok 2019 bol stanovený sumou 1 005 567 tis. eur. V skutočnosti kapitálové transfery boli vo výške 1 762 451 tis. eur (2018: 1 681 176 tis. eur) a tvoria 61,6 % z celkových kapitálových výdavkov. Z celkovej sumy kapitálových transferov bolo zo zdrojo</w:t>
      </w:r>
      <w:r w:rsidR="00544916">
        <w:t>v EÚ použitých 825 970 tis. eur</w:t>
      </w:r>
      <w:r w:rsidR="00544916">
        <w:br/>
      </w:r>
      <w:r w:rsidRPr="00D67952">
        <w:t xml:space="preserve">a zo zdroja ŠR 813 372 tis. eur (spolufinancovanie v sume 123 109 tis. eur). </w:t>
      </w:r>
    </w:p>
    <w:p w14:paraId="010C99D2" w14:textId="47E7C7BD" w:rsidR="00EA177A" w:rsidRPr="00D67952" w:rsidRDefault="00EA177A" w:rsidP="00EA177A">
      <w:r w:rsidRPr="00D67952">
        <w:rPr>
          <w:b/>
          <w:i/>
        </w:rPr>
        <w:t>Transfery v rámci verejnej správy</w:t>
      </w:r>
      <w:r w:rsidRPr="00D67952">
        <w:t xml:space="preserve"> tvorili 1 228 162 tis. </w:t>
      </w:r>
      <w:r w:rsidR="00544916">
        <w:t>eur (2018: 1 319 259 tis. eur),</w:t>
      </w:r>
      <w:r w:rsidR="00544916">
        <w:br/>
      </w:r>
      <w:r w:rsidRPr="00D67952">
        <w:t xml:space="preserve">čo predstavuje až 69,7 % z celkových kapitálových transferov. Ministerstvo dopravy a výstavby SR poskytlo transfer v celkovej hodnote 600 074 tis. eur, a to najmä Národnej diaľničnej spoločnosti, a. s., Železniciam SR a Železničnej spoločnosti Slovensko, a. s. Transfery určené </w:t>
      </w:r>
      <w:r w:rsidRPr="00D67952">
        <w:rPr>
          <w:i/>
          <w:u w:val="single"/>
        </w:rPr>
        <w:t>Národnej diaľničnej spoločnosti, a. s.</w:t>
      </w:r>
      <w:r w:rsidRPr="00D67952">
        <w:t xml:space="preserve"> boli v hodnote 403 065 tis. eur, pričom išlo o finančnú dotáciu v rámci programu Integrovaná infraštruktúra na investičné akcie napr. D1 Prešov, západ-Prešov, juh (99 350 tis. eur), R2 Šaca-Košické Oľšany (74 312 tis. eur), D1 Budimír – Bidovce (48 407 tis. eur), D1 Lietavská Lúčka – Višňové – </w:t>
      </w:r>
      <w:proofErr w:type="spellStart"/>
      <w:r w:rsidRPr="00D67952">
        <w:t>Dubná</w:t>
      </w:r>
      <w:proofErr w:type="spellEnd"/>
      <w:r w:rsidRPr="00D67952">
        <w:t xml:space="preserve"> Skala (15 974 tis. eur) a ďalšie. </w:t>
      </w:r>
      <w:r w:rsidRPr="00D67952">
        <w:rPr>
          <w:i/>
          <w:u w:val="single"/>
        </w:rPr>
        <w:t>Železniciam SR</w:t>
      </w:r>
      <w:r w:rsidRPr="00D67952">
        <w:t xml:space="preserve"> boli poskytnuté transfery v sume 131 675 tis. eur, z toho predovšetkým na modernizáciu železničnej trate Púchov-Žilina, pre traťovú rýchlosť do 160 km/hod (81 878 tis. eur). </w:t>
      </w:r>
      <w:r w:rsidRPr="00D67952">
        <w:rPr>
          <w:i/>
          <w:u w:val="single"/>
        </w:rPr>
        <w:t xml:space="preserve">Železničnej spoločnosti Slovensko, a. s. </w:t>
      </w:r>
      <w:r w:rsidRPr="00D67952">
        <w:t xml:space="preserve">sa poskytli finančné prostriedky v sume 26 163 tis. eur v rámci operačného programu Integrovaná infraštruktúra hlavne na modernizáciu vozového parku železničných koľajových vozidiel a na obnovu vozidiel ozubnicovej železnice vo Vysokých Tatrách. </w:t>
      </w:r>
    </w:p>
    <w:p w14:paraId="5B75B54D" w14:textId="77777777" w:rsidR="00EA177A" w:rsidRPr="00D67952" w:rsidRDefault="00EA177A" w:rsidP="00EA177A">
      <w:r w:rsidRPr="00D67952">
        <w:rPr>
          <w:i/>
          <w:u w:val="single"/>
        </w:rPr>
        <w:t>Obciam</w:t>
      </w:r>
      <w:r w:rsidRPr="00D67952">
        <w:t xml:space="preserve"> bolo poskytnutých 305 671 tis. eur (2018: 351 293 tis. eur). Najvyššími sumami sa na transferoch obciam podieľali Ministerstvo životného prostredia SR (95 490 tis. eur), Ministerstvo pôdohospodárstva a rozvoja vidieka SR (83 197 tis. eur), Všeobecná pokladničná správa (50 120 tis. eur), Ministerstvo dopravy a výstavby SR (33 305 tis. eur) a Ministerstvo vnútra SR (23 650 tis. eur). </w:t>
      </w:r>
    </w:p>
    <w:p w14:paraId="4DB924AA" w14:textId="77777777" w:rsidR="00EA177A" w:rsidRPr="00D67952" w:rsidRDefault="00EA177A" w:rsidP="00EA177A">
      <w:r w:rsidRPr="0030128A">
        <w:t xml:space="preserve">Ministerstvo životného prostredia SR poskytlo transfery obciam v rámci operačného programu Kvalita životného prostredia, prioritnej osi Energeticky efektívne </w:t>
      </w:r>
      <w:proofErr w:type="spellStart"/>
      <w:r w:rsidRPr="0030128A">
        <w:t>nízkouhlíkové</w:t>
      </w:r>
      <w:proofErr w:type="spellEnd"/>
      <w:r w:rsidRPr="0030128A">
        <w:t xml:space="preserve"> hospodárstvo, napr. na dobudovanie, rekonštrukciu a modernizáciu kanalizačných sietí a čističiek odpadových vôd, na zníženie energetickej náročnosti budov, na zvyšovanie energetickej efektívnosti budov, na budovanie zberných dvorov, na protipovodňovú ochranu obcí a pod.</w:t>
      </w:r>
      <w:r w:rsidRPr="00D67952">
        <w:t xml:space="preserve"> </w:t>
      </w:r>
    </w:p>
    <w:p w14:paraId="52C05CF5" w14:textId="77777777" w:rsidR="00EA177A" w:rsidRPr="00D67952" w:rsidRDefault="00EA177A" w:rsidP="00EA177A">
      <w:pPr>
        <w:rPr>
          <w:bCs/>
        </w:rPr>
      </w:pPr>
      <w:r w:rsidRPr="00D67952">
        <w:t>Transfery Ministerstva pôdohospodárstva a rozvoja vidieka SR boli poskytnuté formou nenávratných finančných príspevkov z</w:t>
      </w:r>
      <w:r w:rsidRPr="00D67952">
        <w:rPr>
          <w:bCs/>
        </w:rPr>
        <w:t xml:space="preserve"> Európskeho poľnohospodárskeho fondu pre rozvoj vidieka v sume 34 376 tis. eur a z Európskeho fondu regionálneho rozvoja (EFRR) v sume 48 821 tis. eur. Išlo o investície do infraštruktúry súvisiacej s modernizáciou poľnohospodárstva a lesného hospodárstva, do vytvárania a rozširovania miestnych základných služieb pre vidiecke obyvateľstvo, investície do rekreačnej infraštruktúry, na obnovu lesov poškodených požiarmi a prírodnými katastrofami. </w:t>
      </w:r>
    </w:p>
    <w:p w14:paraId="38BAFC9E" w14:textId="77777777" w:rsidR="00EA177A" w:rsidRPr="00D67952" w:rsidRDefault="00EA177A" w:rsidP="00EA177A">
      <w:pPr>
        <w:rPr>
          <w:bCs/>
        </w:rPr>
      </w:pPr>
      <w:r w:rsidRPr="00D67952">
        <w:rPr>
          <w:bCs/>
        </w:rPr>
        <w:t>Z EFRR boli poskytnuté nenávratné finančné prostriedky v rámci Integrovaného regionálneho operačného programu 2014 - 2020 na ľahší prístup k efektívnym a kvalitnejším službám (23 698 tis. eur), na bezpečnú a ekologickú dopravu v regiónoch (17 500 tis. eur), na zlepšenie kvality života v regiónoch (6 073 tis. eur) a ďalšie.</w:t>
      </w:r>
    </w:p>
    <w:p w14:paraId="787A1C87" w14:textId="77777777" w:rsidR="00EA177A" w:rsidRPr="00D67952" w:rsidRDefault="00EA177A" w:rsidP="00EA177A">
      <w:r w:rsidRPr="00D67952">
        <w:t>Všeobecná pokladničná správa poskytla finančné prostriedky predovšetkým na akčné plány rozvoja okresov (2</w:t>
      </w:r>
      <w:r>
        <w:t>3</w:t>
      </w:r>
      <w:r w:rsidRPr="00D67952">
        <w:t> </w:t>
      </w:r>
      <w:r>
        <w:t>195</w:t>
      </w:r>
      <w:r w:rsidRPr="00D67952">
        <w:t> tis. eur), pre individuálne potreby obcí (6 890 tis. eur), na záchranu a obnovu kultúrnych pamiatok (Banská Štiavnica, Bardejov, Levoča, Kremnica, Martin, Vysoké Tatry, Spišské Podhradie a pod.</w:t>
      </w:r>
      <w:r>
        <w:t>).</w:t>
      </w:r>
      <w:r w:rsidRPr="00D67952">
        <w:t xml:space="preserve"> </w:t>
      </w:r>
    </w:p>
    <w:p w14:paraId="7FA54CCB" w14:textId="77777777" w:rsidR="00EA177A" w:rsidRPr="00D67952" w:rsidRDefault="00EA177A" w:rsidP="00EA177A">
      <w:r w:rsidRPr="00D67952">
        <w:t>Ministerstvo dopravy a výstavby SR poskytlo finančné prostriedky v rámci programu Výstavba a obnova bytového fondu na obstaranie nájomných bytov na účel sociálneho bývania (18 140 tis. eur), na obstaranie technickej vybavenost</w:t>
      </w:r>
      <w:r>
        <w:t>i (1 199 tis. eur)</w:t>
      </w:r>
      <w:r w:rsidRPr="00D67952">
        <w:t xml:space="preserve"> v rámci programu Verejná osobná doprava na modernizáciu električkových tratí v Košiciach 2. etapa - 1. časť (13 021 tis. eur) a pod.</w:t>
      </w:r>
    </w:p>
    <w:p w14:paraId="037FFB5D" w14:textId="226650F5" w:rsidR="00EA177A" w:rsidRPr="00D67952" w:rsidRDefault="00EA177A" w:rsidP="00EA177A">
      <w:r w:rsidRPr="00D67952">
        <w:rPr>
          <w:i/>
          <w:u w:val="single"/>
        </w:rPr>
        <w:t>Príspevkovým organizáciám</w:t>
      </w:r>
      <w:r w:rsidRPr="00D67952">
        <w:t xml:space="preserve"> bolo poskytnutých 254 654 tis. eur. Najviac prostriedkov poskytlo Ministerstvo zdravotníctva SR (152 033 tis. eur), Úrad podp</w:t>
      </w:r>
      <w:r w:rsidR="00544916">
        <w:t>redsedu vlády SR pre investície</w:t>
      </w:r>
      <w:r w:rsidR="00544916">
        <w:br/>
      </w:r>
      <w:r w:rsidRPr="00D67952">
        <w:t>a informatizáciu (36 560 tis. eur), Ministerstvo životného prostredia SR (27 163 tis. eur), Ministerstvo kultúry SR (21 894 tis. eur) a Ministerstvo pôdohospodárstva a rozvoja vidieka SR (13 257 tis. eur).</w:t>
      </w:r>
    </w:p>
    <w:p w14:paraId="5FDADCC0" w14:textId="77777777" w:rsidR="00EA177A" w:rsidRPr="00D67952" w:rsidRDefault="00EA177A" w:rsidP="00EA177A">
      <w:r w:rsidRPr="00D67952">
        <w:t>Ministerstvo zdravotníctva SR poskytlo transfery organizáciám kapitoly, ale aj príspevkovým organizáciám mimo pôsobnosti ministerstva napr. Slovenskej akadémii vied. Prostriedky poskytnuté zdravotníckym zariadeniam boli predovšetkým určené na rekonštrukciu, stavebné úpravy a modernizáci</w:t>
      </w:r>
      <w:r>
        <w:t>u priestorov a budov</w:t>
      </w:r>
      <w:r w:rsidRPr="00D67952">
        <w:t>, na obstaranie</w:t>
      </w:r>
      <w:r>
        <w:t xml:space="preserve"> nového prístrojového vybavenia</w:t>
      </w:r>
      <w:r w:rsidRPr="00D67952">
        <w:t>, a to najmä Univerzitnej nemocnici Bratislava (39 933 tis. eur), Fak</w:t>
      </w:r>
      <w:r>
        <w:t>ultnej nemocnici s poliklinikou</w:t>
      </w:r>
      <w:r>
        <w:br/>
      </w:r>
      <w:r w:rsidRPr="00D67952">
        <w:t xml:space="preserve">J. A. </w:t>
      </w:r>
      <w:proofErr w:type="spellStart"/>
      <w:r w:rsidRPr="00D67952">
        <w:t>Reimana</w:t>
      </w:r>
      <w:proofErr w:type="spellEnd"/>
      <w:r w:rsidRPr="00D67952">
        <w:t xml:space="preserve"> Prešov (15 566 tis. eur), Národnému ústavu detských chorôb Bratislava (15 189 tis. eur). </w:t>
      </w:r>
    </w:p>
    <w:p w14:paraId="6A5393E7" w14:textId="43A4080E" w:rsidR="00EA177A" w:rsidRPr="00D67952" w:rsidRDefault="00EA177A" w:rsidP="00EA177A">
      <w:r w:rsidRPr="00D67952">
        <w:t>Úrad podpredsedu vlády SR pre investície a informatizáciu poskytol transfer Národnej agentúre pre sieťové a elektronické služby (NASES). Išlo o výdavky určené na zvýšenie kybernetic</w:t>
      </w:r>
      <w:r w:rsidR="00E96903">
        <w:t>kej bezpečnosti vládnej siete GOVNET</w:t>
      </w:r>
      <w:r w:rsidRPr="00D67952">
        <w:t xml:space="preserve"> (26 300 tis. eur), na rozvoj ústredného portálu verejnej správy, napr. licencie, softvér, hardvér (6 203 tis. eur) a pre Národný systém riadenia incidentov kybernetickej bezpečnosti vo verejnej správe (3 339 tis. eur).</w:t>
      </w:r>
    </w:p>
    <w:p w14:paraId="1016511F" w14:textId="574D8927" w:rsidR="00544916" w:rsidRDefault="00EA177A" w:rsidP="00BF0EB7">
      <w:r w:rsidRPr="00D67952">
        <w:t xml:space="preserve">Ministerstvo životného prostredia SR poskytlo transfer v rámci programu Kvalita životného prostredia pre Slovenský hydrometeorologický ústav (13 363 tis. eur) a pre Výskumný ústav vodného hospodárstva (2 797 tis. eur). Národná zoologická záhrada Bojnice čerpala finančné prostriedky (3 205 tis. eur) na exteriérový výbeh a okolie areálu africkej fauny a na dobudovanie vstupného areálu. </w:t>
      </w:r>
    </w:p>
    <w:p w14:paraId="68AC8B4B" w14:textId="4A3C8DBC" w:rsidR="00EA177A" w:rsidRPr="00D67952" w:rsidRDefault="00EA177A" w:rsidP="00EA177A">
      <w:pPr>
        <w:rPr>
          <w:lang w:eastAsia="sk-SK"/>
        </w:rPr>
      </w:pPr>
      <w:r w:rsidRPr="00D67952">
        <w:t xml:space="preserve">Kapitola Ministerstva kultúry SR poskytla transfery predovšetkým </w:t>
      </w:r>
      <w:r w:rsidRPr="00D67952">
        <w:rPr>
          <w:lang w:eastAsia="sk-SK"/>
        </w:rPr>
        <w:t xml:space="preserve">pre Slovenskú národnú galériu (4 018 tis. eur) </w:t>
      </w:r>
      <w:r w:rsidRPr="00D67952">
        <w:t xml:space="preserve">na vybavenie laboratórnej techniky na ošetrenie a starostlivosť o zbierkový fond a na rekonštrukciu a modernizáciu galérie, pre </w:t>
      </w:r>
      <w:r w:rsidRPr="00D67952">
        <w:rPr>
          <w:lang w:eastAsia="sk-SK"/>
        </w:rPr>
        <w:t xml:space="preserve">Slovenské národné múzeum (1 262 tis. eur) </w:t>
      </w:r>
      <w:r w:rsidRPr="00D67952">
        <w:t xml:space="preserve">na obstaranie laboratórnych prístrojov a špeciálnej techniky pre laboratória múzea v Martine, pre tanečné divadlo </w:t>
      </w:r>
      <w:proofErr w:type="spellStart"/>
      <w:r w:rsidRPr="00D67952">
        <w:t>Ifjú</w:t>
      </w:r>
      <w:proofErr w:type="spellEnd"/>
      <w:r w:rsidRPr="00D67952">
        <w:t xml:space="preserve"> </w:t>
      </w:r>
      <w:proofErr w:type="spellStart"/>
      <w:r w:rsidRPr="00D67952">
        <w:t>Szivék</w:t>
      </w:r>
      <w:proofErr w:type="spellEnd"/>
      <w:r w:rsidRPr="00D67952">
        <w:t xml:space="preserve"> (1 200 tis. eur) na rekonštrukciu a modernizáciu sídelnej budovy, pre Národné osvetové centrum (1 152 tis. eur) na projekt automatizácie procesov a zakúpenie serverovej licencie CAIR</w:t>
      </w:r>
      <w:r w:rsidRPr="00D67952">
        <w:rPr>
          <w:lang w:eastAsia="sk-SK"/>
        </w:rPr>
        <w:t xml:space="preserve"> a ďalšie.</w:t>
      </w:r>
    </w:p>
    <w:p w14:paraId="3E68B40F" w14:textId="77777777" w:rsidR="00EA177A" w:rsidRPr="00D67952" w:rsidRDefault="00EA177A" w:rsidP="00EA177A">
      <w:r>
        <w:rPr>
          <w:i/>
          <w:u w:val="single"/>
        </w:rPr>
        <w:t>Vyšším</w:t>
      </w:r>
      <w:r w:rsidRPr="00D67952">
        <w:rPr>
          <w:i/>
          <w:u w:val="single"/>
        </w:rPr>
        <w:t xml:space="preserve"> územn</w:t>
      </w:r>
      <w:r>
        <w:rPr>
          <w:i/>
          <w:u w:val="single"/>
        </w:rPr>
        <w:t>ým</w:t>
      </w:r>
      <w:r w:rsidRPr="00D67952">
        <w:rPr>
          <w:i/>
          <w:u w:val="single"/>
        </w:rPr>
        <w:t xml:space="preserve"> celk</w:t>
      </w:r>
      <w:r>
        <w:rPr>
          <w:i/>
          <w:u w:val="single"/>
        </w:rPr>
        <w:t>om</w:t>
      </w:r>
      <w:r w:rsidRPr="00D67952">
        <w:t xml:space="preserve"> boli poskytnuté transfery v celkovej hodnote 52 811 tis. eur, z toho najviac poskytlo Ministerstvo pôdohospodárstva a rozvoja vidieka SR (46 729 tis. eur) prostredníctvom nenávratných finančných prostriedkov z Európskeho fondu regionálneho rozvoja predovšetkým na bezpečnú a  ekologickú dopravu v regiónoch (41 148 tis. eur) a na ľahší prístup k efektívnym a kvalitnejším službám (3 124 tis. eur).</w:t>
      </w:r>
    </w:p>
    <w:p w14:paraId="51D067EF" w14:textId="77777777" w:rsidR="00EA177A" w:rsidRPr="00D67952" w:rsidRDefault="00EA177A" w:rsidP="00EA177A">
      <w:r w:rsidRPr="00D67952">
        <w:t xml:space="preserve">Transfery </w:t>
      </w:r>
      <w:r w:rsidRPr="00D67952">
        <w:rPr>
          <w:i/>
          <w:u w:val="single"/>
        </w:rPr>
        <w:t>verejn</w:t>
      </w:r>
      <w:r>
        <w:rPr>
          <w:i/>
          <w:u w:val="single"/>
        </w:rPr>
        <w:t>ým</w:t>
      </w:r>
      <w:r w:rsidRPr="00D67952">
        <w:rPr>
          <w:i/>
          <w:u w:val="single"/>
        </w:rPr>
        <w:t xml:space="preserve"> vysok</w:t>
      </w:r>
      <w:r>
        <w:rPr>
          <w:i/>
          <w:u w:val="single"/>
        </w:rPr>
        <w:t>ým</w:t>
      </w:r>
      <w:r w:rsidRPr="00D67952">
        <w:rPr>
          <w:i/>
          <w:u w:val="single"/>
        </w:rPr>
        <w:t xml:space="preserve"> škol</w:t>
      </w:r>
      <w:r>
        <w:rPr>
          <w:i/>
          <w:u w:val="single"/>
        </w:rPr>
        <w:t>ám</w:t>
      </w:r>
      <w:r w:rsidRPr="00D67952">
        <w:t xml:space="preserve"> boli v sume 31 939 tis. eur, z toho najviac poskytla kapitola Ministerstva školstva, vedy, výskumu a športu SR napr. na rekonštrukcie študentských domovov (14 409 tis. eur) a iné.</w:t>
      </w:r>
    </w:p>
    <w:p w14:paraId="4330166A" w14:textId="77777777" w:rsidR="00EA177A" w:rsidRPr="00D67952" w:rsidRDefault="00EA177A" w:rsidP="00EA177A">
      <w:r w:rsidRPr="00D67952">
        <w:t>Transfery</w:t>
      </w:r>
      <w:r w:rsidRPr="00D67952">
        <w:rPr>
          <w:b/>
          <w:i/>
        </w:rPr>
        <w:t xml:space="preserve"> nefinančným subjektom </w:t>
      </w:r>
      <w:r w:rsidRPr="00D67952">
        <w:t>tvorili 465 570 tis. eur, čo predstavuje 26,4 % z celkovej výšky kapitálových transferov. Najvyššiu hodnotu vykazovali kapitoly Ministerstva hospodárstva SR (168 449 tis. eur), Ministerstva životného prostredia SR (159 572 tis. eur) a Ministerstva pôdohospodárstva a rozvoja vidieka SR (116 498 tis. eur).</w:t>
      </w:r>
    </w:p>
    <w:p w14:paraId="26D8AB23" w14:textId="77777777" w:rsidR="00EA177A" w:rsidRPr="00D67952" w:rsidRDefault="00EA177A" w:rsidP="00EA177A">
      <w:r w:rsidRPr="00D67952">
        <w:t xml:space="preserve">Transfery Ministerstva hospodárstva SR </w:t>
      </w:r>
      <w:r w:rsidRPr="00D67952">
        <w:rPr>
          <w:i/>
        </w:rPr>
        <w:t>ostatn</w:t>
      </w:r>
      <w:r>
        <w:rPr>
          <w:i/>
        </w:rPr>
        <w:t>ým</w:t>
      </w:r>
      <w:r w:rsidRPr="00D67952">
        <w:rPr>
          <w:i/>
        </w:rPr>
        <w:t xml:space="preserve"> právnick</w:t>
      </w:r>
      <w:r>
        <w:rPr>
          <w:i/>
        </w:rPr>
        <w:t>ým</w:t>
      </w:r>
      <w:r w:rsidRPr="00D67952">
        <w:rPr>
          <w:i/>
        </w:rPr>
        <w:t xml:space="preserve"> osob</w:t>
      </w:r>
      <w:r>
        <w:rPr>
          <w:i/>
        </w:rPr>
        <w:t>ám</w:t>
      </w:r>
      <w:r w:rsidRPr="00D67952">
        <w:t xml:space="preserve"> vo výške 166 191 tis. eur boli poskytnuté predovšetkým v rámci operačného programu Rozvoj priemyslu a podpora podnikania </w:t>
      </w:r>
      <w:r>
        <w:rPr>
          <w:color w:val="000000"/>
        </w:rPr>
        <w:t xml:space="preserve">priamo investorovi </w:t>
      </w:r>
      <w:r w:rsidRPr="00D67952">
        <w:t xml:space="preserve">na </w:t>
      </w:r>
      <w:r>
        <w:rPr>
          <w:color w:val="000000"/>
        </w:rPr>
        <w:t xml:space="preserve">založenie novej globálnej výrobnej prevádzky </w:t>
      </w:r>
      <w:proofErr w:type="spellStart"/>
      <w:r>
        <w:rPr>
          <w:color w:val="000000"/>
        </w:rPr>
        <w:t>Jaguar</w:t>
      </w:r>
      <w:proofErr w:type="spellEnd"/>
      <w:r>
        <w:rPr>
          <w:color w:val="000000"/>
        </w:rPr>
        <w:t xml:space="preserve"> </w:t>
      </w:r>
      <w:proofErr w:type="spellStart"/>
      <w:r>
        <w:rPr>
          <w:color w:val="000000"/>
        </w:rPr>
        <w:t>Land</w:t>
      </w:r>
      <w:proofErr w:type="spellEnd"/>
      <w:r>
        <w:rPr>
          <w:color w:val="000000"/>
        </w:rPr>
        <w:t xml:space="preserve"> </w:t>
      </w:r>
      <w:proofErr w:type="spellStart"/>
      <w:r>
        <w:rPr>
          <w:color w:val="000000"/>
        </w:rPr>
        <w:t>Rover</w:t>
      </w:r>
      <w:proofErr w:type="spellEnd"/>
      <w:r>
        <w:rPr>
          <w:color w:val="000000"/>
        </w:rPr>
        <w:t xml:space="preserve"> </w:t>
      </w:r>
      <w:r w:rsidRPr="00D67952">
        <w:t>(65 42</w:t>
      </w:r>
      <w:r>
        <w:t>0</w:t>
      </w:r>
      <w:r w:rsidRPr="00D67952">
        <w:t> tis. eur)</w:t>
      </w:r>
      <w:r>
        <w:t xml:space="preserve"> </w:t>
      </w:r>
      <w:r>
        <w:rPr>
          <w:color w:val="000000"/>
        </w:rPr>
        <w:t>na výrobu osobných automobilov s využitím špičkových technológií a procesov</w:t>
      </w:r>
      <w:r w:rsidRPr="00D67952">
        <w:t>, ďalej v programe Výskum a inovácie, najmä za účelom podpory výskumu, vývoja a inovácií (49 462 tis. eur) a na</w:t>
      </w:r>
      <w:r w:rsidRPr="00D67952">
        <w:rPr>
          <w:color w:val="FF0000"/>
        </w:rPr>
        <w:t xml:space="preserve"> </w:t>
      </w:r>
      <w:r w:rsidRPr="00D67952">
        <w:t>posilnenie konkurencieschopnosti a rastu malých a stredných podnikateľov (36 921 tis. eur).</w:t>
      </w:r>
    </w:p>
    <w:p w14:paraId="612A3441" w14:textId="77777777" w:rsidR="00EA177A" w:rsidRPr="00D67952" w:rsidRDefault="00EA177A" w:rsidP="00EA177A">
      <w:r w:rsidRPr="00D67952">
        <w:t xml:space="preserve">Ministerstvo životného prostredia SR poskytlo transfery v sume 86 877 tis. eur v rámci programu Ochrana životného prostredia, najviac spoločnosti U. S. Steel Košice (41 704 tis. eur) na zníženie znečisťovania ovzdušia a zlepšenie jeho kvality, </w:t>
      </w:r>
      <w:r>
        <w:t xml:space="preserve">spoločnosti </w:t>
      </w:r>
      <w:r w:rsidRPr="00D67952">
        <w:t>Severoslovensk</w:t>
      </w:r>
      <w:r>
        <w:t>é</w:t>
      </w:r>
      <w:r w:rsidRPr="00D67952">
        <w:rPr>
          <w:color w:val="FF0000"/>
        </w:rPr>
        <w:t xml:space="preserve"> </w:t>
      </w:r>
      <w:r>
        <w:t>vodárne</w:t>
      </w:r>
      <w:r w:rsidRPr="00D67952">
        <w:t xml:space="preserve"> a</w:t>
      </w:r>
      <w:r>
        <w:t> </w:t>
      </w:r>
      <w:r w:rsidRPr="00D67952">
        <w:t>kanalizáci</w:t>
      </w:r>
      <w:r>
        <w:t>e, a. s.</w:t>
      </w:r>
      <w:r w:rsidRPr="00D67952">
        <w:t xml:space="preserve"> (22 070 tis. eur) na zásobovanie vodou, </w:t>
      </w:r>
      <w:proofErr w:type="spellStart"/>
      <w:r w:rsidRPr="00D67952">
        <w:t>odkanalizovanie</w:t>
      </w:r>
      <w:proofErr w:type="spellEnd"/>
      <w:r w:rsidRPr="00D67952">
        <w:t xml:space="preserve"> a čistenie odpadových vô</w:t>
      </w:r>
      <w:r>
        <w:t xml:space="preserve">d regiónu Stredné Kysuce a pod. </w:t>
      </w:r>
      <w:r w:rsidRPr="00D67952">
        <w:rPr>
          <w:i/>
          <w:u w:val="single"/>
        </w:rPr>
        <w:t>Právnick</w:t>
      </w:r>
      <w:r>
        <w:rPr>
          <w:i/>
          <w:u w:val="single"/>
        </w:rPr>
        <w:t>ým</w:t>
      </w:r>
      <w:r w:rsidRPr="00D67952">
        <w:rPr>
          <w:i/>
          <w:u w:val="single"/>
        </w:rPr>
        <w:t xml:space="preserve"> osob</w:t>
      </w:r>
      <w:r>
        <w:rPr>
          <w:i/>
          <w:u w:val="single"/>
        </w:rPr>
        <w:t>ám</w:t>
      </w:r>
      <w:r w:rsidRPr="00D67952">
        <w:rPr>
          <w:i/>
          <w:u w:val="single"/>
        </w:rPr>
        <w:t xml:space="preserve"> založen</w:t>
      </w:r>
      <w:r>
        <w:rPr>
          <w:i/>
          <w:u w:val="single"/>
        </w:rPr>
        <w:t>ým</w:t>
      </w:r>
      <w:r w:rsidRPr="00D67952">
        <w:rPr>
          <w:i/>
          <w:u w:val="single"/>
        </w:rPr>
        <w:t xml:space="preserve"> štátom, obcou, alebo vyšším územným celkom</w:t>
      </w:r>
      <w:r w:rsidRPr="00D67952">
        <w:t xml:space="preserve"> boli poskytnuté prostriedky v sume 72 360 tis. eur. Išlo predovšetkým o transfery vodárenským spoločnostiam v rámci programu Ochrana životného prostredia, spoločnostiam na výstavbu a rekonštrukciu kanalizácií a čističiek odpadových vôd (Stredoslovenská vodárenská</w:t>
      </w:r>
      <w:r>
        <w:t xml:space="preserve"> spoločnosť, a. s.</w:t>
      </w:r>
      <w:r w:rsidRPr="00D67952">
        <w:t xml:space="preserve"> 29 272 tis. eur, Slovenský vodohospodársky podnik</w:t>
      </w:r>
      <w:r>
        <w:t>, š. p.</w:t>
      </w:r>
      <w:r w:rsidRPr="00D67952">
        <w:t xml:space="preserve"> 12 895 tis. eur, Východoslovenská vodárenská</w:t>
      </w:r>
      <w:r>
        <w:t xml:space="preserve"> spoločnosť, a. s.</w:t>
      </w:r>
      <w:r w:rsidRPr="00D67952">
        <w:t xml:space="preserve"> 11 744 tis. eur, a ďalšie). </w:t>
      </w:r>
    </w:p>
    <w:p w14:paraId="2B2399F3" w14:textId="77777777" w:rsidR="00EA177A" w:rsidRPr="00D67952" w:rsidRDefault="00EA177A" w:rsidP="00EA177A">
      <w:r w:rsidRPr="00D67952">
        <w:t xml:space="preserve">Ministerstvo pôdohospodárstva a rozvoja vidieka SR poskytlo </w:t>
      </w:r>
      <w:r w:rsidRPr="00D67952">
        <w:rPr>
          <w:i/>
          <w:u w:val="single"/>
        </w:rPr>
        <w:t>ostatn</w:t>
      </w:r>
      <w:r>
        <w:rPr>
          <w:i/>
          <w:u w:val="single"/>
        </w:rPr>
        <w:t>ým</w:t>
      </w:r>
      <w:r w:rsidRPr="00D67952">
        <w:rPr>
          <w:i/>
          <w:u w:val="single"/>
        </w:rPr>
        <w:t xml:space="preserve"> právnick</w:t>
      </w:r>
      <w:r>
        <w:rPr>
          <w:i/>
          <w:u w:val="single"/>
        </w:rPr>
        <w:t>ým</w:t>
      </w:r>
      <w:r w:rsidRPr="00D67952">
        <w:rPr>
          <w:i/>
          <w:u w:val="single"/>
        </w:rPr>
        <w:t xml:space="preserve"> osob</w:t>
      </w:r>
      <w:r>
        <w:rPr>
          <w:i/>
          <w:u w:val="single"/>
        </w:rPr>
        <w:t>ám</w:t>
      </w:r>
      <w:r w:rsidRPr="00D67952">
        <w:t xml:space="preserve"> nenávratné finančné príspevky z Európskeho poľnohospodárskeho fondu pre rozvoj vidieka 2014-2020 a z Európskeho fondu regionálneho rozvoja 2014-2020 v celkovej sume 106 004 tis. eur. Išlo napr. o p</w:t>
      </w:r>
      <w:r w:rsidRPr="00D67952">
        <w:rPr>
          <w:bCs/>
        </w:rPr>
        <w:t>odporu na investície do poľnohospodárskych podnikov (33 799 tis. eur), na investície na spracovanie, uvádzanie na trh alebo vývoj poľnohospodárskych výrobkov (34 376 tis. eur), na investície do vytvárania a rozvoja nepoľnohospodárskych činností v sume 16 746 tis. eur) a pod.</w:t>
      </w:r>
    </w:p>
    <w:p w14:paraId="0FD5CE2E" w14:textId="77777777" w:rsidR="00EA177A" w:rsidRPr="00D67952" w:rsidRDefault="00EA177A" w:rsidP="00EA177A">
      <w:r w:rsidRPr="00D67952">
        <w:rPr>
          <w:b/>
          <w:i/>
        </w:rPr>
        <w:t>Transfery jednotlivcom a neziskovým právnickým osobám</w:t>
      </w:r>
      <w:r w:rsidRPr="00D67952">
        <w:t xml:space="preserve"> boli poskytnuté vo výške 65 711 tis. eur (2018: 22 417 tis. eur), z toho </w:t>
      </w:r>
      <w:r w:rsidRPr="00D67952">
        <w:rPr>
          <w:i/>
          <w:u w:val="single"/>
        </w:rPr>
        <w:t>občianskym združeniam, nadáciám a neinvestičným fondom</w:t>
      </w:r>
      <w:r w:rsidRPr="00D67952">
        <w:t xml:space="preserve"> 41 262 tis. eur (2018: 8 563 tis. eur), pričom najviac prostriedkov poskytlo Ministerstvo školstva, vedy, výskumu a športu SR (25 820 tis. eur) napr. Slovenskému futbalovému zväzu na rekonštrukciu, modernizáciu a výstavbu futbalových štadiónov (3 400 tis. eur), na výstavbu, modernizáciu a rekonštrukciu športovej infraštruktúr</w:t>
      </w:r>
      <w:r>
        <w:t>y</w:t>
      </w:r>
      <w:r w:rsidRPr="00D67952">
        <w:t xml:space="preserve"> národného významu Slovenskému futbalovému zväzu (7 500 tis. eur), Slovenskému zväzu ľadového hokeja (2 000 tis. eur), Slovenskému olympijskému a športovému výboru (3 000 tis. eur), Slovenskému atletickému zväzu (5 000 tis. eur) a ďalším.</w:t>
      </w:r>
    </w:p>
    <w:p w14:paraId="18537874" w14:textId="77777777" w:rsidR="00EA177A" w:rsidRPr="00D67952" w:rsidRDefault="00EA177A" w:rsidP="00EA177A">
      <w:r w:rsidRPr="00D67952">
        <w:t>Všeobecná pokladničná správa poskytla transfer v celkovej sume 12 947 tis. eur, predovšetkým Slovenskému zväzu ľadového hokeja (6 000 tis. eur) a Slovenskému futbalovému zväzu (5 400 tis. eur).</w:t>
      </w:r>
    </w:p>
    <w:p w14:paraId="249F28A3" w14:textId="5540C764" w:rsidR="00EA177A" w:rsidRDefault="00EA177A" w:rsidP="00EA177A">
      <w:r w:rsidRPr="00D67952">
        <w:rPr>
          <w:b/>
          <w:i/>
        </w:rPr>
        <w:t>Transfery do zahraničia</w:t>
      </w:r>
      <w:r w:rsidRPr="00D67952">
        <w:t xml:space="preserve"> tvorili 3 009 tis. eur, pričom celú sumu predstavoval príspevok Ministerstva pôdohospodárstva a rozvoja vidieka SR. Išlo o poskytnutie nenávratných finančných prostriedkov z Európskeho fondu regionálneho rozvoja prostredníctvom Operačného programu cezhraničnej spolupráce </w:t>
      </w:r>
      <w:proofErr w:type="spellStart"/>
      <w:r w:rsidRPr="00D67952">
        <w:t>Interreg</w:t>
      </w:r>
      <w:proofErr w:type="spellEnd"/>
      <w:r w:rsidRPr="00D67952">
        <w:t xml:space="preserve"> V-A Slovensko – Česká republika</w:t>
      </w:r>
    </w:p>
    <w:p w14:paraId="44FAD5F4" w14:textId="77777777" w:rsidR="00532A8E" w:rsidRPr="00EA177A" w:rsidRDefault="00532A8E" w:rsidP="00EA177A"/>
    <w:p w14:paraId="3CC165ED" w14:textId="77777777" w:rsidR="00BF0EB7" w:rsidRDefault="00BF0EB7">
      <w:pPr>
        <w:spacing w:after="160" w:line="259" w:lineRule="auto"/>
        <w:jc w:val="left"/>
        <w:rPr>
          <w:rFonts w:eastAsiaTheme="majorEastAsia" w:cstheme="majorBidi"/>
          <w:b/>
          <w:szCs w:val="24"/>
        </w:rPr>
      </w:pPr>
      <w:bookmarkStart w:id="44" w:name="_Toc6415647"/>
      <w:r>
        <w:br w:type="page"/>
      </w:r>
    </w:p>
    <w:p w14:paraId="67549425" w14:textId="549394D4" w:rsidR="008254BE" w:rsidRDefault="008254BE" w:rsidP="00544916">
      <w:pPr>
        <w:pStyle w:val="Nadpis3"/>
      </w:pPr>
      <w:bookmarkStart w:id="45" w:name="_Toc39095178"/>
      <w:r>
        <w:t>Výdavky podľa funkčnej klasifikácie</w:t>
      </w:r>
      <w:bookmarkEnd w:id="44"/>
      <w:bookmarkEnd w:id="45"/>
    </w:p>
    <w:p w14:paraId="00EE4503" w14:textId="77777777" w:rsidR="00EA177A" w:rsidRPr="008A067C" w:rsidRDefault="00EA177A" w:rsidP="00EA177A">
      <w:r w:rsidRPr="008A067C">
        <w:t xml:space="preserve">Výdavky štátneho rozpočtu podľa funkčnej klasifikácie sa triedia v súlade s vyhláškou Štatistického úradu SR č. 257/2014 Z. z. (tzv. COFOG). Táto klasifikácia predstavuje rozdelenie výdavkov podľa funkcie, pričom funkciou sa rozumie určitá oblasť činností, ktorú daná organizácia financuje napr. oblasť školstva, zdravotníctva, kultúry, bezpečnosti a podobne. Výdavky sa triedia do tej funkcie, s ktorou súvisia, bez ohľadu na hlavný predmet činnosti samotnej organizácie. </w:t>
      </w:r>
    </w:p>
    <w:p w14:paraId="4FDA3E02" w14:textId="77777777" w:rsidR="00EA177A" w:rsidRDefault="00EA177A" w:rsidP="00EA177A">
      <w:r w:rsidRPr="000601FB">
        <w:t>Celkové výdavky podľa funkčnej klasifikácie sú zhodné s výdavkami podľa ekonomickej klasifikácie, sú však opisované z pohľadu činnosti, ktoré financujú rozpočtové organizácie štátnej správy. V prípade metodicky správneho uplatňovania tejto klasifikácie sú zdôvodnenia plnenia alebo prekročenia schváleného rozpočtu totožné s tými, ktoré sú uvedené v kapitole 3.2.1.</w:t>
      </w:r>
    </w:p>
    <w:p w14:paraId="65EEC7BB" w14:textId="77777777" w:rsidR="00532A8E" w:rsidRPr="000601FB" w:rsidRDefault="00532A8E" w:rsidP="00EA177A"/>
    <w:tbl>
      <w:tblPr>
        <w:tblW w:w="8520" w:type="dxa"/>
        <w:tblLayout w:type="fixed"/>
        <w:tblCellMar>
          <w:left w:w="70" w:type="dxa"/>
          <w:right w:w="70" w:type="dxa"/>
        </w:tblCellMar>
        <w:tblLook w:val="04A0" w:firstRow="1" w:lastRow="0" w:firstColumn="1" w:lastColumn="0" w:noHBand="0" w:noVBand="1"/>
      </w:tblPr>
      <w:tblGrid>
        <w:gridCol w:w="2460"/>
        <w:gridCol w:w="1280"/>
        <w:gridCol w:w="1070"/>
        <w:gridCol w:w="992"/>
        <w:gridCol w:w="1025"/>
        <w:gridCol w:w="960"/>
        <w:gridCol w:w="733"/>
      </w:tblGrid>
      <w:tr w:rsidR="00EA177A" w:rsidRPr="00D67952" w14:paraId="7906D8C8" w14:textId="77777777" w:rsidTr="009557B9">
        <w:trPr>
          <w:trHeight w:val="450"/>
        </w:trPr>
        <w:tc>
          <w:tcPr>
            <w:tcW w:w="8520" w:type="dxa"/>
            <w:gridSpan w:val="7"/>
            <w:tcBorders>
              <w:top w:val="nil"/>
              <w:left w:val="single" w:sz="8" w:space="0" w:color="auto"/>
              <w:bottom w:val="nil"/>
              <w:right w:val="nil"/>
            </w:tcBorders>
            <w:shd w:val="clear" w:color="000000" w:fill="000000"/>
            <w:vAlign w:val="center"/>
            <w:hideMark/>
          </w:tcPr>
          <w:p w14:paraId="0289BC3B" w14:textId="7F9B4B40" w:rsidR="00EA177A" w:rsidRPr="00D67952" w:rsidRDefault="00EA177A" w:rsidP="002C37B2">
            <w:pPr>
              <w:spacing w:after="0" w:line="240" w:lineRule="auto"/>
              <w:jc w:val="left"/>
              <w:rPr>
                <w:rFonts w:eastAsia="Times New Roman" w:cs="Times New Roman"/>
                <w:b/>
                <w:bCs/>
                <w:sz w:val="18"/>
                <w:szCs w:val="18"/>
                <w:lang w:eastAsia="sk-SK"/>
              </w:rPr>
            </w:pPr>
            <w:r w:rsidRPr="00D67952">
              <w:rPr>
                <w:rFonts w:eastAsia="Times New Roman" w:cs="Times New Roman"/>
                <w:b/>
                <w:bCs/>
                <w:sz w:val="18"/>
                <w:szCs w:val="18"/>
                <w:lang w:eastAsia="sk-SK"/>
              </w:rPr>
              <w:t>Výdavky štátneho rozpočtu podľa funkčnej klasifikácie                                                                          v tis. eur</w:t>
            </w:r>
          </w:p>
        </w:tc>
      </w:tr>
      <w:tr w:rsidR="00EA177A" w:rsidRPr="00D67952" w14:paraId="57143F03" w14:textId="77777777" w:rsidTr="009557B9">
        <w:trPr>
          <w:trHeight w:val="300"/>
        </w:trPr>
        <w:tc>
          <w:tcPr>
            <w:tcW w:w="2460" w:type="dxa"/>
            <w:tcBorders>
              <w:top w:val="nil"/>
              <w:left w:val="nil"/>
              <w:bottom w:val="nil"/>
              <w:right w:val="nil"/>
            </w:tcBorders>
            <w:shd w:val="clear" w:color="000000" w:fill="BFBFBF"/>
            <w:vAlign w:val="center"/>
            <w:hideMark/>
          </w:tcPr>
          <w:p w14:paraId="16B75717"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 </w:t>
            </w:r>
          </w:p>
        </w:tc>
        <w:tc>
          <w:tcPr>
            <w:tcW w:w="2350" w:type="dxa"/>
            <w:gridSpan w:val="2"/>
            <w:tcBorders>
              <w:top w:val="nil"/>
              <w:left w:val="nil"/>
              <w:bottom w:val="nil"/>
              <w:right w:val="nil"/>
            </w:tcBorders>
            <w:shd w:val="clear" w:color="000000" w:fill="BFBFBF"/>
            <w:vAlign w:val="center"/>
            <w:hideMark/>
          </w:tcPr>
          <w:p w14:paraId="1294BD17"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Skutočnosť</w:t>
            </w:r>
          </w:p>
        </w:tc>
        <w:tc>
          <w:tcPr>
            <w:tcW w:w="992" w:type="dxa"/>
            <w:tcBorders>
              <w:top w:val="nil"/>
              <w:left w:val="nil"/>
              <w:bottom w:val="nil"/>
              <w:right w:val="nil"/>
            </w:tcBorders>
            <w:shd w:val="clear" w:color="000000" w:fill="BFBFBF"/>
            <w:vAlign w:val="center"/>
            <w:hideMark/>
          </w:tcPr>
          <w:p w14:paraId="6F26C384"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Rozpočet</w:t>
            </w:r>
          </w:p>
        </w:tc>
        <w:tc>
          <w:tcPr>
            <w:tcW w:w="1025" w:type="dxa"/>
            <w:tcBorders>
              <w:top w:val="nil"/>
              <w:left w:val="nil"/>
              <w:bottom w:val="nil"/>
              <w:right w:val="nil"/>
            </w:tcBorders>
            <w:shd w:val="clear" w:color="000000" w:fill="BFBFBF"/>
            <w:vAlign w:val="center"/>
            <w:hideMark/>
          </w:tcPr>
          <w:p w14:paraId="3D278694"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Skutočnosť</w:t>
            </w:r>
          </w:p>
        </w:tc>
        <w:tc>
          <w:tcPr>
            <w:tcW w:w="1693" w:type="dxa"/>
            <w:gridSpan w:val="2"/>
            <w:tcBorders>
              <w:top w:val="nil"/>
              <w:left w:val="nil"/>
              <w:bottom w:val="nil"/>
              <w:right w:val="nil"/>
            </w:tcBorders>
            <w:shd w:val="clear" w:color="000000" w:fill="BFBFBF"/>
            <w:vAlign w:val="center"/>
            <w:hideMark/>
          </w:tcPr>
          <w:p w14:paraId="3062BDB3"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Rozdiel</w:t>
            </w:r>
          </w:p>
        </w:tc>
      </w:tr>
      <w:tr w:rsidR="00EA177A" w:rsidRPr="00D67952" w14:paraId="7E0EB697" w14:textId="77777777" w:rsidTr="009557B9">
        <w:trPr>
          <w:trHeight w:val="300"/>
        </w:trPr>
        <w:tc>
          <w:tcPr>
            <w:tcW w:w="2460" w:type="dxa"/>
            <w:tcBorders>
              <w:top w:val="nil"/>
              <w:left w:val="nil"/>
              <w:bottom w:val="nil"/>
              <w:right w:val="nil"/>
            </w:tcBorders>
            <w:shd w:val="clear" w:color="000000" w:fill="BFBFBF"/>
            <w:vAlign w:val="center"/>
            <w:hideMark/>
          </w:tcPr>
          <w:p w14:paraId="3EC23EC4"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 </w:t>
            </w:r>
          </w:p>
        </w:tc>
        <w:tc>
          <w:tcPr>
            <w:tcW w:w="1280" w:type="dxa"/>
            <w:tcBorders>
              <w:top w:val="nil"/>
              <w:left w:val="nil"/>
              <w:bottom w:val="nil"/>
              <w:right w:val="nil"/>
            </w:tcBorders>
            <w:shd w:val="clear" w:color="000000" w:fill="BFBFBF"/>
            <w:vAlign w:val="center"/>
            <w:hideMark/>
          </w:tcPr>
          <w:p w14:paraId="3CEEB587"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2017</w:t>
            </w:r>
          </w:p>
        </w:tc>
        <w:tc>
          <w:tcPr>
            <w:tcW w:w="1070" w:type="dxa"/>
            <w:tcBorders>
              <w:top w:val="nil"/>
              <w:left w:val="nil"/>
              <w:bottom w:val="nil"/>
              <w:right w:val="nil"/>
            </w:tcBorders>
            <w:shd w:val="clear" w:color="000000" w:fill="BFBFBF"/>
            <w:vAlign w:val="center"/>
            <w:hideMark/>
          </w:tcPr>
          <w:p w14:paraId="2CB6CB18"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2018</w:t>
            </w:r>
          </w:p>
        </w:tc>
        <w:tc>
          <w:tcPr>
            <w:tcW w:w="992" w:type="dxa"/>
            <w:tcBorders>
              <w:top w:val="nil"/>
              <w:left w:val="nil"/>
              <w:bottom w:val="nil"/>
              <w:right w:val="nil"/>
            </w:tcBorders>
            <w:shd w:val="clear" w:color="000000" w:fill="BFBFBF"/>
            <w:vAlign w:val="center"/>
            <w:hideMark/>
          </w:tcPr>
          <w:p w14:paraId="7B9A2365"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2019</w:t>
            </w:r>
          </w:p>
        </w:tc>
        <w:tc>
          <w:tcPr>
            <w:tcW w:w="1025" w:type="dxa"/>
            <w:tcBorders>
              <w:top w:val="nil"/>
              <w:left w:val="nil"/>
              <w:bottom w:val="nil"/>
              <w:right w:val="nil"/>
            </w:tcBorders>
            <w:shd w:val="clear" w:color="000000" w:fill="BFBFBF"/>
            <w:vAlign w:val="center"/>
            <w:hideMark/>
          </w:tcPr>
          <w:p w14:paraId="634CC510"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2019</w:t>
            </w:r>
          </w:p>
        </w:tc>
        <w:tc>
          <w:tcPr>
            <w:tcW w:w="960" w:type="dxa"/>
            <w:tcBorders>
              <w:top w:val="nil"/>
              <w:left w:val="nil"/>
              <w:bottom w:val="nil"/>
              <w:right w:val="nil"/>
            </w:tcBorders>
            <w:shd w:val="clear" w:color="000000" w:fill="BFBFBF"/>
            <w:vAlign w:val="center"/>
            <w:hideMark/>
          </w:tcPr>
          <w:p w14:paraId="1330DBE5"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 xml:space="preserve"> v tis. eur</w:t>
            </w:r>
          </w:p>
        </w:tc>
        <w:tc>
          <w:tcPr>
            <w:tcW w:w="733" w:type="dxa"/>
            <w:tcBorders>
              <w:top w:val="nil"/>
              <w:left w:val="nil"/>
              <w:bottom w:val="nil"/>
              <w:right w:val="nil"/>
            </w:tcBorders>
            <w:shd w:val="clear" w:color="000000" w:fill="BFBFBF"/>
            <w:vAlign w:val="center"/>
            <w:hideMark/>
          </w:tcPr>
          <w:p w14:paraId="547094F1"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v %</w:t>
            </w:r>
          </w:p>
        </w:tc>
      </w:tr>
      <w:tr w:rsidR="00EA177A" w:rsidRPr="00D67952" w14:paraId="441F0B90" w14:textId="77777777" w:rsidTr="009557B9">
        <w:trPr>
          <w:trHeight w:val="315"/>
        </w:trPr>
        <w:tc>
          <w:tcPr>
            <w:tcW w:w="2460" w:type="dxa"/>
            <w:tcBorders>
              <w:top w:val="nil"/>
              <w:left w:val="nil"/>
              <w:bottom w:val="single" w:sz="8" w:space="0" w:color="auto"/>
              <w:right w:val="nil"/>
            </w:tcBorders>
            <w:shd w:val="clear" w:color="000000" w:fill="BFBFBF"/>
            <w:vAlign w:val="center"/>
            <w:hideMark/>
          </w:tcPr>
          <w:p w14:paraId="157FC548"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 </w:t>
            </w:r>
          </w:p>
        </w:tc>
        <w:tc>
          <w:tcPr>
            <w:tcW w:w="1280" w:type="dxa"/>
            <w:tcBorders>
              <w:top w:val="nil"/>
              <w:left w:val="nil"/>
              <w:bottom w:val="single" w:sz="8" w:space="0" w:color="auto"/>
              <w:right w:val="nil"/>
            </w:tcBorders>
            <w:shd w:val="clear" w:color="000000" w:fill="BFBFBF"/>
            <w:vAlign w:val="center"/>
            <w:hideMark/>
          </w:tcPr>
          <w:p w14:paraId="61C00989"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1</w:t>
            </w:r>
          </w:p>
        </w:tc>
        <w:tc>
          <w:tcPr>
            <w:tcW w:w="1070" w:type="dxa"/>
            <w:tcBorders>
              <w:top w:val="nil"/>
              <w:left w:val="nil"/>
              <w:bottom w:val="single" w:sz="8" w:space="0" w:color="auto"/>
              <w:right w:val="nil"/>
            </w:tcBorders>
            <w:shd w:val="clear" w:color="000000" w:fill="BFBFBF"/>
            <w:vAlign w:val="center"/>
            <w:hideMark/>
          </w:tcPr>
          <w:p w14:paraId="1F3AB752"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2</w:t>
            </w:r>
          </w:p>
        </w:tc>
        <w:tc>
          <w:tcPr>
            <w:tcW w:w="992" w:type="dxa"/>
            <w:tcBorders>
              <w:top w:val="nil"/>
              <w:left w:val="nil"/>
              <w:bottom w:val="single" w:sz="8" w:space="0" w:color="auto"/>
              <w:right w:val="nil"/>
            </w:tcBorders>
            <w:shd w:val="clear" w:color="000000" w:fill="BFBFBF"/>
            <w:vAlign w:val="center"/>
            <w:hideMark/>
          </w:tcPr>
          <w:p w14:paraId="2A978381"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3</w:t>
            </w:r>
          </w:p>
        </w:tc>
        <w:tc>
          <w:tcPr>
            <w:tcW w:w="1025" w:type="dxa"/>
            <w:tcBorders>
              <w:top w:val="nil"/>
              <w:left w:val="nil"/>
              <w:bottom w:val="single" w:sz="8" w:space="0" w:color="auto"/>
              <w:right w:val="nil"/>
            </w:tcBorders>
            <w:shd w:val="clear" w:color="000000" w:fill="BFBFBF"/>
            <w:vAlign w:val="center"/>
            <w:hideMark/>
          </w:tcPr>
          <w:p w14:paraId="119CC6FB"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4</w:t>
            </w:r>
          </w:p>
        </w:tc>
        <w:tc>
          <w:tcPr>
            <w:tcW w:w="960" w:type="dxa"/>
            <w:tcBorders>
              <w:top w:val="nil"/>
              <w:left w:val="nil"/>
              <w:bottom w:val="single" w:sz="8" w:space="0" w:color="auto"/>
              <w:right w:val="nil"/>
            </w:tcBorders>
            <w:shd w:val="clear" w:color="000000" w:fill="BFBFBF"/>
            <w:vAlign w:val="center"/>
            <w:hideMark/>
          </w:tcPr>
          <w:p w14:paraId="468A39DD"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5=4-3</w:t>
            </w:r>
          </w:p>
        </w:tc>
        <w:tc>
          <w:tcPr>
            <w:tcW w:w="733" w:type="dxa"/>
            <w:tcBorders>
              <w:top w:val="nil"/>
              <w:left w:val="nil"/>
              <w:bottom w:val="single" w:sz="8" w:space="0" w:color="auto"/>
              <w:right w:val="nil"/>
            </w:tcBorders>
            <w:shd w:val="clear" w:color="000000" w:fill="BFBFBF"/>
            <w:vAlign w:val="center"/>
            <w:hideMark/>
          </w:tcPr>
          <w:p w14:paraId="3FDAB358" w14:textId="77777777" w:rsidR="00EA177A" w:rsidRPr="00D67952" w:rsidRDefault="00EA177A" w:rsidP="00C704A7">
            <w:pPr>
              <w:spacing w:after="0" w:line="240" w:lineRule="auto"/>
              <w:jc w:val="center"/>
              <w:rPr>
                <w:rFonts w:eastAsia="Times New Roman" w:cs="Times New Roman"/>
                <w:b/>
                <w:bCs/>
                <w:sz w:val="18"/>
                <w:szCs w:val="18"/>
                <w:lang w:eastAsia="sk-SK"/>
              </w:rPr>
            </w:pPr>
            <w:r w:rsidRPr="00D67952">
              <w:rPr>
                <w:rFonts w:eastAsia="Times New Roman" w:cs="Times New Roman"/>
                <w:b/>
                <w:bCs/>
                <w:sz w:val="18"/>
                <w:szCs w:val="18"/>
                <w:lang w:eastAsia="sk-SK"/>
              </w:rPr>
              <w:t>6=4-3</w:t>
            </w:r>
          </w:p>
        </w:tc>
      </w:tr>
      <w:tr w:rsidR="00EA177A" w:rsidRPr="00D67952" w14:paraId="03B96BAC" w14:textId="77777777" w:rsidTr="009557B9">
        <w:trPr>
          <w:trHeight w:val="300"/>
        </w:trPr>
        <w:tc>
          <w:tcPr>
            <w:tcW w:w="2460" w:type="dxa"/>
            <w:tcBorders>
              <w:top w:val="nil"/>
              <w:left w:val="nil"/>
              <w:bottom w:val="nil"/>
              <w:right w:val="nil"/>
            </w:tcBorders>
            <w:shd w:val="clear" w:color="auto" w:fill="auto"/>
            <w:vAlign w:val="center"/>
          </w:tcPr>
          <w:p w14:paraId="760B6FEC" w14:textId="77777777" w:rsidR="00EA177A" w:rsidRPr="00D67952" w:rsidRDefault="00EA177A" w:rsidP="00C704A7">
            <w:pPr>
              <w:spacing w:after="0" w:line="240" w:lineRule="auto"/>
              <w:rPr>
                <w:rFonts w:eastAsia="Times New Roman" w:cs="Times New Roman"/>
                <w:sz w:val="18"/>
                <w:szCs w:val="18"/>
                <w:lang w:eastAsia="sk-SK"/>
              </w:rPr>
            </w:pPr>
            <w:r w:rsidRPr="00D67952">
              <w:rPr>
                <w:rFonts w:eastAsia="Times New Roman" w:cs="Times New Roman"/>
                <w:sz w:val="18"/>
                <w:szCs w:val="18"/>
                <w:lang w:eastAsia="sk-SK"/>
              </w:rPr>
              <w:t>Sociálne zabezpečenie</w:t>
            </w:r>
          </w:p>
        </w:tc>
        <w:tc>
          <w:tcPr>
            <w:tcW w:w="1280" w:type="dxa"/>
            <w:tcBorders>
              <w:top w:val="nil"/>
              <w:left w:val="nil"/>
              <w:bottom w:val="nil"/>
              <w:right w:val="nil"/>
            </w:tcBorders>
            <w:shd w:val="clear" w:color="000000" w:fill="FFFFFF"/>
            <w:noWrap/>
            <w:vAlign w:val="center"/>
          </w:tcPr>
          <w:p w14:paraId="2FD19E0E" w14:textId="77777777" w:rsidR="00EA177A" w:rsidRPr="00D67952" w:rsidRDefault="00EA177A" w:rsidP="00C704A7">
            <w:pPr>
              <w:spacing w:after="0" w:line="240" w:lineRule="auto"/>
              <w:ind w:left="-130"/>
              <w:jc w:val="right"/>
              <w:rPr>
                <w:rFonts w:eastAsia="Times New Roman" w:cs="Times New Roman"/>
                <w:sz w:val="18"/>
                <w:szCs w:val="18"/>
                <w:lang w:eastAsia="sk-SK"/>
              </w:rPr>
            </w:pPr>
            <w:r w:rsidRPr="00D67952">
              <w:rPr>
                <w:rFonts w:eastAsia="Times New Roman" w:cs="Times New Roman"/>
                <w:sz w:val="18"/>
                <w:szCs w:val="18"/>
                <w:lang w:eastAsia="sk-SK"/>
              </w:rPr>
              <w:t>3 782 359</w:t>
            </w:r>
          </w:p>
        </w:tc>
        <w:tc>
          <w:tcPr>
            <w:tcW w:w="1070" w:type="dxa"/>
            <w:tcBorders>
              <w:top w:val="nil"/>
              <w:left w:val="nil"/>
              <w:bottom w:val="nil"/>
              <w:right w:val="nil"/>
            </w:tcBorders>
            <w:shd w:val="clear" w:color="auto" w:fill="auto"/>
            <w:noWrap/>
            <w:vAlign w:val="center"/>
          </w:tcPr>
          <w:p w14:paraId="17A9598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3 489 088</w:t>
            </w:r>
          </w:p>
        </w:tc>
        <w:tc>
          <w:tcPr>
            <w:tcW w:w="992" w:type="dxa"/>
            <w:tcBorders>
              <w:top w:val="nil"/>
              <w:left w:val="nil"/>
              <w:bottom w:val="nil"/>
              <w:right w:val="nil"/>
            </w:tcBorders>
            <w:shd w:val="clear" w:color="000000" w:fill="FFFFFF"/>
            <w:noWrap/>
            <w:vAlign w:val="center"/>
          </w:tcPr>
          <w:p w14:paraId="56DC4CB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3 415 891</w:t>
            </w:r>
          </w:p>
        </w:tc>
        <w:tc>
          <w:tcPr>
            <w:tcW w:w="1025" w:type="dxa"/>
            <w:tcBorders>
              <w:top w:val="nil"/>
              <w:left w:val="nil"/>
              <w:bottom w:val="nil"/>
              <w:right w:val="nil"/>
            </w:tcBorders>
            <w:shd w:val="clear" w:color="000000" w:fill="BFBFBF"/>
            <w:noWrap/>
            <w:vAlign w:val="center"/>
          </w:tcPr>
          <w:p w14:paraId="5C78A71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3 681 041</w:t>
            </w:r>
          </w:p>
        </w:tc>
        <w:tc>
          <w:tcPr>
            <w:tcW w:w="960" w:type="dxa"/>
            <w:tcBorders>
              <w:top w:val="nil"/>
              <w:left w:val="nil"/>
              <w:bottom w:val="nil"/>
              <w:right w:val="nil"/>
            </w:tcBorders>
            <w:shd w:val="clear" w:color="000000" w:fill="FFFFFF"/>
            <w:vAlign w:val="center"/>
          </w:tcPr>
          <w:p w14:paraId="1BAEA1DB"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265 150</w:t>
            </w:r>
          </w:p>
        </w:tc>
        <w:tc>
          <w:tcPr>
            <w:tcW w:w="733" w:type="dxa"/>
            <w:tcBorders>
              <w:top w:val="nil"/>
              <w:left w:val="nil"/>
              <w:bottom w:val="nil"/>
              <w:right w:val="nil"/>
            </w:tcBorders>
            <w:shd w:val="clear" w:color="000000" w:fill="FFFFFF"/>
            <w:vAlign w:val="center"/>
          </w:tcPr>
          <w:p w14:paraId="1583FE2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7,76</w:t>
            </w:r>
          </w:p>
        </w:tc>
      </w:tr>
      <w:tr w:rsidR="00EA177A" w:rsidRPr="00D67952" w14:paraId="66462259" w14:textId="77777777" w:rsidTr="009557B9">
        <w:trPr>
          <w:trHeight w:val="300"/>
        </w:trPr>
        <w:tc>
          <w:tcPr>
            <w:tcW w:w="2460" w:type="dxa"/>
            <w:tcBorders>
              <w:top w:val="nil"/>
              <w:left w:val="nil"/>
              <w:bottom w:val="nil"/>
              <w:right w:val="nil"/>
            </w:tcBorders>
            <w:shd w:val="clear" w:color="auto" w:fill="auto"/>
            <w:vAlign w:val="center"/>
          </w:tcPr>
          <w:p w14:paraId="7B64489F"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Ekonomická oblasť</w:t>
            </w:r>
          </w:p>
        </w:tc>
        <w:tc>
          <w:tcPr>
            <w:tcW w:w="1280" w:type="dxa"/>
            <w:tcBorders>
              <w:top w:val="nil"/>
              <w:left w:val="nil"/>
              <w:bottom w:val="nil"/>
              <w:right w:val="nil"/>
            </w:tcBorders>
            <w:shd w:val="clear" w:color="000000" w:fill="FFFFFF"/>
            <w:noWrap/>
            <w:vAlign w:val="center"/>
          </w:tcPr>
          <w:p w14:paraId="5143033B"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2 815 990</w:t>
            </w:r>
          </w:p>
        </w:tc>
        <w:tc>
          <w:tcPr>
            <w:tcW w:w="1070" w:type="dxa"/>
            <w:tcBorders>
              <w:top w:val="nil"/>
              <w:left w:val="nil"/>
              <w:bottom w:val="nil"/>
              <w:right w:val="nil"/>
            </w:tcBorders>
            <w:shd w:val="clear" w:color="auto" w:fill="auto"/>
            <w:noWrap/>
            <w:vAlign w:val="center"/>
          </w:tcPr>
          <w:p w14:paraId="12DFD7D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3 425 054</w:t>
            </w:r>
          </w:p>
        </w:tc>
        <w:tc>
          <w:tcPr>
            <w:tcW w:w="992" w:type="dxa"/>
            <w:tcBorders>
              <w:top w:val="nil"/>
              <w:left w:val="nil"/>
              <w:bottom w:val="nil"/>
              <w:right w:val="nil"/>
            </w:tcBorders>
            <w:shd w:val="clear" w:color="000000" w:fill="FFFFFF"/>
            <w:noWrap/>
            <w:vAlign w:val="center"/>
          </w:tcPr>
          <w:p w14:paraId="3068DC3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3 577 234</w:t>
            </w:r>
          </w:p>
        </w:tc>
        <w:tc>
          <w:tcPr>
            <w:tcW w:w="1025" w:type="dxa"/>
            <w:tcBorders>
              <w:top w:val="nil"/>
              <w:left w:val="nil"/>
              <w:bottom w:val="nil"/>
              <w:right w:val="nil"/>
            </w:tcBorders>
            <w:shd w:val="clear" w:color="000000" w:fill="BFBFBF"/>
            <w:noWrap/>
            <w:vAlign w:val="center"/>
          </w:tcPr>
          <w:p w14:paraId="41D48318"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3 396 094</w:t>
            </w:r>
          </w:p>
        </w:tc>
        <w:tc>
          <w:tcPr>
            <w:tcW w:w="960" w:type="dxa"/>
            <w:tcBorders>
              <w:top w:val="nil"/>
              <w:left w:val="nil"/>
              <w:bottom w:val="nil"/>
              <w:right w:val="nil"/>
            </w:tcBorders>
            <w:shd w:val="clear" w:color="000000" w:fill="FFFFFF"/>
            <w:vAlign w:val="center"/>
          </w:tcPr>
          <w:p w14:paraId="10B5FF2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-181 140</w:t>
            </w:r>
          </w:p>
        </w:tc>
        <w:tc>
          <w:tcPr>
            <w:tcW w:w="733" w:type="dxa"/>
            <w:tcBorders>
              <w:top w:val="nil"/>
              <w:left w:val="nil"/>
              <w:bottom w:val="nil"/>
              <w:right w:val="nil"/>
            </w:tcBorders>
            <w:shd w:val="clear" w:color="000000" w:fill="FFFFFF"/>
            <w:vAlign w:val="center"/>
          </w:tcPr>
          <w:p w14:paraId="3109F699"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-5,06</w:t>
            </w:r>
          </w:p>
        </w:tc>
      </w:tr>
      <w:tr w:rsidR="00EA177A" w:rsidRPr="00D67952" w14:paraId="1F669FB6" w14:textId="77777777" w:rsidTr="009557B9">
        <w:trPr>
          <w:trHeight w:val="300"/>
        </w:trPr>
        <w:tc>
          <w:tcPr>
            <w:tcW w:w="2460" w:type="dxa"/>
            <w:tcBorders>
              <w:top w:val="nil"/>
              <w:left w:val="nil"/>
              <w:bottom w:val="nil"/>
              <w:right w:val="nil"/>
            </w:tcBorders>
            <w:shd w:val="clear" w:color="auto" w:fill="auto"/>
            <w:vAlign w:val="center"/>
          </w:tcPr>
          <w:p w14:paraId="2BA09736"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Všeobecné verejné služby</w:t>
            </w:r>
          </w:p>
        </w:tc>
        <w:tc>
          <w:tcPr>
            <w:tcW w:w="1280" w:type="dxa"/>
            <w:tcBorders>
              <w:top w:val="nil"/>
              <w:left w:val="nil"/>
              <w:bottom w:val="nil"/>
              <w:right w:val="nil"/>
            </w:tcBorders>
            <w:shd w:val="clear" w:color="000000" w:fill="FFFFFF"/>
            <w:noWrap/>
            <w:vAlign w:val="center"/>
          </w:tcPr>
          <w:p w14:paraId="4AD5B52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3 065 266</w:t>
            </w:r>
          </w:p>
        </w:tc>
        <w:tc>
          <w:tcPr>
            <w:tcW w:w="1070" w:type="dxa"/>
            <w:tcBorders>
              <w:top w:val="nil"/>
              <w:left w:val="nil"/>
              <w:bottom w:val="nil"/>
              <w:right w:val="nil"/>
            </w:tcBorders>
            <w:shd w:val="clear" w:color="auto" w:fill="auto"/>
            <w:noWrap/>
            <w:vAlign w:val="center"/>
          </w:tcPr>
          <w:p w14:paraId="03937E66"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3 243 931</w:t>
            </w:r>
          </w:p>
        </w:tc>
        <w:tc>
          <w:tcPr>
            <w:tcW w:w="992" w:type="dxa"/>
            <w:tcBorders>
              <w:top w:val="nil"/>
              <w:left w:val="nil"/>
              <w:bottom w:val="nil"/>
              <w:right w:val="nil"/>
            </w:tcBorders>
            <w:shd w:val="clear" w:color="000000" w:fill="FFFFFF"/>
            <w:noWrap/>
            <w:vAlign w:val="center"/>
          </w:tcPr>
          <w:p w14:paraId="4C64D1BE"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3 544 385</w:t>
            </w:r>
          </w:p>
        </w:tc>
        <w:tc>
          <w:tcPr>
            <w:tcW w:w="1025" w:type="dxa"/>
            <w:tcBorders>
              <w:top w:val="nil"/>
              <w:left w:val="nil"/>
              <w:bottom w:val="nil"/>
              <w:right w:val="nil"/>
            </w:tcBorders>
            <w:shd w:val="clear" w:color="000000" w:fill="BFBFBF"/>
            <w:noWrap/>
            <w:vAlign w:val="center"/>
          </w:tcPr>
          <w:p w14:paraId="52CF32D3" w14:textId="77777777" w:rsidR="00EA177A" w:rsidRPr="002173C7" w:rsidRDefault="00EA177A" w:rsidP="00C704A7">
            <w:pPr>
              <w:spacing w:after="0" w:line="240" w:lineRule="auto"/>
              <w:jc w:val="right"/>
              <w:rPr>
                <w:rFonts w:eastAsia="Times New Roman" w:cs="Times New Roman"/>
                <w:sz w:val="18"/>
                <w:szCs w:val="18"/>
                <w:highlight w:val="yellow"/>
                <w:lang w:eastAsia="sk-SK"/>
              </w:rPr>
            </w:pPr>
            <w:r w:rsidRPr="00D67952">
              <w:rPr>
                <w:rFonts w:eastAsia="Times New Roman" w:cs="Times New Roman"/>
                <w:sz w:val="18"/>
                <w:szCs w:val="18"/>
                <w:lang w:eastAsia="sk-SK"/>
              </w:rPr>
              <w:t>3 369 586</w:t>
            </w:r>
          </w:p>
        </w:tc>
        <w:tc>
          <w:tcPr>
            <w:tcW w:w="960" w:type="dxa"/>
            <w:tcBorders>
              <w:top w:val="nil"/>
              <w:left w:val="nil"/>
              <w:bottom w:val="nil"/>
              <w:right w:val="nil"/>
            </w:tcBorders>
            <w:shd w:val="clear" w:color="000000" w:fill="FFFFFF"/>
            <w:vAlign w:val="center"/>
          </w:tcPr>
          <w:p w14:paraId="71DDA97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-174 799</w:t>
            </w:r>
          </w:p>
        </w:tc>
        <w:tc>
          <w:tcPr>
            <w:tcW w:w="733" w:type="dxa"/>
            <w:tcBorders>
              <w:top w:val="nil"/>
              <w:left w:val="nil"/>
              <w:bottom w:val="nil"/>
              <w:right w:val="nil"/>
            </w:tcBorders>
            <w:shd w:val="clear" w:color="000000" w:fill="FFFFFF"/>
            <w:vAlign w:val="center"/>
          </w:tcPr>
          <w:p w14:paraId="5FBAE16B"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-4,93</w:t>
            </w:r>
          </w:p>
        </w:tc>
      </w:tr>
      <w:tr w:rsidR="00EA177A" w:rsidRPr="00D67952" w14:paraId="312999AB" w14:textId="77777777" w:rsidTr="009557B9">
        <w:trPr>
          <w:trHeight w:val="300"/>
        </w:trPr>
        <w:tc>
          <w:tcPr>
            <w:tcW w:w="2460" w:type="dxa"/>
            <w:tcBorders>
              <w:top w:val="nil"/>
              <w:left w:val="nil"/>
              <w:bottom w:val="nil"/>
              <w:right w:val="nil"/>
            </w:tcBorders>
            <w:shd w:val="clear" w:color="auto" w:fill="auto"/>
            <w:vAlign w:val="center"/>
          </w:tcPr>
          <w:p w14:paraId="3F09DACA"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Vzdelávanie</w:t>
            </w:r>
          </w:p>
        </w:tc>
        <w:tc>
          <w:tcPr>
            <w:tcW w:w="1280" w:type="dxa"/>
            <w:tcBorders>
              <w:top w:val="nil"/>
              <w:left w:val="nil"/>
              <w:bottom w:val="nil"/>
              <w:right w:val="nil"/>
            </w:tcBorders>
            <w:shd w:val="clear" w:color="000000" w:fill="FFFFFF"/>
            <w:noWrap/>
            <w:vAlign w:val="center"/>
          </w:tcPr>
          <w:p w14:paraId="781B50C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2 085 399</w:t>
            </w:r>
          </w:p>
        </w:tc>
        <w:tc>
          <w:tcPr>
            <w:tcW w:w="1070" w:type="dxa"/>
            <w:tcBorders>
              <w:top w:val="nil"/>
              <w:left w:val="nil"/>
              <w:bottom w:val="nil"/>
              <w:right w:val="nil"/>
            </w:tcBorders>
            <w:shd w:val="clear" w:color="auto" w:fill="auto"/>
            <w:noWrap/>
            <w:vAlign w:val="center"/>
          </w:tcPr>
          <w:p w14:paraId="4AF68A28"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2 230 541</w:t>
            </w:r>
          </w:p>
        </w:tc>
        <w:tc>
          <w:tcPr>
            <w:tcW w:w="992" w:type="dxa"/>
            <w:tcBorders>
              <w:top w:val="nil"/>
              <w:left w:val="nil"/>
              <w:bottom w:val="nil"/>
              <w:right w:val="nil"/>
            </w:tcBorders>
            <w:shd w:val="clear" w:color="auto" w:fill="auto"/>
            <w:noWrap/>
            <w:vAlign w:val="center"/>
          </w:tcPr>
          <w:p w14:paraId="6F1EEC48"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2 286 845</w:t>
            </w:r>
          </w:p>
        </w:tc>
        <w:tc>
          <w:tcPr>
            <w:tcW w:w="1025" w:type="dxa"/>
            <w:tcBorders>
              <w:top w:val="nil"/>
              <w:left w:val="nil"/>
              <w:bottom w:val="nil"/>
              <w:right w:val="nil"/>
            </w:tcBorders>
            <w:shd w:val="clear" w:color="000000" w:fill="BFBFBF"/>
            <w:noWrap/>
            <w:vAlign w:val="center"/>
          </w:tcPr>
          <w:p w14:paraId="105B7880" w14:textId="77777777" w:rsidR="00EA177A" w:rsidRPr="007C5651" w:rsidRDefault="00EA177A" w:rsidP="00C704A7">
            <w:pPr>
              <w:spacing w:after="0" w:line="240" w:lineRule="auto"/>
              <w:jc w:val="right"/>
              <w:rPr>
                <w:rFonts w:eastAsia="Times New Roman" w:cs="Times New Roman"/>
                <w:sz w:val="18"/>
                <w:szCs w:val="18"/>
                <w:lang w:eastAsia="sk-SK"/>
              </w:rPr>
            </w:pPr>
            <w:r w:rsidRPr="007C5651">
              <w:rPr>
                <w:rFonts w:eastAsia="Times New Roman" w:cs="Times New Roman"/>
                <w:sz w:val="18"/>
                <w:szCs w:val="18"/>
                <w:lang w:eastAsia="sk-SK"/>
              </w:rPr>
              <w:t>2 489 719</w:t>
            </w:r>
          </w:p>
        </w:tc>
        <w:tc>
          <w:tcPr>
            <w:tcW w:w="960" w:type="dxa"/>
            <w:tcBorders>
              <w:top w:val="nil"/>
              <w:left w:val="nil"/>
              <w:bottom w:val="nil"/>
              <w:right w:val="nil"/>
            </w:tcBorders>
            <w:shd w:val="clear" w:color="000000" w:fill="FFFFFF"/>
            <w:vAlign w:val="center"/>
          </w:tcPr>
          <w:p w14:paraId="202A812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202 874</w:t>
            </w:r>
          </w:p>
        </w:tc>
        <w:tc>
          <w:tcPr>
            <w:tcW w:w="733" w:type="dxa"/>
            <w:tcBorders>
              <w:top w:val="nil"/>
              <w:left w:val="nil"/>
              <w:bottom w:val="nil"/>
              <w:right w:val="nil"/>
            </w:tcBorders>
            <w:shd w:val="clear" w:color="000000" w:fill="FFFFFF"/>
            <w:vAlign w:val="center"/>
          </w:tcPr>
          <w:p w14:paraId="19AA311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8,87</w:t>
            </w:r>
          </w:p>
        </w:tc>
      </w:tr>
      <w:tr w:rsidR="00EA177A" w:rsidRPr="00D67952" w14:paraId="358900F7" w14:textId="77777777" w:rsidTr="009557B9">
        <w:trPr>
          <w:trHeight w:val="300"/>
        </w:trPr>
        <w:tc>
          <w:tcPr>
            <w:tcW w:w="2460" w:type="dxa"/>
            <w:tcBorders>
              <w:top w:val="nil"/>
              <w:left w:val="nil"/>
              <w:bottom w:val="nil"/>
              <w:right w:val="nil"/>
            </w:tcBorders>
            <w:shd w:val="clear" w:color="auto" w:fill="auto"/>
            <w:vAlign w:val="center"/>
          </w:tcPr>
          <w:p w14:paraId="23F900F3"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Verejný poriadok a bezpečnosť</w:t>
            </w:r>
          </w:p>
        </w:tc>
        <w:tc>
          <w:tcPr>
            <w:tcW w:w="1280" w:type="dxa"/>
            <w:tcBorders>
              <w:top w:val="nil"/>
              <w:left w:val="nil"/>
              <w:bottom w:val="nil"/>
              <w:right w:val="nil"/>
            </w:tcBorders>
            <w:shd w:val="clear" w:color="000000" w:fill="FFFFFF"/>
            <w:noWrap/>
            <w:vAlign w:val="center"/>
          </w:tcPr>
          <w:p w14:paraId="22A63D3A"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1 743 624</w:t>
            </w:r>
          </w:p>
        </w:tc>
        <w:tc>
          <w:tcPr>
            <w:tcW w:w="1070" w:type="dxa"/>
            <w:tcBorders>
              <w:top w:val="nil"/>
              <w:left w:val="nil"/>
              <w:bottom w:val="nil"/>
              <w:right w:val="nil"/>
            </w:tcBorders>
            <w:shd w:val="clear" w:color="auto" w:fill="auto"/>
            <w:noWrap/>
            <w:vAlign w:val="center"/>
          </w:tcPr>
          <w:p w14:paraId="5E879077"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1 968 630</w:t>
            </w:r>
          </w:p>
        </w:tc>
        <w:tc>
          <w:tcPr>
            <w:tcW w:w="992" w:type="dxa"/>
            <w:tcBorders>
              <w:top w:val="nil"/>
              <w:left w:val="nil"/>
              <w:bottom w:val="nil"/>
              <w:right w:val="nil"/>
            </w:tcBorders>
            <w:shd w:val="clear" w:color="auto" w:fill="auto"/>
            <w:noWrap/>
            <w:vAlign w:val="center"/>
          </w:tcPr>
          <w:p w14:paraId="11BE207E"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1 830 384</w:t>
            </w:r>
          </w:p>
        </w:tc>
        <w:tc>
          <w:tcPr>
            <w:tcW w:w="1025" w:type="dxa"/>
            <w:tcBorders>
              <w:top w:val="nil"/>
              <w:left w:val="nil"/>
              <w:bottom w:val="nil"/>
              <w:right w:val="nil"/>
            </w:tcBorders>
            <w:shd w:val="clear" w:color="000000" w:fill="BFBFBF"/>
            <w:noWrap/>
            <w:vAlign w:val="center"/>
          </w:tcPr>
          <w:p w14:paraId="45F12D88" w14:textId="77777777" w:rsidR="00EA177A" w:rsidRPr="007C5651" w:rsidRDefault="00EA177A" w:rsidP="00C704A7">
            <w:pPr>
              <w:spacing w:after="0" w:line="240" w:lineRule="auto"/>
              <w:jc w:val="right"/>
              <w:rPr>
                <w:rFonts w:eastAsia="Times New Roman" w:cs="Times New Roman"/>
                <w:sz w:val="18"/>
                <w:szCs w:val="18"/>
                <w:lang w:eastAsia="sk-SK"/>
              </w:rPr>
            </w:pPr>
            <w:r w:rsidRPr="007C5651">
              <w:rPr>
                <w:rFonts w:eastAsia="Times New Roman" w:cs="Times New Roman"/>
                <w:sz w:val="18"/>
                <w:szCs w:val="18"/>
                <w:lang w:eastAsia="sk-SK"/>
              </w:rPr>
              <w:t>2 124 826</w:t>
            </w:r>
          </w:p>
        </w:tc>
        <w:tc>
          <w:tcPr>
            <w:tcW w:w="960" w:type="dxa"/>
            <w:tcBorders>
              <w:top w:val="nil"/>
              <w:left w:val="nil"/>
              <w:bottom w:val="nil"/>
              <w:right w:val="nil"/>
            </w:tcBorders>
            <w:shd w:val="clear" w:color="000000" w:fill="FFFFFF"/>
            <w:vAlign w:val="center"/>
          </w:tcPr>
          <w:p w14:paraId="506C973E"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294 442</w:t>
            </w:r>
          </w:p>
        </w:tc>
        <w:tc>
          <w:tcPr>
            <w:tcW w:w="733" w:type="dxa"/>
            <w:tcBorders>
              <w:top w:val="nil"/>
              <w:left w:val="nil"/>
              <w:bottom w:val="nil"/>
              <w:right w:val="nil"/>
            </w:tcBorders>
            <w:shd w:val="clear" w:color="000000" w:fill="FFFFFF"/>
            <w:vAlign w:val="center"/>
          </w:tcPr>
          <w:p w14:paraId="70F30162"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16,09</w:t>
            </w:r>
          </w:p>
        </w:tc>
      </w:tr>
      <w:tr w:rsidR="00EA177A" w:rsidRPr="00D67952" w14:paraId="63617AD8" w14:textId="77777777" w:rsidTr="009557B9">
        <w:trPr>
          <w:trHeight w:val="300"/>
        </w:trPr>
        <w:tc>
          <w:tcPr>
            <w:tcW w:w="2460" w:type="dxa"/>
            <w:tcBorders>
              <w:top w:val="nil"/>
              <w:left w:val="nil"/>
              <w:bottom w:val="nil"/>
              <w:right w:val="nil"/>
            </w:tcBorders>
            <w:shd w:val="clear" w:color="auto" w:fill="auto"/>
            <w:vAlign w:val="center"/>
          </w:tcPr>
          <w:p w14:paraId="63F6E104"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Obrana</w:t>
            </w:r>
          </w:p>
        </w:tc>
        <w:tc>
          <w:tcPr>
            <w:tcW w:w="1280" w:type="dxa"/>
            <w:tcBorders>
              <w:top w:val="nil"/>
              <w:left w:val="nil"/>
              <w:bottom w:val="nil"/>
              <w:right w:val="nil"/>
            </w:tcBorders>
            <w:shd w:val="clear" w:color="000000" w:fill="FFFFFF"/>
            <w:noWrap/>
            <w:vAlign w:val="center"/>
          </w:tcPr>
          <w:p w14:paraId="112335C4"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835 442</w:t>
            </w:r>
          </w:p>
        </w:tc>
        <w:tc>
          <w:tcPr>
            <w:tcW w:w="1070" w:type="dxa"/>
            <w:tcBorders>
              <w:top w:val="nil"/>
              <w:left w:val="nil"/>
              <w:bottom w:val="nil"/>
              <w:right w:val="nil"/>
            </w:tcBorders>
            <w:shd w:val="clear" w:color="auto" w:fill="auto"/>
            <w:noWrap/>
            <w:vAlign w:val="center"/>
          </w:tcPr>
          <w:p w14:paraId="0ED2557B"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988 363</w:t>
            </w:r>
          </w:p>
        </w:tc>
        <w:tc>
          <w:tcPr>
            <w:tcW w:w="992" w:type="dxa"/>
            <w:tcBorders>
              <w:top w:val="nil"/>
              <w:left w:val="nil"/>
              <w:bottom w:val="nil"/>
              <w:right w:val="nil"/>
            </w:tcBorders>
            <w:shd w:val="clear" w:color="auto" w:fill="auto"/>
            <w:noWrap/>
            <w:vAlign w:val="center"/>
          </w:tcPr>
          <w:p w14:paraId="362608C8"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1 555 014</w:t>
            </w:r>
          </w:p>
        </w:tc>
        <w:tc>
          <w:tcPr>
            <w:tcW w:w="1025" w:type="dxa"/>
            <w:tcBorders>
              <w:top w:val="nil"/>
              <w:left w:val="nil"/>
              <w:bottom w:val="nil"/>
              <w:right w:val="nil"/>
            </w:tcBorders>
            <w:shd w:val="clear" w:color="000000" w:fill="BFBFBF"/>
            <w:noWrap/>
            <w:vAlign w:val="center"/>
          </w:tcPr>
          <w:p w14:paraId="6C2BA3DD" w14:textId="77777777" w:rsidR="00EA177A" w:rsidRPr="007C5651" w:rsidRDefault="00EA177A" w:rsidP="00C704A7">
            <w:pPr>
              <w:spacing w:after="0" w:line="240" w:lineRule="auto"/>
              <w:jc w:val="right"/>
              <w:rPr>
                <w:rFonts w:eastAsia="Times New Roman" w:cs="Times New Roman"/>
                <w:sz w:val="18"/>
                <w:szCs w:val="18"/>
                <w:lang w:eastAsia="sk-SK"/>
              </w:rPr>
            </w:pPr>
            <w:r w:rsidRPr="007C5651">
              <w:rPr>
                <w:rFonts w:eastAsia="Times New Roman" w:cs="Times New Roman"/>
                <w:sz w:val="18"/>
                <w:szCs w:val="18"/>
                <w:lang w:eastAsia="sk-SK"/>
              </w:rPr>
              <w:t>1 508 816</w:t>
            </w:r>
          </w:p>
        </w:tc>
        <w:tc>
          <w:tcPr>
            <w:tcW w:w="960" w:type="dxa"/>
            <w:tcBorders>
              <w:top w:val="nil"/>
              <w:left w:val="nil"/>
              <w:bottom w:val="nil"/>
              <w:right w:val="nil"/>
            </w:tcBorders>
            <w:shd w:val="clear" w:color="000000" w:fill="FFFFFF"/>
            <w:vAlign w:val="center"/>
          </w:tcPr>
          <w:p w14:paraId="613A52DD"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-46 198</w:t>
            </w:r>
          </w:p>
        </w:tc>
        <w:tc>
          <w:tcPr>
            <w:tcW w:w="733" w:type="dxa"/>
            <w:tcBorders>
              <w:top w:val="nil"/>
              <w:left w:val="nil"/>
              <w:bottom w:val="nil"/>
              <w:right w:val="nil"/>
            </w:tcBorders>
            <w:shd w:val="clear" w:color="000000" w:fill="FFFFFF"/>
            <w:vAlign w:val="center"/>
          </w:tcPr>
          <w:p w14:paraId="1589D29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-2,97</w:t>
            </w:r>
          </w:p>
        </w:tc>
      </w:tr>
      <w:tr w:rsidR="00EA177A" w:rsidRPr="00D67952" w14:paraId="5DE8D6E4" w14:textId="77777777" w:rsidTr="009557B9">
        <w:trPr>
          <w:trHeight w:val="300"/>
        </w:trPr>
        <w:tc>
          <w:tcPr>
            <w:tcW w:w="2460" w:type="dxa"/>
            <w:tcBorders>
              <w:top w:val="nil"/>
              <w:left w:val="nil"/>
              <w:bottom w:val="nil"/>
              <w:right w:val="nil"/>
            </w:tcBorders>
            <w:shd w:val="clear" w:color="auto" w:fill="auto"/>
            <w:vAlign w:val="center"/>
          </w:tcPr>
          <w:p w14:paraId="2DB297F2"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Rekreácia, kultúra a náboženstvo</w:t>
            </w:r>
          </w:p>
        </w:tc>
        <w:tc>
          <w:tcPr>
            <w:tcW w:w="1280" w:type="dxa"/>
            <w:tcBorders>
              <w:top w:val="nil"/>
              <w:left w:val="nil"/>
              <w:bottom w:val="nil"/>
              <w:right w:val="nil"/>
            </w:tcBorders>
            <w:shd w:val="clear" w:color="000000" w:fill="FFFFFF"/>
            <w:noWrap/>
            <w:vAlign w:val="center"/>
          </w:tcPr>
          <w:p w14:paraId="377BF2D6"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383 921</w:t>
            </w:r>
          </w:p>
        </w:tc>
        <w:tc>
          <w:tcPr>
            <w:tcW w:w="1070" w:type="dxa"/>
            <w:tcBorders>
              <w:top w:val="nil"/>
              <w:left w:val="nil"/>
              <w:bottom w:val="nil"/>
              <w:right w:val="nil"/>
            </w:tcBorders>
            <w:shd w:val="clear" w:color="auto" w:fill="auto"/>
            <w:noWrap/>
            <w:vAlign w:val="center"/>
          </w:tcPr>
          <w:p w14:paraId="291FC001"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401 622</w:t>
            </w:r>
          </w:p>
        </w:tc>
        <w:tc>
          <w:tcPr>
            <w:tcW w:w="992" w:type="dxa"/>
            <w:tcBorders>
              <w:top w:val="nil"/>
              <w:left w:val="nil"/>
              <w:bottom w:val="nil"/>
              <w:right w:val="nil"/>
            </w:tcBorders>
            <w:shd w:val="clear" w:color="auto" w:fill="auto"/>
            <w:noWrap/>
            <w:vAlign w:val="center"/>
          </w:tcPr>
          <w:p w14:paraId="4215AC0C"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379 324</w:t>
            </w:r>
          </w:p>
        </w:tc>
        <w:tc>
          <w:tcPr>
            <w:tcW w:w="1025" w:type="dxa"/>
            <w:tcBorders>
              <w:top w:val="nil"/>
              <w:left w:val="nil"/>
              <w:bottom w:val="nil"/>
              <w:right w:val="nil"/>
            </w:tcBorders>
            <w:shd w:val="clear" w:color="000000" w:fill="BFBFBF"/>
            <w:noWrap/>
            <w:vAlign w:val="center"/>
          </w:tcPr>
          <w:p w14:paraId="54761F5A" w14:textId="77777777" w:rsidR="00EA177A" w:rsidRPr="007C5651" w:rsidRDefault="00EA177A" w:rsidP="00C704A7">
            <w:pPr>
              <w:spacing w:after="0" w:line="240" w:lineRule="auto"/>
              <w:jc w:val="right"/>
              <w:rPr>
                <w:rFonts w:eastAsia="Times New Roman" w:cs="Times New Roman"/>
                <w:sz w:val="18"/>
                <w:szCs w:val="18"/>
                <w:lang w:eastAsia="sk-SK"/>
              </w:rPr>
            </w:pPr>
            <w:r w:rsidRPr="007C5651">
              <w:rPr>
                <w:rFonts w:eastAsia="Times New Roman" w:cs="Times New Roman"/>
                <w:sz w:val="18"/>
                <w:szCs w:val="18"/>
                <w:lang w:eastAsia="sk-SK"/>
              </w:rPr>
              <w:t>508 000</w:t>
            </w:r>
          </w:p>
        </w:tc>
        <w:tc>
          <w:tcPr>
            <w:tcW w:w="960" w:type="dxa"/>
            <w:tcBorders>
              <w:top w:val="nil"/>
              <w:left w:val="nil"/>
              <w:bottom w:val="nil"/>
              <w:right w:val="nil"/>
            </w:tcBorders>
            <w:shd w:val="clear" w:color="000000" w:fill="FFFFFF"/>
            <w:vAlign w:val="center"/>
          </w:tcPr>
          <w:p w14:paraId="529D951D"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128 676</w:t>
            </w:r>
          </w:p>
        </w:tc>
        <w:tc>
          <w:tcPr>
            <w:tcW w:w="733" w:type="dxa"/>
            <w:tcBorders>
              <w:top w:val="nil"/>
              <w:left w:val="nil"/>
              <w:bottom w:val="nil"/>
              <w:right w:val="nil"/>
            </w:tcBorders>
            <w:shd w:val="clear" w:color="000000" w:fill="FFFFFF"/>
            <w:vAlign w:val="center"/>
          </w:tcPr>
          <w:p w14:paraId="026E5613"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33,92</w:t>
            </w:r>
          </w:p>
        </w:tc>
      </w:tr>
      <w:tr w:rsidR="00EA177A" w:rsidRPr="00D67952" w14:paraId="01693B17" w14:textId="77777777" w:rsidTr="009557B9">
        <w:trPr>
          <w:trHeight w:val="300"/>
        </w:trPr>
        <w:tc>
          <w:tcPr>
            <w:tcW w:w="2460" w:type="dxa"/>
            <w:tcBorders>
              <w:top w:val="nil"/>
              <w:left w:val="nil"/>
              <w:bottom w:val="nil"/>
              <w:right w:val="nil"/>
            </w:tcBorders>
            <w:shd w:val="clear" w:color="auto" w:fill="auto"/>
            <w:vAlign w:val="center"/>
          </w:tcPr>
          <w:p w14:paraId="4888C751"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Ochrana životného prostredia</w:t>
            </w:r>
          </w:p>
        </w:tc>
        <w:tc>
          <w:tcPr>
            <w:tcW w:w="1280" w:type="dxa"/>
            <w:tcBorders>
              <w:top w:val="nil"/>
              <w:left w:val="nil"/>
              <w:bottom w:val="nil"/>
              <w:right w:val="nil"/>
            </w:tcBorders>
            <w:shd w:val="clear" w:color="000000" w:fill="FFFFFF"/>
            <w:noWrap/>
            <w:vAlign w:val="center"/>
          </w:tcPr>
          <w:p w14:paraId="42533AC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276 449</w:t>
            </w:r>
          </w:p>
        </w:tc>
        <w:tc>
          <w:tcPr>
            <w:tcW w:w="1070" w:type="dxa"/>
            <w:tcBorders>
              <w:top w:val="nil"/>
              <w:left w:val="nil"/>
              <w:bottom w:val="nil"/>
              <w:right w:val="nil"/>
            </w:tcBorders>
            <w:shd w:val="clear" w:color="auto" w:fill="auto"/>
            <w:noWrap/>
            <w:vAlign w:val="center"/>
          </w:tcPr>
          <w:p w14:paraId="0E02C1A8"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472 392</w:t>
            </w:r>
          </w:p>
        </w:tc>
        <w:tc>
          <w:tcPr>
            <w:tcW w:w="992" w:type="dxa"/>
            <w:tcBorders>
              <w:top w:val="nil"/>
              <w:left w:val="nil"/>
              <w:bottom w:val="nil"/>
              <w:right w:val="nil"/>
            </w:tcBorders>
            <w:shd w:val="clear" w:color="auto" w:fill="auto"/>
            <w:noWrap/>
            <w:vAlign w:val="center"/>
          </w:tcPr>
          <w:p w14:paraId="1ACC09F3"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564 113</w:t>
            </w:r>
          </w:p>
        </w:tc>
        <w:tc>
          <w:tcPr>
            <w:tcW w:w="1025" w:type="dxa"/>
            <w:tcBorders>
              <w:top w:val="nil"/>
              <w:left w:val="nil"/>
              <w:bottom w:val="nil"/>
              <w:right w:val="nil"/>
            </w:tcBorders>
            <w:shd w:val="clear" w:color="000000" w:fill="BFBFBF"/>
            <w:noWrap/>
            <w:vAlign w:val="center"/>
          </w:tcPr>
          <w:p w14:paraId="20A6606F" w14:textId="77777777" w:rsidR="00EA177A" w:rsidRPr="007C5651" w:rsidRDefault="00EA177A" w:rsidP="00C704A7">
            <w:pPr>
              <w:spacing w:after="0" w:line="240" w:lineRule="auto"/>
              <w:jc w:val="right"/>
              <w:rPr>
                <w:rFonts w:eastAsia="Times New Roman" w:cs="Times New Roman"/>
                <w:sz w:val="18"/>
                <w:szCs w:val="18"/>
                <w:lang w:eastAsia="sk-SK"/>
              </w:rPr>
            </w:pPr>
            <w:r w:rsidRPr="007C5651">
              <w:rPr>
                <w:rFonts w:eastAsia="Times New Roman" w:cs="Times New Roman"/>
                <w:sz w:val="18"/>
                <w:szCs w:val="18"/>
                <w:lang w:eastAsia="sk-SK"/>
              </w:rPr>
              <w:t>502 447</w:t>
            </w:r>
          </w:p>
        </w:tc>
        <w:tc>
          <w:tcPr>
            <w:tcW w:w="960" w:type="dxa"/>
            <w:tcBorders>
              <w:top w:val="nil"/>
              <w:left w:val="nil"/>
              <w:bottom w:val="nil"/>
              <w:right w:val="nil"/>
            </w:tcBorders>
            <w:shd w:val="clear" w:color="000000" w:fill="FFFFFF"/>
            <w:vAlign w:val="center"/>
          </w:tcPr>
          <w:p w14:paraId="29CE3BC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-61 666</w:t>
            </w:r>
          </w:p>
        </w:tc>
        <w:tc>
          <w:tcPr>
            <w:tcW w:w="733" w:type="dxa"/>
            <w:tcBorders>
              <w:top w:val="nil"/>
              <w:left w:val="nil"/>
              <w:bottom w:val="nil"/>
              <w:right w:val="nil"/>
            </w:tcBorders>
            <w:shd w:val="clear" w:color="000000" w:fill="FFFFFF"/>
            <w:vAlign w:val="center"/>
          </w:tcPr>
          <w:p w14:paraId="67D8C0C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-10,93</w:t>
            </w:r>
          </w:p>
        </w:tc>
      </w:tr>
      <w:tr w:rsidR="00EA177A" w:rsidRPr="00D67952" w14:paraId="412AD719" w14:textId="77777777" w:rsidTr="009557B9">
        <w:trPr>
          <w:trHeight w:val="300"/>
        </w:trPr>
        <w:tc>
          <w:tcPr>
            <w:tcW w:w="2460" w:type="dxa"/>
            <w:tcBorders>
              <w:top w:val="nil"/>
              <w:left w:val="nil"/>
              <w:bottom w:val="nil"/>
              <w:right w:val="nil"/>
            </w:tcBorders>
            <w:shd w:val="clear" w:color="auto" w:fill="auto"/>
            <w:vAlign w:val="center"/>
          </w:tcPr>
          <w:p w14:paraId="3D0C80D3"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Zdravotníctvo</w:t>
            </w:r>
          </w:p>
        </w:tc>
        <w:tc>
          <w:tcPr>
            <w:tcW w:w="1280" w:type="dxa"/>
            <w:tcBorders>
              <w:top w:val="nil"/>
              <w:left w:val="nil"/>
              <w:bottom w:val="nil"/>
              <w:right w:val="nil"/>
            </w:tcBorders>
            <w:shd w:val="clear" w:color="000000" w:fill="FFFFFF"/>
            <w:noWrap/>
            <w:vAlign w:val="center"/>
          </w:tcPr>
          <w:p w14:paraId="23B7039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119 451</w:t>
            </w:r>
          </w:p>
        </w:tc>
        <w:tc>
          <w:tcPr>
            <w:tcW w:w="1070" w:type="dxa"/>
            <w:tcBorders>
              <w:top w:val="nil"/>
              <w:left w:val="nil"/>
              <w:bottom w:val="nil"/>
              <w:right w:val="nil"/>
            </w:tcBorders>
            <w:shd w:val="clear" w:color="auto" w:fill="auto"/>
            <w:noWrap/>
            <w:vAlign w:val="center"/>
          </w:tcPr>
          <w:p w14:paraId="3F1143C5"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197 279</w:t>
            </w:r>
          </w:p>
        </w:tc>
        <w:tc>
          <w:tcPr>
            <w:tcW w:w="992" w:type="dxa"/>
            <w:tcBorders>
              <w:top w:val="nil"/>
              <w:left w:val="nil"/>
              <w:bottom w:val="nil"/>
              <w:right w:val="nil"/>
            </w:tcBorders>
            <w:shd w:val="clear" w:color="auto" w:fill="auto"/>
            <w:noWrap/>
            <w:vAlign w:val="center"/>
          </w:tcPr>
          <w:p w14:paraId="1461B1D6" w14:textId="77777777" w:rsidR="00EA177A" w:rsidRPr="00A57890" w:rsidRDefault="00EA177A" w:rsidP="00C704A7">
            <w:pPr>
              <w:spacing w:after="0" w:line="240" w:lineRule="auto"/>
              <w:jc w:val="right"/>
              <w:rPr>
                <w:rFonts w:eastAsia="Times New Roman" w:cs="Times New Roman"/>
                <w:sz w:val="18"/>
                <w:szCs w:val="18"/>
                <w:lang w:eastAsia="sk-SK"/>
              </w:rPr>
            </w:pPr>
            <w:r w:rsidRPr="00A57890">
              <w:rPr>
                <w:rFonts w:eastAsia="Times New Roman" w:cs="Times New Roman"/>
                <w:sz w:val="18"/>
                <w:szCs w:val="18"/>
                <w:lang w:eastAsia="sk-SK"/>
              </w:rPr>
              <w:t>259 107</w:t>
            </w:r>
          </w:p>
        </w:tc>
        <w:tc>
          <w:tcPr>
            <w:tcW w:w="1025" w:type="dxa"/>
            <w:tcBorders>
              <w:top w:val="nil"/>
              <w:left w:val="nil"/>
              <w:bottom w:val="nil"/>
              <w:right w:val="nil"/>
            </w:tcBorders>
            <w:shd w:val="clear" w:color="000000" w:fill="BFBFBF"/>
            <w:noWrap/>
            <w:vAlign w:val="center"/>
          </w:tcPr>
          <w:p w14:paraId="02F02D59" w14:textId="77777777" w:rsidR="00EA177A" w:rsidRPr="007C5651" w:rsidRDefault="00EA177A" w:rsidP="00C704A7">
            <w:pPr>
              <w:spacing w:after="0" w:line="240" w:lineRule="auto"/>
              <w:jc w:val="right"/>
              <w:rPr>
                <w:rFonts w:eastAsia="Times New Roman" w:cs="Times New Roman"/>
                <w:sz w:val="18"/>
                <w:szCs w:val="18"/>
                <w:lang w:eastAsia="sk-SK"/>
              </w:rPr>
            </w:pPr>
            <w:r w:rsidRPr="007C5651">
              <w:rPr>
                <w:rFonts w:eastAsia="Times New Roman" w:cs="Times New Roman"/>
                <w:sz w:val="18"/>
                <w:szCs w:val="18"/>
                <w:lang w:eastAsia="sk-SK"/>
              </w:rPr>
              <w:t>298 145</w:t>
            </w:r>
          </w:p>
        </w:tc>
        <w:tc>
          <w:tcPr>
            <w:tcW w:w="960" w:type="dxa"/>
            <w:tcBorders>
              <w:top w:val="nil"/>
              <w:left w:val="nil"/>
              <w:bottom w:val="nil"/>
              <w:right w:val="nil"/>
            </w:tcBorders>
            <w:shd w:val="clear" w:color="000000" w:fill="FFFFFF"/>
            <w:vAlign w:val="center"/>
          </w:tcPr>
          <w:p w14:paraId="53085133"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39 038</w:t>
            </w:r>
          </w:p>
        </w:tc>
        <w:tc>
          <w:tcPr>
            <w:tcW w:w="733" w:type="dxa"/>
            <w:tcBorders>
              <w:top w:val="nil"/>
              <w:left w:val="nil"/>
              <w:bottom w:val="nil"/>
              <w:right w:val="nil"/>
            </w:tcBorders>
            <w:shd w:val="clear" w:color="000000" w:fill="FFFFFF"/>
            <w:vAlign w:val="center"/>
          </w:tcPr>
          <w:p w14:paraId="011FEF45"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15,07</w:t>
            </w:r>
          </w:p>
        </w:tc>
      </w:tr>
      <w:tr w:rsidR="00EA177A" w:rsidRPr="00D67952" w14:paraId="4F7205DC" w14:textId="77777777" w:rsidTr="009557B9">
        <w:trPr>
          <w:trHeight w:val="315"/>
        </w:trPr>
        <w:tc>
          <w:tcPr>
            <w:tcW w:w="2460" w:type="dxa"/>
            <w:tcBorders>
              <w:top w:val="nil"/>
              <w:left w:val="nil"/>
              <w:bottom w:val="single" w:sz="8" w:space="0" w:color="auto"/>
              <w:right w:val="nil"/>
            </w:tcBorders>
            <w:shd w:val="clear" w:color="auto" w:fill="auto"/>
            <w:vAlign w:val="center"/>
          </w:tcPr>
          <w:p w14:paraId="238ABA4B" w14:textId="77777777" w:rsidR="00EA177A" w:rsidRPr="00D67952" w:rsidRDefault="00EA177A" w:rsidP="00C704A7">
            <w:pPr>
              <w:spacing w:after="0" w:line="240" w:lineRule="auto"/>
              <w:jc w:val="left"/>
              <w:rPr>
                <w:rFonts w:eastAsia="Times New Roman" w:cs="Times New Roman"/>
                <w:sz w:val="18"/>
                <w:szCs w:val="18"/>
                <w:lang w:eastAsia="sk-SK"/>
              </w:rPr>
            </w:pPr>
            <w:r w:rsidRPr="00D67952">
              <w:rPr>
                <w:rFonts w:eastAsia="Times New Roman" w:cs="Times New Roman"/>
                <w:sz w:val="18"/>
                <w:szCs w:val="18"/>
                <w:lang w:eastAsia="sk-SK"/>
              </w:rPr>
              <w:t>Bývanie a občianska vybavenosť</w:t>
            </w:r>
          </w:p>
        </w:tc>
        <w:tc>
          <w:tcPr>
            <w:tcW w:w="1280" w:type="dxa"/>
            <w:tcBorders>
              <w:top w:val="nil"/>
              <w:left w:val="nil"/>
              <w:bottom w:val="nil"/>
              <w:right w:val="nil"/>
            </w:tcBorders>
            <w:shd w:val="clear" w:color="000000" w:fill="FFFFFF"/>
            <w:noWrap/>
            <w:vAlign w:val="center"/>
          </w:tcPr>
          <w:p w14:paraId="1C1996E1"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126 359</w:t>
            </w:r>
          </w:p>
        </w:tc>
        <w:tc>
          <w:tcPr>
            <w:tcW w:w="1070" w:type="dxa"/>
            <w:tcBorders>
              <w:top w:val="nil"/>
              <w:left w:val="nil"/>
              <w:bottom w:val="nil"/>
              <w:right w:val="nil"/>
            </w:tcBorders>
            <w:shd w:val="clear" w:color="auto" w:fill="auto"/>
            <w:noWrap/>
            <w:vAlign w:val="center"/>
          </w:tcPr>
          <w:p w14:paraId="1CBE0218"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146 354</w:t>
            </w:r>
          </w:p>
        </w:tc>
        <w:tc>
          <w:tcPr>
            <w:tcW w:w="992" w:type="dxa"/>
            <w:tcBorders>
              <w:top w:val="nil"/>
              <w:left w:val="nil"/>
              <w:bottom w:val="nil"/>
              <w:right w:val="nil"/>
            </w:tcBorders>
            <w:shd w:val="clear" w:color="000000" w:fill="FFFFFF"/>
            <w:noWrap/>
            <w:vAlign w:val="center"/>
          </w:tcPr>
          <w:p w14:paraId="406309B7"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126 604</w:t>
            </w:r>
          </w:p>
        </w:tc>
        <w:tc>
          <w:tcPr>
            <w:tcW w:w="1025" w:type="dxa"/>
            <w:tcBorders>
              <w:top w:val="nil"/>
              <w:left w:val="nil"/>
              <w:bottom w:val="nil"/>
              <w:right w:val="nil"/>
            </w:tcBorders>
            <w:shd w:val="clear" w:color="000000" w:fill="BFBFBF"/>
            <w:noWrap/>
            <w:vAlign w:val="center"/>
          </w:tcPr>
          <w:p w14:paraId="327897C2"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148 342</w:t>
            </w:r>
          </w:p>
        </w:tc>
        <w:tc>
          <w:tcPr>
            <w:tcW w:w="960" w:type="dxa"/>
            <w:tcBorders>
              <w:top w:val="nil"/>
              <w:left w:val="nil"/>
              <w:bottom w:val="nil"/>
              <w:right w:val="nil"/>
            </w:tcBorders>
            <w:shd w:val="clear" w:color="000000" w:fill="FFFFFF"/>
            <w:vAlign w:val="center"/>
          </w:tcPr>
          <w:p w14:paraId="5762C4FE"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21 738</w:t>
            </w:r>
          </w:p>
        </w:tc>
        <w:tc>
          <w:tcPr>
            <w:tcW w:w="733" w:type="dxa"/>
            <w:tcBorders>
              <w:top w:val="nil"/>
              <w:left w:val="nil"/>
              <w:bottom w:val="nil"/>
              <w:right w:val="nil"/>
            </w:tcBorders>
            <w:shd w:val="clear" w:color="000000" w:fill="FFFFFF"/>
            <w:vAlign w:val="center"/>
          </w:tcPr>
          <w:p w14:paraId="032C241C" w14:textId="77777777" w:rsidR="00EA177A" w:rsidRPr="00D67952" w:rsidRDefault="00EA177A" w:rsidP="00C704A7">
            <w:pPr>
              <w:spacing w:after="0" w:line="240" w:lineRule="auto"/>
              <w:jc w:val="right"/>
              <w:rPr>
                <w:rFonts w:eastAsia="Times New Roman" w:cs="Times New Roman"/>
                <w:sz w:val="18"/>
                <w:szCs w:val="18"/>
                <w:lang w:eastAsia="sk-SK"/>
              </w:rPr>
            </w:pPr>
            <w:r w:rsidRPr="00D67952">
              <w:rPr>
                <w:rFonts w:eastAsia="Times New Roman" w:cs="Times New Roman"/>
                <w:sz w:val="18"/>
                <w:szCs w:val="18"/>
                <w:lang w:eastAsia="sk-SK"/>
              </w:rPr>
              <w:t>17,17</w:t>
            </w:r>
          </w:p>
        </w:tc>
      </w:tr>
      <w:tr w:rsidR="00EA177A" w:rsidRPr="00D67952" w14:paraId="111E7629" w14:textId="77777777" w:rsidTr="009557B9">
        <w:trPr>
          <w:trHeight w:val="315"/>
        </w:trPr>
        <w:tc>
          <w:tcPr>
            <w:tcW w:w="2460" w:type="dxa"/>
            <w:tcBorders>
              <w:top w:val="nil"/>
              <w:left w:val="nil"/>
              <w:bottom w:val="single" w:sz="8" w:space="0" w:color="auto"/>
              <w:right w:val="nil"/>
            </w:tcBorders>
            <w:shd w:val="clear" w:color="000000" w:fill="FFFFFF"/>
            <w:noWrap/>
            <w:vAlign w:val="center"/>
            <w:hideMark/>
          </w:tcPr>
          <w:p w14:paraId="6457B1E6" w14:textId="77777777" w:rsidR="00EA177A" w:rsidRPr="00D67952" w:rsidRDefault="00EA177A" w:rsidP="00C704A7">
            <w:pPr>
              <w:spacing w:after="0" w:line="240" w:lineRule="auto"/>
              <w:jc w:val="left"/>
              <w:rPr>
                <w:rFonts w:eastAsia="Times New Roman" w:cs="Times New Roman"/>
                <w:b/>
                <w:bCs/>
                <w:sz w:val="18"/>
                <w:szCs w:val="18"/>
                <w:lang w:eastAsia="sk-SK"/>
              </w:rPr>
            </w:pPr>
            <w:r w:rsidRPr="00D67952">
              <w:rPr>
                <w:rFonts w:eastAsia="Times New Roman" w:cs="Times New Roman"/>
                <w:b/>
                <w:bCs/>
                <w:sz w:val="18"/>
                <w:szCs w:val="18"/>
                <w:lang w:eastAsia="sk-SK"/>
              </w:rPr>
              <w:t>Spolu</w:t>
            </w:r>
          </w:p>
        </w:tc>
        <w:tc>
          <w:tcPr>
            <w:tcW w:w="1280" w:type="dxa"/>
            <w:tcBorders>
              <w:top w:val="single" w:sz="8" w:space="0" w:color="auto"/>
              <w:left w:val="nil"/>
              <w:bottom w:val="single" w:sz="8" w:space="0" w:color="auto"/>
              <w:right w:val="nil"/>
            </w:tcBorders>
            <w:shd w:val="clear" w:color="000000" w:fill="FFFFFF"/>
            <w:noWrap/>
            <w:vAlign w:val="center"/>
            <w:hideMark/>
          </w:tcPr>
          <w:p w14:paraId="1350A165"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15 234 260</w:t>
            </w:r>
          </w:p>
        </w:tc>
        <w:tc>
          <w:tcPr>
            <w:tcW w:w="1070" w:type="dxa"/>
            <w:tcBorders>
              <w:top w:val="single" w:sz="8" w:space="0" w:color="auto"/>
              <w:left w:val="nil"/>
              <w:bottom w:val="single" w:sz="8" w:space="0" w:color="auto"/>
              <w:right w:val="nil"/>
            </w:tcBorders>
            <w:shd w:val="clear" w:color="auto" w:fill="auto"/>
            <w:noWrap/>
            <w:vAlign w:val="center"/>
            <w:hideMark/>
          </w:tcPr>
          <w:p w14:paraId="174C5531"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16 563 254</w:t>
            </w:r>
          </w:p>
        </w:tc>
        <w:tc>
          <w:tcPr>
            <w:tcW w:w="992" w:type="dxa"/>
            <w:tcBorders>
              <w:top w:val="single" w:sz="8" w:space="0" w:color="auto"/>
              <w:left w:val="nil"/>
              <w:bottom w:val="single" w:sz="8" w:space="0" w:color="auto"/>
              <w:right w:val="nil"/>
            </w:tcBorders>
            <w:shd w:val="clear" w:color="000000" w:fill="FFFFFF"/>
            <w:noWrap/>
            <w:vAlign w:val="center"/>
            <w:hideMark/>
          </w:tcPr>
          <w:p w14:paraId="666D06CD"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17 538 901</w:t>
            </w:r>
          </w:p>
        </w:tc>
        <w:tc>
          <w:tcPr>
            <w:tcW w:w="1025" w:type="dxa"/>
            <w:tcBorders>
              <w:top w:val="single" w:sz="8" w:space="0" w:color="auto"/>
              <w:left w:val="nil"/>
              <w:bottom w:val="single" w:sz="8" w:space="0" w:color="auto"/>
              <w:right w:val="nil"/>
            </w:tcBorders>
            <w:shd w:val="clear" w:color="000000" w:fill="BFBFBF"/>
            <w:noWrap/>
            <w:vAlign w:val="center"/>
            <w:hideMark/>
          </w:tcPr>
          <w:p w14:paraId="7FAAC3AE"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18 027 016</w:t>
            </w:r>
          </w:p>
        </w:tc>
        <w:tc>
          <w:tcPr>
            <w:tcW w:w="960" w:type="dxa"/>
            <w:tcBorders>
              <w:top w:val="single" w:sz="8" w:space="0" w:color="auto"/>
              <w:left w:val="nil"/>
              <w:bottom w:val="single" w:sz="8" w:space="0" w:color="auto"/>
              <w:right w:val="nil"/>
            </w:tcBorders>
            <w:shd w:val="clear" w:color="000000" w:fill="FFFFFF"/>
            <w:noWrap/>
            <w:vAlign w:val="center"/>
            <w:hideMark/>
          </w:tcPr>
          <w:p w14:paraId="5521E8EA" w14:textId="77777777" w:rsidR="00EA177A" w:rsidRPr="00D67952" w:rsidRDefault="00EA177A" w:rsidP="00C704A7">
            <w:pPr>
              <w:spacing w:after="0" w:line="240" w:lineRule="auto"/>
              <w:jc w:val="right"/>
              <w:rPr>
                <w:rFonts w:eastAsia="Times New Roman" w:cs="Times New Roman"/>
                <w:b/>
                <w:bCs/>
                <w:sz w:val="18"/>
                <w:szCs w:val="18"/>
                <w:lang w:eastAsia="sk-SK"/>
              </w:rPr>
            </w:pPr>
            <w:r w:rsidRPr="00D67952">
              <w:rPr>
                <w:rFonts w:eastAsia="Times New Roman" w:cs="Times New Roman"/>
                <w:b/>
                <w:bCs/>
                <w:sz w:val="18"/>
                <w:szCs w:val="18"/>
                <w:lang w:eastAsia="sk-SK"/>
              </w:rPr>
              <w:t>488 115</w:t>
            </w:r>
          </w:p>
        </w:tc>
        <w:tc>
          <w:tcPr>
            <w:tcW w:w="733" w:type="dxa"/>
            <w:tcBorders>
              <w:top w:val="single" w:sz="8" w:space="0" w:color="auto"/>
              <w:left w:val="nil"/>
              <w:bottom w:val="single" w:sz="8" w:space="0" w:color="auto"/>
              <w:right w:val="nil"/>
            </w:tcBorders>
            <w:shd w:val="clear" w:color="000000" w:fill="FFFFFF"/>
            <w:noWrap/>
            <w:vAlign w:val="center"/>
            <w:hideMark/>
          </w:tcPr>
          <w:p w14:paraId="10F138D8" w14:textId="18A8B5E0" w:rsidR="00EA177A" w:rsidRPr="00D67952" w:rsidRDefault="009557B9" w:rsidP="00C704A7">
            <w:pPr>
              <w:spacing w:after="0" w:line="240" w:lineRule="auto"/>
              <w:jc w:val="right"/>
              <w:rPr>
                <w:rFonts w:eastAsia="Times New Roman" w:cs="Times New Roman"/>
                <w:b/>
                <w:bCs/>
                <w:sz w:val="18"/>
                <w:szCs w:val="18"/>
                <w:lang w:eastAsia="sk-SK"/>
              </w:rPr>
            </w:pPr>
            <w:r>
              <w:rPr>
                <w:rFonts w:eastAsia="Times New Roman" w:cs="Times New Roman"/>
                <w:b/>
                <w:bCs/>
                <w:sz w:val="18"/>
                <w:szCs w:val="18"/>
                <w:lang w:eastAsia="sk-SK"/>
              </w:rPr>
              <w:t>100</w:t>
            </w:r>
          </w:p>
        </w:tc>
      </w:tr>
    </w:tbl>
    <w:p w14:paraId="58A7C581" w14:textId="77777777" w:rsidR="00EA177A" w:rsidRPr="00A84D59" w:rsidRDefault="00EA177A" w:rsidP="00EA177A">
      <w:pPr>
        <w:rPr>
          <w:sz w:val="18"/>
          <w:szCs w:val="18"/>
        </w:rPr>
      </w:pPr>
      <w:r>
        <w:rPr>
          <w:sz w:val="18"/>
          <w:szCs w:val="18"/>
        </w:rPr>
        <w:t>Oddiely funkčnej klasifikácie sú zoradené podľa hodnoty za skutočnosť 2019</w:t>
      </w:r>
      <w:r>
        <w:rPr>
          <w:sz w:val="18"/>
          <w:szCs w:val="18"/>
        </w:rPr>
        <w:tab/>
      </w:r>
      <w:r>
        <w:rPr>
          <w:sz w:val="18"/>
          <w:szCs w:val="18"/>
        </w:rPr>
        <w:tab/>
      </w:r>
      <w:r>
        <w:rPr>
          <w:sz w:val="18"/>
          <w:szCs w:val="18"/>
        </w:rPr>
        <w:tab/>
        <w:t xml:space="preserve">         </w:t>
      </w:r>
      <w:r w:rsidRPr="00A84D59">
        <w:rPr>
          <w:sz w:val="18"/>
          <w:szCs w:val="18"/>
        </w:rPr>
        <w:t>Zdroj: MF SR</w:t>
      </w:r>
    </w:p>
    <w:p w14:paraId="3750D210" w14:textId="77777777" w:rsidR="00EA177A" w:rsidRPr="00997060" w:rsidRDefault="00EA177A" w:rsidP="005A4F98">
      <w:pPr>
        <w:tabs>
          <w:tab w:val="left" w:pos="284"/>
        </w:tabs>
        <w:spacing w:before="240"/>
        <w:rPr>
          <w:b/>
        </w:rPr>
      </w:pPr>
      <w:r w:rsidRPr="00997060">
        <w:rPr>
          <w:b/>
        </w:rPr>
        <w:t>Všeobecné verejné služby</w:t>
      </w:r>
    </w:p>
    <w:p w14:paraId="32976E61" w14:textId="77777777" w:rsidR="00EA177A" w:rsidRPr="00997060" w:rsidRDefault="00EA177A" w:rsidP="00EA177A">
      <w:r w:rsidRPr="00997060">
        <w:t>Výdavky na všeobecné verejné služby tvorili 18,7 % podiel z celkových výdavkov štátneho rozpočtu. Tieto výdavky zahrňujú prostriedky verejnej správy na činnosť vymedzeného okruhu ústredných orgánov štátnej správy, výdavky na správu štátneho dlhu, na základný výskum, na zahraničnú hospodársku pomoc. V porovnaní s minulým rokom došlo k zvýšeniu výdavkov o 125 655 tis. eur.</w:t>
      </w:r>
    </w:p>
    <w:p w14:paraId="76724C69" w14:textId="77777777" w:rsidR="00EA177A" w:rsidRPr="00A8554A" w:rsidRDefault="00EA177A" w:rsidP="00EA177A">
      <w:r w:rsidRPr="00F729D6">
        <w:t xml:space="preserve">Najviac finančných prostriedkov bolo čerpaných v oblasti Výkonné a zákonodarné orgány, finančné a rozpočtové záležitosti, zahraničné vzťahy (1 847 523 tis. eur), kde odvody do rozpočtu Európskej únie založené na dani z pridanej hodnoty a hrubom národnom produkte dosiahli v kapitole Všeobecná pokladničná správa sumu 750 226 tis. eur. </w:t>
      </w:r>
      <w:r w:rsidRPr="006A1C8B">
        <w:t>Výdavky Ministerstva financi</w:t>
      </w:r>
      <w:r>
        <w:t>í SR predstavovali 480 615 tis. </w:t>
      </w:r>
      <w:r w:rsidRPr="006A1C8B">
        <w:t>eur.</w:t>
      </w:r>
    </w:p>
    <w:p w14:paraId="19EA5BCC" w14:textId="77777777" w:rsidR="00EA177A" w:rsidRPr="002A5B02" w:rsidRDefault="00EA177A" w:rsidP="00EA177A">
      <w:pPr>
        <w:tabs>
          <w:tab w:val="left" w:pos="284"/>
        </w:tabs>
      </w:pPr>
      <w:r w:rsidRPr="00DE0FBF">
        <w:rPr>
          <w:b/>
        </w:rPr>
        <w:t>Ekonomická oblasť</w:t>
      </w:r>
    </w:p>
    <w:p w14:paraId="4ED05A21" w14:textId="77777777" w:rsidR="00EA177A" w:rsidRPr="002A5B02" w:rsidRDefault="00EA177A" w:rsidP="00EA177A">
      <w:r w:rsidRPr="00DE0FBF">
        <w:t xml:space="preserve">Výdavky v tomto oddiele tvorili 18,8 % z celkových výdavkov. V rámci ekonomickej oblasti sa triedia výdavky súvisiace s rôznymi druhmi dopravy a budovaním dopravnej infraštruktúry, s poľnohospodárstvom, lesníctvom, odvetviami palív a energií, ťažbou nerastných surovín a pod. </w:t>
      </w:r>
      <w:r w:rsidRPr="002A5B02">
        <w:t>Najvyššie výdavky v tejto oblasti malo Ministerstvo dopravy a výstavby SR (1 563 544 tis. eur) a Ministerstvo pôdohospodárstva a rozvoja vidieka SR (1 179 299 tis. eur).</w:t>
      </w:r>
    </w:p>
    <w:p w14:paraId="2A1E8698" w14:textId="25DA827C" w:rsidR="00EA177A" w:rsidRPr="00171FE2" w:rsidRDefault="00EA177A" w:rsidP="00EA177A">
      <w:r w:rsidRPr="006A64E3">
        <w:t xml:space="preserve">V skupine </w:t>
      </w:r>
      <w:r w:rsidRPr="006A64E3">
        <w:rPr>
          <w:i/>
        </w:rPr>
        <w:t>Doprava</w:t>
      </w:r>
      <w:r w:rsidRPr="006A64E3">
        <w:t xml:space="preserve"> dosiahli skutočné výdavky 1 501 012 tis. </w:t>
      </w:r>
      <w:r w:rsidRPr="008D6A98">
        <w:t>eur (2018: 1 800 3</w:t>
      </w:r>
      <w:r>
        <w:t>44</w:t>
      </w:r>
      <w:r w:rsidR="00697006">
        <w:t> tis. eur),</w:t>
      </w:r>
      <w:r w:rsidR="00697006">
        <w:br/>
      </w:r>
      <w:r w:rsidRPr="008D6A98">
        <w:t>a v porovnaní so schváleným rozpočtom došlo k nárastu o </w:t>
      </w:r>
      <w:r w:rsidRPr="007075A8">
        <w:t xml:space="preserve">654 018 tis. </w:t>
      </w:r>
      <w:r w:rsidRPr="00171FE2">
        <w:t xml:space="preserve">eur v súvislosti s výstavbou, rekonštrukciou a modernizáciou cestnej a železničnej </w:t>
      </w:r>
      <w:r>
        <w:t>infraštruktúry.</w:t>
      </w:r>
    </w:p>
    <w:p w14:paraId="701E508E" w14:textId="77777777" w:rsidR="00EA177A" w:rsidRPr="007F2A73" w:rsidRDefault="00EA177A" w:rsidP="00EA177A">
      <w:r w:rsidRPr="00171FE2">
        <w:t xml:space="preserve">V skupine </w:t>
      </w:r>
      <w:r w:rsidRPr="00171FE2">
        <w:rPr>
          <w:i/>
        </w:rPr>
        <w:t>Poľnohospodárstvo, lesníctvo, rybárstvo a poľovníctvo</w:t>
      </w:r>
      <w:r w:rsidRPr="00171FE2">
        <w:t xml:space="preserve"> bola dosiahnutá skutočnosť 991 746 tis. eur </w:t>
      </w:r>
      <w:r w:rsidRPr="007075A8">
        <w:t xml:space="preserve">(2018: 903 815 tis. eur), </w:t>
      </w:r>
      <w:r w:rsidRPr="00171FE2">
        <w:t>pričom ide najmä o financovanie operačných programov v oblasti poľnohospodárstva zo zdrojov EÚ.</w:t>
      </w:r>
    </w:p>
    <w:p w14:paraId="56054189" w14:textId="77777777" w:rsidR="00EA177A" w:rsidRPr="00DA33E0" w:rsidRDefault="00EA177A" w:rsidP="00EA177A">
      <w:r w:rsidRPr="007F2A73">
        <w:t xml:space="preserve">V skupine </w:t>
      </w:r>
      <w:r w:rsidRPr="00176A08">
        <w:rPr>
          <w:i/>
        </w:rPr>
        <w:t>Všeobecná ekonomická, obchodná a pracovná oblasť</w:t>
      </w:r>
      <w:r w:rsidRPr="00176A08">
        <w:t xml:space="preserve"> došlo k zníženiu skutočnosti (720 084 tis. eur) v porovnaní so schváleným rozpočtom o 630 07</w:t>
      </w:r>
      <w:r w:rsidRPr="00E53CA2">
        <w:t>4</w:t>
      </w:r>
      <w:r w:rsidRPr="007F2A73">
        <w:t> tis. eur. Najväčšie zníženie nastalo u </w:t>
      </w:r>
      <w:r w:rsidRPr="00DA33E0">
        <w:t>Všeobecnej pokladničnej správy vo výške 717 680 tis. eur</w:t>
      </w:r>
      <w:r>
        <w:t>, spôsobené presunom rozpočtovaných výdavkov do ostatných kapitol ŠR.</w:t>
      </w:r>
    </w:p>
    <w:p w14:paraId="22AFF89E" w14:textId="77777777" w:rsidR="00EA177A" w:rsidRPr="00971A4E" w:rsidRDefault="00EA177A" w:rsidP="00EA177A">
      <w:pPr>
        <w:tabs>
          <w:tab w:val="left" w:pos="284"/>
        </w:tabs>
        <w:rPr>
          <w:b/>
        </w:rPr>
      </w:pPr>
      <w:r w:rsidRPr="00971A4E">
        <w:rPr>
          <w:b/>
        </w:rPr>
        <w:t>Sociálne zabezpečenie</w:t>
      </w:r>
    </w:p>
    <w:p w14:paraId="53E182B0" w14:textId="77777777" w:rsidR="00EA177A" w:rsidRPr="00D675FF" w:rsidRDefault="00EA177A" w:rsidP="00EA177A">
      <w:r w:rsidRPr="00971A4E">
        <w:t>Výdavky v oddiele sociálne zabezpečenie tvorili 20,4 % z celkových výdavkov. Ide o prostriedky štátneho rozpočtu, ktoré sa vynakladajú na poskytovanie sociálnej ochrany v starobe, na podporu rodiny a detí, na sociálnu pomoc občanom v hmotnej a sociálnej núdzi, na chorobu, invaliditu a ťažké zdravotné postihnutie a pod.</w:t>
      </w:r>
      <w:r w:rsidRPr="000A0548">
        <w:t xml:space="preserve"> V</w:t>
      </w:r>
      <w:r>
        <w:t> kapitole</w:t>
      </w:r>
      <w:r w:rsidRPr="00D675FF">
        <w:t xml:space="preserve"> Všeobecná pokladničná správa bola najväčšia úspora v skupine </w:t>
      </w:r>
      <w:r w:rsidRPr="00D675FF">
        <w:rPr>
          <w:i/>
        </w:rPr>
        <w:t>Staroba</w:t>
      </w:r>
      <w:r w:rsidRPr="00D675FF">
        <w:t xml:space="preserve"> v porovnaní so schváleným rozpočtom vo výške 61 251 tis. eur, </w:t>
      </w:r>
      <w:r>
        <w:t>nakoľko nebol vyplatený žiadny transfer Sociálnej poisťovni na dôchodkovú reformu</w:t>
      </w:r>
      <w:r w:rsidRPr="00D675FF">
        <w:t>.</w:t>
      </w:r>
    </w:p>
    <w:p w14:paraId="0D5F8A1C" w14:textId="77777777" w:rsidR="00EA177A" w:rsidRPr="00971A4E" w:rsidRDefault="00EA177A" w:rsidP="00EA177A">
      <w:r w:rsidRPr="00971A4E">
        <w:t>Druhou najvyššou úsporou</w:t>
      </w:r>
      <w:r w:rsidRPr="00E53CA2">
        <w:t xml:space="preserve"> oproti schválenému rozpočtu</w:t>
      </w:r>
      <w:r w:rsidRPr="00971A4E">
        <w:t xml:space="preserve"> v sume 19 863 tis. eur boli výdav</w:t>
      </w:r>
      <w:r w:rsidRPr="00AD5798">
        <w:t xml:space="preserve">ky v skupine </w:t>
      </w:r>
      <w:r w:rsidRPr="00971A4E">
        <w:rPr>
          <w:i/>
        </w:rPr>
        <w:t>Sociálna pomoc občanom v hmotnej a sociálnej núdzi</w:t>
      </w:r>
      <w:r w:rsidRPr="00971A4E">
        <w:t xml:space="preserve">. Nižšie výdavky ako plánované, boli z dôvodu poklesu počtu poberateľov najmä dávky v hmotnej núdzi. </w:t>
      </w:r>
    </w:p>
    <w:p w14:paraId="2542046D" w14:textId="77777777" w:rsidR="00EA177A" w:rsidRPr="00AD5798" w:rsidRDefault="00EA177A" w:rsidP="00EA177A">
      <w:pPr>
        <w:rPr>
          <w:b/>
        </w:rPr>
      </w:pPr>
      <w:r w:rsidRPr="00AD5798">
        <w:rPr>
          <w:b/>
        </w:rPr>
        <w:t>Vzdelávanie</w:t>
      </w:r>
    </w:p>
    <w:p w14:paraId="70B0A289" w14:textId="77777777" w:rsidR="00EA177A" w:rsidRPr="004C20C1" w:rsidRDefault="00EA177A" w:rsidP="00EA177A">
      <w:r w:rsidRPr="00AD5798">
        <w:t xml:space="preserve">Výdavky na vzdelávanie v roku 2019 predstavovali 13,8 % z celkových výdavkov. Okrem financovania všetkých stupňov vzdelávania sa výdavky vynaložili aj na služby v školstve, napr. v oblasti stravovania, dopravy, lekárskej starostlivosti a na činnosť orgánov a organizácií, ktoré vzdelávanie zabezpečujú. Oproti minulému roku výdavky vzrástli o 259 178 tis. eur. </w:t>
      </w:r>
      <w:r w:rsidRPr="009811AB">
        <w:t xml:space="preserve">Najvyššie </w:t>
      </w:r>
      <w:r w:rsidRPr="00E53CA2">
        <w:t xml:space="preserve">celkové </w:t>
      </w:r>
      <w:r w:rsidRPr="009811AB">
        <w:t xml:space="preserve">výdavky </w:t>
      </w:r>
      <w:r w:rsidRPr="00E53CA2">
        <w:t xml:space="preserve">určené na vzdelávanie </w:t>
      </w:r>
      <w:r w:rsidRPr="004C20C1">
        <w:t xml:space="preserve">boli na kapitole Ministerstva vnútra SR (1 447 241 tis. eur) a kapitole Ministerstva školstva, </w:t>
      </w:r>
      <w:r w:rsidRPr="003641DD">
        <w:t>vedy, výskumu a </w:t>
      </w:r>
      <w:r>
        <w:t xml:space="preserve">športu SR (1 020 235 tis. eur). Medziročný nárast tvorili najmä zvýšené výdavky na úhradu preneseného výkonu štátnej správy obciam a VÚC ako aj bežné výdavky pre verejné vysoké školy. </w:t>
      </w:r>
      <w:r w:rsidRPr="00D176F7">
        <w:t>V</w:t>
      </w:r>
      <w:r w:rsidRPr="004C20C1">
        <w:t> oblasti vzdelávania boli výdavky vynaložené najmä na v</w:t>
      </w:r>
      <w:r w:rsidRPr="004C20C1">
        <w:rPr>
          <w:i/>
        </w:rPr>
        <w:t>zdelávanie inde neklasifikované</w:t>
      </w:r>
      <w:r w:rsidRPr="004C20C1">
        <w:t xml:space="preserve"> vo výške 1 309 923 tis. eur, na </w:t>
      </w:r>
      <w:r w:rsidRPr="004C20C1">
        <w:rPr>
          <w:i/>
        </w:rPr>
        <w:t>sekundárne vzdelávanie</w:t>
      </w:r>
      <w:r w:rsidRPr="004C20C1">
        <w:t xml:space="preserve"> vo výške 575 0</w:t>
      </w:r>
      <w:r w:rsidRPr="00E53CA2">
        <w:t>30</w:t>
      </w:r>
      <w:r w:rsidRPr="004C20C1">
        <w:t xml:space="preserve"> tis. eur a na </w:t>
      </w:r>
      <w:r w:rsidRPr="003641DD">
        <w:rPr>
          <w:i/>
        </w:rPr>
        <w:t>terciárne vzdelávanie</w:t>
      </w:r>
      <w:r w:rsidRPr="00D176F7">
        <w:t xml:space="preserve"> vo výške 375 920 tis. eur.</w:t>
      </w:r>
    </w:p>
    <w:p w14:paraId="435852E9" w14:textId="77777777" w:rsidR="00EA177A" w:rsidRPr="003641DD" w:rsidRDefault="00EA177A" w:rsidP="00EA177A">
      <w:pPr>
        <w:rPr>
          <w:b/>
        </w:rPr>
      </w:pPr>
      <w:r w:rsidRPr="003641DD">
        <w:rPr>
          <w:b/>
        </w:rPr>
        <w:t>Verejný poriadok a bezpečnosť</w:t>
      </w:r>
    </w:p>
    <w:p w14:paraId="2E719946" w14:textId="06D5ECD6" w:rsidR="00EA177A" w:rsidRPr="00C46571" w:rsidRDefault="00EA177A" w:rsidP="00EA177A">
      <w:r w:rsidRPr="003641DD">
        <w:t>Výdavky predstavovali 11,8 % z celkových výdavkov. Ide o oblasť činností štátnej polície, súdov, potreby väzenstva, ochranu pred požiarmi ako aj financovanie ústredných orgánov, ktoré tieto činnosti kompetenčne zabezpečujú. Výdavky oproti minulému roku vzrástli o 156 196 tis. eur. Na celkovom prekročení schváleného rozpočtu o 294 44</w:t>
      </w:r>
      <w:r w:rsidRPr="00E53CA2">
        <w:t>2</w:t>
      </w:r>
      <w:r w:rsidRPr="003641DD">
        <w:t xml:space="preserve"> tis. eur sa podieľali </w:t>
      </w:r>
      <w:r w:rsidRPr="00E53CA2">
        <w:t xml:space="preserve">najmä </w:t>
      </w:r>
      <w:r w:rsidRPr="003641DD">
        <w:t>výdavky na</w:t>
      </w:r>
      <w:r w:rsidRPr="003641DD">
        <w:rPr>
          <w:i/>
        </w:rPr>
        <w:t xml:space="preserve"> verejný poriadok a bezpečnosť</w:t>
      </w:r>
      <w:r w:rsidRPr="00D9797A">
        <w:t xml:space="preserve"> </w:t>
      </w:r>
      <w:r w:rsidRPr="00D9797A">
        <w:rPr>
          <w:i/>
        </w:rPr>
        <w:t xml:space="preserve">inde neklasifikované </w:t>
      </w:r>
      <w:r w:rsidRPr="00370F01">
        <w:t xml:space="preserve">(o 89 317 tis. eur) a na </w:t>
      </w:r>
      <w:r w:rsidRPr="00370F01">
        <w:rPr>
          <w:i/>
        </w:rPr>
        <w:t xml:space="preserve">ochranu pred požiarmi </w:t>
      </w:r>
      <w:r w:rsidRPr="00C46571">
        <w:t>(o 78 244 tis. eur).</w:t>
      </w:r>
      <w:r>
        <w:t xml:space="preserve"> Jedným z dôvodov nárastu skutočnosti bol nákup dopravných prostriedkov, predovšetkým špeciálnych automobilov na kapitole Ministerstva vnútra SR</w:t>
      </w:r>
      <w:r w:rsidR="00E96903">
        <w:t>.</w:t>
      </w:r>
    </w:p>
    <w:p w14:paraId="5711EA18" w14:textId="77777777" w:rsidR="00EA177A" w:rsidRPr="00D176F7" w:rsidRDefault="00EA177A" w:rsidP="00EA177A">
      <w:pPr>
        <w:rPr>
          <w:b/>
        </w:rPr>
      </w:pPr>
      <w:r w:rsidRPr="00D176F7">
        <w:rPr>
          <w:b/>
        </w:rPr>
        <w:t>Obrana</w:t>
      </w:r>
    </w:p>
    <w:p w14:paraId="654E887D" w14:textId="77777777" w:rsidR="00EA177A" w:rsidRDefault="00EA177A" w:rsidP="00EA177A">
      <w:r w:rsidRPr="00D176F7">
        <w:t xml:space="preserve">Výdavky v oddiele Obrana tvoria 8,4 % z celkových výdavkov. Ide hlavne o výdavky na vojenskú a civilnú ochranu a zahraničnú vojenskú pomoc. Výdavky na </w:t>
      </w:r>
      <w:r w:rsidRPr="00D176F7">
        <w:rPr>
          <w:i/>
        </w:rPr>
        <w:t>vojenskú obranu</w:t>
      </w:r>
      <w:r w:rsidRPr="00D176F7">
        <w:t xml:space="preserve"> dosiahli 1 446 056 tis. eur, z toho výdavky Ministerstva obrany SR boli v celkovej hodnote 1 438 702 tis. eur, z toho na obstaranie tovarov a služieb sa použilo </w:t>
      </w:r>
      <w:r>
        <w:t>322</w:t>
      </w:r>
      <w:r w:rsidRPr="00E53CA2">
        <w:t> </w:t>
      </w:r>
      <w:r>
        <w:t>193</w:t>
      </w:r>
      <w:r w:rsidRPr="00D176F7">
        <w:t> tis. eur</w:t>
      </w:r>
      <w:r w:rsidRPr="00E53CA2">
        <w:t>,</w:t>
      </w:r>
      <w:r w:rsidRPr="0098256F">
        <w:t xml:space="preserve"> na mzdové prostriedky </w:t>
      </w:r>
      <w:r>
        <w:t>333</w:t>
      </w:r>
      <w:r w:rsidRPr="000E5386">
        <w:t> </w:t>
      </w:r>
      <w:r>
        <w:t>208</w:t>
      </w:r>
      <w:r w:rsidRPr="00D176F7">
        <w:t> tis. eur.</w:t>
      </w:r>
      <w:r>
        <w:t xml:space="preserve"> Medziročné zvýšenie výdavkov o 520 453 tis. eur súviselo s nákupom š</w:t>
      </w:r>
      <w:r w:rsidRPr="008A7B4B">
        <w:t>peciálnych strojov, prístrojov, zariadení</w:t>
      </w:r>
      <w:r>
        <w:t xml:space="preserve"> a </w:t>
      </w:r>
      <w:r w:rsidRPr="008A7B4B">
        <w:t>technik</w:t>
      </w:r>
      <w:r>
        <w:t>y, kde došlo k medziročnému nárastu o 387 372 tis. eur.</w:t>
      </w:r>
    </w:p>
    <w:p w14:paraId="10D70139" w14:textId="77777777" w:rsidR="00EA177A" w:rsidRPr="0098256F" w:rsidRDefault="00EA177A" w:rsidP="00EA177A">
      <w:pPr>
        <w:tabs>
          <w:tab w:val="left" w:pos="284"/>
        </w:tabs>
        <w:rPr>
          <w:b/>
        </w:rPr>
      </w:pPr>
      <w:r w:rsidRPr="0098256F">
        <w:rPr>
          <w:b/>
        </w:rPr>
        <w:t>Ochrana životného prostredia</w:t>
      </w:r>
    </w:p>
    <w:p w14:paraId="2356AB12" w14:textId="77777777" w:rsidR="00EA177A" w:rsidRPr="000F1BC0" w:rsidRDefault="00EA177A" w:rsidP="00EA177A">
      <w:r w:rsidRPr="0098256F">
        <w:t xml:space="preserve">Výdavky v tomto oddiele tvoria 2,8 % z celkových výdavkov. V tomto odvetví boli výdavky v hodnote 502 447 tis. eur rovnako ako v predchádzajúcich rozpočtových obdobiach vynaložené najmä na </w:t>
      </w:r>
      <w:r w:rsidRPr="0098256F">
        <w:rPr>
          <w:i/>
        </w:rPr>
        <w:t xml:space="preserve">znižovanie znečistenia </w:t>
      </w:r>
      <w:r w:rsidRPr="0098256F">
        <w:t>(203 293 tis. eur)</w:t>
      </w:r>
      <w:r w:rsidRPr="0098256F">
        <w:rPr>
          <w:i/>
        </w:rPr>
        <w:t xml:space="preserve"> </w:t>
      </w:r>
      <w:r w:rsidRPr="0098256F">
        <w:t>a na</w:t>
      </w:r>
      <w:r w:rsidRPr="0098256F">
        <w:rPr>
          <w:i/>
        </w:rPr>
        <w:t xml:space="preserve"> nakladanie s odpadmi</w:t>
      </w:r>
      <w:r w:rsidRPr="0098256F">
        <w:t xml:space="preserve"> (117 165 tis. eur). </w:t>
      </w:r>
      <w:r>
        <w:t xml:space="preserve">Najvyšší medziročný nárast nastal v skupine </w:t>
      </w:r>
      <w:r>
        <w:rPr>
          <w:i/>
        </w:rPr>
        <w:t xml:space="preserve">znižovanie znečistenia, </w:t>
      </w:r>
      <w:r>
        <w:t>a to o 58 375 tis. eur.</w:t>
      </w:r>
    </w:p>
    <w:p w14:paraId="4EED9054" w14:textId="77777777" w:rsidR="00EA177A" w:rsidRPr="002061D2" w:rsidRDefault="00EA177A" w:rsidP="00EA177A">
      <w:pPr>
        <w:tabs>
          <w:tab w:val="left" w:pos="284"/>
        </w:tabs>
        <w:rPr>
          <w:b/>
        </w:rPr>
      </w:pPr>
      <w:r w:rsidRPr="002061D2">
        <w:rPr>
          <w:b/>
        </w:rPr>
        <w:t>Rekreácia, kultúra a náboženstvo</w:t>
      </w:r>
    </w:p>
    <w:p w14:paraId="0AC6C89A" w14:textId="77777777" w:rsidR="00EA177A" w:rsidRPr="00354E78" w:rsidRDefault="00EA177A" w:rsidP="00EA177A">
      <w:r w:rsidRPr="002061D2">
        <w:t>Výdavky na rekreáci</w:t>
      </w:r>
      <w:r>
        <w:t>e</w:t>
      </w:r>
      <w:r w:rsidRPr="002061D2">
        <w:t xml:space="preserve">, kultúru a náboženstvo boli realizované vo výške 508 000 tis. eur. Najväčšia časť výdavkov bola v kapitole Ministerstva kultúry SR (325 384 tis. eur). Celkovo boli </w:t>
      </w:r>
      <w:r w:rsidRPr="00E53CA2">
        <w:t>n</w:t>
      </w:r>
      <w:r w:rsidRPr="002061D2">
        <w:t>ajvyššie výdavky</w:t>
      </w:r>
      <w:r w:rsidRPr="00E53CA2">
        <w:t xml:space="preserve"> </w:t>
      </w:r>
      <w:r w:rsidRPr="00521221">
        <w:t>v </w:t>
      </w:r>
      <w:r>
        <w:t>skupine</w:t>
      </w:r>
      <w:r w:rsidRPr="00521221">
        <w:t xml:space="preserve"> </w:t>
      </w:r>
      <w:r w:rsidRPr="00521221">
        <w:rPr>
          <w:i/>
        </w:rPr>
        <w:t>kultúrnych služieb</w:t>
      </w:r>
      <w:r w:rsidRPr="00521221">
        <w:t xml:space="preserve"> v celkovej výške 212 205</w:t>
      </w:r>
      <w:r>
        <w:t xml:space="preserve"> tis. eur a v skupine </w:t>
      </w:r>
      <w:r w:rsidRPr="00354E78">
        <w:rPr>
          <w:i/>
        </w:rPr>
        <w:t>rekreačné a športové služby</w:t>
      </w:r>
      <w:r>
        <w:rPr>
          <w:i/>
        </w:rPr>
        <w:t xml:space="preserve"> </w:t>
      </w:r>
      <w:r>
        <w:t>151 293 tis. eur, kde bol zaznamenaný aj najvyšší medziročný nárast o 57 512 tis. eur.</w:t>
      </w:r>
    </w:p>
    <w:p w14:paraId="070A6682" w14:textId="77777777" w:rsidR="00EA177A" w:rsidRPr="00521221" w:rsidRDefault="00EA177A" w:rsidP="00EA177A">
      <w:pPr>
        <w:tabs>
          <w:tab w:val="left" w:pos="284"/>
        </w:tabs>
      </w:pPr>
      <w:r w:rsidRPr="00521221">
        <w:rPr>
          <w:b/>
        </w:rPr>
        <w:t>Bývanie a občianska vybavenosť</w:t>
      </w:r>
    </w:p>
    <w:p w14:paraId="0C218BAF" w14:textId="269D937A" w:rsidR="00EA177A" w:rsidRDefault="00EA177A" w:rsidP="00697006">
      <w:pPr>
        <w:rPr>
          <w:b/>
        </w:rPr>
      </w:pPr>
      <w:r w:rsidRPr="00521221">
        <w:t>Výdavky v tomto oddiele dosiahli výšku 148 342 tis. eur a v rozhodujúcej miere sa na nich podieľalo Ministerstvo dopravy a výstavby SR (96 990 tis. eur). Výdavky boli použité na výstavbu a obnovu bytového fondu, pre Štátny fond rozvoja bývania, na štátnu prémiu k stavebnému sporeniu, na poskytnutie štátneho príspevku a štátneho príspevku pre mladých k hypotekárnym úverom, na náhradné nájomné byty.</w:t>
      </w:r>
    </w:p>
    <w:p w14:paraId="7DF88094" w14:textId="77777777" w:rsidR="00EA177A" w:rsidRPr="00613451" w:rsidRDefault="00EA177A" w:rsidP="00EA177A">
      <w:pPr>
        <w:tabs>
          <w:tab w:val="left" w:pos="284"/>
        </w:tabs>
        <w:rPr>
          <w:b/>
        </w:rPr>
      </w:pPr>
      <w:r w:rsidRPr="00613451">
        <w:rPr>
          <w:b/>
        </w:rPr>
        <w:t>Zdravotníctvo</w:t>
      </w:r>
    </w:p>
    <w:p w14:paraId="3A113BD0" w14:textId="77777777" w:rsidR="00697006" w:rsidRDefault="00EA177A" w:rsidP="00EA177A">
      <w:r w:rsidRPr="00613451">
        <w:t>Výdavky v tomto oddiele tvorili len 1,</w:t>
      </w:r>
      <w:r w:rsidRPr="00E53CA2">
        <w:t>7</w:t>
      </w:r>
      <w:r w:rsidRPr="00613451">
        <w:t xml:space="preserve"> % z celkových výdavkov. Do tohto oddielu patria výdavky, ktoré zahŕňajú činnosti ako je ústavná a ambulantná zdravotná starostlivosť, verejné zdravotné služby (prevádzka krvnej banky, zisťovanie chorôb, zber epidemiologických údajov). Na výdavkoch sa najväčšou mierou podieľalo Ministerstvo</w:t>
      </w:r>
      <w:r>
        <w:t xml:space="preserve"> zdravotníctva SR (265 221 tis. </w:t>
      </w:r>
      <w:r w:rsidRPr="00613451">
        <w:t xml:space="preserve">eur), ktoré v skupine </w:t>
      </w:r>
      <w:r w:rsidRPr="00613451">
        <w:rPr>
          <w:i/>
        </w:rPr>
        <w:t>ústavná zdravotná starostlivosť</w:t>
      </w:r>
      <w:r w:rsidRPr="00613451">
        <w:t xml:space="preserve"> realizovalo výdavky vo výške 147 327 tis. eur najmä v oblasti dotácií, riešenia drogovej problematiky, farmácie, informatiky, na činnosť Inšpektorátu kúpeľov a žriediel Ministerstva zdravotníctva SR, </w:t>
      </w:r>
      <w:r w:rsidRPr="00E53CA2">
        <w:t xml:space="preserve">pre </w:t>
      </w:r>
      <w:r w:rsidRPr="00613451">
        <w:t>Národné monitorovacie centrum pre drogy a na zabezpečenie zdr</w:t>
      </w:r>
      <w:r w:rsidR="00697006">
        <w:t>avotnej starostlivosti v zmysle</w:t>
      </w:r>
      <w:r w:rsidR="00697006">
        <w:br/>
      </w:r>
      <w:r w:rsidRPr="00613451">
        <w:t xml:space="preserve">§ 9 zákona č. 580/2004 Z. z. </w:t>
      </w:r>
    </w:p>
    <w:p w14:paraId="41699CF6" w14:textId="42305BC0" w:rsidR="00EA177A" w:rsidRPr="000F1BC0" w:rsidRDefault="00EA177A" w:rsidP="00EA177A">
      <w:r w:rsidRPr="00614E7D">
        <w:t>V skupine z</w:t>
      </w:r>
      <w:r w:rsidRPr="00614E7D">
        <w:rPr>
          <w:i/>
        </w:rPr>
        <w:t>dravotníctvo inde neklasifikované</w:t>
      </w:r>
      <w:r w:rsidRPr="00614E7D">
        <w:t xml:space="preserve"> čerpalo Ministerstvo zdravotníctva </w:t>
      </w:r>
      <w:r>
        <w:t>SR výdavky vo výške 71 586 tis. </w:t>
      </w:r>
      <w:r w:rsidRPr="00614E7D">
        <w:t>eur určené pre regionáln</w:t>
      </w:r>
      <w:r w:rsidR="00697006">
        <w:t xml:space="preserve">e úrady verejného zdravotníctva </w:t>
      </w:r>
      <w:r w:rsidRPr="00614E7D">
        <w:t>a Úrad verejného zdravotníctva SR.</w:t>
      </w:r>
      <w:r>
        <w:t xml:space="preserve"> Najvyšší medziročný nárast bol v skupine </w:t>
      </w:r>
      <w:r>
        <w:rPr>
          <w:i/>
        </w:rPr>
        <w:t xml:space="preserve">ústavná zdravotná starostlivosť </w:t>
      </w:r>
      <w:r>
        <w:t>o 82 623 tis. eur.</w:t>
      </w:r>
    </w:p>
    <w:p w14:paraId="362BD4AD" w14:textId="12D6576A" w:rsidR="00EA177A" w:rsidRDefault="00EA177A" w:rsidP="00EA177A">
      <w:pPr>
        <w:rPr>
          <w:b/>
          <w:i/>
        </w:rPr>
      </w:pPr>
      <w:r w:rsidRPr="00D9797A">
        <w:rPr>
          <w:b/>
          <w:i/>
        </w:rPr>
        <w:t>Podrobný prehľad o výdavkov štátneho rozpočtu podľa funkčnej klasifikácie je uvedený v tab. č. 11 tabuľkovej prílohy štátneho záverečného účtu</w:t>
      </w:r>
      <w:r>
        <w:rPr>
          <w:b/>
          <w:i/>
        </w:rPr>
        <w:t>.</w:t>
      </w:r>
    </w:p>
    <w:p w14:paraId="543CAFA3" w14:textId="77777777" w:rsidR="00697006" w:rsidRPr="00EA177A" w:rsidRDefault="00697006" w:rsidP="00EA177A"/>
    <w:p w14:paraId="2F784B9F" w14:textId="2522A94A" w:rsidR="008254BE" w:rsidRDefault="008254BE" w:rsidP="00697006">
      <w:pPr>
        <w:pStyle w:val="Nadpis3"/>
      </w:pPr>
      <w:bookmarkStart w:id="46" w:name="_Toc6415648"/>
      <w:bookmarkStart w:id="47" w:name="_Toc39095179"/>
      <w:r>
        <w:t>Vzťahy štátneho rozpočtu k</w:t>
      </w:r>
      <w:r w:rsidR="00EA177A">
        <w:t> </w:t>
      </w:r>
      <w:r>
        <w:t>obciam</w:t>
      </w:r>
      <w:bookmarkEnd w:id="46"/>
      <w:bookmarkEnd w:id="47"/>
    </w:p>
    <w:p w14:paraId="5A904526" w14:textId="77777777" w:rsidR="00EA177A" w:rsidRPr="00F71EE7" w:rsidRDefault="00EA177A" w:rsidP="00EA177A">
      <w:pPr>
        <w:suppressAutoHyphens/>
      </w:pPr>
      <w:r w:rsidRPr="00F71EE7">
        <w:t>V roku 2019 bolo do rozpočtov obcí poskytnutých celkovo 1 505 636 tis. eur vo forme bežných a kapitálových grantov a transferov, z toho bežné granty a transfery tvorili sumu 1 199 965 tis. eur a kapitálové granty a transfery čiastku 305 671 tis. eur. V porovnaní so skutočnosťou 2018 je to v úhrne za všetky zdroje výdavkov (vrátane EÚ a mimorozpočtových zdrojov) viac o 160 097 tis. eur, zo zdroja 111 (štátny rozpočet) o 175 214 tis. eur viac.</w:t>
      </w:r>
    </w:p>
    <w:p w14:paraId="6BB9BC56" w14:textId="77777777" w:rsidR="00EA177A" w:rsidRPr="00F71EE7" w:rsidRDefault="00EA177A" w:rsidP="00EA177A">
      <w:pPr>
        <w:suppressAutoHyphens/>
      </w:pPr>
      <w:r w:rsidRPr="00F71EE7">
        <w:t>Granty a transfery zo zdroja 111 boli poskytnuté v sume 1 191 334 tis. eur. Z toho bežné granty a transfery tvorili čiastku 1 132 456 tis. eur a kapitálové granty a transfery sumu 58 878 tis. eur. Na financovanie kompetencií preneseného výkonu štátnej správy bolo poskytnutých 1 008 541 tis. eur</w:t>
      </w:r>
      <w:r>
        <w:t xml:space="preserve"> (2018: 892 678 tis. eur)</w:t>
      </w:r>
      <w:r w:rsidRPr="00F71EE7">
        <w:t xml:space="preserve"> len v rámci bežných transferov, a to v kap</w:t>
      </w:r>
      <w:r>
        <w:t>itolách Ministerstva vnútra SR suma 1 000 033 tis. eur (2018: 885 247 tis. eur)</w:t>
      </w:r>
      <w:r w:rsidRPr="00F71EE7">
        <w:t xml:space="preserve"> a Ministerstva dopravy a výstavby SR</w:t>
      </w:r>
      <w:r>
        <w:t xml:space="preserve"> suma </w:t>
      </w:r>
      <w:r w:rsidRPr="00F71EE7">
        <w:t>8</w:t>
      </w:r>
      <w:r>
        <w:t> 508 tis. eur (2018: 7 431 tis. eur)</w:t>
      </w:r>
      <w:r w:rsidRPr="00F71EE7">
        <w:t xml:space="preserve">. </w:t>
      </w:r>
    </w:p>
    <w:p w14:paraId="4F7B20E8" w14:textId="7166D97D" w:rsidR="00E8699D" w:rsidRDefault="00EA177A" w:rsidP="00EA177A">
      <w:pPr>
        <w:suppressAutoHyphens/>
      </w:pPr>
      <w:r w:rsidRPr="00F71EE7">
        <w:t>Súhrnný prehľad grantov a transferov poskytnutých obciam podľa jednotlivých oddielov funkčnej klasifikácie poskytujú údaje v </w:t>
      </w:r>
      <w:r>
        <w:t>nasledovnej</w:t>
      </w:r>
      <w:r w:rsidRPr="00F71EE7">
        <w:t xml:space="preserve"> tabuľke:</w:t>
      </w:r>
    </w:p>
    <w:p w14:paraId="11B274E4" w14:textId="77777777" w:rsidR="00E8699D" w:rsidRDefault="00E8699D">
      <w:pPr>
        <w:spacing w:after="160" w:line="259" w:lineRule="auto"/>
        <w:jc w:val="left"/>
      </w:pPr>
      <w:r>
        <w:br w:type="page"/>
      </w:r>
    </w:p>
    <w:tbl>
      <w:tblPr>
        <w:tblW w:w="8496" w:type="dxa"/>
        <w:tblLayout w:type="fixed"/>
        <w:tblCellMar>
          <w:left w:w="70" w:type="dxa"/>
          <w:right w:w="70" w:type="dxa"/>
        </w:tblCellMar>
        <w:tblLook w:val="04A0" w:firstRow="1" w:lastRow="0" w:firstColumn="1" w:lastColumn="0" w:noHBand="0" w:noVBand="1"/>
      </w:tblPr>
      <w:tblGrid>
        <w:gridCol w:w="2117"/>
        <w:gridCol w:w="992"/>
        <w:gridCol w:w="992"/>
        <w:gridCol w:w="851"/>
        <w:gridCol w:w="993"/>
        <w:gridCol w:w="992"/>
        <w:gridCol w:w="848"/>
        <w:gridCol w:w="711"/>
      </w:tblGrid>
      <w:tr w:rsidR="00EA177A" w:rsidRPr="00697006" w14:paraId="3E489877" w14:textId="77777777" w:rsidTr="00F53AB4">
        <w:trPr>
          <w:trHeight w:val="434"/>
        </w:trPr>
        <w:tc>
          <w:tcPr>
            <w:tcW w:w="8496" w:type="dxa"/>
            <w:gridSpan w:val="8"/>
            <w:tcBorders>
              <w:top w:val="nil"/>
              <w:left w:val="single" w:sz="8" w:space="0" w:color="auto"/>
              <w:bottom w:val="nil"/>
              <w:right w:val="nil"/>
            </w:tcBorders>
            <w:shd w:val="clear" w:color="000000" w:fill="000000"/>
            <w:vAlign w:val="center"/>
            <w:hideMark/>
          </w:tcPr>
          <w:p w14:paraId="41AA5340" w14:textId="2FED4154" w:rsidR="00EA177A" w:rsidRPr="00697006" w:rsidRDefault="00EA177A" w:rsidP="00E8699D">
            <w:pPr>
              <w:spacing w:after="0" w:line="240" w:lineRule="auto"/>
              <w:jc w:val="left"/>
              <w:rPr>
                <w:rFonts w:eastAsia="Times New Roman" w:cs="Times New Roman"/>
                <w:b/>
                <w:bCs/>
                <w:sz w:val="18"/>
                <w:szCs w:val="18"/>
                <w:lang w:eastAsia="sk-SK"/>
              </w:rPr>
            </w:pPr>
            <w:bookmarkStart w:id="48" w:name="RANGE!B5:I18"/>
            <w:r w:rsidRPr="00697006">
              <w:rPr>
                <w:rFonts w:eastAsia="Times New Roman" w:cs="Times New Roman"/>
                <w:b/>
                <w:bCs/>
                <w:sz w:val="18"/>
                <w:szCs w:val="18"/>
                <w:lang w:eastAsia="sk-SK"/>
              </w:rPr>
              <w:t>Granty a transfery poskytnuté obciam podľa funkčnej klasifikácie</w:t>
            </w:r>
            <w:bookmarkEnd w:id="48"/>
            <w:r w:rsidRPr="00697006">
              <w:rPr>
                <w:rFonts w:eastAsia="Times New Roman" w:cs="Times New Roman"/>
                <w:b/>
                <w:bCs/>
                <w:sz w:val="18"/>
                <w:szCs w:val="18"/>
                <w:lang w:eastAsia="sk-SK"/>
              </w:rPr>
              <w:t xml:space="preserve">                         </w:t>
            </w:r>
            <w:r w:rsidR="006D3318">
              <w:rPr>
                <w:rFonts w:eastAsia="Times New Roman" w:cs="Times New Roman"/>
                <w:b/>
                <w:bCs/>
                <w:sz w:val="18"/>
                <w:szCs w:val="18"/>
                <w:lang w:eastAsia="sk-SK"/>
              </w:rPr>
              <w:t xml:space="preserve">             </w:t>
            </w:r>
            <w:r w:rsidR="00E8699D">
              <w:rPr>
                <w:rFonts w:eastAsia="Times New Roman" w:cs="Times New Roman"/>
                <w:b/>
                <w:bCs/>
                <w:sz w:val="18"/>
                <w:szCs w:val="18"/>
                <w:lang w:eastAsia="sk-SK"/>
              </w:rPr>
              <w:t xml:space="preserve">                </w:t>
            </w:r>
            <w:r w:rsidRPr="00697006">
              <w:rPr>
                <w:rFonts w:eastAsia="Times New Roman" w:cs="Times New Roman"/>
                <w:b/>
                <w:bCs/>
                <w:sz w:val="18"/>
                <w:szCs w:val="18"/>
                <w:lang w:eastAsia="sk-SK"/>
              </w:rPr>
              <w:t>v tis. eur</w:t>
            </w:r>
          </w:p>
        </w:tc>
      </w:tr>
      <w:tr w:rsidR="00EA177A" w:rsidRPr="00697006" w14:paraId="3A484FB3" w14:textId="77777777" w:rsidTr="00E8699D">
        <w:trPr>
          <w:trHeight w:val="510"/>
        </w:trPr>
        <w:tc>
          <w:tcPr>
            <w:tcW w:w="2117" w:type="dxa"/>
            <w:tcBorders>
              <w:top w:val="nil"/>
              <w:left w:val="nil"/>
              <w:bottom w:val="nil"/>
              <w:right w:val="nil"/>
            </w:tcBorders>
            <w:shd w:val="clear" w:color="000000" w:fill="BFBFBF"/>
            <w:vAlign w:val="center"/>
            <w:hideMark/>
          </w:tcPr>
          <w:p w14:paraId="020DDB63" w14:textId="77777777" w:rsidR="00EA177A" w:rsidRPr="00697006" w:rsidRDefault="00EA177A" w:rsidP="00C704A7">
            <w:pPr>
              <w:spacing w:after="0" w:line="240" w:lineRule="auto"/>
              <w:jc w:val="left"/>
              <w:rPr>
                <w:rFonts w:eastAsia="Times New Roman" w:cs="Times New Roman"/>
                <w:b/>
                <w:bCs/>
                <w:sz w:val="18"/>
                <w:szCs w:val="18"/>
                <w:lang w:eastAsia="sk-SK"/>
              </w:rPr>
            </w:pPr>
            <w:r w:rsidRPr="00697006">
              <w:rPr>
                <w:rFonts w:eastAsia="Times New Roman" w:cs="Times New Roman"/>
                <w:b/>
                <w:bCs/>
                <w:sz w:val="18"/>
                <w:szCs w:val="18"/>
                <w:lang w:eastAsia="sk-SK"/>
              </w:rPr>
              <w:t> </w:t>
            </w:r>
          </w:p>
        </w:tc>
        <w:tc>
          <w:tcPr>
            <w:tcW w:w="1984" w:type="dxa"/>
            <w:gridSpan w:val="2"/>
            <w:tcBorders>
              <w:top w:val="nil"/>
              <w:left w:val="nil"/>
              <w:bottom w:val="nil"/>
              <w:right w:val="nil"/>
            </w:tcBorders>
            <w:shd w:val="clear" w:color="000000" w:fill="BFBFBF"/>
            <w:vAlign w:val="center"/>
            <w:hideMark/>
          </w:tcPr>
          <w:p w14:paraId="68A60362"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Skutočnosť</w:t>
            </w:r>
          </w:p>
        </w:tc>
        <w:tc>
          <w:tcPr>
            <w:tcW w:w="851" w:type="dxa"/>
            <w:tcBorders>
              <w:top w:val="nil"/>
              <w:left w:val="nil"/>
              <w:bottom w:val="nil"/>
              <w:right w:val="nil"/>
            </w:tcBorders>
            <w:shd w:val="clear" w:color="000000" w:fill="BFBFBF"/>
            <w:vAlign w:val="center"/>
            <w:hideMark/>
          </w:tcPr>
          <w:p w14:paraId="43DCBD11"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Rozpočet</w:t>
            </w:r>
          </w:p>
        </w:tc>
        <w:tc>
          <w:tcPr>
            <w:tcW w:w="1985" w:type="dxa"/>
            <w:gridSpan w:val="2"/>
            <w:tcBorders>
              <w:top w:val="nil"/>
              <w:left w:val="nil"/>
              <w:bottom w:val="nil"/>
              <w:right w:val="nil"/>
            </w:tcBorders>
            <w:shd w:val="clear" w:color="000000" w:fill="BFBFBF"/>
            <w:vAlign w:val="center"/>
            <w:hideMark/>
          </w:tcPr>
          <w:p w14:paraId="064E0654"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Skutočnosť</w:t>
            </w:r>
          </w:p>
        </w:tc>
        <w:tc>
          <w:tcPr>
            <w:tcW w:w="1559" w:type="dxa"/>
            <w:gridSpan w:val="2"/>
            <w:tcBorders>
              <w:top w:val="nil"/>
              <w:left w:val="nil"/>
              <w:bottom w:val="nil"/>
              <w:right w:val="nil"/>
            </w:tcBorders>
            <w:shd w:val="clear" w:color="000000" w:fill="BFBFBF"/>
            <w:vAlign w:val="center"/>
            <w:hideMark/>
          </w:tcPr>
          <w:p w14:paraId="7A556D20"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Rozdiel</w:t>
            </w:r>
          </w:p>
        </w:tc>
      </w:tr>
      <w:tr w:rsidR="005C1277" w:rsidRPr="00697006" w14:paraId="325713F1" w14:textId="77777777" w:rsidTr="00E8699D">
        <w:trPr>
          <w:trHeight w:val="510"/>
        </w:trPr>
        <w:tc>
          <w:tcPr>
            <w:tcW w:w="2117" w:type="dxa"/>
            <w:tcBorders>
              <w:top w:val="nil"/>
              <w:left w:val="nil"/>
              <w:bottom w:val="nil"/>
              <w:right w:val="nil"/>
            </w:tcBorders>
            <w:shd w:val="clear" w:color="000000" w:fill="BFBFBF"/>
            <w:vAlign w:val="center"/>
            <w:hideMark/>
          </w:tcPr>
          <w:p w14:paraId="03264F3C"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 </w:t>
            </w:r>
          </w:p>
        </w:tc>
        <w:tc>
          <w:tcPr>
            <w:tcW w:w="992" w:type="dxa"/>
            <w:tcBorders>
              <w:top w:val="nil"/>
              <w:left w:val="nil"/>
              <w:bottom w:val="nil"/>
              <w:right w:val="nil"/>
            </w:tcBorders>
            <w:shd w:val="clear" w:color="000000" w:fill="BFBFBF"/>
            <w:vAlign w:val="center"/>
            <w:hideMark/>
          </w:tcPr>
          <w:p w14:paraId="6FBA7607"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2017</w:t>
            </w:r>
          </w:p>
        </w:tc>
        <w:tc>
          <w:tcPr>
            <w:tcW w:w="992" w:type="dxa"/>
            <w:tcBorders>
              <w:top w:val="nil"/>
              <w:left w:val="nil"/>
              <w:bottom w:val="nil"/>
              <w:right w:val="nil"/>
            </w:tcBorders>
            <w:shd w:val="clear" w:color="000000" w:fill="BFBFBF"/>
            <w:vAlign w:val="center"/>
            <w:hideMark/>
          </w:tcPr>
          <w:p w14:paraId="5F4EE474"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2018</w:t>
            </w:r>
          </w:p>
        </w:tc>
        <w:tc>
          <w:tcPr>
            <w:tcW w:w="851" w:type="dxa"/>
            <w:tcBorders>
              <w:top w:val="nil"/>
              <w:left w:val="nil"/>
              <w:bottom w:val="nil"/>
              <w:right w:val="nil"/>
            </w:tcBorders>
            <w:shd w:val="clear" w:color="000000" w:fill="BFBFBF"/>
            <w:vAlign w:val="center"/>
            <w:hideMark/>
          </w:tcPr>
          <w:p w14:paraId="709F14EC"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2019</w:t>
            </w:r>
          </w:p>
        </w:tc>
        <w:tc>
          <w:tcPr>
            <w:tcW w:w="993" w:type="dxa"/>
            <w:tcBorders>
              <w:top w:val="nil"/>
              <w:left w:val="nil"/>
              <w:right w:val="nil"/>
            </w:tcBorders>
            <w:shd w:val="clear" w:color="000000" w:fill="BFBFBF"/>
            <w:vAlign w:val="center"/>
            <w:hideMark/>
          </w:tcPr>
          <w:p w14:paraId="21F29952"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2019</w:t>
            </w:r>
          </w:p>
        </w:tc>
        <w:tc>
          <w:tcPr>
            <w:tcW w:w="992" w:type="dxa"/>
            <w:tcBorders>
              <w:top w:val="nil"/>
              <w:left w:val="nil"/>
              <w:right w:val="nil"/>
            </w:tcBorders>
            <w:shd w:val="clear" w:color="000000" w:fill="BFBFBF"/>
            <w:vAlign w:val="center"/>
            <w:hideMark/>
          </w:tcPr>
          <w:p w14:paraId="72F0B4BB"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z toho: zdroj 111</w:t>
            </w:r>
            <w:r w:rsidRPr="00697006">
              <w:rPr>
                <w:rFonts w:ascii="Arial Narrow" w:eastAsia="Times New Roman" w:hAnsi="Arial Narrow" w:cs="Times New Roman"/>
                <w:b/>
                <w:bCs/>
                <w:sz w:val="18"/>
                <w:szCs w:val="18"/>
                <w:lang w:eastAsia="sk-SK"/>
              </w:rPr>
              <w:t>*</w:t>
            </w:r>
          </w:p>
        </w:tc>
        <w:tc>
          <w:tcPr>
            <w:tcW w:w="848" w:type="dxa"/>
            <w:tcBorders>
              <w:top w:val="nil"/>
              <w:left w:val="nil"/>
              <w:bottom w:val="nil"/>
              <w:right w:val="nil"/>
            </w:tcBorders>
            <w:shd w:val="clear" w:color="000000" w:fill="BFBFBF"/>
            <w:vAlign w:val="center"/>
            <w:hideMark/>
          </w:tcPr>
          <w:p w14:paraId="175250E3"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 xml:space="preserve"> v tis. eur</w:t>
            </w:r>
          </w:p>
        </w:tc>
        <w:tc>
          <w:tcPr>
            <w:tcW w:w="711" w:type="dxa"/>
            <w:tcBorders>
              <w:top w:val="nil"/>
              <w:left w:val="nil"/>
              <w:bottom w:val="nil"/>
              <w:right w:val="nil"/>
            </w:tcBorders>
            <w:shd w:val="clear" w:color="000000" w:fill="BFBFBF"/>
            <w:vAlign w:val="center"/>
            <w:hideMark/>
          </w:tcPr>
          <w:p w14:paraId="4BF5DE1E"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v %</w:t>
            </w:r>
          </w:p>
        </w:tc>
      </w:tr>
      <w:tr w:rsidR="005C1277" w:rsidRPr="00697006" w14:paraId="25FF49C8" w14:textId="77777777" w:rsidTr="00E8699D">
        <w:trPr>
          <w:trHeight w:val="345"/>
        </w:trPr>
        <w:tc>
          <w:tcPr>
            <w:tcW w:w="2117" w:type="dxa"/>
            <w:tcBorders>
              <w:top w:val="nil"/>
              <w:left w:val="nil"/>
              <w:bottom w:val="single" w:sz="8" w:space="0" w:color="auto"/>
              <w:right w:val="nil"/>
            </w:tcBorders>
            <w:shd w:val="clear" w:color="000000" w:fill="BFBFBF"/>
            <w:vAlign w:val="center"/>
            <w:hideMark/>
          </w:tcPr>
          <w:p w14:paraId="51A4E5BB" w14:textId="77777777" w:rsidR="00EA177A" w:rsidRPr="00697006" w:rsidRDefault="00EA177A" w:rsidP="00C704A7">
            <w:pPr>
              <w:spacing w:after="0" w:line="240" w:lineRule="auto"/>
              <w:jc w:val="left"/>
              <w:rPr>
                <w:rFonts w:eastAsia="Times New Roman" w:cs="Times New Roman"/>
                <w:b/>
                <w:bCs/>
                <w:sz w:val="18"/>
                <w:szCs w:val="18"/>
                <w:lang w:eastAsia="sk-SK"/>
              </w:rPr>
            </w:pPr>
            <w:r w:rsidRPr="00697006">
              <w:rPr>
                <w:rFonts w:eastAsia="Times New Roman" w:cs="Times New Roman"/>
                <w:b/>
                <w:bCs/>
                <w:sz w:val="18"/>
                <w:szCs w:val="18"/>
                <w:lang w:eastAsia="sk-SK"/>
              </w:rPr>
              <w:t> </w:t>
            </w:r>
          </w:p>
        </w:tc>
        <w:tc>
          <w:tcPr>
            <w:tcW w:w="992" w:type="dxa"/>
            <w:tcBorders>
              <w:top w:val="nil"/>
              <w:left w:val="nil"/>
              <w:bottom w:val="single" w:sz="8" w:space="0" w:color="auto"/>
              <w:right w:val="nil"/>
            </w:tcBorders>
            <w:shd w:val="clear" w:color="000000" w:fill="BFBFBF"/>
            <w:vAlign w:val="center"/>
            <w:hideMark/>
          </w:tcPr>
          <w:p w14:paraId="3E0E2754"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1</w:t>
            </w:r>
          </w:p>
        </w:tc>
        <w:tc>
          <w:tcPr>
            <w:tcW w:w="992" w:type="dxa"/>
            <w:tcBorders>
              <w:top w:val="nil"/>
              <w:left w:val="nil"/>
              <w:bottom w:val="single" w:sz="8" w:space="0" w:color="auto"/>
              <w:right w:val="nil"/>
            </w:tcBorders>
            <w:shd w:val="clear" w:color="000000" w:fill="BFBFBF"/>
            <w:vAlign w:val="center"/>
            <w:hideMark/>
          </w:tcPr>
          <w:p w14:paraId="400786AD"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000000" w:fill="BFBFBF"/>
            <w:vAlign w:val="center"/>
            <w:hideMark/>
          </w:tcPr>
          <w:p w14:paraId="7BC6676C"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3</w:t>
            </w:r>
          </w:p>
        </w:tc>
        <w:tc>
          <w:tcPr>
            <w:tcW w:w="993" w:type="dxa"/>
            <w:tcBorders>
              <w:top w:val="nil"/>
              <w:left w:val="nil"/>
              <w:bottom w:val="single" w:sz="4" w:space="0" w:color="auto"/>
              <w:right w:val="nil"/>
            </w:tcBorders>
            <w:shd w:val="clear" w:color="000000" w:fill="BFBFBF"/>
            <w:vAlign w:val="center"/>
            <w:hideMark/>
          </w:tcPr>
          <w:p w14:paraId="057A8C81"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4</w:t>
            </w:r>
          </w:p>
        </w:tc>
        <w:tc>
          <w:tcPr>
            <w:tcW w:w="992" w:type="dxa"/>
            <w:tcBorders>
              <w:top w:val="nil"/>
              <w:left w:val="nil"/>
              <w:bottom w:val="single" w:sz="4" w:space="0" w:color="auto"/>
              <w:right w:val="nil"/>
            </w:tcBorders>
            <w:shd w:val="clear" w:color="000000" w:fill="BFBFBF"/>
            <w:vAlign w:val="center"/>
            <w:hideMark/>
          </w:tcPr>
          <w:p w14:paraId="496CE47D"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5</w:t>
            </w:r>
          </w:p>
        </w:tc>
        <w:tc>
          <w:tcPr>
            <w:tcW w:w="848" w:type="dxa"/>
            <w:tcBorders>
              <w:top w:val="nil"/>
              <w:left w:val="nil"/>
              <w:bottom w:val="single" w:sz="8" w:space="0" w:color="auto"/>
              <w:right w:val="nil"/>
            </w:tcBorders>
            <w:shd w:val="clear" w:color="000000" w:fill="BFBFBF"/>
            <w:vAlign w:val="center"/>
            <w:hideMark/>
          </w:tcPr>
          <w:p w14:paraId="71866F04"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6=4-3</w:t>
            </w:r>
          </w:p>
        </w:tc>
        <w:tc>
          <w:tcPr>
            <w:tcW w:w="711" w:type="dxa"/>
            <w:tcBorders>
              <w:top w:val="nil"/>
              <w:left w:val="nil"/>
              <w:bottom w:val="single" w:sz="8" w:space="0" w:color="auto"/>
              <w:right w:val="nil"/>
            </w:tcBorders>
            <w:shd w:val="clear" w:color="000000" w:fill="BFBFBF"/>
            <w:vAlign w:val="center"/>
            <w:hideMark/>
          </w:tcPr>
          <w:p w14:paraId="4D5DE3F7" w14:textId="77777777" w:rsidR="00EA177A" w:rsidRPr="00697006" w:rsidRDefault="00EA177A" w:rsidP="00C704A7">
            <w:pPr>
              <w:spacing w:after="0" w:line="240" w:lineRule="auto"/>
              <w:jc w:val="center"/>
              <w:rPr>
                <w:rFonts w:eastAsia="Times New Roman" w:cs="Times New Roman"/>
                <w:b/>
                <w:bCs/>
                <w:sz w:val="18"/>
                <w:szCs w:val="18"/>
                <w:lang w:eastAsia="sk-SK"/>
              </w:rPr>
            </w:pPr>
            <w:r w:rsidRPr="00697006">
              <w:rPr>
                <w:rFonts w:eastAsia="Times New Roman" w:cs="Times New Roman"/>
                <w:b/>
                <w:bCs/>
                <w:sz w:val="18"/>
                <w:szCs w:val="18"/>
                <w:lang w:eastAsia="sk-SK"/>
              </w:rPr>
              <w:t>7=4-3</w:t>
            </w:r>
          </w:p>
        </w:tc>
      </w:tr>
      <w:tr w:rsidR="005C1277" w:rsidRPr="00697006" w14:paraId="3C244B82" w14:textId="77777777" w:rsidTr="0044781D">
        <w:trPr>
          <w:trHeight w:val="330"/>
        </w:trPr>
        <w:tc>
          <w:tcPr>
            <w:tcW w:w="2117" w:type="dxa"/>
            <w:tcBorders>
              <w:top w:val="nil"/>
              <w:left w:val="nil"/>
              <w:bottom w:val="nil"/>
              <w:right w:val="nil"/>
            </w:tcBorders>
            <w:shd w:val="clear" w:color="000000" w:fill="FFFFFF"/>
            <w:vAlign w:val="center"/>
            <w:hideMark/>
          </w:tcPr>
          <w:p w14:paraId="4DBE4955"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Vzdelávanie</w:t>
            </w:r>
          </w:p>
        </w:tc>
        <w:tc>
          <w:tcPr>
            <w:tcW w:w="992" w:type="dxa"/>
            <w:tcBorders>
              <w:top w:val="nil"/>
              <w:left w:val="nil"/>
              <w:bottom w:val="nil"/>
              <w:right w:val="nil"/>
            </w:tcBorders>
            <w:shd w:val="clear" w:color="000000" w:fill="FFFFFF"/>
            <w:noWrap/>
            <w:vAlign w:val="center"/>
            <w:hideMark/>
          </w:tcPr>
          <w:p w14:paraId="18102D4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839 651</w:t>
            </w:r>
          </w:p>
        </w:tc>
        <w:tc>
          <w:tcPr>
            <w:tcW w:w="992" w:type="dxa"/>
            <w:tcBorders>
              <w:top w:val="nil"/>
              <w:left w:val="nil"/>
              <w:bottom w:val="nil"/>
              <w:right w:val="nil"/>
            </w:tcBorders>
            <w:shd w:val="clear" w:color="000000" w:fill="FFFFFF"/>
            <w:noWrap/>
            <w:vAlign w:val="center"/>
            <w:hideMark/>
          </w:tcPr>
          <w:p w14:paraId="3FA4D54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900 572</w:t>
            </w:r>
          </w:p>
        </w:tc>
        <w:tc>
          <w:tcPr>
            <w:tcW w:w="851" w:type="dxa"/>
            <w:tcBorders>
              <w:top w:val="nil"/>
              <w:left w:val="nil"/>
              <w:bottom w:val="nil"/>
              <w:right w:val="nil"/>
            </w:tcBorders>
            <w:shd w:val="clear" w:color="000000" w:fill="FFFFFF"/>
            <w:noWrap/>
            <w:vAlign w:val="center"/>
            <w:hideMark/>
          </w:tcPr>
          <w:p w14:paraId="3195F2C2"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835 725</w:t>
            </w:r>
          </w:p>
        </w:tc>
        <w:tc>
          <w:tcPr>
            <w:tcW w:w="993" w:type="dxa"/>
            <w:tcBorders>
              <w:top w:val="single" w:sz="4" w:space="0" w:color="auto"/>
              <w:left w:val="nil"/>
              <w:bottom w:val="nil"/>
              <w:right w:val="nil"/>
            </w:tcBorders>
            <w:shd w:val="clear" w:color="000000" w:fill="BFBFBF"/>
            <w:noWrap/>
            <w:vAlign w:val="center"/>
            <w:hideMark/>
          </w:tcPr>
          <w:p w14:paraId="608ED5A4"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1 020 641</w:t>
            </w:r>
          </w:p>
        </w:tc>
        <w:tc>
          <w:tcPr>
            <w:tcW w:w="992" w:type="dxa"/>
            <w:tcBorders>
              <w:top w:val="single" w:sz="4" w:space="0" w:color="auto"/>
              <w:left w:val="nil"/>
              <w:bottom w:val="nil"/>
              <w:right w:val="nil"/>
            </w:tcBorders>
            <w:shd w:val="clear" w:color="auto" w:fill="auto"/>
            <w:noWrap/>
            <w:vAlign w:val="center"/>
            <w:hideMark/>
          </w:tcPr>
          <w:p w14:paraId="62A6D442"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979 902</w:t>
            </w:r>
          </w:p>
        </w:tc>
        <w:tc>
          <w:tcPr>
            <w:tcW w:w="848" w:type="dxa"/>
            <w:tcBorders>
              <w:top w:val="nil"/>
              <w:left w:val="nil"/>
              <w:bottom w:val="nil"/>
              <w:right w:val="nil"/>
            </w:tcBorders>
            <w:shd w:val="clear" w:color="000000" w:fill="FFFFFF"/>
            <w:vAlign w:val="center"/>
            <w:hideMark/>
          </w:tcPr>
          <w:p w14:paraId="3529E675"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184 916</w:t>
            </w:r>
          </w:p>
        </w:tc>
        <w:tc>
          <w:tcPr>
            <w:tcW w:w="711" w:type="dxa"/>
            <w:tcBorders>
              <w:top w:val="nil"/>
              <w:left w:val="nil"/>
              <w:bottom w:val="nil"/>
              <w:right w:val="nil"/>
            </w:tcBorders>
            <w:shd w:val="clear" w:color="000000" w:fill="FFFFFF"/>
            <w:vAlign w:val="center"/>
            <w:hideMark/>
          </w:tcPr>
          <w:p w14:paraId="237AE15C"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22,1</w:t>
            </w:r>
          </w:p>
        </w:tc>
      </w:tr>
      <w:tr w:rsidR="005C1277" w:rsidRPr="00697006" w14:paraId="1855DDB4" w14:textId="77777777" w:rsidTr="0044781D">
        <w:trPr>
          <w:trHeight w:val="330"/>
        </w:trPr>
        <w:tc>
          <w:tcPr>
            <w:tcW w:w="2117" w:type="dxa"/>
            <w:tcBorders>
              <w:top w:val="nil"/>
              <w:left w:val="nil"/>
              <w:bottom w:val="nil"/>
              <w:right w:val="nil"/>
            </w:tcBorders>
            <w:shd w:val="clear" w:color="000000" w:fill="FFFFFF"/>
            <w:noWrap/>
            <w:vAlign w:val="center"/>
            <w:hideMark/>
          </w:tcPr>
          <w:p w14:paraId="57717FD5"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Sociálne zabezpečenie</w:t>
            </w:r>
          </w:p>
        </w:tc>
        <w:tc>
          <w:tcPr>
            <w:tcW w:w="992" w:type="dxa"/>
            <w:tcBorders>
              <w:top w:val="nil"/>
              <w:left w:val="nil"/>
              <w:bottom w:val="nil"/>
              <w:right w:val="nil"/>
            </w:tcBorders>
            <w:shd w:val="clear" w:color="000000" w:fill="FFFFFF"/>
            <w:noWrap/>
            <w:vAlign w:val="center"/>
            <w:hideMark/>
          </w:tcPr>
          <w:p w14:paraId="384204C4"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66 518</w:t>
            </w:r>
          </w:p>
        </w:tc>
        <w:tc>
          <w:tcPr>
            <w:tcW w:w="992" w:type="dxa"/>
            <w:tcBorders>
              <w:top w:val="nil"/>
              <w:left w:val="nil"/>
              <w:bottom w:val="nil"/>
              <w:right w:val="nil"/>
            </w:tcBorders>
            <w:shd w:val="clear" w:color="000000" w:fill="FFFFFF"/>
            <w:noWrap/>
            <w:vAlign w:val="center"/>
            <w:hideMark/>
          </w:tcPr>
          <w:p w14:paraId="57BDACB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65 524</w:t>
            </w:r>
          </w:p>
        </w:tc>
        <w:tc>
          <w:tcPr>
            <w:tcW w:w="851" w:type="dxa"/>
            <w:tcBorders>
              <w:top w:val="nil"/>
              <w:left w:val="nil"/>
              <w:bottom w:val="nil"/>
              <w:right w:val="nil"/>
            </w:tcBorders>
            <w:shd w:val="clear" w:color="000000" w:fill="FFFFFF"/>
            <w:noWrap/>
            <w:vAlign w:val="center"/>
            <w:hideMark/>
          </w:tcPr>
          <w:p w14:paraId="2298D13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62 560</w:t>
            </w:r>
          </w:p>
        </w:tc>
        <w:tc>
          <w:tcPr>
            <w:tcW w:w="993" w:type="dxa"/>
            <w:tcBorders>
              <w:top w:val="nil"/>
              <w:left w:val="nil"/>
              <w:bottom w:val="nil"/>
              <w:right w:val="nil"/>
            </w:tcBorders>
            <w:shd w:val="clear" w:color="000000" w:fill="BFBFBF"/>
            <w:noWrap/>
            <w:vAlign w:val="center"/>
            <w:hideMark/>
          </w:tcPr>
          <w:p w14:paraId="5B9DE1F2"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122 471</w:t>
            </w:r>
          </w:p>
        </w:tc>
        <w:tc>
          <w:tcPr>
            <w:tcW w:w="992" w:type="dxa"/>
            <w:tcBorders>
              <w:top w:val="nil"/>
              <w:left w:val="nil"/>
              <w:bottom w:val="nil"/>
              <w:right w:val="nil"/>
            </w:tcBorders>
            <w:shd w:val="clear" w:color="auto" w:fill="auto"/>
            <w:noWrap/>
            <w:vAlign w:val="center"/>
            <w:hideMark/>
          </w:tcPr>
          <w:p w14:paraId="52F1F40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110 296</w:t>
            </w:r>
          </w:p>
        </w:tc>
        <w:tc>
          <w:tcPr>
            <w:tcW w:w="848" w:type="dxa"/>
            <w:tcBorders>
              <w:top w:val="nil"/>
              <w:left w:val="nil"/>
              <w:bottom w:val="nil"/>
              <w:right w:val="nil"/>
            </w:tcBorders>
            <w:shd w:val="clear" w:color="000000" w:fill="FFFFFF"/>
            <w:vAlign w:val="center"/>
            <w:hideMark/>
          </w:tcPr>
          <w:p w14:paraId="272AA434"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59 911</w:t>
            </w:r>
          </w:p>
        </w:tc>
        <w:tc>
          <w:tcPr>
            <w:tcW w:w="711" w:type="dxa"/>
            <w:tcBorders>
              <w:top w:val="nil"/>
              <w:left w:val="nil"/>
              <w:bottom w:val="nil"/>
              <w:right w:val="nil"/>
            </w:tcBorders>
            <w:shd w:val="clear" w:color="000000" w:fill="FFFFFF"/>
            <w:vAlign w:val="center"/>
            <w:hideMark/>
          </w:tcPr>
          <w:p w14:paraId="29EA309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95,8</w:t>
            </w:r>
          </w:p>
        </w:tc>
      </w:tr>
      <w:tr w:rsidR="005C1277" w:rsidRPr="00697006" w14:paraId="0CBEEA9C" w14:textId="77777777" w:rsidTr="0044781D">
        <w:trPr>
          <w:trHeight w:val="330"/>
        </w:trPr>
        <w:tc>
          <w:tcPr>
            <w:tcW w:w="2117" w:type="dxa"/>
            <w:tcBorders>
              <w:top w:val="nil"/>
              <w:left w:val="nil"/>
              <w:bottom w:val="nil"/>
              <w:right w:val="nil"/>
            </w:tcBorders>
            <w:shd w:val="clear" w:color="000000" w:fill="FFFFFF"/>
            <w:noWrap/>
            <w:vAlign w:val="center"/>
            <w:hideMark/>
          </w:tcPr>
          <w:p w14:paraId="3127109E"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Ekonomická oblasť</w:t>
            </w:r>
          </w:p>
        </w:tc>
        <w:tc>
          <w:tcPr>
            <w:tcW w:w="992" w:type="dxa"/>
            <w:tcBorders>
              <w:top w:val="nil"/>
              <w:left w:val="nil"/>
              <w:bottom w:val="nil"/>
              <w:right w:val="nil"/>
            </w:tcBorders>
            <w:shd w:val="clear" w:color="000000" w:fill="FFFFFF"/>
            <w:noWrap/>
            <w:vAlign w:val="center"/>
            <w:hideMark/>
          </w:tcPr>
          <w:p w14:paraId="42B54927"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56 909</w:t>
            </w:r>
          </w:p>
        </w:tc>
        <w:tc>
          <w:tcPr>
            <w:tcW w:w="992" w:type="dxa"/>
            <w:tcBorders>
              <w:top w:val="nil"/>
              <w:left w:val="nil"/>
              <w:bottom w:val="nil"/>
              <w:right w:val="nil"/>
            </w:tcBorders>
            <w:shd w:val="clear" w:color="000000" w:fill="FFFFFF"/>
            <w:noWrap/>
            <w:vAlign w:val="center"/>
            <w:hideMark/>
          </w:tcPr>
          <w:p w14:paraId="3FC42925"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104 412</w:t>
            </w:r>
          </w:p>
        </w:tc>
        <w:tc>
          <w:tcPr>
            <w:tcW w:w="851" w:type="dxa"/>
            <w:tcBorders>
              <w:top w:val="nil"/>
              <w:left w:val="nil"/>
              <w:bottom w:val="nil"/>
              <w:right w:val="nil"/>
            </w:tcBorders>
            <w:shd w:val="clear" w:color="000000" w:fill="FFFFFF"/>
            <w:noWrap/>
            <w:vAlign w:val="center"/>
            <w:hideMark/>
          </w:tcPr>
          <w:p w14:paraId="636B5152"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8 114</w:t>
            </w:r>
          </w:p>
        </w:tc>
        <w:tc>
          <w:tcPr>
            <w:tcW w:w="993" w:type="dxa"/>
            <w:tcBorders>
              <w:top w:val="nil"/>
              <w:left w:val="nil"/>
              <w:bottom w:val="nil"/>
              <w:right w:val="nil"/>
            </w:tcBorders>
            <w:shd w:val="clear" w:color="000000" w:fill="BFBFBF"/>
            <w:noWrap/>
            <w:vAlign w:val="center"/>
            <w:hideMark/>
          </w:tcPr>
          <w:p w14:paraId="271BB1AC"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111 897</w:t>
            </w:r>
          </w:p>
        </w:tc>
        <w:tc>
          <w:tcPr>
            <w:tcW w:w="992" w:type="dxa"/>
            <w:tcBorders>
              <w:top w:val="nil"/>
              <w:left w:val="nil"/>
              <w:bottom w:val="nil"/>
              <w:right w:val="nil"/>
            </w:tcBorders>
            <w:shd w:val="clear" w:color="auto" w:fill="auto"/>
            <w:noWrap/>
            <w:vAlign w:val="center"/>
            <w:hideMark/>
          </w:tcPr>
          <w:p w14:paraId="6C7BE92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10 080</w:t>
            </w:r>
          </w:p>
        </w:tc>
        <w:tc>
          <w:tcPr>
            <w:tcW w:w="848" w:type="dxa"/>
            <w:tcBorders>
              <w:top w:val="nil"/>
              <w:left w:val="nil"/>
              <w:bottom w:val="nil"/>
              <w:right w:val="nil"/>
            </w:tcBorders>
            <w:shd w:val="clear" w:color="000000" w:fill="FFFFFF"/>
            <w:vAlign w:val="center"/>
            <w:hideMark/>
          </w:tcPr>
          <w:p w14:paraId="68AB621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103 783</w:t>
            </w:r>
          </w:p>
        </w:tc>
        <w:tc>
          <w:tcPr>
            <w:tcW w:w="711" w:type="dxa"/>
            <w:tcBorders>
              <w:top w:val="nil"/>
              <w:left w:val="nil"/>
              <w:bottom w:val="nil"/>
              <w:right w:val="nil"/>
            </w:tcBorders>
            <w:shd w:val="clear" w:color="000000" w:fill="FFFFFF"/>
            <w:vAlign w:val="center"/>
            <w:hideMark/>
          </w:tcPr>
          <w:p w14:paraId="11DE005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1 279,1</w:t>
            </w:r>
          </w:p>
        </w:tc>
      </w:tr>
      <w:tr w:rsidR="005C1277" w:rsidRPr="00697006" w14:paraId="65E27C80" w14:textId="77777777" w:rsidTr="0044781D">
        <w:trPr>
          <w:trHeight w:val="330"/>
        </w:trPr>
        <w:tc>
          <w:tcPr>
            <w:tcW w:w="2117" w:type="dxa"/>
            <w:tcBorders>
              <w:top w:val="nil"/>
              <w:left w:val="nil"/>
              <w:bottom w:val="nil"/>
              <w:right w:val="nil"/>
            </w:tcBorders>
            <w:shd w:val="clear" w:color="000000" w:fill="FFFFFF"/>
            <w:vAlign w:val="center"/>
            <w:hideMark/>
          </w:tcPr>
          <w:p w14:paraId="133B2B95"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Ochrana životného prostredia</w:t>
            </w:r>
          </w:p>
        </w:tc>
        <w:tc>
          <w:tcPr>
            <w:tcW w:w="992" w:type="dxa"/>
            <w:tcBorders>
              <w:top w:val="nil"/>
              <w:left w:val="nil"/>
              <w:bottom w:val="nil"/>
              <w:right w:val="nil"/>
            </w:tcBorders>
            <w:shd w:val="clear" w:color="000000" w:fill="FFFFFF"/>
            <w:noWrap/>
            <w:vAlign w:val="center"/>
            <w:hideMark/>
          </w:tcPr>
          <w:p w14:paraId="60039C7D"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59 563</w:t>
            </w:r>
          </w:p>
        </w:tc>
        <w:tc>
          <w:tcPr>
            <w:tcW w:w="992" w:type="dxa"/>
            <w:tcBorders>
              <w:top w:val="nil"/>
              <w:left w:val="nil"/>
              <w:bottom w:val="nil"/>
              <w:right w:val="nil"/>
            </w:tcBorders>
            <w:shd w:val="clear" w:color="000000" w:fill="FFFFFF"/>
            <w:noWrap/>
            <w:vAlign w:val="center"/>
            <w:hideMark/>
          </w:tcPr>
          <w:p w14:paraId="05974B7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130 150</w:t>
            </w:r>
          </w:p>
        </w:tc>
        <w:tc>
          <w:tcPr>
            <w:tcW w:w="851" w:type="dxa"/>
            <w:tcBorders>
              <w:top w:val="nil"/>
              <w:left w:val="nil"/>
              <w:bottom w:val="nil"/>
              <w:right w:val="nil"/>
            </w:tcBorders>
            <w:shd w:val="clear" w:color="000000" w:fill="FFFFFF"/>
            <w:noWrap/>
            <w:vAlign w:val="center"/>
            <w:hideMark/>
          </w:tcPr>
          <w:p w14:paraId="1835F456"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0</w:t>
            </w:r>
          </w:p>
        </w:tc>
        <w:tc>
          <w:tcPr>
            <w:tcW w:w="993" w:type="dxa"/>
            <w:tcBorders>
              <w:top w:val="nil"/>
              <w:left w:val="nil"/>
              <w:bottom w:val="nil"/>
              <w:right w:val="nil"/>
            </w:tcBorders>
            <w:shd w:val="clear" w:color="000000" w:fill="BFBFBF"/>
            <w:noWrap/>
            <w:vAlign w:val="center"/>
            <w:hideMark/>
          </w:tcPr>
          <w:p w14:paraId="68EB494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108 786</w:t>
            </w:r>
          </w:p>
        </w:tc>
        <w:tc>
          <w:tcPr>
            <w:tcW w:w="992" w:type="dxa"/>
            <w:tcBorders>
              <w:top w:val="nil"/>
              <w:left w:val="nil"/>
              <w:bottom w:val="nil"/>
              <w:right w:val="nil"/>
            </w:tcBorders>
            <w:shd w:val="clear" w:color="auto" w:fill="auto"/>
            <w:noWrap/>
            <w:vAlign w:val="center"/>
            <w:hideMark/>
          </w:tcPr>
          <w:p w14:paraId="25661D6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0</w:t>
            </w:r>
          </w:p>
        </w:tc>
        <w:tc>
          <w:tcPr>
            <w:tcW w:w="848" w:type="dxa"/>
            <w:tcBorders>
              <w:top w:val="nil"/>
              <w:left w:val="nil"/>
              <w:bottom w:val="nil"/>
              <w:right w:val="nil"/>
            </w:tcBorders>
            <w:shd w:val="clear" w:color="000000" w:fill="FFFFFF"/>
            <w:vAlign w:val="center"/>
            <w:hideMark/>
          </w:tcPr>
          <w:p w14:paraId="5983BE2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108 786</w:t>
            </w:r>
          </w:p>
        </w:tc>
        <w:tc>
          <w:tcPr>
            <w:tcW w:w="711" w:type="dxa"/>
            <w:tcBorders>
              <w:top w:val="nil"/>
              <w:left w:val="nil"/>
              <w:bottom w:val="nil"/>
              <w:right w:val="nil"/>
            </w:tcBorders>
            <w:shd w:val="clear" w:color="000000" w:fill="FFFFFF"/>
            <w:vAlign w:val="center"/>
            <w:hideMark/>
          </w:tcPr>
          <w:p w14:paraId="2E21E888"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x</w:t>
            </w:r>
          </w:p>
        </w:tc>
      </w:tr>
      <w:tr w:rsidR="005C1277" w:rsidRPr="00697006" w14:paraId="7B217589" w14:textId="77777777" w:rsidTr="0044781D">
        <w:trPr>
          <w:trHeight w:val="330"/>
        </w:trPr>
        <w:tc>
          <w:tcPr>
            <w:tcW w:w="2117" w:type="dxa"/>
            <w:tcBorders>
              <w:top w:val="nil"/>
              <w:left w:val="nil"/>
              <w:bottom w:val="nil"/>
              <w:right w:val="nil"/>
            </w:tcBorders>
            <w:shd w:val="clear" w:color="000000" w:fill="FFFFFF"/>
            <w:vAlign w:val="center"/>
            <w:hideMark/>
          </w:tcPr>
          <w:p w14:paraId="3CCF2533"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Bývanie a občianska vybavenosť</w:t>
            </w:r>
          </w:p>
        </w:tc>
        <w:tc>
          <w:tcPr>
            <w:tcW w:w="992" w:type="dxa"/>
            <w:tcBorders>
              <w:top w:val="nil"/>
              <w:left w:val="nil"/>
              <w:bottom w:val="nil"/>
              <w:right w:val="nil"/>
            </w:tcBorders>
            <w:shd w:val="clear" w:color="000000" w:fill="FFFFFF"/>
            <w:noWrap/>
            <w:vAlign w:val="center"/>
            <w:hideMark/>
          </w:tcPr>
          <w:p w14:paraId="71D2E22D"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38 523</w:t>
            </w:r>
          </w:p>
        </w:tc>
        <w:tc>
          <w:tcPr>
            <w:tcW w:w="992" w:type="dxa"/>
            <w:tcBorders>
              <w:top w:val="nil"/>
              <w:left w:val="nil"/>
              <w:bottom w:val="nil"/>
              <w:right w:val="nil"/>
            </w:tcBorders>
            <w:shd w:val="clear" w:color="000000" w:fill="FFFFFF"/>
            <w:noWrap/>
            <w:vAlign w:val="center"/>
            <w:hideMark/>
          </w:tcPr>
          <w:p w14:paraId="423BD195"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62 653</w:t>
            </w:r>
          </w:p>
        </w:tc>
        <w:tc>
          <w:tcPr>
            <w:tcW w:w="851" w:type="dxa"/>
            <w:tcBorders>
              <w:top w:val="nil"/>
              <w:left w:val="nil"/>
              <w:bottom w:val="nil"/>
              <w:right w:val="nil"/>
            </w:tcBorders>
            <w:shd w:val="clear" w:color="000000" w:fill="FFFFFF"/>
            <w:noWrap/>
            <w:vAlign w:val="center"/>
            <w:hideMark/>
          </w:tcPr>
          <w:p w14:paraId="0BE41713"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2 700</w:t>
            </w:r>
          </w:p>
        </w:tc>
        <w:tc>
          <w:tcPr>
            <w:tcW w:w="993" w:type="dxa"/>
            <w:tcBorders>
              <w:top w:val="nil"/>
              <w:left w:val="nil"/>
              <w:bottom w:val="nil"/>
              <w:right w:val="nil"/>
            </w:tcBorders>
            <w:shd w:val="clear" w:color="000000" w:fill="BFBFBF"/>
            <w:noWrap/>
            <w:vAlign w:val="center"/>
            <w:hideMark/>
          </w:tcPr>
          <w:p w14:paraId="4855F47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66 384</w:t>
            </w:r>
          </w:p>
        </w:tc>
        <w:tc>
          <w:tcPr>
            <w:tcW w:w="992" w:type="dxa"/>
            <w:tcBorders>
              <w:top w:val="nil"/>
              <w:left w:val="nil"/>
              <w:bottom w:val="nil"/>
              <w:right w:val="nil"/>
            </w:tcBorders>
            <w:shd w:val="clear" w:color="auto" w:fill="auto"/>
            <w:noWrap/>
            <w:vAlign w:val="center"/>
            <w:hideMark/>
          </w:tcPr>
          <w:p w14:paraId="24914F48"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35 765</w:t>
            </w:r>
          </w:p>
        </w:tc>
        <w:tc>
          <w:tcPr>
            <w:tcW w:w="848" w:type="dxa"/>
            <w:tcBorders>
              <w:top w:val="nil"/>
              <w:left w:val="nil"/>
              <w:bottom w:val="nil"/>
              <w:right w:val="nil"/>
            </w:tcBorders>
            <w:shd w:val="clear" w:color="000000" w:fill="FFFFFF"/>
            <w:vAlign w:val="center"/>
            <w:hideMark/>
          </w:tcPr>
          <w:p w14:paraId="759B37E6"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63 684</w:t>
            </w:r>
          </w:p>
        </w:tc>
        <w:tc>
          <w:tcPr>
            <w:tcW w:w="711" w:type="dxa"/>
            <w:tcBorders>
              <w:top w:val="nil"/>
              <w:left w:val="nil"/>
              <w:bottom w:val="nil"/>
              <w:right w:val="nil"/>
            </w:tcBorders>
            <w:shd w:val="clear" w:color="000000" w:fill="FFFFFF"/>
            <w:vAlign w:val="center"/>
            <w:hideMark/>
          </w:tcPr>
          <w:p w14:paraId="5EBC5BFA"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2 358,7</w:t>
            </w:r>
          </w:p>
        </w:tc>
      </w:tr>
      <w:tr w:rsidR="005C1277" w:rsidRPr="00697006" w14:paraId="170DF6DD" w14:textId="77777777" w:rsidTr="0044781D">
        <w:trPr>
          <w:trHeight w:val="330"/>
        </w:trPr>
        <w:tc>
          <w:tcPr>
            <w:tcW w:w="2117" w:type="dxa"/>
            <w:tcBorders>
              <w:top w:val="nil"/>
              <w:left w:val="nil"/>
              <w:bottom w:val="nil"/>
              <w:right w:val="nil"/>
            </w:tcBorders>
            <w:shd w:val="clear" w:color="000000" w:fill="FFFFFF"/>
            <w:noWrap/>
            <w:vAlign w:val="center"/>
            <w:hideMark/>
          </w:tcPr>
          <w:p w14:paraId="4DA7024D"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Všeobecné verejné služby</w:t>
            </w:r>
          </w:p>
        </w:tc>
        <w:tc>
          <w:tcPr>
            <w:tcW w:w="992" w:type="dxa"/>
            <w:tcBorders>
              <w:top w:val="nil"/>
              <w:left w:val="nil"/>
              <w:bottom w:val="nil"/>
              <w:right w:val="nil"/>
            </w:tcBorders>
            <w:shd w:val="clear" w:color="000000" w:fill="FFFFFF"/>
            <w:noWrap/>
            <w:vAlign w:val="center"/>
            <w:hideMark/>
          </w:tcPr>
          <w:p w14:paraId="1B1035CB"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22 150</w:t>
            </w:r>
          </w:p>
        </w:tc>
        <w:tc>
          <w:tcPr>
            <w:tcW w:w="992" w:type="dxa"/>
            <w:tcBorders>
              <w:top w:val="nil"/>
              <w:left w:val="nil"/>
              <w:bottom w:val="nil"/>
              <w:right w:val="nil"/>
            </w:tcBorders>
            <w:shd w:val="clear" w:color="000000" w:fill="FFFFFF"/>
            <w:noWrap/>
            <w:vAlign w:val="center"/>
            <w:hideMark/>
          </w:tcPr>
          <w:p w14:paraId="57EC5CD9"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33 000</w:t>
            </w:r>
          </w:p>
        </w:tc>
        <w:tc>
          <w:tcPr>
            <w:tcW w:w="851" w:type="dxa"/>
            <w:tcBorders>
              <w:top w:val="nil"/>
              <w:left w:val="nil"/>
              <w:bottom w:val="nil"/>
              <w:right w:val="nil"/>
            </w:tcBorders>
            <w:shd w:val="clear" w:color="000000" w:fill="FFFFFF"/>
            <w:noWrap/>
            <w:vAlign w:val="center"/>
            <w:hideMark/>
          </w:tcPr>
          <w:p w14:paraId="21B2E233"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27 820</w:t>
            </w:r>
          </w:p>
        </w:tc>
        <w:tc>
          <w:tcPr>
            <w:tcW w:w="993" w:type="dxa"/>
            <w:tcBorders>
              <w:top w:val="nil"/>
              <w:left w:val="nil"/>
              <w:bottom w:val="nil"/>
              <w:right w:val="nil"/>
            </w:tcBorders>
            <w:shd w:val="clear" w:color="000000" w:fill="BFBFBF"/>
            <w:noWrap/>
            <w:vAlign w:val="center"/>
            <w:hideMark/>
          </w:tcPr>
          <w:p w14:paraId="669C918C"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50 530</w:t>
            </w:r>
          </w:p>
        </w:tc>
        <w:tc>
          <w:tcPr>
            <w:tcW w:w="992" w:type="dxa"/>
            <w:tcBorders>
              <w:top w:val="nil"/>
              <w:left w:val="nil"/>
              <w:bottom w:val="nil"/>
              <w:right w:val="nil"/>
            </w:tcBorders>
            <w:shd w:val="clear" w:color="auto" w:fill="auto"/>
            <w:noWrap/>
            <w:vAlign w:val="center"/>
            <w:hideMark/>
          </w:tcPr>
          <w:p w14:paraId="1F888B97"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38 715</w:t>
            </w:r>
          </w:p>
        </w:tc>
        <w:tc>
          <w:tcPr>
            <w:tcW w:w="848" w:type="dxa"/>
            <w:tcBorders>
              <w:top w:val="nil"/>
              <w:left w:val="nil"/>
              <w:bottom w:val="nil"/>
              <w:right w:val="nil"/>
            </w:tcBorders>
            <w:shd w:val="clear" w:color="000000" w:fill="FFFFFF"/>
            <w:vAlign w:val="center"/>
            <w:hideMark/>
          </w:tcPr>
          <w:p w14:paraId="545FF0A1"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22 710</w:t>
            </w:r>
          </w:p>
        </w:tc>
        <w:tc>
          <w:tcPr>
            <w:tcW w:w="711" w:type="dxa"/>
            <w:tcBorders>
              <w:top w:val="nil"/>
              <w:left w:val="nil"/>
              <w:bottom w:val="nil"/>
              <w:right w:val="nil"/>
            </w:tcBorders>
            <w:shd w:val="clear" w:color="000000" w:fill="FFFFFF"/>
            <w:vAlign w:val="center"/>
            <w:hideMark/>
          </w:tcPr>
          <w:p w14:paraId="7F9F22FB"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81,6</w:t>
            </w:r>
          </w:p>
        </w:tc>
      </w:tr>
      <w:tr w:rsidR="005C1277" w:rsidRPr="00697006" w14:paraId="765150AF" w14:textId="77777777" w:rsidTr="0044781D">
        <w:trPr>
          <w:trHeight w:val="330"/>
        </w:trPr>
        <w:tc>
          <w:tcPr>
            <w:tcW w:w="2117" w:type="dxa"/>
            <w:tcBorders>
              <w:top w:val="nil"/>
              <w:left w:val="nil"/>
              <w:bottom w:val="nil"/>
              <w:right w:val="nil"/>
            </w:tcBorders>
            <w:shd w:val="clear" w:color="000000" w:fill="FFFFFF"/>
            <w:vAlign w:val="center"/>
            <w:hideMark/>
          </w:tcPr>
          <w:p w14:paraId="0DC4438C"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Rekreácia, kultúra a náboženstvo</w:t>
            </w:r>
          </w:p>
        </w:tc>
        <w:tc>
          <w:tcPr>
            <w:tcW w:w="992" w:type="dxa"/>
            <w:tcBorders>
              <w:top w:val="nil"/>
              <w:left w:val="nil"/>
              <w:bottom w:val="nil"/>
              <w:right w:val="nil"/>
            </w:tcBorders>
            <w:shd w:val="clear" w:color="000000" w:fill="FFFFFF"/>
            <w:noWrap/>
            <w:vAlign w:val="center"/>
            <w:hideMark/>
          </w:tcPr>
          <w:p w14:paraId="3D5FFB5F"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6 857</w:t>
            </w:r>
          </w:p>
        </w:tc>
        <w:tc>
          <w:tcPr>
            <w:tcW w:w="992" w:type="dxa"/>
            <w:tcBorders>
              <w:top w:val="nil"/>
              <w:left w:val="nil"/>
              <w:bottom w:val="nil"/>
              <w:right w:val="nil"/>
            </w:tcBorders>
            <w:shd w:val="clear" w:color="000000" w:fill="FFFFFF"/>
            <w:noWrap/>
            <w:vAlign w:val="center"/>
            <w:hideMark/>
          </w:tcPr>
          <w:p w14:paraId="263B371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13 593</w:t>
            </w:r>
          </w:p>
        </w:tc>
        <w:tc>
          <w:tcPr>
            <w:tcW w:w="851" w:type="dxa"/>
            <w:tcBorders>
              <w:top w:val="nil"/>
              <w:left w:val="nil"/>
              <w:bottom w:val="nil"/>
              <w:right w:val="nil"/>
            </w:tcBorders>
            <w:shd w:val="clear" w:color="000000" w:fill="FFFFFF"/>
            <w:noWrap/>
            <w:vAlign w:val="center"/>
            <w:hideMark/>
          </w:tcPr>
          <w:p w14:paraId="48BE37F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2 690</w:t>
            </w:r>
          </w:p>
        </w:tc>
        <w:tc>
          <w:tcPr>
            <w:tcW w:w="993" w:type="dxa"/>
            <w:tcBorders>
              <w:top w:val="nil"/>
              <w:left w:val="nil"/>
              <w:bottom w:val="nil"/>
              <w:right w:val="nil"/>
            </w:tcBorders>
            <w:shd w:val="clear" w:color="000000" w:fill="BFBFBF"/>
            <w:noWrap/>
            <w:vAlign w:val="center"/>
            <w:hideMark/>
          </w:tcPr>
          <w:p w14:paraId="4474DB50"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19 204</w:t>
            </w:r>
          </w:p>
        </w:tc>
        <w:tc>
          <w:tcPr>
            <w:tcW w:w="992" w:type="dxa"/>
            <w:tcBorders>
              <w:top w:val="nil"/>
              <w:left w:val="nil"/>
              <w:bottom w:val="nil"/>
              <w:right w:val="nil"/>
            </w:tcBorders>
            <w:shd w:val="clear" w:color="auto" w:fill="auto"/>
            <w:noWrap/>
            <w:vAlign w:val="center"/>
            <w:hideMark/>
          </w:tcPr>
          <w:p w14:paraId="520E5FD5"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15 673</w:t>
            </w:r>
          </w:p>
        </w:tc>
        <w:tc>
          <w:tcPr>
            <w:tcW w:w="848" w:type="dxa"/>
            <w:tcBorders>
              <w:top w:val="nil"/>
              <w:left w:val="nil"/>
              <w:bottom w:val="nil"/>
              <w:right w:val="nil"/>
            </w:tcBorders>
            <w:shd w:val="clear" w:color="000000" w:fill="FFFFFF"/>
            <w:vAlign w:val="center"/>
            <w:hideMark/>
          </w:tcPr>
          <w:p w14:paraId="0C7F4B12"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16 514</w:t>
            </w:r>
          </w:p>
        </w:tc>
        <w:tc>
          <w:tcPr>
            <w:tcW w:w="711" w:type="dxa"/>
            <w:tcBorders>
              <w:top w:val="nil"/>
              <w:left w:val="nil"/>
              <w:bottom w:val="nil"/>
              <w:right w:val="nil"/>
            </w:tcBorders>
            <w:shd w:val="clear" w:color="000000" w:fill="FFFFFF"/>
            <w:vAlign w:val="center"/>
            <w:hideMark/>
          </w:tcPr>
          <w:p w14:paraId="0A6F991B"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613,9</w:t>
            </w:r>
          </w:p>
        </w:tc>
      </w:tr>
      <w:tr w:rsidR="005C1277" w:rsidRPr="00697006" w14:paraId="384CAEB7" w14:textId="77777777" w:rsidTr="0044781D">
        <w:trPr>
          <w:trHeight w:val="330"/>
        </w:trPr>
        <w:tc>
          <w:tcPr>
            <w:tcW w:w="2117" w:type="dxa"/>
            <w:tcBorders>
              <w:top w:val="nil"/>
              <w:left w:val="nil"/>
              <w:bottom w:val="nil"/>
              <w:right w:val="nil"/>
            </w:tcBorders>
            <w:shd w:val="clear" w:color="000000" w:fill="FFFFFF"/>
            <w:noWrap/>
            <w:vAlign w:val="center"/>
            <w:hideMark/>
          </w:tcPr>
          <w:p w14:paraId="28914C67"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Verejný poriadok a bezpečnosť</w:t>
            </w:r>
          </w:p>
        </w:tc>
        <w:tc>
          <w:tcPr>
            <w:tcW w:w="992" w:type="dxa"/>
            <w:tcBorders>
              <w:top w:val="nil"/>
              <w:left w:val="nil"/>
              <w:bottom w:val="nil"/>
              <w:right w:val="nil"/>
            </w:tcBorders>
            <w:shd w:val="clear" w:color="000000" w:fill="FFFFFF"/>
            <w:noWrap/>
            <w:vAlign w:val="center"/>
            <w:hideMark/>
          </w:tcPr>
          <w:p w14:paraId="692CC496"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7 566</w:t>
            </w:r>
          </w:p>
        </w:tc>
        <w:tc>
          <w:tcPr>
            <w:tcW w:w="992" w:type="dxa"/>
            <w:tcBorders>
              <w:top w:val="nil"/>
              <w:left w:val="nil"/>
              <w:bottom w:val="nil"/>
              <w:right w:val="nil"/>
            </w:tcBorders>
            <w:shd w:val="clear" w:color="000000" w:fill="FFFFFF"/>
            <w:noWrap/>
            <w:vAlign w:val="center"/>
            <w:hideMark/>
          </w:tcPr>
          <w:p w14:paraId="757E9F08"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35 615</w:t>
            </w:r>
          </w:p>
        </w:tc>
        <w:tc>
          <w:tcPr>
            <w:tcW w:w="851" w:type="dxa"/>
            <w:tcBorders>
              <w:top w:val="nil"/>
              <w:left w:val="nil"/>
              <w:bottom w:val="nil"/>
              <w:right w:val="nil"/>
            </w:tcBorders>
            <w:shd w:val="clear" w:color="000000" w:fill="FFFFFF"/>
            <w:noWrap/>
            <w:vAlign w:val="center"/>
            <w:hideMark/>
          </w:tcPr>
          <w:p w14:paraId="15A7EF5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638</w:t>
            </w:r>
          </w:p>
        </w:tc>
        <w:tc>
          <w:tcPr>
            <w:tcW w:w="993" w:type="dxa"/>
            <w:tcBorders>
              <w:top w:val="nil"/>
              <w:left w:val="nil"/>
              <w:bottom w:val="nil"/>
              <w:right w:val="nil"/>
            </w:tcBorders>
            <w:shd w:val="clear" w:color="000000" w:fill="BFBFBF"/>
            <w:noWrap/>
            <w:vAlign w:val="center"/>
            <w:hideMark/>
          </w:tcPr>
          <w:p w14:paraId="6696AD8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5 700</w:t>
            </w:r>
          </w:p>
        </w:tc>
        <w:tc>
          <w:tcPr>
            <w:tcW w:w="992" w:type="dxa"/>
            <w:tcBorders>
              <w:top w:val="nil"/>
              <w:left w:val="nil"/>
              <w:bottom w:val="nil"/>
              <w:right w:val="nil"/>
            </w:tcBorders>
            <w:shd w:val="clear" w:color="auto" w:fill="auto"/>
            <w:noWrap/>
            <w:vAlign w:val="center"/>
            <w:hideMark/>
          </w:tcPr>
          <w:p w14:paraId="3D8D1A92"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880</w:t>
            </w:r>
          </w:p>
        </w:tc>
        <w:tc>
          <w:tcPr>
            <w:tcW w:w="848" w:type="dxa"/>
            <w:tcBorders>
              <w:top w:val="nil"/>
              <w:left w:val="nil"/>
              <w:bottom w:val="nil"/>
              <w:right w:val="nil"/>
            </w:tcBorders>
            <w:shd w:val="clear" w:color="000000" w:fill="FFFFFF"/>
            <w:vAlign w:val="center"/>
            <w:hideMark/>
          </w:tcPr>
          <w:p w14:paraId="694121C9"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5 062</w:t>
            </w:r>
          </w:p>
        </w:tc>
        <w:tc>
          <w:tcPr>
            <w:tcW w:w="711" w:type="dxa"/>
            <w:tcBorders>
              <w:top w:val="nil"/>
              <w:left w:val="nil"/>
              <w:bottom w:val="nil"/>
              <w:right w:val="nil"/>
            </w:tcBorders>
            <w:shd w:val="clear" w:color="000000" w:fill="FFFFFF"/>
            <w:vAlign w:val="center"/>
            <w:hideMark/>
          </w:tcPr>
          <w:p w14:paraId="02BA188E"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793,4</w:t>
            </w:r>
          </w:p>
        </w:tc>
      </w:tr>
      <w:tr w:rsidR="005C1277" w:rsidRPr="00697006" w14:paraId="078B524A" w14:textId="77777777" w:rsidTr="0044781D">
        <w:trPr>
          <w:trHeight w:val="330"/>
        </w:trPr>
        <w:tc>
          <w:tcPr>
            <w:tcW w:w="2117" w:type="dxa"/>
            <w:tcBorders>
              <w:top w:val="nil"/>
              <w:left w:val="nil"/>
              <w:bottom w:val="nil"/>
              <w:right w:val="nil"/>
            </w:tcBorders>
            <w:shd w:val="clear" w:color="000000" w:fill="FFFFFF"/>
            <w:vAlign w:val="center"/>
            <w:hideMark/>
          </w:tcPr>
          <w:p w14:paraId="70D785FC" w14:textId="77777777" w:rsidR="00EA177A" w:rsidRPr="00697006" w:rsidRDefault="00EA177A" w:rsidP="00C704A7">
            <w:pPr>
              <w:spacing w:after="0" w:line="240" w:lineRule="auto"/>
              <w:jc w:val="left"/>
              <w:rPr>
                <w:rFonts w:eastAsia="Times New Roman" w:cs="Times New Roman"/>
                <w:sz w:val="18"/>
                <w:szCs w:val="18"/>
                <w:lang w:eastAsia="sk-SK"/>
              </w:rPr>
            </w:pPr>
            <w:r w:rsidRPr="00697006">
              <w:rPr>
                <w:rFonts w:eastAsia="Times New Roman" w:cs="Times New Roman"/>
                <w:sz w:val="18"/>
                <w:szCs w:val="18"/>
                <w:lang w:eastAsia="sk-SK"/>
              </w:rPr>
              <w:t>Zdravotníctvo</w:t>
            </w:r>
          </w:p>
        </w:tc>
        <w:tc>
          <w:tcPr>
            <w:tcW w:w="992" w:type="dxa"/>
            <w:tcBorders>
              <w:top w:val="nil"/>
              <w:left w:val="nil"/>
              <w:bottom w:val="nil"/>
              <w:right w:val="nil"/>
            </w:tcBorders>
            <w:shd w:val="clear" w:color="000000" w:fill="FFFFFF"/>
            <w:noWrap/>
            <w:vAlign w:val="center"/>
            <w:hideMark/>
          </w:tcPr>
          <w:p w14:paraId="173C0DC9"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0</w:t>
            </w:r>
          </w:p>
        </w:tc>
        <w:tc>
          <w:tcPr>
            <w:tcW w:w="992" w:type="dxa"/>
            <w:tcBorders>
              <w:top w:val="nil"/>
              <w:left w:val="nil"/>
              <w:bottom w:val="nil"/>
              <w:right w:val="nil"/>
            </w:tcBorders>
            <w:shd w:val="clear" w:color="000000" w:fill="FFFFFF"/>
            <w:noWrap/>
            <w:vAlign w:val="center"/>
            <w:hideMark/>
          </w:tcPr>
          <w:p w14:paraId="75E98799"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20</w:t>
            </w:r>
          </w:p>
        </w:tc>
        <w:tc>
          <w:tcPr>
            <w:tcW w:w="851" w:type="dxa"/>
            <w:tcBorders>
              <w:top w:val="nil"/>
              <w:left w:val="nil"/>
              <w:bottom w:val="nil"/>
              <w:right w:val="nil"/>
            </w:tcBorders>
            <w:shd w:val="clear" w:color="000000" w:fill="FFFFFF"/>
            <w:noWrap/>
            <w:vAlign w:val="center"/>
            <w:hideMark/>
          </w:tcPr>
          <w:p w14:paraId="1B03DF89"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0</w:t>
            </w:r>
          </w:p>
        </w:tc>
        <w:tc>
          <w:tcPr>
            <w:tcW w:w="993" w:type="dxa"/>
            <w:tcBorders>
              <w:top w:val="nil"/>
              <w:left w:val="nil"/>
              <w:bottom w:val="nil"/>
              <w:right w:val="nil"/>
            </w:tcBorders>
            <w:shd w:val="clear" w:color="000000" w:fill="BFBFBF"/>
            <w:noWrap/>
            <w:vAlign w:val="center"/>
            <w:hideMark/>
          </w:tcPr>
          <w:p w14:paraId="7EA3546C"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23</w:t>
            </w:r>
          </w:p>
        </w:tc>
        <w:tc>
          <w:tcPr>
            <w:tcW w:w="992" w:type="dxa"/>
            <w:tcBorders>
              <w:top w:val="nil"/>
              <w:left w:val="nil"/>
              <w:bottom w:val="nil"/>
              <w:right w:val="nil"/>
            </w:tcBorders>
            <w:shd w:val="clear" w:color="auto" w:fill="auto"/>
            <w:noWrap/>
            <w:vAlign w:val="center"/>
            <w:hideMark/>
          </w:tcPr>
          <w:p w14:paraId="5AEAA247"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23</w:t>
            </w:r>
          </w:p>
        </w:tc>
        <w:tc>
          <w:tcPr>
            <w:tcW w:w="848" w:type="dxa"/>
            <w:tcBorders>
              <w:top w:val="nil"/>
              <w:left w:val="nil"/>
              <w:bottom w:val="nil"/>
              <w:right w:val="nil"/>
            </w:tcBorders>
            <w:shd w:val="clear" w:color="000000" w:fill="FFFFFF"/>
            <w:vAlign w:val="center"/>
            <w:hideMark/>
          </w:tcPr>
          <w:p w14:paraId="76605F1F"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23</w:t>
            </w:r>
          </w:p>
        </w:tc>
        <w:tc>
          <w:tcPr>
            <w:tcW w:w="711" w:type="dxa"/>
            <w:tcBorders>
              <w:top w:val="nil"/>
              <w:left w:val="nil"/>
              <w:bottom w:val="nil"/>
              <w:right w:val="nil"/>
            </w:tcBorders>
            <w:shd w:val="clear" w:color="000000" w:fill="FFFFFF"/>
            <w:vAlign w:val="center"/>
            <w:hideMark/>
          </w:tcPr>
          <w:p w14:paraId="6A2E2697" w14:textId="77777777" w:rsidR="00EA177A" w:rsidRPr="00697006" w:rsidRDefault="00EA177A" w:rsidP="00C704A7">
            <w:pPr>
              <w:spacing w:after="0" w:line="240" w:lineRule="auto"/>
              <w:jc w:val="right"/>
              <w:rPr>
                <w:rFonts w:eastAsia="Times New Roman" w:cs="Times New Roman"/>
                <w:sz w:val="18"/>
                <w:szCs w:val="18"/>
                <w:lang w:eastAsia="sk-SK"/>
              </w:rPr>
            </w:pPr>
            <w:r w:rsidRPr="00697006">
              <w:rPr>
                <w:rFonts w:eastAsia="Times New Roman" w:cs="Times New Roman"/>
                <w:sz w:val="18"/>
                <w:szCs w:val="18"/>
                <w:lang w:eastAsia="sk-SK"/>
              </w:rPr>
              <w:t>x</w:t>
            </w:r>
          </w:p>
        </w:tc>
      </w:tr>
      <w:tr w:rsidR="005C1277" w:rsidRPr="00697006" w14:paraId="339D2A56" w14:textId="77777777" w:rsidTr="0044781D">
        <w:trPr>
          <w:trHeight w:val="345"/>
        </w:trPr>
        <w:tc>
          <w:tcPr>
            <w:tcW w:w="2117" w:type="dxa"/>
            <w:tcBorders>
              <w:top w:val="single" w:sz="4" w:space="0" w:color="auto"/>
              <w:left w:val="nil"/>
              <w:bottom w:val="single" w:sz="8" w:space="0" w:color="auto"/>
              <w:right w:val="nil"/>
            </w:tcBorders>
            <w:shd w:val="clear" w:color="000000" w:fill="FFFFFF"/>
            <w:noWrap/>
            <w:vAlign w:val="center"/>
            <w:hideMark/>
          </w:tcPr>
          <w:p w14:paraId="06E095C9" w14:textId="77777777" w:rsidR="00EA177A" w:rsidRPr="00697006" w:rsidRDefault="00EA177A" w:rsidP="00C704A7">
            <w:pPr>
              <w:spacing w:after="0" w:line="240" w:lineRule="auto"/>
              <w:jc w:val="left"/>
              <w:rPr>
                <w:rFonts w:eastAsia="Times New Roman" w:cs="Times New Roman"/>
                <w:b/>
                <w:bCs/>
                <w:sz w:val="18"/>
                <w:szCs w:val="18"/>
                <w:lang w:eastAsia="sk-SK"/>
              </w:rPr>
            </w:pPr>
            <w:r w:rsidRPr="00697006">
              <w:rPr>
                <w:rFonts w:eastAsia="Times New Roman" w:cs="Times New Roman"/>
                <w:b/>
                <w:bCs/>
                <w:sz w:val="18"/>
                <w:szCs w:val="18"/>
                <w:lang w:eastAsia="sk-SK"/>
              </w:rPr>
              <w:t>Spolu</w:t>
            </w:r>
          </w:p>
        </w:tc>
        <w:tc>
          <w:tcPr>
            <w:tcW w:w="992" w:type="dxa"/>
            <w:tcBorders>
              <w:top w:val="single" w:sz="4" w:space="0" w:color="auto"/>
              <w:left w:val="nil"/>
              <w:bottom w:val="single" w:sz="8" w:space="0" w:color="auto"/>
              <w:right w:val="nil"/>
            </w:tcBorders>
            <w:shd w:val="clear" w:color="000000" w:fill="FFFFFF"/>
            <w:noWrap/>
            <w:vAlign w:val="center"/>
            <w:hideMark/>
          </w:tcPr>
          <w:p w14:paraId="70DEFCA2"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1 097 737</w:t>
            </w:r>
          </w:p>
        </w:tc>
        <w:tc>
          <w:tcPr>
            <w:tcW w:w="992" w:type="dxa"/>
            <w:tcBorders>
              <w:top w:val="single" w:sz="4" w:space="0" w:color="auto"/>
              <w:left w:val="nil"/>
              <w:bottom w:val="single" w:sz="8" w:space="0" w:color="auto"/>
              <w:right w:val="nil"/>
            </w:tcBorders>
            <w:shd w:val="clear" w:color="000000" w:fill="FFFFFF"/>
            <w:noWrap/>
            <w:vAlign w:val="center"/>
            <w:hideMark/>
          </w:tcPr>
          <w:p w14:paraId="358ED108"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1 345 539</w:t>
            </w:r>
          </w:p>
        </w:tc>
        <w:tc>
          <w:tcPr>
            <w:tcW w:w="851" w:type="dxa"/>
            <w:tcBorders>
              <w:top w:val="single" w:sz="4" w:space="0" w:color="auto"/>
              <w:left w:val="nil"/>
              <w:bottom w:val="single" w:sz="8" w:space="0" w:color="auto"/>
              <w:right w:val="nil"/>
            </w:tcBorders>
            <w:shd w:val="clear" w:color="000000" w:fill="FFFFFF"/>
            <w:noWrap/>
            <w:vAlign w:val="center"/>
            <w:hideMark/>
          </w:tcPr>
          <w:p w14:paraId="42F5F540"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940 247</w:t>
            </w:r>
          </w:p>
        </w:tc>
        <w:tc>
          <w:tcPr>
            <w:tcW w:w="993" w:type="dxa"/>
            <w:tcBorders>
              <w:top w:val="single" w:sz="4" w:space="0" w:color="auto"/>
              <w:left w:val="nil"/>
              <w:bottom w:val="single" w:sz="8" w:space="0" w:color="auto"/>
              <w:right w:val="nil"/>
            </w:tcBorders>
            <w:shd w:val="clear" w:color="000000" w:fill="BFBFBF"/>
            <w:noWrap/>
            <w:vAlign w:val="center"/>
            <w:hideMark/>
          </w:tcPr>
          <w:p w14:paraId="70CE6DD1"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1 505 636</w:t>
            </w:r>
          </w:p>
        </w:tc>
        <w:tc>
          <w:tcPr>
            <w:tcW w:w="992" w:type="dxa"/>
            <w:tcBorders>
              <w:top w:val="single" w:sz="4" w:space="0" w:color="auto"/>
              <w:left w:val="nil"/>
              <w:bottom w:val="single" w:sz="8" w:space="0" w:color="auto"/>
              <w:right w:val="nil"/>
            </w:tcBorders>
            <w:shd w:val="clear" w:color="auto" w:fill="auto"/>
            <w:noWrap/>
            <w:vAlign w:val="center"/>
            <w:hideMark/>
          </w:tcPr>
          <w:p w14:paraId="3A57D566"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1 191 334</w:t>
            </w:r>
          </w:p>
        </w:tc>
        <w:tc>
          <w:tcPr>
            <w:tcW w:w="848" w:type="dxa"/>
            <w:tcBorders>
              <w:top w:val="single" w:sz="4" w:space="0" w:color="auto"/>
              <w:left w:val="nil"/>
              <w:bottom w:val="single" w:sz="8" w:space="0" w:color="auto"/>
              <w:right w:val="nil"/>
            </w:tcBorders>
            <w:shd w:val="clear" w:color="000000" w:fill="FFFFFF"/>
            <w:noWrap/>
            <w:vAlign w:val="center"/>
            <w:hideMark/>
          </w:tcPr>
          <w:p w14:paraId="56A2883D"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565 389</w:t>
            </w:r>
          </w:p>
        </w:tc>
        <w:tc>
          <w:tcPr>
            <w:tcW w:w="711" w:type="dxa"/>
            <w:tcBorders>
              <w:top w:val="single" w:sz="4" w:space="0" w:color="auto"/>
              <w:left w:val="nil"/>
              <w:bottom w:val="single" w:sz="8" w:space="0" w:color="auto"/>
              <w:right w:val="nil"/>
            </w:tcBorders>
            <w:shd w:val="clear" w:color="000000" w:fill="FFFFFF"/>
            <w:noWrap/>
            <w:vAlign w:val="center"/>
            <w:hideMark/>
          </w:tcPr>
          <w:p w14:paraId="3451725D" w14:textId="77777777" w:rsidR="00EA177A" w:rsidRPr="00697006" w:rsidRDefault="00EA177A" w:rsidP="00C704A7">
            <w:pPr>
              <w:spacing w:after="0" w:line="240" w:lineRule="auto"/>
              <w:jc w:val="right"/>
              <w:rPr>
                <w:rFonts w:eastAsia="Times New Roman" w:cs="Times New Roman"/>
                <w:b/>
                <w:bCs/>
                <w:sz w:val="18"/>
                <w:szCs w:val="18"/>
                <w:lang w:eastAsia="sk-SK"/>
              </w:rPr>
            </w:pPr>
            <w:r w:rsidRPr="00697006">
              <w:rPr>
                <w:rFonts w:eastAsia="Times New Roman" w:cs="Times New Roman"/>
                <w:b/>
                <w:bCs/>
                <w:sz w:val="18"/>
                <w:szCs w:val="18"/>
                <w:lang w:eastAsia="sk-SK"/>
              </w:rPr>
              <w:t>60,1</w:t>
            </w:r>
          </w:p>
        </w:tc>
      </w:tr>
    </w:tbl>
    <w:p w14:paraId="2F6DE2D6" w14:textId="77777777" w:rsidR="00EA177A" w:rsidRPr="00F71EE7" w:rsidRDefault="00EA177A" w:rsidP="00EA177A">
      <w:pPr>
        <w:suppressAutoHyphens/>
        <w:spacing w:after="0" w:line="240" w:lineRule="auto"/>
        <w:rPr>
          <w:sz w:val="18"/>
          <w:szCs w:val="18"/>
        </w:rPr>
      </w:pPr>
      <w:r w:rsidRPr="00F71EE7">
        <w:rPr>
          <w:sz w:val="18"/>
          <w:szCs w:val="18"/>
        </w:rPr>
        <w:t xml:space="preserve">Poznámka: * len prostriedky štátneho rozpočtu </w:t>
      </w:r>
      <w:r w:rsidRPr="00F71EE7">
        <w:rPr>
          <w:sz w:val="18"/>
          <w:szCs w:val="18"/>
        </w:rPr>
        <w:tab/>
      </w:r>
      <w:r w:rsidRPr="00F71EE7">
        <w:rPr>
          <w:sz w:val="18"/>
          <w:szCs w:val="18"/>
        </w:rPr>
        <w:tab/>
      </w:r>
      <w:r w:rsidRPr="00F71EE7">
        <w:rPr>
          <w:sz w:val="18"/>
          <w:szCs w:val="18"/>
        </w:rPr>
        <w:tab/>
      </w:r>
      <w:r w:rsidRPr="00F71EE7">
        <w:rPr>
          <w:sz w:val="18"/>
          <w:szCs w:val="18"/>
        </w:rPr>
        <w:tab/>
      </w:r>
      <w:r w:rsidRPr="00F71EE7">
        <w:rPr>
          <w:sz w:val="18"/>
          <w:szCs w:val="18"/>
        </w:rPr>
        <w:tab/>
      </w:r>
      <w:r w:rsidRPr="00F71EE7">
        <w:rPr>
          <w:sz w:val="18"/>
          <w:szCs w:val="18"/>
        </w:rPr>
        <w:tab/>
      </w:r>
      <w:r>
        <w:rPr>
          <w:sz w:val="18"/>
          <w:szCs w:val="18"/>
        </w:rPr>
        <w:t xml:space="preserve">        </w:t>
      </w:r>
      <w:r w:rsidRPr="00F71EE7">
        <w:rPr>
          <w:sz w:val="18"/>
          <w:szCs w:val="18"/>
        </w:rPr>
        <w:t>Zdroj: MF SR</w:t>
      </w:r>
    </w:p>
    <w:p w14:paraId="1C7D6496" w14:textId="77777777" w:rsidR="00EA177A" w:rsidRPr="00F71EE7" w:rsidRDefault="00EA177A" w:rsidP="00E8699D">
      <w:pPr>
        <w:suppressAutoHyphens/>
        <w:spacing w:before="120"/>
      </w:pPr>
      <w:r w:rsidRPr="00F71EE7">
        <w:t>Najväčšie pozitívne rozdiely medzi schváleným rozpočtom a skutočnosťou boli zaznamenané vo vzdelávaní o 184 916 tis. eur</w:t>
      </w:r>
      <w:r>
        <w:t>, z toho</w:t>
      </w:r>
      <w:r w:rsidRPr="00F71EE7">
        <w:t xml:space="preserve"> u Ministerstva vnútra SR</w:t>
      </w:r>
      <w:r>
        <w:t xml:space="preserve"> 177 138 tis. eur</w:t>
      </w:r>
      <w:r w:rsidRPr="00F71EE7">
        <w:t>, v ochrane životného prostredia o 108 786 tis. eur</w:t>
      </w:r>
      <w:r>
        <w:t>, z toho u</w:t>
      </w:r>
      <w:r w:rsidRPr="00F71EE7">
        <w:t> Ministerstva životného prostredia SR</w:t>
      </w:r>
      <w:r>
        <w:t xml:space="preserve"> 107 429 tis. eur</w:t>
      </w:r>
      <w:r w:rsidRPr="00F71EE7">
        <w:t xml:space="preserve"> a v ekonomickej oblasti o 103 783 tis. eur</w:t>
      </w:r>
      <w:r>
        <w:t>, z toho</w:t>
      </w:r>
      <w:r w:rsidRPr="00F71EE7">
        <w:t xml:space="preserve"> </w:t>
      </w:r>
      <w:r w:rsidRPr="00F71EE7">
        <w:rPr>
          <w:color w:val="000000" w:themeColor="text1"/>
        </w:rPr>
        <w:t>u Ministerstva pôdohospodárstva SR</w:t>
      </w:r>
      <w:r>
        <w:rPr>
          <w:color w:val="000000" w:themeColor="text1"/>
        </w:rPr>
        <w:t xml:space="preserve"> 84 458 tis. eur</w:t>
      </w:r>
      <w:r w:rsidRPr="00F71EE7">
        <w:rPr>
          <w:color w:val="000000" w:themeColor="text1"/>
        </w:rPr>
        <w:t xml:space="preserve"> </w:t>
      </w:r>
      <w:r w:rsidRPr="00F71EE7">
        <w:t>a sú vysvetlené</w:t>
      </w:r>
      <w:r>
        <w:t xml:space="preserve"> v komentároch</w:t>
      </w:r>
      <w:r w:rsidRPr="00F71EE7">
        <w:t xml:space="preserve"> nižšie pod príslušnými kapitolami.</w:t>
      </w:r>
    </w:p>
    <w:p w14:paraId="11888292" w14:textId="77777777" w:rsidR="00EA177A" w:rsidRDefault="00EA177A" w:rsidP="00EA177A">
      <w:pPr>
        <w:suppressAutoHyphens/>
      </w:pPr>
      <w:r w:rsidRPr="00F71EE7">
        <w:t>Do rozpočtov obcí boli poskytnuté granty a transfery z jednotlivých rozpočtových kapitol v nasledovnom členení:</w:t>
      </w:r>
    </w:p>
    <w:tbl>
      <w:tblPr>
        <w:tblW w:w="8920" w:type="dxa"/>
        <w:tblLayout w:type="fixed"/>
        <w:tblCellMar>
          <w:left w:w="70" w:type="dxa"/>
          <w:right w:w="70" w:type="dxa"/>
        </w:tblCellMar>
        <w:tblLook w:val="04A0" w:firstRow="1" w:lastRow="0" w:firstColumn="1" w:lastColumn="0" w:noHBand="0" w:noVBand="1"/>
      </w:tblPr>
      <w:tblGrid>
        <w:gridCol w:w="2566"/>
        <w:gridCol w:w="993"/>
        <w:gridCol w:w="967"/>
        <w:gridCol w:w="851"/>
        <w:gridCol w:w="992"/>
        <w:gridCol w:w="992"/>
        <w:gridCol w:w="850"/>
        <w:gridCol w:w="709"/>
      </w:tblGrid>
      <w:tr w:rsidR="00EA177A" w:rsidRPr="001D2697" w14:paraId="2431FFB8" w14:textId="77777777" w:rsidTr="00F53AB4">
        <w:trPr>
          <w:trHeight w:val="447"/>
        </w:trPr>
        <w:tc>
          <w:tcPr>
            <w:tcW w:w="8920" w:type="dxa"/>
            <w:gridSpan w:val="8"/>
            <w:tcBorders>
              <w:top w:val="nil"/>
              <w:left w:val="single" w:sz="8" w:space="0" w:color="auto"/>
              <w:bottom w:val="nil"/>
              <w:right w:val="nil"/>
            </w:tcBorders>
            <w:shd w:val="clear" w:color="000000" w:fill="000000"/>
            <w:vAlign w:val="center"/>
            <w:hideMark/>
          </w:tcPr>
          <w:p w14:paraId="3D05D7BB" w14:textId="78228921" w:rsidR="00EA177A" w:rsidRPr="001D2697" w:rsidRDefault="00EA177A" w:rsidP="006D3318">
            <w:pPr>
              <w:spacing w:after="0" w:line="240" w:lineRule="auto"/>
              <w:jc w:val="left"/>
              <w:rPr>
                <w:rFonts w:eastAsia="Times New Roman" w:cs="Times New Roman"/>
                <w:b/>
                <w:bCs/>
                <w:sz w:val="18"/>
                <w:szCs w:val="18"/>
                <w:lang w:eastAsia="sk-SK"/>
              </w:rPr>
            </w:pPr>
            <w:bookmarkStart w:id="49" w:name="RANGE!B27:I45"/>
            <w:r w:rsidRPr="001D2697">
              <w:rPr>
                <w:rFonts w:eastAsia="Times New Roman" w:cs="Times New Roman"/>
                <w:b/>
                <w:bCs/>
                <w:sz w:val="18"/>
                <w:szCs w:val="18"/>
                <w:lang w:eastAsia="sk-SK"/>
              </w:rPr>
              <w:t>Granty a transfery poskytnuté obciam podľa kapitol ŠR</w:t>
            </w:r>
            <w:bookmarkEnd w:id="49"/>
            <w:r>
              <w:rPr>
                <w:rFonts w:eastAsia="Times New Roman" w:cs="Times New Roman"/>
                <w:b/>
                <w:bCs/>
                <w:sz w:val="18"/>
                <w:szCs w:val="18"/>
                <w:lang w:eastAsia="sk-SK"/>
              </w:rPr>
              <w:t xml:space="preserve">                                                                                </w:t>
            </w:r>
            <w:r w:rsidRPr="001D2697">
              <w:rPr>
                <w:rFonts w:eastAsia="Times New Roman" w:cs="Times New Roman"/>
                <w:b/>
                <w:bCs/>
                <w:sz w:val="18"/>
                <w:szCs w:val="18"/>
                <w:lang w:eastAsia="sk-SK"/>
              </w:rPr>
              <w:t>v tis.</w:t>
            </w:r>
            <w:r>
              <w:rPr>
                <w:rFonts w:eastAsia="Times New Roman" w:cs="Times New Roman"/>
                <w:b/>
                <w:bCs/>
                <w:sz w:val="18"/>
                <w:szCs w:val="18"/>
                <w:lang w:eastAsia="sk-SK"/>
              </w:rPr>
              <w:t xml:space="preserve"> </w:t>
            </w:r>
            <w:r w:rsidRPr="001D2697">
              <w:rPr>
                <w:rFonts w:eastAsia="Times New Roman" w:cs="Times New Roman"/>
                <w:b/>
                <w:bCs/>
                <w:sz w:val="18"/>
                <w:szCs w:val="18"/>
                <w:lang w:eastAsia="sk-SK"/>
              </w:rPr>
              <w:t>eur</w:t>
            </w:r>
          </w:p>
        </w:tc>
      </w:tr>
      <w:tr w:rsidR="00EA177A" w:rsidRPr="001D2697" w14:paraId="1CACEFC7" w14:textId="77777777" w:rsidTr="005D7A85">
        <w:trPr>
          <w:trHeight w:val="330"/>
        </w:trPr>
        <w:tc>
          <w:tcPr>
            <w:tcW w:w="2566" w:type="dxa"/>
            <w:tcBorders>
              <w:top w:val="nil"/>
              <w:left w:val="nil"/>
              <w:bottom w:val="nil"/>
              <w:right w:val="nil"/>
            </w:tcBorders>
            <w:shd w:val="clear" w:color="000000" w:fill="BFBFBF"/>
            <w:vAlign w:val="center"/>
            <w:hideMark/>
          </w:tcPr>
          <w:p w14:paraId="2D2C0711" w14:textId="77777777" w:rsidR="00EA177A" w:rsidRPr="001D2697" w:rsidRDefault="00EA177A" w:rsidP="00C704A7">
            <w:pPr>
              <w:spacing w:after="0" w:line="240" w:lineRule="auto"/>
              <w:jc w:val="left"/>
              <w:rPr>
                <w:rFonts w:eastAsia="Times New Roman" w:cs="Times New Roman"/>
                <w:b/>
                <w:bCs/>
                <w:sz w:val="18"/>
                <w:szCs w:val="18"/>
                <w:lang w:eastAsia="sk-SK"/>
              </w:rPr>
            </w:pPr>
            <w:r w:rsidRPr="001D2697">
              <w:rPr>
                <w:rFonts w:eastAsia="Times New Roman" w:cs="Times New Roman"/>
                <w:b/>
                <w:bCs/>
                <w:sz w:val="18"/>
                <w:szCs w:val="18"/>
                <w:lang w:eastAsia="sk-SK"/>
              </w:rPr>
              <w:t> </w:t>
            </w:r>
          </w:p>
        </w:tc>
        <w:tc>
          <w:tcPr>
            <w:tcW w:w="1960" w:type="dxa"/>
            <w:gridSpan w:val="2"/>
            <w:tcBorders>
              <w:top w:val="nil"/>
              <w:left w:val="nil"/>
              <w:bottom w:val="nil"/>
              <w:right w:val="nil"/>
            </w:tcBorders>
            <w:shd w:val="clear" w:color="000000" w:fill="BFBFBF"/>
            <w:vAlign w:val="center"/>
            <w:hideMark/>
          </w:tcPr>
          <w:p w14:paraId="0D17ED1F"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Skutočnosť</w:t>
            </w:r>
          </w:p>
        </w:tc>
        <w:tc>
          <w:tcPr>
            <w:tcW w:w="851" w:type="dxa"/>
            <w:tcBorders>
              <w:top w:val="nil"/>
              <w:left w:val="nil"/>
              <w:bottom w:val="nil"/>
              <w:right w:val="nil"/>
            </w:tcBorders>
            <w:shd w:val="clear" w:color="000000" w:fill="BFBFBF"/>
            <w:vAlign w:val="center"/>
            <w:hideMark/>
          </w:tcPr>
          <w:p w14:paraId="69F07ED9"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Rozpočet</w:t>
            </w:r>
          </w:p>
        </w:tc>
        <w:tc>
          <w:tcPr>
            <w:tcW w:w="1984" w:type="dxa"/>
            <w:gridSpan w:val="2"/>
            <w:tcBorders>
              <w:top w:val="nil"/>
              <w:left w:val="nil"/>
              <w:bottom w:val="nil"/>
              <w:right w:val="nil"/>
            </w:tcBorders>
            <w:shd w:val="clear" w:color="000000" w:fill="BFBFBF"/>
            <w:vAlign w:val="center"/>
            <w:hideMark/>
          </w:tcPr>
          <w:p w14:paraId="4A3F3AB3"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Skutočnosť</w:t>
            </w:r>
          </w:p>
        </w:tc>
        <w:tc>
          <w:tcPr>
            <w:tcW w:w="1559" w:type="dxa"/>
            <w:gridSpan w:val="2"/>
            <w:tcBorders>
              <w:top w:val="nil"/>
              <w:left w:val="nil"/>
              <w:bottom w:val="nil"/>
              <w:right w:val="nil"/>
            </w:tcBorders>
            <w:shd w:val="clear" w:color="000000" w:fill="BFBFBF"/>
            <w:vAlign w:val="center"/>
            <w:hideMark/>
          </w:tcPr>
          <w:p w14:paraId="76BBC622"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Rozdiel</w:t>
            </w:r>
          </w:p>
        </w:tc>
      </w:tr>
      <w:tr w:rsidR="00EA177A" w:rsidRPr="001D2697" w14:paraId="3E72ED49" w14:textId="77777777" w:rsidTr="005D7A85">
        <w:trPr>
          <w:trHeight w:val="510"/>
        </w:trPr>
        <w:tc>
          <w:tcPr>
            <w:tcW w:w="2566" w:type="dxa"/>
            <w:tcBorders>
              <w:top w:val="nil"/>
              <w:left w:val="nil"/>
              <w:bottom w:val="nil"/>
              <w:right w:val="nil"/>
            </w:tcBorders>
            <w:shd w:val="clear" w:color="000000" w:fill="BFBFBF"/>
            <w:vAlign w:val="center"/>
            <w:hideMark/>
          </w:tcPr>
          <w:p w14:paraId="31776EA6"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 </w:t>
            </w:r>
          </w:p>
        </w:tc>
        <w:tc>
          <w:tcPr>
            <w:tcW w:w="993" w:type="dxa"/>
            <w:tcBorders>
              <w:top w:val="nil"/>
              <w:left w:val="nil"/>
              <w:bottom w:val="nil"/>
              <w:right w:val="nil"/>
            </w:tcBorders>
            <w:shd w:val="clear" w:color="000000" w:fill="BFBFBF"/>
            <w:vAlign w:val="center"/>
            <w:hideMark/>
          </w:tcPr>
          <w:p w14:paraId="4DDCA979"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2017</w:t>
            </w:r>
          </w:p>
        </w:tc>
        <w:tc>
          <w:tcPr>
            <w:tcW w:w="967" w:type="dxa"/>
            <w:tcBorders>
              <w:top w:val="nil"/>
              <w:left w:val="nil"/>
              <w:bottom w:val="nil"/>
              <w:right w:val="nil"/>
            </w:tcBorders>
            <w:shd w:val="clear" w:color="000000" w:fill="BFBFBF"/>
            <w:vAlign w:val="center"/>
            <w:hideMark/>
          </w:tcPr>
          <w:p w14:paraId="255E78A0"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2018</w:t>
            </w:r>
          </w:p>
        </w:tc>
        <w:tc>
          <w:tcPr>
            <w:tcW w:w="851" w:type="dxa"/>
            <w:tcBorders>
              <w:top w:val="nil"/>
              <w:left w:val="nil"/>
              <w:bottom w:val="nil"/>
              <w:right w:val="nil"/>
            </w:tcBorders>
            <w:shd w:val="clear" w:color="000000" w:fill="BFBFBF"/>
            <w:vAlign w:val="center"/>
            <w:hideMark/>
          </w:tcPr>
          <w:p w14:paraId="34465AA8"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2019</w:t>
            </w:r>
          </w:p>
        </w:tc>
        <w:tc>
          <w:tcPr>
            <w:tcW w:w="992" w:type="dxa"/>
            <w:tcBorders>
              <w:top w:val="nil"/>
              <w:left w:val="nil"/>
              <w:bottom w:val="nil"/>
              <w:right w:val="nil"/>
            </w:tcBorders>
            <w:shd w:val="clear" w:color="000000" w:fill="BFBFBF"/>
            <w:vAlign w:val="center"/>
            <w:hideMark/>
          </w:tcPr>
          <w:p w14:paraId="0A10B248"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2019</w:t>
            </w:r>
          </w:p>
        </w:tc>
        <w:tc>
          <w:tcPr>
            <w:tcW w:w="992" w:type="dxa"/>
            <w:tcBorders>
              <w:top w:val="nil"/>
              <w:left w:val="nil"/>
              <w:bottom w:val="nil"/>
              <w:right w:val="nil"/>
            </w:tcBorders>
            <w:shd w:val="clear" w:color="000000" w:fill="BFBFBF"/>
            <w:vAlign w:val="center"/>
            <w:hideMark/>
          </w:tcPr>
          <w:p w14:paraId="3D942011"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z toho: zdroj 111</w:t>
            </w:r>
            <w:r w:rsidRPr="001D2697">
              <w:rPr>
                <w:rFonts w:ascii="Arial Narrow" w:eastAsia="Times New Roman" w:hAnsi="Arial Narrow" w:cs="Times New Roman"/>
                <w:b/>
                <w:bCs/>
                <w:sz w:val="18"/>
                <w:szCs w:val="18"/>
                <w:lang w:eastAsia="sk-SK"/>
              </w:rPr>
              <w:t>*</w:t>
            </w:r>
          </w:p>
        </w:tc>
        <w:tc>
          <w:tcPr>
            <w:tcW w:w="850" w:type="dxa"/>
            <w:tcBorders>
              <w:top w:val="nil"/>
              <w:left w:val="nil"/>
              <w:bottom w:val="nil"/>
              <w:right w:val="nil"/>
            </w:tcBorders>
            <w:shd w:val="clear" w:color="000000" w:fill="BFBFBF"/>
            <w:vAlign w:val="center"/>
            <w:hideMark/>
          </w:tcPr>
          <w:p w14:paraId="769EF095"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 xml:space="preserve"> v tis. eur</w:t>
            </w:r>
          </w:p>
        </w:tc>
        <w:tc>
          <w:tcPr>
            <w:tcW w:w="709" w:type="dxa"/>
            <w:tcBorders>
              <w:top w:val="nil"/>
              <w:left w:val="nil"/>
              <w:bottom w:val="nil"/>
              <w:right w:val="nil"/>
            </w:tcBorders>
            <w:shd w:val="clear" w:color="000000" w:fill="BFBFBF"/>
            <w:vAlign w:val="center"/>
            <w:hideMark/>
          </w:tcPr>
          <w:p w14:paraId="4A807E1D"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v %</w:t>
            </w:r>
          </w:p>
        </w:tc>
      </w:tr>
      <w:tr w:rsidR="00EA177A" w:rsidRPr="001D2697" w14:paraId="770ECF14" w14:textId="77777777" w:rsidTr="005D7A85">
        <w:trPr>
          <w:trHeight w:val="345"/>
        </w:trPr>
        <w:tc>
          <w:tcPr>
            <w:tcW w:w="2566" w:type="dxa"/>
            <w:tcBorders>
              <w:top w:val="nil"/>
              <w:left w:val="nil"/>
              <w:bottom w:val="single" w:sz="8" w:space="0" w:color="auto"/>
              <w:right w:val="nil"/>
            </w:tcBorders>
            <w:shd w:val="clear" w:color="000000" w:fill="BFBFBF"/>
            <w:vAlign w:val="center"/>
            <w:hideMark/>
          </w:tcPr>
          <w:p w14:paraId="5A05DFB0" w14:textId="77777777" w:rsidR="00EA177A" w:rsidRPr="001D2697" w:rsidRDefault="00EA177A" w:rsidP="00C704A7">
            <w:pPr>
              <w:spacing w:after="0" w:line="240" w:lineRule="auto"/>
              <w:jc w:val="left"/>
              <w:rPr>
                <w:rFonts w:eastAsia="Times New Roman" w:cs="Times New Roman"/>
                <w:b/>
                <w:bCs/>
                <w:sz w:val="18"/>
                <w:szCs w:val="18"/>
                <w:lang w:eastAsia="sk-SK"/>
              </w:rPr>
            </w:pPr>
            <w:r w:rsidRPr="001D2697">
              <w:rPr>
                <w:rFonts w:eastAsia="Times New Roman" w:cs="Times New Roman"/>
                <w:b/>
                <w:bCs/>
                <w:sz w:val="18"/>
                <w:szCs w:val="18"/>
                <w:lang w:eastAsia="sk-SK"/>
              </w:rPr>
              <w:t> </w:t>
            </w:r>
          </w:p>
        </w:tc>
        <w:tc>
          <w:tcPr>
            <w:tcW w:w="993" w:type="dxa"/>
            <w:tcBorders>
              <w:top w:val="nil"/>
              <w:left w:val="nil"/>
              <w:bottom w:val="single" w:sz="8" w:space="0" w:color="auto"/>
              <w:right w:val="nil"/>
            </w:tcBorders>
            <w:shd w:val="clear" w:color="000000" w:fill="BFBFBF"/>
            <w:vAlign w:val="center"/>
            <w:hideMark/>
          </w:tcPr>
          <w:p w14:paraId="2E63386F"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1</w:t>
            </w:r>
          </w:p>
        </w:tc>
        <w:tc>
          <w:tcPr>
            <w:tcW w:w="967" w:type="dxa"/>
            <w:tcBorders>
              <w:top w:val="nil"/>
              <w:left w:val="nil"/>
              <w:bottom w:val="single" w:sz="8" w:space="0" w:color="auto"/>
              <w:right w:val="nil"/>
            </w:tcBorders>
            <w:shd w:val="clear" w:color="000000" w:fill="BFBFBF"/>
            <w:vAlign w:val="center"/>
            <w:hideMark/>
          </w:tcPr>
          <w:p w14:paraId="2F78B778"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000000" w:fill="BFBFBF"/>
            <w:vAlign w:val="center"/>
            <w:hideMark/>
          </w:tcPr>
          <w:p w14:paraId="45233276"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3</w:t>
            </w:r>
          </w:p>
        </w:tc>
        <w:tc>
          <w:tcPr>
            <w:tcW w:w="992" w:type="dxa"/>
            <w:tcBorders>
              <w:top w:val="nil"/>
              <w:left w:val="nil"/>
              <w:bottom w:val="single" w:sz="8" w:space="0" w:color="auto"/>
              <w:right w:val="nil"/>
            </w:tcBorders>
            <w:shd w:val="clear" w:color="000000" w:fill="BFBFBF"/>
            <w:vAlign w:val="center"/>
            <w:hideMark/>
          </w:tcPr>
          <w:p w14:paraId="7253B7B9"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10BC32C4"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5</w:t>
            </w:r>
          </w:p>
        </w:tc>
        <w:tc>
          <w:tcPr>
            <w:tcW w:w="850" w:type="dxa"/>
            <w:tcBorders>
              <w:top w:val="nil"/>
              <w:left w:val="nil"/>
              <w:bottom w:val="single" w:sz="8" w:space="0" w:color="auto"/>
              <w:right w:val="nil"/>
            </w:tcBorders>
            <w:shd w:val="clear" w:color="000000" w:fill="BFBFBF"/>
            <w:vAlign w:val="center"/>
            <w:hideMark/>
          </w:tcPr>
          <w:p w14:paraId="1EF434BD"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6=4-3</w:t>
            </w:r>
          </w:p>
        </w:tc>
        <w:tc>
          <w:tcPr>
            <w:tcW w:w="709" w:type="dxa"/>
            <w:tcBorders>
              <w:top w:val="nil"/>
              <w:left w:val="nil"/>
              <w:bottom w:val="single" w:sz="8" w:space="0" w:color="auto"/>
              <w:right w:val="nil"/>
            </w:tcBorders>
            <w:shd w:val="clear" w:color="000000" w:fill="BFBFBF"/>
            <w:vAlign w:val="center"/>
            <w:hideMark/>
          </w:tcPr>
          <w:p w14:paraId="1997FE98" w14:textId="77777777" w:rsidR="00EA177A" w:rsidRPr="001D2697" w:rsidRDefault="00EA177A" w:rsidP="00C704A7">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7=4-3</w:t>
            </w:r>
          </w:p>
        </w:tc>
      </w:tr>
      <w:tr w:rsidR="00EA177A" w:rsidRPr="001D2697" w14:paraId="7CDAD0B6" w14:textId="77777777" w:rsidTr="0044781D">
        <w:trPr>
          <w:trHeight w:val="330"/>
        </w:trPr>
        <w:tc>
          <w:tcPr>
            <w:tcW w:w="2566" w:type="dxa"/>
            <w:tcBorders>
              <w:top w:val="nil"/>
              <w:left w:val="nil"/>
              <w:bottom w:val="nil"/>
              <w:right w:val="nil"/>
            </w:tcBorders>
            <w:shd w:val="clear" w:color="000000" w:fill="FFFFFF"/>
            <w:noWrap/>
            <w:vAlign w:val="center"/>
            <w:hideMark/>
          </w:tcPr>
          <w:p w14:paraId="0E2B2582"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vnútra SR</w:t>
            </w:r>
          </w:p>
        </w:tc>
        <w:tc>
          <w:tcPr>
            <w:tcW w:w="993" w:type="dxa"/>
            <w:tcBorders>
              <w:top w:val="nil"/>
              <w:left w:val="nil"/>
              <w:bottom w:val="nil"/>
              <w:right w:val="nil"/>
            </w:tcBorders>
            <w:shd w:val="clear" w:color="000000" w:fill="FFFFFF"/>
            <w:noWrap/>
            <w:vAlign w:val="center"/>
            <w:hideMark/>
          </w:tcPr>
          <w:p w14:paraId="284AADC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867 007</w:t>
            </w:r>
          </w:p>
        </w:tc>
        <w:tc>
          <w:tcPr>
            <w:tcW w:w="967" w:type="dxa"/>
            <w:tcBorders>
              <w:top w:val="nil"/>
              <w:left w:val="nil"/>
              <w:bottom w:val="nil"/>
              <w:right w:val="nil"/>
            </w:tcBorders>
            <w:shd w:val="clear" w:color="000000" w:fill="FFFFFF"/>
            <w:noWrap/>
            <w:vAlign w:val="center"/>
            <w:hideMark/>
          </w:tcPr>
          <w:p w14:paraId="53F9F5C0"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951 259</w:t>
            </w:r>
          </w:p>
        </w:tc>
        <w:tc>
          <w:tcPr>
            <w:tcW w:w="851" w:type="dxa"/>
            <w:tcBorders>
              <w:top w:val="nil"/>
              <w:left w:val="nil"/>
              <w:bottom w:val="nil"/>
              <w:right w:val="nil"/>
            </w:tcBorders>
            <w:shd w:val="clear" w:color="000000" w:fill="FFFFFF"/>
            <w:noWrap/>
            <w:vAlign w:val="center"/>
            <w:hideMark/>
          </w:tcPr>
          <w:p w14:paraId="375598A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846 580</w:t>
            </w:r>
          </w:p>
        </w:tc>
        <w:tc>
          <w:tcPr>
            <w:tcW w:w="992" w:type="dxa"/>
            <w:tcBorders>
              <w:top w:val="nil"/>
              <w:left w:val="nil"/>
              <w:bottom w:val="nil"/>
              <w:right w:val="nil"/>
            </w:tcBorders>
            <w:shd w:val="clear" w:color="000000" w:fill="BFBFBF"/>
            <w:noWrap/>
            <w:vAlign w:val="center"/>
            <w:hideMark/>
          </w:tcPr>
          <w:p w14:paraId="69CDE03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1 046 728</w:t>
            </w:r>
          </w:p>
        </w:tc>
        <w:tc>
          <w:tcPr>
            <w:tcW w:w="992" w:type="dxa"/>
            <w:tcBorders>
              <w:top w:val="nil"/>
              <w:left w:val="nil"/>
              <w:bottom w:val="nil"/>
              <w:right w:val="nil"/>
            </w:tcBorders>
            <w:shd w:val="clear" w:color="auto" w:fill="auto"/>
            <w:noWrap/>
            <w:vAlign w:val="center"/>
            <w:hideMark/>
          </w:tcPr>
          <w:p w14:paraId="1A20460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1 007 101</w:t>
            </w:r>
          </w:p>
        </w:tc>
        <w:tc>
          <w:tcPr>
            <w:tcW w:w="850" w:type="dxa"/>
            <w:tcBorders>
              <w:top w:val="nil"/>
              <w:left w:val="nil"/>
              <w:bottom w:val="nil"/>
              <w:right w:val="nil"/>
            </w:tcBorders>
            <w:shd w:val="clear" w:color="000000" w:fill="FFFFFF"/>
            <w:vAlign w:val="center"/>
            <w:hideMark/>
          </w:tcPr>
          <w:p w14:paraId="632B210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200 148</w:t>
            </w:r>
          </w:p>
        </w:tc>
        <w:tc>
          <w:tcPr>
            <w:tcW w:w="709" w:type="dxa"/>
            <w:tcBorders>
              <w:top w:val="nil"/>
              <w:left w:val="nil"/>
              <w:bottom w:val="nil"/>
              <w:right w:val="nil"/>
            </w:tcBorders>
            <w:shd w:val="clear" w:color="000000" w:fill="FFFFFF"/>
            <w:vAlign w:val="center"/>
            <w:hideMark/>
          </w:tcPr>
          <w:p w14:paraId="089FFDD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23,6</w:t>
            </w:r>
          </w:p>
        </w:tc>
      </w:tr>
      <w:tr w:rsidR="00EA177A" w:rsidRPr="001D2697" w14:paraId="5B44A484" w14:textId="77777777" w:rsidTr="0044781D">
        <w:trPr>
          <w:trHeight w:val="330"/>
        </w:trPr>
        <w:tc>
          <w:tcPr>
            <w:tcW w:w="2566" w:type="dxa"/>
            <w:tcBorders>
              <w:top w:val="nil"/>
              <w:left w:val="nil"/>
              <w:bottom w:val="nil"/>
              <w:right w:val="nil"/>
            </w:tcBorders>
            <w:shd w:val="clear" w:color="000000" w:fill="FFFFFF"/>
            <w:vAlign w:val="center"/>
            <w:hideMark/>
          </w:tcPr>
          <w:p w14:paraId="7185D69E" w14:textId="57EB88DC"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práce, soc.</w:t>
            </w:r>
            <w:r w:rsidR="00E96903">
              <w:rPr>
                <w:rFonts w:eastAsia="Times New Roman" w:cs="Times New Roman"/>
                <w:sz w:val="18"/>
                <w:szCs w:val="18"/>
                <w:lang w:eastAsia="sk-SK"/>
              </w:rPr>
              <w:t xml:space="preserve"> </w:t>
            </w:r>
            <w:r w:rsidRPr="001D2697">
              <w:rPr>
                <w:rFonts w:eastAsia="Times New Roman" w:cs="Times New Roman"/>
                <w:sz w:val="18"/>
                <w:szCs w:val="18"/>
                <w:lang w:eastAsia="sk-SK"/>
              </w:rPr>
              <w:t>vecí a rodiny SR</w:t>
            </w:r>
          </w:p>
        </w:tc>
        <w:tc>
          <w:tcPr>
            <w:tcW w:w="993" w:type="dxa"/>
            <w:tcBorders>
              <w:top w:val="nil"/>
              <w:left w:val="nil"/>
              <w:bottom w:val="nil"/>
              <w:right w:val="nil"/>
            </w:tcBorders>
            <w:shd w:val="clear" w:color="000000" w:fill="FFFFFF"/>
            <w:noWrap/>
            <w:vAlign w:val="center"/>
            <w:hideMark/>
          </w:tcPr>
          <w:p w14:paraId="3687590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66 541</w:t>
            </w:r>
          </w:p>
        </w:tc>
        <w:tc>
          <w:tcPr>
            <w:tcW w:w="967" w:type="dxa"/>
            <w:tcBorders>
              <w:top w:val="nil"/>
              <w:left w:val="nil"/>
              <w:bottom w:val="nil"/>
              <w:right w:val="nil"/>
            </w:tcBorders>
            <w:shd w:val="clear" w:color="000000" w:fill="FFFFFF"/>
            <w:noWrap/>
            <w:vAlign w:val="center"/>
            <w:hideMark/>
          </w:tcPr>
          <w:p w14:paraId="016EE4C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65 546</w:t>
            </w:r>
          </w:p>
        </w:tc>
        <w:tc>
          <w:tcPr>
            <w:tcW w:w="851" w:type="dxa"/>
            <w:tcBorders>
              <w:top w:val="nil"/>
              <w:left w:val="nil"/>
              <w:bottom w:val="nil"/>
              <w:right w:val="nil"/>
            </w:tcBorders>
            <w:shd w:val="clear" w:color="000000" w:fill="FFFFFF"/>
            <w:noWrap/>
            <w:vAlign w:val="center"/>
            <w:hideMark/>
          </w:tcPr>
          <w:p w14:paraId="164B05C7"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62 557</w:t>
            </w:r>
          </w:p>
        </w:tc>
        <w:tc>
          <w:tcPr>
            <w:tcW w:w="992" w:type="dxa"/>
            <w:tcBorders>
              <w:top w:val="nil"/>
              <w:left w:val="nil"/>
              <w:bottom w:val="nil"/>
              <w:right w:val="nil"/>
            </w:tcBorders>
            <w:shd w:val="clear" w:color="000000" w:fill="BFBFBF"/>
            <w:noWrap/>
            <w:vAlign w:val="center"/>
            <w:hideMark/>
          </w:tcPr>
          <w:p w14:paraId="57295D3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122 504</w:t>
            </w:r>
          </w:p>
        </w:tc>
        <w:tc>
          <w:tcPr>
            <w:tcW w:w="992" w:type="dxa"/>
            <w:tcBorders>
              <w:top w:val="nil"/>
              <w:left w:val="nil"/>
              <w:bottom w:val="nil"/>
              <w:right w:val="nil"/>
            </w:tcBorders>
            <w:shd w:val="clear" w:color="auto" w:fill="auto"/>
            <w:noWrap/>
            <w:vAlign w:val="center"/>
            <w:hideMark/>
          </w:tcPr>
          <w:p w14:paraId="68E9D59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110 294</w:t>
            </w:r>
          </w:p>
        </w:tc>
        <w:tc>
          <w:tcPr>
            <w:tcW w:w="850" w:type="dxa"/>
            <w:tcBorders>
              <w:top w:val="nil"/>
              <w:left w:val="nil"/>
              <w:bottom w:val="nil"/>
              <w:right w:val="nil"/>
            </w:tcBorders>
            <w:shd w:val="clear" w:color="000000" w:fill="FFFFFF"/>
            <w:vAlign w:val="center"/>
            <w:hideMark/>
          </w:tcPr>
          <w:p w14:paraId="6DB4ED41"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59 947</w:t>
            </w:r>
          </w:p>
        </w:tc>
        <w:tc>
          <w:tcPr>
            <w:tcW w:w="709" w:type="dxa"/>
            <w:tcBorders>
              <w:top w:val="nil"/>
              <w:left w:val="nil"/>
              <w:bottom w:val="nil"/>
              <w:right w:val="nil"/>
            </w:tcBorders>
            <w:shd w:val="clear" w:color="000000" w:fill="FFFFFF"/>
            <w:vAlign w:val="center"/>
            <w:hideMark/>
          </w:tcPr>
          <w:p w14:paraId="50FED52B"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95,8</w:t>
            </w:r>
          </w:p>
        </w:tc>
      </w:tr>
      <w:tr w:rsidR="00EA177A" w:rsidRPr="001D2697" w14:paraId="0FD9603B" w14:textId="77777777" w:rsidTr="0044781D">
        <w:trPr>
          <w:trHeight w:val="330"/>
        </w:trPr>
        <w:tc>
          <w:tcPr>
            <w:tcW w:w="2566" w:type="dxa"/>
            <w:tcBorders>
              <w:top w:val="nil"/>
              <w:left w:val="nil"/>
              <w:bottom w:val="nil"/>
              <w:right w:val="nil"/>
            </w:tcBorders>
            <w:shd w:val="clear" w:color="000000" w:fill="FFFFFF"/>
            <w:vAlign w:val="center"/>
            <w:hideMark/>
          </w:tcPr>
          <w:p w14:paraId="73684A3F"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životného prostredia SR</w:t>
            </w:r>
          </w:p>
        </w:tc>
        <w:tc>
          <w:tcPr>
            <w:tcW w:w="993" w:type="dxa"/>
            <w:tcBorders>
              <w:top w:val="nil"/>
              <w:left w:val="nil"/>
              <w:bottom w:val="nil"/>
              <w:right w:val="nil"/>
            </w:tcBorders>
            <w:shd w:val="clear" w:color="000000" w:fill="FFFFFF"/>
            <w:noWrap/>
            <w:vAlign w:val="center"/>
            <w:hideMark/>
          </w:tcPr>
          <w:p w14:paraId="02F53B1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59 563</w:t>
            </w:r>
          </w:p>
        </w:tc>
        <w:tc>
          <w:tcPr>
            <w:tcW w:w="967" w:type="dxa"/>
            <w:tcBorders>
              <w:top w:val="nil"/>
              <w:left w:val="nil"/>
              <w:bottom w:val="nil"/>
              <w:right w:val="nil"/>
            </w:tcBorders>
            <w:shd w:val="clear" w:color="000000" w:fill="FFFFFF"/>
            <w:noWrap/>
            <w:vAlign w:val="center"/>
            <w:hideMark/>
          </w:tcPr>
          <w:p w14:paraId="14E9947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128 816</w:t>
            </w:r>
          </w:p>
        </w:tc>
        <w:tc>
          <w:tcPr>
            <w:tcW w:w="851" w:type="dxa"/>
            <w:tcBorders>
              <w:top w:val="nil"/>
              <w:left w:val="nil"/>
              <w:bottom w:val="nil"/>
              <w:right w:val="nil"/>
            </w:tcBorders>
            <w:shd w:val="clear" w:color="000000" w:fill="FFFFFF"/>
            <w:noWrap/>
            <w:vAlign w:val="center"/>
            <w:hideMark/>
          </w:tcPr>
          <w:p w14:paraId="5FF247CB"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6CB9130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107 992</w:t>
            </w:r>
          </w:p>
        </w:tc>
        <w:tc>
          <w:tcPr>
            <w:tcW w:w="992" w:type="dxa"/>
            <w:tcBorders>
              <w:top w:val="nil"/>
              <w:left w:val="nil"/>
              <w:bottom w:val="nil"/>
              <w:right w:val="nil"/>
            </w:tcBorders>
            <w:shd w:val="clear" w:color="auto" w:fill="auto"/>
            <w:noWrap/>
            <w:vAlign w:val="center"/>
            <w:hideMark/>
          </w:tcPr>
          <w:p w14:paraId="131CF7E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0" w:type="dxa"/>
            <w:tcBorders>
              <w:top w:val="nil"/>
              <w:left w:val="nil"/>
              <w:bottom w:val="nil"/>
              <w:right w:val="nil"/>
            </w:tcBorders>
            <w:shd w:val="clear" w:color="000000" w:fill="FFFFFF"/>
            <w:vAlign w:val="center"/>
            <w:hideMark/>
          </w:tcPr>
          <w:p w14:paraId="595EF71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107 992</w:t>
            </w:r>
          </w:p>
        </w:tc>
        <w:tc>
          <w:tcPr>
            <w:tcW w:w="709" w:type="dxa"/>
            <w:tcBorders>
              <w:top w:val="nil"/>
              <w:left w:val="nil"/>
              <w:bottom w:val="nil"/>
              <w:right w:val="nil"/>
            </w:tcBorders>
            <w:shd w:val="clear" w:color="000000" w:fill="FFFFFF"/>
            <w:vAlign w:val="center"/>
            <w:hideMark/>
          </w:tcPr>
          <w:p w14:paraId="2B3AF51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7D00A51F" w14:textId="77777777" w:rsidTr="0044781D">
        <w:trPr>
          <w:trHeight w:val="525"/>
        </w:trPr>
        <w:tc>
          <w:tcPr>
            <w:tcW w:w="2566" w:type="dxa"/>
            <w:tcBorders>
              <w:top w:val="nil"/>
              <w:left w:val="nil"/>
              <w:bottom w:val="nil"/>
              <w:right w:val="nil"/>
            </w:tcBorders>
            <w:shd w:val="clear" w:color="000000" w:fill="FFFFFF"/>
            <w:vAlign w:val="center"/>
            <w:hideMark/>
          </w:tcPr>
          <w:p w14:paraId="214D67FD"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pôdohospodárstva a rozvoja vidieka SR</w:t>
            </w:r>
          </w:p>
        </w:tc>
        <w:tc>
          <w:tcPr>
            <w:tcW w:w="993" w:type="dxa"/>
            <w:tcBorders>
              <w:top w:val="nil"/>
              <w:left w:val="nil"/>
              <w:bottom w:val="nil"/>
              <w:right w:val="nil"/>
            </w:tcBorders>
            <w:shd w:val="clear" w:color="000000" w:fill="FFFFFF"/>
            <w:noWrap/>
            <w:vAlign w:val="center"/>
            <w:hideMark/>
          </w:tcPr>
          <w:p w14:paraId="319B235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15 353</w:t>
            </w:r>
          </w:p>
        </w:tc>
        <w:tc>
          <w:tcPr>
            <w:tcW w:w="967" w:type="dxa"/>
            <w:tcBorders>
              <w:top w:val="nil"/>
              <w:left w:val="nil"/>
              <w:bottom w:val="nil"/>
              <w:right w:val="nil"/>
            </w:tcBorders>
            <w:shd w:val="clear" w:color="000000" w:fill="FFFFFF"/>
            <w:noWrap/>
            <w:vAlign w:val="center"/>
            <w:hideMark/>
          </w:tcPr>
          <w:p w14:paraId="27A8611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44 670</w:t>
            </w:r>
          </w:p>
        </w:tc>
        <w:tc>
          <w:tcPr>
            <w:tcW w:w="851" w:type="dxa"/>
            <w:tcBorders>
              <w:top w:val="nil"/>
              <w:left w:val="nil"/>
              <w:bottom w:val="nil"/>
              <w:right w:val="nil"/>
            </w:tcBorders>
            <w:shd w:val="clear" w:color="000000" w:fill="FFFFFF"/>
            <w:noWrap/>
            <w:vAlign w:val="center"/>
            <w:hideMark/>
          </w:tcPr>
          <w:p w14:paraId="01A1223F"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1DAB868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84 458</w:t>
            </w:r>
          </w:p>
        </w:tc>
        <w:tc>
          <w:tcPr>
            <w:tcW w:w="992" w:type="dxa"/>
            <w:tcBorders>
              <w:top w:val="nil"/>
              <w:left w:val="nil"/>
              <w:bottom w:val="nil"/>
              <w:right w:val="nil"/>
            </w:tcBorders>
            <w:shd w:val="clear" w:color="auto" w:fill="auto"/>
            <w:noWrap/>
            <w:vAlign w:val="center"/>
            <w:hideMark/>
          </w:tcPr>
          <w:p w14:paraId="5854D95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0" w:type="dxa"/>
            <w:tcBorders>
              <w:top w:val="nil"/>
              <w:left w:val="nil"/>
              <w:bottom w:val="nil"/>
              <w:right w:val="nil"/>
            </w:tcBorders>
            <w:shd w:val="clear" w:color="000000" w:fill="FFFFFF"/>
            <w:vAlign w:val="center"/>
            <w:hideMark/>
          </w:tcPr>
          <w:p w14:paraId="4A238E7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84 458</w:t>
            </w:r>
          </w:p>
        </w:tc>
        <w:tc>
          <w:tcPr>
            <w:tcW w:w="709" w:type="dxa"/>
            <w:tcBorders>
              <w:top w:val="nil"/>
              <w:left w:val="nil"/>
              <w:bottom w:val="nil"/>
              <w:right w:val="nil"/>
            </w:tcBorders>
            <w:shd w:val="clear" w:color="000000" w:fill="FFFFFF"/>
            <w:vAlign w:val="center"/>
            <w:hideMark/>
          </w:tcPr>
          <w:p w14:paraId="511DBDA1"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42BE79F3" w14:textId="77777777" w:rsidTr="0044781D">
        <w:trPr>
          <w:trHeight w:val="525"/>
        </w:trPr>
        <w:tc>
          <w:tcPr>
            <w:tcW w:w="2566" w:type="dxa"/>
            <w:tcBorders>
              <w:top w:val="nil"/>
              <w:left w:val="nil"/>
              <w:bottom w:val="nil"/>
              <w:right w:val="nil"/>
            </w:tcBorders>
            <w:shd w:val="clear" w:color="000000" w:fill="FFFFFF"/>
            <w:noWrap/>
            <w:vAlign w:val="center"/>
            <w:hideMark/>
          </w:tcPr>
          <w:p w14:paraId="1CCB9C16"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Všeobecná pokladničná správa</w:t>
            </w:r>
          </w:p>
        </w:tc>
        <w:tc>
          <w:tcPr>
            <w:tcW w:w="993" w:type="dxa"/>
            <w:tcBorders>
              <w:top w:val="nil"/>
              <w:left w:val="nil"/>
              <w:bottom w:val="nil"/>
              <w:right w:val="nil"/>
            </w:tcBorders>
            <w:shd w:val="clear" w:color="000000" w:fill="FFFFFF"/>
            <w:noWrap/>
            <w:vAlign w:val="center"/>
            <w:hideMark/>
          </w:tcPr>
          <w:p w14:paraId="4A2FBB5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9 562</w:t>
            </w:r>
          </w:p>
        </w:tc>
        <w:tc>
          <w:tcPr>
            <w:tcW w:w="967" w:type="dxa"/>
            <w:tcBorders>
              <w:top w:val="nil"/>
              <w:left w:val="nil"/>
              <w:bottom w:val="nil"/>
              <w:right w:val="nil"/>
            </w:tcBorders>
            <w:shd w:val="clear" w:color="000000" w:fill="FFFFFF"/>
            <w:noWrap/>
            <w:vAlign w:val="center"/>
            <w:hideMark/>
          </w:tcPr>
          <w:p w14:paraId="243350D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42 742</w:t>
            </w:r>
          </w:p>
        </w:tc>
        <w:tc>
          <w:tcPr>
            <w:tcW w:w="851" w:type="dxa"/>
            <w:tcBorders>
              <w:top w:val="nil"/>
              <w:left w:val="nil"/>
              <w:bottom w:val="nil"/>
              <w:right w:val="nil"/>
            </w:tcBorders>
            <w:shd w:val="clear" w:color="000000" w:fill="FFFFFF"/>
            <w:noWrap/>
            <w:vAlign w:val="center"/>
            <w:hideMark/>
          </w:tcPr>
          <w:p w14:paraId="5FB176E9"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5 390</w:t>
            </w:r>
          </w:p>
        </w:tc>
        <w:tc>
          <w:tcPr>
            <w:tcW w:w="992" w:type="dxa"/>
            <w:tcBorders>
              <w:top w:val="nil"/>
              <w:left w:val="nil"/>
              <w:bottom w:val="nil"/>
              <w:right w:val="nil"/>
            </w:tcBorders>
            <w:shd w:val="clear" w:color="000000" w:fill="BFBFBF"/>
            <w:noWrap/>
            <w:vAlign w:val="center"/>
            <w:hideMark/>
          </w:tcPr>
          <w:p w14:paraId="362BBFE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54 451</w:t>
            </w:r>
          </w:p>
        </w:tc>
        <w:tc>
          <w:tcPr>
            <w:tcW w:w="992" w:type="dxa"/>
            <w:tcBorders>
              <w:top w:val="nil"/>
              <w:left w:val="nil"/>
              <w:bottom w:val="nil"/>
              <w:right w:val="nil"/>
            </w:tcBorders>
            <w:shd w:val="clear" w:color="auto" w:fill="auto"/>
            <w:noWrap/>
            <w:vAlign w:val="center"/>
            <w:hideMark/>
          </w:tcPr>
          <w:p w14:paraId="476EEDE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35 273</w:t>
            </w:r>
          </w:p>
        </w:tc>
        <w:tc>
          <w:tcPr>
            <w:tcW w:w="850" w:type="dxa"/>
            <w:tcBorders>
              <w:top w:val="nil"/>
              <w:left w:val="nil"/>
              <w:bottom w:val="nil"/>
              <w:right w:val="nil"/>
            </w:tcBorders>
            <w:shd w:val="clear" w:color="000000" w:fill="FFFFFF"/>
            <w:vAlign w:val="center"/>
            <w:hideMark/>
          </w:tcPr>
          <w:p w14:paraId="05A93B4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49 061</w:t>
            </w:r>
          </w:p>
        </w:tc>
        <w:tc>
          <w:tcPr>
            <w:tcW w:w="709" w:type="dxa"/>
            <w:tcBorders>
              <w:top w:val="nil"/>
              <w:left w:val="nil"/>
              <w:bottom w:val="nil"/>
              <w:right w:val="nil"/>
            </w:tcBorders>
            <w:shd w:val="clear" w:color="000000" w:fill="FFFFFF"/>
            <w:vAlign w:val="center"/>
            <w:hideMark/>
          </w:tcPr>
          <w:p w14:paraId="485367B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910,2</w:t>
            </w:r>
          </w:p>
        </w:tc>
      </w:tr>
      <w:tr w:rsidR="00EA177A" w:rsidRPr="001D2697" w14:paraId="590A5663" w14:textId="77777777" w:rsidTr="0044781D">
        <w:trPr>
          <w:trHeight w:val="330"/>
        </w:trPr>
        <w:tc>
          <w:tcPr>
            <w:tcW w:w="2566" w:type="dxa"/>
            <w:tcBorders>
              <w:top w:val="nil"/>
              <w:left w:val="nil"/>
              <w:bottom w:val="nil"/>
              <w:right w:val="nil"/>
            </w:tcBorders>
            <w:shd w:val="clear" w:color="000000" w:fill="FFFFFF"/>
            <w:vAlign w:val="center"/>
            <w:hideMark/>
          </w:tcPr>
          <w:p w14:paraId="20592809"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dopravy a výstavby  SR</w:t>
            </w:r>
          </w:p>
        </w:tc>
        <w:tc>
          <w:tcPr>
            <w:tcW w:w="993" w:type="dxa"/>
            <w:tcBorders>
              <w:top w:val="nil"/>
              <w:left w:val="nil"/>
              <w:bottom w:val="nil"/>
              <w:right w:val="nil"/>
            </w:tcBorders>
            <w:shd w:val="clear" w:color="000000" w:fill="FFFFFF"/>
            <w:noWrap/>
            <w:vAlign w:val="center"/>
            <w:hideMark/>
          </w:tcPr>
          <w:p w14:paraId="1761A30F"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73 566</w:t>
            </w:r>
          </w:p>
        </w:tc>
        <w:tc>
          <w:tcPr>
            <w:tcW w:w="967" w:type="dxa"/>
            <w:tcBorders>
              <w:top w:val="nil"/>
              <w:left w:val="nil"/>
              <w:bottom w:val="nil"/>
              <w:right w:val="nil"/>
            </w:tcBorders>
            <w:shd w:val="clear" w:color="000000" w:fill="FFFFFF"/>
            <w:noWrap/>
            <w:vAlign w:val="center"/>
            <w:hideMark/>
          </w:tcPr>
          <w:p w14:paraId="17B93C5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71 312</w:t>
            </w:r>
          </w:p>
        </w:tc>
        <w:tc>
          <w:tcPr>
            <w:tcW w:w="851" w:type="dxa"/>
            <w:tcBorders>
              <w:top w:val="nil"/>
              <w:left w:val="nil"/>
              <w:bottom w:val="nil"/>
              <w:right w:val="nil"/>
            </w:tcBorders>
            <w:shd w:val="clear" w:color="000000" w:fill="FFFFFF"/>
            <w:noWrap/>
            <w:vAlign w:val="center"/>
            <w:hideMark/>
          </w:tcPr>
          <w:p w14:paraId="384D5AF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8 114</w:t>
            </w:r>
          </w:p>
        </w:tc>
        <w:tc>
          <w:tcPr>
            <w:tcW w:w="992" w:type="dxa"/>
            <w:tcBorders>
              <w:top w:val="nil"/>
              <w:left w:val="nil"/>
              <w:bottom w:val="nil"/>
              <w:right w:val="nil"/>
            </w:tcBorders>
            <w:shd w:val="clear" w:color="000000" w:fill="BFBFBF"/>
            <w:noWrap/>
            <w:vAlign w:val="center"/>
            <w:hideMark/>
          </w:tcPr>
          <w:p w14:paraId="0AA73210"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42 513</w:t>
            </w:r>
          </w:p>
        </w:tc>
        <w:tc>
          <w:tcPr>
            <w:tcW w:w="992" w:type="dxa"/>
            <w:tcBorders>
              <w:top w:val="nil"/>
              <w:left w:val="nil"/>
              <w:bottom w:val="nil"/>
              <w:right w:val="nil"/>
            </w:tcBorders>
            <w:shd w:val="clear" w:color="auto" w:fill="auto"/>
            <w:noWrap/>
            <w:vAlign w:val="center"/>
            <w:hideMark/>
          </w:tcPr>
          <w:p w14:paraId="4B38471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28 420</w:t>
            </w:r>
          </w:p>
        </w:tc>
        <w:tc>
          <w:tcPr>
            <w:tcW w:w="850" w:type="dxa"/>
            <w:tcBorders>
              <w:top w:val="nil"/>
              <w:left w:val="nil"/>
              <w:bottom w:val="nil"/>
              <w:right w:val="nil"/>
            </w:tcBorders>
            <w:shd w:val="clear" w:color="000000" w:fill="FFFFFF"/>
            <w:vAlign w:val="center"/>
            <w:hideMark/>
          </w:tcPr>
          <w:p w14:paraId="490CD8F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34 399</w:t>
            </w:r>
          </w:p>
        </w:tc>
        <w:tc>
          <w:tcPr>
            <w:tcW w:w="709" w:type="dxa"/>
            <w:tcBorders>
              <w:top w:val="nil"/>
              <w:left w:val="nil"/>
              <w:bottom w:val="nil"/>
              <w:right w:val="nil"/>
            </w:tcBorders>
            <w:shd w:val="clear" w:color="000000" w:fill="FFFFFF"/>
            <w:vAlign w:val="center"/>
            <w:hideMark/>
          </w:tcPr>
          <w:p w14:paraId="0CEC1C67"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423,9</w:t>
            </w:r>
          </w:p>
        </w:tc>
      </w:tr>
      <w:tr w:rsidR="00EA177A" w:rsidRPr="001D2697" w14:paraId="50867230" w14:textId="77777777" w:rsidTr="0044781D">
        <w:trPr>
          <w:trHeight w:val="480"/>
        </w:trPr>
        <w:tc>
          <w:tcPr>
            <w:tcW w:w="2566" w:type="dxa"/>
            <w:tcBorders>
              <w:top w:val="nil"/>
              <w:left w:val="nil"/>
              <w:bottom w:val="nil"/>
              <w:right w:val="nil"/>
            </w:tcBorders>
            <w:shd w:val="clear" w:color="000000" w:fill="FFFFFF"/>
            <w:vAlign w:val="center"/>
            <w:hideMark/>
          </w:tcPr>
          <w:p w14:paraId="7CA0EBED"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školstva, vedy, výskumu a športu SR</w:t>
            </w:r>
          </w:p>
        </w:tc>
        <w:tc>
          <w:tcPr>
            <w:tcW w:w="993" w:type="dxa"/>
            <w:tcBorders>
              <w:top w:val="nil"/>
              <w:left w:val="nil"/>
              <w:bottom w:val="nil"/>
              <w:right w:val="nil"/>
            </w:tcBorders>
            <w:shd w:val="clear" w:color="000000" w:fill="FFFFFF"/>
            <w:noWrap/>
            <w:vAlign w:val="center"/>
            <w:hideMark/>
          </w:tcPr>
          <w:p w14:paraId="4487ECB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492</w:t>
            </w:r>
          </w:p>
        </w:tc>
        <w:tc>
          <w:tcPr>
            <w:tcW w:w="967" w:type="dxa"/>
            <w:tcBorders>
              <w:top w:val="nil"/>
              <w:left w:val="nil"/>
              <w:bottom w:val="nil"/>
              <w:right w:val="nil"/>
            </w:tcBorders>
            <w:shd w:val="clear" w:color="000000" w:fill="FFFFFF"/>
            <w:noWrap/>
            <w:vAlign w:val="center"/>
            <w:hideMark/>
          </w:tcPr>
          <w:p w14:paraId="2D92026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16 759</w:t>
            </w:r>
          </w:p>
        </w:tc>
        <w:tc>
          <w:tcPr>
            <w:tcW w:w="851" w:type="dxa"/>
            <w:tcBorders>
              <w:top w:val="nil"/>
              <w:left w:val="nil"/>
              <w:bottom w:val="nil"/>
              <w:right w:val="nil"/>
            </w:tcBorders>
            <w:shd w:val="clear" w:color="000000" w:fill="FFFFFF"/>
            <w:noWrap/>
            <w:vAlign w:val="center"/>
            <w:hideMark/>
          </w:tcPr>
          <w:p w14:paraId="5573DB6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17 606</w:t>
            </w:r>
          </w:p>
        </w:tc>
        <w:tc>
          <w:tcPr>
            <w:tcW w:w="992" w:type="dxa"/>
            <w:tcBorders>
              <w:top w:val="nil"/>
              <w:left w:val="nil"/>
              <w:bottom w:val="nil"/>
              <w:right w:val="nil"/>
            </w:tcBorders>
            <w:shd w:val="clear" w:color="000000" w:fill="BFBFBF"/>
            <w:noWrap/>
            <w:vAlign w:val="center"/>
            <w:hideMark/>
          </w:tcPr>
          <w:p w14:paraId="58B5B78B"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24 464</w:t>
            </w:r>
          </w:p>
        </w:tc>
        <w:tc>
          <w:tcPr>
            <w:tcW w:w="992" w:type="dxa"/>
            <w:tcBorders>
              <w:top w:val="nil"/>
              <w:left w:val="nil"/>
              <w:bottom w:val="nil"/>
              <w:right w:val="nil"/>
            </w:tcBorders>
            <w:shd w:val="clear" w:color="auto" w:fill="auto"/>
            <w:noWrap/>
            <w:vAlign w:val="center"/>
            <w:hideMark/>
          </w:tcPr>
          <w:p w14:paraId="4E4F2C42"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2 174</w:t>
            </w:r>
          </w:p>
        </w:tc>
        <w:tc>
          <w:tcPr>
            <w:tcW w:w="850" w:type="dxa"/>
            <w:tcBorders>
              <w:top w:val="nil"/>
              <w:left w:val="nil"/>
              <w:bottom w:val="nil"/>
              <w:right w:val="nil"/>
            </w:tcBorders>
            <w:shd w:val="clear" w:color="000000" w:fill="FFFFFF"/>
            <w:vAlign w:val="center"/>
            <w:hideMark/>
          </w:tcPr>
          <w:p w14:paraId="4E61B4DF"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6 858</w:t>
            </w:r>
          </w:p>
        </w:tc>
        <w:tc>
          <w:tcPr>
            <w:tcW w:w="709" w:type="dxa"/>
            <w:tcBorders>
              <w:top w:val="nil"/>
              <w:left w:val="nil"/>
              <w:bottom w:val="nil"/>
              <w:right w:val="nil"/>
            </w:tcBorders>
            <w:shd w:val="clear" w:color="000000" w:fill="FFFFFF"/>
            <w:vAlign w:val="center"/>
            <w:hideMark/>
          </w:tcPr>
          <w:p w14:paraId="1564A123"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39,0</w:t>
            </w:r>
          </w:p>
        </w:tc>
      </w:tr>
      <w:tr w:rsidR="00EA177A" w:rsidRPr="001D2697" w14:paraId="6F411482" w14:textId="77777777" w:rsidTr="0044781D">
        <w:trPr>
          <w:trHeight w:val="330"/>
        </w:trPr>
        <w:tc>
          <w:tcPr>
            <w:tcW w:w="2566" w:type="dxa"/>
            <w:tcBorders>
              <w:top w:val="nil"/>
              <w:left w:val="nil"/>
              <w:bottom w:val="nil"/>
              <w:right w:val="nil"/>
            </w:tcBorders>
            <w:shd w:val="clear" w:color="000000" w:fill="FFFFFF"/>
            <w:noWrap/>
            <w:vAlign w:val="center"/>
            <w:hideMark/>
          </w:tcPr>
          <w:p w14:paraId="50D7774D"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Úrad vlády SR</w:t>
            </w:r>
          </w:p>
        </w:tc>
        <w:tc>
          <w:tcPr>
            <w:tcW w:w="993" w:type="dxa"/>
            <w:tcBorders>
              <w:top w:val="nil"/>
              <w:left w:val="nil"/>
              <w:bottom w:val="nil"/>
              <w:right w:val="nil"/>
            </w:tcBorders>
            <w:shd w:val="clear" w:color="000000" w:fill="FFFFFF"/>
            <w:noWrap/>
            <w:vAlign w:val="center"/>
            <w:hideMark/>
          </w:tcPr>
          <w:p w14:paraId="750892F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2 686</w:t>
            </w:r>
          </w:p>
        </w:tc>
        <w:tc>
          <w:tcPr>
            <w:tcW w:w="967" w:type="dxa"/>
            <w:tcBorders>
              <w:top w:val="nil"/>
              <w:left w:val="nil"/>
              <w:bottom w:val="nil"/>
              <w:right w:val="nil"/>
            </w:tcBorders>
            <w:shd w:val="clear" w:color="000000" w:fill="FFFFFF"/>
            <w:noWrap/>
            <w:vAlign w:val="center"/>
            <w:hideMark/>
          </w:tcPr>
          <w:p w14:paraId="64FB37A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12 836</w:t>
            </w:r>
          </w:p>
        </w:tc>
        <w:tc>
          <w:tcPr>
            <w:tcW w:w="851" w:type="dxa"/>
            <w:tcBorders>
              <w:top w:val="nil"/>
              <w:left w:val="nil"/>
              <w:bottom w:val="nil"/>
              <w:right w:val="nil"/>
            </w:tcBorders>
            <w:shd w:val="clear" w:color="000000" w:fill="FFFFFF"/>
            <w:noWrap/>
            <w:vAlign w:val="center"/>
            <w:hideMark/>
          </w:tcPr>
          <w:p w14:paraId="14937377"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77C1559F"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12 679</w:t>
            </w:r>
          </w:p>
        </w:tc>
        <w:tc>
          <w:tcPr>
            <w:tcW w:w="992" w:type="dxa"/>
            <w:tcBorders>
              <w:top w:val="nil"/>
              <w:left w:val="nil"/>
              <w:bottom w:val="nil"/>
              <w:right w:val="nil"/>
            </w:tcBorders>
            <w:shd w:val="clear" w:color="auto" w:fill="auto"/>
            <w:noWrap/>
            <w:vAlign w:val="center"/>
            <w:hideMark/>
          </w:tcPr>
          <w:p w14:paraId="4EFEBA3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4 095</w:t>
            </w:r>
          </w:p>
        </w:tc>
        <w:tc>
          <w:tcPr>
            <w:tcW w:w="850" w:type="dxa"/>
            <w:tcBorders>
              <w:top w:val="nil"/>
              <w:left w:val="nil"/>
              <w:bottom w:val="nil"/>
              <w:right w:val="nil"/>
            </w:tcBorders>
            <w:shd w:val="clear" w:color="000000" w:fill="FFFFFF"/>
            <w:vAlign w:val="center"/>
            <w:hideMark/>
          </w:tcPr>
          <w:p w14:paraId="1D3A706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12 679</w:t>
            </w:r>
          </w:p>
        </w:tc>
        <w:tc>
          <w:tcPr>
            <w:tcW w:w="709" w:type="dxa"/>
            <w:tcBorders>
              <w:top w:val="nil"/>
              <w:left w:val="nil"/>
              <w:bottom w:val="nil"/>
              <w:right w:val="nil"/>
            </w:tcBorders>
            <w:shd w:val="clear" w:color="000000" w:fill="FFFFFF"/>
            <w:vAlign w:val="center"/>
            <w:hideMark/>
          </w:tcPr>
          <w:p w14:paraId="65F7D20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5D7A85" w:rsidRPr="001D2697" w14:paraId="76B0902B" w14:textId="77777777" w:rsidTr="00F53AB4">
        <w:trPr>
          <w:trHeight w:val="434"/>
        </w:trPr>
        <w:tc>
          <w:tcPr>
            <w:tcW w:w="8920" w:type="dxa"/>
            <w:gridSpan w:val="8"/>
            <w:tcBorders>
              <w:top w:val="nil"/>
              <w:left w:val="single" w:sz="8" w:space="0" w:color="auto"/>
              <w:bottom w:val="nil"/>
              <w:right w:val="nil"/>
            </w:tcBorders>
            <w:shd w:val="clear" w:color="000000" w:fill="000000"/>
            <w:vAlign w:val="center"/>
            <w:hideMark/>
          </w:tcPr>
          <w:p w14:paraId="1A0CC364" w14:textId="41D9B0BD" w:rsidR="005D7A85" w:rsidRPr="001D2697" w:rsidRDefault="005D7A85" w:rsidP="005D7A85">
            <w:pPr>
              <w:spacing w:after="0" w:line="240" w:lineRule="auto"/>
              <w:jc w:val="left"/>
              <w:rPr>
                <w:rFonts w:eastAsia="Times New Roman" w:cs="Times New Roman"/>
                <w:b/>
                <w:bCs/>
                <w:sz w:val="18"/>
                <w:szCs w:val="18"/>
                <w:lang w:eastAsia="sk-SK"/>
              </w:rPr>
            </w:pPr>
            <w:r w:rsidRPr="001D2697">
              <w:rPr>
                <w:rFonts w:eastAsia="Times New Roman" w:cs="Times New Roman"/>
                <w:b/>
                <w:bCs/>
                <w:sz w:val="18"/>
                <w:szCs w:val="18"/>
                <w:lang w:eastAsia="sk-SK"/>
              </w:rPr>
              <w:t>Granty a transfery poskytnuté obciam podľa kapitol ŠR</w:t>
            </w:r>
            <w:r>
              <w:rPr>
                <w:rFonts w:eastAsia="Times New Roman" w:cs="Times New Roman"/>
                <w:b/>
                <w:bCs/>
                <w:sz w:val="18"/>
                <w:szCs w:val="18"/>
                <w:lang w:eastAsia="sk-SK"/>
              </w:rPr>
              <w:t xml:space="preserve">    -   pokračovanie                                                  </w:t>
            </w:r>
            <w:r w:rsidRPr="001D2697">
              <w:rPr>
                <w:rFonts w:eastAsia="Times New Roman" w:cs="Times New Roman"/>
                <w:b/>
                <w:bCs/>
                <w:sz w:val="18"/>
                <w:szCs w:val="18"/>
                <w:lang w:eastAsia="sk-SK"/>
              </w:rPr>
              <w:t>v tis.</w:t>
            </w:r>
            <w:r>
              <w:rPr>
                <w:rFonts w:eastAsia="Times New Roman" w:cs="Times New Roman"/>
                <w:b/>
                <w:bCs/>
                <w:sz w:val="18"/>
                <w:szCs w:val="18"/>
                <w:lang w:eastAsia="sk-SK"/>
              </w:rPr>
              <w:t xml:space="preserve"> </w:t>
            </w:r>
            <w:r w:rsidRPr="001D2697">
              <w:rPr>
                <w:rFonts w:eastAsia="Times New Roman" w:cs="Times New Roman"/>
                <w:b/>
                <w:bCs/>
                <w:sz w:val="18"/>
                <w:szCs w:val="18"/>
                <w:lang w:eastAsia="sk-SK"/>
              </w:rPr>
              <w:t>eur</w:t>
            </w:r>
          </w:p>
        </w:tc>
      </w:tr>
      <w:tr w:rsidR="005D7A85" w:rsidRPr="001D2697" w14:paraId="04B24CFD" w14:textId="77777777" w:rsidTr="005D7A85">
        <w:trPr>
          <w:trHeight w:val="330"/>
        </w:trPr>
        <w:tc>
          <w:tcPr>
            <w:tcW w:w="2566" w:type="dxa"/>
            <w:tcBorders>
              <w:top w:val="nil"/>
              <w:left w:val="nil"/>
              <w:bottom w:val="nil"/>
              <w:right w:val="nil"/>
            </w:tcBorders>
            <w:shd w:val="clear" w:color="000000" w:fill="BFBFBF"/>
            <w:vAlign w:val="center"/>
            <w:hideMark/>
          </w:tcPr>
          <w:p w14:paraId="6E97AE57" w14:textId="77777777" w:rsidR="005D7A85" w:rsidRPr="001D2697" w:rsidRDefault="005D7A85" w:rsidP="0044781D">
            <w:pPr>
              <w:spacing w:after="0" w:line="240" w:lineRule="auto"/>
              <w:jc w:val="left"/>
              <w:rPr>
                <w:rFonts w:eastAsia="Times New Roman" w:cs="Times New Roman"/>
                <w:b/>
                <w:bCs/>
                <w:sz w:val="18"/>
                <w:szCs w:val="18"/>
                <w:lang w:eastAsia="sk-SK"/>
              </w:rPr>
            </w:pPr>
            <w:r w:rsidRPr="001D2697">
              <w:rPr>
                <w:rFonts w:eastAsia="Times New Roman" w:cs="Times New Roman"/>
                <w:b/>
                <w:bCs/>
                <w:sz w:val="18"/>
                <w:szCs w:val="18"/>
                <w:lang w:eastAsia="sk-SK"/>
              </w:rPr>
              <w:t> </w:t>
            </w:r>
          </w:p>
        </w:tc>
        <w:tc>
          <w:tcPr>
            <w:tcW w:w="1960" w:type="dxa"/>
            <w:gridSpan w:val="2"/>
            <w:tcBorders>
              <w:top w:val="nil"/>
              <w:left w:val="nil"/>
              <w:bottom w:val="nil"/>
              <w:right w:val="nil"/>
            </w:tcBorders>
            <w:shd w:val="clear" w:color="000000" w:fill="BFBFBF"/>
            <w:vAlign w:val="center"/>
            <w:hideMark/>
          </w:tcPr>
          <w:p w14:paraId="4C082F06"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Skutočnosť</w:t>
            </w:r>
          </w:p>
        </w:tc>
        <w:tc>
          <w:tcPr>
            <w:tcW w:w="851" w:type="dxa"/>
            <w:tcBorders>
              <w:top w:val="nil"/>
              <w:left w:val="nil"/>
              <w:bottom w:val="nil"/>
              <w:right w:val="nil"/>
            </w:tcBorders>
            <w:shd w:val="clear" w:color="000000" w:fill="BFBFBF"/>
            <w:vAlign w:val="center"/>
            <w:hideMark/>
          </w:tcPr>
          <w:p w14:paraId="7100D6EA"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Rozpočet</w:t>
            </w:r>
          </w:p>
        </w:tc>
        <w:tc>
          <w:tcPr>
            <w:tcW w:w="1984" w:type="dxa"/>
            <w:gridSpan w:val="2"/>
            <w:tcBorders>
              <w:top w:val="nil"/>
              <w:left w:val="nil"/>
              <w:bottom w:val="nil"/>
              <w:right w:val="nil"/>
            </w:tcBorders>
            <w:shd w:val="clear" w:color="000000" w:fill="BFBFBF"/>
            <w:vAlign w:val="center"/>
            <w:hideMark/>
          </w:tcPr>
          <w:p w14:paraId="4841B1C3"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Skutočnosť</w:t>
            </w:r>
          </w:p>
        </w:tc>
        <w:tc>
          <w:tcPr>
            <w:tcW w:w="1559" w:type="dxa"/>
            <w:gridSpan w:val="2"/>
            <w:tcBorders>
              <w:top w:val="nil"/>
              <w:left w:val="nil"/>
              <w:bottom w:val="nil"/>
              <w:right w:val="nil"/>
            </w:tcBorders>
            <w:shd w:val="clear" w:color="000000" w:fill="BFBFBF"/>
            <w:vAlign w:val="center"/>
            <w:hideMark/>
          </w:tcPr>
          <w:p w14:paraId="1B4D6F44"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Rozdiel</w:t>
            </w:r>
          </w:p>
        </w:tc>
      </w:tr>
      <w:tr w:rsidR="005D7A85" w:rsidRPr="001D2697" w14:paraId="0F8654B0" w14:textId="77777777" w:rsidTr="005D7A85">
        <w:trPr>
          <w:trHeight w:val="510"/>
        </w:trPr>
        <w:tc>
          <w:tcPr>
            <w:tcW w:w="2566" w:type="dxa"/>
            <w:tcBorders>
              <w:top w:val="nil"/>
              <w:left w:val="nil"/>
              <w:bottom w:val="nil"/>
              <w:right w:val="nil"/>
            </w:tcBorders>
            <w:shd w:val="clear" w:color="000000" w:fill="BFBFBF"/>
            <w:vAlign w:val="center"/>
            <w:hideMark/>
          </w:tcPr>
          <w:p w14:paraId="47402BC0"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 </w:t>
            </w:r>
          </w:p>
        </w:tc>
        <w:tc>
          <w:tcPr>
            <w:tcW w:w="993" w:type="dxa"/>
            <w:tcBorders>
              <w:top w:val="nil"/>
              <w:left w:val="nil"/>
              <w:bottom w:val="nil"/>
              <w:right w:val="nil"/>
            </w:tcBorders>
            <w:shd w:val="clear" w:color="000000" w:fill="BFBFBF"/>
            <w:vAlign w:val="center"/>
            <w:hideMark/>
          </w:tcPr>
          <w:p w14:paraId="03DB342E"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2017</w:t>
            </w:r>
          </w:p>
        </w:tc>
        <w:tc>
          <w:tcPr>
            <w:tcW w:w="967" w:type="dxa"/>
            <w:tcBorders>
              <w:top w:val="nil"/>
              <w:left w:val="nil"/>
              <w:bottom w:val="nil"/>
              <w:right w:val="nil"/>
            </w:tcBorders>
            <w:shd w:val="clear" w:color="000000" w:fill="BFBFBF"/>
            <w:vAlign w:val="center"/>
            <w:hideMark/>
          </w:tcPr>
          <w:p w14:paraId="0B6D6A82"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2018</w:t>
            </w:r>
          </w:p>
        </w:tc>
        <w:tc>
          <w:tcPr>
            <w:tcW w:w="851" w:type="dxa"/>
            <w:tcBorders>
              <w:top w:val="nil"/>
              <w:left w:val="nil"/>
              <w:bottom w:val="nil"/>
              <w:right w:val="nil"/>
            </w:tcBorders>
            <w:shd w:val="clear" w:color="000000" w:fill="BFBFBF"/>
            <w:vAlign w:val="center"/>
            <w:hideMark/>
          </w:tcPr>
          <w:p w14:paraId="7F9BADA0"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2019</w:t>
            </w:r>
          </w:p>
        </w:tc>
        <w:tc>
          <w:tcPr>
            <w:tcW w:w="992" w:type="dxa"/>
            <w:tcBorders>
              <w:top w:val="nil"/>
              <w:left w:val="nil"/>
              <w:bottom w:val="nil"/>
              <w:right w:val="nil"/>
            </w:tcBorders>
            <w:shd w:val="clear" w:color="000000" w:fill="BFBFBF"/>
            <w:vAlign w:val="center"/>
            <w:hideMark/>
          </w:tcPr>
          <w:p w14:paraId="1260E05E"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2019</w:t>
            </w:r>
          </w:p>
        </w:tc>
        <w:tc>
          <w:tcPr>
            <w:tcW w:w="992" w:type="dxa"/>
            <w:tcBorders>
              <w:top w:val="nil"/>
              <w:left w:val="nil"/>
              <w:bottom w:val="nil"/>
              <w:right w:val="nil"/>
            </w:tcBorders>
            <w:shd w:val="clear" w:color="000000" w:fill="BFBFBF"/>
            <w:vAlign w:val="center"/>
            <w:hideMark/>
          </w:tcPr>
          <w:p w14:paraId="298C38C3"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z toho: zdroj 111</w:t>
            </w:r>
            <w:r w:rsidRPr="001D2697">
              <w:rPr>
                <w:rFonts w:ascii="Arial Narrow" w:eastAsia="Times New Roman" w:hAnsi="Arial Narrow" w:cs="Times New Roman"/>
                <w:b/>
                <w:bCs/>
                <w:sz w:val="18"/>
                <w:szCs w:val="18"/>
                <w:lang w:eastAsia="sk-SK"/>
              </w:rPr>
              <w:t>*</w:t>
            </w:r>
          </w:p>
        </w:tc>
        <w:tc>
          <w:tcPr>
            <w:tcW w:w="850" w:type="dxa"/>
            <w:tcBorders>
              <w:top w:val="nil"/>
              <w:left w:val="nil"/>
              <w:bottom w:val="nil"/>
              <w:right w:val="nil"/>
            </w:tcBorders>
            <w:shd w:val="clear" w:color="000000" w:fill="BFBFBF"/>
            <w:vAlign w:val="center"/>
            <w:hideMark/>
          </w:tcPr>
          <w:p w14:paraId="036A56AD"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 xml:space="preserve"> v tis. eur</w:t>
            </w:r>
          </w:p>
        </w:tc>
        <w:tc>
          <w:tcPr>
            <w:tcW w:w="709" w:type="dxa"/>
            <w:tcBorders>
              <w:top w:val="nil"/>
              <w:left w:val="nil"/>
              <w:bottom w:val="nil"/>
              <w:right w:val="nil"/>
            </w:tcBorders>
            <w:shd w:val="clear" w:color="000000" w:fill="BFBFBF"/>
            <w:vAlign w:val="center"/>
            <w:hideMark/>
          </w:tcPr>
          <w:p w14:paraId="218BE96A"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v %</w:t>
            </w:r>
          </w:p>
        </w:tc>
      </w:tr>
      <w:tr w:rsidR="005D7A85" w:rsidRPr="001D2697" w14:paraId="6301B8F0" w14:textId="77777777" w:rsidTr="005D7A85">
        <w:trPr>
          <w:trHeight w:val="345"/>
        </w:trPr>
        <w:tc>
          <w:tcPr>
            <w:tcW w:w="2566" w:type="dxa"/>
            <w:tcBorders>
              <w:top w:val="nil"/>
              <w:left w:val="nil"/>
              <w:bottom w:val="single" w:sz="8" w:space="0" w:color="auto"/>
              <w:right w:val="nil"/>
            </w:tcBorders>
            <w:shd w:val="clear" w:color="000000" w:fill="BFBFBF"/>
            <w:vAlign w:val="center"/>
            <w:hideMark/>
          </w:tcPr>
          <w:p w14:paraId="2F6B9ADC" w14:textId="77777777" w:rsidR="005D7A85" w:rsidRPr="001D2697" w:rsidRDefault="005D7A85" w:rsidP="0044781D">
            <w:pPr>
              <w:spacing w:after="0" w:line="240" w:lineRule="auto"/>
              <w:jc w:val="left"/>
              <w:rPr>
                <w:rFonts w:eastAsia="Times New Roman" w:cs="Times New Roman"/>
                <w:b/>
                <w:bCs/>
                <w:sz w:val="18"/>
                <w:szCs w:val="18"/>
                <w:lang w:eastAsia="sk-SK"/>
              </w:rPr>
            </w:pPr>
            <w:r w:rsidRPr="001D2697">
              <w:rPr>
                <w:rFonts w:eastAsia="Times New Roman" w:cs="Times New Roman"/>
                <w:b/>
                <w:bCs/>
                <w:sz w:val="18"/>
                <w:szCs w:val="18"/>
                <w:lang w:eastAsia="sk-SK"/>
              </w:rPr>
              <w:t> </w:t>
            </w:r>
          </w:p>
        </w:tc>
        <w:tc>
          <w:tcPr>
            <w:tcW w:w="993" w:type="dxa"/>
            <w:tcBorders>
              <w:top w:val="nil"/>
              <w:left w:val="nil"/>
              <w:bottom w:val="single" w:sz="8" w:space="0" w:color="auto"/>
              <w:right w:val="nil"/>
            </w:tcBorders>
            <w:shd w:val="clear" w:color="000000" w:fill="BFBFBF"/>
            <w:vAlign w:val="center"/>
            <w:hideMark/>
          </w:tcPr>
          <w:p w14:paraId="4E20C93B"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1</w:t>
            </w:r>
          </w:p>
        </w:tc>
        <w:tc>
          <w:tcPr>
            <w:tcW w:w="967" w:type="dxa"/>
            <w:tcBorders>
              <w:top w:val="nil"/>
              <w:left w:val="nil"/>
              <w:bottom w:val="single" w:sz="8" w:space="0" w:color="auto"/>
              <w:right w:val="nil"/>
            </w:tcBorders>
            <w:shd w:val="clear" w:color="000000" w:fill="BFBFBF"/>
            <w:vAlign w:val="center"/>
            <w:hideMark/>
          </w:tcPr>
          <w:p w14:paraId="5AD4B812"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000000" w:fill="BFBFBF"/>
            <w:vAlign w:val="center"/>
            <w:hideMark/>
          </w:tcPr>
          <w:p w14:paraId="2DA66A00"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3</w:t>
            </w:r>
          </w:p>
        </w:tc>
        <w:tc>
          <w:tcPr>
            <w:tcW w:w="992" w:type="dxa"/>
            <w:tcBorders>
              <w:top w:val="nil"/>
              <w:left w:val="nil"/>
              <w:bottom w:val="single" w:sz="8" w:space="0" w:color="auto"/>
              <w:right w:val="nil"/>
            </w:tcBorders>
            <w:shd w:val="clear" w:color="000000" w:fill="BFBFBF"/>
            <w:vAlign w:val="center"/>
            <w:hideMark/>
          </w:tcPr>
          <w:p w14:paraId="643D4535"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1D94FFD6"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5</w:t>
            </w:r>
          </w:p>
        </w:tc>
        <w:tc>
          <w:tcPr>
            <w:tcW w:w="850" w:type="dxa"/>
            <w:tcBorders>
              <w:top w:val="nil"/>
              <w:left w:val="nil"/>
              <w:bottom w:val="single" w:sz="8" w:space="0" w:color="auto"/>
              <w:right w:val="nil"/>
            </w:tcBorders>
            <w:shd w:val="clear" w:color="000000" w:fill="BFBFBF"/>
            <w:vAlign w:val="center"/>
            <w:hideMark/>
          </w:tcPr>
          <w:p w14:paraId="782778B3"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6=4-3</w:t>
            </w:r>
          </w:p>
        </w:tc>
        <w:tc>
          <w:tcPr>
            <w:tcW w:w="709" w:type="dxa"/>
            <w:tcBorders>
              <w:top w:val="nil"/>
              <w:left w:val="nil"/>
              <w:bottom w:val="single" w:sz="8" w:space="0" w:color="auto"/>
              <w:right w:val="nil"/>
            </w:tcBorders>
            <w:shd w:val="clear" w:color="000000" w:fill="BFBFBF"/>
            <w:vAlign w:val="center"/>
            <w:hideMark/>
          </w:tcPr>
          <w:p w14:paraId="1D4E6191" w14:textId="77777777" w:rsidR="005D7A85" w:rsidRPr="001D2697" w:rsidRDefault="005D7A85" w:rsidP="0044781D">
            <w:pPr>
              <w:spacing w:after="0" w:line="240" w:lineRule="auto"/>
              <w:jc w:val="center"/>
              <w:rPr>
                <w:rFonts w:eastAsia="Times New Roman" w:cs="Times New Roman"/>
                <w:b/>
                <w:bCs/>
                <w:sz w:val="18"/>
                <w:szCs w:val="18"/>
                <w:lang w:eastAsia="sk-SK"/>
              </w:rPr>
            </w:pPr>
            <w:r w:rsidRPr="001D2697">
              <w:rPr>
                <w:rFonts w:eastAsia="Times New Roman" w:cs="Times New Roman"/>
                <w:b/>
                <w:bCs/>
                <w:sz w:val="18"/>
                <w:szCs w:val="18"/>
                <w:lang w:eastAsia="sk-SK"/>
              </w:rPr>
              <w:t>7=4-3</w:t>
            </w:r>
          </w:p>
        </w:tc>
      </w:tr>
      <w:tr w:rsidR="00EA177A" w:rsidRPr="001D2697" w14:paraId="60231D56" w14:textId="77777777" w:rsidTr="0044781D">
        <w:trPr>
          <w:trHeight w:val="480"/>
        </w:trPr>
        <w:tc>
          <w:tcPr>
            <w:tcW w:w="2566" w:type="dxa"/>
            <w:tcBorders>
              <w:top w:val="nil"/>
              <w:left w:val="nil"/>
              <w:bottom w:val="nil"/>
              <w:right w:val="nil"/>
            </w:tcBorders>
            <w:shd w:val="clear" w:color="000000" w:fill="FFFFFF"/>
            <w:vAlign w:val="center"/>
            <w:hideMark/>
          </w:tcPr>
          <w:p w14:paraId="2EBCA162"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Úrad podpredsedu vlády SR pre investície</w:t>
            </w:r>
          </w:p>
        </w:tc>
        <w:tc>
          <w:tcPr>
            <w:tcW w:w="993" w:type="dxa"/>
            <w:tcBorders>
              <w:top w:val="nil"/>
              <w:left w:val="nil"/>
              <w:bottom w:val="nil"/>
              <w:right w:val="nil"/>
            </w:tcBorders>
            <w:shd w:val="clear" w:color="000000" w:fill="FFFFFF"/>
            <w:noWrap/>
            <w:vAlign w:val="center"/>
            <w:hideMark/>
          </w:tcPr>
          <w:p w14:paraId="158804A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c>
          <w:tcPr>
            <w:tcW w:w="967" w:type="dxa"/>
            <w:tcBorders>
              <w:top w:val="nil"/>
              <w:left w:val="nil"/>
              <w:bottom w:val="nil"/>
              <w:right w:val="nil"/>
            </w:tcBorders>
            <w:shd w:val="clear" w:color="000000" w:fill="FFFFFF"/>
            <w:noWrap/>
            <w:vAlign w:val="center"/>
            <w:hideMark/>
          </w:tcPr>
          <w:p w14:paraId="1E26F1D4"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c>
          <w:tcPr>
            <w:tcW w:w="851" w:type="dxa"/>
            <w:tcBorders>
              <w:top w:val="nil"/>
              <w:left w:val="nil"/>
              <w:bottom w:val="nil"/>
              <w:right w:val="nil"/>
            </w:tcBorders>
            <w:shd w:val="clear" w:color="000000" w:fill="FFFFFF"/>
            <w:noWrap/>
            <w:vAlign w:val="center"/>
            <w:hideMark/>
          </w:tcPr>
          <w:p w14:paraId="57181B3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52D91EF1"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5 187</w:t>
            </w:r>
          </w:p>
        </w:tc>
        <w:tc>
          <w:tcPr>
            <w:tcW w:w="992" w:type="dxa"/>
            <w:tcBorders>
              <w:top w:val="nil"/>
              <w:left w:val="nil"/>
              <w:bottom w:val="nil"/>
              <w:right w:val="nil"/>
            </w:tcBorders>
            <w:shd w:val="clear" w:color="auto" w:fill="auto"/>
            <w:noWrap/>
            <w:vAlign w:val="center"/>
            <w:hideMark/>
          </w:tcPr>
          <w:p w14:paraId="6E84D71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2 077</w:t>
            </w:r>
          </w:p>
        </w:tc>
        <w:tc>
          <w:tcPr>
            <w:tcW w:w="850" w:type="dxa"/>
            <w:tcBorders>
              <w:top w:val="nil"/>
              <w:left w:val="nil"/>
              <w:bottom w:val="nil"/>
              <w:right w:val="nil"/>
            </w:tcBorders>
            <w:shd w:val="clear" w:color="000000" w:fill="FFFFFF"/>
            <w:vAlign w:val="center"/>
            <w:hideMark/>
          </w:tcPr>
          <w:p w14:paraId="793CA1D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5 187</w:t>
            </w:r>
          </w:p>
        </w:tc>
        <w:tc>
          <w:tcPr>
            <w:tcW w:w="709" w:type="dxa"/>
            <w:tcBorders>
              <w:top w:val="nil"/>
              <w:left w:val="nil"/>
              <w:bottom w:val="nil"/>
              <w:right w:val="nil"/>
            </w:tcBorders>
            <w:shd w:val="clear" w:color="000000" w:fill="FFFFFF"/>
            <w:vAlign w:val="center"/>
            <w:hideMark/>
          </w:tcPr>
          <w:p w14:paraId="261A75B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6321497C" w14:textId="77777777" w:rsidTr="0044781D">
        <w:trPr>
          <w:trHeight w:val="330"/>
        </w:trPr>
        <w:tc>
          <w:tcPr>
            <w:tcW w:w="2566" w:type="dxa"/>
            <w:tcBorders>
              <w:top w:val="nil"/>
              <w:left w:val="nil"/>
              <w:bottom w:val="nil"/>
              <w:right w:val="nil"/>
            </w:tcBorders>
            <w:shd w:val="clear" w:color="000000" w:fill="FFFFFF"/>
            <w:vAlign w:val="center"/>
            <w:hideMark/>
          </w:tcPr>
          <w:p w14:paraId="3E2951FF"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hospodárstva SR</w:t>
            </w:r>
          </w:p>
        </w:tc>
        <w:tc>
          <w:tcPr>
            <w:tcW w:w="993" w:type="dxa"/>
            <w:tcBorders>
              <w:top w:val="nil"/>
              <w:left w:val="nil"/>
              <w:bottom w:val="nil"/>
              <w:right w:val="nil"/>
            </w:tcBorders>
            <w:shd w:val="clear" w:color="000000" w:fill="FFFFFF"/>
            <w:noWrap/>
            <w:vAlign w:val="center"/>
            <w:hideMark/>
          </w:tcPr>
          <w:p w14:paraId="523B70B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67" w:type="dxa"/>
            <w:tcBorders>
              <w:top w:val="nil"/>
              <w:left w:val="nil"/>
              <w:bottom w:val="nil"/>
              <w:right w:val="nil"/>
            </w:tcBorders>
            <w:shd w:val="clear" w:color="000000" w:fill="FFFFFF"/>
            <w:noWrap/>
            <w:vAlign w:val="center"/>
            <w:hideMark/>
          </w:tcPr>
          <w:p w14:paraId="4D60D8F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5 157</w:t>
            </w:r>
          </w:p>
        </w:tc>
        <w:tc>
          <w:tcPr>
            <w:tcW w:w="851" w:type="dxa"/>
            <w:tcBorders>
              <w:top w:val="nil"/>
              <w:left w:val="nil"/>
              <w:bottom w:val="nil"/>
              <w:right w:val="nil"/>
            </w:tcBorders>
            <w:shd w:val="clear" w:color="000000" w:fill="FFFFFF"/>
            <w:noWrap/>
            <w:vAlign w:val="center"/>
            <w:hideMark/>
          </w:tcPr>
          <w:p w14:paraId="1770D241"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5E3EBC83"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2 389</w:t>
            </w:r>
          </w:p>
        </w:tc>
        <w:tc>
          <w:tcPr>
            <w:tcW w:w="992" w:type="dxa"/>
            <w:tcBorders>
              <w:top w:val="nil"/>
              <w:left w:val="nil"/>
              <w:bottom w:val="nil"/>
              <w:right w:val="nil"/>
            </w:tcBorders>
            <w:shd w:val="clear" w:color="auto" w:fill="auto"/>
            <w:noWrap/>
            <w:vAlign w:val="center"/>
            <w:hideMark/>
          </w:tcPr>
          <w:p w14:paraId="27D2D092"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0" w:type="dxa"/>
            <w:tcBorders>
              <w:top w:val="nil"/>
              <w:left w:val="nil"/>
              <w:bottom w:val="nil"/>
              <w:right w:val="nil"/>
            </w:tcBorders>
            <w:shd w:val="clear" w:color="000000" w:fill="FFFFFF"/>
            <w:vAlign w:val="center"/>
            <w:hideMark/>
          </w:tcPr>
          <w:p w14:paraId="5D9848DB"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2 389</w:t>
            </w:r>
          </w:p>
        </w:tc>
        <w:tc>
          <w:tcPr>
            <w:tcW w:w="709" w:type="dxa"/>
            <w:tcBorders>
              <w:top w:val="nil"/>
              <w:left w:val="nil"/>
              <w:bottom w:val="nil"/>
              <w:right w:val="nil"/>
            </w:tcBorders>
            <w:shd w:val="clear" w:color="000000" w:fill="FFFFFF"/>
            <w:vAlign w:val="center"/>
            <w:hideMark/>
          </w:tcPr>
          <w:p w14:paraId="362FCEE7"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3092B83A" w14:textId="77777777" w:rsidTr="0044781D">
        <w:trPr>
          <w:trHeight w:val="330"/>
        </w:trPr>
        <w:tc>
          <w:tcPr>
            <w:tcW w:w="2566" w:type="dxa"/>
            <w:tcBorders>
              <w:top w:val="nil"/>
              <w:left w:val="nil"/>
              <w:bottom w:val="nil"/>
              <w:right w:val="nil"/>
            </w:tcBorders>
            <w:shd w:val="clear" w:color="000000" w:fill="FFFFFF"/>
            <w:vAlign w:val="center"/>
            <w:hideMark/>
          </w:tcPr>
          <w:p w14:paraId="0F0D0486"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kultúry SR</w:t>
            </w:r>
          </w:p>
        </w:tc>
        <w:tc>
          <w:tcPr>
            <w:tcW w:w="993" w:type="dxa"/>
            <w:tcBorders>
              <w:top w:val="nil"/>
              <w:left w:val="nil"/>
              <w:bottom w:val="nil"/>
              <w:right w:val="nil"/>
            </w:tcBorders>
            <w:shd w:val="clear" w:color="000000" w:fill="FFFFFF"/>
            <w:noWrap/>
            <w:vAlign w:val="center"/>
            <w:hideMark/>
          </w:tcPr>
          <w:p w14:paraId="0173406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2 957</w:t>
            </w:r>
          </w:p>
        </w:tc>
        <w:tc>
          <w:tcPr>
            <w:tcW w:w="967" w:type="dxa"/>
            <w:tcBorders>
              <w:top w:val="nil"/>
              <w:left w:val="nil"/>
              <w:bottom w:val="nil"/>
              <w:right w:val="nil"/>
            </w:tcBorders>
            <w:shd w:val="clear" w:color="000000" w:fill="FFFFFF"/>
            <w:noWrap/>
            <w:vAlign w:val="center"/>
            <w:hideMark/>
          </w:tcPr>
          <w:p w14:paraId="3D7B74D5"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6 422</w:t>
            </w:r>
          </w:p>
        </w:tc>
        <w:tc>
          <w:tcPr>
            <w:tcW w:w="851" w:type="dxa"/>
            <w:tcBorders>
              <w:top w:val="nil"/>
              <w:left w:val="nil"/>
              <w:bottom w:val="nil"/>
              <w:right w:val="nil"/>
            </w:tcBorders>
            <w:shd w:val="clear" w:color="000000" w:fill="FFFFFF"/>
            <w:noWrap/>
            <w:vAlign w:val="center"/>
            <w:hideMark/>
          </w:tcPr>
          <w:p w14:paraId="443DE40D"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15628F6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2 162</w:t>
            </w:r>
          </w:p>
        </w:tc>
        <w:tc>
          <w:tcPr>
            <w:tcW w:w="992" w:type="dxa"/>
            <w:tcBorders>
              <w:top w:val="nil"/>
              <w:left w:val="nil"/>
              <w:bottom w:val="nil"/>
              <w:right w:val="nil"/>
            </w:tcBorders>
            <w:shd w:val="clear" w:color="auto" w:fill="auto"/>
            <w:noWrap/>
            <w:vAlign w:val="center"/>
            <w:hideMark/>
          </w:tcPr>
          <w:p w14:paraId="0124439B"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1 877</w:t>
            </w:r>
          </w:p>
        </w:tc>
        <w:tc>
          <w:tcPr>
            <w:tcW w:w="850" w:type="dxa"/>
            <w:tcBorders>
              <w:top w:val="nil"/>
              <w:left w:val="nil"/>
              <w:bottom w:val="nil"/>
              <w:right w:val="nil"/>
            </w:tcBorders>
            <w:shd w:val="clear" w:color="000000" w:fill="FFFFFF"/>
            <w:vAlign w:val="center"/>
            <w:hideMark/>
          </w:tcPr>
          <w:p w14:paraId="674234F9"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2 162</w:t>
            </w:r>
          </w:p>
        </w:tc>
        <w:tc>
          <w:tcPr>
            <w:tcW w:w="709" w:type="dxa"/>
            <w:tcBorders>
              <w:top w:val="nil"/>
              <w:left w:val="nil"/>
              <w:bottom w:val="nil"/>
              <w:right w:val="nil"/>
            </w:tcBorders>
            <w:shd w:val="clear" w:color="000000" w:fill="FFFFFF"/>
            <w:vAlign w:val="center"/>
            <w:hideMark/>
          </w:tcPr>
          <w:p w14:paraId="71F71FF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18BA73FF" w14:textId="77777777" w:rsidTr="0044781D">
        <w:trPr>
          <w:trHeight w:val="330"/>
        </w:trPr>
        <w:tc>
          <w:tcPr>
            <w:tcW w:w="2566" w:type="dxa"/>
            <w:tcBorders>
              <w:top w:val="nil"/>
              <w:left w:val="nil"/>
              <w:bottom w:val="nil"/>
              <w:right w:val="nil"/>
            </w:tcBorders>
            <w:shd w:val="clear" w:color="000000" w:fill="FFFFFF"/>
            <w:noWrap/>
            <w:vAlign w:val="center"/>
            <w:hideMark/>
          </w:tcPr>
          <w:p w14:paraId="07B24D09"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financií SR</w:t>
            </w:r>
          </w:p>
        </w:tc>
        <w:tc>
          <w:tcPr>
            <w:tcW w:w="993" w:type="dxa"/>
            <w:tcBorders>
              <w:top w:val="nil"/>
              <w:left w:val="nil"/>
              <w:bottom w:val="nil"/>
              <w:right w:val="nil"/>
            </w:tcBorders>
            <w:shd w:val="clear" w:color="000000" w:fill="FFFFFF"/>
            <w:noWrap/>
            <w:vAlign w:val="center"/>
            <w:hideMark/>
          </w:tcPr>
          <w:p w14:paraId="5E41FC14"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67" w:type="dxa"/>
            <w:tcBorders>
              <w:top w:val="nil"/>
              <w:left w:val="nil"/>
              <w:bottom w:val="nil"/>
              <w:right w:val="nil"/>
            </w:tcBorders>
            <w:shd w:val="clear" w:color="000000" w:fill="FFFFFF"/>
            <w:noWrap/>
            <w:vAlign w:val="center"/>
            <w:hideMark/>
          </w:tcPr>
          <w:p w14:paraId="247072BE"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1" w:type="dxa"/>
            <w:tcBorders>
              <w:top w:val="nil"/>
              <w:left w:val="nil"/>
              <w:bottom w:val="nil"/>
              <w:right w:val="nil"/>
            </w:tcBorders>
            <w:shd w:val="clear" w:color="000000" w:fill="FFFFFF"/>
            <w:noWrap/>
            <w:vAlign w:val="center"/>
            <w:hideMark/>
          </w:tcPr>
          <w:p w14:paraId="08EEB6F2"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48ED262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86</w:t>
            </w:r>
          </w:p>
        </w:tc>
        <w:tc>
          <w:tcPr>
            <w:tcW w:w="992" w:type="dxa"/>
            <w:tcBorders>
              <w:top w:val="nil"/>
              <w:left w:val="nil"/>
              <w:bottom w:val="nil"/>
              <w:right w:val="nil"/>
            </w:tcBorders>
            <w:shd w:val="clear" w:color="auto" w:fill="auto"/>
            <w:noWrap/>
            <w:vAlign w:val="center"/>
            <w:hideMark/>
          </w:tcPr>
          <w:p w14:paraId="4CDE520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0" w:type="dxa"/>
            <w:tcBorders>
              <w:top w:val="nil"/>
              <w:left w:val="nil"/>
              <w:bottom w:val="nil"/>
              <w:right w:val="nil"/>
            </w:tcBorders>
            <w:shd w:val="clear" w:color="000000" w:fill="FFFFFF"/>
            <w:vAlign w:val="center"/>
            <w:hideMark/>
          </w:tcPr>
          <w:p w14:paraId="07FDD3E7"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c>
          <w:tcPr>
            <w:tcW w:w="709" w:type="dxa"/>
            <w:tcBorders>
              <w:top w:val="nil"/>
              <w:left w:val="nil"/>
              <w:bottom w:val="nil"/>
              <w:right w:val="nil"/>
            </w:tcBorders>
            <w:shd w:val="clear" w:color="000000" w:fill="FFFFFF"/>
            <w:vAlign w:val="center"/>
            <w:hideMark/>
          </w:tcPr>
          <w:p w14:paraId="2FB6F3F9"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429987E6" w14:textId="77777777" w:rsidTr="0044781D">
        <w:trPr>
          <w:trHeight w:val="330"/>
        </w:trPr>
        <w:tc>
          <w:tcPr>
            <w:tcW w:w="2566" w:type="dxa"/>
            <w:tcBorders>
              <w:top w:val="nil"/>
              <w:left w:val="nil"/>
              <w:bottom w:val="nil"/>
              <w:right w:val="nil"/>
            </w:tcBorders>
            <w:shd w:val="clear" w:color="000000" w:fill="FFFFFF"/>
            <w:vAlign w:val="center"/>
            <w:hideMark/>
          </w:tcPr>
          <w:p w14:paraId="4400BDA0"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zdravotníctva SR</w:t>
            </w:r>
          </w:p>
        </w:tc>
        <w:tc>
          <w:tcPr>
            <w:tcW w:w="993" w:type="dxa"/>
            <w:tcBorders>
              <w:top w:val="nil"/>
              <w:left w:val="nil"/>
              <w:bottom w:val="nil"/>
              <w:right w:val="nil"/>
            </w:tcBorders>
            <w:shd w:val="clear" w:color="000000" w:fill="FFFFFF"/>
            <w:noWrap/>
            <w:vAlign w:val="center"/>
            <w:hideMark/>
          </w:tcPr>
          <w:p w14:paraId="6B77819B"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67" w:type="dxa"/>
            <w:tcBorders>
              <w:top w:val="nil"/>
              <w:left w:val="nil"/>
              <w:bottom w:val="nil"/>
              <w:right w:val="nil"/>
            </w:tcBorders>
            <w:shd w:val="clear" w:color="000000" w:fill="FFFFFF"/>
            <w:noWrap/>
            <w:vAlign w:val="center"/>
            <w:hideMark/>
          </w:tcPr>
          <w:p w14:paraId="62B41962"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20</w:t>
            </w:r>
          </w:p>
        </w:tc>
        <w:tc>
          <w:tcPr>
            <w:tcW w:w="851" w:type="dxa"/>
            <w:tcBorders>
              <w:top w:val="nil"/>
              <w:left w:val="nil"/>
              <w:bottom w:val="nil"/>
              <w:right w:val="nil"/>
            </w:tcBorders>
            <w:shd w:val="clear" w:color="000000" w:fill="FFFFFF"/>
            <w:noWrap/>
            <w:vAlign w:val="center"/>
            <w:hideMark/>
          </w:tcPr>
          <w:p w14:paraId="323EAB08"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293410FF"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23</w:t>
            </w:r>
          </w:p>
        </w:tc>
        <w:tc>
          <w:tcPr>
            <w:tcW w:w="992" w:type="dxa"/>
            <w:tcBorders>
              <w:top w:val="nil"/>
              <w:left w:val="nil"/>
              <w:bottom w:val="nil"/>
              <w:right w:val="nil"/>
            </w:tcBorders>
            <w:shd w:val="clear" w:color="auto" w:fill="auto"/>
            <w:noWrap/>
            <w:vAlign w:val="center"/>
            <w:hideMark/>
          </w:tcPr>
          <w:p w14:paraId="4D7CDE3A"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23</w:t>
            </w:r>
          </w:p>
        </w:tc>
        <w:tc>
          <w:tcPr>
            <w:tcW w:w="850" w:type="dxa"/>
            <w:tcBorders>
              <w:top w:val="nil"/>
              <w:left w:val="nil"/>
              <w:bottom w:val="nil"/>
              <w:right w:val="nil"/>
            </w:tcBorders>
            <w:shd w:val="clear" w:color="000000" w:fill="FFFFFF"/>
            <w:vAlign w:val="center"/>
            <w:hideMark/>
          </w:tcPr>
          <w:p w14:paraId="4A663DDF"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23</w:t>
            </w:r>
          </w:p>
        </w:tc>
        <w:tc>
          <w:tcPr>
            <w:tcW w:w="709" w:type="dxa"/>
            <w:tcBorders>
              <w:top w:val="nil"/>
              <w:left w:val="nil"/>
              <w:bottom w:val="nil"/>
              <w:right w:val="nil"/>
            </w:tcBorders>
            <w:shd w:val="clear" w:color="000000" w:fill="FFFFFF"/>
            <w:vAlign w:val="center"/>
            <w:hideMark/>
          </w:tcPr>
          <w:p w14:paraId="4F6075F1"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0C8FD3EB" w14:textId="77777777" w:rsidTr="0044781D">
        <w:trPr>
          <w:trHeight w:val="330"/>
        </w:trPr>
        <w:tc>
          <w:tcPr>
            <w:tcW w:w="2566" w:type="dxa"/>
            <w:tcBorders>
              <w:top w:val="nil"/>
              <w:left w:val="nil"/>
              <w:bottom w:val="nil"/>
              <w:right w:val="nil"/>
            </w:tcBorders>
            <w:shd w:val="clear" w:color="000000" w:fill="FFFFFF"/>
            <w:noWrap/>
            <w:vAlign w:val="center"/>
            <w:hideMark/>
          </w:tcPr>
          <w:p w14:paraId="16FF6B3B" w14:textId="77777777" w:rsidR="00EA177A" w:rsidRPr="001D2697" w:rsidRDefault="00EA177A" w:rsidP="00C704A7">
            <w:pPr>
              <w:spacing w:after="0" w:line="240" w:lineRule="auto"/>
              <w:jc w:val="left"/>
              <w:rPr>
                <w:rFonts w:eastAsia="Times New Roman" w:cs="Times New Roman"/>
                <w:sz w:val="18"/>
                <w:szCs w:val="18"/>
                <w:lang w:eastAsia="sk-SK"/>
              </w:rPr>
            </w:pPr>
            <w:r w:rsidRPr="001D2697">
              <w:rPr>
                <w:rFonts w:eastAsia="Times New Roman" w:cs="Times New Roman"/>
                <w:sz w:val="18"/>
                <w:szCs w:val="18"/>
                <w:lang w:eastAsia="sk-SK"/>
              </w:rPr>
              <w:t>Ministerstvo spravodlivosti SR</w:t>
            </w:r>
          </w:p>
        </w:tc>
        <w:tc>
          <w:tcPr>
            <w:tcW w:w="993" w:type="dxa"/>
            <w:tcBorders>
              <w:top w:val="nil"/>
              <w:left w:val="nil"/>
              <w:bottom w:val="nil"/>
              <w:right w:val="nil"/>
            </w:tcBorders>
            <w:shd w:val="clear" w:color="000000" w:fill="FFFFFF"/>
            <w:noWrap/>
            <w:vAlign w:val="center"/>
            <w:hideMark/>
          </w:tcPr>
          <w:p w14:paraId="5FC186C1"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10</w:t>
            </w:r>
          </w:p>
        </w:tc>
        <w:tc>
          <w:tcPr>
            <w:tcW w:w="967" w:type="dxa"/>
            <w:tcBorders>
              <w:top w:val="nil"/>
              <w:left w:val="nil"/>
              <w:bottom w:val="nil"/>
              <w:right w:val="nil"/>
            </w:tcBorders>
            <w:shd w:val="clear" w:color="000000" w:fill="FFFFFF"/>
            <w:noWrap/>
            <w:vAlign w:val="center"/>
            <w:hideMark/>
          </w:tcPr>
          <w:p w14:paraId="1E5B8F87"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1" w:type="dxa"/>
            <w:tcBorders>
              <w:top w:val="nil"/>
              <w:left w:val="nil"/>
              <w:bottom w:val="nil"/>
              <w:right w:val="nil"/>
            </w:tcBorders>
            <w:shd w:val="clear" w:color="000000" w:fill="FFFFFF"/>
            <w:noWrap/>
            <w:vAlign w:val="center"/>
            <w:hideMark/>
          </w:tcPr>
          <w:p w14:paraId="399DF9B9"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000000" w:fill="BFBFBF"/>
            <w:noWrap/>
            <w:vAlign w:val="center"/>
            <w:hideMark/>
          </w:tcPr>
          <w:p w14:paraId="7C81F33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992" w:type="dxa"/>
            <w:tcBorders>
              <w:top w:val="nil"/>
              <w:left w:val="nil"/>
              <w:bottom w:val="nil"/>
              <w:right w:val="nil"/>
            </w:tcBorders>
            <w:shd w:val="clear" w:color="auto" w:fill="auto"/>
            <w:noWrap/>
            <w:vAlign w:val="center"/>
            <w:hideMark/>
          </w:tcPr>
          <w:p w14:paraId="205C69FC"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0</w:t>
            </w:r>
          </w:p>
        </w:tc>
        <w:tc>
          <w:tcPr>
            <w:tcW w:w="850" w:type="dxa"/>
            <w:tcBorders>
              <w:top w:val="nil"/>
              <w:left w:val="nil"/>
              <w:bottom w:val="nil"/>
              <w:right w:val="nil"/>
            </w:tcBorders>
            <w:shd w:val="clear" w:color="000000" w:fill="FFFFFF"/>
            <w:vAlign w:val="center"/>
            <w:hideMark/>
          </w:tcPr>
          <w:p w14:paraId="145ABCB2"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c>
          <w:tcPr>
            <w:tcW w:w="709" w:type="dxa"/>
            <w:tcBorders>
              <w:top w:val="nil"/>
              <w:left w:val="nil"/>
              <w:bottom w:val="nil"/>
              <w:right w:val="nil"/>
            </w:tcBorders>
            <w:shd w:val="clear" w:color="000000" w:fill="FFFFFF"/>
            <w:vAlign w:val="center"/>
            <w:hideMark/>
          </w:tcPr>
          <w:p w14:paraId="7805AB76" w14:textId="77777777" w:rsidR="00EA177A" w:rsidRPr="001D2697" w:rsidRDefault="00EA177A" w:rsidP="00C704A7">
            <w:pPr>
              <w:spacing w:after="0" w:line="240" w:lineRule="auto"/>
              <w:jc w:val="right"/>
              <w:rPr>
                <w:rFonts w:eastAsia="Times New Roman" w:cs="Times New Roman"/>
                <w:sz w:val="18"/>
                <w:szCs w:val="18"/>
                <w:lang w:eastAsia="sk-SK"/>
              </w:rPr>
            </w:pPr>
            <w:r w:rsidRPr="001D2697">
              <w:rPr>
                <w:rFonts w:eastAsia="Times New Roman" w:cs="Times New Roman"/>
                <w:sz w:val="18"/>
                <w:szCs w:val="18"/>
                <w:lang w:eastAsia="sk-SK"/>
              </w:rPr>
              <w:t>x</w:t>
            </w:r>
          </w:p>
        </w:tc>
      </w:tr>
      <w:tr w:rsidR="00EA177A" w:rsidRPr="001D2697" w14:paraId="224EB638" w14:textId="77777777" w:rsidTr="0044781D">
        <w:trPr>
          <w:trHeight w:val="345"/>
        </w:trPr>
        <w:tc>
          <w:tcPr>
            <w:tcW w:w="2566" w:type="dxa"/>
            <w:tcBorders>
              <w:top w:val="single" w:sz="4" w:space="0" w:color="auto"/>
              <w:left w:val="nil"/>
              <w:bottom w:val="single" w:sz="8" w:space="0" w:color="auto"/>
              <w:right w:val="nil"/>
            </w:tcBorders>
            <w:shd w:val="clear" w:color="000000" w:fill="FFFFFF"/>
            <w:noWrap/>
            <w:vAlign w:val="center"/>
            <w:hideMark/>
          </w:tcPr>
          <w:p w14:paraId="04C19034" w14:textId="77777777" w:rsidR="00EA177A" w:rsidRPr="001D2697" w:rsidRDefault="00EA177A" w:rsidP="00C704A7">
            <w:pPr>
              <w:spacing w:after="0" w:line="240" w:lineRule="auto"/>
              <w:jc w:val="left"/>
              <w:rPr>
                <w:rFonts w:eastAsia="Times New Roman" w:cs="Times New Roman"/>
                <w:b/>
                <w:bCs/>
                <w:sz w:val="18"/>
                <w:szCs w:val="18"/>
                <w:lang w:eastAsia="sk-SK"/>
              </w:rPr>
            </w:pPr>
            <w:r w:rsidRPr="001D2697">
              <w:rPr>
                <w:rFonts w:eastAsia="Times New Roman" w:cs="Times New Roman"/>
                <w:b/>
                <w:bCs/>
                <w:sz w:val="18"/>
                <w:szCs w:val="18"/>
                <w:lang w:eastAsia="sk-SK"/>
              </w:rPr>
              <w:t>Spolu</w:t>
            </w:r>
          </w:p>
        </w:tc>
        <w:tc>
          <w:tcPr>
            <w:tcW w:w="993" w:type="dxa"/>
            <w:tcBorders>
              <w:top w:val="single" w:sz="4" w:space="0" w:color="auto"/>
              <w:left w:val="nil"/>
              <w:bottom w:val="single" w:sz="8" w:space="0" w:color="auto"/>
              <w:right w:val="nil"/>
            </w:tcBorders>
            <w:shd w:val="clear" w:color="000000" w:fill="FFFFFF"/>
            <w:noWrap/>
            <w:vAlign w:val="center"/>
            <w:hideMark/>
          </w:tcPr>
          <w:p w14:paraId="10C5C65A"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1 097 737</w:t>
            </w:r>
          </w:p>
        </w:tc>
        <w:tc>
          <w:tcPr>
            <w:tcW w:w="967" w:type="dxa"/>
            <w:tcBorders>
              <w:top w:val="single" w:sz="4" w:space="0" w:color="auto"/>
              <w:left w:val="nil"/>
              <w:bottom w:val="single" w:sz="8" w:space="0" w:color="auto"/>
              <w:right w:val="nil"/>
            </w:tcBorders>
            <w:shd w:val="clear" w:color="000000" w:fill="FFFFFF"/>
            <w:noWrap/>
            <w:vAlign w:val="center"/>
            <w:hideMark/>
          </w:tcPr>
          <w:p w14:paraId="0E572BA9"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1 345 539</w:t>
            </w:r>
          </w:p>
        </w:tc>
        <w:tc>
          <w:tcPr>
            <w:tcW w:w="851" w:type="dxa"/>
            <w:tcBorders>
              <w:top w:val="single" w:sz="4" w:space="0" w:color="auto"/>
              <w:left w:val="nil"/>
              <w:bottom w:val="single" w:sz="8" w:space="0" w:color="auto"/>
              <w:right w:val="nil"/>
            </w:tcBorders>
            <w:shd w:val="clear" w:color="000000" w:fill="FFFFFF"/>
            <w:noWrap/>
            <w:vAlign w:val="center"/>
            <w:hideMark/>
          </w:tcPr>
          <w:p w14:paraId="4132B861"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940 247</w:t>
            </w:r>
          </w:p>
        </w:tc>
        <w:tc>
          <w:tcPr>
            <w:tcW w:w="992" w:type="dxa"/>
            <w:tcBorders>
              <w:top w:val="single" w:sz="4" w:space="0" w:color="auto"/>
              <w:left w:val="nil"/>
              <w:bottom w:val="single" w:sz="8" w:space="0" w:color="auto"/>
              <w:right w:val="nil"/>
            </w:tcBorders>
            <w:shd w:val="clear" w:color="000000" w:fill="BFBFBF"/>
            <w:noWrap/>
            <w:vAlign w:val="center"/>
            <w:hideMark/>
          </w:tcPr>
          <w:p w14:paraId="51D82DBD"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1 505 636</w:t>
            </w:r>
          </w:p>
        </w:tc>
        <w:tc>
          <w:tcPr>
            <w:tcW w:w="992" w:type="dxa"/>
            <w:tcBorders>
              <w:top w:val="single" w:sz="4" w:space="0" w:color="auto"/>
              <w:left w:val="nil"/>
              <w:bottom w:val="single" w:sz="8" w:space="0" w:color="auto"/>
              <w:right w:val="nil"/>
            </w:tcBorders>
            <w:shd w:val="clear" w:color="auto" w:fill="auto"/>
            <w:noWrap/>
            <w:vAlign w:val="center"/>
            <w:hideMark/>
          </w:tcPr>
          <w:p w14:paraId="6D5F96F4"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1 191 334</w:t>
            </w:r>
          </w:p>
        </w:tc>
        <w:tc>
          <w:tcPr>
            <w:tcW w:w="850" w:type="dxa"/>
            <w:tcBorders>
              <w:top w:val="single" w:sz="4" w:space="0" w:color="auto"/>
              <w:left w:val="nil"/>
              <w:bottom w:val="single" w:sz="8" w:space="0" w:color="auto"/>
              <w:right w:val="nil"/>
            </w:tcBorders>
            <w:shd w:val="clear" w:color="000000" w:fill="FFFFFF"/>
            <w:noWrap/>
            <w:vAlign w:val="center"/>
            <w:hideMark/>
          </w:tcPr>
          <w:p w14:paraId="072F130B"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565 303</w:t>
            </w:r>
          </w:p>
        </w:tc>
        <w:tc>
          <w:tcPr>
            <w:tcW w:w="709" w:type="dxa"/>
            <w:tcBorders>
              <w:top w:val="single" w:sz="4" w:space="0" w:color="auto"/>
              <w:left w:val="nil"/>
              <w:bottom w:val="single" w:sz="8" w:space="0" w:color="auto"/>
              <w:right w:val="nil"/>
            </w:tcBorders>
            <w:shd w:val="clear" w:color="000000" w:fill="FFFFFF"/>
            <w:noWrap/>
            <w:vAlign w:val="center"/>
            <w:hideMark/>
          </w:tcPr>
          <w:p w14:paraId="33FA3EF9" w14:textId="77777777" w:rsidR="00EA177A" w:rsidRPr="001D2697" w:rsidRDefault="00EA177A" w:rsidP="00C704A7">
            <w:pPr>
              <w:spacing w:after="0" w:line="240" w:lineRule="auto"/>
              <w:jc w:val="right"/>
              <w:rPr>
                <w:rFonts w:eastAsia="Times New Roman" w:cs="Times New Roman"/>
                <w:b/>
                <w:bCs/>
                <w:sz w:val="18"/>
                <w:szCs w:val="18"/>
                <w:lang w:eastAsia="sk-SK"/>
              </w:rPr>
            </w:pPr>
            <w:r w:rsidRPr="001D2697">
              <w:rPr>
                <w:rFonts w:eastAsia="Times New Roman" w:cs="Times New Roman"/>
                <w:b/>
                <w:bCs/>
                <w:sz w:val="18"/>
                <w:szCs w:val="18"/>
                <w:lang w:eastAsia="sk-SK"/>
              </w:rPr>
              <w:t>60,1</w:t>
            </w:r>
          </w:p>
        </w:tc>
      </w:tr>
    </w:tbl>
    <w:p w14:paraId="40B13B11" w14:textId="77777777" w:rsidR="00EA177A" w:rsidRPr="00506ACB" w:rsidRDefault="00EA177A" w:rsidP="00EA177A">
      <w:pPr>
        <w:suppressAutoHyphens/>
        <w:rPr>
          <w:sz w:val="18"/>
          <w:szCs w:val="18"/>
        </w:rPr>
      </w:pPr>
      <w:r w:rsidRPr="00506ACB">
        <w:rPr>
          <w:sz w:val="18"/>
          <w:szCs w:val="18"/>
        </w:rPr>
        <w:t xml:space="preserve">Poznámka: * len prostriedky štátneho rozpočtu </w:t>
      </w:r>
      <w:r w:rsidRPr="00506ACB">
        <w:rPr>
          <w:sz w:val="18"/>
          <w:szCs w:val="18"/>
        </w:rPr>
        <w:tab/>
      </w:r>
      <w:r w:rsidRPr="00506ACB">
        <w:rPr>
          <w:sz w:val="18"/>
          <w:szCs w:val="18"/>
        </w:rPr>
        <w:tab/>
      </w:r>
      <w:r w:rsidRPr="00506ACB">
        <w:rPr>
          <w:sz w:val="18"/>
          <w:szCs w:val="18"/>
        </w:rPr>
        <w:tab/>
      </w:r>
      <w:r w:rsidRPr="00506ACB">
        <w:rPr>
          <w:sz w:val="18"/>
          <w:szCs w:val="18"/>
        </w:rPr>
        <w:tab/>
      </w:r>
      <w:r w:rsidRPr="00506ACB">
        <w:rPr>
          <w:sz w:val="18"/>
          <w:szCs w:val="18"/>
        </w:rPr>
        <w:tab/>
      </w:r>
      <w:r w:rsidRPr="00506ACB">
        <w:rPr>
          <w:sz w:val="18"/>
          <w:szCs w:val="18"/>
        </w:rPr>
        <w:tab/>
      </w:r>
      <w:r>
        <w:rPr>
          <w:sz w:val="18"/>
          <w:szCs w:val="18"/>
        </w:rPr>
        <w:t xml:space="preserve"> </w:t>
      </w:r>
      <w:r w:rsidRPr="00506ACB">
        <w:rPr>
          <w:sz w:val="18"/>
          <w:szCs w:val="18"/>
        </w:rPr>
        <w:t xml:space="preserve">        Zdroj: MF SR</w:t>
      </w:r>
    </w:p>
    <w:p w14:paraId="6A33C1E8" w14:textId="77777777" w:rsidR="00EA177A" w:rsidRPr="00506ACB" w:rsidRDefault="00EA177A" w:rsidP="00EA177A">
      <w:pPr>
        <w:suppressAutoHyphens/>
        <w:spacing w:after="0" w:line="360" w:lineRule="auto"/>
      </w:pPr>
      <w:r w:rsidRPr="00506ACB">
        <w:t xml:space="preserve">Na celkovom objeme poskytnutých grantov a transferov obciam sa najväčšou sumou každoročne podieľa </w:t>
      </w:r>
      <w:r w:rsidRPr="00506ACB">
        <w:rPr>
          <w:b/>
        </w:rPr>
        <w:t xml:space="preserve">Ministerstvo vnútra SR. </w:t>
      </w:r>
      <w:r w:rsidRPr="00506ACB">
        <w:t xml:space="preserve">V roku 2019 vynaložilo 1 046 728 tis. eur, čo je oproti schválenému rozpočtu viac o 200 148 tis. eur. Z celkovej sumy bolo v rámci bežných výdavkov vynaložených 1 000 033 tis. eur na úhradu nákladov preneseného výkonu štátnej správy na úseku školstva najmä v rámci programu Výchova a vzdelávanie mládeže na úhradu nákladov na poskytovanie výchovy, na vzdelávacie poukazy, na asistentov učiteľa, na úhradu nákladov na odstránenie havarijných stavov budov, na dopravné, na príspevok pre materské školy, na lyžiarske kurzy a iné. Kapitálové prostriedky boli poskytnuté obciam v čiastke 23 650 tis. eur najmä na projekty prioritnej osi 6 Technická vybavenosť v obciach s prítomnosťou marginalizovaných rómskych komunít v rámci Operačného programu Ľudské zdroje, a to na výstavbu a rekonštrukciu materských škôl, komunitných centier, podporu prístupu k pitnej vode, vybudovanie systému triedeného zberu a odvozu komunálneho odpadu. Ďalšie prostriedky boli vynaložené na riešenie havarijného stavu budov základných a materských škôl, ich kotolní, striech, projekty v oblasti prevencie kriminality, financovanie činností súvisiacich s bezpečnosťou cestnej premávky, podporu ochrany pred požiarmi a iné. Kapitálové prostriedky neboli pôvodne rozpočtované a úprava rozpočtu súvisela najmä s čerpaním prostriedkov EÚ a ŠR na spolufinancovanie na základe žiadostí o platbu od prijímateľov. Ďalšia úprava rozpočtu bola </w:t>
      </w:r>
      <w:r w:rsidRPr="00506ACB">
        <w:rPr>
          <w:color w:val="000000" w:themeColor="text1"/>
        </w:rPr>
        <w:t xml:space="preserve">vykonaná </w:t>
      </w:r>
      <w:r w:rsidRPr="00506ACB">
        <w:t xml:space="preserve">v programe Efektívna a spoľahlivá štátna správa, kde boli </w:t>
      </w:r>
      <w:r>
        <w:t>zrealizované</w:t>
      </w:r>
      <w:r w:rsidRPr="00506ACB">
        <w:t xml:space="preserve"> rozpočtové opatrenia na základe požiadaviek policajných, záchranných zložiek a verejnej správy z dôvodu poskytnutia finančných prostriedkov na rôzne účely.</w:t>
      </w:r>
    </w:p>
    <w:p w14:paraId="5EA2CD1A" w14:textId="77777777" w:rsidR="00EA177A" w:rsidRPr="00506ACB" w:rsidRDefault="00EA177A" w:rsidP="00EA177A">
      <w:pPr>
        <w:suppressAutoHyphens/>
        <w:spacing w:before="120" w:line="360" w:lineRule="auto"/>
      </w:pPr>
      <w:r w:rsidRPr="00506ACB">
        <w:rPr>
          <w:b/>
        </w:rPr>
        <w:t>Ministerstvo práce, sociálnych vecí a rodiny SR</w:t>
      </w:r>
      <w:r w:rsidRPr="00506ACB">
        <w:t xml:space="preserve"> poskytlo v podobe grantov a transferov pre obce celkovú sumu 122 504 tis. eur. Z toho čiastka 52 251 tis. eur tvorila príspevok mestám a obciam na spolufinancovanie sociálnych služieb pre zariadenia sociálnych služieb (najmä zariadenia pre seniorov, zariadenia opatrovateľskej služby, denné stacionáre, domovy sociálnych služieb, útulky a iné). Suma 51 870 tis. eur predstavovala úhradu dotácií na stravu podľa novely zákona č. 544/2010 Z. z. o dotáciách v pôsobnosti MPSVR SR pre všetky deti posledného ročníka materských škôl (jednorazovo na obdobie do 31. 8. 2019) a od 1. 9. 2019 aj pre deti, ktoré navštevovali základnú školu. Nakoľko </w:t>
      </w:r>
      <w:r>
        <w:t xml:space="preserve">uvedená novela zákona nebola </w:t>
      </w:r>
      <w:r w:rsidRPr="00506ACB">
        <w:t xml:space="preserve">v schválenom rozpočte na rok 2019 </w:t>
      </w:r>
      <w:r>
        <w:t xml:space="preserve">zapracovaná, </w:t>
      </w:r>
      <w:r w:rsidRPr="00506ACB">
        <w:t xml:space="preserve">prostriedky </w:t>
      </w:r>
      <w:r>
        <w:t>sa</w:t>
      </w:r>
      <w:r w:rsidRPr="00506ACB">
        <w:t xml:space="preserve"> poskytli v roku 2019 </w:t>
      </w:r>
      <w:r>
        <w:t>dvomi rozpočtovými opatreniami.</w:t>
      </w:r>
      <w:r>
        <w:br/>
      </w:r>
      <w:r w:rsidRPr="00506ACB">
        <w:t>Zo zdrojov EÚ a spolufinancovania zo ŠR bola poskytnutá čiastka</w:t>
      </w:r>
      <w:r w:rsidRPr="00506ACB">
        <w:rPr>
          <w:color w:val="FF0000"/>
        </w:rPr>
        <w:t xml:space="preserve"> </w:t>
      </w:r>
      <w:r w:rsidRPr="00506ACB">
        <w:t>12 209 tis. eur na národné projekty Operačného programu Ľudské zdroje. Suma 5 850 tis. eur tvorila dotáciu poskytovanú úradmi práce, sociálnych vecí a rodiny na podporu výchovy k stravovacím návykom a k plneniu školských povinností dieťaťa ohrozeného sociálnym vylúčením a na zabezpečenie výkonu osobitného príjemcu.</w:t>
      </w:r>
    </w:p>
    <w:p w14:paraId="26A346E6" w14:textId="77777777" w:rsidR="00EA177A" w:rsidRPr="00506ACB" w:rsidRDefault="00EA177A" w:rsidP="00EA177A">
      <w:pPr>
        <w:spacing w:before="120" w:after="0" w:line="360" w:lineRule="auto"/>
      </w:pPr>
      <w:r w:rsidRPr="00506ACB">
        <w:t xml:space="preserve">Z kapitoly </w:t>
      </w:r>
      <w:r w:rsidRPr="00506ACB">
        <w:rPr>
          <w:b/>
        </w:rPr>
        <w:t>Ministerstva životného prostredia SR</w:t>
      </w:r>
      <w:r w:rsidRPr="00506ACB">
        <w:t xml:space="preserve"> smerovala obciam suma 107 992 tis. eur najmä v rámci Operačného programu Kvalita životného prostredia. Tieto prostriedky sa použili na budovanie zberných dvorov v obciach, zavedenie alebo zefektívnenie triedeného odpadu, zber biologicky rozložiteľného odpadu a pod. Najväčší príjemcovia finančných prostriedkov boli obce Tekovské Lužany (5 775 tis. eur), Pohronská Polhora (5 425 tis. eur), Dvory nad Žitavou (3 867 tis. eur). Schválený rozpočet, prípadne rozpis uvoľnených zdrojov z minulých rokov sa nerozpisuje na konkrétne položky rozpočtu a presun prostriedkov na základe reálne predložených žiadostí o platbu sa zohľadňuje v upravenom rozpočte. Uvedené malo za následok zvýšenie rozpočtu oproti schválenému rozpočtu v celkovej sume skutočného čerpania. </w:t>
      </w:r>
    </w:p>
    <w:p w14:paraId="60E3A0F9" w14:textId="77777777" w:rsidR="00EA177A" w:rsidRPr="00506ACB" w:rsidRDefault="00EA177A" w:rsidP="00EA177A">
      <w:pPr>
        <w:spacing w:before="120" w:line="360" w:lineRule="auto"/>
      </w:pPr>
      <w:r w:rsidRPr="00506ACB">
        <w:t xml:space="preserve">Z rozpočtovej kapitoly </w:t>
      </w:r>
      <w:r w:rsidRPr="00506ACB">
        <w:rPr>
          <w:b/>
        </w:rPr>
        <w:t xml:space="preserve">Ministerstva pôdohospodárstva a rozvoja vidieka SR </w:t>
      </w:r>
      <w:r w:rsidRPr="00506ACB">
        <w:t>boli poskytnuté obciam celkové prostriedky v sume 84 458 tis. eur, z toho kapitálové transfery v celkovej sume 83 198 tis. eur. Išlo o poskytnutie finančných prostriedkov formou nenávratných finančných príspevkov z Európskeho fondu regionálneho rozvoja v čiastke 48 822 tis. eur (najmä na podporu projektov prioritných osí Integrovaného regionálneho operačného programu – bezpečná a ekologická doprava v regiónoch, zlepšenie kvality života v regiónoch s dôrazom na životné prostredie) a z Európskeho poľnohospodárskeho fondu pre rozvoj vidieka v čiastke 34 376 tis. eur (na podporu investícií do infraštruktúry súvisiacej s vývojom, modernizáciu alebo prispôsobenie poľnohospodárstva a lesného hospodárstva, podporu investícií do vytvárania, zlepšovania alebo rozširovania všetkých druhov infraštruktúr malých rozmerov vrátane investícií do energie z obnoviteľných zdrojov a úspor energie a ďalšie druhy podpory). Bežné transfery obciam boli poskytnuté v celkovej sume 1 260 tis. eur formou nenávratných finančných prostriedkov z Európskeho fondu regionálneho rozvoja, z Európskeho poľnohospodárskeho záručného fondu a z Európskeho poľnohospodárskeho fondu pre rozvoj vidieka.</w:t>
      </w:r>
    </w:p>
    <w:p w14:paraId="0C8BB997" w14:textId="77777777" w:rsidR="002E395C" w:rsidRDefault="00EA177A" w:rsidP="00EA177A">
      <w:pPr>
        <w:spacing w:line="360" w:lineRule="auto"/>
      </w:pPr>
      <w:r w:rsidRPr="00506ACB">
        <w:t xml:space="preserve">Z kapitoly </w:t>
      </w:r>
      <w:r w:rsidRPr="00506ACB">
        <w:rPr>
          <w:b/>
        </w:rPr>
        <w:t>Všeobecná pokladničná správa</w:t>
      </w:r>
      <w:r w:rsidRPr="00506ACB">
        <w:t xml:space="preserve"> boli obciam poskytnuté dotácie v celkovej čiastke 54 451 tis. eur, z toho zákonom o štátnom rozpočte bola určená na individuálne potreby obcí suma 10 376 tis. eur a na záchranu a obnovu kultúrnyc</w:t>
      </w:r>
      <w:r w:rsidR="002E395C">
        <w:t>h pamiatok suma 2 690 tis. eur.</w:t>
      </w:r>
    </w:p>
    <w:p w14:paraId="6EA27490" w14:textId="675B85F5" w:rsidR="00EA177A" w:rsidRPr="00506ACB" w:rsidRDefault="00EA177A" w:rsidP="00EA177A">
      <w:pPr>
        <w:spacing w:line="360" w:lineRule="auto"/>
      </w:pPr>
      <w:r w:rsidRPr="00506ACB">
        <w:t>Ostatné prostriedky boli uvoľnené na základe uznesení vlády SR. Väčšina z nich bola čerpaná v súlade so zákonom č. 336/2015 Z. z. o podpore najmenej rozvinutých okresov a o zmene a doplnení niektorých zákonov. Pre tento druh podpory sa vypracovávajú tzv. Akčné plány, ktorých návrh zo strany rady Úradu podpredsedu vlády SR pre investície a informatizáciu schvaľuje vláda SR</w:t>
      </w:r>
      <w:r>
        <w:t>.</w:t>
      </w:r>
      <w:r w:rsidRPr="00506ACB">
        <w:t xml:space="preserve"> Zoznam najmenej rozvinutých okresov vedie Ministerstvo práce, sociálnych vecí a rodiny SR podľa kritérií ustanovených vyššie spomenutým zákonom. V roku 2019 sa podporili na základe nových alebo už implementovaných akčných plánov okresy Snina, Levoča, Revúca, Rimavská Sobota, Gelnica, Sabinov, Medzilaborce, Bardejov, Trebišov, Vranov nad Topľou a ďalšie</w:t>
      </w:r>
      <w:r w:rsidRPr="00506ACB">
        <w:rPr>
          <w:rStyle w:val="Odkaznapoznmkupodiarou"/>
        </w:rPr>
        <w:footnoteReference w:id="27"/>
      </w:r>
      <w:r w:rsidRPr="00506ACB">
        <w:t xml:space="preserve">. </w:t>
      </w:r>
    </w:p>
    <w:p w14:paraId="695EAE3F" w14:textId="77777777" w:rsidR="00EA177A" w:rsidRPr="00506ACB" w:rsidRDefault="00EA177A" w:rsidP="00EA177A">
      <w:pPr>
        <w:spacing w:line="360" w:lineRule="auto"/>
      </w:pPr>
      <w:r w:rsidRPr="00506ACB">
        <w:t>Ďalšími prostriedkami kapitoly Všeobecnej pokladničnej správy boli podporené projekty na organizačné a finančné zabezpečenie podujatí k významným výročiam M. R. Štefánika v rokoch 2019 a 2020 (433 tis. eur), zabezpečenie osláv 75. výročia Slovenského národného povstania (328 tis. eur), riešenie krízovej situácie v obci Lekárovce (102 tis. eur).</w:t>
      </w:r>
    </w:p>
    <w:p w14:paraId="704FA37D" w14:textId="57FDDCFA" w:rsidR="00EA177A" w:rsidRDefault="00EA177A" w:rsidP="00EA177A">
      <w:pPr>
        <w:spacing w:line="360" w:lineRule="auto"/>
      </w:pPr>
      <w:r w:rsidRPr="00506ACB">
        <w:t xml:space="preserve">V kapitole </w:t>
      </w:r>
      <w:r w:rsidRPr="00506ACB">
        <w:rPr>
          <w:b/>
        </w:rPr>
        <w:t>Ministerstva dopravy a výstavby SR</w:t>
      </w:r>
      <w:r w:rsidRPr="00506ACB">
        <w:t xml:space="preserve"> bolo vo forme bežných a kapitálových grantov a transferov pre obce poukázaných 42 513 tis. eur. Na účel výstavby a obnovy bytového fondu bolo obciam poskytnutých 19 339 tis. eur, z toho na obstaranie nájomných bytov na účel sociálneho bývania vo výške 18 140 tis. eur</w:t>
      </w:r>
      <w:r>
        <w:t xml:space="preserve"> (2018: 26 344 tis. eur)</w:t>
      </w:r>
      <w:r w:rsidRPr="00506ACB">
        <w:t>, čím sa podporilo obstaranie 999 bytových jednotiek</w:t>
      </w:r>
      <w:r>
        <w:t xml:space="preserve"> (2018: 1 385)</w:t>
      </w:r>
      <w:r w:rsidRPr="00506ACB">
        <w:t xml:space="preserve"> a na obstaranie ich technickej vybavenosti v sume 1 199 tis. eur</w:t>
      </w:r>
      <w:r>
        <w:t xml:space="preserve"> (2018: 1 518 tis. eur)</w:t>
      </w:r>
      <w:r w:rsidRPr="00506ACB">
        <w:t>, čím sa podpo</w:t>
      </w:r>
      <w:r w:rsidR="003E2409">
        <w:t>rilo obstaranie, resp. užívanie</w:t>
      </w:r>
      <w:r w:rsidR="003E2409">
        <w:br/>
      </w:r>
      <w:r w:rsidRPr="00506ACB">
        <w:t>712 nájomných bytov. Na modernizáciu el</w:t>
      </w:r>
      <w:r>
        <w:t xml:space="preserve">ektričkových tratí v Košiciach </w:t>
      </w:r>
      <w:r w:rsidRPr="00506ACB">
        <w:t>bola poskytnutá suma 13 021 tis. eur. Ako dotácie na prenesený výkon štátnej správy b</w:t>
      </w:r>
      <w:r>
        <w:t>olo poskytnutých 8 508 tis. eur, z toho na úseku stavebného poriadku suma 7 108 tis. eur, na úseku bývania suma 1 165 tis. eur a na úseku dopravy suma 235 tis. eur.</w:t>
      </w:r>
      <w:r w:rsidRPr="00506ACB">
        <w:t xml:space="preserve"> </w:t>
      </w:r>
    </w:p>
    <w:p w14:paraId="3A3FF53C" w14:textId="77777777" w:rsidR="00EA177A" w:rsidRPr="00506ACB" w:rsidRDefault="00EA177A" w:rsidP="00EA177A">
      <w:pPr>
        <w:spacing w:line="360" w:lineRule="auto"/>
      </w:pPr>
      <w:r w:rsidRPr="00506ACB">
        <w:t xml:space="preserve">Z kapitoly </w:t>
      </w:r>
      <w:r w:rsidRPr="00506ACB">
        <w:rPr>
          <w:b/>
        </w:rPr>
        <w:t xml:space="preserve">Ministerstva školstva, vedy, výskumu a športu SR </w:t>
      </w:r>
      <w:r w:rsidRPr="00506ACB">
        <w:t>bola obciam poskytnutá celková čiastka 24 464 tis. eur, z toho bežné prostriedky v sume 22 155 tis. eur a kapitálové v sume 2 309 tis. eur. Najväčšia čiastka 22 092 tis. eur bola poskytnutá obciam a základným školám v zriaďovateľskej pôsobnosti obcí z Európskeho sociálneho fondu. Finančné prostriedky v sume 2 309 tis. eur boli poskytnuté ako dotácia na zlepšenie a revitalizáciu materiálno-technického zabezpečenia základných škôl v súvislosti s kapacitnými obmedzeniami, prevenciou a odstránením dvojzmennej prevádzky.</w:t>
      </w:r>
    </w:p>
    <w:p w14:paraId="42AFDE55" w14:textId="77777777" w:rsidR="00EA177A" w:rsidRPr="00506ACB" w:rsidRDefault="00EA177A" w:rsidP="00EA177A">
      <w:pPr>
        <w:spacing w:line="360" w:lineRule="auto"/>
      </w:pPr>
      <w:r w:rsidRPr="00506ACB">
        <w:rPr>
          <w:b/>
        </w:rPr>
        <w:t>Podľa zákona č. 564/2004 Z. z. o rozpočtovom určení výnosu dane z</w:t>
      </w:r>
      <w:r>
        <w:rPr>
          <w:b/>
        </w:rPr>
        <w:t> </w:t>
      </w:r>
      <w:r w:rsidRPr="00506ACB">
        <w:rPr>
          <w:b/>
        </w:rPr>
        <w:t>príjmov</w:t>
      </w:r>
      <w:r>
        <w:rPr>
          <w:b/>
        </w:rPr>
        <w:t xml:space="preserve"> </w:t>
      </w:r>
      <w:r w:rsidRPr="000D67FA">
        <w:rPr>
          <w:b/>
        </w:rPr>
        <w:t>bolo 70,0 %</w:t>
      </w:r>
      <w:r w:rsidRPr="00506ACB">
        <w:t xml:space="preserve"> </w:t>
      </w:r>
      <w:r w:rsidRPr="00506ACB">
        <w:rPr>
          <w:b/>
        </w:rPr>
        <w:t>z celkového výnosu dane z príjmov fyzických osôb</w:t>
      </w:r>
      <w:r w:rsidRPr="00506ACB">
        <w:t xml:space="preserve"> príjmom rozpočtov obcí</w:t>
      </w:r>
      <w:r>
        <w:t>,</w:t>
      </w:r>
      <w:r w:rsidRPr="00506ACB">
        <w:t xml:space="preserve"> rovnako ako aj v roku 2018. Skutočný prevod dane z príjmov fyzických osôb do rozpočtov obcí bol vykonaný vo výške 2 217 254 tis. eur vrátane zúčtovania za predchádzajúci rok (2018: 2 002 068 tis. eur). </w:t>
      </w:r>
    </w:p>
    <w:p w14:paraId="4AF02267" w14:textId="25C5C52A" w:rsidR="00EA177A" w:rsidRDefault="00EA177A" w:rsidP="00EA177A">
      <w:pPr>
        <w:rPr>
          <w:b/>
          <w:i/>
        </w:rPr>
      </w:pPr>
      <w:r w:rsidRPr="00506ACB">
        <w:rPr>
          <w:b/>
          <w:i/>
        </w:rPr>
        <w:t>Prehľad záväzných limitov dotácií obciam za rok 2019 je uvedený v tabuľkovej časti štátneho záverečného účtu SR, v tabuľke č. 20</w:t>
      </w:r>
      <w:r>
        <w:rPr>
          <w:b/>
          <w:i/>
        </w:rPr>
        <w:t>.</w:t>
      </w:r>
    </w:p>
    <w:p w14:paraId="34DF28EC" w14:textId="77777777" w:rsidR="000748F9" w:rsidRPr="00EA177A" w:rsidRDefault="000748F9" w:rsidP="00EA177A"/>
    <w:p w14:paraId="34F9F0CC" w14:textId="77777777" w:rsidR="008254BE" w:rsidRDefault="008254BE" w:rsidP="000748F9">
      <w:pPr>
        <w:pStyle w:val="Nadpis3"/>
      </w:pPr>
      <w:bookmarkStart w:id="50" w:name="_Toc6415649"/>
      <w:bookmarkStart w:id="51" w:name="_Toc39095180"/>
      <w:r>
        <w:t>Vzťahy štátneho rozpočtu k vyšším územným celkom</w:t>
      </w:r>
      <w:bookmarkEnd w:id="50"/>
      <w:bookmarkEnd w:id="51"/>
    </w:p>
    <w:p w14:paraId="128E9B8B" w14:textId="77777777" w:rsidR="00EA177A" w:rsidRDefault="00EA177A" w:rsidP="00EA177A">
      <w:pPr>
        <w:suppressAutoHyphens/>
        <w:spacing w:line="360" w:lineRule="auto"/>
      </w:pPr>
      <w:r>
        <w:t xml:space="preserve">V roku 2019 bolo zo štátneho rozpočtu do rozpočtov vyšších územných celkov poskytnutých celkovo 530 881 tis. eur vo forme bežných a kapitálových grantov a transferov, čo je oproti roku 2018 o 73 537 tis. eur viac. Bežné granty a transfery tvorili sumu 478 070 tis. eur a kapitálové granty a transfery čiastku 52 811 tis. eur. </w:t>
      </w:r>
    </w:p>
    <w:p w14:paraId="3F168182" w14:textId="74D88AF7" w:rsidR="000748F9" w:rsidRDefault="00EA177A" w:rsidP="00C60C49">
      <w:pPr>
        <w:suppressAutoHyphens/>
      </w:pPr>
      <w:r>
        <w:t xml:space="preserve">Granty a transfery zo zdroja 111 boli poskytnuté z jednotlivých kapitol v celkovej sume 475 458 tis. eur, z toho bežné granty a transfery v čiastke 472 993 tis. eur a kapitálové granty a transfery v čiastke 2 465 tis. eur. </w:t>
      </w:r>
      <w:r w:rsidRPr="000E6851">
        <w:rPr>
          <w:color w:val="000000" w:themeColor="text1"/>
        </w:rPr>
        <w:t xml:space="preserve">Na financovanie kompetencií preneseného výkonu štátnej správy bolo poskytnutých 471 446 tis. eur </w:t>
      </w:r>
      <w:r w:rsidRPr="00C639D7">
        <w:rPr>
          <w:color w:val="000000" w:themeColor="text1"/>
        </w:rPr>
        <w:t xml:space="preserve">(2018: 429 774 tis. eur) v celej čiastke </w:t>
      </w:r>
      <w:r>
        <w:rPr>
          <w:color w:val="000000" w:themeColor="text1"/>
        </w:rPr>
        <w:t>z</w:t>
      </w:r>
      <w:r w:rsidRPr="00C639D7">
        <w:rPr>
          <w:color w:val="000000" w:themeColor="text1"/>
        </w:rPr>
        <w:t> kapitol</w:t>
      </w:r>
      <w:r>
        <w:rPr>
          <w:color w:val="000000" w:themeColor="text1"/>
        </w:rPr>
        <w:t>y</w:t>
      </w:r>
      <w:r w:rsidRPr="00C639D7">
        <w:rPr>
          <w:color w:val="000000" w:themeColor="text1"/>
        </w:rPr>
        <w:t xml:space="preserve"> Ministerstva školstva, vedy, výskumu a športu SR.</w:t>
      </w:r>
    </w:p>
    <w:p w14:paraId="6E3E723B" w14:textId="7031BC6C" w:rsidR="00EA177A" w:rsidRDefault="00EA177A" w:rsidP="00EA177A">
      <w:pPr>
        <w:suppressAutoHyphens/>
      </w:pPr>
      <w:r>
        <w:t>Súhrnný prehľad grantov a transferov poskytnutých VÚC podľa jednotlivých oddielov funkčnej klasifikácie poskytujú údaje v nasledujúcej tabuľke:</w:t>
      </w:r>
    </w:p>
    <w:tbl>
      <w:tblPr>
        <w:tblW w:w="8520" w:type="dxa"/>
        <w:tblLayout w:type="fixed"/>
        <w:tblCellMar>
          <w:left w:w="70" w:type="dxa"/>
          <w:right w:w="70" w:type="dxa"/>
        </w:tblCellMar>
        <w:tblLook w:val="04A0" w:firstRow="1" w:lastRow="0" w:firstColumn="1" w:lastColumn="0" w:noHBand="0" w:noVBand="1"/>
      </w:tblPr>
      <w:tblGrid>
        <w:gridCol w:w="2566"/>
        <w:gridCol w:w="851"/>
        <w:gridCol w:w="850"/>
        <w:gridCol w:w="993"/>
        <w:gridCol w:w="850"/>
        <w:gridCol w:w="851"/>
        <w:gridCol w:w="850"/>
        <w:gridCol w:w="709"/>
      </w:tblGrid>
      <w:tr w:rsidR="00EA177A" w:rsidRPr="000748F9" w14:paraId="67581A26" w14:textId="77777777" w:rsidTr="00C60C49">
        <w:trPr>
          <w:trHeight w:val="393"/>
        </w:trPr>
        <w:tc>
          <w:tcPr>
            <w:tcW w:w="8520" w:type="dxa"/>
            <w:gridSpan w:val="8"/>
            <w:tcBorders>
              <w:top w:val="nil"/>
              <w:left w:val="single" w:sz="8" w:space="0" w:color="auto"/>
              <w:bottom w:val="nil"/>
              <w:right w:val="nil"/>
            </w:tcBorders>
            <w:shd w:val="clear" w:color="000000" w:fill="000000"/>
            <w:vAlign w:val="center"/>
            <w:hideMark/>
          </w:tcPr>
          <w:p w14:paraId="6CB142AF" w14:textId="75F70CAD" w:rsidR="00EA177A" w:rsidRPr="000748F9" w:rsidRDefault="00EA177A" w:rsidP="00C704A7">
            <w:pPr>
              <w:spacing w:after="0" w:line="240" w:lineRule="auto"/>
              <w:jc w:val="left"/>
              <w:rPr>
                <w:rFonts w:eastAsia="Times New Roman" w:cs="Times New Roman"/>
                <w:b/>
                <w:bCs/>
                <w:color w:val="FFFFFF"/>
                <w:sz w:val="18"/>
                <w:szCs w:val="18"/>
                <w:lang w:eastAsia="sk-SK"/>
              </w:rPr>
            </w:pPr>
            <w:bookmarkStart w:id="52" w:name="RANGE!B5:I17"/>
            <w:r w:rsidRPr="000748F9">
              <w:rPr>
                <w:rFonts w:eastAsia="Times New Roman" w:cs="Times New Roman"/>
                <w:b/>
                <w:bCs/>
                <w:color w:val="FFFFFF"/>
                <w:sz w:val="18"/>
                <w:szCs w:val="18"/>
                <w:lang w:eastAsia="sk-SK"/>
              </w:rPr>
              <w:t>Granty a transfery poskytnuté VÚC podľa funkčnej klasifikácie</w:t>
            </w:r>
            <w:bookmarkEnd w:id="52"/>
            <w:r w:rsidRPr="000748F9">
              <w:rPr>
                <w:rFonts w:eastAsia="Times New Roman" w:cs="Times New Roman"/>
                <w:b/>
                <w:bCs/>
                <w:color w:val="FFFFFF"/>
                <w:sz w:val="18"/>
                <w:szCs w:val="18"/>
                <w:lang w:eastAsia="sk-SK"/>
              </w:rPr>
              <w:t xml:space="preserve">                                                </w:t>
            </w:r>
            <w:r w:rsidR="000748F9">
              <w:rPr>
                <w:rFonts w:eastAsia="Times New Roman" w:cs="Times New Roman"/>
                <w:b/>
                <w:bCs/>
                <w:color w:val="FFFFFF"/>
                <w:sz w:val="18"/>
                <w:szCs w:val="18"/>
                <w:lang w:eastAsia="sk-SK"/>
              </w:rPr>
              <w:t xml:space="preserve">         </w:t>
            </w:r>
            <w:r w:rsidRPr="000748F9">
              <w:rPr>
                <w:rFonts w:eastAsia="Times New Roman" w:cs="Times New Roman"/>
                <w:b/>
                <w:bCs/>
                <w:color w:val="FFFFFF"/>
                <w:sz w:val="18"/>
                <w:szCs w:val="18"/>
                <w:lang w:eastAsia="sk-SK"/>
              </w:rPr>
              <w:t>v tis. eur</w:t>
            </w:r>
          </w:p>
        </w:tc>
      </w:tr>
      <w:tr w:rsidR="00EA177A" w:rsidRPr="000748F9" w14:paraId="429254C3" w14:textId="77777777" w:rsidTr="000748F9">
        <w:trPr>
          <w:trHeight w:val="510"/>
        </w:trPr>
        <w:tc>
          <w:tcPr>
            <w:tcW w:w="2566" w:type="dxa"/>
            <w:tcBorders>
              <w:top w:val="nil"/>
              <w:left w:val="nil"/>
              <w:bottom w:val="nil"/>
              <w:right w:val="nil"/>
            </w:tcBorders>
            <w:shd w:val="clear" w:color="000000" w:fill="BFBFBF"/>
            <w:vAlign w:val="center"/>
            <w:hideMark/>
          </w:tcPr>
          <w:p w14:paraId="39F01745" w14:textId="77777777" w:rsidR="00EA177A" w:rsidRPr="000748F9" w:rsidRDefault="00EA177A" w:rsidP="00C704A7">
            <w:pPr>
              <w:spacing w:after="0" w:line="240" w:lineRule="auto"/>
              <w:jc w:val="left"/>
              <w:rPr>
                <w:rFonts w:eastAsia="Times New Roman" w:cs="Times New Roman"/>
                <w:b/>
                <w:bCs/>
                <w:color w:val="FFFFFF"/>
                <w:sz w:val="18"/>
                <w:szCs w:val="18"/>
                <w:lang w:eastAsia="sk-SK"/>
              </w:rPr>
            </w:pPr>
            <w:r w:rsidRPr="000748F9">
              <w:rPr>
                <w:rFonts w:eastAsia="Times New Roman" w:cs="Times New Roman"/>
                <w:b/>
                <w:bCs/>
                <w:color w:val="FFFFFF"/>
                <w:sz w:val="18"/>
                <w:szCs w:val="18"/>
                <w:lang w:eastAsia="sk-SK"/>
              </w:rPr>
              <w:t> </w:t>
            </w:r>
          </w:p>
        </w:tc>
        <w:tc>
          <w:tcPr>
            <w:tcW w:w="1701" w:type="dxa"/>
            <w:gridSpan w:val="2"/>
            <w:tcBorders>
              <w:top w:val="nil"/>
              <w:left w:val="nil"/>
              <w:bottom w:val="nil"/>
              <w:right w:val="nil"/>
            </w:tcBorders>
            <w:shd w:val="clear" w:color="000000" w:fill="BFBFBF"/>
            <w:vAlign w:val="center"/>
            <w:hideMark/>
          </w:tcPr>
          <w:p w14:paraId="4AB98862"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Skutočnosť</w:t>
            </w:r>
          </w:p>
        </w:tc>
        <w:tc>
          <w:tcPr>
            <w:tcW w:w="993" w:type="dxa"/>
            <w:tcBorders>
              <w:top w:val="nil"/>
              <w:left w:val="nil"/>
              <w:bottom w:val="nil"/>
              <w:right w:val="nil"/>
            </w:tcBorders>
            <w:shd w:val="clear" w:color="000000" w:fill="BFBFBF"/>
            <w:vAlign w:val="center"/>
            <w:hideMark/>
          </w:tcPr>
          <w:p w14:paraId="4AB1FB08"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Rozpočet</w:t>
            </w:r>
          </w:p>
        </w:tc>
        <w:tc>
          <w:tcPr>
            <w:tcW w:w="1701" w:type="dxa"/>
            <w:gridSpan w:val="2"/>
            <w:tcBorders>
              <w:top w:val="nil"/>
              <w:left w:val="nil"/>
              <w:bottom w:val="nil"/>
              <w:right w:val="nil"/>
            </w:tcBorders>
            <w:shd w:val="clear" w:color="000000" w:fill="BFBFBF"/>
            <w:vAlign w:val="center"/>
            <w:hideMark/>
          </w:tcPr>
          <w:p w14:paraId="28F83D2C"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Skutočnosť</w:t>
            </w:r>
          </w:p>
        </w:tc>
        <w:tc>
          <w:tcPr>
            <w:tcW w:w="1559" w:type="dxa"/>
            <w:gridSpan w:val="2"/>
            <w:tcBorders>
              <w:top w:val="nil"/>
              <w:left w:val="nil"/>
              <w:bottom w:val="nil"/>
              <w:right w:val="nil"/>
            </w:tcBorders>
            <w:shd w:val="clear" w:color="000000" w:fill="BFBFBF"/>
            <w:vAlign w:val="center"/>
            <w:hideMark/>
          </w:tcPr>
          <w:p w14:paraId="564F7D9A"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Rozdiel</w:t>
            </w:r>
          </w:p>
        </w:tc>
      </w:tr>
      <w:tr w:rsidR="00EA177A" w:rsidRPr="000748F9" w14:paraId="2FF0B843" w14:textId="77777777" w:rsidTr="000748F9">
        <w:trPr>
          <w:trHeight w:val="510"/>
        </w:trPr>
        <w:tc>
          <w:tcPr>
            <w:tcW w:w="2566" w:type="dxa"/>
            <w:tcBorders>
              <w:top w:val="nil"/>
              <w:left w:val="nil"/>
              <w:bottom w:val="nil"/>
              <w:right w:val="nil"/>
            </w:tcBorders>
            <w:shd w:val="clear" w:color="000000" w:fill="BFBFBF"/>
            <w:vAlign w:val="center"/>
            <w:hideMark/>
          </w:tcPr>
          <w:p w14:paraId="02CA9230"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 </w:t>
            </w:r>
          </w:p>
        </w:tc>
        <w:tc>
          <w:tcPr>
            <w:tcW w:w="851" w:type="dxa"/>
            <w:tcBorders>
              <w:top w:val="nil"/>
              <w:left w:val="nil"/>
              <w:bottom w:val="nil"/>
              <w:right w:val="nil"/>
            </w:tcBorders>
            <w:shd w:val="clear" w:color="000000" w:fill="BFBFBF"/>
            <w:vAlign w:val="center"/>
            <w:hideMark/>
          </w:tcPr>
          <w:p w14:paraId="3056EAA5"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2017</w:t>
            </w:r>
          </w:p>
        </w:tc>
        <w:tc>
          <w:tcPr>
            <w:tcW w:w="850" w:type="dxa"/>
            <w:tcBorders>
              <w:top w:val="nil"/>
              <w:left w:val="nil"/>
              <w:bottom w:val="nil"/>
              <w:right w:val="nil"/>
            </w:tcBorders>
            <w:shd w:val="clear" w:color="000000" w:fill="BFBFBF"/>
            <w:vAlign w:val="center"/>
            <w:hideMark/>
          </w:tcPr>
          <w:p w14:paraId="1174800F"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2018</w:t>
            </w:r>
          </w:p>
        </w:tc>
        <w:tc>
          <w:tcPr>
            <w:tcW w:w="993" w:type="dxa"/>
            <w:tcBorders>
              <w:top w:val="nil"/>
              <w:left w:val="nil"/>
              <w:bottom w:val="nil"/>
              <w:right w:val="nil"/>
            </w:tcBorders>
            <w:shd w:val="clear" w:color="000000" w:fill="BFBFBF"/>
            <w:vAlign w:val="center"/>
            <w:hideMark/>
          </w:tcPr>
          <w:p w14:paraId="3D6167D6"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2019</w:t>
            </w:r>
          </w:p>
        </w:tc>
        <w:tc>
          <w:tcPr>
            <w:tcW w:w="850" w:type="dxa"/>
            <w:tcBorders>
              <w:top w:val="nil"/>
              <w:left w:val="nil"/>
              <w:bottom w:val="nil"/>
              <w:right w:val="nil"/>
            </w:tcBorders>
            <w:shd w:val="clear" w:color="000000" w:fill="BFBFBF"/>
            <w:vAlign w:val="center"/>
            <w:hideMark/>
          </w:tcPr>
          <w:p w14:paraId="5CD952E9"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2019</w:t>
            </w:r>
          </w:p>
        </w:tc>
        <w:tc>
          <w:tcPr>
            <w:tcW w:w="851" w:type="dxa"/>
            <w:tcBorders>
              <w:top w:val="nil"/>
              <w:left w:val="nil"/>
              <w:bottom w:val="nil"/>
              <w:right w:val="nil"/>
            </w:tcBorders>
            <w:shd w:val="clear" w:color="000000" w:fill="BFBFBF"/>
            <w:vAlign w:val="center"/>
            <w:hideMark/>
          </w:tcPr>
          <w:p w14:paraId="184E8A24"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z toho: zdroj 111</w:t>
            </w:r>
            <w:r w:rsidRPr="000748F9">
              <w:rPr>
                <w:rFonts w:ascii="Arial Narrow" w:eastAsia="Times New Roman" w:hAnsi="Arial Narrow" w:cs="Times New Roman"/>
                <w:b/>
                <w:bCs/>
                <w:color w:val="000000"/>
                <w:sz w:val="18"/>
                <w:szCs w:val="18"/>
                <w:lang w:eastAsia="sk-SK"/>
              </w:rPr>
              <w:t>*</w:t>
            </w:r>
          </w:p>
        </w:tc>
        <w:tc>
          <w:tcPr>
            <w:tcW w:w="850" w:type="dxa"/>
            <w:tcBorders>
              <w:top w:val="nil"/>
              <w:left w:val="nil"/>
              <w:bottom w:val="nil"/>
              <w:right w:val="nil"/>
            </w:tcBorders>
            <w:shd w:val="clear" w:color="000000" w:fill="BFBFBF"/>
            <w:vAlign w:val="center"/>
            <w:hideMark/>
          </w:tcPr>
          <w:p w14:paraId="18164439"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 xml:space="preserve"> v tis. eur</w:t>
            </w:r>
          </w:p>
        </w:tc>
        <w:tc>
          <w:tcPr>
            <w:tcW w:w="709" w:type="dxa"/>
            <w:tcBorders>
              <w:top w:val="nil"/>
              <w:left w:val="nil"/>
              <w:bottom w:val="nil"/>
              <w:right w:val="nil"/>
            </w:tcBorders>
            <w:shd w:val="clear" w:color="000000" w:fill="BFBFBF"/>
            <w:vAlign w:val="center"/>
            <w:hideMark/>
          </w:tcPr>
          <w:p w14:paraId="2943FA94"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v %</w:t>
            </w:r>
          </w:p>
        </w:tc>
      </w:tr>
      <w:tr w:rsidR="00EA177A" w:rsidRPr="000748F9" w14:paraId="1C2970B6" w14:textId="77777777" w:rsidTr="000748F9">
        <w:trPr>
          <w:trHeight w:val="345"/>
        </w:trPr>
        <w:tc>
          <w:tcPr>
            <w:tcW w:w="2566" w:type="dxa"/>
            <w:tcBorders>
              <w:top w:val="nil"/>
              <w:left w:val="nil"/>
              <w:bottom w:val="single" w:sz="8" w:space="0" w:color="auto"/>
              <w:right w:val="nil"/>
            </w:tcBorders>
            <w:shd w:val="clear" w:color="000000" w:fill="BFBFBF"/>
            <w:vAlign w:val="center"/>
            <w:hideMark/>
          </w:tcPr>
          <w:p w14:paraId="40D9BA88" w14:textId="77777777" w:rsidR="00EA177A" w:rsidRPr="000748F9" w:rsidRDefault="00EA177A" w:rsidP="00C704A7">
            <w:pPr>
              <w:spacing w:after="0" w:line="240" w:lineRule="auto"/>
              <w:jc w:val="left"/>
              <w:rPr>
                <w:rFonts w:eastAsia="Times New Roman" w:cs="Times New Roman"/>
                <w:b/>
                <w:bCs/>
                <w:color w:val="FFFFFF"/>
                <w:sz w:val="18"/>
                <w:szCs w:val="18"/>
                <w:lang w:eastAsia="sk-SK"/>
              </w:rPr>
            </w:pPr>
            <w:r w:rsidRPr="000748F9">
              <w:rPr>
                <w:rFonts w:eastAsia="Times New Roman" w:cs="Times New Roman"/>
                <w:b/>
                <w:bCs/>
                <w:color w:val="FFFFFF"/>
                <w:sz w:val="18"/>
                <w:szCs w:val="18"/>
                <w:lang w:eastAsia="sk-SK"/>
              </w:rPr>
              <w:t> </w:t>
            </w:r>
          </w:p>
        </w:tc>
        <w:tc>
          <w:tcPr>
            <w:tcW w:w="851" w:type="dxa"/>
            <w:tcBorders>
              <w:top w:val="nil"/>
              <w:left w:val="nil"/>
              <w:bottom w:val="single" w:sz="8" w:space="0" w:color="auto"/>
              <w:right w:val="nil"/>
            </w:tcBorders>
            <w:shd w:val="clear" w:color="000000" w:fill="BFBFBF"/>
            <w:vAlign w:val="center"/>
            <w:hideMark/>
          </w:tcPr>
          <w:p w14:paraId="7BD5C53A"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1</w:t>
            </w:r>
          </w:p>
        </w:tc>
        <w:tc>
          <w:tcPr>
            <w:tcW w:w="850" w:type="dxa"/>
            <w:tcBorders>
              <w:top w:val="nil"/>
              <w:left w:val="nil"/>
              <w:bottom w:val="single" w:sz="8" w:space="0" w:color="auto"/>
              <w:right w:val="nil"/>
            </w:tcBorders>
            <w:shd w:val="clear" w:color="000000" w:fill="BFBFBF"/>
            <w:vAlign w:val="center"/>
            <w:hideMark/>
          </w:tcPr>
          <w:p w14:paraId="52FC2965"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2</w:t>
            </w:r>
          </w:p>
        </w:tc>
        <w:tc>
          <w:tcPr>
            <w:tcW w:w="993" w:type="dxa"/>
            <w:tcBorders>
              <w:top w:val="nil"/>
              <w:left w:val="nil"/>
              <w:bottom w:val="single" w:sz="8" w:space="0" w:color="auto"/>
              <w:right w:val="nil"/>
            </w:tcBorders>
            <w:shd w:val="clear" w:color="000000" w:fill="BFBFBF"/>
            <w:vAlign w:val="center"/>
            <w:hideMark/>
          </w:tcPr>
          <w:p w14:paraId="2ECCF41D"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3</w:t>
            </w:r>
          </w:p>
        </w:tc>
        <w:tc>
          <w:tcPr>
            <w:tcW w:w="850" w:type="dxa"/>
            <w:tcBorders>
              <w:top w:val="nil"/>
              <w:left w:val="nil"/>
              <w:bottom w:val="single" w:sz="8" w:space="0" w:color="auto"/>
              <w:right w:val="nil"/>
            </w:tcBorders>
            <w:shd w:val="clear" w:color="000000" w:fill="BFBFBF"/>
            <w:vAlign w:val="center"/>
            <w:hideMark/>
          </w:tcPr>
          <w:p w14:paraId="07BDD002"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4</w:t>
            </w:r>
          </w:p>
        </w:tc>
        <w:tc>
          <w:tcPr>
            <w:tcW w:w="851" w:type="dxa"/>
            <w:tcBorders>
              <w:top w:val="nil"/>
              <w:left w:val="nil"/>
              <w:bottom w:val="single" w:sz="8" w:space="0" w:color="auto"/>
              <w:right w:val="nil"/>
            </w:tcBorders>
            <w:shd w:val="clear" w:color="000000" w:fill="BFBFBF"/>
            <w:vAlign w:val="center"/>
            <w:hideMark/>
          </w:tcPr>
          <w:p w14:paraId="17E19D8B"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5</w:t>
            </w:r>
          </w:p>
        </w:tc>
        <w:tc>
          <w:tcPr>
            <w:tcW w:w="850" w:type="dxa"/>
            <w:tcBorders>
              <w:top w:val="nil"/>
              <w:left w:val="nil"/>
              <w:bottom w:val="single" w:sz="8" w:space="0" w:color="auto"/>
              <w:right w:val="nil"/>
            </w:tcBorders>
            <w:shd w:val="clear" w:color="000000" w:fill="BFBFBF"/>
            <w:vAlign w:val="center"/>
            <w:hideMark/>
          </w:tcPr>
          <w:p w14:paraId="4565958B"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6=4-3</w:t>
            </w:r>
          </w:p>
        </w:tc>
        <w:tc>
          <w:tcPr>
            <w:tcW w:w="709" w:type="dxa"/>
            <w:tcBorders>
              <w:top w:val="nil"/>
              <w:left w:val="nil"/>
              <w:bottom w:val="single" w:sz="8" w:space="0" w:color="auto"/>
              <w:right w:val="nil"/>
            </w:tcBorders>
            <w:shd w:val="clear" w:color="000000" w:fill="BFBFBF"/>
            <w:vAlign w:val="center"/>
            <w:hideMark/>
          </w:tcPr>
          <w:p w14:paraId="6526CA3D"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7=4-3</w:t>
            </w:r>
          </w:p>
        </w:tc>
      </w:tr>
      <w:tr w:rsidR="00EA177A" w:rsidRPr="000748F9" w14:paraId="5BC952B1" w14:textId="77777777" w:rsidTr="0044781D">
        <w:trPr>
          <w:trHeight w:val="330"/>
        </w:trPr>
        <w:tc>
          <w:tcPr>
            <w:tcW w:w="2566" w:type="dxa"/>
            <w:tcBorders>
              <w:top w:val="nil"/>
              <w:left w:val="nil"/>
              <w:bottom w:val="nil"/>
              <w:right w:val="nil"/>
            </w:tcBorders>
            <w:shd w:val="clear" w:color="000000" w:fill="FFFFFF"/>
            <w:vAlign w:val="center"/>
            <w:hideMark/>
          </w:tcPr>
          <w:p w14:paraId="7CD5B4D4"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Vzdelávanie</w:t>
            </w:r>
          </w:p>
        </w:tc>
        <w:tc>
          <w:tcPr>
            <w:tcW w:w="851" w:type="dxa"/>
            <w:tcBorders>
              <w:top w:val="nil"/>
              <w:left w:val="nil"/>
              <w:bottom w:val="nil"/>
              <w:right w:val="nil"/>
            </w:tcBorders>
            <w:shd w:val="clear" w:color="000000" w:fill="FFFFFF"/>
            <w:noWrap/>
            <w:vAlign w:val="center"/>
            <w:hideMark/>
          </w:tcPr>
          <w:p w14:paraId="2D872A7E"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425 600</w:t>
            </w:r>
          </w:p>
        </w:tc>
        <w:tc>
          <w:tcPr>
            <w:tcW w:w="850" w:type="dxa"/>
            <w:tcBorders>
              <w:top w:val="nil"/>
              <w:left w:val="nil"/>
              <w:bottom w:val="nil"/>
              <w:right w:val="nil"/>
            </w:tcBorders>
            <w:shd w:val="clear" w:color="000000" w:fill="FFFFFF"/>
            <w:noWrap/>
            <w:vAlign w:val="center"/>
            <w:hideMark/>
          </w:tcPr>
          <w:p w14:paraId="3575F8D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434 220</w:t>
            </w:r>
          </w:p>
        </w:tc>
        <w:tc>
          <w:tcPr>
            <w:tcW w:w="993" w:type="dxa"/>
            <w:tcBorders>
              <w:top w:val="nil"/>
              <w:left w:val="nil"/>
              <w:bottom w:val="nil"/>
              <w:right w:val="nil"/>
            </w:tcBorders>
            <w:shd w:val="clear" w:color="000000" w:fill="FFFFFF"/>
            <w:noWrap/>
            <w:vAlign w:val="center"/>
            <w:hideMark/>
          </w:tcPr>
          <w:p w14:paraId="09D749F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488 813</w:t>
            </w:r>
          </w:p>
        </w:tc>
        <w:tc>
          <w:tcPr>
            <w:tcW w:w="850" w:type="dxa"/>
            <w:tcBorders>
              <w:top w:val="nil"/>
              <w:left w:val="nil"/>
              <w:bottom w:val="nil"/>
              <w:right w:val="nil"/>
            </w:tcBorders>
            <w:shd w:val="clear" w:color="000000" w:fill="BFBFBF"/>
            <w:noWrap/>
            <w:vAlign w:val="center"/>
            <w:hideMark/>
          </w:tcPr>
          <w:p w14:paraId="233E1D2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474 510</w:t>
            </w:r>
          </w:p>
        </w:tc>
        <w:tc>
          <w:tcPr>
            <w:tcW w:w="851" w:type="dxa"/>
            <w:tcBorders>
              <w:top w:val="nil"/>
              <w:left w:val="nil"/>
              <w:bottom w:val="nil"/>
              <w:right w:val="nil"/>
            </w:tcBorders>
            <w:shd w:val="clear" w:color="auto" w:fill="auto"/>
            <w:noWrap/>
            <w:vAlign w:val="center"/>
            <w:hideMark/>
          </w:tcPr>
          <w:p w14:paraId="20F0CAB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471 492</w:t>
            </w:r>
          </w:p>
        </w:tc>
        <w:tc>
          <w:tcPr>
            <w:tcW w:w="850" w:type="dxa"/>
            <w:tcBorders>
              <w:top w:val="nil"/>
              <w:left w:val="nil"/>
              <w:bottom w:val="nil"/>
              <w:right w:val="nil"/>
            </w:tcBorders>
            <w:shd w:val="clear" w:color="000000" w:fill="FFFFFF"/>
            <w:vAlign w:val="center"/>
            <w:hideMark/>
          </w:tcPr>
          <w:p w14:paraId="509CAF4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-14 303</w:t>
            </w:r>
          </w:p>
        </w:tc>
        <w:tc>
          <w:tcPr>
            <w:tcW w:w="709" w:type="dxa"/>
            <w:tcBorders>
              <w:top w:val="nil"/>
              <w:left w:val="nil"/>
              <w:bottom w:val="nil"/>
              <w:right w:val="nil"/>
            </w:tcBorders>
            <w:shd w:val="clear" w:color="000000" w:fill="FFFFFF"/>
            <w:vAlign w:val="center"/>
            <w:hideMark/>
          </w:tcPr>
          <w:p w14:paraId="25FC515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-2,9</w:t>
            </w:r>
          </w:p>
        </w:tc>
      </w:tr>
      <w:tr w:rsidR="00EA177A" w:rsidRPr="000748F9" w14:paraId="6DF719F8" w14:textId="77777777" w:rsidTr="0044781D">
        <w:trPr>
          <w:trHeight w:val="330"/>
        </w:trPr>
        <w:tc>
          <w:tcPr>
            <w:tcW w:w="2566" w:type="dxa"/>
            <w:tcBorders>
              <w:top w:val="nil"/>
              <w:left w:val="nil"/>
              <w:bottom w:val="nil"/>
              <w:right w:val="nil"/>
            </w:tcBorders>
            <w:shd w:val="clear" w:color="000000" w:fill="FFFFFF"/>
            <w:noWrap/>
            <w:vAlign w:val="center"/>
            <w:hideMark/>
          </w:tcPr>
          <w:p w14:paraId="55763335"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Ekonomická oblasť</w:t>
            </w:r>
          </w:p>
        </w:tc>
        <w:tc>
          <w:tcPr>
            <w:tcW w:w="851" w:type="dxa"/>
            <w:tcBorders>
              <w:top w:val="nil"/>
              <w:left w:val="nil"/>
              <w:bottom w:val="nil"/>
              <w:right w:val="nil"/>
            </w:tcBorders>
            <w:shd w:val="clear" w:color="000000" w:fill="FFFFFF"/>
            <w:noWrap/>
            <w:vAlign w:val="center"/>
            <w:hideMark/>
          </w:tcPr>
          <w:p w14:paraId="3297491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2 662</w:t>
            </w:r>
          </w:p>
        </w:tc>
        <w:tc>
          <w:tcPr>
            <w:tcW w:w="850" w:type="dxa"/>
            <w:tcBorders>
              <w:top w:val="nil"/>
              <w:left w:val="nil"/>
              <w:bottom w:val="nil"/>
              <w:right w:val="nil"/>
            </w:tcBorders>
            <w:shd w:val="clear" w:color="000000" w:fill="FFFFFF"/>
            <w:noWrap/>
            <w:vAlign w:val="center"/>
            <w:hideMark/>
          </w:tcPr>
          <w:p w14:paraId="70DC43E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14 597</w:t>
            </w:r>
          </w:p>
        </w:tc>
        <w:tc>
          <w:tcPr>
            <w:tcW w:w="993" w:type="dxa"/>
            <w:tcBorders>
              <w:top w:val="nil"/>
              <w:left w:val="nil"/>
              <w:bottom w:val="nil"/>
              <w:right w:val="nil"/>
            </w:tcBorders>
            <w:shd w:val="clear" w:color="000000" w:fill="FFFFFF"/>
            <w:noWrap/>
            <w:vAlign w:val="center"/>
            <w:hideMark/>
          </w:tcPr>
          <w:p w14:paraId="4D2616D6"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4946FDD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49 321</w:t>
            </w:r>
          </w:p>
        </w:tc>
        <w:tc>
          <w:tcPr>
            <w:tcW w:w="851" w:type="dxa"/>
            <w:tcBorders>
              <w:top w:val="nil"/>
              <w:left w:val="nil"/>
              <w:bottom w:val="nil"/>
              <w:right w:val="nil"/>
            </w:tcBorders>
            <w:shd w:val="clear" w:color="auto" w:fill="auto"/>
            <w:noWrap/>
            <w:vAlign w:val="center"/>
            <w:hideMark/>
          </w:tcPr>
          <w:p w14:paraId="4383E7E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188</w:t>
            </w:r>
          </w:p>
        </w:tc>
        <w:tc>
          <w:tcPr>
            <w:tcW w:w="850" w:type="dxa"/>
            <w:tcBorders>
              <w:top w:val="nil"/>
              <w:left w:val="nil"/>
              <w:bottom w:val="nil"/>
              <w:right w:val="nil"/>
            </w:tcBorders>
            <w:shd w:val="clear" w:color="000000" w:fill="FFFFFF"/>
            <w:vAlign w:val="center"/>
            <w:hideMark/>
          </w:tcPr>
          <w:p w14:paraId="3663A25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49 321</w:t>
            </w:r>
          </w:p>
        </w:tc>
        <w:tc>
          <w:tcPr>
            <w:tcW w:w="709" w:type="dxa"/>
            <w:tcBorders>
              <w:top w:val="nil"/>
              <w:left w:val="nil"/>
              <w:bottom w:val="nil"/>
              <w:right w:val="nil"/>
            </w:tcBorders>
            <w:shd w:val="clear" w:color="000000" w:fill="FFFFFF"/>
            <w:vAlign w:val="center"/>
            <w:hideMark/>
          </w:tcPr>
          <w:p w14:paraId="2757CA4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716FA8A4" w14:textId="77777777" w:rsidTr="0044781D">
        <w:trPr>
          <w:trHeight w:val="330"/>
        </w:trPr>
        <w:tc>
          <w:tcPr>
            <w:tcW w:w="2566" w:type="dxa"/>
            <w:tcBorders>
              <w:top w:val="nil"/>
              <w:left w:val="nil"/>
              <w:bottom w:val="nil"/>
              <w:right w:val="nil"/>
            </w:tcBorders>
            <w:shd w:val="clear" w:color="000000" w:fill="FFFFFF"/>
            <w:vAlign w:val="center"/>
            <w:hideMark/>
          </w:tcPr>
          <w:p w14:paraId="3BAC30B0"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Rekreácia, kultúra a náboženstvo</w:t>
            </w:r>
          </w:p>
        </w:tc>
        <w:tc>
          <w:tcPr>
            <w:tcW w:w="851" w:type="dxa"/>
            <w:tcBorders>
              <w:top w:val="nil"/>
              <w:left w:val="nil"/>
              <w:bottom w:val="nil"/>
              <w:right w:val="nil"/>
            </w:tcBorders>
            <w:shd w:val="clear" w:color="000000" w:fill="FFFFFF"/>
            <w:noWrap/>
            <w:vAlign w:val="center"/>
            <w:hideMark/>
          </w:tcPr>
          <w:p w14:paraId="57D4918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2 650</w:t>
            </w:r>
          </w:p>
        </w:tc>
        <w:tc>
          <w:tcPr>
            <w:tcW w:w="850" w:type="dxa"/>
            <w:tcBorders>
              <w:top w:val="nil"/>
              <w:left w:val="nil"/>
              <w:bottom w:val="nil"/>
              <w:right w:val="nil"/>
            </w:tcBorders>
            <w:shd w:val="clear" w:color="000000" w:fill="FFFFFF"/>
            <w:noWrap/>
            <w:vAlign w:val="center"/>
            <w:hideMark/>
          </w:tcPr>
          <w:p w14:paraId="10DEB2D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3 585</w:t>
            </w:r>
          </w:p>
        </w:tc>
        <w:tc>
          <w:tcPr>
            <w:tcW w:w="993" w:type="dxa"/>
            <w:tcBorders>
              <w:top w:val="nil"/>
              <w:left w:val="nil"/>
              <w:bottom w:val="nil"/>
              <w:right w:val="nil"/>
            </w:tcBorders>
            <w:shd w:val="clear" w:color="000000" w:fill="FFFFFF"/>
            <w:noWrap/>
            <w:vAlign w:val="center"/>
            <w:hideMark/>
          </w:tcPr>
          <w:p w14:paraId="4A80C08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486782C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2 798</w:t>
            </w:r>
          </w:p>
        </w:tc>
        <w:tc>
          <w:tcPr>
            <w:tcW w:w="851" w:type="dxa"/>
            <w:tcBorders>
              <w:top w:val="nil"/>
              <w:left w:val="nil"/>
              <w:bottom w:val="nil"/>
              <w:right w:val="nil"/>
            </w:tcBorders>
            <w:shd w:val="clear" w:color="auto" w:fill="auto"/>
            <w:noWrap/>
            <w:vAlign w:val="center"/>
            <w:hideMark/>
          </w:tcPr>
          <w:p w14:paraId="4611679C"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2 789</w:t>
            </w:r>
          </w:p>
        </w:tc>
        <w:tc>
          <w:tcPr>
            <w:tcW w:w="850" w:type="dxa"/>
            <w:tcBorders>
              <w:top w:val="nil"/>
              <w:left w:val="nil"/>
              <w:bottom w:val="nil"/>
              <w:right w:val="nil"/>
            </w:tcBorders>
            <w:shd w:val="clear" w:color="000000" w:fill="FFFFFF"/>
            <w:vAlign w:val="center"/>
            <w:hideMark/>
          </w:tcPr>
          <w:p w14:paraId="24C0988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2 798</w:t>
            </w:r>
          </w:p>
        </w:tc>
        <w:tc>
          <w:tcPr>
            <w:tcW w:w="709" w:type="dxa"/>
            <w:tcBorders>
              <w:top w:val="nil"/>
              <w:left w:val="nil"/>
              <w:bottom w:val="nil"/>
              <w:right w:val="nil"/>
            </w:tcBorders>
            <w:shd w:val="clear" w:color="000000" w:fill="FFFFFF"/>
            <w:vAlign w:val="center"/>
            <w:hideMark/>
          </w:tcPr>
          <w:p w14:paraId="0BA91AA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61ADC165" w14:textId="77777777" w:rsidTr="0044781D">
        <w:trPr>
          <w:trHeight w:val="330"/>
        </w:trPr>
        <w:tc>
          <w:tcPr>
            <w:tcW w:w="2566" w:type="dxa"/>
            <w:tcBorders>
              <w:top w:val="nil"/>
              <w:left w:val="nil"/>
              <w:bottom w:val="nil"/>
              <w:right w:val="nil"/>
            </w:tcBorders>
            <w:shd w:val="clear" w:color="000000" w:fill="FFFFFF"/>
            <w:noWrap/>
            <w:vAlign w:val="center"/>
            <w:hideMark/>
          </w:tcPr>
          <w:p w14:paraId="63A59C14"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Ochrana životného prostredia</w:t>
            </w:r>
          </w:p>
        </w:tc>
        <w:tc>
          <w:tcPr>
            <w:tcW w:w="851" w:type="dxa"/>
            <w:tcBorders>
              <w:top w:val="nil"/>
              <w:left w:val="nil"/>
              <w:bottom w:val="nil"/>
              <w:right w:val="nil"/>
            </w:tcBorders>
            <w:shd w:val="clear" w:color="000000" w:fill="FFFFFF"/>
            <w:noWrap/>
            <w:vAlign w:val="center"/>
            <w:hideMark/>
          </w:tcPr>
          <w:p w14:paraId="636198E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 </w:t>
            </w:r>
          </w:p>
        </w:tc>
        <w:tc>
          <w:tcPr>
            <w:tcW w:w="850" w:type="dxa"/>
            <w:tcBorders>
              <w:top w:val="nil"/>
              <w:left w:val="nil"/>
              <w:bottom w:val="nil"/>
              <w:right w:val="nil"/>
            </w:tcBorders>
            <w:shd w:val="clear" w:color="000000" w:fill="FFFFFF"/>
            <w:noWrap/>
            <w:vAlign w:val="center"/>
            <w:hideMark/>
          </w:tcPr>
          <w:p w14:paraId="32330C57"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2 532</w:t>
            </w:r>
          </w:p>
        </w:tc>
        <w:tc>
          <w:tcPr>
            <w:tcW w:w="993" w:type="dxa"/>
            <w:tcBorders>
              <w:top w:val="nil"/>
              <w:left w:val="nil"/>
              <w:bottom w:val="nil"/>
              <w:right w:val="nil"/>
            </w:tcBorders>
            <w:shd w:val="clear" w:color="000000" w:fill="FFFFFF"/>
            <w:noWrap/>
            <w:vAlign w:val="center"/>
            <w:hideMark/>
          </w:tcPr>
          <w:p w14:paraId="6B6D313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5705A2A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2 597</w:t>
            </w:r>
          </w:p>
        </w:tc>
        <w:tc>
          <w:tcPr>
            <w:tcW w:w="851" w:type="dxa"/>
            <w:tcBorders>
              <w:top w:val="nil"/>
              <w:left w:val="nil"/>
              <w:bottom w:val="nil"/>
              <w:right w:val="nil"/>
            </w:tcBorders>
            <w:shd w:val="clear" w:color="auto" w:fill="auto"/>
            <w:noWrap/>
            <w:vAlign w:val="center"/>
            <w:hideMark/>
          </w:tcPr>
          <w:p w14:paraId="0E3DF02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FFFFFF"/>
            <w:vAlign w:val="center"/>
            <w:hideMark/>
          </w:tcPr>
          <w:p w14:paraId="7933024C"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2 597</w:t>
            </w:r>
          </w:p>
        </w:tc>
        <w:tc>
          <w:tcPr>
            <w:tcW w:w="709" w:type="dxa"/>
            <w:tcBorders>
              <w:top w:val="nil"/>
              <w:left w:val="nil"/>
              <w:bottom w:val="nil"/>
              <w:right w:val="nil"/>
            </w:tcBorders>
            <w:shd w:val="clear" w:color="000000" w:fill="FFFFFF"/>
            <w:vAlign w:val="center"/>
            <w:hideMark/>
          </w:tcPr>
          <w:p w14:paraId="34EC20A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1163CF3B" w14:textId="77777777" w:rsidTr="0044781D">
        <w:trPr>
          <w:trHeight w:val="330"/>
        </w:trPr>
        <w:tc>
          <w:tcPr>
            <w:tcW w:w="2566" w:type="dxa"/>
            <w:tcBorders>
              <w:top w:val="nil"/>
              <w:left w:val="nil"/>
              <w:bottom w:val="nil"/>
              <w:right w:val="nil"/>
            </w:tcBorders>
            <w:shd w:val="clear" w:color="000000" w:fill="FFFFFF"/>
            <w:noWrap/>
            <w:vAlign w:val="center"/>
            <w:hideMark/>
          </w:tcPr>
          <w:p w14:paraId="61E11CE7"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Všeobecné verejné služby</w:t>
            </w:r>
          </w:p>
        </w:tc>
        <w:tc>
          <w:tcPr>
            <w:tcW w:w="851" w:type="dxa"/>
            <w:tcBorders>
              <w:top w:val="nil"/>
              <w:left w:val="nil"/>
              <w:bottom w:val="nil"/>
              <w:right w:val="nil"/>
            </w:tcBorders>
            <w:shd w:val="clear" w:color="000000" w:fill="FFFFFF"/>
            <w:noWrap/>
            <w:vAlign w:val="center"/>
            <w:hideMark/>
          </w:tcPr>
          <w:p w14:paraId="141EA24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725</w:t>
            </w:r>
          </w:p>
        </w:tc>
        <w:tc>
          <w:tcPr>
            <w:tcW w:w="850" w:type="dxa"/>
            <w:tcBorders>
              <w:top w:val="nil"/>
              <w:left w:val="nil"/>
              <w:bottom w:val="nil"/>
              <w:right w:val="nil"/>
            </w:tcBorders>
            <w:shd w:val="clear" w:color="000000" w:fill="FFFFFF"/>
            <w:noWrap/>
            <w:vAlign w:val="center"/>
            <w:hideMark/>
          </w:tcPr>
          <w:p w14:paraId="76439DB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325</w:t>
            </w:r>
          </w:p>
        </w:tc>
        <w:tc>
          <w:tcPr>
            <w:tcW w:w="993" w:type="dxa"/>
            <w:tcBorders>
              <w:top w:val="nil"/>
              <w:left w:val="nil"/>
              <w:bottom w:val="nil"/>
              <w:right w:val="nil"/>
            </w:tcBorders>
            <w:shd w:val="clear" w:color="000000" w:fill="FFFFFF"/>
            <w:noWrap/>
            <w:vAlign w:val="center"/>
            <w:hideMark/>
          </w:tcPr>
          <w:p w14:paraId="1B07146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79A5BA6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871</w:t>
            </w:r>
          </w:p>
        </w:tc>
        <w:tc>
          <w:tcPr>
            <w:tcW w:w="851" w:type="dxa"/>
            <w:tcBorders>
              <w:top w:val="nil"/>
              <w:left w:val="nil"/>
              <w:bottom w:val="nil"/>
              <w:right w:val="nil"/>
            </w:tcBorders>
            <w:shd w:val="clear" w:color="auto" w:fill="auto"/>
            <w:noWrap/>
            <w:vAlign w:val="center"/>
            <w:hideMark/>
          </w:tcPr>
          <w:p w14:paraId="65ED1A9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221</w:t>
            </w:r>
          </w:p>
        </w:tc>
        <w:tc>
          <w:tcPr>
            <w:tcW w:w="850" w:type="dxa"/>
            <w:tcBorders>
              <w:top w:val="nil"/>
              <w:left w:val="nil"/>
              <w:bottom w:val="nil"/>
              <w:right w:val="nil"/>
            </w:tcBorders>
            <w:shd w:val="clear" w:color="000000" w:fill="FFFFFF"/>
            <w:vAlign w:val="center"/>
            <w:hideMark/>
          </w:tcPr>
          <w:p w14:paraId="5421375E"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871</w:t>
            </w:r>
          </w:p>
        </w:tc>
        <w:tc>
          <w:tcPr>
            <w:tcW w:w="709" w:type="dxa"/>
            <w:tcBorders>
              <w:top w:val="nil"/>
              <w:left w:val="nil"/>
              <w:bottom w:val="nil"/>
              <w:right w:val="nil"/>
            </w:tcBorders>
            <w:shd w:val="clear" w:color="000000" w:fill="FFFFFF"/>
            <w:vAlign w:val="center"/>
            <w:hideMark/>
          </w:tcPr>
          <w:p w14:paraId="1955F34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4036F11A" w14:textId="77777777" w:rsidTr="0044781D">
        <w:trPr>
          <w:trHeight w:val="330"/>
        </w:trPr>
        <w:tc>
          <w:tcPr>
            <w:tcW w:w="2566" w:type="dxa"/>
            <w:tcBorders>
              <w:top w:val="nil"/>
              <w:left w:val="nil"/>
              <w:bottom w:val="nil"/>
              <w:right w:val="nil"/>
            </w:tcBorders>
            <w:shd w:val="clear" w:color="000000" w:fill="FFFFFF"/>
            <w:noWrap/>
            <w:vAlign w:val="center"/>
            <w:hideMark/>
          </w:tcPr>
          <w:p w14:paraId="3D11C062"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Sociálne zabezpečenie</w:t>
            </w:r>
          </w:p>
        </w:tc>
        <w:tc>
          <w:tcPr>
            <w:tcW w:w="851" w:type="dxa"/>
            <w:tcBorders>
              <w:top w:val="nil"/>
              <w:left w:val="nil"/>
              <w:bottom w:val="nil"/>
              <w:right w:val="nil"/>
            </w:tcBorders>
            <w:shd w:val="clear" w:color="000000" w:fill="FFFFFF"/>
            <w:noWrap/>
            <w:vAlign w:val="center"/>
            <w:hideMark/>
          </w:tcPr>
          <w:p w14:paraId="6D0E410C"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2 002</w:t>
            </w:r>
          </w:p>
        </w:tc>
        <w:tc>
          <w:tcPr>
            <w:tcW w:w="850" w:type="dxa"/>
            <w:tcBorders>
              <w:top w:val="nil"/>
              <w:left w:val="nil"/>
              <w:bottom w:val="nil"/>
              <w:right w:val="nil"/>
            </w:tcBorders>
            <w:shd w:val="clear" w:color="000000" w:fill="FFFFFF"/>
            <w:noWrap/>
            <w:vAlign w:val="center"/>
            <w:hideMark/>
          </w:tcPr>
          <w:p w14:paraId="56E2543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2 080</w:t>
            </w:r>
          </w:p>
        </w:tc>
        <w:tc>
          <w:tcPr>
            <w:tcW w:w="993" w:type="dxa"/>
            <w:tcBorders>
              <w:top w:val="nil"/>
              <w:left w:val="nil"/>
              <w:bottom w:val="nil"/>
              <w:right w:val="nil"/>
            </w:tcBorders>
            <w:shd w:val="clear" w:color="000000" w:fill="FFFFFF"/>
            <w:noWrap/>
            <w:vAlign w:val="center"/>
            <w:hideMark/>
          </w:tcPr>
          <w:p w14:paraId="43C54FFE"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039A9BD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654</w:t>
            </w:r>
          </w:p>
        </w:tc>
        <w:tc>
          <w:tcPr>
            <w:tcW w:w="851" w:type="dxa"/>
            <w:tcBorders>
              <w:top w:val="nil"/>
              <w:left w:val="nil"/>
              <w:bottom w:val="nil"/>
              <w:right w:val="nil"/>
            </w:tcBorders>
            <w:shd w:val="clear" w:color="auto" w:fill="auto"/>
            <w:noWrap/>
            <w:vAlign w:val="center"/>
            <w:hideMark/>
          </w:tcPr>
          <w:p w14:paraId="5D595567"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638</w:t>
            </w:r>
          </w:p>
        </w:tc>
        <w:tc>
          <w:tcPr>
            <w:tcW w:w="850" w:type="dxa"/>
            <w:tcBorders>
              <w:top w:val="nil"/>
              <w:left w:val="nil"/>
              <w:bottom w:val="nil"/>
              <w:right w:val="nil"/>
            </w:tcBorders>
            <w:shd w:val="clear" w:color="000000" w:fill="FFFFFF"/>
            <w:vAlign w:val="center"/>
            <w:hideMark/>
          </w:tcPr>
          <w:p w14:paraId="472E498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654</w:t>
            </w:r>
          </w:p>
        </w:tc>
        <w:tc>
          <w:tcPr>
            <w:tcW w:w="709" w:type="dxa"/>
            <w:tcBorders>
              <w:top w:val="nil"/>
              <w:left w:val="nil"/>
              <w:bottom w:val="nil"/>
              <w:right w:val="nil"/>
            </w:tcBorders>
            <w:shd w:val="clear" w:color="000000" w:fill="FFFFFF"/>
            <w:vAlign w:val="center"/>
            <w:hideMark/>
          </w:tcPr>
          <w:p w14:paraId="55C6A1B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46736A57" w14:textId="77777777" w:rsidTr="0044781D">
        <w:trPr>
          <w:trHeight w:val="330"/>
        </w:trPr>
        <w:tc>
          <w:tcPr>
            <w:tcW w:w="2566" w:type="dxa"/>
            <w:tcBorders>
              <w:top w:val="nil"/>
              <w:left w:val="nil"/>
              <w:bottom w:val="nil"/>
              <w:right w:val="nil"/>
            </w:tcBorders>
            <w:shd w:val="clear" w:color="000000" w:fill="FFFFFF"/>
            <w:noWrap/>
            <w:vAlign w:val="center"/>
            <w:hideMark/>
          </w:tcPr>
          <w:p w14:paraId="16CC4372"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Bývanie a občianska vybavenosť</w:t>
            </w:r>
          </w:p>
        </w:tc>
        <w:tc>
          <w:tcPr>
            <w:tcW w:w="851" w:type="dxa"/>
            <w:tcBorders>
              <w:top w:val="nil"/>
              <w:left w:val="nil"/>
              <w:bottom w:val="nil"/>
              <w:right w:val="nil"/>
            </w:tcBorders>
            <w:shd w:val="clear" w:color="000000" w:fill="FFFFFF"/>
            <w:noWrap/>
            <w:vAlign w:val="center"/>
            <w:hideMark/>
          </w:tcPr>
          <w:p w14:paraId="35442D74"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FFFFFF"/>
            <w:noWrap/>
            <w:vAlign w:val="center"/>
            <w:hideMark/>
          </w:tcPr>
          <w:p w14:paraId="1390881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993" w:type="dxa"/>
            <w:tcBorders>
              <w:top w:val="nil"/>
              <w:left w:val="nil"/>
              <w:bottom w:val="nil"/>
              <w:right w:val="nil"/>
            </w:tcBorders>
            <w:shd w:val="clear" w:color="000000" w:fill="FFFFFF"/>
            <w:noWrap/>
            <w:vAlign w:val="center"/>
            <w:hideMark/>
          </w:tcPr>
          <w:p w14:paraId="2AC1C91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674CAFC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130</w:t>
            </w:r>
          </w:p>
        </w:tc>
        <w:tc>
          <w:tcPr>
            <w:tcW w:w="851" w:type="dxa"/>
            <w:tcBorders>
              <w:top w:val="nil"/>
              <w:left w:val="nil"/>
              <w:bottom w:val="nil"/>
              <w:right w:val="nil"/>
            </w:tcBorders>
            <w:shd w:val="clear" w:color="auto" w:fill="auto"/>
            <w:noWrap/>
            <w:vAlign w:val="center"/>
            <w:hideMark/>
          </w:tcPr>
          <w:p w14:paraId="03FF59A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130</w:t>
            </w:r>
          </w:p>
        </w:tc>
        <w:tc>
          <w:tcPr>
            <w:tcW w:w="850" w:type="dxa"/>
            <w:tcBorders>
              <w:top w:val="nil"/>
              <w:left w:val="nil"/>
              <w:bottom w:val="nil"/>
              <w:right w:val="nil"/>
            </w:tcBorders>
            <w:shd w:val="clear" w:color="000000" w:fill="FFFFFF"/>
            <w:vAlign w:val="center"/>
            <w:hideMark/>
          </w:tcPr>
          <w:p w14:paraId="761E392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130</w:t>
            </w:r>
          </w:p>
        </w:tc>
        <w:tc>
          <w:tcPr>
            <w:tcW w:w="709" w:type="dxa"/>
            <w:tcBorders>
              <w:top w:val="nil"/>
              <w:left w:val="nil"/>
              <w:bottom w:val="nil"/>
              <w:right w:val="nil"/>
            </w:tcBorders>
            <w:shd w:val="clear" w:color="000000" w:fill="FFFFFF"/>
            <w:vAlign w:val="center"/>
            <w:hideMark/>
          </w:tcPr>
          <w:p w14:paraId="0083417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511832C4" w14:textId="77777777" w:rsidTr="0044781D">
        <w:trPr>
          <w:trHeight w:val="330"/>
        </w:trPr>
        <w:tc>
          <w:tcPr>
            <w:tcW w:w="2566" w:type="dxa"/>
            <w:tcBorders>
              <w:top w:val="nil"/>
              <w:left w:val="nil"/>
              <w:bottom w:val="nil"/>
              <w:right w:val="nil"/>
            </w:tcBorders>
            <w:shd w:val="clear" w:color="000000" w:fill="FFFFFF"/>
            <w:noWrap/>
            <w:vAlign w:val="center"/>
            <w:hideMark/>
          </w:tcPr>
          <w:p w14:paraId="54C36BF7"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Verejný poriadok a bezpečnosť</w:t>
            </w:r>
          </w:p>
        </w:tc>
        <w:tc>
          <w:tcPr>
            <w:tcW w:w="851" w:type="dxa"/>
            <w:tcBorders>
              <w:top w:val="nil"/>
              <w:left w:val="nil"/>
              <w:bottom w:val="nil"/>
              <w:right w:val="nil"/>
            </w:tcBorders>
            <w:shd w:val="clear" w:color="000000" w:fill="FFFFFF"/>
            <w:noWrap/>
            <w:vAlign w:val="center"/>
            <w:hideMark/>
          </w:tcPr>
          <w:p w14:paraId="6811B84C"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9</w:t>
            </w:r>
          </w:p>
        </w:tc>
        <w:tc>
          <w:tcPr>
            <w:tcW w:w="850" w:type="dxa"/>
            <w:tcBorders>
              <w:top w:val="nil"/>
              <w:left w:val="nil"/>
              <w:bottom w:val="nil"/>
              <w:right w:val="nil"/>
            </w:tcBorders>
            <w:shd w:val="clear" w:color="000000" w:fill="FFFFFF"/>
            <w:noWrap/>
            <w:vAlign w:val="center"/>
            <w:hideMark/>
          </w:tcPr>
          <w:p w14:paraId="0AD82616"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5</w:t>
            </w:r>
          </w:p>
        </w:tc>
        <w:tc>
          <w:tcPr>
            <w:tcW w:w="993" w:type="dxa"/>
            <w:tcBorders>
              <w:top w:val="nil"/>
              <w:left w:val="nil"/>
              <w:bottom w:val="nil"/>
              <w:right w:val="nil"/>
            </w:tcBorders>
            <w:shd w:val="clear" w:color="000000" w:fill="FFFFFF"/>
            <w:noWrap/>
            <w:vAlign w:val="center"/>
            <w:hideMark/>
          </w:tcPr>
          <w:p w14:paraId="2139D1BE"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42301EE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auto" w:fill="auto"/>
            <w:noWrap/>
            <w:vAlign w:val="center"/>
            <w:hideMark/>
          </w:tcPr>
          <w:p w14:paraId="4B1E0BDC"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FFFFFF"/>
            <w:vAlign w:val="center"/>
            <w:hideMark/>
          </w:tcPr>
          <w:p w14:paraId="5AB9DA8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709" w:type="dxa"/>
            <w:tcBorders>
              <w:top w:val="nil"/>
              <w:left w:val="nil"/>
              <w:bottom w:val="nil"/>
              <w:right w:val="nil"/>
            </w:tcBorders>
            <w:shd w:val="clear" w:color="000000" w:fill="FFFFFF"/>
            <w:vAlign w:val="center"/>
            <w:hideMark/>
          </w:tcPr>
          <w:p w14:paraId="270049B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5282EB26" w14:textId="77777777" w:rsidTr="0044781D">
        <w:trPr>
          <w:trHeight w:val="345"/>
        </w:trPr>
        <w:tc>
          <w:tcPr>
            <w:tcW w:w="2566" w:type="dxa"/>
            <w:tcBorders>
              <w:top w:val="single" w:sz="4" w:space="0" w:color="auto"/>
              <w:left w:val="nil"/>
              <w:bottom w:val="single" w:sz="8" w:space="0" w:color="auto"/>
              <w:right w:val="nil"/>
            </w:tcBorders>
            <w:shd w:val="clear" w:color="000000" w:fill="FFFFFF"/>
            <w:noWrap/>
            <w:vAlign w:val="center"/>
            <w:hideMark/>
          </w:tcPr>
          <w:p w14:paraId="286061C5" w14:textId="77777777" w:rsidR="00EA177A" w:rsidRPr="000748F9" w:rsidRDefault="00EA177A" w:rsidP="00C704A7">
            <w:pPr>
              <w:spacing w:after="0" w:line="240" w:lineRule="auto"/>
              <w:jc w:val="lef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Spolu</w:t>
            </w:r>
          </w:p>
        </w:tc>
        <w:tc>
          <w:tcPr>
            <w:tcW w:w="851" w:type="dxa"/>
            <w:tcBorders>
              <w:top w:val="single" w:sz="4" w:space="0" w:color="auto"/>
              <w:left w:val="nil"/>
              <w:bottom w:val="single" w:sz="8" w:space="0" w:color="auto"/>
              <w:right w:val="nil"/>
            </w:tcBorders>
            <w:shd w:val="clear" w:color="000000" w:fill="FFFFFF"/>
            <w:noWrap/>
            <w:vAlign w:val="center"/>
            <w:hideMark/>
          </w:tcPr>
          <w:p w14:paraId="149390DF"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433 648</w:t>
            </w:r>
          </w:p>
        </w:tc>
        <w:tc>
          <w:tcPr>
            <w:tcW w:w="850" w:type="dxa"/>
            <w:tcBorders>
              <w:top w:val="single" w:sz="4" w:space="0" w:color="auto"/>
              <w:left w:val="nil"/>
              <w:bottom w:val="single" w:sz="8" w:space="0" w:color="auto"/>
              <w:right w:val="nil"/>
            </w:tcBorders>
            <w:shd w:val="clear" w:color="000000" w:fill="FFFFFF"/>
            <w:noWrap/>
            <w:vAlign w:val="center"/>
            <w:hideMark/>
          </w:tcPr>
          <w:p w14:paraId="7C29675E"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457 344</w:t>
            </w:r>
          </w:p>
        </w:tc>
        <w:tc>
          <w:tcPr>
            <w:tcW w:w="993" w:type="dxa"/>
            <w:tcBorders>
              <w:top w:val="single" w:sz="4" w:space="0" w:color="auto"/>
              <w:left w:val="nil"/>
              <w:bottom w:val="single" w:sz="8" w:space="0" w:color="auto"/>
              <w:right w:val="nil"/>
            </w:tcBorders>
            <w:shd w:val="clear" w:color="000000" w:fill="FFFFFF"/>
            <w:noWrap/>
            <w:vAlign w:val="center"/>
            <w:hideMark/>
          </w:tcPr>
          <w:p w14:paraId="5B6F6F5E"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488 813</w:t>
            </w:r>
          </w:p>
        </w:tc>
        <w:tc>
          <w:tcPr>
            <w:tcW w:w="850" w:type="dxa"/>
            <w:tcBorders>
              <w:top w:val="single" w:sz="4" w:space="0" w:color="auto"/>
              <w:left w:val="nil"/>
              <w:bottom w:val="single" w:sz="8" w:space="0" w:color="auto"/>
              <w:right w:val="nil"/>
            </w:tcBorders>
            <w:shd w:val="clear" w:color="000000" w:fill="BFBFBF"/>
            <w:noWrap/>
            <w:vAlign w:val="center"/>
            <w:hideMark/>
          </w:tcPr>
          <w:p w14:paraId="5D104A7B"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530 881</w:t>
            </w:r>
          </w:p>
        </w:tc>
        <w:tc>
          <w:tcPr>
            <w:tcW w:w="851" w:type="dxa"/>
            <w:tcBorders>
              <w:top w:val="single" w:sz="4" w:space="0" w:color="auto"/>
              <w:left w:val="nil"/>
              <w:bottom w:val="single" w:sz="8" w:space="0" w:color="auto"/>
              <w:right w:val="nil"/>
            </w:tcBorders>
            <w:shd w:val="clear" w:color="auto" w:fill="auto"/>
            <w:noWrap/>
            <w:vAlign w:val="center"/>
            <w:hideMark/>
          </w:tcPr>
          <w:p w14:paraId="550628A6"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475 458</w:t>
            </w:r>
          </w:p>
        </w:tc>
        <w:tc>
          <w:tcPr>
            <w:tcW w:w="850" w:type="dxa"/>
            <w:tcBorders>
              <w:top w:val="single" w:sz="4" w:space="0" w:color="auto"/>
              <w:left w:val="nil"/>
              <w:bottom w:val="single" w:sz="8" w:space="0" w:color="auto"/>
              <w:right w:val="nil"/>
            </w:tcBorders>
            <w:shd w:val="clear" w:color="000000" w:fill="FFFFFF"/>
            <w:noWrap/>
            <w:vAlign w:val="center"/>
            <w:hideMark/>
          </w:tcPr>
          <w:p w14:paraId="68524B95"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42 068</w:t>
            </w:r>
          </w:p>
        </w:tc>
        <w:tc>
          <w:tcPr>
            <w:tcW w:w="709" w:type="dxa"/>
            <w:tcBorders>
              <w:top w:val="single" w:sz="4" w:space="0" w:color="auto"/>
              <w:left w:val="nil"/>
              <w:bottom w:val="single" w:sz="8" w:space="0" w:color="auto"/>
              <w:right w:val="nil"/>
            </w:tcBorders>
            <w:shd w:val="clear" w:color="000000" w:fill="FFFFFF"/>
            <w:noWrap/>
            <w:vAlign w:val="center"/>
            <w:hideMark/>
          </w:tcPr>
          <w:p w14:paraId="382A86D2"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8,6</w:t>
            </w:r>
          </w:p>
        </w:tc>
      </w:tr>
    </w:tbl>
    <w:p w14:paraId="0383E7E0" w14:textId="77777777" w:rsidR="00EA177A" w:rsidRPr="00F53475" w:rsidRDefault="00EA177A" w:rsidP="00EA177A">
      <w:pPr>
        <w:suppressAutoHyphens/>
      </w:pPr>
      <w:r w:rsidRPr="00F53475">
        <w:rPr>
          <w:sz w:val="18"/>
          <w:szCs w:val="18"/>
        </w:rPr>
        <w:t xml:space="preserve">Poznámka: * len prostriedky štátneho rozpočtu </w:t>
      </w:r>
      <w:r w:rsidRPr="00F53475">
        <w:rPr>
          <w:sz w:val="18"/>
          <w:szCs w:val="18"/>
        </w:rPr>
        <w:tab/>
      </w:r>
      <w:r w:rsidRPr="00F53475">
        <w:rPr>
          <w:sz w:val="18"/>
          <w:szCs w:val="18"/>
        </w:rPr>
        <w:tab/>
      </w:r>
      <w:r w:rsidRPr="00F53475">
        <w:rPr>
          <w:sz w:val="18"/>
          <w:szCs w:val="18"/>
        </w:rPr>
        <w:tab/>
      </w:r>
      <w:r w:rsidRPr="00F53475">
        <w:rPr>
          <w:sz w:val="18"/>
          <w:szCs w:val="18"/>
        </w:rPr>
        <w:tab/>
      </w:r>
      <w:r w:rsidRPr="00F53475">
        <w:rPr>
          <w:sz w:val="18"/>
          <w:szCs w:val="18"/>
        </w:rPr>
        <w:tab/>
        <w:t xml:space="preserve">                      Zdroj: MF SR</w:t>
      </w:r>
    </w:p>
    <w:p w14:paraId="4A9C0834" w14:textId="77777777" w:rsidR="00C60C49" w:rsidRDefault="00C60C49">
      <w:pPr>
        <w:spacing w:after="160" w:line="259" w:lineRule="auto"/>
        <w:jc w:val="left"/>
      </w:pPr>
      <w:r>
        <w:br w:type="page"/>
      </w:r>
    </w:p>
    <w:p w14:paraId="76633265" w14:textId="14F9B4DC" w:rsidR="00EA177A" w:rsidRPr="00F53475" w:rsidRDefault="00EA177A" w:rsidP="00EA177A">
      <w:pPr>
        <w:suppressAutoHyphens/>
      </w:pPr>
      <w:r w:rsidRPr="00F53475">
        <w:t>Do rozpočtov VÚC boli poskytnuté granty a transfery z jednotlivých rozpočtových kapitol v nasledovnom členení:</w:t>
      </w:r>
    </w:p>
    <w:tbl>
      <w:tblPr>
        <w:tblW w:w="8662" w:type="dxa"/>
        <w:tblLayout w:type="fixed"/>
        <w:tblCellMar>
          <w:left w:w="70" w:type="dxa"/>
          <w:right w:w="70" w:type="dxa"/>
        </w:tblCellMar>
        <w:tblLook w:val="04A0" w:firstRow="1" w:lastRow="0" w:firstColumn="1" w:lastColumn="0" w:noHBand="0" w:noVBand="1"/>
      </w:tblPr>
      <w:tblGrid>
        <w:gridCol w:w="2967"/>
        <w:gridCol w:w="851"/>
        <w:gridCol w:w="733"/>
        <w:gridCol w:w="850"/>
        <w:gridCol w:w="851"/>
        <w:gridCol w:w="850"/>
        <w:gridCol w:w="851"/>
        <w:gridCol w:w="709"/>
      </w:tblGrid>
      <w:tr w:rsidR="00EA177A" w:rsidRPr="000748F9" w14:paraId="1F092153" w14:textId="77777777" w:rsidTr="00C60C49">
        <w:trPr>
          <w:trHeight w:val="445"/>
        </w:trPr>
        <w:tc>
          <w:tcPr>
            <w:tcW w:w="8662" w:type="dxa"/>
            <w:gridSpan w:val="8"/>
            <w:tcBorders>
              <w:top w:val="nil"/>
              <w:left w:val="single" w:sz="8" w:space="0" w:color="auto"/>
              <w:bottom w:val="nil"/>
              <w:right w:val="nil"/>
            </w:tcBorders>
            <w:shd w:val="clear" w:color="000000" w:fill="000000"/>
            <w:vAlign w:val="center"/>
            <w:hideMark/>
          </w:tcPr>
          <w:p w14:paraId="56914B78" w14:textId="21AE4C6D" w:rsidR="00EA177A" w:rsidRPr="000748F9" w:rsidRDefault="00EA177A" w:rsidP="00C704A7">
            <w:pPr>
              <w:spacing w:after="0" w:line="240" w:lineRule="auto"/>
              <w:jc w:val="left"/>
              <w:rPr>
                <w:rFonts w:eastAsia="Times New Roman" w:cs="Times New Roman"/>
                <w:b/>
                <w:bCs/>
                <w:color w:val="FFFFFF"/>
                <w:sz w:val="18"/>
                <w:szCs w:val="18"/>
                <w:lang w:eastAsia="sk-SK"/>
              </w:rPr>
            </w:pPr>
            <w:r w:rsidRPr="000748F9">
              <w:rPr>
                <w:rFonts w:eastAsia="Times New Roman" w:cs="Times New Roman"/>
                <w:b/>
                <w:bCs/>
                <w:color w:val="FFFFFF"/>
                <w:sz w:val="18"/>
                <w:szCs w:val="18"/>
                <w:lang w:eastAsia="sk-SK"/>
              </w:rPr>
              <w:t xml:space="preserve">Granty a transfery poskytnuté VÚC podľa kapitol ŠR                                                                    </w:t>
            </w:r>
            <w:r w:rsidR="000748F9">
              <w:rPr>
                <w:rFonts w:eastAsia="Times New Roman" w:cs="Times New Roman"/>
                <w:b/>
                <w:bCs/>
                <w:color w:val="FFFFFF"/>
                <w:sz w:val="18"/>
                <w:szCs w:val="18"/>
                <w:lang w:eastAsia="sk-SK"/>
              </w:rPr>
              <w:t xml:space="preserve">             </w:t>
            </w:r>
            <w:r w:rsidRPr="000748F9">
              <w:rPr>
                <w:rFonts w:eastAsia="Times New Roman" w:cs="Times New Roman"/>
                <w:b/>
                <w:bCs/>
                <w:color w:val="FFFFFF"/>
                <w:sz w:val="18"/>
                <w:szCs w:val="18"/>
                <w:lang w:eastAsia="sk-SK"/>
              </w:rPr>
              <w:t>v tis. eur</w:t>
            </w:r>
          </w:p>
        </w:tc>
      </w:tr>
      <w:tr w:rsidR="00EA177A" w:rsidRPr="000748F9" w14:paraId="57EC51A7" w14:textId="77777777" w:rsidTr="005C1277">
        <w:trPr>
          <w:trHeight w:val="510"/>
        </w:trPr>
        <w:tc>
          <w:tcPr>
            <w:tcW w:w="2967" w:type="dxa"/>
            <w:tcBorders>
              <w:top w:val="nil"/>
              <w:left w:val="nil"/>
              <w:bottom w:val="nil"/>
              <w:right w:val="nil"/>
            </w:tcBorders>
            <w:shd w:val="clear" w:color="000000" w:fill="BFBFBF"/>
            <w:vAlign w:val="center"/>
            <w:hideMark/>
          </w:tcPr>
          <w:p w14:paraId="3C5021C1" w14:textId="77777777" w:rsidR="00EA177A" w:rsidRPr="000748F9" w:rsidRDefault="00EA177A" w:rsidP="00C704A7">
            <w:pPr>
              <w:spacing w:after="0" w:line="240" w:lineRule="auto"/>
              <w:jc w:val="left"/>
              <w:rPr>
                <w:rFonts w:eastAsia="Times New Roman" w:cs="Times New Roman"/>
                <w:b/>
                <w:bCs/>
                <w:color w:val="FFFFFF"/>
                <w:sz w:val="18"/>
                <w:szCs w:val="18"/>
                <w:lang w:eastAsia="sk-SK"/>
              </w:rPr>
            </w:pPr>
            <w:r w:rsidRPr="000748F9">
              <w:rPr>
                <w:rFonts w:eastAsia="Times New Roman" w:cs="Times New Roman"/>
                <w:b/>
                <w:bCs/>
                <w:color w:val="FFFFFF"/>
                <w:sz w:val="18"/>
                <w:szCs w:val="18"/>
                <w:lang w:eastAsia="sk-SK"/>
              </w:rPr>
              <w:t> </w:t>
            </w:r>
          </w:p>
        </w:tc>
        <w:tc>
          <w:tcPr>
            <w:tcW w:w="1584" w:type="dxa"/>
            <w:gridSpan w:val="2"/>
            <w:tcBorders>
              <w:top w:val="nil"/>
              <w:left w:val="nil"/>
              <w:bottom w:val="nil"/>
              <w:right w:val="nil"/>
            </w:tcBorders>
            <w:shd w:val="clear" w:color="000000" w:fill="BFBFBF"/>
            <w:vAlign w:val="center"/>
            <w:hideMark/>
          </w:tcPr>
          <w:p w14:paraId="692BB038"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Skutočnosť</w:t>
            </w:r>
          </w:p>
        </w:tc>
        <w:tc>
          <w:tcPr>
            <w:tcW w:w="850" w:type="dxa"/>
            <w:tcBorders>
              <w:top w:val="nil"/>
              <w:left w:val="nil"/>
              <w:bottom w:val="nil"/>
              <w:right w:val="nil"/>
            </w:tcBorders>
            <w:shd w:val="clear" w:color="000000" w:fill="BFBFBF"/>
            <w:vAlign w:val="center"/>
            <w:hideMark/>
          </w:tcPr>
          <w:p w14:paraId="4C143CA5"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Rozpočet</w:t>
            </w:r>
          </w:p>
        </w:tc>
        <w:tc>
          <w:tcPr>
            <w:tcW w:w="1701" w:type="dxa"/>
            <w:gridSpan w:val="2"/>
            <w:tcBorders>
              <w:top w:val="nil"/>
              <w:left w:val="nil"/>
              <w:bottom w:val="nil"/>
              <w:right w:val="nil"/>
            </w:tcBorders>
            <w:shd w:val="clear" w:color="000000" w:fill="BFBFBF"/>
            <w:vAlign w:val="center"/>
            <w:hideMark/>
          </w:tcPr>
          <w:p w14:paraId="3F6759C9"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Skutočnosť</w:t>
            </w:r>
          </w:p>
        </w:tc>
        <w:tc>
          <w:tcPr>
            <w:tcW w:w="1560" w:type="dxa"/>
            <w:gridSpan w:val="2"/>
            <w:tcBorders>
              <w:top w:val="nil"/>
              <w:left w:val="nil"/>
              <w:bottom w:val="nil"/>
              <w:right w:val="nil"/>
            </w:tcBorders>
            <w:shd w:val="clear" w:color="000000" w:fill="BFBFBF"/>
            <w:vAlign w:val="center"/>
            <w:hideMark/>
          </w:tcPr>
          <w:p w14:paraId="7AEC57AC"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Rozdiel</w:t>
            </w:r>
          </w:p>
        </w:tc>
      </w:tr>
      <w:tr w:rsidR="00EA177A" w:rsidRPr="000748F9" w14:paraId="3BBA7FAD" w14:textId="77777777" w:rsidTr="005C1277">
        <w:trPr>
          <w:trHeight w:val="765"/>
        </w:trPr>
        <w:tc>
          <w:tcPr>
            <w:tcW w:w="2967" w:type="dxa"/>
            <w:tcBorders>
              <w:top w:val="nil"/>
              <w:left w:val="nil"/>
              <w:bottom w:val="nil"/>
              <w:right w:val="nil"/>
            </w:tcBorders>
            <w:shd w:val="clear" w:color="000000" w:fill="BFBFBF"/>
            <w:vAlign w:val="center"/>
            <w:hideMark/>
          </w:tcPr>
          <w:p w14:paraId="20054A5D"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 </w:t>
            </w:r>
          </w:p>
        </w:tc>
        <w:tc>
          <w:tcPr>
            <w:tcW w:w="851" w:type="dxa"/>
            <w:tcBorders>
              <w:top w:val="nil"/>
              <w:left w:val="nil"/>
              <w:bottom w:val="nil"/>
              <w:right w:val="nil"/>
            </w:tcBorders>
            <w:shd w:val="clear" w:color="000000" w:fill="BFBFBF"/>
            <w:vAlign w:val="center"/>
            <w:hideMark/>
          </w:tcPr>
          <w:p w14:paraId="06028B55"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2017</w:t>
            </w:r>
          </w:p>
        </w:tc>
        <w:tc>
          <w:tcPr>
            <w:tcW w:w="733" w:type="dxa"/>
            <w:tcBorders>
              <w:top w:val="nil"/>
              <w:left w:val="nil"/>
              <w:bottom w:val="nil"/>
              <w:right w:val="nil"/>
            </w:tcBorders>
            <w:shd w:val="clear" w:color="000000" w:fill="BFBFBF"/>
            <w:vAlign w:val="center"/>
            <w:hideMark/>
          </w:tcPr>
          <w:p w14:paraId="2AA8028A"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2018</w:t>
            </w:r>
          </w:p>
        </w:tc>
        <w:tc>
          <w:tcPr>
            <w:tcW w:w="850" w:type="dxa"/>
            <w:tcBorders>
              <w:top w:val="nil"/>
              <w:left w:val="nil"/>
              <w:bottom w:val="nil"/>
              <w:right w:val="nil"/>
            </w:tcBorders>
            <w:shd w:val="clear" w:color="000000" w:fill="BFBFBF"/>
            <w:vAlign w:val="center"/>
            <w:hideMark/>
          </w:tcPr>
          <w:p w14:paraId="0A7626A0"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2019</w:t>
            </w:r>
          </w:p>
        </w:tc>
        <w:tc>
          <w:tcPr>
            <w:tcW w:w="851" w:type="dxa"/>
            <w:tcBorders>
              <w:top w:val="nil"/>
              <w:left w:val="nil"/>
              <w:bottom w:val="nil"/>
              <w:right w:val="nil"/>
            </w:tcBorders>
            <w:shd w:val="clear" w:color="000000" w:fill="BFBFBF"/>
            <w:vAlign w:val="center"/>
            <w:hideMark/>
          </w:tcPr>
          <w:p w14:paraId="71B48E55"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2019</w:t>
            </w:r>
          </w:p>
        </w:tc>
        <w:tc>
          <w:tcPr>
            <w:tcW w:w="850" w:type="dxa"/>
            <w:tcBorders>
              <w:top w:val="nil"/>
              <w:left w:val="nil"/>
              <w:bottom w:val="nil"/>
              <w:right w:val="nil"/>
            </w:tcBorders>
            <w:shd w:val="clear" w:color="000000" w:fill="BFBFBF"/>
            <w:vAlign w:val="center"/>
            <w:hideMark/>
          </w:tcPr>
          <w:p w14:paraId="36C53449"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z toho: zdroj 111</w:t>
            </w:r>
            <w:r w:rsidRPr="000748F9">
              <w:rPr>
                <w:rFonts w:ascii="Arial Narrow" w:eastAsia="Times New Roman" w:hAnsi="Arial Narrow" w:cs="Times New Roman"/>
                <w:b/>
                <w:bCs/>
                <w:color w:val="000000"/>
                <w:sz w:val="18"/>
                <w:szCs w:val="18"/>
                <w:lang w:eastAsia="sk-SK"/>
              </w:rPr>
              <w:t>*</w:t>
            </w:r>
          </w:p>
        </w:tc>
        <w:tc>
          <w:tcPr>
            <w:tcW w:w="851" w:type="dxa"/>
            <w:tcBorders>
              <w:top w:val="nil"/>
              <w:left w:val="nil"/>
              <w:bottom w:val="nil"/>
              <w:right w:val="nil"/>
            </w:tcBorders>
            <w:shd w:val="clear" w:color="000000" w:fill="BFBFBF"/>
            <w:vAlign w:val="center"/>
            <w:hideMark/>
          </w:tcPr>
          <w:p w14:paraId="4673B374"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v tis. eur</w:t>
            </w:r>
          </w:p>
        </w:tc>
        <w:tc>
          <w:tcPr>
            <w:tcW w:w="709" w:type="dxa"/>
            <w:tcBorders>
              <w:top w:val="nil"/>
              <w:left w:val="nil"/>
              <w:bottom w:val="nil"/>
              <w:right w:val="nil"/>
            </w:tcBorders>
            <w:shd w:val="clear" w:color="000000" w:fill="BFBFBF"/>
            <w:vAlign w:val="center"/>
            <w:hideMark/>
          </w:tcPr>
          <w:p w14:paraId="5FB8484C" w14:textId="77777777" w:rsidR="00EA177A" w:rsidRPr="000748F9" w:rsidRDefault="00EA177A" w:rsidP="00C704A7">
            <w:pPr>
              <w:spacing w:after="0" w:line="240" w:lineRule="auto"/>
              <w:jc w:val="center"/>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v %</w:t>
            </w:r>
          </w:p>
        </w:tc>
      </w:tr>
      <w:tr w:rsidR="00EA177A" w:rsidRPr="000748F9" w14:paraId="13257461" w14:textId="77777777" w:rsidTr="005C1277">
        <w:trPr>
          <w:trHeight w:val="345"/>
        </w:trPr>
        <w:tc>
          <w:tcPr>
            <w:tcW w:w="2967" w:type="dxa"/>
            <w:tcBorders>
              <w:top w:val="nil"/>
              <w:left w:val="nil"/>
              <w:bottom w:val="single" w:sz="8" w:space="0" w:color="auto"/>
              <w:right w:val="nil"/>
            </w:tcBorders>
            <w:shd w:val="clear" w:color="000000" w:fill="BFBFBF"/>
            <w:vAlign w:val="center"/>
            <w:hideMark/>
          </w:tcPr>
          <w:p w14:paraId="7CC0D12F" w14:textId="77777777" w:rsidR="00EA177A" w:rsidRPr="000748F9" w:rsidRDefault="00EA177A" w:rsidP="00C704A7">
            <w:pPr>
              <w:spacing w:after="0" w:line="240" w:lineRule="auto"/>
              <w:jc w:val="left"/>
              <w:rPr>
                <w:rFonts w:eastAsia="Times New Roman" w:cs="Times New Roman"/>
                <w:b/>
                <w:bCs/>
                <w:color w:val="FFFFFF"/>
                <w:sz w:val="18"/>
                <w:szCs w:val="18"/>
                <w:lang w:eastAsia="sk-SK"/>
              </w:rPr>
            </w:pPr>
            <w:r w:rsidRPr="000748F9">
              <w:rPr>
                <w:rFonts w:eastAsia="Times New Roman" w:cs="Times New Roman"/>
                <w:b/>
                <w:bCs/>
                <w:color w:val="FFFFFF"/>
                <w:sz w:val="18"/>
                <w:szCs w:val="18"/>
                <w:lang w:eastAsia="sk-SK"/>
              </w:rPr>
              <w:t> </w:t>
            </w:r>
          </w:p>
        </w:tc>
        <w:tc>
          <w:tcPr>
            <w:tcW w:w="851" w:type="dxa"/>
            <w:tcBorders>
              <w:top w:val="nil"/>
              <w:left w:val="nil"/>
              <w:bottom w:val="single" w:sz="8" w:space="0" w:color="auto"/>
              <w:right w:val="nil"/>
            </w:tcBorders>
            <w:shd w:val="clear" w:color="000000" w:fill="BFBFBF"/>
            <w:vAlign w:val="center"/>
            <w:hideMark/>
          </w:tcPr>
          <w:p w14:paraId="0C25E0E7"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1</w:t>
            </w:r>
          </w:p>
        </w:tc>
        <w:tc>
          <w:tcPr>
            <w:tcW w:w="733" w:type="dxa"/>
            <w:tcBorders>
              <w:top w:val="nil"/>
              <w:left w:val="nil"/>
              <w:bottom w:val="single" w:sz="8" w:space="0" w:color="auto"/>
              <w:right w:val="nil"/>
            </w:tcBorders>
            <w:shd w:val="clear" w:color="000000" w:fill="BFBFBF"/>
            <w:vAlign w:val="center"/>
            <w:hideMark/>
          </w:tcPr>
          <w:p w14:paraId="2431B5E4"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2</w:t>
            </w:r>
          </w:p>
        </w:tc>
        <w:tc>
          <w:tcPr>
            <w:tcW w:w="850" w:type="dxa"/>
            <w:tcBorders>
              <w:top w:val="nil"/>
              <w:left w:val="nil"/>
              <w:bottom w:val="single" w:sz="8" w:space="0" w:color="auto"/>
              <w:right w:val="nil"/>
            </w:tcBorders>
            <w:shd w:val="clear" w:color="000000" w:fill="BFBFBF"/>
            <w:vAlign w:val="center"/>
            <w:hideMark/>
          </w:tcPr>
          <w:p w14:paraId="221BB99B"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3</w:t>
            </w:r>
          </w:p>
        </w:tc>
        <w:tc>
          <w:tcPr>
            <w:tcW w:w="851" w:type="dxa"/>
            <w:tcBorders>
              <w:top w:val="nil"/>
              <w:left w:val="nil"/>
              <w:bottom w:val="single" w:sz="8" w:space="0" w:color="auto"/>
              <w:right w:val="nil"/>
            </w:tcBorders>
            <w:shd w:val="clear" w:color="000000" w:fill="BFBFBF"/>
            <w:vAlign w:val="center"/>
            <w:hideMark/>
          </w:tcPr>
          <w:p w14:paraId="1CAC379E"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4</w:t>
            </w:r>
          </w:p>
        </w:tc>
        <w:tc>
          <w:tcPr>
            <w:tcW w:w="850" w:type="dxa"/>
            <w:tcBorders>
              <w:top w:val="nil"/>
              <w:left w:val="nil"/>
              <w:bottom w:val="single" w:sz="8" w:space="0" w:color="auto"/>
              <w:right w:val="nil"/>
            </w:tcBorders>
            <w:shd w:val="clear" w:color="000000" w:fill="BFBFBF"/>
            <w:vAlign w:val="center"/>
            <w:hideMark/>
          </w:tcPr>
          <w:p w14:paraId="15DE66BE"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5</w:t>
            </w:r>
          </w:p>
        </w:tc>
        <w:tc>
          <w:tcPr>
            <w:tcW w:w="851" w:type="dxa"/>
            <w:tcBorders>
              <w:top w:val="nil"/>
              <w:left w:val="nil"/>
              <w:bottom w:val="single" w:sz="8" w:space="0" w:color="auto"/>
              <w:right w:val="nil"/>
            </w:tcBorders>
            <w:shd w:val="clear" w:color="000000" w:fill="BFBFBF"/>
            <w:vAlign w:val="center"/>
            <w:hideMark/>
          </w:tcPr>
          <w:p w14:paraId="10183F4C"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6=4-3</w:t>
            </w:r>
          </w:p>
        </w:tc>
        <w:tc>
          <w:tcPr>
            <w:tcW w:w="709" w:type="dxa"/>
            <w:tcBorders>
              <w:top w:val="nil"/>
              <w:left w:val="nil"/>
              <w:bottom w:val="single" w:sz="8" w:space="0" w:color="auto"/>
              <w:right w:val="nil"/>
            </w:tcBorders>
            <w:shd w:val="clear" w:color="000000" w:fill="BFBFBF"/>
            <w:vAlign w:val="center"/>
            <w:hideMark/>
          </w:tcPr>
          <w:p w14:paraId="0D4109E6" w14:textId="77777777" w:rsidR="00EA177A" w:rsidRPr="000748F9" w:rsidRDefault="00EA177A" w:rsidP="00C704A7">
            <w:pPr>
              <w:spacing w:after="0" w:line="240" w:lineRule="auto"/>
              <w:jc w:val="center"/>
              <w:rPr>
                <w:rFonts w:eastAsia="Times New Roman" w:cs="Times New Roman"/>
                <w:b/>
                <w:bCs/>
                <w:sz w:val="18"/>
                <w:szCs w:val="18"/>
                <w:lang w:eastAsia="sk-SK"/>
              </w:rPr>
            </w:pPr>
            <w:r w:rsidRPr="000748F9">
              <w:rPr>
                <w:rFonts w:eastAsia="Times New Roman" w:cs="Times New Roman"/>
                <w:b/>
                <w:bCs/>
                <w:sz w:val="18"/>
                <w:szCs w:val="18"/>
                <w:lang w:eastAsia="sk-SK"/>
              </w:rPr>
              <w:t>7=4-3</w:t>
            </w:r>
          </w:p>
        </w:tc>
      </w:tr>
      <w:tr w:rsidR="00EA177A" w:rsidRPr="000748F9" w14:paraId="06B2D366" w14:textId="77777777" w:rsidTr="0044781D">
        <w:trPr>
          <w:trHeight w:val="426"/>
        </w:trPr>
        <w:tc>
          <w:tcPr>
            <w:tcW w:w="2967" w:type="dxa"/>
            <w:tcBorders>
              <w:top w:val="nil"/>
              <w:left w:val="nil"/>
              <w:bottom w:val="nil"/>
              <w:right w:val="nil"/>
            </w:tcBorders>
            <w:shd w:val="clear" w:color="000000" w:fill="FFFFFF"/>
            <w:vAlign w:val="center"/>
            <w:hideMark/>
          </w:tcPr>
          <w:p w14:paraId="1EEE6D14"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Ministerstvo školstva, vedy, výskumu a športu SR</w:t>
            </w:r>
          </w:p>
        </w:tc>
        <w:tc>
          <w:tcPr>
            <w:tcW w:w="851" w:type="dxa"/>
            <w:tcBorders>
              <w:top w:val="nil"/>
              <w:left w:val="nil"/>
              <w:bottom w:val="nil"/>
              <w:right w:val="nil"/>
            </w:tcBorders>
            <w:shd w:val="clear" w:color="000000" w:fill="FFFFFF"/>
            <w:noWrap/>
            <w:vAlign w:val="center"/>
            <w:hideMark/>
          </w:tcPr>
          <w:p w14:paraId="3BDB68D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425 608</w:t>
            </w:r>
          </w:p>
        </w:tc>
        <w:tc>
          <w:tcPr>
            <w:tcW w:w="733" w:type="dxa"/>
            <w:tcBorders>
              <w:top w:val="nil"/>
              <w:left w:val="nil"/>
              <w:bottom w:val="nil"/>
              <w:right w:val="nil"/>
            </w:tcBorders>
            <w:shd w:val="clear" w:color="000000" w:fill="FFFFFF"/>
            <w:noWrap/>
            <w:vAlign w:val="center"/>
            <w:hideMark/>
          </w:tcPr>
          <w:p w14:paraId="6B50D784"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431 228</w:t>
            </w:r>
          </w:p>
        </w:tc>
        <w:tc>
          <w:tcPr>
            <w:tcW w:w="850" w:type="dxa"/>
            <w:tcBorders>
              <w:top w:val="nil"/>
              <w:left w:val="nil"/>
              <w:bottom w:val="nil"/>
              <w:right w:val="nil"/>
            </w:tcBorders>
            <w:shd w:val="clear" w:color="000000" w:fill="FFFFFF"/>
            <w:noWrap/>
            <w:vAlign w:val="center"/>
            <w:hideMark/>
          </w:tcPr>
          <w:p w14:paraId="1768C8A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488 813</w:t>
            </w:r>
          </w:p>
        </w:tc>
        <w:tc>
          <w:tcPr>
            <w:tcW w:w="851" w:type="dxa"/>
            <w:tcBorders>
              <w:top w:val="nil"/>
              <w:left w:val="nil"/>
              <w:bottom w:val="nil"/>
              <w:right w:val="nil"/>
            </w:tcBorders>
            <w:shd w:val="clear" w:color="000000" w:fill="BFBFBF"/>
            <w:noWrap/>
            <w:vAlign w:val="center"/>
            <w:hideMark/>
          </w:tcPr>
          <w:p w14:paraId="29E5B51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473 866</w:t>
            </w:r>
          </w:p>
        </w:tc>
        <w:tc>
          <w:tcPr>
            <w:tcW w:w="850" w:type="dxa"/>
            <w:tcBorders>
              <w:top w:val="nil"/>
              <w:left w:val="nil"/>
              <w:bottom w:val="nil"/>
              <w:right w:val="nil"/>
            </w:tcBorders>
            <w:shd w:val="clear" w:color="auto" w:fill="auto"/>
            <w:noWrap/>
            <w:vAlign w:val="center"/>
            <w:hideMark/>
          </w:tcPr>
          <w:p w14:paraId="6C5FE1D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471 499</w:t>
            </w:r>
          </w:p>
        </w:tc>
        <w:tc>
          <w:tcPr>
            <w:tcW w:w="851" w:type="dxa"/>
            <w:tcBorders>
              <w:top w:val="nil"/>
              <w:left w:val="nil"/>
              <w:bottom w:val="nil"/>
              <w:right w:val="nil"/>
            </w:tcBorders>
            <w:shd w:val="clear" w:color="000000" w:fill="FFFFFF"/>
            <w:vAlign w:val="center"/>
            <w:hideMark/>
          </w:tcPr>
          <w:p w14:paraId="35686D7E"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-14 947</w:t>
            </w:r>
          </w:p>
        </w:tc>
        <w:tc>
          <w:tcPr>
            <w:tcW w:w="709" w:type="dxa"/>
            <w:tcBorders>
              <w:top w:val="nil"/>
              <w:left w:val="nil"/>
              <w:bottom w:val="nil"/>
              <w:right w:val="nil"/>
            </w:tcBorders>
            <w:shd w:val="clear" w:color="000000" w:fill="FFFFFF"/>
            <w:vAlign w:val="center"/>
            <w:hideMark/>
          </w:tcPr>
          <w:p w14:paraId="023D5A0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-3,1</w:t>
            </w:r>
          </w:p>
        </w:tc>
      </w:tr>
      <w:tr w:rsidR="00EA177A" w:rsidRPr="000748F9" w14:paraId="7BC531EB" w14:textId="77777777" w:rsidTr="0044781D">
        <w:trPr>
          <w:trHeight w:val="345"/>
        </w:trPr>
        <w:tc>
          <w:tcPr>
            <w:tcW w:w="2967" w:type="dxa"/>
            <w:tcBorders>
              <w:top w:val="nil"/>
              <w:left w:val="nil"/>
              <w:bottom w:val="nil"/>
              <w:right w:val="nil"/>
            </w:tcBorders>
            <w:shd w:val="clear" w:color="000000" w:fill="FFFFFF"/>
            <w:vAlign w:val="center"/>
            <w:hideMark/>
          </w:tcPr>
          <w:p w14:paraId="1564AD47"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Ministerstvo pôdohospodárstva a rozvoja vidieka SR</w:t>
            </w:r>
          </w:p>
        </w:tc>
        <w:tc>
          <w:tcPr>
            <w:tcW w:w="851" w:type="dxa"/>
            <w:tcBorders>
              <w:top w:val="nil"/>
              <w:left w:val="nil"/>
              <w:bottom w:val="nil"/>
              <w:right w:val="nil"/>
            </w:tcBorders>
            <w:shd w:val="clear" w:color="000000" w:fill="FFFFFF"/>
            <w:noWrap/>
            <w:vAlign w:val="bottom"/>
            <w:hideMark/>
          </w:tcPr>
          <w:p w14:paraId="5258304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2 322</w:t>
            </w:r>
          </w:p>
        </w:tc>
        <w:tc>
          <w:tcPr>
            <w:tcW w:w="733" w:type="dxa"/>
            <w:tcBorders>
              <w:top w:val="nil"/>
              <w:left w:val="nil"/>
              <w:bottom w:val="nil"/>
              <w:right w:val="nil"/>
            </w:tcBorders>
            <w:shd w:val="clear" w:color="000000" w:fill="FFFFFF"/>
            <w:noWrap/>
            <w:vAlign w:val="bottom"/>
            <w:hideMark/>
          </w:tcPr>
          <w:p w14:paraId="1C403CC4"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7 264</w:t>
            </w:r>
          </w:p>
        </w:tc>
        <w:tc>
          <w:tcPr>
            <w:tcW w:w="850" w:type="dxa"/>
            <w:tcBorders>
              <w:top w:val="nil"/>
              <w:left w:val="nil"/>
              <w:bottom w:val="nil"/>
              <w:right w:val="nil"/>
            </w:tcBorders>
            <w:shd w:val="clear" w:color="000000" w:fill="FFFFFF"/>
            <w:noWrap/>
            <w:vAlign w:val="bottom"/>
            <w:hideMark/>
          </w:tcPr>
          <w:p w14:paraId="6767F2D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bottom"/>
            <w:hideMark/>
          </w:tcPr>
          <w:p w14:paraId="19DBC81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49 134</w:t>
            </w:r>
          </w:p>
        </w:tc>
        <w:tc>
          <w:tcPr>
            <w:tcW w:w="850" w:type="dxa"/>
            <w:tcBorders>
              <w:top w:val="nil"/>
              <w:left w:val="nil"/>
              <w:bottom w:val="nil"/>
              <w:right w:val="nil"/>
            </w:tcBorders>
            <w:shd w:val="clear" w:color="auto" w:fill="auto"/>
            <w:noWrap/>
            <w:vAlign w:val="bottom"/>
            <w:hideMark/>
          </w:tcPr>
          <w:p w14:paraId="1F981E1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FFFFFF"/>
            <w:vAlign w:val="bottom"/>
            <w:hideMark/>
          </w:tcPr>
          <w:p w14:paraId="29C6CB8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49 134</w:t>
            </w:r>
          </w:p>
        </w:tc>
        <w:tc>
          <w:tcPr>
            <w:tcW w:w="709" w:type="dxa"/>
            <w:tcBorders>
              <w:top w:val="nil"/>
              <w:left w:val="nil"/>
              <w:bottom w:val="nil"/>
              <w:right w:val="nil"/>
            </w:tcBorders>
            <w:shd w:val="clear" w:color="000000" w:fill="FFFFFF"/>
            <w:vAlign w:val="bottom"/>
            <w:hideMark/>
          </w:tcPr>
          <w:p w14:paraId="4A7B6B0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5ECFDDA7" w14:textId="77777777" w:rsidTr="0044781D">
        <w:trPr>
          <w:trHeight w:val="330"/>
        </w:trPr>
        <w:tc>
          <w:tcPr>
            <w:tcW w:w="2967" w:type="dxa"/>
            <w:tcBorders>
              <w:top w:val="nil"/>
              <w:left w:val="nil"/>
              <w:bottom w:val="nil"/>
              <w:right w:val="nil"/>
            </w:tcBorders>
            <w:shd w:val="clear" w:color="000000" w:fill="FFFFFF"/>
            <w:noWrap/>
            <w:vAlign w:val="center"/>
            <w:hideMark/>
          </w:tcPr>
          <w:p w14:paraId="571910C9"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Všeobecná pokladničná správa</w:t>
            </w:r>
          </w:p>
        </w:tc>
        <w:tc>
          <w:tcPr>
            <w:tcW w:w="851" w:type="dxa"/>
            <w:tcBorders>
              <w:top w:val="nil"/>
              <w:left w:val="nil"/>
              <w:bottom w:val="nil"/>
              <w:right w:val="nil"/>
            </w:tcBorders>
            <w:shd w:val="clear" w:color="000000" w:fill="FFFFFF"/>
            <w:noWrap/>
            <w:vAlign w:val="center"/>
            <w:hideMark/>
          </w:tcPr>
          <w:p w14:paraId="77A5D824"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2 750</w:t>
            </w:r>
          </w:p>
        </w:tc>
        <w:tc>
          <w:tcPr>
            <w:tcW w:w="733" w:type="dxa"/>
            <w:tcBorders>
              <w:top w:val="nil"/>
              <w:left w:val="nil"/>
              <w:bottom w:val="nil"/>
              <w:right w:val="nil"/>
            </w:tcBorders>
            <w:shd w:val="clear" w:color="000000" w:fill="FFFFFF"/>
            <w:noWrap/>
            <w:vAlign w:val="center"/>
            <w:hideMark/>
          </w:tcPr>
          <w:p w14:paraId="3061D736"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5 293</w:t>
            </w:r>
          </w:p>
        </w:tc>
        <w:tc>
          <w:tcPr>
            <w:tcW w:w="850" w:type="dxa"/>
            <w:tcBorders>
              <w:top w:val="nil"/>
              <w:left w:val="nil"/>
              <w:bottom w:val="nil"/>
              <w:right w:val="nil"/>
            </w:tcBorders>
            <w:shd w:val="clear" w:color="000000" w:fill="FFFFFF"/>
            <w:noWrap/>
            <w:vAlign w:val="center"/>
            <w:hideMark/>
          </w:tcPr>
          <w:p w14:paraId="348A0F74"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center"/>
            <w:hideMark/>
          </w:tcPr>
          <w:p w14:paraId="2F7FB10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2 996</w:t>
            </w:r>
          </w:p>
        </w:tc>
        <w:tc>
          <w:tcPr>
            <w:tcW w:w="850" w:type="dxa"/>
            <w:tcBorders>
              <w:top w:val="nil"/>
              <w:left w:val="nil"/>
              <w:bottom w:val="nil"/>
              <w:right w:val="nil"/>
            </w:tcBorders>
            <w:shd w:val="clear" w:color="auto" w:fill="auto"/>
            <w:noWrap/>
            <w:vAlign w:val="center"/>
            <w:hideMark/>
          </w:tcPr>
          <w:p w14:paraId="50B6415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2 337</w:t>
            </w:r>
          </w:p>
        </w:tc>
        <w:tc>
          <w:tcPr>
            <w:tcW w:w="851" w:type="dxa"/>
            <w:tcBorders>
              <w:top w:val="nil"/>
              <w:left w:val="nil"/>
              <w:bottom w:val="nil"/>
              <w:right w:val="nil"/>
            </w:tcBorders>
            <w:shd w:val="clear" w:color="000000" w:fill="FFFFFF"/>
            <w:vAlign w:val="center"/>
            <w:hideMark/>
          </w:tcPr>
          <w:p w14:paraId="7AF669FE"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2 996</w:t>
            </w:r>
          </w:p>
        </w:tc>
        <w:tc>
          <w:tcPr>
            <w:tcW w:w="709" w:type="dxa"/>
            <w:tcBorders>
              <w:top w:val="nil"/>
              <w:left w:val="nil"/>
              <w:bottom w:val="nil"/>
              <w:right w:val="nil"/>
            </w:tcBorders>
            <w:shd w:val="clear" w:color="000000" w:fill="FFFFFF"/>
            <w:vAlign w:val="center"/>
            <w:hideMark/>
          </w:tcPr>
          <w:p w14:paraId="5A4D33F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3A59E03B" w14:textId="77777777" w:rsidTr="0044781D">
        <w:trPr>
          <w:trHeight w:val="330"/>
        </w:trPr>
        <w:tc>
          <w:tcPr>
            <w:tcW w:w="2967" w:type="dxa"/>
            <w:tcBorders>
              <w:top w:val="nil"/>
              <w:left w:val="nil"/>
              <w:bottom w:val="nil"/>
              <w:right w:val="nil"/>
            </w:tcBorders>
            <w:shd w:val="clear" w:color="000000" w:fill="FFFFFF"/>
            <w:vAlign w:val="center"/>
            <w:hideMark/>
          </w:tcPr>
          <w:p w14:paraId="677735B8"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Ministerstvo životného prostredia SR</w:t>
            </w:r>
          </w:p>
        </w:tc>
        <w:tc>
          <w:tcPr>
            <w:tcW w:w="851" w:type="dxa"/>
            <w:tcBorders>
              <w:top w:val="nil"/>
              <w:left w:val="nil"/>
              <w:bottom w:val="nil"/>
              <w:right w:val="nil"/>
            </w:tcBorders>
            <w:shd w:val="clear" w:color="000000" w:fill="FFFFFF"/>
            <w:noWrap/>
            <w:vAlign w:val="center"/>
            <w:hideMark/>
          </w:tcPr>
          <w:p w14:paraId="6354BCD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733" w:type="dxa"/>
            <w:tcBorders>
              <w:top w:val="nil"/>
              <w:left w:val="nil"/>
              <w:bottom w:val="nil"/>
              <w:right w:val="nil"/>
            </w:tcBorders>
            <w:shd w:val="clear" w:color="000000" w:fill="FFFFFF"/>
            <w:noWrap/>
            <w:vAlign w:val="center"/>
            <w:hideMark/>
          </w:tcPr>
          <w:p w14:paraId="44DC8A1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2 532</w:t>
            </w:r>
          </w:p>
        </w:tc>
        <w:tc>
          <w:tcPr>
            <w:tcW w:w="850" w:type="dxa"/>
            <w:tcBorders>
              <w:top w:val="nil"/>
              <w:left w:val="nil"/>
              <w:bottom w:val="nil"/>
              <w:right w:val="nil"/>
            </w:tcBorders>
            <w:shd w:val="clear" w:color="000000" w:fill="FFFFFF"/>
            <w:noWrap/>
            <w:vAlign w:val="center"/>
            <w:hideMark/>
          </w:tcPr>
          <w:p w14:paraId="5BABAC3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center"/>
            <w:hideMark/>
          </w:tcPr>
          <w:p w14:paraId="63F9A0F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2 597</w:t>
            </w:r>
          </w:p>
        </w:tc>
        <w:tc>
          <w:tcPr>
            <w:tcW w:w="850" w:type="dxa"/>
            <w:tcBorders>
              <w:top w:val="nil"/>
              <w:left w:val="nil"/>
              <w:bottom w:val="nil"/>
              <w:right w:val="nil"/>
            </w:tcBorders>
            <w:shd w:val="clear" w:color="auto" w:fill="auto"/>
            <w:noWrap/>
            <w:vAlign w:val="center"/>
            <w:hideMark/>
          </w:tcPr>
          <w:p w14:paraId="7AA1741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FFFFFF"/>
            <w:vAlign w:val="center"/>
            <w:hideMark/>
          </w:tcPr>
          <w:p w14:paraId="1EF00F1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2 597</w:t>
            </w:r>
          </w:p>
        </w:tc>
        <w:tc>
          <w:tcPr>
            <w:tcW w:w="709" w:type="dxa"/>
            <w:tcBorders>
              <w:top w:val="nil"/>
              <w:left w:val="nil"/>
              <w:bottom w:val="nil"/>
              <w:right w:val="nil"/>
            </w:tcBorders>
            <w:shd w:val="clear" w:color="000000" w:fill="FFFFFF"/>
            <w:vAlign w:val="center"/>
            <w:hideMark/>
          </w:tcPr>
          <w:p w14:paraId="7A80CD8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1CA48061" w14:textId="77777777" w:rsidTr="0044781D">
        <w:trPr>
          <w:trHeight w:val="330"/>
        </w:trPr>
        <w:tc>
          <w:tcPr>
            <w:tcW w:w="2967" w:type="dxa"/>
            <w:tcBorders>
              <w:top w:val="nil"/>
              <w:left w:val="nil"/>
              <w:bottom w:val="nil"/>
              <w:right w:val="nil"/>
            </w:tcBorders>
            <w:shd w:val="clear" w:color="000000" w:fill="FFFFFF"/>
            <w:vAlign w:val="center"/>
            <w:hideMark/>
          </w:tcPr>
          <w:p w14:paraId="24FBFACC"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Ministerstvo kultúry SR</w:t>
            </w:r>
          </w:p>
        </w:tc>
        <w:tc>
          <w:tcPr>
            <w:tcW w:w="851" w:type="dxa"/>
            <w:tcBorders>
              <w:top w:val="nil"/>
              <w:left w:val="nil"/>
              <w:bottom w:val="nil"/>
              <w:right w:val="nil"/>
            </w:tcBorders>
            <w:shd w:val="clear" w:color="000000" w:fill="FFFFFF"/>
            <w:noWrap/>
            <w:vAlign w:val="center"/>
            <w:hideMark/>
          </w:tcPr>
          <w:p w14:paraId="71D122E6"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639</w:t>
            </w:r>
          </w:p>
        </w:tc>
        <w:tc>
          <w:tcPr>
            <w:tcW w:w="733" w:type="dxa"/>
            <w:tcBorders>
              <w:top w:val="nil"/>
              <w:left w:val="nil"/>
              <w:bottom w:val="nil"/>
              <w:right w:val="nil"/>
            </w:tcBorders>
            <w:shd w:val="clear" w:color="000000" w:fill="FFFFFF"/>
            <w:noWrap/>
            <w:vAlign w:val="center"/>
            <w:hideMark/>
          </w:tcPr>
          <w:p w14:paraId="7F34B3A2"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1 425</w:t>
            </w:r>
          </w:p>
        </w:tc>
        <w:tc>
          <w:tcPr>
            <w:tcW w:w="850" w:type="dxa"/>
            <w:tcBorders>
              <w:top w:val="nil"/>
              <w:left w:val="nil"/>
              <w:bottom w:val="nil"/>
              <w:right w:val="nil"/>
            </w:tcBorders>
            <w:shd w:val="clear" w:color="000000" w:fill="FFFFFF"/>
            <w:noWrap/>
            <w:vAlign w:val="center"/>
            <w:hideMark/>
          </w:tcPr>
          <w:p w14:paraId="23DC4537"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center"/>
            <w:hideMark/>
          </w:tcPr>
          <w:p w14:paraId="5458101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769</w:t>
            </w:r>
          </w:p>
        </w:tc>
        <w:tc>
          <w:tcPr>
            <w:tcW w:w="850" w:type="dxa"/>
            <w:tcBorders>
              <w:top w:val="nil"/>
              <w:left w:val="nil"/>
              <w:bottom w:val="nil"/>
              <w:right w:val="nil"/>
            </w:tcBorders>
            <w:shd w:val="clear" w:color="auto" w:fill="auto"/>
            <w:noWrap/>
            <w:vAlign w:val="center"/>
            <w:hideMark/>
          </w:tcPr>
          <w:p w14:paraId="516E3CA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769</w:t>
            </w:r>
          </w:p>
        </w:tc>
        <w:tc>
          <w:tcPr>
            <w:tcW w:w="851" w:type="dxa"/>
            <w:tcBorders>
              <w:top w:val="nil"/>
              <w:left w:val="nil"/>
              <w:bottom w:val="nil"/>
              <w:right w:val="nil"/>
            </w:tcBorders>
            <w:shd w:val="clear" w:color="000000" w:fill="FFFFFF"/>
            <w:vAlign w:val="center"/>
            <w:hideMark/>
          </w:tcPr>
          <w:p w14:paraId="0D1923D7"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769</w:t>
            </w:r>
          </w:p>
        </w:tc>
        <w:tc>
          <w:tcPr>
            <w:tcW w:w="709" w:type="dxa"/>
            <w:tcBorders>
              <w:top w:val="nil"/>
              <w:left w:val="nil"/>
              <w:bottom w:val="nil"/>
              <w:right w:val="nil"/>
            </w:tcBorders>
            <w:shd w:val="clear" w:color="000000" w:fill="FFFFFF"/>
            <w:vAlign w:val="center"/>
            <w:hideMark/>
          </w:tcPr>
          <w:p w14:paraId="1880B4C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0869E882" w14:textId="77777777" w:rsidTr="0044781D">
        <w:trPr>
          <w:trHeight w:val="345"/>
        </w:trPr>
        <w:tc>
          <w:tcPr>
            <w:tcW w:w="2967" w:type="dxa"/>
            <w:tcBorders>
              <w:top w:val="nil"/>
              <w:left w:val="nil"/>
              <w:bottom w:val="nil"/>
              <w:right w:val="nil"/>
            </w:tcBorders>
            <w:shd w:val="clear" w:color="000000" w:fill="FFFFFF"/>
            <w:vAlign w:val="center"/>
            <w:hideMark/>
          </w:tcPr>
          <w:p w14:paraId="6DDDB84A"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 xml:space="preserve">Ministerstvo práce, </w:t>
            </w:r>
            <w:proofErr w:type="spellStart"/>
            <w:r w:rsidRPr="000748F9">
              <w:rPr>
                <w:rFonts w:eastAsia="Times New Roman" w:cs="Times New Roman"/>
                <w:color w:val="000000"/>
                <w:sz w:val="18"/>
                <w:szCs w:val="18"/>
                <w:lang w:eastAsia="sk-SK"/>
              </w:rPr>
              <w:t>soc.vecí</w:t>
            </w:r>
            <w:proofErr w:type="spellEnd"/>
            <w:r w:rsidRPr="000748F9">
              <w:rPr>
                <w:rFonts w:eastAsia="Times New Roman" w:cs="Times New Roman"/>
                <w:color w:val="000000"/>
                <w:sz w:val="18"/>
                <w:szCs w:val="18"/>
                <w:lang w:eastAsia="sk-SK"/>
              </w:rPr>
              <w:t xml:space="preserve"> a rodiny SR</w:t>
            </w:r>
          </w:p>
        </w:tc>
        <w:tc>
          <w:tcPr>
            <w:tcW w:w="851" w:type="dxa"/>
            <w:tcBorders>
              <w:top w:val="nil"/>
              <w:left w:val="nil"/>
              <w:bottom w:val="nil"/>
              <w:right w:val="nil"/>
            </w:tcBorders>
            <w:shd w:val="clear" w:color="000000" w:fill="FFFFFF"/>
            <w:noWrap/>
            <w:vAlign w:val="center"/>
            <w:hideMark/>
          </w:tcPr>
          <w:p w14:paraId="6DF3F1C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2 002</w:t>
            </w:r>
          </w:p>
        </w:tc>
        <w:tc>
          <w:tcPr>
            <w:tcW w:w="733" w:type="dxa"/>
            <w:tcBorders>
              <w:top w:val="nil"/>
              <w:left w:val="nil"/>
              <w:bottom w:val="nil"/>
              <w:right w:val="nil"/>
            </w:tcBorders>
            <w:shd w:val="clear" w:color="000000" w:fill="FFFFFF"/>
            <w:noWrap/>
            <w:vAlign w:val="center"/>
            <w:hideMark/>
          </w:tcPr>
          <w:p w14:paraId="428F6C1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2 080</w:t>
            </w:r>
          </w:p>
        </w:tc>
        <w:tc>
          <w:tcPr>
            <w:tcW w:w="850" w:type="dxa"/>
            <w:tcBorders>
              <w:top w:val="nil"/>
              <w:left w:val="nil"/>
              <w:bottom w:val="nil"/>
              <w:right w:val="nil"/>
            </w:tcBorders>
            <w:shd w:val="clear" w:color="000000" w:fill="FFFFFF"/>
            <w:noWrap/>
            <w:vAlign w:val="center"/>
            <w:hideMark/>
          </w:tcPr>
          <w:p w14:paraId="1332472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center"/>
            <w:hideMark/>
          </w:tcPr>
          <w:p w14:paraId="0AE0A81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654</w:t>
            </w:r>
          </w:p>
        </w:tc>
        <w:tc>
          <w:tcPr>
            <w:tcW w:w="850" w:type="dxa"/>
            <w:tcBorders>
              <w:top w:val="nil"/>
              <w:left w:val="nil"/>
              <w:bottom w:val="nil"/>
              <w:right w:val="nil"/>
            </w:tcBorders>
            <w:shd w:val="clear" w:color="auto" w:fill="auto"/>
            <w:noWrap/>
            <w:vAlign w:val="center"/>
            <w:hideMark/>
          </w:tcPr>
          <w:p w14:paraId="679D5D0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638</w:t>
            </w:r>
          </w:p>
        </w:tc>
        <w:tc>
          <w:tcPr>
            <w:tcW w:w="851" w:type="dxa"/>
            <w:tcBorders>
              <w:top w:val="nil"/>
              <w:left w:val="nil"/>
              <w:bottom w:val="nil"/>
              <w:right w:val="nil"/>
            </w:tcBorders>
            <w:shd w:val="clear" w:color="000000" w:fill="FFFFFF"/>
            <w:vAlign w:val="center"/>
            <w:hideMark/>
          </w:tcPr>
          <w:p w14:paraId="1B070494"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654</w:t>
            </w:r>
          </w:p>
        </w:tc>
        <w:tc>
          <w:tcPr>
            <w:tcW w:w="709" w:type="dxa"/>
            <w:tcBorders>
              <w:top w:val="nil"/>
              <w:left w:val="nil"/>
              <w:bottom w:val="nil"/>
              <w:right w:val="nil"/>
            </w:tcBorders>
            <w:shd w:val="clear" w:color="000000" w:fill="FFFFFF"/>
            <w:vAlign w:val="center"/>
            <w:hideMark/>
          </w:tcPr>
          <w:p w14:paraId="7747613A"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7AFD5BC6" w14:textId="77777777" w:rsidTr="0044781D">
        <w:trPr>
          <w:trHeight w:val="330"/>
        </w:trPr>
        <w:tc>
          <w:tcPr>
            <w:tcW w:w="2967" w:type="dxa"/>
            <w:tcBorders>
              <w:top w:val="nil"/>
              <w:left w:val="nil"/>
              <w:bottom w:val="nil"/>
              <w:right w:val="nil"/>
            </w:tcBorders>
            <w:shd w:val="clear" w:color="000000" w:fill="FFFFFF"/>
            <w:noWrap/>
            <w:vAlign w:val="center"/>
            <w:hideMark/>
          </w:tcPr>
          <w:p w14:paraId="62096F35"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Úrad vlády SR</w:t>
            </w:r>
          </w:p>
        </w:tc>
        <w:tc>
          <w:tcPr>
            <w:tcW w:w="851" w:type="dxa"/>
            <w:tcBorders>
              <w:top w:val="nil"/>
              <w:left w:val="nil"/>
              <w:bottom w:val="nil"/>
              <w:right w:val="nil"/>
            </w:tcBorders>
            <w:shd w:val="clear" w:color="000000" w:fill="FFFFFF"/>
            <w:noWrap/>
            <w:vAlign w:val="center"/>
            <w:hideMark/>
          </w:tcPr>
          <w:p w14:paraId="1EFC35F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158</w:t>
            </w:r>
          </w:p>
        </w:tc>
        <w:tc>
          <w:tcPr>
            <w:tcW w:w="733" w:type="dxa"/>
            <w:tcBorders>
              <w:top w:val="nil"/>
              <w:left w:val="nil"/>
              <w:bottom w:val="nil"/>
              <w:right w:val="nil"/>
            </w:tcBorders>
            <w:shd w:val="clear" w:color="000000" w:fill="FFFFFF"/>
            <w:noWrap/>
            <w:vAlign w:val="center"/>
            <w:hideMark/>
          </w:tcPr>
          <w:p w14:paraId="4CB0472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317</w:t>
            </w:r>
          </w:p>
        </w:tc>
        <w:tc>
          <w:tcPr>
            <w:tcW w:w="850" w:type="dxa"/>
            <w:tcBorders>
              <w:top w:val="nil"/>
              <w:left w:val="nil"/>
              <w:bottom w:val="nil"/>
              <w:right w:val="nil"/>
            </w:tcBorders>
            <w:shd w:val="clear" w:color="000000" w:fill="FFFFFF"/>
            <w:noWrap/>
            <w:vAlign w:val="center"/>
            <w:hideMark/>
          </w:tcPr>
          <w:p w14:paraId="21A5D8D7"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center"/>
            <w:hideMark/>
          </w:tcPr>
          <w:p w14:paraId="727C82C0"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473</w:t>
            </w:r>
          </w:p>
        </w:tc>
        <w:tc>
          <w:tcPr>
            <w:tcW w:w="850" w:type="dxa"/>
            <w:tcBorders>
              <w:top w:val="nil"/>
              <w:left w:val="nil"/>
              <w:bottom w:val="nil"/>
              <w:right w:val="nil"/>
            </w:tcBorders>
            <w:shd w:val="clear" w:color="auto" w:fill="auto"/>
            <w:noWrap/>
            <w:vAlign w:val="center"/>
            <w:hideMark/>
          </w:tcPr>
          <w:p w14:paraId="2DB0E70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135</w:t>
            </w:r>
          </w:p>
        </w:tc>
        <w:tc>
          <w:tcPr>
            <w:tcW w:w="851" w:type="dxa"/>
            <w:tcBorders>
              <w:top w:val="nil"/>
              <w:left w:val="nil"/>
              <w:bottom w:val="nil"/>
              <w:right w:val="nil"/>
            </w:tcBorders>
            <w:shd w:val="clear" w:color="000000" w:fill="FFFFFF"/>
            <w:vAlign w:val="center"/>
            <w:hideMark/>
          </w:tcPr>
          <w:p w14:paraId="769AD086"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473</w:t>
            </w:r>
          </w:p>
        </w:tc>
        <w:tc>
          <w:tcPr>
            <w:tcW w:w="709" w:type="dxa"/>
            <w:tcBorders>
              <w:top w:val="nil"/>
              <w:left w:val="nil"/>
              <w:bottom w:val="nil"/>
              <w:right w:val="nil"/>
            </w:tcBorders>
            <w:shd w:val="clear" w:color="000000" w:fill="FFFFFF"/>
            <w:vAlign w:val="center"/>
            <w:hideMark/>
          </w:tcPr>
          <w:p w14:paraId="2C3EA99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212B46E9" w14:textId="77777777" w:rsidTr="0044781D">
        <w:trPr>
          <w:trHeight w:val="330"/>
        </w:trPr>
        <w:tc>
          <w:tcPr>
            <w:tcW w:w="2967" w:type="dxa"/>
            <w:tcBorders>
              <w:top w:val="nil"/>
              <w:left w:val="nil"/>
              <w:bottom w:val="nil"/>
              <w:right w:val="nil"/>
            </w:tcBorders>
            <w:shd w:val="clear" w:color="000000" w:fill="FFFFFF"/>
            <w:noWrap/>
            <w:vAlign w:val="center"/>
            <w:hideMark/>
          </w:tcPr>
          <w:p w14:paraId="64B6AB2C"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Úrad podpredsedu vlády SR pre investície</w:t>
            </w:r>
          </w:p>
        </w:tc>
        <w:tc>
          <w:tcPr>
            <w:tcW w:w="851" w:type="dxa"/>
            <w:tcBorders>
              <w:top w:val="nil"/>
              <w:left w:val="nil"/>
              <w:bottom w:val="nil"/>
              <w:right w:val="nil"/>
            </w:tcBorders>
            <w:shd w:val="clear" w:color="000000" w:fill="FFFFFF"/>
            <w:noWrap/>
            <w:vAlign w:val="center"/>
            <w:hideMark/>
          </w:tcPr>
          <w:p w14:paraId="4ED194B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733" w:type="dxa"/>
            <w:tcBorders>
              <w:top w:val="nil"/>
              <w:left w:val="nil"/>
              <w:bottom w:val="nil"/>
              <w:right w:val="nil"/>
            </w:tcBorders>
            <w:shd w:val="clear" w:color="000000" w:fill="FFFFFF"/>
            <w:noWrap/>
            <w:vAlign w:val="center"/>
            <w:hideMark/>
          </w:tcPr>
          <w:p w14:paraId="5943399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noWrap/>
            <w:vAlign w:val="center"/>
            <w:hideMark/>
          </w:tcPr>
          <w:p w14:paraId="03058BDC"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BFBFBF"/>
            <w:noWrap/>
            <w:vAlign w:val="center"/>
            <w:hideMark/>
          </w:tcPr>
          <w:p w14:paraId="06D33245"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392</w:t>
            </w:r>
          </w:p>
        </w:tc>
        <w:tc>
          <w:tcPr>
            <w:tcW w:w="850" w:type="dxa"/>
            <w:tcBorders>
              <w:top w:val="nil"/>
              <w:left w:val="nil"/>
              <w:bottom w:val="nil"/>
              <w:right w:val="nil"/>
            </w:tcBorders>
            <w:shd w:val="clear" w:color="auto" w:fill="auto"/>
            <w:noWrap/>
            <w:vAlign w:val="center"/>
            <w:hideMark/>
          </w:tcPr>
          <w:p w14:paraId="6F3C2F26"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80</w:t>
            </w:r>
          </w:p>
        </w:tc>
        <w:tc>
          <w:tcPr>
            <w:tcW w:w="851" w:type="dxa"/>
            <w:tcBorders>
              <w:top w:val="nil"/>
              <w:left w:val="nil"/>
              <w:bottom w:val="nil"/>
              <w:right w:val="nil"/>
            </w:tcBorders>
            <w:shd w:val="clear" w:color="000000" w:fill="FFFFFF"/>
            <w:vAlign w:val="center"/>
            <w:hideMark/>
          </w:tcPr>
          <w:p w14:paraId="72E9AA7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392</w:t>
            </w:r>
          </w:p>
        </w:tc>
        <w:tc>
          <w:tcPr>
            <w:tcW w:w="709" w:type="dxa"/>
            <w:tcBorders>
              <w:top w:val="nil"/>
              <w:left w:val="nil"/>
              <w:bottom w:val="nil"/>
              <w:right w:val="nil"/>
            </w:tcBorders>
            <w:shd w:val="clear" w:color="000000" w:fill="FFFFFF"/>
            <w:vAlign w:val="center"/>
            <w:hideMark/>
          </w:tcPr>
          <w:p w14:paraId="093DC13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7CF569A2" w14:textId="77777777" w:rsidTr="0044781D">
        <w:trPr>
          <w:trHeight w:val="330"/>
        </w:trPr>
        <w:tc>
          <w:tcPr>
            <w:tcW w:w="2967" w:type="dxa"/>
            <w:tcBorders>
              <w:top w:val="nil"/>
              <w:left w:val="nil"/>
              <w:bottom w:val="nil"/>
              <w:right w:val="nil"/>
            </w:tcBorders>
            <w:shd w:val="clear" w:color="000000" w:fill="FFFFFF"/>
            <w:noWrap/>
            <w:vAlign w:val="center"/>
            <w:hideMark/>
          </w:tcPr>
          <w:p w14:paraId="144C14E4"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Ministerstvo vnútra SR</w:t>
            </w:r>
          </w:p>
        </w:tc>
        <w:tc>
          <w:tcPr>
            <w:tcW w:w="851" w:type="dxa"/>
            <w:tcBorders>
              <w:top w:val="nil"/>
              <w:left w:val="nil"/>
              <w:bottom w:val="nil"/>
              <w:right w:val="nil"/>
            </w:tcBorders>
            <w:shd w:val="clear" w:color="000000" w:fill="FFFFFF"/>
            <w:noWrap/>
            <w:vAlign w:val="center"/>
            <w:hideMark/>
          </w:tcPr>
          <w:p w14:paraId="45CA23C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169</w:t>
            </w:r>
          </w:p>
        </w:tc>
        <w:tc>
          <w:tcPr>
            <w:tcW w:w="733" w:type="dxa"/>
            <w:tcBorders>
              <w:top w:val="nil"/>
              <w:left w:val="nil"/>
              <w:bottom w:val="nil"/>
              <w:right w:val="nil"/>
            </w:tcBorders>
            <w:shd w:val="clear" w:color="000000" w:fill="FFFFFF"/>
            <w:noWrap/>
            <w:vAlign w:val="center"/>
            <w:hideMark/>
          </w:tcPr>
          <w:p w14:paraId="76CC596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5</w:t>
            </w:r>
          </w:p>
        </w:tc>
        <w:tc>
          <w:tcPr>
            <w:tcW w:w="850" w:type="dxa"/>
            <w:tcBorders>
              <w:top w:val="nil"/>
              <w:left w:val="nil"/>
              <w:bottom w:val="nil"/>
              <w:right w:val="nil"/>
            </w:tcBorders>
            <w:shd w:val="clear" w:color="000000" w:fill="FFFFFF"/>
            <w:noWrap/>
            <w:vAlign w:val="center"/>
            <w:hideMark/>
          </w:tcPr>
          <w:p w14:paraId="188F57EF"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BFBFBF"/>
            <w:noWrap/>
            <w:vAlign w:val="center"/>
            <w:hideMark/>
          </w:tcPr>
          <w:p w14:paraId="4E2D1B4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0" w:type="dxa"/>
            <w:tcBorders>
              <w:top w:val="nil"/>
              <w:left w:val="nil"/>
              <w:bottom w:val="nil"/>
              <w:right w:val="nil"/>
            </w:tcBorders>
            <w:shd w:val="clear" w:color="auto" w:fill="auto"/>
            <w:noWrap/>
            <w:vAlign w:val="center"/>
            <w:hideMark/>
          </w:tcPr>
          <w:p w14:paraId="337B65A1"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FFFFFF"/>
            <w:vAlign w:val="center"/>
            <w:hideMark/>
          </w:tcPr>
          <w:p w14:paraId="1FF6A33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709" w:type="dxa"/>
            <w:tcBorders>
              <w:top w:val="nil"/>
              <w:left w:val="nil"/>
              <w:bottom w:val="nil"/>
              <w:right w:val="nil"/>
            </w:tcBorders>
            <w:shd w:val="clear" w:color="000000" w:fill="FFFFFF"/>
            <w:vAlign w:val="center"/>
            <w:hideMark/>
          </w:tcPr>
          <w:p w14:paraId="53E11527"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68270461" w14:textId="77777777" w:rsidTr="0044781D">
        <w:trPr>
          <w:trHeight w:val="330"/>
        </w:trPr>
        <w:tc>
          <w:tcPr>
            <w:tcW w:w="2967" w:type="dxa"/>
            <w:tcBorders>
              <w:top w:val="nil"/>
              <w:left w:val="nil"/>
              <w:bottom w:val="nil"/>
              <w:right w:val="nil"/>
            </w:tcBorders>
            <w:shd w:val="clear" w:color="000000" w:fill="FFFFFF"/>
            <w:vAlign w:val="center"/>
            <w:hideMark/>
          </w:tcPr>
          <w:p w14:paraId="6DE25E57" w14:textId="77777777" w:rsidR="00EA177A" w:rsidRPr="000748F9" w:rsidRDefault="00EA177A" w:rsidP="00C704A7">
            <w:pPr>
              <w:spacing w:after="0" w:line="240" w:lineRule="auto"/>
              <w:jc w:val="left"/>
              <w:rPr>
                <w:rFonts w:eastAsia="Times New Roman" w:cs="Times New Roman"/>
                <w:color w:val="000000"/>
                <w:sz w:val="18"/>
                <w:szCs w:val="18"/>
                <w:lang w:eastAsia="sk-SK"/>
              </w:rPr>
            </w:pPr>
            <w:r w:rsidRPr="000748F9">
              <w:rPr>
                <w:rFonts w:eastAsia="Times New Roman" w:cs="Times New Roman"/>
                <w:color w:val="000000"/>
                <w:sz w:val="18"/>
                <w:szCs w:val="18"/>
                <w:lang w:eastAsia="sk-SK"/>
              </w:rPr>
              <w:t>Ministerstvo dopravy a výstavby SR</w:t>
            </w:r>
          </w:p>
        </w:tc>
        <w:tc>
          <w:tcPr>
            <w:tcW w:w="851" w:type="dxa"/>
            <w:tcBorders>
              <w:top w:val="nil"/>
              <w:left w:val="nil"/>
              <w:bottom w:val="nil"/>
              <w:right w:val="nil"/>
            </w:tcBorders>
            <w:shd w:val="clear" w:color="000000" w:fill="FFFFFF"/>
            <w:noWrap/>
            <w:vAlign w:val="center"/>
            <w:hideMark/>
          </w:tcPr>
          <w:p w14:paraId="204A1E6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733" w:type="dxa"/>
            <w:tcBorders>
              <w:top w:val="nil"/>
              <w:left w:val="nil"/>
              <w:bottom w:val="nil"/>
              <w:right w:val="nil"/>
            </w:tcBorders>
            <w:shd w:val="clear" w:color="000000" w:fill="FFFFFF"/>
            <w:noWrap/>
            <w:vAlign w:val="center"/>
            <w:hideMark/>
          </w:tcPr>
          <w:p w14:paraId="567E07F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7 200</w:t>
            </w:r>
          </w:p>
        </w:tc>
        <w:tc>
          <w:tcPr>
            <w:tcW w:w="850" w:type="dxa"/>
            <w:tcBorders>
              <w:top w:val="nil"/>
              <w:left w:val="nil"/>
              <w:bottom w:val="nil"/>
              <w:right w:val="nil"/>
            </w:tcBorders>
            <w:shd w:val="clear" w:color="000000" w:fill="FFFFFF"/>
            <w:noWrap/>
            <w:vAlign w:val="center"/>
            <w:hideMark/>
          </w:tcPr>
          <w:p w14:paraId="3C03D2A3"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BFBFBF"/>
            <w:noWrap/>
            <w:vAlign w:val="center"/>
            <w:hideMark/>
          </w:tcPr>
          <w:p w14:paraId="79B49D7D"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0" w:type="dxa"/>
            <w:tcBorders>
              <w:top w:val="nil"/>
              <w:left w:val="nil"/>
              <w:bottom w:val="nil"/>
              <w:right w:val="nil"/>
            </w:tcBorders>
            <w:shd w:val="clear" w:color="auto" w:fill="auto"/>
            <w:noWrap/>
            <w:vAlign w:val="center"/>
            <w:hideMark/>
          </w:tcPr>
          <w:p w14:paraId="210AC24B"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FFFFFF"/>
            <w:vAlign w:val="center"/>
            <w:hideMark/>
          </w:tcPr>
          <w:p w14:paraId="34CC70B8"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c>
          <w:tcPr>
            <w:tcW w:w="709" w:type="dxa"/>
            <w:tcBorders>
              <w:top w:val="nil"/>
              <w:left w:val="nil"/>
              <w:bottom w:val="nil"/>
              <w:right w:val="nil"/>
            </w:tcBorders>
            <w:shd w:val="clear" w:color="000000" w:fill="FFFFFF"/>
            <w:vAlign w:val="center"/>
            <w:hideMark/>
          </w:tcPr>
          <w:p w14:paraId="220D0289" w14:textId="77777777" w:rsidR="00EA177A" w:rsidRPr="000748F9" w:rsidRDefault="00EA177A" w:rsidP="00C704A7">
            <w:pPr>
              <w:spacing w:after="0" w:line="240" w:lineRule="auto"/>
              <w:jc w:val="right"/>
              <w:rPr>
                <w:rFonts w:eastAsia="Times New Roman" w:cs="Times New Roman"/>
                <w:color w:val="000000"/>
                <w:sz w:val="18"/>
                <w:szCs w:val="18"/>
                <w:lang w:eastAsia="sk-SK"/>
              </w:rPr>
            </w:pPr>
            <w:r w:rsidRPr="000748F9">
              <w:rPr>
                <w:rFonts w:eastAsia="Times New Roman" w:cs="Times New Roman"/>
                <w:color w:val="000000"/>
                <w:sz w:val="18"/>
                <w:szCs w:val="18"/>
                <w:lang w:eastAsia="sk-SK"/>
              </w:rPr>
              <w:t>x</w:t>
            </w:r>
          </w:p>
        </w:tc>
      </w:tr>
      <w:tr w:rsidR="00EA177A" w:rsidRPr="000748F9" w14:paraId="7CC6ABD6" w14:textId="77777777" w:rsidTr="0044781D">
        <w:trPr>
          <w:trHeight w:val="345"/>
        </w:trPr>
        <w:tc>
          <w:tcPr>
            <w:tcW w:w="2967" w:type="dxa"/>
            <w:tcBorders>
              <w:top w:val="single" w:sz="4" w:space="0" w:color="auto"/>
              <w:left w:val="nil"/>
              <w:bottom w:val="single" w:sz="8" w:space="0" w:color="auto"/>
              <w:right w:val="nil"/>
            </w:tcBorders>
            <w:shd w:val="clear" w:color="000000" w:fill="FFFFFF"/>
            <w:noWrap/>
            <w:vAlign w:val="center"/>
            <w:hideMark/>
          </w:tcPr>
          <w:p w14:paraId="3BDFE96F" w14:textId="77777777" w:rsidR="00EA177A" w:rsidRPr="000748F9" w:rsidRDefault="00EA177A" w:rsidP="00C704A7">
            <w:pPr>
              <w:spacing w:after="0" w:line="240" w:lineRule="auto"/>
              <w:jc w:val="lef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Spolu</w:t>
            </w:r>
          </w:p>
        </w:tc>
        <w:tc>
          <w:tcPr>
            <w:tcW w:w="851" w:type="dxa"/>
            <w:tcBorders>
              <w:top w:val="single" w:sz="4" w:space="0" w:color="auto"/>
              <w:left w:val="nil"/>
              <w:bottom w:val="single" w:sz="8" w:space="0" w:color="auto"/>
              <w:right w:val="nil"/>
            </w:tcBorders>
            <w:shd w:val="clear" w:color="000000" w:fill="FFFFFF"/>
            <w:noWrap/>
            <w:vAlign w:val="center"/>
            <w:hideMark/>
          </w:tcPr>
          <w:p w14:paraId="180B2C41"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433 648</w:t>
            </w:r>
          </w:p>
        </w:tc>
        <w:tc>
          <w:tcPr>
            <w:tcW w:w="733" w:type="dxa"/>
            <w:tcBorders>
              <w:top w:val="single" w:sz="4" w:space="0" w:color="auto"/>
              <w:left w:val="nil"/>
              <w:bottom w:val="single" w:sz="8" w:space="0" w:color="auto"/>
              <w:right w:val="nil"/>
            </w:tcBorders>
            <w:shd w:val="clear" w:color="000000" w:fill="FFFFFF"/>
            <w:noWrap/>
            <w:vAlign w:val="center"/>
            <w:hideMark/>
          </w:tcPr>
          <w:p w14:paraId="7FAD86C9"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457 344</w:t>
            </w:r>
          </w:p>
        </w:tc>
        <w:tc>
          <w:tcPr>
            <w:tcW w:w="850" w:type="dxa"/>
            <w:tcBorders>
              <w:top w:val="single" w:sz="4" w:space="0" w:color="auto"/>
              <w:left w:val="nil"/>
              <w:bottom w:val="single" w:sz="8" w:space="0" w:color="auto"/>
              <w:right w:val="nil"/>
            </w:tcBorders>
            <w:shd w:val="clear" w:color="000000" w:fill="FFFFFF"/>
            <w:noWrap/>
            <w:vAlign w:val="center"/>
            <w:hideMark/>
          </w:tcPr>
          <w:p w14:paraId="3F18D0AB"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488 813</w:t>
            </w:r>
          </w:p>
        </w:tc>
        <w:tc>
          <w:tcPr>
            <w:tcW w:w="851" w:type="dxa"/>
            <w:tcBorders>
              <w:top w:val="single" w:sz="4" w:space="0" w:color="auto"/>
              <w:left w:val="nil"/>
              <w:bottom w:val="single" w:sz="8" w:space="0" w:color="auto"/>
              <w:right w:val="nil"/>
            </w:tcBorders>
            <w:shd w:val="clear" w:color="000000" w:fill="BFBFBF"/>
            <w:noWrap/>
            <w:vAlign w:val="center"/>
            <w:hideMark/>
          </w:tcPr>
          <w:p w14:paraId="360A0F81"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530 881</w:t>
            </w:r>
          </w:p>
        </w:tc>
        <w:tc>
          <w:tcPr>
            <w:tcW w:w="850" w:type="dxa"/>
            <w:tcBorders>
              <w:top w:val="single" w:sz="4" w:space="0" w:color="auto"/>
              <w:left w:val="nil"/>
              <w:bottom w:val="single" w:sz="8" w:space="0" w:color="auto"/>
              <w:right w:val="nil"/>
            </w:tcBorders>
            <w:shd w:val="clear" w:color="auto" w:fill="auto"/>
            <w:noWrap/>
            <w:vAlign w:val="center"/>
            <w:hideMark/>
          </w:tcPr>
          <w:p w14:paraId="3B01AA78"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475 458</w:t>
            </w:r>
          </w:p>
        </w:tc>
        <w:tc>
          <w:tcPr>
            <w:tcW w:w="851" w:type="dxa"/>
            <w:tcBorders>
              <w:top w:val="single" w:sz="4" w:space="0" w:color="auto"/>
              <w:left w:val="nil"/>
              <w:bottom w:val="single" w:sz="8" w:space="0" w:color="auto"/>
              <w:right w:val="nil"/>
            </w:tcBorders>
            <w:shd w:val="clear" w:color="000000" w:fill="FFFFFF"/>
            <w:noWrap/>
            <w:vAlign w:val="center"/>
            <w:hideMark/>
          </w:tcPr>
          <w:p w14:paraId="49F598EE"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42 068</w:t>
            </w:r>
          </w:p>
        </w:tc>
        <w:tc>
          <w:tcPr>
            <w:tcW w:w="709" w:type="dxa"/>
            <w:tcBorders>
              <w:top w:val="single" w:sz="4" w:space="0" w:color="auto"/>
              <w:left w:val="nil"/>
              <w:bottom w:val="single" w:sz="8" w:space="0" w:color="auto"/>
              <w:right w:val="nil"/>
            </w:tcBorders>
            <w:shd w:val="clear" w:color="000000" w:fill="FFFFFF"/>
            <w:noWrap/>
            <w:vAlign w:val="center"/>
            <w:hideMark/>
          </w:tcPr>
          <w:p w14:paraId="6DF8CC68" w14:textId="77777777" w:rsidR="00EA177A" w:rsidRPr="000748F9" w:rsidRDefault="00EA177A" w:rsidP="00C704A7">
            <w:pPr>
              <w:spacing w:after="0" w:line="240" w:lineRule="auto"/>
              <w:jc w:val="right"/>
              <w:rPr>
                <w:rFonts w:eastAsia="Times New Roman" w:cs="Times New Roman"/>
                <w:b/>
                <w:bCs/>
                <w:color w:val="000000"/>
                <w:sz w:val="18"/>
                <w:szCs w:val="18"/>
                <w:lang w:eastAsia="sk-SK"/>
              </w:rPr>
            </w:pPr>
            <w:r w:rsidRPr="000748F9">
              <w:rPr>
                <w:rFonts w:eastAsia="Times New Roman" w:cs="Times New Roman"/>
                <w:b/>
                <w:bCs/>
                <w:color w:val="000000"/>
                <w:sz w:val="18"/>
                <w:szCs w:val="18"/>
                <w:lang w:eastAsia="sk-SK"/>
              </w:rPr>
              <w:t>8,6</w:t>
            </w:r>
          </w:p>
        </w:tc>
      </w:tr>
    </w:tbl>
    <w:p w14:paraId="6CBB2CE5" w14:textId="77777777" w:rsidR="00EA177A" w:rsidRPr="00F53475" w:rsidRDefault="00EA177A" w:rsidP="00EA177A">
      <w:pPr>
        <w:suppressAutoHyphens/>
      </w:pPr>
      <w:r w:rsidRPr="00F53475">
        <w:rPr>
          <w:sz w:val="18"/>
          <w:szCs w:val="18"/>
        </w:rPr>
        <w:t xml:space="preserve">Poznámka: * len prostriedky štátneho rozpočtu </w:t>
      </w:r>
      <w:r w:rsidRPr="00F53475">
        <w:rPr>
          <w:sz w:val="18"/>
          <w:szCs w:val="18"/>
        </w:rPr>
        <w:tab/>
      </w:r>
      <w:r w:rsidRPr="00F53475">
        <w:rPr>
          <w:sz w:val="18"/>
          <w:szCs w:val="18"/>
        </w:rPr>
        <w:tab/>
      </w:r>
      <w:r w:rsidRPr="00F53475">
        <w:rPr>
          <w:sz w:val="18"/>
          <w:szCs w:val="18"/>
        </w:rPr>
        <w:tab/>
      </w:r>
      <w:r w:rsidRPr="00F53475">
        <w:rPr>
          <w:sz w:val="18"/>
          <w:szCs w:val="18"/>
        </w:rPr>
        <w:tab/>
      </w:r>
      <w:r w:rsidRPr="00F53475">
        <w:rPr>
          <w:sz w:val="18"/>
          <w:szCs w:val="18"/>
        </w:rPr>
        <w:tab/>
      </w:r>
      <w:r w:rsidRPr="00F53475">
        <w:rPr>
          <w:sz w:val="18"/>
          <w:szCs w:val="18"/>
        </w:rPr>
        <w:tab/>
        <w:t xml:space="preserve">         Zdroj: MF SR</w:t>
      </w:r>
    </w:p>
    <w:p w14:paraId="63B64CA5" w14:textId="14DB8897" w:rsidR="00EA177A" w:rsidRPr="00522354" w:rsidRDefault="00EA177A" w:rsidP="00EA177A">
      <w:pPr>
        <w:suppressAutoHyphens/>
      </w:pPr>
      <w:r w:rsidRPr="008056C6">
        <w:t xml:space="preserve">Na celkovom objeme poskytnutých grantov a transferov VÚC sa najväčšou sumou podieľalo </w:t>
      </w:r>
      <w:r w:rsidRPr="008056C6">
        <w:rPr>
          <w:b/>
        </w:rPr>
        <w:t>Ministerstvo školstva, vedy, výskumu a športu SR</w:t>
      </w:r>
      <w:r w:rsidRPr="008056C6">
        <w:t xml:space="preserve">, ktoré na tento účel vynaložilo 473 866 tis. eur. </w:t>
      </w:r>
      <w:r w:rsidRPr="00522354">
        <w:t xml:space="preserve">Z tejto sumy smerovala čiastka 471 446 tis. eur v rámci bežných výdavkov na financovanie kompetencií preneseného výkonu štátnej správy na úseku školstva. Išlo najmä o normatívne a nenormatívne finančné prostriedky školám v zriaďovateľskej pôsobnosti vyšších územných celkov podľa zákona č. 597/2003 Z. z. o financovaní základných škôl, stredných škôl a školských zariadení v znení neskorších predpisov. Normatívne finančné prostriedky boli poskytnuté na zabezpečenie miezd, platov, služobných príjmov a ostatných osobných vyrovnaní vrátane poistného a príspevkov do poisťovní, prevádzky a modernizácie učebných pomôcok, špeciálnych učebných pomôcok a na riešenie havarijných situácií. Nenormatívne finančné prostriedky boli poskytnuté na odchodné, skvalitnenie podmienok na výchovu a vzdelávanie žiakov zo sociálne znevýhodneného prostredia, osobné náklady asistentov učiteľa pre žiakov so zdravotným znevýhodnením, dopravu žiakov, záujmovú činnosť prostredníctvom vzdelávacích poukazov, kurzy pohybových aktivít v prírode a iné. </w:t>
      </w:r>
    </w:p>
    <w:p w14:paraId="63A72EBB" w14:textId="77777777" w:rsidR="00EA177A" w:rsidRPr="00F53475" w:rsidRDefault="00EA177A" w:rsidP="00EA177A">
      <w:pPr>
        <w:suppressAutoHyphens/>
      </w:pPr>
      <w:r w:rsidRPr="00565309">
        <w:t xml:space="preserve">Ďalšie prostriedky v sume 2 367 tis. eur boli poskytnuté v rámci projektov </w:t>
      </w:r>
      <w:proofErr w:type="spellStart"/>
      <w:r w:rsidRPr="00565309">
        <w:t>zazmluvnených</w:t>
      </w:r>
      <w:proofErr w:type="spellEnd"/>
      <w:r w:rsidRPr="00565309">
        <w:t xml:space="preserve"> a implementovaných z prioritnej osi opatrenia Európskeho sociálneho fondu. </w:t>
      </w:r>
    </w:p>
    <w:p w14:paraId="4220077E" w14:textId="77777777" w:rsidR="00C60C49" w:rsidRDefault="00C60C49">
      <w:pPr>
        <w:spacing w:after="160" w:line="259" w:lineRule="auto"/>
        <w:jc w:val="left"/>
      </w:pPr>
      <w:r>
        <w:br w:type="page"/>
      </w:r>
    </w:p>
    <w:p w14:paraId="1FB89F24" w14:textId="075E278D" w:rsidR="00EA177A" w:rsidRPr="00001364" w:rsidRDefault="00EA177A" w:rsidP="00EA177A">
      <w:pPr>
        <w:spacing w:line="360" w:lineRule="auto"/>
      </w:pPr>
      <w:r w:rsidRPr="00D23B5A">
        <w:t xml:space="preserve">Z kapitoly </w:t>
      </w:r>
      <w:r w:rsidRPr="00D23B5A">
        <w:rPr>
          <w:b/>
        </w:rPr>
        <w:t xml:space="preserve">Ministerstva pôdohospodárstva a rozvoja vidieka SR </w:t>
      </w:r>
      <w:r w:rsidRPr="00D23B5A">
        <w:t>smerovala pre vyššie územné celky čiastka 49 134 tis. eur, z toho suma 46 729 tis. eur formou kapitálových transferov. Išlo výlučne o poskytnutie nenávratných finančných prostriedkov z Európskeho fondu regionálneho rozvoja 2014-2020. Najväčšia suma 44 271 tis. eur bola vyplatená prostredníctvom Integrovaného regionálneho operačného programu 2014-2020 v rámci prioritných osí Bezpečná a e</w:t>
      </w:r>
      <w:r>
        <w:t>kologická dopravu v regiónoch a</w:t>
      </w:r>
      <w:r w:rsidRPr="00D23B5A">
        <w:t xml:space="preserve"> Ľahší prístup k efektívnym a kvalitnejším službám. Suma </w:t>
      </w:r>
      <w:r w:rsidRPr="003137B3">
        <w:rPr>
          <w:color w:val="000000" w:themeColor="text1"/>
        </w:rPr>
        <w:t xml:space="preserve">1 984 tis. eur </w:t>
      </w:r>
      <w:r w:rsidRPr="00D23B5A">
        <w:t xml:space="preserve">bola poukázaná prostredníctvom Operačného programu cezhraničnej spolupráce Slovensko – Česká republika 2014-2020, a to v rámci prioritnej osi kvalitné životné prostredie. </w:t>
      </w:r>
      <w:r>
        <w:t xml:space="preserve">Pôvodne schválený rozpočet výdavkov pre vyššie územné celky bol u tejto kapitoly nulový. </w:t>
      </w:r>
    </w:p>
    <w:p w14:paraId="259DB2E8" w14:textId="72E37C0B" w:rsidR="00494FAB" w:rsidRDefault="00EA177A" w:rsidP="00C60C49">
      <w:pPr>
        <w:spacing w:line="360" w:lineRule="auto"/>
      </w:pPr>
      <w:r w:rsidRPr="00960E9E">
        <w:t xml:space="preserve">Formou bežných transferov poskytla kapitola vyšším územným celkom sumu 2 404 tis. eur výlučne z Európskeho fondu regionálneho rozvoja 2014-2020. Najväčšia suma 1 454 tis. eur bola vyplatená prostredníctvom Integrovaného regionálneho operačného programu 2014-2020 v rámci prioritných osí bezpečná a ekologická doprava v regiónoch a Technická pomoc. Ďalšia čiastka </w:t>
      </w:r>
      <w:r w:rsidRPr="0047192E">
        <w:rPr>
          <w:color w:val="000000" w:themeColor="text1"/>
        </w:rPr>
        <w:t xml:space="preserve">746 tis. eur </w:t>
      </w:r>
      <w:r w:rsidRPr="00960E9E">
        <w:t>bola poskytnutá prostredníctvom Operačného programu cezhraničnej spolupráce Slovensko – Česká republika 2014-2020 v rámci prioritných osí Kvalitné životné prostredie a Rozvoj miestnych iniciatív.</w:t>
      </w:r>
    </w:p>
    <w:p w14:paraId="797107AA" w14:textId="1D88D69B" w:rsidR="00EA177A" w:rsidRPr="00A624E4" w:rsidRDefault="00EA177A" w:rsidP="00EA177A">
      <w:pPr>
        <w:spacing w:line="360" w:lineRule="auto"/>
      </w:pPr>
      <w:r w:rsidRPr="00A624E4">
        <w:t xml:space="preserve">Z kapitoly </w:t>
      </w:r>
      <w:r w:rsidRPr="00A624E4">
        <w:rPr>
          <w:b/>
        </w:rPr>
        <w:t xml:space="preserve">Všeobecná pokladničná správa </w:t>
      </w:r>
      <w:r w:rsidRPr="00A624E4">
        <w:t xml:space="preserve">sa vyšším územným celkom poukázala suma 2 996 tis. eur najmä formou kapitálových transferov. Najvyššia čiastka 1 993 tis. eur smerovala na práce súvisiace s rekonštrukciou Divadla Aréna v Bratislave. Dotácie v sume 780 tis. eur boli určené ako podpora najmenej rozvinutým okresom v zmysle tzv. Akčných plánov, a to pre okresy Poltár a Snina. Ďalšie prostriedky v objeme 187 tis. eur boli uvoľnené </w:t>
      </w:r>
      <w:r>
        <w:t>na základe záverov</w:t>
      </w:r>
      <w:r w:rsidRPr="00A624E4">
        <w:t> Správ</w:t>
      </w:r>
      <w:r>
        <w:t>y</w:t>
      </w:r>
      <w:r w:rsidRPr="00A624E4">
        <w:t xml:space="preserve"> o priebehu a následkoch povodní na území Slovenskej republiky.</w:t>
      </w:r>
    </w:p>
    <w:p w14:paraId="004001D1" w14:textId="77777777" w:rsidR="00EA177A" w:rsidRPr="00AF41A3" w:rsidRDefault="00EA177A" w:rsidP="00EA177A">
      <w:pPr>
        <w:spacing w:line="360" w:lineRule="auto"/>
      </w:pPr>
      <w:r w:rsidRPr="00A624E4">
        <w:t xml:space="preserve">Kapitola </w:t>
      </w:r>
      <w:r w:rsidRPr="00A624E4">
        <w:rPr>
          <w:b/>
        </w:rPr>
        <w:t xml:space="preserve">Ministerstva životného prostredia SR </w:t>
      </w:r>
      <w:r w:rsidRPr="00A624E4">
        <w:t xml:space="preserve">vynaložila na transfery vyšším územným celkom celkovú sumu 2 597 tis. eur, z toho kapitálové transfery </w:t>
      </w:r>
      <w:r w:rsidRPr="00AF41A3">
        <w:t>2 592 tis. eur a bežné transfery 5 tis. eur. Kapitálové transfery boli realizované v rámci Operačného programu Kvalita životného prostredia a príjemcami finančných prostriedkov boli Prešovský samosprávny kraj (1 874 tis. eur), Trenčiansky samosprávny kraj (453 tis. eur) a Žilinský samosprávny kraj (265 tis. eur).</w:t>
      </w:r>
    </w:p>
    <w:p w14:paraId="3292688C" w14:textId="77777777" w:rsidR="00EA177A" w:rsidRPr="00AF41A3" w:rsidRDefault="00EA177A" w:rsidP="00EA177A">
      <w:pPr>
        <w:suppressAutoHyphens/>
      </w:pPr>
      <w:r w:rsidRPr="00AF41A3">
        <w:rPr>
          <w:b/>
        </w:rPr>
        <w:t xml:space="preserve">Podľa zákona č. 564/2004 Z. z. o rozpočtovom určení výnosu dane z príjmov </w:t>
      </w:r>
      <w:r>
        <w:rPr>
          <w:b/>
        </w:rPr>
        <w:t xml:space="preserve">bolo 30 % </w:t>
      </w:r>
      <w:r w:rsidRPr="00AF41A3">
        <w:rPr>
          <w:b/>
        </w:rPr>
        <w:t>z celkového výnosu dane z príjmov fyzických osôb</w:t>
      </w:r>
      <w:r w:rsidRPr="00AF41A3">
        <w:t xml:space="preserve"> príjmom rozpočtov vyšších územných celkov</w:t>
      </w:r>
      <w:r>
        <w:t>,</w:t>
      </w:r>
      <w:r w:rsidRPr="00AF41A3">
        <w:t xml:space="preserve"> rovnako ako v roku 2018. Skutočný prevod dane z príjmov fyzických osôb do rozpočtov vyšších územných celkov bol vykonaný vo výške 950 252 tis. eur vrátane zúčtovania za predchádzajúci rok (2018: 858 031 tis. eur). </w:t>
      </w:r>
    </w:p>
    <w:p w14:paraId="2F29AD55" w14:textId="0B424848" w:rsidR="00EA177A" w:rsidRDefault="00EA177A" w:rsidP="00EA177A">
      <w:pPr>
        <w:rPr>
          <w:b/>
          <w:i/>
        </w:rPr>
      </w:pPr>
      <w:r w:rsidRPr="00F53475">
        <w:rPr>
          <w:b/>
          <w:i/>
        </w:rPr>
        <w:t>Prehľad záväzných limitov dotácií VÚC za rok 2019 je uvedený v tabuľkovej časti štátneho záverečného účtu SR, v tabuľke č. 21</w:t>
      </w:r>
      <w:r>
        <w:rPr>
          <w:b/>
          <w:i/>
        </w:rPr>
        <w:t>.</w:t>
      </w:r>
    </w:p>
    <w:p w14:paraId="73979A5F" w14:textId="77777777" w:rsidR="008254BE" w:rsidRDefault="008254BE" w:rsidP="005C1277">
      <w:pPr>
        <w:pStyle w:val="Nadpis3"/>
      </w:pPr>
      <w:bookmarkStart w:id="53" w:name="_Toc6415650"/>
      <w:bookmarkStart w:id="54" w:name="_Toc39095181"/>
      <w:r>
        <w:t>Čerpanie rezerv štátneho rozpočtu</w:t>
      </w:r>
      <w:bookmarkEnd w:id="53"/>
      <w:bookmarkEnd w:id="54"/>
    </w:p>
    <w:p w14:paraId="0B08A9DE" w14:textId="65EF1395" w:rsidR="00EA177A" w:rsidRDefault="00EA177A" w:rsidP="00EA177A">
      <w:r w:rsidRPr="00FC14B7">
        <w:t>V zmysle § 10 zákona o rozpočtových pravidlách verejnej správy a o zmene a doplnení niektorých zákonov v znení neskorších predpisov (ďalej len ,,zákon o rozpočtových pravidlách) sa na krytie nepredvídaných výdavkov nevyhnutných na zabezpečenie rozpočtového hospodárenia alebo na krytie zníženia rozpočtovaných príjmov vytvárajú v štátnom rozpočte rozpočtové rezervy. Národná rada SR zákonom o štátnom rozpočte na rok 2019 schválila výšku zákonných rezerv nasledovne:</w:t>
      </w:r>
    </w:p>
    <w:tbl>
      <w:tblPr>
        <w:tblW w:w="8520" w:type="dxa"/>
        <w:tblCellMar>
          <w:left w:w="70" w:type="dxa"/>
          <w:right w:w="70" w:type="dxa"/>
        </w:tblCellMar>
        <w:tblLook w:val="04A0" w:firstRow="1" w:lastRow="0" w:firstColumn="1" w:lastColumn="0" w:noHBand="0" w:noVBand="1"/>
      </w:tblPr>
      <w:tblGrid>
        <w:gridCol w:w="2283"/>
        <w:gridCol w:w="709"/>
        <w:gridCol w:w="1134"/>
        <w:gridCol w:w="1101"/>
        <w:gridCol w:w="1025"/>
        <w:gridCol w:w="1134"/>
        <w:gridCol w:w="1134"/>
      </w:tblGrid>
      <w:tr w:rsidR="00EA177A" w:rsidRPr="006844E2" w14:paraId="30FBFBE0" w14:textId="77777777" w:rsidTr="005C1277">
        <w:trPr>
          <w:trHeight w:val="278"/>
        </w:trPr>
        <w:tc>
          <w:tcPr>
            <w:tcW w:w="7386" w:type="dxa"/>
            <w:gridSpan w:val="6"/>
            <w:tcBorders>
              <w:top w:val="nil"/>
              <w:left w:val="single" w:sz="8" w:space="0" w:color="auto"/>
              <w:bottom w:val="nil"/>
              <w:right w:val="nil"/>
            </w:tcBorders>
            <w:shd w:val="clear" w:color="000000" w:fill="000000"/>
            <w:vAlign w:val="center"/>
            <w:hideMark/>
          </w:tcPr>
          <w:p w14:paraId="66695C86" w14:textId="77777777" w:rsidR="00EA177A" w:rsidRPr="006844E2" w:rsidRDefault="00EA177A" w:rsidP="00F71D21">
            <w:pPr>
              <w:spacing w:before="120"/>
              <w:rPr>
                <w:b/>
                <w:bCs/>
                <w:sz w:val="18"/>
                <w:szCs w:val="18"/>
              </w:rPr>
            </w:pPr>
            <w:r w:rsidRPr="006844E2">
              <w:rPr>
                <w:b/>
                <w:bCs/>
                <w:sz w:val="18"/>
                <w:szCs w:val="18"/>
              </w:rPr>
              <w:t>Zákonné rezervy uvoľnené platobným príkazom</w:t>
            </w:r>
          </w:p>
        </w:tc>
        <w:tc>
          <w:tcPr>
            <w:tcW w:w="1134" w:type="dxa"/>
            <w:tcBorders>
              <w:top w:val="nil"/>
              <w:left w:val="nil"/>
              <w:bottom w:val="nil"/>
              <w:right w:val="nil"/>
            </w:tcBorders>
            <w:shd w:val="clear" w:color="000000" w:fill="000000"/>
            <w:noWrap/>
            <w:vAlign w:val="center"/>
            <w:hideMark/>
          </w:tcPr>
          <w:p w14:paraId="730F6754" w14:textId="77777777" w:rsidR="00EA177A" w:rsidRPr="006844E2" w:rsidRDefault="00EA177A" w:rsidP="00F71D21">
            <w:pPr>
              <w:spacing w:before="120"/>
              <w:ind w:left="-640"/>
              <w:jc w:val="right"/>
              <w:rPr>
                <w:b/>
                <w:bCs/>
                <w:sz w:val="18"/>
                <w:szCs w:val="18"/>
              </w:rPr>
            </w:pPr>
            <w:r w:rsidRPr="006844E2">
              <w:rPr>
                <w:b/>
                <w:bCs/>
                <w:sz w:val="18"/>
                <w:szCs w:val="18"/>
              </w:rPr>
              <w:t>v tis. eur</w:t>
            </w:r>
          </w:p>
        </w:tc>
      </w:tr>
      <w:tr w:rsidR="00EA177A" w:rsidRPr="006844E2" w14:paraId="02806A14" w14:textId="77777777" w:rsidTr="005C1277">
        <w:trPr>
          <w:trHeight w:val="279"/>
        </w:trPr>
        <w:tc>
          <w:tcPr>
            <w:tcW w:w="2283" w:type="dxa"/>
            <w:tcBorders>
              <w:top w:val="nil"/>
              <w:left w:val="nil"/>
              <w:bottom w:val="nil"/>
              <w:right w:val="nil"/>
            </w:tcBorders>
            <w:shd w:val="clear" w:color="000000" w:fill="BFBFBF"/>
            <w:vAlign w:val="center"/>
            <w:hideMark/>
          </w:tcPr>
          <w:p w14:paraId="4DFA8BAD" w14:textId="77777777" w:rsidR="00EA177A" w:rsidRPr="006844E2" w:rsidRDefault="00EA177A" w:rsidP="00C704A7">
            <w:pPr>
              <w:rPr>
                <w:b/>
                <w:bCs/>
                <w:sz w:val="18"/>
                <w:szCs w:val="18"/>
              </w:rPr>
            </w:pPr>
            <w:r w:rsidRPr="006844E2">
              <w:rPr>
                <w:b/>
                <w:bCs/>
                <w:sz w:val="18"/>
                <w:szCs w:val="18"/>
              </w:rPr>
              <w:t> </w:t>
            </w:r>
          </w:p>
        </w:tc>
        <w:tc>
          <w:tcPr>
            <w:tcW w:w="1843" w:type="dxa"/>
            <w:gridSpan w:val="2"/>
            <w:tcBorders>
              <w:top w:val="nil"/>
              <w:left w:val="nil"/>
              <w:bottom w:val="nil"/>
              <w:right w:val="nil"/>
            </w:tcBorders>
            <w:shd w:val="clear" w:color="000000" w:fill="BFBFBF"/>
            <w:vAlign w:val="center"/>
            <w:hideMark/>
          </w:tcPr>
          <w:p w14:paraId="1FCD5ABE" w14:textId="77777777" w:rsidR="00EA177A" w:rsidRPr="006844E2" w:rsidRDefault="00EA177A" w:rsidP="00C704A7">
            <w:pPr>
              <w:jc w:val="center"/>
              <w:rPr>
                <w:b/>
                <w:bCs/>
                <w:sz w:val="18"/>
                <w:szCs w:val="18"/>
              </w:rPr>
            </w:pPr>
            <w:r w:rsidRPr="006844E2">
              <w:rPr>
                <w:b/>
                <w:bCs/>
                <w:sz w:val="18"/>
                <w:szCs w:val="18"/>
              </w:rPr>
              <w:t>Skutočnosť</w:t>
            </w:r>
          </w:p>
        </w:tc>
        <w:tc>
          <w:tcPr>
            <w:tcW w:w="1101" w:type="dxa"/>
            <w:tcBorders>
              <w:top w:val="nil"/>
              <w:left w:val="nil"/>
              <w:bottom w:val="nil"/>
              <w:right w:val="nil"/>
            </w:tcBorders>
            <w:shd w:val="clear" w:color="000000" w:fill="BFBFBF"/>
            <w:vAlign w:val="center"/>
            <w:hideMark/>
          </w:tcPr>
          <w:p w14:paraId="241EFE45" w14:textId="77777777" w:rsidR="00EA177A" w:rsidRPr="006844E2" w:rsidRDefault="00EA177A" w:rsidP="00C704A7">
            <w:pPr>
              <w:jc w:val="center"/>
              <w:rPr>
                <w:b/>
                <w:bCs/>
                <w:sz w:val="18"/>
                <w:szCs w:val="18"/>
              </w:rPr>
            </w:pPr>
            <w:r w:rsidRPr="006844E2">
              <w:rPr>
                <w:b/>
                <w:bCs/>
                <w:sz w:val="18"/>
                <w:szCs w:val="18"/>
              </w:rPr>
              <w:t>Rozpočet</w:t>
            </w:r>
          </w:p>
        </w:tc>
        <w:tc>
          <w:tcPr>
            <w:tcW w:w="1025" w:type="dxa"/>
            <w:tcBorders>
              <w:top w:val="nil"/>
              <w:left w:val="nil"/>
              <w:bottom w:val="nil"/>
              <w:right w:val="nil"/>
            </w:tcBorders>
            <w:shd w:val="clear" w:color="000000" w:fill="BFBFBF"/>
            <w:vAlign w:val="center"/>
            <w:hideMark/>
          </w:tcPr>
          <w:p w14:paraId="540D6F56" w14:textId="77777777" w:rsidR="00EA177A" w:rsidRPr="006844E2" w:rsidRDefault="00EA177A" w:rsidP="00C704A7">
            <w:pPr>
              <w:jc w:val="center"/>
              <w:rPr>
                <w:b/>
                <w:bCs/>
                <w:sz w:val="18"/>
                <w:szCs w:val="18"/>
              </w:rPr>
            </w:pPr>
            <w:r w:rsidRPr="006844E2">
              <w:rPr>
                <w:b/>
                <w:bCs/>
                <w:sz w:val="18"/>
                <w:szCs w:val="18"/>
              </w:rPr>
              <w:t>Skutočnosť</w:t>
            </w:r>
          </w:p>
        </w:tc>
        <w:tc>
          <w:tcPr>
            <w:tcW w:w="2268" w:type="dxa"/>
            <w:gridSpan w:val="2"/>
            <w:tcBorders>
              <w:top w:val="nil"/>
              <w:left w:val="nil"/>
              <w:bottom w:val="nil"/>
              <w:right w:val="nil"/>
            </w:tcBorders>
            <w:shd w:val="clear" w:color="000000" w:fill="BFBFBF"/>
            <w:vAlign w:val="center"/>
            <w:hideMark/>
          </w:tcPr>
          <w:p w14:paraId="22752104" w14:textId="77777777" w:rsidR="00EA177A" w:rsidRPr="006844E2" w:rsidRDefault="00EA177A" w:rsidP="00C704A7">
            <w:pPr>
              <w:jc w:val="center"/>
              <w:rPr>
                <w:b/>
                <w:bCs/>
                <w:sz w:val="18"/>
                <w:szCs w:val="18"/>
              </w:rPr>
            </w:pPr>
            <w:r w:rsidRPr="006844E2">
              <w:rPr>
                <w:b/>
                <w:bCs/>
                <w:sz w:val="18"/>
                <w:szCs w:val="18"/>
              </w:rPr>
              <w:t>Rozdiel</w:t>
            </w:r>
          </w:p>
        </w:tc>
      </w:tr>
      <w:tr w:rsidR="00EA177A" w:rsidRPr="006844E2" w14:paraId="47B43A95" w14:textId="77777777" w:rsidTr="00C704A7">
        <w:trPr>
          <w:trHeight w:val="278"/>
        </w:trPr>
        <w:tc>
          <w:tcPr>
            <w:tcW w:w="2283" w:type="dxa"/>
            <w:tcBorders>
              <w:top w:val="nil"/>
              <w:left w:val="nil"/>
              <w:bottom w:val="nil"/>
              <w:right w:val="nil"/>
            </w:tcBorders>
            <w:shd w:val="clear" w:color="000000" w:fill="BFBFBF"/>
            <w:vAlign w:val="center"/>
            <w:hideMark/>
          </w:tcPr>
          <w:p w14:paraId="137229A8" w14:textId="77777777" w:rsidR="00EA177A" w:rsidRPr="006844E2" w:rsidRDefault="00EA177A" w:rsidP="00C704A7">
            <w:pPr>
              <w:jc w:val="center"/>
              <w:rPr>
                <w:b/>
                <w:bCs/>
                <w:sz w:val="18"/>
                <w:szCs w:val="18"/>
              </w:rPr>
            </w:pPr>
            <w:r w:rsidRPr="006844E2">
              <w:rPr>
                <w:b/>
                <w:bCs/>
                <w:sz w:val="18"/>
                <w:szCs w:val="18"/>
              </w:rPr>
              <w:t> </w:t>
            </w:r>
          </w:p>
        </w:tc>
        <w:tc>
          <w:tcPr>
            <w:tcW w:w="709" w:type="dxa"/>
            <w:tcBorders>
              <w:top w:val="nil"/>
              <w:left w:val="nil"/>
              <w:bottom w:val="nil"/>
              <w:right w:val="nil"/>
            </w:tcBorders>
            <w:shd w:val="clear" w:color="000000" w:fill="BFBFBF"/>
            <w:vAlign w:val="center"/>
            <w:hideMark/>
          </w:tcPr>
          <w:p w14:paraId="1DB4C1D7" w14:textId="77777777" w:rsidR="00EA177A" w:rsidRPr="006844E2" w:rsidRDefault="00EA177A" w:rsidP="00C704A7">
            <w:pPr>
              <w:jc w:val="center"/>
              <w:rPr>
                <w:b/>
                <w:bCs/>
                <w:sz w:val="18"/>
                <w:szCs w:val="18"/>
              </w:rPr>
            </w:pPr>
            <w:r w:rsidRPr="006844E2">
              <w:rPr>
                <w:b/>
                <w:bCs/>
                <w:sz w:val="18"/>
                <w:szCs w:val="18"/>
              </w:rPr>
              <w:t>2017</w:t>
            </w:r>
          </w:p>
        </w:tc>
        <w:tc>
          <w:tcPr>
            <w:tcW w:w="1134" w:type="dxa"/>
            <w:tcBorders>
              <w:top w:val="nil"/>
              <w:left w:val="nil"/>
              <w:bottom w:val="nil"/>
              <w:right w:val="nil"/>
            </w:tcBorders>
            <w:shd w:val="clear" w:color="000000" w:fill="BFBFBF"/>
            <w:vAlign w:val="center"/>
            <w:hideMark/>
          </w:tcPr>
          <w:p w14:paraId="3A7D1B3D" w14:textId="77777777" w:rsidR="00EA177A" w:rsidRPr="006844E2" w:rsidRDefault="00EA177A" w:rsidP="00C704A7">
            <w:pPr>
              <w:jc w:val="center"/>
              <w:rPr>
                <w:b/>
                <w:bCs/>
                <w:sz w:val="18"/>
                <w:szCs w:val="18"/>
              </w:rPr>
            </w:pPr>
            <w:r w:rsidRPr="006844E2">
              <w:rPr>
                <w:b/>
                <w:bCs/>
                <w:sz w:val="18"/>
                <w:szCs w:val="18"/>
              </w:rPr>
              <w:t>2018</w:t>
            </w:r>
          </w:p>
        </w:tc>
        <w:tc>
          <w:tcPr>
            <w:tcW w:w="1101" w:type="dxa"/>
            <w:tcBorders>
              <w:top w:val="nil"/>
              <w:left w:val="nil"/>
              <w:bottom w:val="nil"/>
              <w:right w:val="nil"/>
            </w:tcBorders>
            <w:shd w:val="clear" w:color="000000" w:fill="BFBFBF"/>
            <w:vAlign w:val="center"/>
            <w:hideMark/>
          </w:tcPr>
          <w:p w14:paraId="6C8ACD99" w14:textId="77777777" w:rsidR="00EA177A" w:rsidRPr="006844E2" w:rsidRDefault="00EA177A" w:rsidP="00C704A7">
            <w:pPr>
              <w:jc w:val="center"/>
              <w:rPr>
                <w:b/>
                <w:bCs/>
                <w:sz w:val="18"/>
                <w:szCs w:val="18"/>
              </w:rPr>
            </w:pPr>
            <w:r w:rsidRPr="006844E2">
              <w:rPr>
                <w:b/>
                <w:bCs/>
                <w:sz w:val="18"/>
                <w:szCs w:val="18"/>
              </w:rPr>
              <w:t>2019</w:t>
            </w:r>
          </w:p>
        </w:tc>
        <w:tc>
          <w:tcPr>
            <w:tcW w:w="1025" w:type="dxa"/>
            <w:tcBorders>
              <w:top w:val="nil"/>
              <w:left w:val="nil"/>
              <w:bottom w:val="nil"/>
              <w:right w:val="nil"/>
            </w:tcBorders>
            <w:shd w:val="clear" w:color="000000" w:fill="BFBFBF"/>
            <w:vAlign w:val="center"/>
            <w:hideMark/>
          </w:tcPr>
          <w:p w14:paraId="23FE49A4" w14:textId="77777777" w:rsidR="00EA177A" w:rsidRPr="006844E2" w:rsidRDefault="00EA177A" w:rsidP="00C704A7">
            <w:pPr>
              <w:jc w:val="center"/>
              <w:rPr>
                <w:b/>
                <w:bCs/>
                <w:sz w:val="18"/>
                <w:szCs w:val="18"/>
              </w:rPr>
            </w:pPr>
            <w:r w:rsidRPr="006844E2">
              <w:rPr>
                <w:b/>
                <w:bCs/>
                <w:sz w:val="18"/>
                <w:szCs w:val="18"/>
              </w:rPr>
              <w:t>2019</w:t>
            </w:r>
          </w:p>
        </w:tc>
        <w:tc>
          <w:tcPr>
            <w:tcW w:w="1134" w:type="dxa"/>
            <w:tcBorders>
              <w:top w:val="nil"/>
              <w:left w:val="nil"/>
              <w:bottom w:val="nil"/>
              <w:right w:val="nil"/>
            </w:tcBorders>
            <w:shd w:val="clear" w:color="000000" w:fill="BFBFBF"/>
            <w:vAlign w:val="center"/>
            <w:hideMark/>
          </w:tcPr>
          <w:p w14:paraId="6D5BD126" w14:textId="77777777" w:rsidR="00EA177A" w:rsidRPr="006844E2" w:rsidRDefault="00EA177A" w:rsidP="00C704A7">
            <w:pPr>
              <w:jc w:val="center"/>
              <w:rPr>
                <w:b/>
                <w:bCs/>
                <w:sz w:val="18"/>
                <w:szCs w:val="18"/>
              </w:rPr>
            </w:pPr>
            <w:r w:rsidRPr="006844E2">
              <w:rPr>
                <w:b/>
                <w:bCs/>
                <w:sz w:val="18"/>
                <w:szCs w:val="18"/>
              </w:rPr>
              <w:t xml:space="preserve"> v tis. eur</w:t>
            </w:r>
          </w:p>
        </w:tc>
        <w:tc>
          <w:tcPr>
            <w:tcW w:w="1134" w:type="dxa"/>
            <w:tcBorders>
              <w:top w:val="nil"/>
              <w:left w:val="nil"/>
              <w:bottom w:val="nil"/>
              <w:right w:val="nil"/>
            </w:tcBorders>
            <w:shd w:val="clear" w:color="000000" w:fill="BFBFBF"/>
            <w:vAlign w:val="center"/>
            <w:hideMark/>
          </w:tcPr>
          <w:p w14:paraId="76737DF6" w14:textId="77777777" w:rsidR="00EA177A" w:rsidRPr="006844E2" w:rsidRDefault="00EA177A" w:rsidP="00C704A7">
            <w:pPr>
              <w:jc w:val="center"/>
              <w:rPr>
                <w:b/>
                <w:bCs/>
                <w:sz w:val="18"/>
                <w:szCs w:val="18"/>
              </w:rPr>
            </w:pPr>
            <w:r w:rsidRPr="006844E2">
              <w:rPr>
                <w:b/>
                <w:bCs/>
                <w:sz w:val="18"/>
                <w:szCs w:val="18"/>
              </w:rPr>
              <w:t>v %</w:t>
            </w:r>
          </w:p>
        </w:tc>
      </w:tr>
      <w:tr w:rsidR="00EA177A" w:rsidRPr="006844E2" w14:paraId="69BE2342" w14:textId="77777777" w:rsidTr="005A4F98">
        <w:trPr>
          <w:trHeight w:val="121"/>
        </w:trPr>
        <w:tc>
          <w:tcPr>
            <w:tcW w:w="2283" w:type="dxa"/>
            <w:tcBorders>
              <w:top w:val="nil"/>
              <w:left w:val="nil"/>
              <w:bottom w:val="single" w:sz="8" w:space="0" w:color="auto"/>
              <w:right w:val="nil"/>
            </w:tcBorders>
            <w:shd w:val="clear" w:color="000000" w:fill="BFBFBF"/>
            <w:vAlign w:val="center"/>
            <w:hideMark/>
          </w:tcPr>
          <w:p w14:paraId="6838357A" w14:textId="77777777" w:rsidR="00EA177A" w:rsidRPr="006844E2" w:rsidRDefault="00EA177A" w:rsidP="00C704A7">
            <w:pPr>
              <w:rPr>
                <w:b/>
                <w:bCs/>
                <w:sz w:val="18"/>
                <w:szCs w:val="18"/>
              </w:rPr>
            </w:pPr>
            <w:r w:rsidRPr="006844E2">
              <w:rPr>
                <w:b/>
                <w:bCs/>
                <w:sz w:val="18"/>
                <w:szCs w:val="18"/>
              </w:rPr>
              <w:t> </w:t>
            </w:r>
          </w:p>
        </w:tc>
        <w:tc>
          <w:tcPr>
            <w:tcW w:w="709" w:type="dxa"/>
            <w:tcBorders>
              <w:top w:val="nil"/>
              <w:left w:val="nil"/>
              <w:bottom w:val="single" w:sz="8" w:space="0" w:color="auto"/>
              <w:right w:val="nil"/>
            </w:tcBorders>
            <w:shd w:val="clear" w:color="000000" w:fill="BFBFBF"/>
            <w:vAlign w:val="center"/>
            <w:hideMark/>
          </w:tcPr>
          <w:p w14:paraId="4F6870DF" w14:textId="77777777" w:rsidR="00EA177A" w:rsidRPr="006844E2" w:rsidRDefault="00EA177A" w:rsidP="00C704A7">
            <w:pPr>
              <w:jc w:val="center"/>
              <w:rPr>
                <w:b/>
                <w:bCs/>
                <w:sz w:val="18"/>
                <w:szCs w:val="18"/>
              </w:rPr>
            </w:pPr>
            <w:r w:rsidRPr="006844E2">
              <w:rPr>
                <w:b/>
                <w:bCs/>
                <w:sz w:val="18"/>
                <w:szCs w:val="18"/>
              </w:rPr>
              <w:t>1</w:t>
            </w:r>
          </w:p>
        </w:tc>
        <w:tc>
          <w:tcPr>
            <w:tcW w:w="1134" w:type="dxa"/>
            <w:tcBorders>
              <w:top w:val="nil"/>
              <w:left w:val="nil"/>
              <w:bottom w:val="single" w:sz="8" w:space="0" w:color="auto"/>
              <w:right w:val="nil"/>
            </w:tcBorders>
            <w:shd w:val="clear" w:color="000000" w:fill="BFBFBF"/>
            <w:vAlign w:val="center"/>
            <w:hideMark/>
          </w:tcPr>
          <w:p w14:paraId="74BEF5E6" w14:textId="77777777" w:rsidR="00EA177A" w:rsidRPr="006844E2" w:rsidRDefault="00EA177A" w:rsidP="00C704A7">
            <w:pPr>
              <w:jc w:val="center"/>
              <w:rPr>
                <w:b/>
                <w:bCs/>
                <w:sz w:val="18"/>
                <w:szCs w:val="18"/>
              </w:rPr>
            </w:pPr>
            <w:r w:rsidRPr="006844E2">
              <w:rPr>
                <w:b/>
                <w:bCs/>
                <w:sz w:val="18"/>
                <w:szCs w:val="18"/>
              </w:rPr>
              <w:t>2</w:t>
            </w:r>
          </w:p>
        </w:tc>
        <w:tc>
          <w:tcPr>
            <w:tcW w:w="1101" w:type="dxa"/>
            <w:tcBorders>
              <w:top w:val="nil"/>
              <w:left w:val="nil"/>
              <w:bottom w:val="single" w:sz="8" w:space="0" w:color="auto"/>
              <w:right w:val="nil"/>
            </w:tcBorders>
            <w:shd w:val="clear" w:color="000000" w:fill="BFBFBF"/>
            <w:vAlign w:val="center"/>
            <w:hideMark/>
          </w:tcPr>
          <w:p w14:paraId="5CEC5F0E" w14:textId="77777777" w:rsidR="00EA177A" w:rsidRPr="006844E2" w:rsidRDefault="00EA177A" w:rsidP="00C704A7">
            <w:pPr>
              <w:jc w:val="center"/>
              <w:rPr>
                <w:b/>
                <w:bCs/>
                <w:sz w:val="18"/>
                <w:szCs w:val="18"/>
              </w:rPr>
            </w:pPr>
            <w:r w:rsidRPr="006844E2">
              <w:rPr>
                <w:b/>
                <w:bCs/>
                <w:sz w:val="18"/>
                <w:szCs w:val="18"/>
              </w:rPr>
              <w:t>3</w:t>
            </w:r>
          </w:p>
        </w:tc>
        <w:tc>
          <w:tcPr>
            <w:tcW w:w="1025" w:type="dxa"/>
            <w:tcBorders>
              <w:top w:val="nil"/>
              <w:left w:val="nil"/>
              <w:bottom w:val="single" w:sz="8" w:space="0" w:color="auto"/>
              <w:right w:val="nil"/>
            </w:tcBorders>
            <w:shd w:val="clear" w:color="000000" w:fill="BFBFBF"/>
            <w:vAlign w:val="center"/>
            <w:hideMark/>
          </w:tcPr>
          <w:p w14:paraId="73078881" w14:textId="77777777" w:rsidR="00EA177A" w:rsidRPr="006844E2" w:rsidRDefault="00EA177A" w:rsidP="00C704A7">
            <w:pPr>
              <w:jc w:val="center"/>
              <w:rPr>
                <w:b/>
                <w:bCs/>
                <w:sz w:val="18"/>
                <w:szCs w:val="18"/>
              </w:rPr>
            </w:pPr>
            <w:r w:rsidRPr="006844E2">
              <w:rPr>
                <w:b/>
                <w:bCs/>
                <w:sz w:val="18"/>
                <w:szCs w:val="18"/>
              </w:rPr>
              <w:t>4</w:t>
            </w:r>
          </w:p>
        </w:tc>
        <w:tc>
          <w:tcPr>
            <w:tcW w:w="1134" w:type="dxa"/>
            <w:tcBorders>
              <w:top w:val="nil"/>
              <w:left w:val="nil"/>
              <w:bottom w:val="single" w:sz="8" w:space="0" w:color="auto"/>
              <w:right w:val="nil"/>
            </w:tcBorders>
            <w:shd w:val="clear" w:color="000000" w:fill="BFBFBF"/>
            <w:vAlign w:val="center"/>
            <w:hideMark/>
          </w:tcPr>
          <w:p w14:paraId="030CB6B3" w14:textId="77777777" w:rsidR="00EA177A" w:rsidRPr="006844E2" w:rsidRDefault="00EA177A" w:rsidP="00C704A7">
            <w:pPr>
              <w:jc w:val="center"/>
              <w:rPr>
                <w:b/>
                <w:bCs/>
                <w:sz w:val="18"/>
                <w:szCs w:val="18"/>
              </w:rPr>
            </w:pPr>
            <w:r w:rsidRPr="006844E2">
              <w:rPr>
                <w:b/>
                <w:bCs/>
                <w:sz w:val="18"/>
                <w:szCs w:val="18"/>
              </w:rPr>
              <w:t>5=4-3</w:t>
            </w:r>
          </w:p>
        </w:tc>
        <w:tc>
          <w:tcPr>
            <w:tcW w:w="1134" w:type="dxa"/>
            <w:tcBorders>
              <w:top w:val="nil"/>
              <w:left w:val="nil"/>
              <w:bottom w:val="single" w:sz="8" w:space="0" w:color="auto"/>
              <w:right w:val="nil"/>
            </w:tcBorders>
            <w:shd w:val="clear" w:color="000000" w:fill="BFBFBF"/>
            <w:vAlign w:val="center"/>
            <w:hideMark/>
          </w:tcPr>
          <w:p w14:paraId="19C9B1FE" w14:textId="77777777" w:rsidR="00EA177A" w:rsidRPr="006844E2" w:rsidRDefault="00EA177A" w:rsidP="00C704A7">
            <w:pPr>
              <w:ind w:right="490"/>
              <w:jc w:val="center"/>
              <w:rPr>
                <w:b/>
                <w:bCs/>
                <w:sz w:val="18"/>
                <w:szCs w:val="18"/>
              </w:rPr>
            </w:pPr>
            <w:r w:rsidRPr="006844E2">
              <w:rPr>
                <w:b/>
                <w:bCs/>
                <w:sz w:val="18"/>
                <w:szCs w:val="18"/>
              </w:rPr>
              <w:t>6=4-3</w:t>
            </w:r>
          </w:p>
        </w:tc>
      </w:tr>
      <w:tr w:rsidR="00EA177A" w:rsidRPr="006844E2" w14:paraId="64E364A1" w14:textId="77777777" w:rsidTr="00C704A7">
        <w:trPr>
          <w:trHeight w:val="278"/>
        </w:trPr>
        <w:tc>
          <w:tcPr>
            <w:tcW w:w="2283" w:type="dxa"/>
            <w:tcBorders>
              <w:top w:val="nil"/>
              <w:left w:val="nil"/>
              <w:bottom w:val="nil"/>
              <w:right w:val="nil"/>
            </w:tcBorders>
            <w:shd w:val="clear" w:color="000000" w:fill="FFFFFF"/>
            <w:noWrap/>
            <w:vAlign w:val="center"/>
            <w:hideMark/>
          </w:tcPr>
          <w:p w14:paraId="3E5B7E7B" w14:textId="77777777" w:rsidR="00EA177A" w:rsidRPr="006844E2" w:rsidRDefault="00EA177A" w:rsidP="00C704A7">
            <w:pPr>
              <w:spacing w:after="0" w:line="240" w:lineRule="auto"/>
              <w:jc w:val="left"/>
              <w:rPr>
                <w:rFonts w:eastAsia="Times New Roman" w:cs="Times New Roman"/>
                <w:sz w:val="18"/>
                <w:szCs w:val="18"/>
                <w:lang w:eastAsia="sk-SK"/>
              </w:rPr>
            </w:pPr>
            <w:r w:rsidRPr="006844E2">
              <w:rPr>
                <w:rFonts w:eastAsia="Times New Roman" w:cs="Times New Roman"/>
                <w:sz w:val="18"/>
                <w:szCs w:val="18"/>
                <w:lang w:eastAsia="sk-SK"/>
              </w:rPr>
              <w:t>Rezerva vlády SR</w:t>
            </w:r>
          </w:p>
        </w:tc>
        <w:tc>
          <w:tcPr>
            <w:tcW w:w="709" w:type="dxa"/>
            <w:tcBorders>
              <w:top w:val="nil"/>
              <w:left w:val="nil"/>
              <w:bottom w:val="nil"/>
              <w:right w:val="nil"/>
            </w:tcBorders>
            <w:shd w:val="clear" w:color="000000" w:fill="FFFFFF"/>
            <w:noWrap/>
            <w:vAlign w:val="center"/>
          </w:tcPr>
          <w:p w14:paraId="571016EA"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2 186</w:t>
            </w:r>
          </w:p>
        </w:tc>
        <w:tc>
          <w:tcPr>
            <w:tcW w:w="1134" w:type="dxa"/>
            <w:tcBorders>
              <w:top w:val="nil"/>
              <w:left w:val="nil"/>
              <w:bottom w:val="nil"/>
              <w:right w:val="nil"/>
            </w:tcBorders>
            <w:shd w:val="clear" w:color="auto" w:fill="auto"/>
            <w:noWrap/>
            <w:vAlign w:val="center"/>
          </w:tcPr>
          <w:p w14:paraId="1F4BEDDF"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3 477</w:t>
            </w:r>
          </w:p>
        </w:tc>
        <w:tc>
          <w:tcPr>
            <w:tcW w:w="1101" w:type="dxa"/>
            <w:tcBorders>
              <w:top w:val="nil"/>
              <w:left w:val="nil"/>
              <w:bottom w:val="nil"/>
              <w:right w:val="nil"/>
            </w:tcBorders>
            <w:shd w:val="clear" w:color="000000" w:fill="FFFFFF"/>
            <w:noWrap/>
            <w:vAlign w:val="center"/>
          </w:tcPr>
          <w:p w14:paraId="3EF135D7"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5 000</w:t>
            </w:r>
          </w:p>
        </w:tc>
        <w:tc>
          <w:tcPr>
            <w:tcW w:w="1025" w:type="dxa"/>
            <w:tcBorders>
              <w:top w:val="nil"/>
              <w:left w:val="nil"/>
              <w:bottom w:val="nil"/>
              <w:right w:val="nil"/>
            </w:tcBorders>
            <w:shd w:val="clear" w:color="auto" w:fill="BFBFBF" w:themeFill="background1" w:themeFillShade="BF"/>
            <w:noWrap/>
            <w:vAlign w:val="center"/>
          </w:tcPr>
          <w:p w14:paraId="46AB4AED"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5 083</w:t>
            </w:r>
          </w:p>
        </w:tc>
        <w:tc>
          <w:tcPr>
            <w:tcW w:w="1134" w:type="dxa"/>
            <w:tcBorders>
              <w:top w:val="nil"/>
              <w:left w:val="nil"/>
              <w:bottom w:val="nil"/>
              <w:right w:val="nil"/>
            </w:tcBorders>
            <w:shd w:val="clear" w:color="000000" w:fill="FFFFFF"/>
            <w:vAlign w:val="center"/>
          </w:tcPr>
          <w:p w14:paraId="34664D6D" w14:textId="5BC82006"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83</w:t>
            </w:r>
          </w:p>
        </w:tc>
        <w:tc>
          <w:tcPr>
            <w:tcW w:w="1134" w:type="dxa"/>
            <w:tcBorders>
              <w:top w:val="nil"/>
              <w:left w:val="nil"/>
              <w:bottom w:val="nil"/>
              <w:right w:val="nil"/>
            </w:tcBorders>
            <w:shd w:val="clear" w:color="000000" w:fill="FFFFFF"/>
            <w:vAlign w:val="center"/>
          </w:tcPr>
          <w:p w14:paraId="53B51494"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1,66</w:t>
            </w:r>
          </w:p>
        </w:tc>
      </w:tr>
      <w:tr w:rsidR="00EA177A" w:rsidRPr="006844E2" w14:paraId="72C12FA9" w14:textId="77777777" w:rsidTr="00C704A7">
        <w:trPr>
          <w:trHeight w:val="278"/>
        </w:trPr>
        <w:tc>
          <w:tcPr>
            <w:tcW w:w="2283" w:type="dxa"/>
            <w:tcBorders>
              <w:top w:val="nil"/>
              <w:left w:val="nil"/>
              <w:bottom w:val="nil"/>
              <w:right w:val="nil"/>
            </w:tcBorders>
            <w:shd w:val="clear" w:color="000000" w:fill="FFFFFF"/>
            <w:noWrap/>
            <w:vAlign w:val="center"/>
            <w:hideMark/>
          </w:tcPr>
          <w:p w14:paraId="02985FCA" w14:textId="77777777" w:rsidR="00EA177A" w:rsidRPr="006844E2" w:rsidRDefault="00EA177A" w:rsidP="00C704A7">
            <w:pPr>
              <w:spacing w:after="0" w:line="240" w:lineRule="auto"/>
              <w:jc w:val="left"/>
              <w:rPr>
                <w:rFonts w:eastAsia="Times New Roman" w:cs="Times New Roman"/>
                <w:sz w:val="18"/>
                <w:szCs w:val="18"/>
                <w:lang w:eastAsia="sk-SK"/>
              </w:rPr>
            </w:pPr>
            <w:r w:rsidRPr="006844E2">
              <w:rPr>
                <w:rFonts w:eastAsia="Times New Roman" w:cs="Times New Roman"/>
                <w:sz w:val="18"/>
                <w:szCs w:val="18"/>
                <w:lang w:eastAsia="sk-SK"/>
              </w:rPr>
              <w:t>Rezerva predsedu vlády SR</w:t>
            </w:r>
          </w:p>
        </w:tc>
        <w:tc>
          <w:tcPr>
            <w:tcW w:w="709" w:type="dxa"/>
            <w:tcBorders>
              <w:top w:val="nil"/>
              <w:left w:val="nil"/>
              <w:bottom w:val="nil"/>
              <w:right w:val="nil"/>
            </w:tcBorders>
            <w:shd w:val="clear" w:color="000000" w:fill="FFFFFF"/>
            <w:noWrap/>
            <w:vAlign w:val="center"/>
          </w:tcPr>
          <w:p w14:paraId="2A9F800E"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1 575</w:t>
            </w:r>
          </w:p>
        </w:tc>
        <w:tc>
          <w:tcPr>
            <w:tcW w:w="1134" w:type="dxa"/>
            <w:tcBorders>
              <w:top w:val="nil"/>
              <w:left w:val="nil"/>
              <w:bottom w:val="nil"/>
              <w:right w:val="nil"/>
            </w:tcBorders>
            <w:shd w:val="clear" w:color="auto" w:fill="auto"/>
            <w:noWrap/>
            <w:vAlign w:val="center"/>
          </w:tcPr>
          <w:p w14:paraId="4400715B"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3 144</w:t>
            </w:r>
          </w:p>
        </w:tc>
        <w:tc>
          <w:tcPr>
            <w:tcW w:w="1101" w:type="dxa"/>
            <w:tcBorders>
              <w:top w:val="nil"/>
              <w:left w:val="nil"/>
              <w:bottom w:val="nil"/>
              <w:right w:val="nil"/>
            </w:tcBorders>
            <w:shd w:val="clear" w:color="000000" w:fill="FFFFFF"/>
            <w:noWrap/>
            <w:vAlign w:val="center"/>
          </w:tcPr>
          <w:p w14:paraId="6009797D"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1 500</w:t>
            </w:r>
          </w:p>
        </w:tc>
        <w:tc>
          <w:tcPr>
            <w:tcW w:w="1025" w:type="dxa"/>
            <w:tcBorders>
              <w:top w:val="nil"/>
              <w:left w:val="nil"/>
              <w:bottom w:val="nil"/>
              <w:right w:val="nil"/>
            </w:tcBorders>
            <w:shd w:val="clear" w:color="auto" w:fill="BFBFBF" w:themeFill="background1" w:themeFillShade="BF"/>
            <w:noWrap/>
            <w:vAlign w:val="center"/>
          </w:tcPr>
          <w:p w14:paraId="66868A8C"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3 360</w:t>
            </w:r>
          </w:p>
        </w:tc>
        <w:tc>
          <w:tcPr>
            <w:tcW w:w="1134" w:type="dxa"/>
            <w:tcBorders>
              <w:top w:val="nil"/>
              <w:left w:val="nil"/>
              <w:bottom w:val="nil"/>
              <w:right w:val="nil"/>
            </w:tcBorders>
            <w:shd w:val="clear" w:color="000000" w:fill="FFFFFF"/>
            <w:vAlign w:val="center"/>
          </w:tcPr>
          <w:p w14:paraId="527E0A67" w14:textId="27815FF2"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1 860</w:t>
            </w:r>
          </w:p>
        </w:tc>
        <w:tc>
          <w:tcPr>
            <w:tcW w:w="1134" w:type="dxa"/>
            <w:tcBorders>
              <w:top w:val="nil"/>
              <w:left w:val="nil"/>
              <w:bottom w:val="nil"/>
              <w:right w:val="nil"/>
            </w:tcBorders>
            <w:shd w:val="clear" w:color="000000" w:fill="FFFFFF"/>
            <w:vAlign w:val="center"/>
          </w:tcPr>
          <w:p w14:paraId="486200B0"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124</w:t>
            </w:r>
          </w:p>
        </w:tc>
      </w:tr>
      <w:tr w:rsidR="00EA177A" w:rsidRPr="006844E2" w14:paraId="429DAE4D" w14:textId="77777777" w:rsidTr="00C704A7">
        <w:trPr>
          <w:trHeight w:val="278"/>
        </w:trPr>
        <w:tc>
          <w:tcPr>
            <w:tcW w:w="2283" w:type="dxa"/>
            <w:tcBorders>
              <w:top w:val="nil"/>
              <w:left w:val="nil"/>
              <w:bottom w:val="nil"/>
              <w:right w:val="nil"/>
            </w:tcBorders>
            <w:shd w:val="clear" w:color="000000" w:fill="FFFFFF"/>
            <w:noWrap/>
            <w:vAlign w:val="center"/>
            <w:hideMark/>
          </w:tcPr>
          <w:p w14:paraId="784E4A6C" w14:textId="77777777" w:rsidR="00EA177A" w:rsidRPr="006844E2" w:rsidRDefault="00EA177A" w:rsidP="00C704A7">
            <w:pPr>
              <w:spacing w:after="0" w:line="240" w:lineRule="auto"/>
              <w:jc w:val="left"/>
              <w:rPr>
                <w:rFonts w:eastAsia="Times New Roman" w:cs="Times New Roman"/>
                <w:sz w:val="18"/>
                <w:szCs w:val="18"/>
                <w:lang w:eastAsia="sk-SK"/>
              </w:rPr>
            </w:pPr>
            <w:r w:rsidRPr="006844E2">
              <w:rPr>
                <w:rFonts w:eastAsia="Times New Roman" w:cs="Times New Roman"/>
                <w:sz w:val="18"/>
                <w:szCs w:val="18"/>
                <w:lang w:eastAsia="sk-SK"/>
              </w:rPr>
              <w:t>Rezerva na prostriedky Európskej únie a odvody EÚ</w:t>
            </w:r>
          </w:p>
        </w:tc>
        <w:tc>
          <w:tcPr>
            <w:tcW w:w="709" w:type="dxa"/>
            <w:tcBorders>
              <w:top w:val="nil"/>
              <w:left w:val="nil"/>
              <w:bottom w:val="nil"/>
              <w:right w:val="nil"/>
            </w:tcBorders>
            <w:shd w:val="clear" w:color="000000" w:fill="FFFFFF"/>
            <w:noWrap/>
            <w:vAlign w:val="center"/>
          </w:tcPr>
          <w:p w14:paraId="6E89FDF4"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0</w:t>
            </w:r>
          </w:p>
        </w:tc>
        <w:tc>
          <w:tcPr>
            <w:tcW w:w="1134" w:type="dxa"/>
            <w:tcBorders>
              <w:top w:val="nil"/>
              <w:left w:val="nil"/>
              <w:bottom w:val="nil"/>
              <w:right w:val="nil"/>
            </w:tcBorders>
            <w:shd w:val="clear" w:color="auto" w:fill="auto"/>
            <w:noWrap/>
            <w:vAlign w:val="center"/>
          </w:tcPr>
          <w:p w14:paraId="3EE0690F"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0</w:t>
            </w:r>
          </w:p>
        </w:tc>
        <w:tc>
          <w:tcPr>
            <w:tcW w:w="1101" w:type="dxa"/>
            <w:tcBorders>
              <w:top w:val="nil"/>
              <w:left w:val="nil"/>
              <w:bottom w:val="nil"/>
              <w:right w:val="nil"/>
            </w:tcBorders>
            <w:shd w:val="clear" w:color="000000" w:fill="FFFFFF"/>
            <w:noWrap/>
            <w:vAlign w:val="center"/>
          </w:tcPr>
          <w:p w14:paraId="422B422F"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218 766</w:t>
            </w:r>
          </w:p>
        </w:tc>
        <w:tc>
          <w:tcPr>
            <w:tcW w:w="1025" w:type="dxa"/>
            <w:tcBorders>
              <w:top w:val="nil"/>
              <w:left w:val="nil"/>
              <w:bottom w:val="nil"/>
              <w:right w:val="nil"/>
            </w:tcBorders>
            <w:shd w:val="clear" w:color="auto" w:fill="BFBFBF" w:themeFill="background1" w:themeFillShade="BF"/>
            <w:noWrap/>
            <w:vAlign w:val="center"/>
          </w:tcPr>
          <w:p w14:paraId="1096E7D5"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0</w:t>
            </w:r>
          </w:p>
        </w:tc>
        <w:tc>
          <w:tcPr>
            <w:tcW w:w="1134" w:type="dxa"/>
            <w:tcBorders>
              <w:top w:val="nil"/>
              <w:left w:val="nil"/>
              <w:bottom w:val="nil"/>
              <w:right w:val="nil"/>
            </w:tcBorders>
            <w:shd w:val="clear" w:color="000000" w:fill="FFFFFF"/>
            <w:vAlign w:val="center"/>
          </w:tcPr>
          <w:p w14:paraId="0848994B"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-218 766</w:t>
            </w:r>
          </w:p>
        </w:tc>
        <w:tc>
          <w:tcPr>
            <w:tcW w:w="1134" w:type="dxa"/>
            <w:tcBorders>
              <w:top w:val="nil"/>
              <w:left w:val="nil"/>
              <w:bottom w:val="nil"/>
              <w:right w:val="nil"/>
            </w:tcBorders>
            <w:shd w:val="clear" w:color="000000" w:fill="FFFFFF"/>
            <w:vAlign w:val="center"/>
          </w:tcPr>
          <w:p w14:paraId="642D8D96" w14:textId="77777777" w:rsidR="00EA177A" w:rsidRPr="006844E2" w:rsidRDefault="00EA177A" w:rsidP="00C704A7">
            <w:pPr>
              <w:spacing w:after="0" w:line="240" w:lineRule="auto"/>
              <w:jc w:val="right"/>
              <w:rPr>
                <w:rFonts w:eastAsia="Times New Roman" w:cs="Times New Roman"/>
                <w:sz w:val="18"/>
                <w:szCs w:val="18"/>
                <w:lang w:eastAsia="sk-SK"/>
              </w:rPr>
            </w:pPr>
            <w:r w:rsidRPr="006844E2">
              <w:rPr>
                <w:rFonts w:eastAsia="Times New Roman" w:cs="Times New Roman"/>
                <w:sz w:val="18"/>
                <w:szCs w:val="18"/>
                <w:lang w:eastAsia="sk-SK"/>
              </w:rPr>
              <w:t>-100,00</w:t>
            </w:r>
          </w:p>
        </w:tc>
      </w:tr>
      <w:tr w:rsidR="00EA177A" w:rsidRPr="006844E2" w14:paraId="0F9855EE" w14:textId="77777777" w:rsidTr="00C704A7">
        <w:trPr>
          <w:trHeight w:val="290"/>
        </w:trPr>
        <w:tc>
          <w:tcPr>
            <w:tcW w:w="2283" w:type="dxa"/>
            <w:tcBorders>
              <w:top w:val="single" w:sz="4" w:space="0" w:color="auto"/>
              <w:left w:val="nil"/>
              <w:bottom w:val="single" w:sz="8" w:space="0" w:color="auto"/>
              <w:right w:val="nil"/>
            </w:tcBorders>
            <w:shd w:val="clear" w:color="000000" w:fill="FFFFFF"/>
            <w:noWrap/>
            <w:vAlign w:val="center"/>
            <w:hideMark/>
          </w:tcPr>
          <w:p w14:paraId="36348EA6" w14:textId="77777777" w:rsidR="00EA177A" w:rsidRPr="006844E2" w:rsidRDefault="00EA177A" w:rsidP="00C704A7">
            <w:pPr>
              <w:spacing w:after="0" w:line="240" w:lineRule="auto"/>
              <w:jc w:val="left"/>
              <w:rPr>
                <w:rFonts w:eastAsia="Times New Roman" w:cs="Times New Roman"/>
                <w:b/>
                <w:sz w:val="18"/>
                <w:szCs w:val="18"/>
                <w:lang w:eastAsia="sk-SK"/>
              </w:rPr>
            </w:pPr>
            <w:r w:rsidRPr="006844E2">
              <w:rPr>
                <w:rFonts w:eastAsia="Times New Roman" w:cs="Times New Roman"/>
                <w:b/>
                <w:sz w:val="18"/>
                <w:szCs w:val="18"/>
                <w:lang w:eastAsia="sk-SK"/>
              </w:rPr>
              <w:t>Spolu</w:t>
            </w:r>
          </w:p>
        </w:tc>
        <w:tc>
          <w:tcPr>
            <w:tcW w:w="709" w:type="dxa"/>
            <w:tcBorders>
              <w:top w:val="single" w:sz="4" w:space="0" w:color="auto"/>
              <w:left w:val="nil"/>
              <w:bottom w:val="single" w:sz="8" w:space="0" w:color="auto"/>
              <w:right w:val="nil"/>
            </w:tcBorders>
            <w:shd w:val="clear" w:color="000000" w:fill="FFFFFF"/>
            <w:noWrap/>
            <w:vAlign w:val="center"/>
          </w:tcPr>
          <w:p w14:paraId="19514582" w14:textId="77777777" w:rsidR="00EA177A" w:rsidRPr="006844E2" w:rsidRDefault="00EA177A" w:rsidP="00C704A7">
            <w:pPr>
              <w:spacing w:after="0" w:line="240" w:lineRule="auto"/>
              <w:jc w:val="right"/>
              <w:rPr>
                <w:rFonts w:eastAsia="Times New Roman" w:cs="Times New Roman"/>
                <w:b/>
                <w:sz w:val="18"/>
                <w:szCs w:val="18"/>
                <w:lang w:eastAsia="sk-SK"/>
              </w:rPr>
            </w:pPr>
            <w:r w:rsidRPr="006844E2">
              <w:rPr>
                <w:rFonts w:eastAsia="Times New Roman" w:cs="Times New Roman"/>
                <w:b/>
                <w:sz w:val="18"/>
                <w:szCs w:val="18"/>
                <w:lang w:eastAsia="sk-SK"/>
              </w:rPr>
              <w:t>3 761</w:t>
            </w:r>
          </w:p>
        </w:tc>
        <w:tc>
          <w:tcPr>
            <w:tcW w:w="1134" w:type="dxa"/>
            <w:tcBorders>
              <w:top w:val="single" w:sz="4" w:space="0" w:color="auto"/>
              <w:left w:val="nil"/>
              <w:bottom w:val="single" w:sz="8" w:space="0" w:color="auto"/>
              <w:right w:val="nil"/>
            </w:tcBorders>
            <w:shd w:val="clear" w:color="auto" w:fill="auto"/>
            <w:noWrap/>
            <w:vAlign w:val="center"/>
          </w:tcPr>
          <w:p w14:paraId="5DE43F7A" w14:textId="77777777" w:rsidR="00EA177A" w:rsidRPr="006844E2" w:rsidRDefault="00EA177A" w:rsidP="00C704A7">
            <w:pPr>
              <w:spacing w:after="0" w:line="240" w:lineRule="auto"/>
              <w:jc w:val="right"/>
              <w:rPr>
                <w:rFonts w:eastAsia="Times New Roman" w:cs="Times New Roman"/>
                <w:b/>
                <w:sz w:val="18"/>
                <w:szCs w:val="18"/>
                <w:lang w:eastAsia="sk-SK"/>
              </w:rPr>
            </w:pPr>
            <w:r w:rsidRPr="006844E2">
              <w:rPr>
                <w:rFonts w:eastAsia="Times New Roman" w:cs="Times New Roman"/>
                <w:b/>
                <w:sz w:val="18"/>
                <w:szCs w:val="18"/>
                <w:lang w:eastAsia="sk-SK"/>
              </w:rPr>
              <w:t>6 621</w:t>
            </w:r>
          </w:p>
        </w:tc>
        <w:tc>
          <w:tcPr>
            <w:tcW w:w="1101" w:type="dxa"/>
            <w:tcBorders>
              <w:top w:val="single" w:sz="4" w:space="0" w:color="auto"/>
              <w:left w:val="nil"/>
              <w:bottom w:val="single" w:sz="8" w:space="0" w:color="auto"/>
              <w:right w:val="nil"/>
            </w:tcBorders>
            <w:shd w:val="clear" w:color="000000" w:fill="FFFFFF"/>
            <w:noWrap/>
            <w:vAlign w:val="center"/>
          </w:tcPr>
          <w:p w14:paraId="18640E74" w14:textId="77777777" w:rsidR="00EA177A" w:rsidRPr="006844E2" w:rsidRDefault="00EA177A" w:rsidP="00C704A7">
            <w:pPr>
              <w:spacing w:after="0" w:line="240" w:lineRule="auto"/>
              <w:jc w:val="right"/>
              <w:rPr>
                <w:rFonts w:eastAsia="Times New Roman" w:cs="Times New Roman"/>
                <w:b/>
                <w:sz w:val="18"/>
                <w:szCs w:val="18"/>
                <w:lang w:eastAsia="sk-SK"/>
              </w:rPr>
            </w:pPr>
            <w:r w:rsidRPr="006844E2">
              <w:rPr>
                <w:rFonts w:eastAsia="Times New Roman" w:cs="Times New Roman"/>
                <w:b/>
                <w:sz w:val="18"/>
                <w:szCs w:val="18"/>
                <w:lang w:eastAsia="sk-SK"/>
              </w:rPr>
              <w:t>225 266</w:t>
            </w:r>
          </w:p>
        </w:tc>
        <w:tc>
          <w:tcPr>
            <w:tcW w:w="1025" w:type="dxa"/>
            <w:tcBorders>
              <w:top w:val="single" w:sz="4" w:space="0" w:color="auto"/>
              <w:left w:val="nil"/>
              <w:bottom w:val="single" w:sz="8" w:space="0" w:color="auto"/>
              <w:right w:val="nil"/>
            </w:tcBorders>
            <w:shd w:val="clear" w:color="000000" w:fill="BFBFBF"/>
            <w:noWrap/>
            <w:vAlign w:val="center"/>
          </w:tcPr>
          <w:p w14:paraId="518B3787" w14:textId="77777777" w:rsidR="00EA177A" w:rsidRPr="006844E2" w:rsidRDefault="00EA177A" w:rsidP="00C704A7">
            <w:pPr>
              <w:spacing w:after="0" w:line="240" w:lineRule="auto"/>
              <w:jc w:val="right"/>
              <w:rPr>
                <w:rFonts w:eastAsia="Times New Roman" w:cs="Times New Roman"/>
                <w:b/>
                <w:sz w:val="18"/>
                <w:szCs w:val="18"/>
                <w:lang w:eastAsia="sk-SK"/>
              </w:rPr>
            </w:pPr>
            <w:r w:rsidRPr="006844E2">
              <w:rPr>
                <w:rFonts w:eastAsia="Times New Roman" w:cs="Times New Roman"/>
                <w:b/>
                <w:sz w:val="18"/>
                <w:szCs w:val="18"/>
                <w:lang w:eastAsia="sk-SK"/>
              </w:rPr>
              <w:t>8 443</w:t>
            </w:r>
          </w:p>
        </w:tc>
        <w:tc>
          <w:tcPr>
            <w:tcW w:w="1134" w:type="dxa"/>
            <w:tcBorders>
              <w:top w:val="single" w:sz="4" w:space="0" w:color="auto"/>
              <w:left w:val="nil"/>
              <w:bottom w:val="single" w:sz="8" w:space="0" w:color="auto"/>
              <w:right w:val="nil"/>
            </w:tcBorders>
            <w:shd w:val="clear" w:color="000000" w:fill="FFFFFF"/>
            <w:noWrap/>
            <w:vAlign w:val="center"/>
          </w:tcPr>
          <w:p w14:paraId="64DE2981" w14:textId="77777777" w:rsidR="00EA177A" w:rsidRPr="006844E2" w:rsidRDefault="00EA177A" w:rsidP="00C704A7">
            <w:pPr>
              <w:spacing w:after="0" w:line="240" w:lineRule="auto"/>
              <w:jc w:val="right"/>
              <w:rPr>
                <w:rFonts w:eastAsia="Times New Roman" w:cs="Times New Roman"/>
                <w:b/>
                <w:sz w:val="18"/>
                <w:szCs w:val="18"/>
                <w:lang w:eastAsia="sk-SK"/>
              </w:rPr>
            </w:pPr>
            <w:r w:rsidRPr="006844E2">
              <w:rPr>
                <w:rFonts w:eastAsia="Times New Roman" w:cs="Times New Roman"/>
                <w:b/>
                <w:sz w:val="18"/>
                <w:szCs w:val="18"/>
                <w:lang w:eastAsia="sk-SK"/>
              </w:rPr>
              <w:t>-216 823</w:t>
            </w:r>
          </w:p>
        </w:tc>
        <w:tc>
          <w:tcPr>
            <w:tcW w:w="1134" w:type="dxa"/>
            <w:tcBorders>
              <w:top w:val="single" w:sz="4" w:space="0" w:color="auto"/>
              <w:left w:val="nil"/>
              <w:bottom w:val="single" w:sz="8" w:space="0" w:color="auto"/>
              <w:right w:val="nil"/>
            </w:tcBorders>
            <w:shd w:val="clear" w:color="000000" w:fill="FFFFFF"/>
            <w:noWrap/>
            <w:vAlign w:val="center"/>
          </w:tcPr>
          <w:p w14:paraId="39EB368B" w14:textId="77777777" w:rsidR="00EA177A" w:rsidRPr="006844E2" w:rsidRDefault="00EA177A" w:rsidP="00C704A7">
            <w:pPr>
              <w:spacing w:after="0" w:line="240" w:lineRule="auto"/>
              <w:jc w:val="right"/>
              <w:rPr>
                <w:rFonts w:eastAsia="Times New Roman" w:cs="Times New Roman"/>
                <w:b/>
                <w:sz w:val="18"/>
                <w:szCs w:val="18"/>
                <w:lang w:eastAsia="sk-SK"/>
              </w:rPr>
            </w:pPr>
            <w:r w:rsidRPr="006844E2">
              <w:rPr>
                <w:rFonts w:eastAsia="Times New Roman" w:cs="Times New Roman"/>
                <w:b/>
                <w:sz w:val="18"/>
                <w:szCs w:val="18"/>
                <w:lang w:eastAsia="sk-SK"/>
              </w:rPr>
              <w:t>25,66</w:t>
            </w:r>
          </w:p>
        </w:tc>
      </w:tr>
    </w:tbl>
    <w:p w14:paraId="6225405C" w14:textId="77777777" w:rsidR="00EA177A" w:rsidRPr="00FC14B7" w:rsidRDefault="00EA177A" w:rsidP="00EA177A">
      <w:pPr>
        <w:spacing w:after="0" w:line="240" w:lineRule="auto"/>
        <w:jc w:val="right"/>
        <w:rPr>
          <w:rFonts w:eastAsia="Times New Roman" w:cs="Times New Roman"/>
          <w:sz w:val="18"/>
          <w:szCs w:val="18"/>
          <w:lang w:eastAsia="sk-SK"/>
        </w:rPr>
      </w:pPr>
      <w:r w:rsidRPr="00FC14B7">
        <w:rPr>
          <w:rFonts w:eastAsia="Times New Roman" w:cs="Times New Roman"/>
          <w:sz w:val="18"/>
          <w:szCs w:val="18"/>
          <w:lang w:eastAsia="sk-SK"/>
        </w:rPr>
        <w:t>Zdroj: MF SR</w:t>
      </w:r>
    </w:p>
    <w:p w14:paraId="4A22EC67" w14:textId="0610DDF3" w:rsidR="00EA177A" w:rsidRDefault="00EA177A" w:rsidP="002152E9">
      <w:pPr>
        <w:spacing w:before="120" w:after="160" w:line="259" w:lineRule="auto"/>
        <w:jc w:val="left"/>
        <w:rPr>
          <w:rFonts w:eastAsia="Times New Roman" w:cs="Times New Roman"/>
          <w:b/>
          <w:lang w:eastAsia="sk-SK"/>
        </w:rPr>
      </w:pPr>
      <w:r w:rsidRPr="00FC14B7">
        <w:rPr>
          <w:rFonts w:eastAsia="Times New Roman" w:cs="Times New Roman"/>
          <w:b/>
          <w:lang w:eastAsia="sk-SK"/>
        </w:rPr>
        <w:t>Rezerva vlády Slovenskej republiky</w:t>
      </w:r>
    </w:p>
    <w:p w14:paraId="38D4033C" w14:textId="77777777" w:rsidR="00EA177A" w:rsidRDefault="00EA177A" w:rsidP="00EA177A">
      <w:pPr>
        <w:rPr>
          <w:rFonts w:eastAsia="Times New Roman" w:cs="Times New Roman"/>
          <w:lang w:eastAsia="sk-SK"/>
        </w:rPr>
      </w:pPr>
      <w:r w:rsidRPr="00AC5078">
        <w:t>Rezerva vlády SR je rozpočtovaná na krytie nepredvídaných a mimoriadnych potrieb súvisiacich so zabezpečením plnenia vnútorných a zahraničných úloh Slovenskej republiky. O jej použití rozhoduje vláda SR na návrh ministra financií.</w:t>
      </w:r>
      <w:r w:rsidRPr="00AC5078">
        <w:rPr>
          <w:rFonts w:eastAsia="Times New Roman" w:cs="Times New Roman"/>
          <w:lang w:eastAsia="sk-SK"/>
        </w:rPr>
        <w:t xml:space="preserve"> </w:t>
      </w:r>
    </w:p>
    <w:p w14:paraId="388CEA24" w14:textId="77777777" w:rsidR="00EA177A" w:rsidRDefault="00EA177A" w:rsidP="00EA177A">
      <w:pPr>
        <w:rPr>
          <w:rFonts w:eastAsia="Times New Roman" w:cs="Times New Roman"/>
          <w:lang w:eastAsia="sk-SK"/>
        </w:rPr>
      </w:pPr>
      <w:r>
        <w:rPr>
          <w:rFonts w:eastAsia="Times New Roman" w:cs="Times New Roman"/>
          <w:lang w:eastAsia="sk-SK"/>
        </w:rPr>
        <w:t>Z rezervy vlády bola uvoľnená celková suma 5 083 tis. eur prostredníctvom platobných príkazov.</w:t>
      </w:r>
    </w:p>
    <w:p w14:paraId="10FF3CA6" w14:textId="77777777" w:rsidR="00EA177A" w:rsidRDefault="00EA177A" w:rsidP="00EA177A">
      <w:pPr>
        <w:rPr>
          <w:rFonts w:eastAsia="Times New Roman" w:cs="Times New Roman"/>
          <w:highlight w:val="yellow"/>
          <w:lang w:eastAsia="sk-SK"/>
        </w:rPr>
      </w:pPr>
      <w:r>
        <w:rPr>
          <w:rFonts w:eastAsia="Times New Roman" w:cs="Times New Roman"/>
          <w:lang w:eastAsia="sk-SK"/>
        </w:rPr>
        <w:t>V zmysle uznesenia vlády SR č. 559 zo dňa 20. novembra 2019, v rámci realizácie Akčného plánu rozvoja okresu Rožňava sa čerpalo 1 863 tis. eur na účely obcí v danom regióne, napríklad rôzne rekonštrukcie, obstaranie materiálu, úprava okolia.</w:t>
      </w:r>
    </w:p>
    <w:p w14:paraId="2AC6706B" w14:textId="77777777" w:rsidR="00EA177A" w:rsidRPr="004717A6" w:rsidRDefault="00EA177A" w:rsidP="00EA177A">
      <w:pPr>
        <w:rPr>
          <w:rFonts w:eastAsia="Times New Roman" w:cs="Times New Roman"/>
          <w:lang w:eastAsia="sk-SK"/>
        </w:rPr>
      </w:pPr>
      <w:r w:rsidRPr="004717A6">
        <w:rPr>
          <w:rFonts w:eastAsia="Times New Roman" w:cs="Times New Roman"/>
          <w:lang w:eastAsia="sk-SK"/>
        </w:rPr>
        <w:t>V zmysle uznesenia vlády SR č. 565 zo dňa 21. novembra 2019</w:t>
      </w:r>
      <w:r>
        <w:rPr>
          <w:rFonts w:eastAsia="Times New Roman" w:cs="Times New Roman"/>
          <w:lang w:eastAsia="sk-SK"/>
        </w:rPr>
        <w:t xml:space="preserve"> v rámci realizácie</w:t>
      </w:r>
      <w:r w:rsidRPr="004717A6">
        <w:rPr>
          <w:rFonts w:eastAsia="Times New Roman" w:cs="Times New Roman"/>
          <w:lang w:eastAsia="sk-SK"/>
        </w:rPr>
        <w:t xml:space="preserve"> Akčného plánu rozvoja okresu Veľký Krtíš sa čerpalo 1 826 tis eur</w:t>
      </w:r>
      <w:r>
        <w:rPr>
          <w:rFonts w:eastAsia="Times New Roman" w:cs="Times New Roman"/>
          <w:lang w:eastAsia="sk-SK"/>
        </w:rPr>
        <w:t xml:space="preserve"> </w:t>
      </w:r>
      <w:r w:rsidRPr="004717A6">
        <w:rPr>
          <w:rFonts w:eastAsia="Times New Roman" w:cs="Times New Roman"/>
          <w:lang w:eastAsia="sk-SK"/>
        </w:rPr>
        <w:t>na účely obcí v danom regióne, napríklad na rôzne rekonštrukcie, modernizácie, zateplenie obecného úradu a pod.</w:t>
      </w:r>
    </w:p>
    <w:p w14:paraId="19D3709F" w14:textId="77777777" w:rsidR="00EA177A" w:rsidRPr="00194C5A" w:rsidRDefault="00EA177A" w:rsidP="00EA177A">
      <w:pPr>
        <w:rPr>
          <w:rFonts w:eastAsia="Times New Roman" w:cs="Times New Roman"/>
          <w:lang w:eastAsia="sk-SK"/>
        </w:rPr>
      </w:pPr>
      <w:r>
        <w:rPr>
          <w:rFonts w:eastAsia="Times New Roman" w:cs="Times New Roman"/>
          <w:lang w:eastAsia="sk-SK"/>
        </w:rPr>
        <w:t>V zmysle u</w:t>
      </w:r>
      <w:r w:rsidRPr="004717A6">
        <w:rPr>
          <w:rFonts w:eastAsia="Times New Roman" w:cs="Times New Roman"/>
          <w:lang w:eastAsia="sk-SK"/>
        </w:rPr>
        <w:t>zneseni</w:t>
      </w:r>
      <w:r>
        <w:rPr>
          <w:rFonts w:eastAsia="Times New Roman" w:cs="Times New Roman"/>
          <w:lang w:eastAsia="sk-SK"/>
        </w:rPr>
        <w:t>a</w:t>
      </w:r>
      <w:r w:rsidRPr="004717A6">
        <w:rPr>
          <w:rFonts w:eastAsia="Times New Roman" w:cs="Times New Roman"/>
          <w:lang w:eastAsia="sk-SK"/>
        </w:rPr>
        <w:t xml:space="preserve"> vlády SR č. 597 zo dňa 4. decembra 2019 </w:t>
      </w:r>
      <w:r>
        <w:rPr>
          <w:rFonts w:eastAsia="Times New Roman" w:cs="Times New Roman"/>
          <w:lang w:eastAsia="sk-SK"/>
        </w:rPr>
        <w:t>sa čerpali finančné</w:t>
      </w:r>
      <w:r w:rsidRPr="004717A6">
        <w:rPr>
          <w:rFonts w:eastAsia="Times New Roman" w:cs="Times New Roman"/>
          <w:lang w:eastAsia="sk-SK"/>
        </w:rPr>
        <w:t xml:space="preserve"> prostriedk</w:t>
      </w:r>
      <w:r>
        <w:rPr>
          <w:rFonts w:eastAsia="Times New Roman" w:cs="Times New Roman"/>
          <w:lang w:eastAsia="sk-SK"/>
        </w:rPr>
        <w:t>y</w:t>
      </w:r>
      <w:r w:rsidRPr="004717A6">
        <w:rPr>
          <w:rFonts w:eastAsia="Times New Roman" w:cs="Times New Roman"/>
          <w:lang w:eastAsia="sk-SK"/>
        </w:rPr>
        <w:t xml:space="preserve"> z rezervy vlády SR na obnovu infraštruktúry v Trenčianskom kraji,</w:t>
      </w:r>
      <w:r>
        <w:rPr>
          <w:rFonts w:eastAsia="Times New Roman" w:cs="Times New Roman"/>
          <w:lang w:eastAsia="sk-SK"/>
        </w:rPr>
        <w:t xml:space="preserve"> v sume 1 113 </w:t>
      </w:r>
      <w:r w:rsidRPr="004717A6">
        <w:rPr>
          <w:rFonts w:eastAsia="Times New Roman" w:cs="Times New Roman"/>
          <w:lang w:eastAsia="sk-SK"/>
        </w:rPr>
        <w:t>tis. eur.</w:t>
      </w:r>
    </w:p>
    <w:p w14:paraId="5F943CA1" w14:textId="77777777" w:rsidR="00EA177A" w:rsidRPr="00194C5A" w:rsidRDefault="00EA177A" w:rsidP="00EA177A">
      <w:pPr>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rPr>
          <w:rFonts w:cs="Times New Roman"/>
          <w:b/>
        </w:rPr>
      </w:pPr>
      <w:r w:rsidRPr="00194C5A">
        <w:rPr>
          <w:rFonts w:cs="Times New Roman"/>
          <w:b/>
        </w:rPr>
        <w:t>Rezerva predsedu vlády Slovenskej republiky</w:t>
      </w:r>
    </w:p>
    <w:p w14:paraId="54E6E785" w14:textId="60D162CC" w:rsidR="00EA177A" w:rsidRPr="002211AA" w:rsidRDefault="00EA177A" w:rsidP="00EA177A">
      <w:pPr>
        <w:shd w:val="clear" w:color="auto" w:fill="FFFFFF"/>
        <w:rPr>
          <w:color w:val="212121"/>
        </w:rPr>
      </w:pPr>
      <w:r w:rsidRPr="00194C5A">
        <w:rPr>
          <w:rFonts w:eastAsia="Times New Roman" w:cs="Times New Roman"/>
          <w:lang w:eastAsia="sk-SK"/>
        </w:rPr>
        <w:t xml:space="preserve">Rezerva predsedu vlády SR je rozpočtovaná v rámci kapitoly Úrad vlády SR. Údaje uvedené </w:t>
      </w:r>
      <w:r w:rsidR="005C1277">
        <w:rPr>
          <w:rFonts w:eastAsia="Times New Roman" w:cs="Times New Roman"/>
          <w:lang w:eastAsia="sk-SK"/>
        </w:rPr>
        <w:t>za</w:t>
      </w:r>
      <w:r w:rsidRPr="00194C5A">
        <w:rPr>
          <w:rFonts w:eastAsia="Times New Roman" w:cs="Times New Roman"/>
          <w:lang w:eastAsia="sk-SK"/>
        </w:rPr>
        <w:t xml:space="preserve"> skutočnosť za roky 2017, 2018 a 2019 predstavujú čerpanie podľa stavu </w:t>
      </w:r>
      <w:r>
        <w:rPr>
          <w:rFonts w:eastAsia="Times New Roman" w:cs="Times New Roman"/>
          <w:lang w:eastAsia="sk-SK"/>
        </w:rPr>
        <w:t>Š</w:t>
      </w:r>
      <w:r w:rsidRPr="00194C5A">
        <w:rPr>
          <w:rFonts w:eastAsia="Times New Roman" w:cs="Times New Roman"/>
          <w:lang w:eastAsia="sk-SK"/>
        </w:rPr>
        <w:t>tátnej pokladnice k 31.12. príslušného rozpočtového roka</w:t>
      </w:r>
      <w:r w:rsidR="005C1277">
        <w:rPr>
          <w:rFonts w:eastAsia="Times New Roman" w:cs="Times New Roman"/>
          <w:lang w:eastAsia="sk-SK"/>
        </w:rPr>
        <w:t xml:space="preserve">, na základe realizovaných platobných </w:t>
      </w:r>
      <w:r w:rsidR="00BB6048">
        <w:rPr>
          <w:rFonts w:eastAsia="Times New Roman" w:cs="Times New Roman"/>
          <w:lang w:eastAsia="sk-SK"/>
        </w:rPr>
        <w:t>príkazov</w:t>
      </w:r>
      <w:r w:rsidR="005C1277">
        <w:rPr>
          <w:rFonts w:eastAsia="Times New Roman" w:cs="Times New Roman"/>
          <w:lang w:eastAsia="sk-SK"/>
        </w:rPr>
        <w:t xml:space="preserve"> a upravené o vrátené dotácie</w:t>
      </w:r>
      <w:r w:rsidRPr="00194C5A">
        <w:rPr>
          <w:rFonts w:eastAsia="Times New Roman" w:cs="Times New Roman"/>
          <w:lang w:eastAsia="sk-SK"/>
        </w:rPr>
        <w:t xml:space="preserve">. </w:t>
      </w:r>
      <w:r>
        <w:rPr>
          <w:color w:val="BD1398"/>
          <w:shd w:val="clear" w:color="auto" w:fill="FFFFFF"/>
        </w:rPr>
        <w:t xml:space="preserve"> </w:t>
      </w:r>
    </w:p>
    <w:p w14:paraId="394CBCE6" w14:textId="77777777" w:rsidR="00EA177A" w:rsidRPr="00986B41" w:rsidRDefault="00EA177A" w:rsidP="00EA1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Times New Roman" w:cs="Times New Roman"/>
          <w:lang w:eastAsia="sk-SK"/>
        </w:rPr>
      </w:pPr>
      <w:r w:rsidRPr="00194C5A">
        <w:rPr>
          <w:rFonts w:eastAsia="Times New Roman" w:cs="Times New Roman"/>
          <w:lang w:eastAsia="sk-SK"/>
        </w:rPr>
        <w:t xml:space="preserve">Schválený rozpočet rezervy v sume 1 500 tis. eur bol úpravami zvýšený na čiastku 3 360 tis. eur. </w:t>
      </w:r>
      <w:r w:rsidRPr="00986B41">
        <w:rPr>
          <w:rFonts w:eastAsia="Times New Roman" w:cs="Times New Roman"/>
          <w:lang w:eastAsia="sk-SK"/>
        </w:rPr>
        <w:t xml:space="preserve">Celkovo sa príjemcom, ktorými boli najmä obce a mestá, občianske združenia, neziskové organizácie, cirkev a náboženské  organizácie, poskytlo 3 360 tis. eur, a to platobným príkazom 3 360 tis. eur a rozpočtovými opatreniami sa poskytlo 455 tis. eur prostredníctvom jednotlivých kapitol štátneho rozpočtu pre konečných príjemcov, ktorými sú napr. spojená škola, diagnostické centrum, univerzity, SAV, SĽUK a pod. </w:t>
      </w:r>
    </w:p>
    <w:p w14:paraId="4FF78664" w14:textId="77777777" w:rsidR="00EA177A" w:rsidRPr="00194C5A" w:rsidRDefault="00EA177A" w:rsidP="00EA1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Times New Roman" w:cs="Times New Roman"/>
          <w:lang w:eastAsia="sk-SK"/>
        </w:rPr>
      </w:pPr>
      <w:r w:rsidRPr="00986B41">
        <w:rPr>
          <w:rFonts w:eastAsia="Times New Roman" w:cs="Times New Roman"/>
          <w:lang w:eastAsia="sk-SK"/>
        </w:rPr>
        <w:t>Dotácie boli účelovo určené predovšetkým na opravy a údržbu nehnuteľného majetku prijímateľov, na rekonštrukcie a dobudovanie nehnuteľného majetku prijímateľov, na obstaranie hnuteľných vecí, na činnosť prijímateľov, na športové a kultúrne podujatia a pod.</w:t>
      </w:r>
    </w:p>
    <w:p w14:paraId="65EB8510" w14:textId="77777777" w:rsidR="00EA177A" w:rsidRPr="00194C5A" w:rsidRDefault="00EA177A" w:rsidP="00EA177A">
      <w:pPr>
        <w:tabs>
          <w:tab w:val="left" w:pos="284"/>
        </w:tabs>
        <w:contextualSpacing/>
        <w:rPr>
          <w:rFonts w:cs="Times New Roman"/>
          <w:b/>
        </w:rPr>
      </w:pPr>
      <w:r w:rsidRPr="00194C5A">
        <w:rPr>
          <w:rFonts w:cs="Times New Roman"/>
          <w:b/>
        </w:rPr>
        <w:t>Rezerva na prostriedky EÚ a odvody EÚ</w:t>
      </w:r>
    </w:p>
    <w:p w14:paraId="175CB5BE" w14:textId="2C6FBFAF" w:rsidR="00EA177A" w:rsidRPr="00194C5A" w:rsidRDefault="00EA177A" w:rsidP="00EA177A">
      <w:pPr>
        <w:rPr>
          <w:rFonts w:eastAsia="Times New Roman" w:cs="Times New Roman"/>
          <w:lang w:eastAsia="sk-SK"/>
        </w:rPr>
      </w:pPr>
      <w:r w:rsidRPr="00194C5A">
        <w:t>Rezerva na prostriedky EÚ a odvody EÚ</w:t>
      </w:r>
      <w:r w:rsidRPr="00194C5A">
        <w:rPr>
          <w:b/>
        </w:rPr>
        <w:t xml:space="preserve"> </w:t>
      </w:r>
      <w:r w:rsidRPr="00194C5A">
        <w:t>bola rozpočtovaná</w:t>
      </w:r>
      <w:r w:rsidRPr="00194C5A">
        <w:rPr>
          <w:rFonts w:eastAsia="Times New Roman" w:cs="Times New Roman"/>
          <w:lang w:eastAsia="sk-SK"/>
        </w:rPr>
        <w:t xml:space="preserve"> na rok 2019 v sume 218 766 tis. eur. </w:t>
      </w:r>
      <w:r w:rsidRPr="00194C5A">
        <w:t>Uvedená rezerva sa vytvorila na zabezpečenie plynulého financovania spoločných programov Slovenskej republiky a Európskej únie. Prostriedky z rezervy v roku 2019 boli určené na rýchlejšiu realizáciu a väčší počet projektov, financovan</w:t>
      </w:r>
      <w:r w:rsidR="008A6314">
        <w:t>ie</w:t>
      </w:r>
      <w:r w:rsidRPr="00194C5A">
        <w:t xml:space="preserve"> spoločných programov a na zefektívnenie systému finančného riadenia fondov EÚ a iných finančných nástrojov. </w:t>
      </w:r>
    </w:p>
    <w:p w14:paraId="08DBB931" w14:textId="5AB50852" w:rsidR="00EA177A" w:rsidRDefault="00EA177A" w:rsidP="00EA177A">
      <w:pPr>
        <w:rPr>
          <w:rFonts w:eastAsia="Times New Roman" w:cs="Times New Roman"/>
          <w:lang w:eastAsia="sk-SK"/>
        </w:rPr>
      </w:pPr>
      <w:r w:rsidRPr="00194C5A">
        <w:rPr>
          <w:rFonts w:eastAsia="Times New Roman" w:cs="Times New Roman"/>
          <w:lang w:eastAsia="sk-SK"/>
        </w:rPr>
        <w:t>Počas roka boli z uvedenej rezervy použité finančné prostriedky v objeme 215 349 tis. eur prostredníctvom rozpočtových opatrení na základe predložených žiadostí príslušných kapitol štátneho rozpočtu. V priebehu roka bola rezerva na prostriedky EÚ a odvody EÚ navýšená o prostriedky minulých rokov v sume 49 804 tis eur. Zostatok r</w:t>
      </w:r>
      <w:r>
        <w:rPr>
          <w:rFonts w:eastAsia="Times New Roman" w:cs="Times New Roman"/>
          <w:lang w:eastAsia="sk-SK"/>
        </w:rPr>
        <w:t>ezervy z roku 2019 v sume 3 417 </w:t>
      </w:r>
      <w:r w:rsidRPr="00194C5A">
        <w:rPr>
          <w:rFonts w:eastAsia="Times New Roman" w:cs="Times New Roman"/>
          <w:lang w:eastAsia="sk-SK"/>
        </w:rPr>
        <w:t>tis.</w:t>
      </w:r>
      <w:r>
        <w:rPr>
          <w:rFonts w:eastAsia="Times New Roman" w:cs="Times New Roman"/>
          <w:lang w:eastAsia="sk-SK"/>
        </w:rPr>
        <w:t> </w:t>
      </w:r>
      <w:r w:rsidRPr="00194C5A">
        <w:rPr>
          <w:rFonts w:eastAsia="Times New Roman" w:cs="Times New Roman"/>
          <w:lang w:eastAsia="sk-SK"/>
        </w:rPr>
        <w:t>eur bol spolu so zostatkom finančných prostriedkov z predchá</w:t>
      </w:r>
      <w:r>
        <w:rPr>
          <w:rFonts w:eastAsia="Times New Roman" w:cs="Times New Roman"/>
          <w:lang w:eastAsia="sk-SK"/>
        </w:rPr>
        <w:t>dzajúcich rokov vo výške 47 001 </w:t>
      </w:r>
      <w:r w:rsidRPr="00194C5A">
        <w:rPr>
          <w:rFonts w:eastAsia="Times New Roman" w:cs="Times New Roman"/>
          <w:lang w:eastAsia="sk-SK"/>
        </w:rPr>
        <w:t>tis.</w:t>
      </w:r>
      <w:r>
        <w:rPr>
          <w:rFonts w:eastAsia="Times New Roman" w:cs="Times New Roman"/>
          <w:lang w:eastAsia="sk-SK"/>
        </w:rPr>
        <w:t> </w:t>
      </w:r>
      <w:r w:rsidRPr="00194C5A">
        <w:rPr>
          <w:rFonts w:eastAsia="Times New Roman" w:cs="Times New Roman"/>
          <w:lang w:eastAsia="sk-SK"/>
        </w:rPr>
        <w:t>eur v zmysle zákona o rozpočtových pravidlách viazaný</w:t>
      </w:r>
      <w:r>
        <w:rPr>
          <w:rFonts w:eastAsia="Times New Roman" w:cs="Times New Roman"/>
          <w:lang w:eastAsia="sk-SK"/>
        </w:rPr>
        <w:t>ch</w:t>
      </w:r>
      <w:r w:rsidRPr="00194C5A">
        <w:rPr>
          <w:rFonts w:eastAsia="Times New Roman" w:cs="Times New Roman"/>
          <w:lang w:eastAsia="sk-SK"/>
        </w:rPr>
        <w:t xml:space="preserve"> s predpokladaným použitím v nasledujúcich rokoch v celkovej sume 50 418 tis. eu</w:t>
      </w:r>
      <w:r w:rsidRPr="00EF5B3F">
        <w:rPr>
          <w:rFonts w:eastAsia="Times New Roman" w:cs="Times New Roman"/>
          <w:lang w:eastAsia="sk-SK"/>
        </w:rPr>
        <w:t>r.</w:t>
      </w:r>
    </w:p>
    <w:p w14:paraId="561955F8" w14:textId="77777777" w:rsidR="008A6314" w:rsidRPr="00EA177A" w:rsidRDefault="008A6314" w:rsidP="00EA177A"/>
    <w:p w14:paraId="35C0A409" w14:textId="77777777" w:rsidR="00752EB6" w:rsidRDefault="00752EB6">
      <w:pPr>
        <w:spacing w:after="160" w:line="259" w:lineRule="auto"/>
        <w:jc w:val="left"/>
        <w:rPr>
          <w:rFonts w:eastAsiaTheme="majorEastAsia" w:cstheme="majorBidi"/>
          <w:b/>
          <w:sz w:val="24"/>
          <w:szCs w:val="26"/>
        </w:rPr>
      </w:pPr>
      <w:bookmarkStart w:id="55" w:name="_Toc6415651"/>
      <w:r>
        <w:br w:type="page"/>
      </w:r>
    </w:p>
    <w:p w14:paraId="1A0A2DAB" w14:textId="48F68E5F" w:rsidR="008254BE" w:rsidRDefault="008254BE" w:rsidP="008A6314">
      <w:pPr>
        <w:pStyle w:val="Nadpis2"/>
      </w:pPr>
      <w:bookmarkStart w:id="56" w:name="_Toc39095182"/>
      <w:r>
        <w:t>Štátne finančné aktíva</w:t>
      </w:r>
      <w:bookmarkEnd w:id="55"/>
      <w:bookmarkEnd w:id="56"/>
    </w:p>
    <w:p w14:paraId="786410A8" w14:textId="77777777" w:rsidR="00EA177A" w:rsidRPr="002E5018" w:rsidRDefault="00EA177A" w:rsidP="00EA177A">
      <w:pPr>
        <w:contextualSpacing/>
      </w:pPr>
      <w:r w:rsidRPr="002E5018">
        <w:t>Štátne finančné aktíva</w:t>
      </w:r>
      <w:r>
        <w:t xml:space="preserve"> (ŠFA) rovnako ako aj</w:t>
      </w:r>
      <w:r w:rsidRPr="002E5018">
        <w:t xml:space="preserve"> štátne finančné pasíva</w:t>
      </w:r>
      <w:r>
        <w:rPr>
          <w:rStyle w:val="Odkaznapoznmkupodiarou"/>
        </w:rPr>
        <w:footnoteReference w:id="28"/>
      </w:r>
      <w:r w:rsidRPr="002E5018">
        <w:t xml:space="preserve"> sú súčasťou návrhu štátneho rozpočtu </w:t>
      </w:r>
      <w:r>
        <w:t xml:space="preserve">verejnej správy </w:t>
      </w:r>
      <w:r w:rsidRPr="002E5018">
        <w:t xml:space="preserve">na príslušný rok. Finančné operácie so štátnymi finančnými aktívami a iné operácie, ktoré ovplyvňujú stav štátnych finančných aktív, nie sú súčasťou príjmov štátneho rozpočtu a výdavkov štátneho rozpočtu. Správu štátnych finančných aktív vykonáva Ministerstvo financií SR, v rozsahu zákona o rozpočtových pravidlách, pričom na niektoré transakcie sa vyžaduje súhlas vlády a na niektoré </w:t>
      </w:r>
      <w:r>
        <w:t>aj</w:t>
      </w:r>
      <w:r w:rsidRPr="002E5018">
        <w:t xml:space="preserve"> súhlas </w:t>
      </w:r>
      <w:r>
        <w:t>N</w:t>
      </w:r>
      <w:r w:rsidRPr="002E5018">
        <w:t>árodnej rady SR</w:t>
      </w:r>
      <w:r w:rsidRPr="002E5018">
        <w:rPr>
          <w:rStyle w:val="Odkaznapoznmkupodiarou"/>
        </w:rPr>
        <w:footnoteReference w:id="29"/>
      </w:r>
      <w:r w:rsidRPr="002E5018">
        <w:t>.</w:t>
      </w:r>
    </w:p>
    <w:p w14:paraId="31DFF080" w14:textId="77777777" w:rsidR="00EA177A" w:rsidRPr="002E5018" w:rsidRDefault="00EA177A" w:rsidP="00EA177A">
      <w:pPr>
        <w:spacing w:after="0"/>
        <w:contextualSpacing/>
      </w:pPr>
      <w:r w:rsidRPr="002E5018">
        <w:t>Podľa zákona o rozpočtových pravidlách sú štátnymi finančnými aktívami:</w:t>
      </w:r>
    </w:p>
    <w:p w14:paraId="771A2574" w14:textId="77777777" w:rsidR="00EA177A" w:rsidRPr="002E5018" w:rsidRDefault="00EA177A" w:rsidP="00EA177A">
      <w:pPr>
        <w:pStyle w:val="Odsekzoznamu"/>
        <w:numPr>
          <w:ilvl w:val="0"/>
          <w:numId w:val="6"/>
        </w:numPr>
        <w:tabs>
          <w:tab w:val="left" w:pos="284"/>
        </w:tabs>
        <w:spacing w:after="120" w:line="336" w:lineRule="auto"/>
        <w:ind w:left="284" w:hanging="284"/>
        <w:jc w:val="both"/>
        <w:rPr>
          <w:rFonts w:ascii="Times New Roman" w:hAnsi="Times New Roman"/>
        </w:rPr>
      </w:pPr>
      <w:r w:rsidRPr="002E5018">
        <w:rPr>
          <w:rFonts w:ascii="Times New Roman" w:hAnsi="Times New Roman"/>
        </w:rPr>
        <w:t>peňažné prostriedky štátu vytvorené z výsledkov rozpočtového hospodárenia štátneho rozpočtu z minulých rokov,</w:t>
      </w:r>
    </w:p>
    <w:p w14:paraId="411BD3DE" w14:textId="77777777" w:rsidR="00EA177A" w:rsidRPr="002E5018" w:rsidRDefault="00EA177A" w:rsidP="00EA177A">
      <w:pPr>
        <w:pStyle w:val="Odsekzoznamu"/>
        <w:numPr>
          <w:ilvl w:val="0"/>
          <w:numId w:val="6"/>
        </w:numPr>
        <w:tabs>
          <w:tab w:val="left" w:pos="284"/>
        </w:tabs>
        <w:spacing w:after="120" w:line="336" w:lineRule="auto"/>
        <w:ind w:left="0" w:firstLine="0"/>
        <w:jc w:val="both"/>
        <w:rPr>
          <w:rFonts w:ascii="Times New Roman" w:hAnsi="Times New Roman"/>
        </w:rPr>
      </w:pPr>
      <w:r w:rsidRPr="002E5018">
        <w:rPr>
          <w:rFonts w:ascii="Times New Roman" w:hAnsi="Times New Roman"/>
        </w:rPr>
        <w:t>peňažné prostriedky štátu zo splácania istín poskytnutých návratných výpomocí</w:t>
      </w:r>
      <w:r>
        <w:rPr>
          <w:rFonts w:ascii="Times New Roman" w:hAnsi="Times New Roman"/>
        </w:rPr>
        <w:t>,</w:t>
      </w:r>
      <w:r w:rsidRPr="002E5018">
        <w:rPr>
          <w:rFonts w:ascii="Times New Roman" w:hAnsi="Times New Roman"/>
        </w:rPr>
        <w:t xml:space="preserve"> úverov a pôžičiek,</w:t>
      </w:r>
    </w:p>
    <w:p w14:paraId="639BC7E2" w14:textId="77777777" w:rsidR="00EA177A" w:rsidRPr="00661243" w:rsidRDefault="00EA177A" w:rsidP="00EA177A">
      <w:pPr>
        <w:pStyle w:val="Odsekzoznamu"/>
        <w:numPr>
          <w:ilvl w:val="0"/>
          <w:numId w:val="6"/>
        </w:numPr>
        <w:tabs>
          <w:tab w:val="left" w:pos="284"/>
        </w:tabs>
        <w:spacing w:after="120" w:line="336" w:lineRule="auto"/>
        <w:ind w:left="284" w:hanging="284"/>
        <w:jc w:val="both"/>
        <w:rPr>
          <w:rFonts w:ascii="Times New Roman" w:hAnsi="Times New Roman"/>
        </w:rPr>
      </w:pPr>
      <w:r w:rsidRPr="00661243">
        <w:rPr>
          <w:rFonts w:ascii="Times New Roman" w:hAnsi="Times New Roman"/>
        </w:rPr>
        <w:t>peňažné prostriedky v pokladnici a na bežných účtoch štátnych rozpočtových organizácií a štátnych príspevkových organizácií a odvod za porušenie finančnej disciplíny pri nakladaní so štátnymi finančnými aktívami,</w:t>
      </w:r>
    </w:p>
    <w:p w14:paraId="6A5019F1" w14:textId="77777777" w:rsidR="00EA177A" w:rsidRPr="002E5018" w:rsidRDefault="00EA177A" w:rsidP="00EA177A">
      <w:pPr>
        <w:pStyle w:val="Odsekzoznamu"/>
        <w:numPr>
          <w:ilvl w:val="0"/>
          <w:numId w:val="6"/>
        </w:numPr>
        <w:tabs>
          <w:tab w:val="left" w:pos="284"/>
        </w:tabs>
        <w:spacing w:after="120" w:line="336" w:lineRule="auto"/>
        <w:ind w:left="0" w:firstLine="0"/>
        <w:jc w:val="both"/>
        <w:rPr>
          <w:rFonts w:ascii="Times New Roman" w:hAnsi="Times New Roman"/>
        </w:rPr>
      </w:pPr>
      <w:r w:rsidRPr="002E5018">
        <w:rPr>
          <w:rFonts w:ascii="Times New Roman" w:hAnsi="Times New Roman"/>
        </w:rPr>
        <w:t>pohľadávky štátu z poskytnutých návratných finančných výpomocí</w:t>
      </w:r>
      <w:r>
        <w:rPr>
          <w:rFonts w:ascii="Times New Roman" w:hAnsi="Times New Roman"/>
        </w:rPr>
        <w:t>,</w:t>
      </w:r>
      <w:r w:rsidRPr="002E5018">
        <w:rPr>
          <w:rFonts w:ascii="Times New Roman" w:hAnsi="Times New Roman"/>
        </w:rPr>
        <w:t xml:space="preserve"> úverov a pôžičiek,</w:t>
      </w:r>
    </w:p>
    <w:p w14:paraId="1E002186" w14:textId="77777777" w:rsidR="00EA177A" w:rsidRPr="002E5018" w:rsidRDefault="00EA177A" w:rsidP="00EA177A">
      <w:pPr>
        <w:pStyle w:val="Odsekzoznamu"/>
        <w:numPr>
          <w:ilvl w:val="0"/>
          <w:numId w:val="6"/>
        </w:numPr>
        <w:tabs>
          <w:tab w:val="left" w:pos="284"/>
        </w:tabs>
        <w:spacing w:after="120" w:line="336" w:lineRule="auto"/>
        <w:ind w:left="0" w:firstLine="0"/>
        <w:jc w:val="both"/>
        <w:rPr>
          <w:rFonts w:ascii="Times New Roman" w:hAnsi="Times New Roman"/>
        </w:rPr>
      </w:pPr>
      <w:r w:rsidRPr="002E5018">
        <w:rPr>
          <w:rFonts w:ascii="Times New Roman" w:hAnsi="Times New Roman"/>
        </w:rPr>
        <w:t>cenné papiere vo vlastníctve štátu,</w:t>
      </w:r>
    </w:p>
    <w:p w14:paraId="0612C589" w14:textId="77777777" w:rsidR="00EA177A" w:rsidRDefault="00EA177A" w:rsidP="00EA177A">
      <w:pPr>
        <w:pStyle w:val="Odsekzoznamu"/>
        <w:numPr>
          <w:ilvl w:val="0"/>
          <w:numId w:val="6"/>
        </w:numPr>
        <w:tabs>
          <w:tab w:val="left" w:pos="284"/>
        </w:tabs>
        <w:spacing w:after="120" w:line="336" w:lineRule="auto"/>
        <w:ind w:left="0" w:firstLine="0"/>
        <w:jc w:val="both"/>
        <w:rPr>
          <w:rFonts w:ascii="Times New Roman" w:hAnsi="Times New Roman"/>
        </w:rPr>
      </w:pPr>
      <w:r w:rsidRPr="002E5018">
        <w:rPr>
          <w:rFonts w:ascii="Times New Roman" w:hAnsi="Times New Roman"/>
        </w:rPr>
        <w:t>majetkové účasti štátu,</w:t>
      </w:r>
    </w:p>
    <w:p w14:paraId="1930C08F" w14:textId="77777777" w:rsidR="00EA177A" w:rsidRPr="002E5018" w:rsidRDefault="00EA177A" w:rsidP="00EA177A">
      <w:pPr>
        <w:pStyle w:val="Odsekzoznamu"/>
        <w:numPr>
          <w:ilvl w:val="0"/>
          <w:numId w:val="6"/>
        </w:numPr>
        <w:tabs>
          <w:tab w:val="left" w:pos="284"/>
        </w:tabs>
        <w:spacing w:after="120" w:line="336" w:lineRule="auto"/>
        <w:ind w:left="0" w:firstLine="0"/>
        <w:jc w:val="both"/>
        <w:rPr>
          <w:rFonts w:ascii="Times New Roman" w:hAnsi="Times New Roman"/>
        </w:rPr>
      </w:pPr>
      <w:r w:rsidRPr="002E5018">
        <w:rPr>
          <w:rFonts w:ascii="Times New Roman" w:hAnsi="Times New Roman"/>
        </w:rPr>
        <w:t>ďalšie peňažné prostriedky na základe rozhodnutia vlády alebo národnej rady.</w:t>
      </w:r>
    </w:p>
    <w:p w14:paraId="7E57F2BB" w14:textId="77777777" w:rsidR="00EA177A" w:rsidRDefault="00EA177A" w:rsidP="00EA177A">
      <w:pPr>
        <w:spacing w:before="120" w:after="360"/>
        <w:contextualSpacing/>
      </w:pPr>
      <w:r>
        <w:t>Prostriedky ŠFA</w:t>
      </w:r>
      <w:r w:rsidRPr="002E5018">
        <w:t xml:space="preserve"> sú vedené na samostatných </w:t>
      </w:r>
      <w:r>
        <w:t xml:space="preserve">(bežných) účtoch v Štátnej pokladnici a </w:t>
      </w:r>
      <w:r w:rsidRPr="002E5018">
        <w:t xml:space="preserve">ich zostatok prechádza vždy do nasledujúceho rozpočtového roka. </w:t>
      </w:r>
      <w:r>
        <w:t xml:space="preserve">Na účtoch ŠFA sa klasifikujú príjmy, výdavky a finančné operácie. Do príjmov ŠFA patria napr. dividendy, </w:t>
      </w:r>
      <w:r w:rsidRPr="002E5018">
        <w:t>osobitný odvod vybraných finančných inštitúcií</w:t>
      </w:r>
      <w:r w:rsidRPr="002E5018">
        <w:rPr>
          <w:rStyle w:val="Odkaznapoznmkupodiarou"/>
        </w:rPr>
        <w:footnoteReference w:id="30"/>
      </w:r>
      <w:r w:rsidRPr="002E5018">
        <w:t xml:space="preserve"> a osobitný odvod z podnikania v regulovaných odvetviach</w:t>
      </w:r>
      <w:r w:rsidRPr="002E5018">
        <w:rPr>
          <w:rStyle w:val="Odkaznapoznmkupodiarou"/>
        </w:rPr>
        <w:footnoteReference w:id="31"/>
      </w:r>
      <w:r w:rsidRPr="002E5018">
        <w:t xml:space="preserve">. </w:t>
      </w:r>
      <w:r>
        <w:t xml:space="preserve">Ako výdavky sa klasifikujú napríklad kapitálové transfery do obchodných spoločností. Medzi finančné operácie na strane výdavkov patrí poskytovanie </w:t>
      </w:r>
      <w:r w:rsidRPr="002E5018">
        <w:t>návratných finančných výpomocí, </w:t>
      </w:r>
      <w:r>
        <w:t>ú</w:t>
      </w:r>
      <w:r w:rsidRPr="002E5018">
        <w:t>hrada podielov na základnom imaní zahraničných finančných inštitúcií (napríklad Európsk</w:t>
      </w:r>
      <w:r>
        <w:t>ej investičnej</w:t>
      </w:r>
      <w:r w:rsidRPr="002E5018">
        <w:t xml:space="preserve"> bank</w:t>
      </w:r>
      <w:r>
        <w:t>y</w:t>
      </w:r>
      <w:r w:rsidRPr="002E5018">
        <w:t>) a</w:t>
      </w:r>
      <w:r>
        <w:t xml:space="preserve"> </w:t>
      </w:r>
      <w:r w:rsidRPr="002E5018">
        <w:t>ďalšie transakcie</w:t>
      </w:r>
      <w:r>
        <w:t xml:space="preserve">. Príjmové finančné operácie predstavujú najmä splátky istín poskytnutých návratných finančných výpomocí, úverov a pôžičiek. </w:t>
      </w:r>
    </w:p>
    <w:p w14:paraId="0F07E666" w14:textId="41AE22DA" w:rsidR="00752EB6" w:rsidRDefault="00EA177A" w:rsidP="00EA177A">
      <w:pPr>
        <w:spacing w:before="120" w:after="360"/>
        <w:contextualSpacing/>
      </w:pPr>
      <w:r>
        <w:t xml:space="preserve">Nasledovný prehľad ŠFA abstrahuje od účtov, ktoré slúžia na operácie so štátnym </w:t>
      </w:r>
      <w:r w:rsidRPr="00D10702">
        <w:t>dlhom</w:t>
      </w:r>
      <w:r>
        <w:t xml:space="preserve">. Odpočet plnenia ŠFA pod tabuľkou je podľa Návrhu rozpočtu verejnej správy na rok 2019. </w:t>
      </w:r>
    </w:p>
    <w:p w14:paraId="507BD837" w14:textId="77777777" w:rsidR="00752EB6" w:rsidRDefault="00752EB6">
      <w:pPr>
        <w:spacing w:after="160" w:line="259" w:lineRule="auto"/>
        <w:jc w:val="left"/>
      </w:pPr>
      <w:r>
        <w:br w:type="page"/>
      </w:r>
    </w:p>
    <w:tbl>
      <w:tblPr>
        <w:tblpPr w:leftFromText="141" w:rightFromText="141" w:vertAnchor="text" w:horzAnchor="margin" w:tblpXSpec="center" w:tblpY="59"/>
        <w:tblW w:w="8364" w:type="dxa"/>
        <w:tblCellMar>
          <w:left w:w="70" w:type="dxa"/>
          <w:right w:w="70" w:type="dxa"/>
        </w:tblCellMar>
        <w:tblLook w:val="04A0" w:firstRow="1" w:lastRow="0" w:firstColumn="1" w:lastColumn="0" w:noHBand="0" w:noVBand="1"/>
      </w:tblPr>
      <w:tblGrid>
        <w:gridCol w:w="5032"/>
        <w:gridCol w:w="1064"/>
        <w:gridCol w:w="1134"/>
        <w:gridCol w:w="1134"/>
      </w:tblGrid>
      <w:tr w:rsidR="00EA177A" w:rsidRPr="00F10C29" w14:paraId="58B80970" w14:textId="77777777" w:rsidTr="00C704A7">
        <w:trPr>
          <w:trHeight w:val="413"/>
        </w:trPr>
        <w:tc>
          <w:tcPr>
            <w:tcW w:w="8364" w:type="dxa"/>
            <w:gridSpan w:val="4"/>
            <w:tcBorders>
              <w:top w:val="single" w:sz="4" w:space="0" w:color="auto"/>
              <w:left w:val="nil"/>
              <w:bottom w:val="nil"/>
              <w:right w:val="nil"/>
            </w:tcBorders>
            <w:shd w:val="clear" w:color="000000" w:fill="000000"/>
            <w:noWrap/>
            <w:vAlign w:val="center"/>
          </w:tcPr>
          <w:p w14:paraId="3D1E9146" w14:textId="77777777" w:rsidR="00EA177A" w:rsidRPr="00F10C29" w:rsidRDefault="00EA177A" w:rsidP="00C704A7">
            <w:pPr>
              <w:spacing w:after="0" w:line="240" w:lineRule="auto"/>
              <w:jc w:val="left"/>
              <w:rPr>
                <w:rFonts w:eastAsia="Times New Roman" w:cs="Times New Roman"/>
                <w:b/>
                <w:bCs/>
                <w:color w:val="FFFFFF"/>
                <w:sz w:val="18"/>
                <w:szCs w:val="18"/>
              </w:rPr>
            </w:pPr>
            <w:r w:rsidRPr="00F10C29">
              <w:rPr>
                <w:rFonts w:eastAsia="Times New Roman" w:cs="Times New Roman"/>
                <w:sz w:val="18"/>
                <w:szCs w:val="18"/>
              </w:rPr>
              <w:br w:type="page"/>
            </w:r>
            <w:r w:rsidRPr="00F10C29">
              <w:rPr>
                <w:rFonts w:eastAsia="Times New Roman" w:cs="Times New Roman"/>
                <w:b/>
                <w:bCs/>
                <w:color w:val="FFFFFF"/>
                <w:sz w:val="18"/>
                <w:szCs w:val="18"/>
                <w:lang w:eastAsia="sk-SK"/>
              </w:rPr>
              <w:t>Vybrané účty štátnych finančných aktív                                                                                                 v tis. eur</w:t>
            </w:r>
          </w:p>
        </w:tc>
      </w:tr>
      <w:tr w:rsidR="00EA177A" w:rsidRPr="00F10C29" w14:paraId="1AEC6282" w14:textId="77777777" w:rsidTr="00C704A7">
        <w:trPr>
          <w:trHeight w:hRule="exact" w:val="284"/>
        </w:trPr>
        <w:tc>
          <w:tcPr>
            <w:tcW w:w="8364" w:type="dxa"/>
            <w:gridSpan w:val="4"/>
            <w:tcBorders>
              <w:top w:val="nil"/>
              <w:left w:val="nil"/>
              <w:right w:val="nil"/>
            </w:tcBorders>
            <w:shd w:val="clear" w:color="000000" w:fill="BFBFBF"/>
            <w:noWrap/>
            <w:vAlign w:val="center"/>
          </w:tcPr>
          <w:p w14:paraId="274EF3D1" w14:textId="77777777" w:rsidR="00EA177A" w:rsidRPr="00F10C29" w:rsidRDefault="00EA177A" w:rsidP="00F542A1">
            <w:pPr>
              <w:spacing w:after="0" w:line="240" w:lineRule="auto"/>
              <w:ind w:right="923"/>
              <w:jc w:val="right"/>
              <w:rPr>
                <w:rFonts w:eastAsia="Times New Roman" w:cs="Times New Roman"/>
                <w:b/>
                <w:bCs/>
                <w:color w:val="000000"/>
                <w:sz w:val="18"/>
                <w:szCs w:val="18"/>
              </w:rPr>
            </w:pPr>
            <w:r w:rsidRPr="00F10C29">
              <w:rPr>
                <w:rFonts w:eastAsia="Times New Roman" w:cs="Times New Roman"/>
                <w:b/>
                <w:bCs/>
                <w:color w:val="000000"/>
                <w:sz w:val="18"/>
                <w:szCs w:val="18"/>
              </w:rPr>
              <w:t>Skutočnosť</w:t>
            </w:r>
          </w:p>
        </w:tc>
      </w:tr>
      <w:tr w:rsidR="00EA177A" w:rsidRPr="00F10C29" w14:paraId="55136DC2" w14:textId="77777777" w:rsidTr="00C704A7">
        <w:trPr>
          <w:trHeight w:hRule="exact" w:val="284"/>
        </w:trPr>
        <w:tc>
          <w:tcPr>
            <w:tcW w:w="5032" w:type="dxa"/>
            <w:tcBorders>
              <w:top w:val="nil"/>
              <w:left w:val="nil"/>
              <w:bottom w:val="single" w:sz="4" w:space="0" w:color="auto"/>
              <w:right w:val="nil"/>
            </w:tcBorders>
            <w:shd w:val="clear" w:color="000000" w:fill="BFBFBF"/>
            <w:noWrap/>
            <w:vAlign w:val="center"/>
          </w:tcPr>
          <w:p w14:paraId="798BD6EF"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w:t>
            </w:r>
          </w:p>
        </w:tc>
        <w:tc>
          <w:tcPr>
            <w:tcW w:w="1064" w:type="dxa"/>
            <w:tcBorders>
              <w:top w:val="nil"/>
              <w:left w:val="nil"/>
              <w:bottom w:val="single" w:sz="4" w:space="0" w:color="auto"/>
              <w:right w:val="nil"/>
            </w:tcBorders>
            <w:shd w:val="clear" w:color="000000" w:fill="BFBFBF"/>
            <w:noWrap/>
            <w:vAlign w:val="center"/>
          </w:tcPr>
          <w:p w14:paraId="04C19A7F" w14:textId="77777777" w:rsidR="00EA177A" w:rsidRPr="00F10C29" w:rsidRDefault="00EA177A" w:rsidP="00C704A7">
            <w:pPr>
              <w:spacing w:after="0" w:line="240" w:lineRule="auto"/>
              <w:jc w:val="right"/>
              <w:rPr>
                <w:rFonts w:eastAsia="Times New Roman" w:cs="Times New Roman"/>
                <w:b/>
                <w:bCs/>
                <w:color w:val="000000"/>
                <w:sz w:val="18"/>
                <w:szCs w:val="18"/>
              </w:rPr>
            </w:pPr>
            <w:r w:rsidRPr="00F10C29">
              <w:rPr>
                <w:rFonts w:eastAsia="Times New Roman" w:cs="Times New Roman"/>
                <w:b/>
                <w:bCs/>
                <w:color w:val="000000"/>
                <w:sz w:val="18"/>
                <w:szCs w:val="18"/>
              </w:rPr>
              <w:t>2017</w:t>
            </w:r>
          </w:p>
        </w:tc>
        <w:tc>
          <w:tcPr>
            <w:tcW w:w="1134" w:type="dxa"/>
            <w:tcBorders>
              <w:top w:val="nil"/>
              <w:left w:val="nil"/>
              <w:bottom w:val="single" w:sz="4" w:space="0" w:color="auto"/>
              <w:right w:val="nil"/>
            </w:tcBorders>
            <w:shd w:val="clear" w:color="000000" w:fill="BFBFBF"/>
            <w:noWrap/>
            <w:vAlign w:val="center"/>
          </w:tcPr>
          <w:p w14:paraId="12509D6E" w14:textId="77777777" w:rsidR="00EA177A" w:rsidRPr="00F10C29" w:rsidRDefault="00EA177A" w:rsidP="00C704A7">
            <w:pPr>
              <w:spacing w:after="0" w:line="240" w:lineRule="auto"/>
              <w:jc w:val="right"/>
              <w:rPr>
                <w:rFonts w:eastAsia="Times New Roman" w:cs="Times New Roman"/>
                <w:b/>
                <w:bCs/>
                <w:color w:val="000000"/>
                <w:sz w:val="18"/>
                <w:szCs w:val="18"/>
              </w:rPr>
            </w:pPr>
            <w:r w:rsidRPr="00F10C29">
              <w:rPr>
                <w:rFonts w:eastAsia="Times New Roman" w:cs="Times New Roman"/>
                <w:b/>
                <w:bCs/>
                <w:color w:val="000000"/>
                <w:sz w:val="18"/>
                <w:szCs w:val="18"/>
              </w:rPr>
              <w:t>2018</w:t>
            </w:r>
          </w:p>
        </w:tc>
        <w:tc>
          <w:tcPr>
            <w:tcW w:w="1134" w:type="dxa"/>
            <w:tcBorders>
              <w:top w:val="nil"/>
              <w:left w:val="nil"/>
              <w:bottom w:val="single" w:sz="4" w:space="0" w:color="auto"/>
              <w:right w:val="nil"/>
            </w:tcBorders>
            <w:shd w:val="clear" w:color="auto" w:fill="BFBFBF" w:themeFill="background1" w:themeFillShade="BF"/>
            <w:noWrap/>
            <w:vAlign w:val="center"/>
          </w:tcPr>
          <w:p w14:paraId="39B44DA4" w14:textId="77777777" w:rsidR="00EA177A" w:rsidRPr="00F10C29" w:rsidRDefault="00EA177A" w:rsidP="00C704A7">
            <w:pPr>
              <w:spacing w:after="0" w:line="240" w:lineRule="auto"/>
              <w:jc w:val="right"/>
              <w:rPr>
                <w:rFonts w:eastAsia="Times New Roman" w:cs="Times New Roman"/>
                <w:b/>
                <w:bCs/>
                <w:color w:val="000000"/>
                <w:sz w:val="18"/>
                <w:szCs w:val="18"/>
              </w:rPr>
            </w:pPr>
            <w:r w:rsidRPr="00F10C29">
              <w:rPr>
                <w:rFonts w:eastAsia="Times New Roman" w:cs="Times New Roman"/>
                <w:b/>
                <w:bCs/>
                <w:color w:val="000000"/>
                <w:sz w:val="18"/>
                <w:szCs w:val="18"/>
              </w:rPr>
              <w:t>2019</w:t>
            </w:r>
          </w:p>
        </w:tc>
      </w:tr>
      <w:tr w:rsidR="00EA177A" w:rsidRPr="00F10C29" w14:paraId="5E67F6E5" w14:textId="77777777" w:rsidTr="00C704A7">
        <w:trPr>
          <w:trHeight w:hRule="exact" w:val="284"/>
        </w:trPr>
        <w:tc>
          <w:tcPr>
            <w:tcW w:w="5032" w:type="dxa"/>
            <w:tcBorders>
              <w:top w:val="single" w:sz="4" w:space="0" w:color="auto"/>
              <w:left w:val="nil"/>
              <w:right w:val="nil"/>
            </w:tcBorders>
            <w:noWrap/>
            <w:vAlign w:val="center"/>
          </w:tcPr>
          <w:p w14:paraId="65669BDE" w14:textId="77777777" w:rsidR="00EA177A" w:rsidRPr="00F10C29" w:rsidRDefault="00EA177A" w:rsidP="00C704A7">
            <w:pPr>
              <w:spacing w:after="0" w:line="240" w:lineRule="auto"/>
              <w:rPr>
                <w:rFonts w:eastAsia="Times New Roman" w:cs="Times New Roman"/>
                <w:b/>
                <w:color w:val="000000"/>
                <w:sz w:val="18"/>
                <w:szCs w:val="18"/>
              </w:rPr>
            </w:pPr>
            <w:r w:rsidRPr="00F10C29">
              <w:rPr>
                <w:rFonts w:eastAsia="Times New Roman" w:cs="Times New Roman"/>
                <w:b/>
                <w:color w:val="000000"/>
                <w:sz w:val="18"/>
                <w:szCs w:val="18"/>
              </w:rPr>
              <w:t>Stav k 1.1.</w:t>
            </w:r>
          </w:p>
        </w:tc>
        <w:tc>
          <w:tcPr>
            <w:tcW w:w="1064" w:type="dxa"/>
            <w:tcBorders>
              <w:top w:val="single" w:sz="4" w:space="0" w:color="auto"/>
              <w:left w:val="nil"/>
              <w:right w:val="nil"/>
            </w:tcBorders>
            <w:noWrap/>
            <w:vAlign w:val="center"/>
          </w:tcPr>
          <w:p w14:paraId="2C767F2C"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1 958 451</w:t>
            </w:r>
          </w:p>
        </w:tc>
        <w:tc>
          <w:tcPr>
            <w:tcW w:w="1134" w:type="dxa"/>
            <w:tcBorders>
              <w:top w:val="single" w:sz="4" w:space="0" w:color="auto"/>
              <w:left w:val="nil"/>
              <w:right w:val="nil"/>
            </w:tcBorders>
            <w:noWrap/>
            <w:vAlign w:val="center"/>
          </w:tcPr>
          <w:p w14:paraId="58F9878F"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2 116 449</w:t>
            </w:r>
          </w:p>
        </w:tc>
        <w:tc>
          <w:tcPr>
            <w:tcW w:w="1134" w:type="dxa"/>
            <w:tcBorders>
              <w:top w:val="single" w:sz="4" w:space="0" w:color="auto"/>
              <w:left w:val="nil"/>
              <w:right w:val="nil"/>
            </w:tcBorders>
            <w:shd w:val="clear" w:color="auto" w:fill="BFBFBF" w:themeFill="background1" w:themeFillShade="BF"/>
            <w:noWrap/>
            <w:vAlign w:val="center"/>
          </w:tcPr>
          <w:p w14:paraId="77D26B36"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2 107 459</w:t>
            </w:r>
          </w:p>
        </w:tc>
      </w:tr>
      <w:tr w:rsidR="00EA177A" w:rsidRPr="00F10C29" w14:paraId="6AB382E8" w14:textId="77777777" w:rsidTr="00C704A7">
        <w:trPr>
          <w:trHeight w:hRule="exact" w:val="284"/>
        </w:trPr>
        <w:tc>
          <w:tcPr>
            <w:tcW w:w="5032" w:type="dxa"/>
            <w:tcBorders>
              <w:top w:val="single" w:sz="4" w:space="0" w:color="auto"/>
              <w:left w:val="nil"/>
              <w:right w:val="nil"/>
            </w:tcBorders>
            <w:noWrap/>
            <w:vAlign w:val="center"/>
          </w:tcPr>
          <w:p w14:paraId="557787D5" w14:textId="77777777" w:rsidR="00EA177A" w:rsidRPr="00F10C29" w:rsidRDefault="00EA177A" w:rsidP="00C704A7">
            <w:pPr>
              <w:spacing w:after="0" w:line="240" w:lineRule="auto"/>
              <w:rPr>
                <w:rFonts w:eastAsia="Times New Roman" w:cs="Times New Roman"/>
                <w:b/>
                <w:color w:val="000000"/>
                <w:sz w:val="18"/>
                <w:szCs w:val="18"/>
              </w:rPr>
            </w:pPr>
            <w:r w:rsidRPr="00F10C29">
              <w:rPr>
                <w:rFonts w:eastAsia="Times New Roman" w:cs="Times New Roman"/>
                <w:b/>
                <w:color w:val="000000"/>
                <w:sz w:val="18"/>
                <w:szCs w:val="18"/>
              </w:rPr>
              <w:t>Príjmy – zvýšenie ŠFA</w:t>
            </w:r>
          </w:p>
          <w:p w14:paraId="65A2CBA5" w14:textId="77777777" w:rsidR="00EA177A" w:rsidRPr="00F10C29" w:rsidRDefault="00EA177A" w:rsidP="00C704A7">
            <w:pPr>
              <w:spacing w:after="0" w:line="240" w:lineRule="auto"/>
              <w:rPr>
                <w:rFonts w:eastAsia="Times New Roman" w:cs="Times New Roman"/>
                <w:b/>
                <w:color w:val="000000"/>
                <w:sz w:val="18"/>
                <w:szCs w:val="18"/>
              </w:rPr>
            </w:pPr>
          </w:p>
        </w:tc>
        <w:tc>
          <w:tcPr>
            <w:tcW w:w="1064" w:type="dxa"/>
            <w:tcBorders>
              <w:top w:val="single" w:sz="4" w:space="0" w:color="auto"/>
              <w:left w:val="nil"/>
              <w:right w:val="nil"/>
            </w:tcBorders>
            <w:noWrap/>
            <w:vAlign w:val="center"/>
          </w:tcPr>
          <w:p w14:paraId="316B6DE8"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348 988</w:t>
            </w:r>
          </w:p>
        </w:tc>
        <w:tc>
          <w:tcPr>
            <w:tcW w:w="1134" w:type="dxa"/>
            <w:tcBorders>
              <w:top w:val="single" w:sz="4" w:space="0" w:color="auto"/>
              <w:left w:val="nil"/>
              <w:right w:val="nil"/>
            </w:tcBorders>
            <w:noWrap/>
            <w:vAlign w:val="center"/>
          </w:tcPr>
          <w:p w14:paraId="01642584"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645 719</w:t>
            </w:r>
          </w:p>
        </w:tc>
        <w:tc>
          <w:tcPr>
            <w:tcW w:w="1134" w:type="dxa"/>
            <w:tcBorders>
              <w:top w:val="single" w:sz="4" w:space="0" w:color="auto"/>
              <w:left w:val="nil"/>
              <w:right w:val="nil"/>
            </w:tcBorders>
            <w:shd w:val="clear" w:color="auto" w:fill="BFBFBF" w:themeFill="background1" w:themeFillShade="BF"/>
            <w:noWrap/>
            <w:vAlign w:val="center"/>
          </w:tcPr>
          <w:p w14:paraId="79FFF052"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336 524</w:t>
            </w:r>
          </w:p>
        </w:tc>
      </w:tr>
      <w:tr w:rsidR="00EA177A" w:rsidRPr="00F10C29" w14:paraId="000915D9" w14:textId="77777777" w:rsidTr="00C704A7">
        <w:trPr>
          <w:trHeight w:hRule="exact" w:val="284"/>
        </w:trPr>
        <w:tc>
          <w:tcPr>
            <w:tcW w:w="5032" w:type="dxa"/>
            <w:tcBorders>
              <w:top w:val="nil"/>
              <w:left w:val="nil"/>
              <w:right w:val="nil"/>
            </w:tcBorders>
            <w:noWrap/>
            <w:vAlign w:val="center"/>
          </w:tcPr>
          <w:p w14:paraId="03B1F319"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z toho:</w:t>
            </w:r>
          </w:p>
        </w:tc>
        <w:tc>
          <w:tcPr>
            <w:tcW w:w="1064" w:type="dxa"/>
            <w:tcBorders>
              <w:top w:val="nil"/>
              <w:left w:val="nil"/>
              <w:right w:val="nil"/>
            </w:tcBorders>
            <w:noWrap/>
            <w:vAlign w:val="center"/>
          </w:tcPr>
          <w:p w14:paraId="5CC7C060" w14:textId="77777777" w:rsidR="00EA177A" w:rsidRPr="00F10C29" w:rsidRDefault="00EA177A" w:rsidP="00C704A7">
            <w:pPr>
              <w:spacing w:after="0" w:line="240" w:lineRule="auto"/>
              <w:jc w:val="right"/>
              <w:rPr>
                <w:rFonts w:eastAsia="Times New Roman" w:cs="Times New Roman"/>
                <w:color w:val="000000"/>
                <w:sz w:val="18"/>
                <w:szCs w:val="18"/>
              </w:rPr>
            </w:pPr>
          </w:p>
        </w:tc>
        <w:tc>
          <w:tcPr>
            <w:tcW w:w="1134" w:type="dxa"/>
            <w:tcBorders>
              <w:top w:val="nil"/>
              <w:left w:val="nil"/>
              <w:right w:val="nil"/>
            </w:tcBorders>
            <w:noWrap/>
            <w:vAlign w:val="center"/>
          </w:tcPr>
          <w:p w14:paraId="762C08D9" w14:textId="77777777" w:rsidR="00EA177A" w:rsidRPr="00F10C29" w:rsidRDefault="00EA177A" w:rsidP="00C704A7">
            <w:pPr>
              <w:spacing w:after="0" w:line="240" w:lineRule="auto"/>
              <w:jc w:val="right"/>
              <w:rPr>
                <w:rFonts w:eastAsia="Times New Roman" w:cs="Times New Roman"/>
                <w:color w:val="000000"/>
                <w:sz w:val="18"/>
                <w:szCs w:val="18"/>
              </w:rPr>
            </w:pPr>
          </w:p>
        </w:tc>
        <w:tc>
          <w:tcPr>
            <w:tcW w:w="1134" w:type="dxa"/>
            <w:tcBorders>
              <w:top w:val="nil"/>
              <w:left w:val="nil"/>
              <w:right w:val="nil"/>
            </w:tcBorders>
            <w:shd w:val="clear" w:color="auto" w:fill="BFBFBF" w:themeFill="background1" w:themeFillShade="BF"/>
            <w:noWrap/>
            <w:vAlign w:val="center"/>
          </w:tcPr>
          <w:p w14:paraId="125C7534" w14:textId="77777777" w:rsidR="00EA177A" w:rsidRPr="00F10C29" w:rsidRDefault="00EA177A" w:rsidP="00C704A7">
            <w:pPr>
              <w:spacing w:after="0" w:line="240" w:lineRule="auto"/>
              <w:jc w:val="right"/>
              <w:rPr>
                <w:rFonts w:eastAsia="Times New Roman" w:cs="Times New Roman"/>
                <w:color w:val="000000"/>
                <w:sz w:val="18"/>
                <w:szCs w:val="18"/>
              </w:rPr>
            </w:pPr>
          </w:p>
        </w:tc>
      </w:tr>
      <w:tr w:rsidR="00EA177A" w:rsidRPr="00F10C29" w14:paraId="1D4980F4" w14:textId="77777777" w:rsidTr="00C704A7">
        <w:trPr>
          <w:trHeight w:hRule="exact" w:val="284"/>
        </w:trPr>
        <w:tc>
          <w:tcPr>
            <w:tcW w:w="5032" w:type="dxa"/>
            <w:tcBorders>
              <w:left w:val="nil"/>
              <w:right w:val="nil"/>
            </w:tcBorders>
            <w:noWrap/>
            <w:vAlign w:val="center"/>
          </w:tcPr>
          <w:p w14:paraId="7797E405"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účelové prostriedky z FNM/MH Manažment, a.s.</w:t>
            </w:r>
          </w:p>
        </w:tc>
        <w:tc>
          <w:tcPr>
            <w:tcW w:w="1064" w:type="dxa"/>
            <w:tcBorders>
              <w:left w:val="nil"/>
              <w:right w:val="nil"/>
            </w:tcBorders>
            <w:noWrap/>
            <w:vAlign w:val="center"/>
          </w:tcPr>
          <w:p w14:paraId="19138AE2"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29</w:t>
            </w:r>
          </w:p>
        </w:tc>
        <w:tc>
          <w:tcPr>
            <w:tcW w:w="1134" w:type="dxa"/>
            <w:tcBorders>
              <w:left w:val="nil"/>
              <w:right w:val="nil"/>
            </w:tcBorders>
            <w:noWrap/>
            <w:vAlign w:val="center"/>
          </w:tcPr>
          <w:p w14:paraId="1DC3B2FB"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518</w:t>
            </w:r>
          </w:p>
        </w:tc>
        <w:tc>
          <w:tcPr>
            <w:tcW w:w="1134" w:type="dxa"/>
            <w:tcBorders>
              <w:left w:val="nil"/>
              <w:right w:val="nil"/>
            </w:tcBorders>
            <w:shd w:val="clear" w:color="auto" w:fill="BFBFBF" w:themeFill="background1" w:themeFillShade="BF"/>
            <w:noWrap/>
            <w:vAlign w:val="center"/>
          </w:tcPr>
          <w:p w14:paraId="77B60778"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7 655</w:t>
            </w:r>
          </w:p>
        </w:tc>
      </w:tr>
      <w:tr w:rsidR="00EA177A" w:rsidRPr="00F10C29" w14:paraId="5B8C04AE" w14:textId="77777777" w:rsidTr="00C704A7">
        <w:trPr>
          <w:trHeight w:hRule="exact" w:val="284"/>
        </w:trPr>
        <w:tc>
          <w:tcPr>
            <w:tcW w:w="5032" w:type="dxa"/>
            <w:tcBorders>
              <w:top w:val="nil"/>
              <w:left w:val="nil"/>
              <w:right w:val="nil"/>
            </w:tcBorders>
            <w:noWrap/>
            <w:vAlign w:val="center"/>
          </w:tcPr>
          <w:p w14:paraId="27E4DBF2"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návratné finančné výpomocí </w:t>
            </w:r>
          </w:p>
        </w:tc>
        <w:tc>
          <w:tcPr>
            <w:tcW w:w="1064" w:type="dxa"/>
            <w:tcBorders>
              <w:top w:val="nil"/>
              <w:left w:val="nil"/>
              <w:right w:val="nil"/>
            </w:tcBorders>
            <w:noWrap/>
            <w:vAlign w:val="center"/>
          </w:tcPr>
          <w:p w14:paraId="11D69B73"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61 270</w:t>
            </w:r>
          </w:p>
        </w:tc>
        <w:tc>
          <w:tcPr>
            <w:tcW w:w="1134" w:type="dxa"/>
            <w:tcBorders>
              <w:top w:val="nil"/>
              <w:left w:val="nil"/>
              <w:right w:val="nil"/>
            </w:tcBorders>
            <w:noWrap/>
            <w:vAlign w:val="center"/>
          </w:tcPr>
          <w:p w14:paraId="711637A8"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52 172</w:t>
            </w:r>
          </w:p>
        </w:tc>
        <w:tc>
          <w:tcPr>
            <w:tcW w:w="1134" w:type="dxa"/>
            <w:tcBorders>
              <w:top w:val="nil"/>
              <w:left w:val="nil"/>
              <w:right w:val="nil"/>
            </w:tcBorders>
            <w:shd w:val="clear" w:color="auto" w:fill="BFBFBF" w:themeFill="background1" w:themeFillShade="BF"/>
            <w:noWrap/>
            <w:vAlign w:val="center"/>
          </w:tcPr>
          <w:p w14:paraId="7C6220AA"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61 934</w:t>
            </w:r>
          </w:p>
        </w:tc>
      </w:tr>
      <w:tr w:rsidR="00EA177A" w:rsidRPr="00F10C29" w14:paraId="5186238E" w14:textId="77777777" w:rsidTr="00C704A7">
        <w:trPr>
          <w:trHeight w:hRule="exact" w:val="284"/>
        </w:trPr>
        <w:tc>
          <w:tcPr>
            <w:tcW w:w="5032" w:type="dxa"/>
            <w:tcBorders>
              <w:top w:val="nil"/>
              <w:left w:val="nil"/>
              <w:right w:val="nil"/>
            </w:tcBorders>
            <w:noWrap/>
            <w:vAlign w:val="center"/>
          </w:tcPr>
          <w:p w14:paraId="259C68D8"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osobitný odvod finančných inštitúcií</w:t>
            </w:r>
          </w:p>
        </w:tc>
        <w:tc>
          <w:tcPr>
            <w:tcW w:w="1064" w:type="dxa"/>
            <w:tcBorders>
              <w:top w:val="nil"/>
              <w:left w:val="nil"/>
              <w:right w:val="nil"/>
            </w:tcBorders>
            <w:noWrap/>
            <w:vAlign w:val="center"/>
          </w:tcPr>
          <w:p w14:paraId="7C6EF3F1"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127 284</w:t>
            </w:r>
          </w:p>
        </w:tc>
        <w:tc>
          <w:tcPr>
            <w:tcW w:w="1134" w:type="dxa"/>
            <w:tcBorders>
              <w:top w:val="nil"/>
              <w:left w:val="nil"/>
              <w:right w:val="nil"/>
            </w:tcBorders>
            <w:noWrap/>
            <w:vAlign w:val="center"/>
          </w:tcPr>
          <w:p w14:paraId="47915DB6"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134 177</w:t>
            </w:r>
          </w:p>
        </w:tc>
        <w:tc>
          <w:tcPr>
            <w:tcW w:w="1134" w:type="dxa"/>
            <w:tcBorders>
              <w:top w:val="nil"/>
              <w:left w:val="nil"/>
              <w:right w:val="nil"/>
            </w:tcBorders>
            <w:shd w:val="clear" w:color="auto" w:fill="BFBFBF" w:themeFill="background1" w:themeFillShade="BF"/>
            <w:noWrap/>
            <w:vAlign w:val="center"/>
          </w:tcPr>
          <w:p w14:paraId="2EC4DE05"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153 411</w:t>
            </w:r>
          </w:p>
        </w:tc>
      </w:tr>
      <w:tr w:rsidR="00EA177A" w:rsidRPr="00F10C29" w14:paraId="4BC8419F" w14:textId="77777777" w:rsidTr="00C704A7">
        <w:trPr>
          <w:trHeight w:hRule="exact" w:val="265"/>
        </w:trPr>
        <w:tc>
          <w:tcPr>
            <w:tcW w:w="5032" w:type="dxa"/>
            <w:tcBorders>
              <w:top w:val="nil"/>
              <w:left w:val="nil"/>
              <w:right w:val="nil"/>
            </w:tcBorders>
            <w:noWrap/>
            <w:vAlign w:val="center"/>
          </w:tcPr>
          <w:p w14:paraId="220EF234"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osobitný odvod z podnikania v regulovaných odvetviach</w:t>
            </w:r>
          </w:p>
        </w:tc>
        <w:tc>
          <w:tcPr>
            <w:tcW w:w="1064" w:type="dxa"/>
            <w:tcBorders>
              <w:top w:val="nil"/>
              <w:left w:val="nil"/>
              <w:right w:val="nil"/>
            </w:tcBorders>
            <w:noWrap/>
            <w:vAlign w:val="center"/>
          </w:tcPr>
          <w:p w14:paraId="326E72C8"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159 121</w:t>
            </w:r>
          </w:p>
        </w:tc>
        <w:tc>
          <w:tcPr>
            <w:tcW w:w="1134" w:type="dxa"/>
            <w:tcBorders>
              <w:top w:val="nil"/>
              <w:left w:val="nil"/>
              <w:right w:val="nil"/>
            </w:tcBorders>
            <w:noWrap/>
            <w:vAlign w:val="center"/>
          </w:tcPr>
          <w:p w14:paraId="52363DD8"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458 788</w:t>
            </w:r>
          </w:p>
        </w:tc>
        <w:tc>
          <w:tcPr>
            <w:tcW w:w="1134" w:type="dxa"/>
            <w:tcBorders>
              <w:top w:val="nil"/>
              <w:left w:val="nil"/>
              <w:right w:val="nil"/>
            </w:tcBorders>
            <w:shd w:val="clear" w:color="auto" w:fill="BFBFBF" w:themeFill="background1" w:themeFillShade="BF"/>
            <w:noWrap/>
            <w:vAlign w:val="center"/>
          </w:tcPr>
          <w:p w14:paraId="05EF637C"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112 597</w:t>
            </w:r>
          </w:p>
        </w:tc>
      </w:tr>
      <w:tr w:rsidR="00EA177A" w:rsidRPr="00F10C29" w14:paraId="32A87D71" w14:textId="77777777" w:rsidTr="00C704A7">
        <w:trPr>
          <w:trHeight w:hRule="exact" w:val="284"/>
        </w:trPr>
        <w:tc>
          <w:tcPr>
            <w:tcW w:w="5032" w:type="dxa"/>
            <w:tcBorders>
              <w:top w:val="nil"/>
              <w:left w:val="nil"/>
              <w:right w:val="nil"/>
            </w:tcBorders>
            <w:noWrap/>
            <w:vAlign w:val="center"/>
          </w:tcPr>
          <w:p w14:paraId="5C8A45BB"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anonymné vklady</w:t>
            </w:r>
          </w:p>
        </w:tc>
        <w:tc>
          <w:tcPr>
            <w:tcW w:w="1064" w:type="dxa"/>
            <w:tcBorders>
              <w:top w:val="nil"/>
              <w:left w:val="nil"/>
              <w:right w:val="nil"/>
            </w:tcBorders>
            <w:noWrap/>
            <w:vAlign w:val="center"/>
          </w:tcPr>
          <w:p w14:paraId="3FA1F006"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c>
          <w:tcPr>
            <w:tcW w:w="1134" w:type="dxa"/>
            <w:tcBorders>
              <w:top w:val="nil"/>
              <w:left w:val="nil"/>
              <w:right w:val="nil"/>
            </w:tcBorders>
            <w:noWrap/>
            <w:vAlign w:val="center"/>
          </w:tcPr>
          <w:p w14:paraId="4281EEE5"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44</w:t>
            </w:r>
          </w:p>
        </w:tc>
        <w:tc>
          <w:tcPr>
            <w:tcW w:w="1134" w:type="dxa"/>
            <w:tcBorders>
              <w:top w:val="nil"/>
              <w:left w:val="nil"/>
              <w:right w:val="nil"/>
            </w:tcBorders>
            <w:shd w:val="clear" w:color="auto" w:fill="BFBFBF" w:themeFill="background1" w:themeFillShade="BF"/>
            <w:noWrap/>
            <w:vAlign w:val="center"/>
          </w:tcPr>
          <w:p w14:paraId="0DB6A36E"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28</w:t>
            </w:r>
          </w:p>
        </w:tc>
      </w:tr>
      <w:tr w:rsidR="00EA177A" w:rsidRPr="00F10C29" w14:paraId="513F46F8" w14:textId="77777777" w:rsidTr="00C704A7">
        <w:trPr>
          <w:trHeight w:hRule="exact" w:val="284"/>
        </w:trPr>
        <w:tc>
          <w:tcPr>
            <w:tcW w:w="5032" w:type="dxa"/>
            <w:tcBorders>
              <w:top w:val="nil"/>
              <w:left w:val="nil"/>
              <w:right w:val="nil"/>
            </w:tcBorders>
            <w:noWrap/>
            <w:vAlign w:val="center"/>
          </w:tcPr>
          <w:p w14:paraId="04E120A9"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ostatné</w:t>
            </w:r>
          </w:p>
        </w:tc>
        <w:tc>
          <w:tcPr>
            <w:tcW w:w="1064" w:type="dxa"/>
            <w:tcBorders>
              <w:top w:val="nil"/>
              <w:left w:val="nil"/>
              <w:right w:val="nil"/>
            </w:tcBorders>
            <w:noWrap/>
            <w:vAlign w:val="center"/>
          </w:tcPr>
          <w:p w14:paraId="4BAEA73F"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1 284</w:t>
            </w:r>
          </w:p>
        </w:tc>
        <w:tc>
          <w:tcPr>
            <w:tcW w:w="1134" w:type="dxa"/>
            <w:tcBorders>
              <w:top w:val="nil"/>
              <w:left w:val="nil"/>
              <w:right w:val="nil"/>
            </w:tcBorders>
            <w:noWrap/>
            <w:vAlign w:val="center"/>
          </w:tcPr>
          <w:p w14:paraId="0652EA0A"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20</w:t>
            </w:r>
          </w:p>
        </w:tc>
        <w:tc>
          <w:tcPr>
            <w:tcW w:w="1134" w:type="dxa"/>
            <w:tcBorders>
              <w:top w:val="nil"/>
              <w:left w:val="nil"/>
              <w:right w:val="nil"/>
            </w:tcBorders>
            <w:shd w:val="clear" w:color="auto" w:fill="BFBFBF" w:themeFill="background1" w:themeFillShade="BF"/>
            <w:noWrap/>
            <w:vAlign w:val="center"/>
          </w:tcPr>
          <w:p w14:paraId="35E9466B"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89</w:t>
            </w:r>
            <w:r>
              <w:rPr>
                <w:rFonts w:eastAsia="Times New Roman" w:cs="Times New Roman"/>
                <w:color w:val="000000"/>
                <w:sz w:val="18"/>
                <w:szCs w:val="18"/>
              </w:rPr>
              <w:t>9</w:t>
            </w:r>
          </w:p>
        </w:tc>
      </w:tr>
      <w:tr w:rsidR="00EA177A" w:rsidRPr="00F10C29" w14:paraId="62055BA8" w14:textId="77777777" w:rsidTr="00C704A7">
        <w:trPr>
          <w:trHeight w:hRule="exact" w:val="284"/>
        </w:trPr>
        <w:tc>
          <w:tcPr>
            <w:tcW w:w="5032" w:type="dxa"/>
            <w:tcBorders>
              <w:top w:val="nil"/>
              <w:left w:val="nil"/>
              <w:right w:val="nil"/>
            </w:tcBorders>
            <w:noWrap/>
            <w:vAlign w:val="center"/>
          </w:tcPr>
          <w:p w14:paraId="0392789B" w14:textId="77777777" w:rsidR="00EA177A" w:rsidRPr="00F10C29" w:rsidRDefault="00EA177A" w:rsidP="00C704A7">
            <w:pPr>
              <w:spacing w:after="0" w:line="240" w:lineRule="auto"/>
              <w:rPr>
                <w:rFonts w:eastAsia="Times New Roman" w:cs="Times New Roman"/>
                <w:b/>
                <w:color w:val="000000"/>
                <w:sz w:val="18"/>
                <w:szCs w:val="18"/>
              </w:rPr>
            </w:pPr>
            <w:r w:rsidRPr="00F10C29">
              <w:rPr>
                <w:rFonts w:eastAsia="Times New Roman" w:cs="Times New Roman"/>
                <w:b/>
                <w:color w:val="000000"/>
                <w:sz w:val="18"/>
                <w:szCs w:val="18"/>
              </w:rPr>
              <w:t>Výdavky – zníženie ŠFA</w:t>
            </w:r>
          </w:p>
        </w:tc>
        <w:tc>
          <w:tcPr>
            <w:tcW w:w="1064" w:type="dxa"/>
            <w:tcBorders>
              <w:top w:val="nil"/>
              <w:left w:val="nil"/>
              <w:right w:val="nil"/>
            </w:tcBorders>
            <w:noWrap/>
            <w:vAlign w:val="center"/>
          </w:tcPr>
          <w:p w14:paraId="252983FD"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190 990</w:t>
            </w:r>
          </w:p>
        </w:tc>
        <w:tc>
          <w:tcPr>
            <w:tcW w:w="1134" w:type="dxa"/>
            <w:tcBorders>
              <w:top w:val="nil"/>
              <w:left w:val="nil"/>
              <w:right w:val="nil"/>
            </w:tcBorders>
            <w:noWrap/>
            <w:vAlign w:val="center"/>
          </w:tcPr>
          <w:p w14:paraId="44B944CC"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654 709</w:t>
            </w:r>
          </w:p>
        </w:tc>
        <w:tc>
          <w:tcPr>
            <w:tcW w:w="1134" w:type="dxa"/>
            <w:tcBorders>
              <w:top w:val="nil"/>
              <w:left w:val="nil"/>
              <w:right w:val="nil"/>
            </w:tcBorders>
            <w:shd w:val="clear" w:color="auto" w:fill="BFBFBF" w:themeFill="background1" w:themeFillShade="BF"/>
            <w:noWrap/>
            <w:vAlign w:val="center"/>
          </w:tcPr>
          <w:p w14:paraId="12910F51"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321 381</w:t>
            </w:r>
          </w:p>
        </w:tc>
      </w:tr>
      <w:tr w:rsidR="00EA177A" w:rsidRPr="00F10C29" w14:paraId="6AA76CFB" w14:textId="77777777" w:rsidTr="00C704A7">
        <w:trPr>
          <w:trHeight w:hRule="exact" w:val="284"/>
        </w:trPr>
        <w:tc>
          <w:tcPr>
            <w:tcW w:w="5032" w:type="dxa"/>
            <w:tcBorders>
              <w:left w:val="nil"/>
              <w:right w:val="nil"/>
            </w:tcBorders>
            <w:noWrap/>
            <w:vAlign w:val="center"/>
          </w:tcPr>
          <w:p w14:paraId="029A35F2"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z toho:</w:t>
            </w:r>
          </w:p>
        </w:tc>
        <w:tc>
          <w:tcPr>
            <w:tcW w:w="1064" w:type="dxa"/>
            <w:tcBorders>
              <w:left w:val="nil"/>
              <w:right w:val="nil"/>
            </w:tcBorders>
            <w:noWrap/>
            <w:vAlign w:val="center"/>
          </w:tcPr>
          <w:p w14:paraId="71142654" w14:textId="77777777" w:rsidR="00EA177A" w:rsidRPr="00F10C29" w:rsidRDefault="00EA177A" w:rsidP="00C704A7">
            <w:pPr>
              <w:spacing w:after="0" w:line="240" w:lineRule="auto"/>
              <w:jc w:val="right"/>
              <w:rPr>
                <w:rFonts w:eastAsia="Times New Roman" w:cs="Times New Roman"/>
                <w:b/>
                <w:color w:val="000000"/>
                <w:sz w:val="18"/>
                <w:szCs w:val="18"/>
              </w:rPr>
            </w:pPr>
          </w:p>
        </w:tc>
        <w:tc>
          <w:tcPr>
            <w:tcW w:w="1134" w:type="dxa"/>
            <w:tcBorders>
              <w:left w:val="nil"/>
              <w:right w:val="nil"/>
            </w:tcBorders>
            <w:noWrap/>
            <w:vAlign w:val="center"/>
          </w:tcPr>
          <w:p w14:paraId="2D0F652C" w14:textId="77777777" w:rsidR="00EA177A" w:rsidRPr="00F10C29" w:rsidRDefault="00EA177A" w:rsidP="00C704A7">
            <w:pPr>
              <w:spacing w:after="0" w:line="240" w:lineRule="auto"/>
              <w:jc w:val="right"/>
              <w:rPr>
                <w:rFonts w:eastAsia="Times New Roman" w:cs="Times New Roman"/>
                <w:b/>
                <w:color w:val="000000"/>
                <w:sz w:val="18"/>
                <w:szCs w:val="18"/>
              </w:rPr>
            </w:pPr>
          </w:p>
        </w:tc>
        <w:tc>
          <w:tcPr>
            <w:tcW w:w="1134" w:type="dxa"/>
            <w:tcBorders>
              <w:left w:val="nil"/>
              <w:right w:val="nil"/>
            </w:tcBorders>
            <w:shd w:val="clear" w:color="auto" w:fill="BFBFBF" w:themeFill="background1" w:themeFillShade="BF"/>
            <w:noWrap/>
            <w:vAlign w:val="center"/>
          </w:tcPr>
          <w:p w14:paraId="42A90EBE" w14:textId="77777777" w:rsidR="00EA177A" w:rsidRPr="00F10C29" w:rsidRDefault="00EA177A" w:rsidP="00C704A7">
            <w:pPr>
              <w:spacing w:after="0" w:line="240" w:lineRule="auto"/>
              <w:jc w:val="right"/>
              <w:rPr>
                <w:rFonts w:eastAsia="Times New Roman" w:cs="Times New Roman"/>
                <w:b/>
                <w:color w:val="000000"/>
                <w:sz w:val="18"/>
                <w:szCs w:val="18"/>
              </w:rPr>
            </w:pPr>
          </w:p>
        </w:tc>
      </w:tr>
      <w:tr w:rsidR="00EA177A" w:rsidRPr="00F10C29" w14:paraId="7C88B574" w14:textId="77777777" w:rsidTr="00C704A7">
        <w:trPr>
          <w:trHeight w:hRule="exact" w:val="284"/>
        </w:trPr>
        <w:tc>
          <w:tcPr>
            <w:tcW w:w="5032" w:type="dxa"/>
            <w:tcBorders>
              <w:left w:val="nil"/>
              <w:right w:val="nil"/>
            </w:tcBorders>
            <w:noWrap/>
            <w:vAlign w:val="center"/>
          </w:tcPr>
          <w:p w14:paraId="340CD0D8"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účelové prostriedky z FNM/ MH Manažment, a.s.</w:t>
            </w:r>
          </w:p>
        </w:tc>
        <w:tc>
          <w:tcPr>
            <w:tcW w:w="1064" w:type="dxa"/>
            <w:tcBorders>
              <w:left w:val="nil"/>
              <w:right w:val="nil"/>
            </w:tcBorders>
            <w:noWrap/>
            <w:vAlign w:val="center"/>
          </w:tcPr>
          <w:p w14:paraId="6AB4CB61"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32 003</w:t>
            </w:r>
          </w:p>
        </w:tc>
        <w:tc>
          <w:tcPr>
            <w:tcW w:w="1134" w:type="dxa"/>
            <w:tcBorders>
              <w:left w:val="nil"/>
              <w:right w:val="nil"/>
            </w:tcBorders>
            <w:noWrap/>
            <w:vAlign w:val="center"/>
          </w:tcPr>
          <w:p w14:paraId="34EB2B12"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312 483</w:t>
            </w:r>
          </w:p>
        </w:tc>
        <w:tc>
          <w:tcPr>
            <w:tcW w:w="1134" w:type="dxa"/>
            <w:tcBorders>
              <w:left w:val="nil"/>
              <w:right w:val="nil"/>
            </w:tcBorders>
            <w:shd w:val="clear" w:color="auto" w:fill="BFBFBF" w:themeFill="background1" w:themeFillShade="BF"/>
            <w:noWrap/>
            <w:vAlign w:val="center"/>
          </w:tcPr>
          <w:p w14:paraId="3CE01B6B"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312 586</w:t>
            </w:r>
          </w:p>
        </w:tc>
      </w:tr>
      <w:tr w:rsidR="00EA177A" w:rsidRPr="00F10C29" w14:paraId="2E1733D2" w14:textId="77777777" w:rsidTr="00C704A7">
        <w:trPr>
          <w:trHeight w:hRule="exact" w:val="284"/>
        </w:trPr>
        <w:tc>
          <w:tcPr>
            <w:tcW w:w="5032" w:type="dxa"/>
            <w:tcBorders>
              <w:left w:val="nil"/>
              <w:right w:val="nil"/>
            </w:tcBorders>
            <w:noWrap/>
            <w:vAlign w:val="center"/>
          </w:tcPr>
          <w:p w14:paraId="23A61E53"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návratné finančné výpomocí</w:t>
            </w:r>
          </w:p>
        </w:tc>
        <w:tc>
          <w:tcPr>
            <w:tcW w:w="1064" w:type="dxa"/>
            <w:tcBorders>
              <w:left w:val="nil"/>
              <w:right w:val="nil"/>
            </w:tcBorders>
            <w:noWrap/>
            <w:vAlign w:val="center"/>
          </w:tcPr>
          <w:p w14:paraId="36E6214E"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c>
          <w:tcPr>
            <w:tcW w:w="1134" w:type="dxa"/>
            <w:tcBorders>
              <w:left w:val="nil"/>
              <w:right w:val="nil"/>
            </w:tcBorders>
            <w:noWrap/>
            <w:vAlign w:val="center"/>
          </w:tcPr>
          <w:p w14:paraId="35988E4B"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64 154</w:t>
            </w:r>
          </w:p>
        </w:tc>
        <w:tc>
          <w:tcPr>
            <w:tcW w:w="1134" w:type="dxa"/>
            <w:tcBorders>
              <w:left w:val="nil"/>
              <w:right w:val="nil"/>
            </w:tcBorders>
            <w:shd w:val="clear" w:color="auto" w:fill="BFBFBF" w:themeFill="background1" w:themeFillShade="BF"/>
            <w:noWrap/>
            <w:vAlign w:val="center"/>
          </w:tcPr>
          <w:p w14:paraId="3897AEBC"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1 605</w:t>
            </w:r>
          </w:p>
        </w:tc>
      </w:tr>
      <w:tr w:rsidR="00EA177A" w:rsidRPr="00F10C29" w14:paraId="777B52CA" w14:textId="77777777" w:rsidTr="00C704A7">
        <w:trPr>
          <w:trHeight w:hRule="exact" w:val="284"/>
        </w:trPr>
        <w:tc>
          <w:tcPr>
            <w:tcW w:w="5032" w:type="dxa"/>
            <w:tcBorders>
              <w:left w:val="nil"/>
              <w:right w:val="nil"/>
            </w:tcBorders>
            <w:noWrap/>
            <w:vAlign w:val="center"/>
          </w:tcPr>
          <w:p w14:paraId="4B2BCABE"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osobitný odvod finančných inštitúcií</w:t>
            </w:r>
          </w:p>
        </w:tc>
        <w:tc>
          <w:tcPr>
            <w:tcW w:w="1064" w:type="dxa"/>
            <w:tcBorders>
              <w:left w:val="nil"/>
              <w:right w:val="nil"/>
            </w:tcBorders>
            <w:noWrap/>
            <w:vAlign w:val="center"/>
          </w:tcPr>
          <w:p w14:paraId="6A0DB17D"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c>
          <w:tcPr>
            <w:tcW w:w="1134" w:type="dxa"/>
            <w:tcBorders>
              <w:left w:val="nil"/>
              <w:right w:val="nil"/>
            </w:tcBorders>
            <w:noWrap/>
            <w:vAlign w:val="center"/>
          </w:tcPr>
          <w:p w14:paraId="2A5EF9C7"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c>
          <w:tcPr>
            <w:tcW w:w="1134" w:type="dxa"/>
            <w:tcBorders>
              <w:left w:val="nil"/>
              <w:right w:val="nil"/>
            </w:tcBorders>
            <w:shd w:val="clear" w:color="auto" w:fill="BFBFBF" w:themeFill="background1" w:themeFillShade="BF"/>
            <w:noWrap/>
            <w:vAlign w:val="center"/>
          </w:tcPr>
          <w:p w14:paraId="18A11A51"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r>
      <w:tr w:rsidR="00EA177A" w:rsidRPr="00F10C29" w14:paraId="1362F6A9" w14:textId="77777777" w:rsidTr="00C704A7">
        <w:trPr>
          <w:trHeight w:hRule="exact" w:val="284"/>
        </w:trPr>
        <w:tc>
          <w:tcPr>
            <w:tcW w:w="5032" w:type="dxa"/>
            <w:tcBorders>
              <w:left w:val="nil"/>
              <w:right w:val="nil"/>
            </w:tcBorders>
            <w:noWrap/>
            <w:vAlign w:val="center"/>
          </w:tcPr>
          <w:p w14:paraId="51240685"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osobitný odvod z podnikania v regulovaných odvetviach</w:t>
            </w:r>
          </w:p>
        </w:tc>
        <w:tc>
          <w:tcPr>
            <w:tcW w:w="1064" w:type="dxa"/>
            <w:tcBorders>
              <w:left w:val="nil"/>
              <w:right w:val="nil"/>
            </w:tcBorders>
            <w:noWrap/>
            <w:vAlign w:val="center"/>
          </w:tcPr>
          <w:p w14:paraId="6E1AEEF6"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158 643</w:t>
            </w:r>
          </w:p>
        </w:tc>
        <w:tc>
          <w:tcPr>
            <w:tcW w:w="1134" w:type="dxa"/>
            <w:tcBorders>
              <w:left w:val="nil"/>
              <w:right w:val="nil"/>
            </w:tcBorders>
            <w:noWrap/>
            <w:vAlign w:val="center"/>
          </w:tcPr>
          <w:p w14:paraId="1A4E3A9F"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277 923</w:t>
            </w:r>
          </w:p>
        </w:tc>
        <w:tc>
          <w:tcPr>
            <w:tcW w:w="1134" w:type="dxa"/>
            <w:tcBorders>
              <w:left w:val="nil"/>
              <w:right w:val="nil"/>
            </w:tcBorders>
            <w:shd w:val="clear" w:color="auto" w:fill="BFBFBF" w:themeFill="background1" w:themeFillShade="BF"/>
            <w:noWrap/>
            <w:vAlign w:val="center"/>
          </w:tcPr>
          <w:p w14:paraId="462BA4ED"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r>
      <w:tr w:rsidR="00EA177A" w:rsidRPr="00F10C29" w14:paraId="2BEF873F" w14:textId="77777777" w:rsidTr="00C704A7">
        <w:trPr>
          <w:trHeight w:hRule="exact" w:val="284"/>
        </w:trPr>
        <w:tc>
          <w:tcPr>
            <w:tcW w:w="5032" w:type="dxa"/>
            <w:tcBorders>
              <w:left w:val="nil"/>
              <w:right w:val="nil"/>
            </w:tcBorders>
            <w:noWrap/>
            <w:vAlign w:val="center"/>
          </w:tcPr>
          <w:p w14:paraId="569D6DB6"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anonymné vklady</w:t>
            </w:r>
          </w:p>
        </w:tc>
        <w:tc>
          <w:tcPr>
            <w:tcW w:w="1064" w:type="dxa"/>
            <w:tcBorders>
              <w:left w:val="nil"/>
              <w:right w:val="nil"/>
            </w:tcBorders>
            <w:noWrap/>
            <w:vAlign w:val="center"/>
          </w:tcPr>
          <w:p w14:paraId="7086C16C"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127</w:t>
            </w:r>
          </w:p>
        </w:tc>
        <w:tc>
          <w:tcPr>
            <w:tcW w:w="1134" w:type="dxa"/>
            <w:tcBorders>
              <w:left w:val="nil"/>
              <w:right w:val="nil"/>
            </w:tcBorders>
            <w:noWrap/>
            <w:vAlign w:val="center"/>
          </w:tcPr>
          <w:p w14:paraId="7CB7320F"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c>
          <w:tcPr>
            <w:tcW w:w="1134" w:type="dxa"/>
            <w:tcBorders>
              <w:left w:val="nil"/>
              <w:right w:val="nil"/>
            </w:tcBorders>
            <w:shd w:val="clear" w:color="auto" w:fill="BFBFBF" w:themeFill="background1" w:themeFillShade="BF"/>
            <w:noWrap/>
            <w:vAlign w:val="center"/>
          </w:tcPr>
          <w:p w14:paraId="1B0863F6"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0</w:t>
            </w:r>
          </w:p>
        </w:tc>
      </w:tr>
      <w:tr w:rsidR="00EA177A" w:rsidRPr="00F10C29" w14:paraId="5B7D40B8" w14:textId="77777777" w:rsidTr="00C704A7">
        <w:trPr>
          <w:trHeight w:hRule="exact" w:val="284"/>
        </w:trPr>
        <w:tc>
          <w:tcPr>
            <w:tcW w:w="5032" w:type="dxa"/>
            <w:tcBorders>
              <w:left w:val="nil"/>
              <w:bottom w:val="single" w:sz="4" w:space="0" w:color="auto"/>
              <w:right w:val="nil"/>
            </w:tcBorders>
            <w:noWrap/>
            <w:vAlign w:val="center"/>
          </w:tcPr>
          <w:p w14:paraId="1F243C2D" w14:textId="77777777" w:rsidR="00EA177A" w:rsidRPr="00F10C29" w:rsidRDefault="00EA177A" w:rsidP="00C704A7">
            <w:pPr>
              <w:spacing w:after="0" w:line="240" w:lineRule="auto"/>
              <w:rPr>
                <w:rFonts w:eastAsia="Times New Roman" w:cs="Times New Roman"/>
                <w:color w:val="000000"/>
                <w:sz w:val="18"/>
                <w:szCs w:val="18"/>
              </w:rPr>
            </w:pPr>
            <w:r w:rsidRPr="00F10C29">
              <w:rPr>
                <w:rFonts w:eastAsia="Times New Roman" w:cs="Times New Roman"/>
                <w:color w:val="000000"/>
                <w:sz w:val="18"/>
                <w:szCs w:val="18"/>
              </w:rPr>
              <w:t xml:space="preserve">   ostatné</w:t>
            </w:r>
          </w:p>
        </w:tc>
        <w:tc>
          <w:tcPr>
            <w:tcW w:w="1064" w:type="dxa"/>
            <w:tcBorders>
              <w:left w:val="nil"/>
              <w:bottom w:val="single" w:sz="4" w:space="0" w:color="auto"/>
              <w:right w:val="nil"/>
            </w:tcBorders>
            <w:noWrap/>
            <w:vAlign w:val="center"/>
          </w:tcPr>
          <w:p w14:paraId="4C255E58"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217</w:t>
            </w:r>
          </w:p>
        </w:tc>
        <w:tc>
          <w:tcPr>
            <w:tcW w:w="1134" w:type="dxa"/>
            <w:tcBorders>
              <w:left w:val="nil"/>
              <w:bottom w:val="single" w:sz="4" w:space="0" w:color="auto"/>
              <w:right w:val="nil"/>
            </w:tcBorders>
            <w:noWrap/>
            <w:vAlign w:val="center"/>
          </w:tcPr>
          <w:p w14:paraId="50A12132"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149</w:t>
            </w:r>
          </w:p>
        </w:tc>
        <w:tc>
          <w:tcPr>
            <w:tcW w:w="1134" w:type="dxa"/>
            <w:tcBorders>
              <w:left w:val="nil"/>
              <w:bottom w:val="single" w:sz="4" w:space="0" w:color="auto"/>
              <w:right w:val="nil"/>
            </w:tcBorders>
            <w:shd w:val="clear" w:color="auto" w:fill="BFBFBF" w:themeFill="background1" w:themeFillShade="BF"/>
            <w:noWrap/>
            <w:vAlign w:val="center"/>
          </w:tcPr>
          <w:p w14:paraId="50836317" w14:textId="77777777" w:rsidR="00EA177A" w:rsidRPr="00F10C29" w:rsidRDefault="00EA177A" w:rsidP="00C704A7">
            <w:pPr>
              <w:spacing w:after="0" w:line="240" w:lineRule="auto"/>
              <w:jc w:val="right"/>
              <w:rPr>
                <w:rFonts w:eastAsia="Times New Roman" w:cs="Times New Roman"/>
                <w:color w:val="000000"/>
                <w:sz w:val="18"/>
                <w:szCs w:val="18"/>
              </w:rPr>
            </w:pPr>
            <w:r w:rsidRPr="00F10C29">
              <w:rPr>
                <w:rFonts w:eastAsia="Times New Roman" w:cs="Times New Roman"/>
                <w:color w:val="000000"/>
                <w:sz w:val="18"/>
                <w:szCs w:val="18"/>
              </w:rPr>
              <w:t>7 190</w:t>
            </w:r>
          </w:p>
        </w:tc>
      </w:tr>
      <w:tr w:rsidR="00EA177A" w:rsidRPr="00F10C29" w14:paraId="16794262" w14:textId="77777777" w:rsidTr="00C704A7">
        <w:trPr>
          <w:trHeight w:hRule="exact" w:val="419"/>
        </w:trPr>
        <w:tc>
          <w:tcPr>
            <w:tcW w:w="5032" w:type="dxa"/>
            <w:tcBorders>
              <w:top w:val="single" w:sz="4" w:space="0" w:color="auto"/>
              <w:left w:val="nil"/>
              <w:bottom w:val="single" w:sz="4" w:space="0" w:color="auto"/>
              <w:right w:val="nil"/>
            </w:tcBorders>
            <w:noWrap/>
            <w:vAlign w:val="center"/>
          </w:tcPr>
          <w:p w14:paraId="6F28CB1A" w14:textId="77777777" w:rsidR="00EA177A" w:rsidRPr="00F10C29" w:rsidRDefault="00EA177A" w:rsidP="00C704A7">
            <w:pPr>
              <w:spacing w:after="0" w:line="240" w:lineRule="auto"/>
              <w:rPr>
                <w:rFonts w:eastAsia="Times New Roman" w:cs="Times New Roman"/>
                <w:b/>
                <w:bCs/>
                <w:color w:val="000000"/>
                <w:sz w:val="18"/>
                <w:szCs w:val="18"/>
              </w:rPr>
            </w:pPr>
            <w:r w:rsidRPr="00F10C29">
              <w:rPr>
                <w:rFonts w:eastAsia="Times New Roman" w:cs="Times New Roman"/>
                <w:b/>
                <w:bCs/>
                <w:color w:val="000000"/>
                <w:sz w:val="18"/>
                <w:szCs w:val="18"/>
              </w:rPr>
              <w:t>Stav k 31.12.</w:t>
            </w:r>
          </w:p>
        </w:tc>
        <w:tc>
          <w:tcPr>
            <w:tcW w:w="1064" w:type="dxa"/>
            <w:tcBorders>
              <w:top w:val="single" w:sz="4" w:space="0" w:color="auto"/>
              <w:left w:val="nil"/>
              <w:bottom w:val="single" w:sz="4" w:space="0" w:color="auto"/>
              <w:right w:val="nil"/>
            </w:tcBorders>
            <w:noWrap/>
            <w:vAlign w:val="center"/>
          </w:tcPr>
          <w:p w14:paraId="0B0492BE"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2 116 449</w:t>
            </w:r>
          </w:p>
        </w:tc>
        <w:tc>
          <w:tcPr>
            <w:tcW w:w="1134" w:type="dxa"/>
            <w:tcBorders>
              <w:top w:val="single" w:sz="4" w:space="0" w:color="auto"/>
              <w:left w:val="nil"/>
              <w:bottom w:val="single" w:sz="4" w:space="0" w:color="auto"/>
              <w:right w:val="nil"/>
            </w:tcBorders>
            <w:noWrap/>
            <w:vAlign w:val="center"/>
          </w:tcPr>
          <w:p w14:paraId="497E44E3"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2 107 459</w:t>
            </w:r>
          </w:p>
        </w:tc>
        <w:tc>
          <w:tcPr>
            <w:tcW w:w="1134" w:type="dxa"/>
            <w:tcBorders>
              <w:top w:val="single" w:sz="4" w:space="0" w:color="auto"/>
              <w:left w:val="nil"/>
              <w:bottom w:val="single" w:sz="4" w:space="0" w:color="auto"/>
              <w:right w:val="nil"/>
            </w:tcBorders>
            <w:shd w:val="clear" w:color="auto" w:fill="BFBFBF" w:themeFill="background1" w:themeFillShade="BF"/>
            <w:noWrap/>
            <w:vAlign w:val="center"/>
          </w:tcPr>
          <w:p w14:paraId="0C258558" w14:textId="77777777" w:rsidR="00EA177A" w:rsidRPr="00F10C29" w:rsidRDefault="00EA177A" w:rsidP="00C704A7">
            <w:pPr>
              <w:spacing w:after="0" w:line="240" w:lineRule="auto"/>
              <w:jc w:val="right"/>
              <w:rPr>
                <w:rFonts w:eastAsia="Times New Roman" w:cs="Times New Roman"/>
                <w:b/>
                <w:color w:val="000000"/>
                <w:sz w:val="18"/>
                <w:szCs w:val="18"/>
              </w:rPr>
            </w:pPr>
            <w:r w:rsidRPr="00F10C29">
              <w:rPr>
                <w:rFonts w:eastAsia="Times New Roman" w:cs="Times New Roman"/>
                <w:b/>
                <w:color w:val="000000"/>
                <w:sz w:val="18"/>
                <w:szCs w:val="18"/>
              </w:rPr>
              <w:t>2 122 602</w:t>
            </w:r>
          </w:p>
        </w:tc>
      </w:tr>
    </w:tbl>
    <w:p w14:paraId="44F47308" w14:textId="77777777" w:rsidR="00EA177A" w:rsidRDefault="00EA177A" w:rsidP="00EA1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18"/>
          <w:szCs w:val="18"/>
        </w:rPr>
      </w:pPr>
      <w:r>
        <w:rPr>
          <w:color w:val="000000"/>
          <w:sz w:val="18"/>
          <w:szCs w:val="18"/>
        </w:rPr>
        <w:t>Zdroj: MF SR</w:t>
      </w:r>
    </w:p>
    <w:p w14:paraId="70EDD40B" w14:textId="77777777" w:rsidR="00EA177A" w:rsidRDefault="00EA177A" w:rsidP="00EA1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u w:val="single"/>
        </w:rPr>
        <w:t>P</w:t>
      </w:r>
      <w:r w:rsidRPr="00C24538">
        <w:rPr>
          <w:u w:val="single"/>
        </w:rPr>
        <w:t>ríjmy štátnych finančných aktív</w:t>
      </w:r>
      <w:r>
        <w:t xml:space="preserve"> pre rok 2019 sa rozpočtovali v sume 364 423 tis. eur, z čoho príjmové finančné operácie tvorili 95 871 tis. eur (ako splátky NFV). Oproti roku 2018 sa príjmy spolu s príjmovými finančnými operáciami rozpočtovali úhrnom nižšie o 55 571 tis. eur. Nižšie boli rozpočtované príjmy z osobitného odvodu z podnikania v regulovaných odvetviach (o 50 201 tis. eur) a príjmy z finančných operácií (o 14 799 tis. eur), naopak vyššie boli rozpočtované príjmy z osobitného odvodu vybraných finančných inštitúcií (o 9 430 tis. eur). </w:t>
      </w:r>
    </w:p>
    <w:p w14:paraId="6EEC978A" w14:textId="77777777" w:rsidR="00EA177A" w:rsidRDefault="00EA177A" w:rsidP="00EA1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41964">
        <w:rPr>
          <w:u w:val="single"/>
        </w:rPr>
        <w:t>Výdavky štátnych finančných aktív</w:t>
      </w:r>
      <w:r>
        <w:t xml:space="preserve"> pre rok 2019</w:t>
      </w:r>
      <w:r w:rsidRPr="00741964">
        <w:t xml:space="preserve"> </w:t>
      </w:r>
      <w:r>
        <w:t>sa rozpočtovali v sume 62 951 tis. eur, z čoho výdavkové finančné operácie tvorili 47 070 tis. eur. Oproti roku 2018 sa výdavky spolu s výdavkovými finančnými operáciami rozpočtovali úhrnom nižšie o 24 132 tis. eur, a to najmä z dôvodu nižšieho kapitálového transferu do základného imania spoločnosti MH Invest o 47 212 tis. eur. Naopak, vyššie výdavky ako v roku 2018 sa rozpočtovali výdavkové finančné operácie o 26 070 tis. eur.</w:t>
      </w:r>
    </w:p>
    <w:p w14:paraId="057E788E" w14:textId="77777777" w:rsidR="00EA177A" w:rsidRDefault="00EA177A" w:rsidP="00EA177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C4E8D">
        <w:rPr>
          <w:b/>
        </w:rPr>
        <w:t>Celkové saldo</w:t>
      </w:r>
      <w:r>
        <w:t xml:space="preserve"> príjmov a výdavkov ŠFA v roku 2019 sa rozpočtovalo vo výške 301 473 tis. eur a po vylúčení finančných operácií vo výške 252 672 tis. eur, čo je o 9 446 tis. eur viac ako v roku 2018.</w:t>
      </w:r>
    </w:p>
    <w:p w14:paraId="029C6DEE" w14:textId="77777777" w:rsidR="00F264C2" w:rsidRDefault="00F264C2">
      <w:pPr>
        <w:spacing w:after="160" w:line="259" w:lineRule="auto"/>
        <w:jc w:val="left"/>
        <w:rPr>
          <w:i/>
          <w:u w:val="single"/>
        </w:rPr>
      </w:pPr>
      <w:r>
        <w:rPr>
          <w:i/>
          <w:u w:val="single"/>
        </w:rPr>
        <w:br w:type="page"/>
      </w:r>
    </w:p>
    <w:p w14:paraId="5FE396F5" w14:textId="2E5EB6ED" w:rsidR="00EA177A" w:rsidRDefault="00EA177A" w:rsidP="00EA177A">
      <w:pPr>
        <w:spacing w:before="120"/>
      </w:pPr>
      <w:r w:rsidRPr="00C2258B">
        <w:rPr>
          <w:i/>
          <w:u w:val="single"/>
        </w:rPr>
        <w:t>Účelové prostriedky FNM/MH Manažment, a.s.</w:t>
      </w:r>
      <w:r>
        <w:rPr>
          <w:i/>
        </w:rPr>
        <w:t xml:space="preserve"> </w:t>
      </w:r>
      <w:r>
        <w:t>boli v minulosti tvorené najmä prevodom dividend obchodných spoločností štátu, v ktorých podiely do roku 2016 spravoval Fond národného majetku. V jeho činnosti od 1.1.2016 pokračuje spoločnosť MH Manažment, a.s.</w:t>
      </w:r>
      <w:r>
        <w:rPr>
          <w:i/>
        </w:rPr>
        <w:t xml:space="preserve"> </w:t>
      </w:r>
      <w:r>
        <w:t>V príjmoch sa realizovali rozpočtované prostriedky vo výške 9,8 tis. eur, ako dividendy z MH Manažment, a.s., splátka z poskytnutej návratnej finančnej výpomoci Univerzite P. J. Šafárika v Košiciach, a to vo výške 200 tis. eur (rozpočtovaná bola hodnota 1 000 tis. eur). Nad rámec rozpočtovaných príjmov bol prevod finančných prostriedkov z účtu ŠFA pre štátny dlh vo výške 7 042 tis. eur a </w:t>
      </w:r>
      <w:proofErr w:type="spellStart"/>
      <w:r>
        <w:t>vratka</w:t>
      </w:r>
      <w:proofErr w:type="spellEnd"/>
      <w:r>
        <w:t xml:space="preserve"> z prostriedkov určených na oddlžovanie zdravotníckych zariadení v hodnote 403 tis. eur.</w:t>
      </w:r>
    </w:p>
    <w:p w14:paraId="392317C3" w14:textId="77777777" w:rsidR="00EA177A" w:rsidRDefault="00EA177A" w:rsidP="00EA177A">
      <w:pPr>
        <w:spacing w:before="120"/>
      </w:pPr>
      <w:r>
        <w:t>Na strane výdavkov sa uskutočnil prevod 259 705 tis. eur na účet Ministerstva zdravotníctva SR za účelom plnenia koncepcie oddlžovania zdravotníckych zariadení</w:t>
      </w:r>
      <w:r>
        <w:rPr>
          <w:rStyle w:val="Odkaznapoznmkupodiarou"/>
        </w:rPr>
        <w:footnoteReference w:id="32"/>
      </w:r>
      <w:r>
        <w:t xml:space="preserve">, z toho 109 367 tis. eur bolo určené na odplatu za postúpenie pohľadávok na poistnom Sociálnou poisťovňou na spoločnosť </w:t>
      </w:r>
      <w:proofErr w:type="spellStart"/>
      <w:r>
        <w:t>Debitum</w:t>
      </w:r>
      <w:proofErr w:type="spellEnd"/>
      <w:r>
        <w:t xml:space="preserve">, a.s. Ďalej sa z tohto účtu ŠFA poskytlo úhrnom 33 000 tis. eur pre návratné finančné výpomoci na základe uznesení vlády SR (spoločnosti </w:t>
      </w:r>
      <w:proofErr w:type="spellStart"/>
      <w:r>
        <w:t>Tachyum</w:t>
      </w:r>
      <w:proofErr w:type="spellEnd"/>
      <w:r>
        <w:t xml:space="preserve">, s.r.o. 15 000 tis. eur, VÚC Banská Bystrica 8 000 tis. eur, VÚC Prešov 4 000 tis. eur, Mestu Kežmarok 3 500 tis. eur a VÚC Žilina 2 500 tis. eur). </w:t>
      </w:r>
    </w:p>
    <w:p w14:paraId="125356C1" w14:textId="77777777" w:rsidR="00EA177A" w:rsidRDefault="00EA177A" w:rsidP="00EA177A">
      <w:r>
        <w:t>Ďalšie prostriedky boli poskytnuté na zvýšenie základného imania obchodných spoločností štátu alebo na založenie nových obchodných spoločností štátu. Išlo napríklad o 13 000 tis. eur na zvýšenie základného imania spoločnosti Letecké opravovane Trenčín, a.s., 1 975 tis. eur na zvýšenie základného imania pre Železnice SR, 1 100 tis. eur na založenie akciovej spoločnosti Národný štadión, 891 tis. eur na zvýšenie základného imania spoločnosti MH Invest II, s.r.o. a 27,5 tis. eur na zvýšenie základného imania spoločnosti Nemocnica budúcnosti Martin.</w:t>
      </w:r>
    </w:p>
    <w:p w14:paraId="2233E575" w14:textId="44EBA828" w:rsidR="00EA177A" w:rsidRDefault="00EA177A" w:rsidP="00EA177A">
      <w:r>
        <w:rPr>
          <w:i/>
          <w:u w:val="single"/>
        </w:rPr>
        <w:t xml:space="preserve">Bežný účet </w:t>
      </w:r>
      <w:r w:rsidRPr="00C2258B">
        <w:rPr>
          <w:i/>
          <w:u w:val="single"/>
        </w:rPr>
        <w:t>návratných finančných výpomocí (NFV)</w:t>
      </w:r>
      <w:r>
        <w:rPr>
          <w:i/>
        </w:rPr>
        <w:t xml:space="preserve"> </w:t>
      </w:r>
      <w:r w:rsidRPr="007F29E2">
        <w:t>zaznamenal</w:t>
      </w:r>
      <w:r>
        <w:t xml:space="preserve"> v roku 2019 príjem vo výške 61 934 tis. eur, z čoho rozhodujúcu hodnotu tvorí splátka NFV od Agentúry pre núdzové zásoby ropy a ropných výrobkov (EOSA) vo výške 45 000 tis. eur (2018: 50 000 tis. eur). Vláda SR </w:t>
      </w:r>
      <w:r w:rsidRPr="006F1D9A">
        <w:t xml:space="preserve">poskytla </w:t>
      </w:r>
      <w:r>
        <w:t xml:space="preserve">tejto agentúre </w:t>
      </w:r>
      <w:r w:rsidRPr="006F1D9A">
        <w:t>v roku 2014 NFV vo výške 520</w:t>
      </w:r>
      <w:r>
        <w:t> 000 tis. eur, s dohodnutou splatnosťou v decembri 2024, pričom dlžnú sumu je možné splatiť jednorazovo alebo aj po častiach, zostatok k </w:t>
      </w:r>
      <w:proofErr w:type="spellStart"/>
      <w:r>
        <w:t>ultimu</w:t>
      </w:r>
      <w:proofErr w:type="spellEnd"/>
      <w:r>
        <w:t xml:space="preserve"> roka 2019 je 365 000 tis. eur. Ďalšie splátky NFV predstavovala suma 16 300 tis. eur od Mesta Košice, 369 tis. eur od Mesta Prievidza (splátka nebola rozpočtovaná), 250 tis. eur od Mesta Martin a 15 tis. eur od Obce Ľubotice. Oproti rozpočtu bolo plnenie príjmov nižšie o 33 737 tis. eur.</w:t>
      </w:r>
    </w:p>
    <w:p w14:paraId="3BF68DF3" w14:textId="77777777" w:rsidR="00EA177A" w:rsidRDefault="00EA177A" w:rsidP="00EA177A">
      <w:r>
        <w:t>Na strane výdavkov bola v roku 2019 poskytnutá návratná finančná výpomoci 1 000 tis. eur VÚC Prešov a 605 tis. eur na zvýšenie kmeňového imania štátneho podniku Vojenské lesy a majetky SR, š. p.</w:t>
      </w:r>
    </w:p>
    <w:p w14:paraId="5C6FABE3" w14:textId="77777777" w:rsidR="00752EB6" w:rsidRDefault="00752EB6">
      <w:pPr>
        <w:spacing w:after="160" w:line="259" w:lineRule="auto"/>
        <w:jc w:val="left"/>
        <w:rPr>
          <w:i/>
          <w:u w:val="single"/>
        </w:rPr>
      </w:pPr>
      <w:r>
        <w:rPr>
          <w:i/>
          <w:u w:val="single"/>
        </w:rPr>
        <w:br w:type="page"/>
      </w:r>
    </w:p>
    <w:p w14:paraId="7CB071F3" w14:textId="3A2299B6" w:rsidR="00EA177A" w:rsidRDefault="00EA177A" w:rsidP="00EA177A">
      <w:r w:rsidRPr="00C2258B">
        <w:rPr>
          <w:i/>
          <w:u w:val="single"/>
        </w:rPr>
        <w:t>Osobitný odvod finančných inštitúcií</w:t>
      </w:r>
      <w:r w:rsidRPr="00C24538">
        <w:t xml:space="preserve"> prispieva k vytvoreniu mechanizm</w:t>
      </w:r>
      <w:r>
        <w:t>u</w:t>
      </w:r>
      <w:r w:rsidRPr="00C24538">
        <w:t xml:space="preserve"> podieľania sa týchto finančných</w:t>
      </w:r>
      <w:r>
        <w:t xml:space="preserve"> inštitúcií na nákladoch budúcich finančných kríz v bankovom sektore, k zabezpečeniu spravodlivého rozdelenia záťaže a k predchádzaniu vzniku rozsiahlych výdavkov pre daňovníkov, vládu a hospodárstvo v prípade riešenia finančných kríz, k stimulovaniu vybraných </w:t>
      </w:r>
      <w:r w:rsidRPr="00361DD6">
        <w:t>finančných inštitúcií obmedzovať systémové riziká a k ochrane stability finančného sektora Slovenskej republiky. Rozpočet na rok 201</w:t>
      </w:r>
      <w:r>
        <w:t>9</w:t>
      </w:r>
      <w:r w:rsidRPr="00361DD6">
        <w:t xml:space="preserve"> predpokladal</w:t>
      </w:r>
      <w:r>
        <w:rPr>
          <w:rStyle w:val="Odkaznapoznmkupodiarou"/>
        </w:rPr>
        <w:footnoteReference w:id="33"/>
      </w:r>
      <w:r w:rsidRPr="00361DD6">
        <w:t xml:space="preserve"> príjm</w:t>
      </w:r>
      <w:r>
        <w:t>y</w:t>
      </w:r>
      <w:r w:rsidRPr="00361DD6">
        <w:t xml:space="preserve"> z tohto odvodu vo výške </w:t>
      </w:r>
      <w:r>
        <w:t>143 076 tis. eur</w:t>
      </w:r>
      <w:r w:rsidRPr="00361DD6">
        <w:t>, čo je o</w:t>
      </w:r>
      <w:r>
        <w:t> 9 430 </w:t>
      </w:r>
      <w:r w:rsidRPr="00361DD6">
        <w:t>tis.</w:t>
      </w:r>
      <w:r>
        <w:t> </w:t>
      </w:r>
      <w:r w:rsidRPr="00361DD6">
        <w:t>eur viac ako v roku 201</w:t>
      </w:r>
      <w:r>
        <w:t>8</w:t>
      </w:r>
      <w:r w:rsidRPr="00361DD6">
        <w:t>. V sku</w:t>
      </w:r>
      <w:r>
        <w:t>točnosti boli prijaté odvody vo </w:t>
      </w:r>
      <w:r w:rsidRPr="00361DD6">
        <w:t xml:space="preserve">výške </w:t>
      </w:r>
      <w:r>
        <w:t>143 411 </w:t>
      </w:r>
      <w:r w:rsidRPr="00361DD6">
        <w:t>tis. eur</w:t>
      </w:r>
      <w:r>
        <w:t xml:space="preserve">. Na príslušný účet ŠFA boli prijaté aj prostriedky od Slovenskej reštrukturalizačnej, s. r. o. 10 000 tis. eur zo zníženia ostatných kapitálových fondov spoločnosti. </w:t>
      </w:r>
    </w:p>
    <w:p w14:paraId="18106CD8" w14:textId="77777777" w:rsidR="00EA177A" w:rsidRDefault="00EA177A" w:rsidP="00EA177A">
      <w:r w:rsidRPr="00C2258B">
        <w:rPr>
          <w:i/>
          <w:u w:val="single"/>
        </w:rPr>
        <w:t>Prostriedky osobitného odvodu z podnikania v regulovaných odvetviach</w:t>
      </w:r>
      <w:r w:rsidRPr="00B07894">
        <w:rPr>
          <w:i/>
        </w:rPr>
        <w:t>,</w:t>
      </w:r>
      <w:r w:rsidRPr="00B07894">
        <w:t xml:space="preserve"> v zmysle zákona č.</w:t>
      </w:r>
      <w:r>
        <w:t> </w:t>
      </w:r>
      <w:r w:rsidRPr="00B07894">
        <w:t xml:space="preserve">235/2012 Z. z., slúžia na perspektívne vytvorenie účelovo určenej osobitnej časti </w:t>
      </w:r>
      <w:r>
        <w:t>ŠFA</w:t>
      </w:r>
      <w:r w:rsidRPr="00B07894">
        <w:t xml:space="preserve">, z ktorých sa budú financovať prioritné projekty </w:t>
      </w:r>
      <w:r w:rsidRPr="00531BCC">
        <w:t>vlády. Rozpočet na rok 201</w:t>
      </w:r>
      <w:r>
        <w:t>9</w:t>
      </w:r>
      <w:r w:rsidRPr="00531BCC">
        <w:t xml:space="preserve"> predpokladal príjem vo výške</w:t>
      </w:r>
      <w:r>
        <w:t xml:space="preserve"> 125 452 tis. eur</w:t>
      </w:r>
      <w:r w:rsidRPr="00531BCC">
        <w:t>, čo je o</w:t>
      </w:r>
      <w:r>
        <w:t xml:space="preserve"> 50 201 </w:t>
      </w:r>
      <w:r w:rsidRPr="00531BCC">
        <w:t xml:space="preserve">tis. eur </w:t>
      </w:r>
      <w:r>
        <w:t>menej</w:t>
      </w:r>
      <w:r w:rsidRPr="00531BCC">
        <w:t xml:space="preserve"> ako </w:t>
      </w:r>
      <w:r>
        <w:t xml:space="preserve">v </w:t>
      </w:r>
      <w:r w:rsidRPr="00531BCC">
        <w:t>rok</w:t>
      </w:r>
      <w:r>
        <w:t>u</w:t>
      </w:r>
      <w:r w:rsidRPr="00531BCC">
        <w:t xml:space="preserve"> 201</w:t>
      </w:r>
      <w:r>
        <w:t>8, čo súvisí s nastaveným postupným klesaním odvodu</w:t>
      </w:r>
      <w:r w:rsidRPr="00531BCC">
        <w:t xml:space="preserve">. Skutočné vyinkasované príjmy na </w:t>
      </w:r>
      <w:r>
        <w:t xml:space="preserve">príslušný </w:t>
      </w:r>
      <w:r w:rsidRPr="00531BCC">
        <w:t xml:space="preserve">účet </w:t>
      </w:r>
      <w:r>
        <w:t>ŠFA</w:t>
      </w:r>
      <w:r w:rsidRPr="00531BCC">
        <w:t xml:space="preserve"> z tohto osobitného odvodu boli v hodnote </w:t>
      </w:r>
      <w:r>
        <w:t>112 597 </w:t>
      </w:r>
      <w:r w:rsidRPr="00531BCC">
        <w:t>tis. eur.</w:t>
      </w:r>
      <w:r>
        <w:t xml:space="preserve"> </w:t>
      </w:r>
    </w:p>
    <w:p w14:paraId="492C4DCB" w14:textId="77777777" w:rsidR="00EA177A" w:rsidRDefault="00EA177A" w:rsidP="00EA177A">
      <w:r>
        <w:rPr>
          <w:i/>
          <w:u w:val="single"/>
        </w:rPr>
        <w:t>Zvýšenie prostriedkov anonymných vkladov</w:t>
      </w:r>
      <w:r w:rsidRPr="002E70FE">
        <w:t xml:space="preserve"> </w:t>
      </w:r>
      <w:r>
        <w:t xml:space="preserve">o 28 tis. eur </w:t>
      </w:r>
      <w:r w:rsidRPr="002E70FE">
        <w:t>predstavoval</w:t>
      </w:r>
      <w:r>
        <w:t>o</w:t>
      </w:r>
      <w:r w:rsidRPr="002E70FE">
        <w:t xml:space="preserve"> </w:t>
      </w:r>
      <w:r>
        <w:t>precenenie prostriedkov v cudzej mene ku koncu roka 2019.</w:t>
      </w:r>
    </w:p>
    <w:p w14:paraId="6F275975" w14:textId="43B14ED8" w:rsidR="00EA177A" w:rsidRDefault="00EA177A" w:rsidP="00EA177A">
      <w:r w:rsidRPr="00A65F6A">
        <w:rPr>
          <w:i/>
          <w:u w:val="single"/>
        </w:rPr>
        <w:t>Z ostatných účtov ŠFA</w:t>
      </w:r>
      <w:r>
        <w:t xml:space="preserve"> boli hradené napríklad bankové poplatky a úroky vo výške 149 tis. eur, prevod medzi účtami ŠFA 7 042 tis. eur a príjem tvorila najmä úhrada istiny pohľadávok 880 tis. eur.</w:t>
      </w:r>
    </w:p>
    <w:p w14:paraId="2503EA2E" w14:textId="77777777" w:rsidR="008A6314" w:rsidRPr="00EA177A" w:rsidRDefault="008A6314" w:rsidP="00EA177A"/>
    <w:p w14:paraId="6679B3DF" w14:textId="77777777" w:rsidR="008A6314" w:rsidRDefault="008A6314">
      <w:pPr>
        <w:spacing w:after="160" w:line="259" w:lineRule="auto"/>
        <w:jc w:val="left"/>
        <w:rPr>
          <w:rFonts w:eastAsiaTheme="majorEastAsia" w:cstheme="majorBidi"/>
          <w:b/>
          <w:sz w:val="24"/>
          <w:szCs w:val="26"/>
        </w:rPr>
      </w:pPr>
      <w:bookmarkStart w:id="57" w:name="_Toc6415652"/>
      <w:r>
        <w:br w:type="page"/>
      </w:r>
    </w:p>
    <w:p w14:paraId="39D5632D" w14:textId="223BAD72" w:rsidR="008254BE" w:rsidRDefault="008254BE" w:rsidP="008A6314">
      <w:pPr>
        <w:pStyle w:val="Nadpis2"/>
      </w:pPr>
      <w:bookmarkStart w:id="58" w:name="_Toc39095183"/>
      <w:r>
        <w:t>Vzťahy štátneho rozpočtu k Európskej únii</w:t>
      </w:r>
      <w:bookmarkEnd w:id="57"/>
      <w:bookmarkEnd w:id="58"/>
    </w:p>
    <w:p w14:paraId="32BE6DD4" w14:textId="77777777" w:rsidR="00EA177A" w:rsidRPr="000466DD" w:rsidRDefault="00EA177A" w:rsidP="00EA177A">
      <w:pPr>
        <w:tabs>
          <w:tab w:val="left" w:pos="284"/>
        </w:tabs>
      </w:pPr>
      <w:r w:rsidRPr="000466DD">
        <w:rPr>
          <w:b/>
        </w:rPr>
        <w:t xml:space="preserve">Príjmy Slovenskej republiky z rozpočtu EÚ </w:t>
      </w:r>
      <w:r w:rsidRPr="000466DD">
        <w:t>tvoria</w:t>
      </w:r>
      <w:r w:rsidRPr="000466DD">
        <w:rPr>
          <w:b/>
        </w:rPr>
        <w:t xml:space="preserve"> </w:t>
      </w:r>
      <w:r w:rsidRPr="000466DD">
        <w:t>zahraničné transfery a zahraničné granty poskytnuté z rozpočtu EÚ. Príjmy zo zahraničných transferov boli rozpočtované na rok 2019</w:t>
      </w:r>
      <w:r>
        <w:t xml:space="preserve"> </w:t>
      </w:r>
      <w:r w:rsidRPr="000466DD">
        <w:t xml:space="preserve">vo výške 1 665 041 tis. eur. Rozpočet zahraničných transferov bol upravený na úroveň </w:t>
      </w:r>
      <w:r>
        <w:t>2 126 </w:t>
      </w:r>
      <w:r w:rsidRPr="000466DD">
        <w:t>785</w:t>
      </w:r>
      <w:r>
        <w:t> tis. </w:t>
      </w:r>
      <w:r w:rsidRPr="000466DD">
        <w:t xml:space="preserve">eur. Skutočné plnenie príjmov z rozpočtu EÚ bolo vo výške 2 126 943 tis. eur, z toho príjmy za zahraničné transfery sú vo výške 2 126 921 tis. eur a príjmy za zahraničné granty poskytnuté z rozpočtu EÚ sú vo výške 22 tis. eur. </w:t>
      </w:r>
    </w:p>
    <w:p w14:paraId="4E883049" w14:textId="77777777" w:rsidR="00EA177A" w:rsidRPr="00DD0DE8" w:rsidRDefault="00EA177A" w:rsidP="00EA177A">
      <w:pPr>
        <w:tabs>
          <w:tab w:val="left" w:pos="284"/>
        </w:tabs>
      </w:pPr>
      <w:r w:rsidRPr="00A0338A">
        <w:rPr>
          <w:b/>
        </w:rPr>
        <w:t>Odvody a príspevky SR do všeobecného rozpočtu EÚ</w:t>
      </w:r>
      <w:r w:rsidRPr="00A0338A">
        <w:t xml:space="preserve"> </w:t>
      </w:r>
      <w:r w:rsidRPr="00DD0DE8">
        <w:t>tvoria odvody do rozpočtu EÚ a príspevky do Európskeho rozvojového fondu. Odvody a príspevky SR do všeobecného rozpočtu EÚ boli rozpočtované na rok 2019 v</w:t>
      </w:r>
      <w:r>
        <w:t> </w:t>
      </w:r>
      <w:r w:rsidRPr="00DD0DE8">
        <w:t>sume</w:t>
      </w:r>
      <w:r>
        <w:t xml:space="preserve"> 935 979</w:t>
      </w:r>
      <w:r w:rsidRPr="00DD0DE8">
        <w:t xml:space="preserve"> tis. eur.</w:t>
      </w:r>
    </w:p>
    <w:p w14:paraId="59B14B4B" w14:textId="77777777" w:rsidR="00EA177A" w:rsidRDefault="00EA177A" w:rsidP="00EA177A">
      <w:pPr>
        <w:tabs>
          <w:tab w:val="left" w:pos="284"/>
        </w:tabs>
      </w:pPr>
      <w:r w:rsidRPr="00DD0DE8">
        <w:t>Prehľad o odvodoch a príspevkoch SR do všeobecného rozpočtu EÚ za rok 2019:</w:t>
      </w:r>
    </w:p>
    <w:tbl>
      <w:tblPr>
        <w:tblW w:w="5068" w:type="pct"/>
        <w:tblLayout w:type="fixed"/>
        <w:tblCellMar>
          <w:left w:w="70" w:type="dxa"/>
          <w:right w:w="70" w:type="dxa"/>
        </w:tblCellMar>
        <w:tblLook w:val="04A0" w:firstRow="1" w:lastRow="0" w:firstColumn="1" w:lastColumn="0" w:noHBand="0" w:noVBand="1"/>
      </w:tblPr>
      <w:tblGrid>
        <w:gridCol w:w="2863"/>
        <w:gridCol w:w="989"/>
        <w:gridCol w:w="989"/>
        <w:gridCol w:w="972"/>
        <w:gridCol w:w="1108"/>
        <w:gridCol w:w="998"/>
        <w:gridCol w:w="700"/>
      </w:tblGrid>
      <w:tr w:rsidR="00EA177A" w:rsidRPr="008A6314" w14:paraId="5F6E0D39" w14:textId="77777777" w:rsidTr="00752EB6">
        <w:trPr>
          <w:trHeight w:val="330"/>
        </w:trPr>
        <w:tc>
          <w:tcPr>
            <w:tcW w:w="4015" w:type="pct"/>
            <w:gridSpan w:val="5"/>
            <w:tcBorders>
              <w:top w:val="nil"/>
              <w:left w:val="nil"/>
              <w:bottom w:val="nil"/>
              <w:right w:val="nil"/>
            </w:tcBorders>
            <w:shd w:val="clear" w:color="000000" w:fill="000000"/>
            <w:noWrap/>
            <w:vAlign w:val="bottom"/>
            <w:hideMark/>
          </w:tcPr>
          <w:p w14:paraId="01A24FDF" w14:textId="77777777" w:rsidR="00EA177A" w:rsidRPr="008A6314" w:rsidRDefault="00EA177A" w:rsidP="00752EB6">
            <w:pPr>
              <w:spacing w:before="120" w:line="240" w:lineRule="auto"/>
              <w:jc w:val="left"/>
              <w:rPr>
                <w:rFonts w:eastAsia="Times New Roman" w:cs="Times New Roman"/>
                <w:b/>
                <w:bCs/>
                <w:color w:val="FFFFFF"/>
                <w:sz w:val="18"/>
                <w:szCs w:val="18"/>
                <w:lang w:eastAsia="sk-SK"/>
              </w:rPr>
            </w:pPr>
            <w:r w:rsidRPr="008A6314">
              <w:rPr>
                <w:rFonts w:eastAsia="Times New Roman" w:cs="Times New Roman"/>
                <w:b/>
                <w:bCs/>
                <w:color w:val="FFFFFF"/>
                <w:sz w:val="18"/>
                <w:szCs w:val="18"/>
                <w:lang w:eastAsia="sk-SK"/>
              </w:rPr>
              <w:t>Príjmy z rozpočtu EÚ a odvody a príspevky do všeobecného rozpočtu EÚ</w:t>
            </w:r>
            <w:r w:rsidRPr="008A6314">
              <w:rPr>
                <w:rFonts w:ascii="Arial Narrow" w:eastAsia="Times New Roman" w:hAnsi="Arial Narrow" w:cs="Times New Roman"/>
                <w:color w:val="000000"/>
                <w:sz w:val="18"/>
                <w:szCs w:val="18"/>
                <w:lang w:eastAsia="sk-SK"/>
              </w:rPr>
              <w:t> </w:t>
            </w:r>
          </w:p>
        </w:tc>
        <w:tc>
          <w:tcPr>
            <w:tcW w:w="985" w:type="pct"/>
            <w:gridSpan w:val="2"/>
            <w:tcBorders>
              <w:top w:val="nil"/>
              <w:left w:val="nil"/>
              <w:bottom w:val="nil"/>
              <w:right w:val="nil"/>
            </w:tcBorders>
            <w:shd w:val="clear" w:color="000000" w:fill="000000"/>
            <w:noWrap/>
            <w:vAlign w:val="bottom"/>
            <w:hideMark/>
          </w:tcPr>
          <w:p w14:paraId="4ADEC666" w14:textId="77777777" w:rsidR="00EA177A" w:rsidRPr="008A6314" w:rsidRDefault="00EA177A" w:rsidP="00752EB6">
            <w:pPr>
              <w:spacing w:before="120" w:line="240" w:lineRule="auto"/>
              <w:jc w:val="right"/>
              <w:rPr>
                <w:rFonts w:eastAsia="Times New Roman" w:cs="Times New Roman"/>
                <w:b/>
                <w:bCs/>
                <w:color w:val="FFFFFF"/>
                <w:sz w:val="18"/>
                <w:szCs w:val="18"/>
                <w:lang w:eastAsia="sk-SK"/>
              </w:rPr>
            </w:pPr>
            <w:r w:rsidRPr="008A6314">
              <w:rPr>
                <w:rFonts w:eastAsia="Times New Roman" w:cs="Times New Roman"/>
                <w:b/>
                <w:bCs/>
                <w:color w:val="FFFFFF"/>
                <w:sz w:val="18"/>
                <w:szCs w:val="18"/>
                <w:lang w:eastAsia="sk-SK"/>
              </w:rPr>
              <w:t>v tis. eur</w:t>
            </w:r>
          </w:p>
        </w:tc>
      </w:tr>
      <w:tr w:rsidR="00EA177A" w:rsidRPr="008A6314" w14:paraId="646AF3B9" w14:textId="77777777" w:rsidTr="00752EB6">
        <w:trPr>
          <w:trHeight w:val="330"/>
        </w:trPr>
        <w:tc>
          <w:tcPr>
            <w:tcW w:w="1660" w:type="pct"/>
            <w:tcBorders>
              <w:top w:val="nil"/>
              <w:left w:val="nil"/>
              <w:bottom w:val="nil"/>
              <w:right w:val="nil"/>
            </w:tcBorders>
            <w:shd w:val="clear" w:color="000000" w:fill="BFBFBF"/>
            <w:vAlign w:val="center"/>
            <w:hideMark/>
          </w:tcPr>
          <w:p w14:paraId="1BFE24AB" w14:textId="77777777" w:rsidR="00EA177A" w:rsidRPr="008A6314" w:rsidRDefault="00EA177A" w:rsidP="00C704A7">
            <w:pPr>
              <w:spacing w:after="0" w:line="240" w:lineRule="auto"/>
              <w:jc w:val="left"/>
              <w:rPr>
                <w:rFonts w:eastAsia="Times New Roman" w:cs="Times New Roman"/>
                <w:b/>
                <w:bCs/>
                <w:color w:val="FFFFFF"/>
                <w:sz w:val="18"/>
                <w:szCs w:val="18"/>
                <w:lang w:eastAsia="sk-SK"/>
              </w:rPr>
            </w:pPr>
            <w:r w:rsidRPr="008A6314">
              <w:rPr>
                <w:rFonts w:eastAsia="Times New Roman" w:cs="Times New Roman"/>
                <w:b/>
                <w:bCs/>
                <w:color w:val="FFFFFF"/>
                <w:sz w:val="18"/>
                <w:szCs w:val="18"/>
                <w:lang w:eastAsia="sk-SK"/>
              </w:rPr>
              <w:t> </w:t>
            </w:r>
          </w:p>
        </w:tc>
        <w:tc>
          <w:tcPr>
            <w:tcW w:w="1147" w:type="pct"/>
            <w:gridSpan w:val="2"/>
            <w:tcBorders>
              <w:top w:val="nil"/>
              <w:left w:val="nil"/>
              <w:bottom w:val="nil"/>
              <w:right w:val="nil"/>
            </w:tcBorders>
            <w:shd w:val="clear" w:color="000000" w:fill="BFBFBF"/>
            <w:vAlign w:val="center"/>
            <w:hideMark/>
          </w:tcPr>
          <w:p w14:paraId="7FD1693E"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Skutočnosť</w:t>
            </w:r>
          </w:p>
        </w:tc>
        <w:tc>
          <w:tcPr>
            <w:tcW w:w="564" w:type="pct"/>
            <w:tcBorders>
              <w:top w:val="nil"/>
              <w:left w:val="nil"/>
              <w:bottom w:val="nil"/>
              <w:right w:val="nil"/>
            </w:tcBorders>
            <w:shd w:val="clear" w:color="000000" w:fill="BFBFBF"/>
            <w:vAlign w:val="center"/>
            <w:hideMark/>
          </w:tcPr>
          <w:p w14:paraId="1FBF6769"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Rozpočet</w:t>
            </w:r>
          </w:p>
        </w:tc>
        <w:tc>
          <w:tcPr>
            <w:tcW w:w="643" w:type="pct"/>
            <w:tcBorders>
              <w:top w:val="nil"/>
              <w:left w:val="nil"/>
              <w:bottom w:val="nil"/>
              <w:right w:val="nil"/>
            </w:tcBorders>
            <w:shd w:val="clear" w:color="000000" w:fill="BFBFBF"/>
            <w:vAlign w:val="center"/>
            <w:hideMark/>
          </w:tcPr>
          <w:p w14:paraId="0CEEF29A" w14:textId="56209723" w:rsidR="00EA177A" w:rsidRPr="008A6314" w:rsidRDefault="00752EB6" w:rsidP="00752EB6">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Skutočnosť</w:t>
            </w:r>
          </w:p>
        </w:tc>
        <w:tc>
          <w:tcPr>
            <w:tcW w:w="985" w:type="pct"/>
            <w:gridSpan w:val="2"/>
            <w:tcBorders>
              <w:top w:val="nil"/>
              <w:left w:val="nil"/>
              <w:bottom w:val="nil"/>
              <w:right w:val="nil"/>
            </w:tcBorders>
            <w:shd w:val="clear" w:color="000000" w:fill="BFBFBF"/>
            <w:vAlign w:val="center"/>
            <w:hideMark/>
          </w:tcPr>
          <w:p w14:paraId="45DDAE0D"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Rozdiel</w:t>
            </w:r>
          </w:p>
        </w:tc>
      </w:tr>
      <w:tr w:rsidR="00EA177A" w:rsidRPr="008A6314" w14:paraId="241D67ED" w14:textId="77777777" w:rsidTr="00752EB6">
        <w:trPr>
          <w:trHeight w:val="330"/>
        </w:trPr>
        <w:tc>
          <w:tcPr>
            <w:tcW w:w="1660" w:type="pct"/>
            <w:tcBorders>
              <w:top w:val="nil"/>
              <w:left w:val="nil"/>
              <w:bottom w:val="nil"/>
              <w:right w:val="nil"/>
            </w:tcBorders>
            <w:shd w:val="clear" w:color="000000" w:fill="BFBFBF"/>
            <w:vAlign w:val="center"/>
            <w:hideMark/>
          </w:tcPr>
          <w:p w14:paraId="7614F996"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 </w:t>
            </w:r>
          </w:p>
        </w:tc>
        <w:tc>
          <w:tcPr>
            <w:tcW w:w="574" w:type="pct"/>
            <w:tcBorders>
              <w:top w:val="nil"/>
              <w:left w:val="nil"/>
              <w:bottom w:val="nil"/>
              <w:right w:val="nil"/>
            </w:tcBorders>
            <w:shd w:val="clear" w:color="000000" w:fill="BFBFBF"/>
            <w:vAlign w:val="center"/>
            <w:hideMark/>
          </w:tcPr>
          <w:p w14:paraId="1DB7F996"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2017</w:t>
            </w:r>
          </w:p>
        </w:tc>
        <w:tc>
          <w:tcPr>
            <w:tcW w:w="574" w:type="pct"/>
            <w:tcBorders>
              <w:top w:val="nil"/>
              <w:left w:val="nil"/>
              <w:bottom w:val="nil"/>
              <w:right w:val="nil"/>
            </w:tcBorders>
            <w:shd w:val="clear" w:color="000000" w:fill="BFBFBF"/>
            <w:vAlign w:val="center"/>
            <w:hideMark/>
          </w:tcPr>
          <w:p w14:paraId="35EEC057"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2018</w:t>
            </w:r>
          </w:p>
        </w:tc>
        <w:tc>
          <w:tcPr>
            <w:tcW w:w="564" w:type="pct"/>
            <w:tcBorders>
              <w:top w:val="nil"/>
              <w:left w:val="nil"/>
              <w:bottom w:val="nil"/>
              <w:right w:val="nil"/>
            </w:tcBorders>
            <w:shd w:val="clear" w:color="000000" w:fill="BFBFBF"/>
            <w:vAlign w:val="center"/>
            <w:hideMark/>
          </w:tcPr>
          <w:p w14:paraId="2355A312"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2019</w:t>
            </w:r>
          </w:p>
        </w:tc>
        <w:tc>
          <w:tcPr>
            <w:tcW w:w="643" w:type="pct"/>
            <w:tcBorders>
              <w:top w:val="nil"/>
              <w:left w:val="nil"/>
              <w:bottom w:val="nil"/>
              <w:right w:val="nil"/>
            </w:tcBorders>
            <w:shd w:val="clear" w:color="000000" w:fill="BFBFBF"/>
            <w:vAlign w:val="center"/>
            <w:hideMark/>
          </w:tcPr>
          <w:p w14:paraId="275DBEBC"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2019</w:t>
            </w:r>
          </w:p>
        </w:tc>
        <w:tc>
          <w:tcPr>
            <w:tcW w:w="579" w:type="pct"/>
            <w:tcBorders>
              <w:top w:val="nil"/>
              <w:left w:val="nil"/>
              <w:bottom w:val="nil"/>
              <w:right w:val="nil"/>
            </w:tcBorders>
            <w:shd w:val="clear" w:color="000000" w:fill="BFBFBF"/>
            <w:vAlign w:val="center"/>
            <w:hideMark/>
          </w:tcPr>
          <w:p w14:paraId="526AF9ED"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 xml:space="preserve"> v tis. eur</w:t>
            </w:r>
          </w:p>
        </w:tc>
        <w:tc>
          <w:tcPr>
            <w:tcW w:w="406" w:type="pct"/>
            <w:tcBorders>
              <w:top w:val="nil"/>
              <w:left w:val="nil"/>
              <w:bottom w:val="nil"/>
              <w:right w:val="nil"/>
            </w:tcBorders>
            <w:shd w:val="clear" w:color="000000" w:fill="BFBFBF"/>
            <w:vAlign w:val="center"/>
            <w:hideMark/>
          </w:tcPr>
          <w:p w14:paraId="6D02EBCF" w14:textId="77777777" w:rsidR="00EA177A" w:rsidRPr="008A6314" w:rsidRDefault="00EA177A" w:rsidP="00C704A7">
            <w:pPr>
              <w:spacing w:after="0" w:line="240" w:lineRule="auto"/>
              <w:jc w:val="center"/>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v %</w:t>
            </w:r>
          </w:p>
        </w:tc>
      </w:tr>
      <w:tr w:rsidR="00EA177A" w:rsidRPr="008A6314" w14:paraId="613A5B9E" w14:textId="77777777" w:rsidTr="00752EB6">
        <w:trPr>
          <w:trHeight w:val="345"/>
        </w:trPr>
        <w:tc>
          <w:tcPr>
            <w:tcW w:w="1660" w:type="pct"/>
            <w:tcBorders>
              <w:top w:val="nil"/>
              <w:left w:val="nil"/>
              <w:bottom w:val="single" w:sz="8" w:space="0" w:color="auto"/>
              <w:right w:val="nil"/>
            </w:tcBorders>
            <w:shd w:val="clear" w:color="000000" w:fill="BFBFBF"/>
            <w:vAlign w:val="center"/>
            <w:hideMark/>
          </w:tcPr>
          <w:p w14:paraId="1728AF2A" w14:textId="77777777" w:rsidR="00EA177A" w:rsidRPr="008A6314" w:rsidRDefault="00EA177A" w:rsidP="00C704A7">
            <w:pPr>
              <w:spacing w:after="0" w:line="240" w:lineRule="auto"/>
              <w:jc w:val="left"/>
              <w:rPr>
                <w:rFonts w:eastAsia="Times New Roman" w:cs="Times New Roman"/>
                <w:b/>
                <w:bCs/>
                <w:color w:val="FFFFFF"/>
                <w:sz w:val="18"/>
                <w:szCs w:val="18"/>
                <w:lang w:eastAsia="sk-SK"/>
              </w:rPr>
            </w:pPr>
            <w:r w:rsidRPr="008A6314">
              <w:rPr>
                <w:rFonts w:eastAsia="Times New Roman" w:cs="Times New Roman"/>
                <w:b/>
                <w:bCs/>
                <w:color w:val="FFFFFF"/>
                <w:sz w:val="18"/>
                <w:szCs w:val="18"/>
                <w:lang w:eastAsia="sk-SK"/>
              </w:rPr>
              <w:t> </w:t>
            </w:r>
          </w:p>
        </w:tc>
        <w:tc>
          <w:tcPr>
            <w:tcW w:w="574" w:type="pct"/>
            <w:tcBorders>
              <w:top w:val="nil"/>
              <w:left w:val="nil"/>
              <w:bottom w:val="single" w:sz="8" w:space="0" w:color="auto"/>
              <w:right w:val="nil"/>
            </w:tcBorders>
            <w:shd w:val="clear" w:color="000000" w:fill="BFBFBF"/>
            <w:vAlign w:val="center"/>
            <w:hideMark/>
          </w:tcPr>
          <w:p w14:paraId="0ED49D5A"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1</w:t>
            </w:r>
          </w:p>
        </w:tc>
        <w:tc>
          <w:tcPr>
            <w:tcW w:w="574" w:type="pct"/>
            <w:tcBorders>
              <w:top w:val="nil"/>
              <w:left w:val="nil"/>
              <w:bottom w:val="single" w:sz="8" w:space="0" w:color="auto"/>
              <w:right w:val="nil"/>
            </w:tcBorders>
            <w:shd w:val="clear" w:color="000000" w:fill="BFBFBF"/>
            <w:vAlign w:val="center"/>
            <w:hideMark/>
          </w:tcPr>
          <w:p w14:paraId="0DA536ED"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2</w:t>
            </w:r>
          </w:p>
        </w:tc>
        <w:tc>
          <w:tcPr>
            <w:tcW w:w="564" w:type="pct"/>
            <w:tcBorders>
              <w:top w:val="nil"/>
              <w:left w:val="nil"/>
              <w:bottom w:val="single" w:sz="8" w:space="0" w:color="auto"/>
              <w:right w:val="nil"/>
            </w:tcBorders>
            <w:shd w:val="clear" w:color="000000" w:fill="BFBFBF"/>
            <w:vAlign w:val="center"/>
            <w:hideMark/>
          </w:tcPr>
          <w:p w14:paraId="1638E28A"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3</w:t>
            </w:r>
          </w:p>
        </w:tc>
        <w:tc>
          <w:tcPr>
            <w:tcW w:w="643" w:type="pct"/>
            <w:tcBorders>
              <w:top w:val="nil"/>
              <w:left w:val="nil"/>
              <w:bottom w:val="single" w:sz="8" w:space="0" w:color="auto"/>
              <w:right w:val="nil"/>
            </w:tcBorders>
            <w:shd w:val="clear" w:color="000000" w:fill="BFBFBF"/>
            <w:vAlign w:val="center"/>
            <w:hideMark/>
          </w:tcPr>
          <w:p w14:paraId="1F5783B4"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4</w:t>
            </w:r>
          </w:p>
        </w:tc>
        <w:tc>
          <w:tcPr>
            <w:tcW w:w="579" w:type="pct"/>
            <w:tcBorders>
              <w:top w:val="nil"/>
              <w:left w:val="nil"/>
              <w:bottom w:val="single" w:sz="8" w:space="0" w:color="auto"/>
              <w:right w:val="nil"/>
            </w:tcBorders>
            <w:shd w:val="clear" w:color="000000" w:fill="BFBFBF"/>
            <w:vAlign w:val="center"/>
            <w:hideMark/>
          </w:tcPr>
          <w:p w14:paraId="7B645360"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5=4-3</w:t>
            </w:r>
          </w:p>
        </w:tc>
        <w:tc>
          <w:tcPr>
            <w:tcW w:w="406" w:type="pct"/>
            <w:tcBorders>
              <w:top w:val="nil"/>
              <w:left w:val="nil"/>
              <w:bottom w:val="single" w:sz="8" w:space="0" w:color="auto"/>
              <w:right w:val="nil"/>
            </w:tcBorders>
            <w:shd w:val="clear" w:color="000000" w:fill="BFBFBF"/>
            <w:vAlign w:val="center"/>
            <w:hideMark/>
          </w:tcPr>
          <w:p w14:paraId="52DF728D" w14:textId="77777777" w:rsidR="00EA177A" w:rsidRPr="008A6314" w:rsidRDefault="00EA177A" w:rsidP="00C704A7">
            <w:pPr>
              <w:spacing w:after="0" w:line="240" w:lineRule="auto"/>
              <w:jc w:val="center"/>
              <w:rPr>
                <w:rFonts w:eastAsia="Times New Roman" w:cs="Times New Roman"/>
                <w:b/>
                <w:bCs/>
                <w:sz w:val="18"/>
                <w:szCs w:val="18"/>
                <w:lang w:eastAsia="sk-SK"/>
              </w:rPr>
            </w:pPr>
            <w:r w:rsidRPr="008A6314">
              <w:rPr>
                <w:rFonts w:eastAsia="Times New Roman" w:cs="Times New Roman"/>
                <w:b/>
                <w:bCs/>
                <w:sz w:val="18"/>
                <w:szCs w:val="18"/>
                <w:lang w:eastAsia="sk-SK"/>
              </w:rPr>
              <w:t>6=4-3</w:t>
            </w:r>
          </w:p>
        </w:tc>
      </w:tr>
      <w:tr w:rsidR="00EA177A" w:rsidRPr="008A6314" w14:paraId="6DE0B8F5" w14:textId="77777777" w:rsidTr="003421E9">
        <w:trPr>
          <w:trHeight w:val="330"/>
        </w:trPr>
        <w:tc>
          <w:tcPr>
            <w:tcW w:w="1660" w:type="pct"/>
            <w:tcBorders>
              <w:top w:val="nil"/>
              <w:left w:val="nil"/>
              <w:bottom w:val="nil"/>
              <w:right w:val="nil"/>
            </w:tcBorders>
            <w:shd w:val="clear" w:color="000000" w:fill="FFFFFF"/>
            <w:vAlign w:val="center"/>
            <w:hideMark/>
          </w:tcPr>
          <w:p w14:paraId="16D9B8C8" w14:textId="77777777" w:rsidR="00EA177A" w:rsidRPr="008A6314" w:rsidRDefault="00EA177A" w:rsidP="00C704A7">
            <w:pPr>
              <w:spacing w:after="0" w:line="240" w:lineRule="auto"/>
              <w:jc w:val="left"/>
              <w:rPr>
                <w:rFonts w:eastAsia="Times New Roman" w:cs="Times New Roman"/>
                <w:color w:val="000000"/>
                <w:sz w:val="18"/>
                <w:szCs w:val="18"/>
                <w:lang w:eastAsia="sk-SK"/>
              </w:rPr>
            </w:pPr>
            <w:r w:rsidRPr="008A6314">
              <w:rPr>
                <w:rFonts w:eastAsia="Times New Roman" w:cs="Times New Roman"/>
                <w:color w:val="000000"/>
                <w:sz w:val="18"/>
                <w:szCs w:val="18"/>
                <w:lang w:eastAsia="sk-SK"/>
              </w:rPr>
              <w:t>Tradičné vlastné zdroje</w:t>
            </w:r>
          </w:p>
        </w:tc>
        <w:tc>
          <w:tcPr>
            <w:tcW w:w="574" w:type="pct"/>
            <w:tcBorders>
              <w:top w:val="nil"/>
              <w:left w:val="nil"/>
              <w:bottom w:val="nil"/>
              <w:right w:val="nil"/>
            </w:tcBorders>
            <w:shd w:val="clear" w:color="000000" w:fill="FFFFFF"/>
            <w:noWrap/>
            <w:vAlign w:val="center"/>
            <w:hideMark/>
          </w:tcPr>
          <w:p w14:paraId="39929837"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91 270</w:t>
            </w:r>
          </w:p>
        </w:tc>
        <w:tc>
          <w:tcPr>
            <w:tcW w:w="574" w:type="pct"/>
            <w:tcBorders>
              <w:top w:val="nil"/>
              <w:left w:val="nil"/>
              <w:bottom w:val="nil"/>
              <w:right w:val="nil"/>
            </w:tcBorders>
            <w:shd w:val="clear" w:color="000000" w:fill="FFFFFF"/>
            <w:noWrap/>
            <w:vAlign w:val="center"/>
            <w:hideMark/>
          </w:tcPr>
          <w:p w14:paraId="47E63B5D"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93 385</w:t>
            </w:r>
          </w:p>
        </w:tc>
        <w:tc>
          <w:tcPr>
            <w:tcW w:w="564" w:type="pct"/>
            <w:tcBorders>
              <w:top w:val="nil"/>
              <w:left w:val="nil"/>
              <w:bottom w:val="nil"/>
              <w:right w:val="nil"/>
            </w:tcBorders>
            <w:shd w:val="clear" w:color="000000" w:fill="FFFFFF"/>
            <w:noWrap/>
            <w:vAlign w:val="center"/>
            <w:hideMark/>
          </w:tcPr>
          <w:p w14:paraId="66804044"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96 311</w:t>
            </w:r>
          </w:p>
        </w:tc>
        <w:tc>
          <w:tcPr>
            <w:tcW w:w="643" w:type="pct"/>
            <w:tcBorders>
              <w:top w:val="nil"/>
              <w:left w:val="nil"/>
              <w:bottom w:val="nil"/>
              <w:right w:val="nil"/>
            </w:tcBorders>
            <w:shd w:val="clear" w:color="auto" w:fill="BFBFBF" w:themeFill="background1" w:themeFillShade="BF"/>
            <w:noWrap/>
            <w:vAlign w:val="center"/>
            <w:hideMark/>
          </w:tcPr>
          <w:p w14:paraId="612E569B"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84 326</w:t>
            </w:r>
          </w:p>
        </w:tc>
        <w:tc>
          <w:tcPr>
            <w:tcW w:w="579" w:type="pct"/>
            <w:tcBorders>
              <w:top w:val="nil"/>
              <w:left w:val="nil"/>
              <w:bottom w:val="nil"/>
              <w:right w:val="nil"/>
            </w:tcBorders>
            <w:shd w:val="clear" w:color="auto" w:fill="auto"/>
            <w:vAlign w:val="center"/>
            <w:hideMark/>
          </w:tcPr>
          <w:p w14:paraId="49BD5359"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-11 985</w:t>
            </w:r>
          </w:p>
        </w:tc>
        <w:tc>
          <w:tcPr>
            <w:tcW w:w="406" w:type="pct"/>
            <w:tcBorders>
              <w:top w:val="nil"/>
              <w:left w:val="nil"/>
              <w:bottom w:val="nil"/>
              <w:right w:val="nil"/>
            </w:tcBorders>
            <w:shd w:val="clear" w:color="000000" w:fill="FFFFFF"/>
            <w:vAlign w:val="center"/>
            <w:hideMark/>
          </w:tcPr>
          <w:p w14:paraId="7F334B67"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-12,4</w:t>
            </w:r>
          </w:p>
        </w:tc>
      </w:tr>
      <w:tr w:rsidR="00EA177A" w:rsidRPr="008A6314" w14:paraId="7A2E0B98" w14:textId="77777777" w:rsidTr="003421E9">
        <w:trPr>
          <w:trHeight w:val="511"/>
        </w:trPr>
        <w:tc>
          <w:tcPr>
            <w:tcW w:w="1660" w:type="pct"/>
            <w:tcBorders>
              <w:top w:val="nil"/>
              <w:left w:val="nil"/>
              <w:bottom w:val="nil"/>
              <w:right w:val="nil"/>
            </w:tcBorders>
            <w:shd w:val="clear" w:color="000000" w:fill="FFFFFF"/>
            <w:vAlign w:val="center"/>
            <w:hideMark/>
          </w:tcPr>
          <w:p w14:paraId="612489A9" w14:textId="77777777" w:rsidR="00EA177A" w:rsidRPr="008A6314" w:rsidRDefault="00EA177A" w:rsidP="00C704A7">
            <w:pPr>
              <w:spacing w:after="0" w:line="240" w:lineRule="auto"/>
              <w:jc w:val="left"/>
              <w:rPr>
                <w:rFonts w:eastAsia="Times New Roman" w:cs="Times New Roman"/>
                <w:color w:val="000000"/>
                <w:sz w:val="18"/>
                <w:szCs w:val="18"/>
                <w:lang w:eastAsia="sk-SK"/>
              </w:rPr>
            </w:pPr>
            <w:r w:rsidRPr="008A6314">
              <w:rPr>
                <w:rFonts w:eastAsia="Times New Roman" w:cs="Times New Roman"/>
                <w:color w:val="000000"/>
                <w:sz w:val="18"/>
                <w:szCs w:val="18"/>
                <w:lang w:eastAsia="sk-SK"/>
              </w:rPr>
              <w:t>Odvody SR do rozpočtu EÚ bez tradičných vlastných zdrojov</w:t>
            </w:r>
          </w:p>
        </w:tc>
        <w:tc>
          <w:tcPr>
            <w:tcW w:w="574" w:type="pct"/>
            <w:tcBorders>
              <w:top w:val="nil"/>
              <w:left w:val="nil"/>
              <w:bottom w:val="nil"/>
              <w:right w:val="nil"/>
            </w:tcBorders>
            <w:shd w:val="clear" w:color="000000" w:fill="FFFFFF"/>
            <w:noWrap/>
            <w:vAlign w:val="center"/>
            <w:hideMark/>
          </w:tcPr>
          <w:p w14:paraId="51C1FF92"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634 172</w:t>
            </w:r>
          </w:p>
        </w:tc>
        <w:tc>
          <w:tcPr>
            <w:tcW w:w="574" w:type="pct"/>
            <w:tcBorders>
              <w:top w:val="nil"/>
              <w:left w:val="nil"/>
              <w:bottom w:val="nil"/>
              <w:right w:val="nil"/>
            </w:tcBorders>
            <w:shd w:val="clear" w:color="000000" w:fill="FFFFFF"/>
            <w:noWrap/>
            <w:vAlign w:val="center"/>
            <w:hideMark/>
          </w:tcPr>
          <w:p w14:paraId="1A766274"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731 424</w:t>
            </w:r>
          </w:p>
        </w:tc>
        <w:tc>
          <w:tcPr>
            <w:tcW w:w="564" w:type="pct"/>
            <w:tcBorders>
              <w:top w:val="nil"/>
              <w:left w:val="nil"/>
              <w:bottom w:val="nil"/>
              <w:right w:val="nil"/>
            </w:tcBorders>
            <w:shd w:val="clear" w:color="000000" w:fill="FFFFFF"/>
            <w:noWrap/>
            <w:vAlign w:val="center"/>
            <w:hideMark/>
          </w:tcPr>
          <w:p w14:paraId="4AABAA85" w14:textId="77777777" w:rsidR="00EA177A" w:rsidRPr="008A6314" w:rsidRDefault="00EA177A" w:rsidP="00C704A7">
            <w:pPr>
              <w:spacing w:after="0" w:line="240" w:lineRule="auto"/>
              <w:ind w:hanging="217"/>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839 668</w:t>
            </w:r>
          </w:p>
        </w:tc>
        <w:tc>
          <w:tcPr>
            <w:tcW w:w="643" w:type="pct"/>
            <w:tcBorders>
              <w:top w:val="nil"/>
              <w:left w:val="nil"/>
              <w:bottom w:val="nil"/>
              <w:right w:val="nil"/>
            </w:tcBorders>
            <w:shd w:val="clear" w:color="auto" w:fill="BFBFBF" w:themeFill="background1" w:themeFillShade="BF"/>
            <w:noWrap/>
            <w:vAlign w:val="center"/>
            <w:hideMark/>
          </w:tcPr>
          <w:p w14:paraId="36B99ADE"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750 226</w:t>
            </w:r>
          </w:p>
        </w:tc>
        <w:tc>
          <w:tcPr>
            <w:tcW w:w="579" w:type="pct"/>
            <w:tcBorders>
              <w:top w:val="nil"/>
              <w:left w:val="nil"/>
              <w:bottom w:val="nil"/>
              <w:right w:val="nil"/>
            </w:tcBorders>
            <w:shd w:val="clear" w:color="000000" w:fill="FFFFFF"/>
            <w:noWrap/>
            <w:vAlign w:val="center"/>
            <w:hideMark/>
          </w:tcPr>
          <w:p w14:paraId="0976F55E"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-89 442</w:t>
            </w:r>
          </w:p>
        </w:tc>
        <w:tc>
          <w:tcPr>
            <w:tcW w:w="406" w:type="pct"/>
            <w:tcBorders>
              <w:top w:val="nil"/>
              <w:left w:val="nil"/>
              <w:bottom w:val="nil"/>
              <w:right w:val="nil"/>
            </w:tcBorders>
            <w:shd w:val="clear" w:color="auto" w:fill="auto"/>
            <w:vAlign w:val="center"/>
            <w:hideMark/>
          </w:tcPr>
          <w:p w14:paraId="33AFCBE6"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-10,7</w:t>
            </w:r>
          </w:p>
        </w:tc>
      </w:tr>
      <w:tr w:rsidR="00EA177A" w:rsidRPr="008A6314" w14:paraId="6FE55930" w14:textId="77777777" w:rsidTr="003421E9">
        <w:trPr>
          <w:trHeight w:val="330"/>
        </w:trPr>
        <w:tc>
          <w:tcPr>
            <w:tcW w:w="1660" w:type="pct"/>
            <w:tcBorders>
              <w:top w:val="nil"/>
              <w:left w:val="nil"/>
              <w:bottom w:val="nil"/>
              <w:right w:val="nil"/>
            </w:tcBorders>
            <w:shd w:val="clear" w:color="000000" w:fill="FFFFFF"/>
            <w:vAlign w:val="center"/>
            <w:hideMark/>
          </w:tcPr>
          <w:p w14:paraId="537FCCA4" w14:textId="77777777" w:rsidR="00EA177A" w:rsidRPr="008A6314" w:rsidRDefault="00EA177A" w:rsidP="00C704A7">
            <w:pPr>
              <w:spacing w:after="0" w:line="240" w:lineRule="auto"/>
              <w:jc w:val="lef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Odvody do rozpočtu EÚ spolu</w:t>
            </w:r>
          </w:p>
        </w:tc>
        <w:tc>
          <w:tcPr>
            <w:tcW w:w="574" w:type="pct"/>
            <w:tcBorders>
              <w:top w:val="nil"/>
              <w:left w:val="nil"/>
              <w:bottom w:val="nil"/>
              <w:right w:val="nil"/>
            </w:tcBorders>
            <w:shd w:val="clear" w:color="000000" w:fill="FFFFFF"/>
            <w:noWrap/>
            <w:vAlign w:val="center"/>
            <w:hideMark/>
          </w:tcPr>
          <w:p w14:paraId="68DA8452"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725 442</w:t>
            </w:r>
          </w:p>
        </w:tc>
        <w:tc>
          <w:tcPr>
            <w:tcW w:w="574" w:type="pct"/>
            <w:tcBorders>
              <w:top w:val="nil"/>
              <w:left w:val="nil"/>
              <w:bottom w:val="nil"/>
              <w:right w:val="nil"/>
            </w:tcBorders>
            <w:shd w:val="clear" w:color="000000" w:fill="FFFFFF"/>
            <w:noWrap/>
            <w:vAlign w:val="center"/>
            <w:hideMark/>
          </w:tcPr>
          <w:p w14:paraId="22132857"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824 809</w:t>
            </w:r>
          </w:p>
        </w:tc>
        <w:tc>
          <w:tcPr>
            <w:tcW w:w="564" w:type="pct"/>
            <w:tcBorders>
              <w:top w:val="nil"/>
              <w:left w:val="nil"/>
              <w:bottom w:val="nil"/>
              <w:right w:val="nil"/>
            </w:tcBorders>
            <w:shd w:val="clear" w:color="000000" w:fill="FFFFFF"/>
            <w:noWrap/>
            <w:vAlign w:val="center"/>
            <w:hideMark/>
          </w:tcPr>
          <w:p w14:paraId="53FF5052"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935 979</w:t>
            </w:r>
          </w:p>
        </w:tc>
        <w:tc>
          <w:tcPr>
            <w:tcW w:w="643" w:type="pct"/>
            <w:tcBorders>
              <w:top w:val="nil"/>
              <w:left w:val="nil"/>
              <w:bottom w:val="nil"/>
              <w:right w:val="nil"/>
            </w:tcBorders>
            <w:shd w:val="clear" w:color="auto" w:fill="BFBFBF" w:themeFill="background1" w:themeFillShade="BF"/>
            <w:noWrap/>
            <w:vAlign w:val="center"/>
            <w:hideMark/>
          </w:tcPr>
          <w:p w14:paraId="04B934E8"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834 552</w:t>
            </w:r>
          </w:p>
        </w:tc>
        <w:tc>
          <w:tcPr>
            <w:tcW w:w="579" w:type="pct"/>
            <w:tcBorders>
              <w:top w:val="nil"/>
              <w:left w:val="nil"/>
              <w:bottom w:val="nil"/>
              <w:right w:val="nil"/>
            </w:tcBorders>
            <w:shd w:val="clear" w:color="000000" w:fill="FFFFFF"/>
            <w:vAlign w:val="center"/>
            <w:hideMark/>
          </w:tcPr>
          <w:p w14:paraId="502F56F6"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-101 427</w:t>
            </w:r>
          </w:p>
        </w:tc>
        <w:tc>
          <w:tcPr>
            <w:tcW w:w="406" w:type="pct"/>
            <w:tcBorders>
              <w:top w:val="nil"/>
              <w:left w:val="nil"/>
              <w:bottom w:val="nil"/>
              <w:right w:val="nil"/>
            </w:tcBorders>
            <w:shd w:val="clear" w:color="000000" w:fill="FFFFFF"/>
            <w:vAlign w:val="center"/>
            <w:hideMark/>
          </w:tcPr>
          <w:p w14:paraId="4327FB6D"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-10,8</w:t>
            </w:r>
          </w:p>
        </w:tc>
      </w:tr>
      <w:tr w:rsidR="00EA177A" w:rsidRPr="008A6314" w14:paraId="1082D304" w14:textId="77777777" w:rsidTr="003421E9">
        <w:trPr>
          <w:trHeight w:val="510"/>
        </w:trPr>
        <w:tc>
          <w:tcPr>
            <w:tcW w:w="1660" w:type="pct"/>
            <w:tcBorders>
              <w:top w:val="nil"/>
              <w:left w:val="nil"/>
              <w:bottom w:val="nil"/>
              <w:right w:val="nil"/>
            </w:tcBorders>
            <w:shd w:val="clear" w:color="000000" w:fill="FFFFFF"/>
            <w:vAlign w:val="center"/>
            <w:hideMark/>
          </w:tcPr>
          <w:p w14:paraId="4C9B8969" w14:textId="77777777" w:rsidR="00EA177A" w:rsidRPr="008A6314" w:rsidRDefault="00EA177A" w:rsidP="00C704A7">
            <w:pPr>
              <w:spacing w:after="0" w:line="240" w:lineRule="auto"/>
              <w:jc w:val="left"/>
              <w:rPr>
                <w:rFonts w:eastAsia="Times New Roman" w:cs="Times New Roman"/>
                <w:color w:val="000000"/>
                <w:sz w:val="18"/>
                <w:szCs w:val="18"/>
                <w:lang w:eastAsia="sk-SK"/>
              </w:rPr>
            </w:pPr>
            <w:r w:rsidRPr="008A6314">
              <w:rPr>
                <w:rFonts w:eastAsia="Times New Roman" w:cs="Times New Roman"/>
                <w:color w:val="000000"/>
                <w:sz w:val="18"/>
                <w:szCs w:val="18"/>
                <w:lang w:eastAsia="sk-SK"/>
              </w:rPr>
              <w:t>Príspevky SR do Európskeho rozvojového fondu</w:t>
            </w:r>
          </w:p>
        </w:tc>
        <w:tc>
          <w:tcPr>
            <w:tcW w:w="574" w:type="pct"/>
            <w:tcBorders>
              <w:top w:val="nil"/>
              <w:left w:val="nil"/>
              <w:bottom w:val="nil"/>
              <w:right w:val="nil"/>
            </w:tcBorders>
            <w:shd w:val="clear" w:color="000000" w:fill="FFFFFF"/>
            <w:noWrap/>
            <w:vAlign w:val="center"/>
            <w:hideMark/>
          </w:tcPr>
          <w:p w14:paraId="05F36E78"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12 603</w:t>
            </w:r>
          </w:p>
        </w:tc>
        <w:tc>
          <w:tcPr>
            <w:tcW w:w="574" w:type="pct"/>
            <w:tcBorders>
              <w:top w:val="nil"/>
              <w:left w:val="nil"/>
              <w:bottom w:val="nil"/>
              <w:right w:val="nil"/>
            </w:tcBorders>
            <w:shd w:val="clear" w:color="000000" w:fill="FFFFFF"/>
            <w:noWrap/>
            <w:vAlign w:val="center"/>
            <w:hideMark/>
          </w:tcPr>
          <w:p w14:paraId="66E1A598"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16 512</w:t>
            </w:r>
          </w:p>
        </w:tc>
        <w:tc>
          <w:tcPr>
            <w:tcW w:w="564" w:type="pct"/>
            <w:tcBorders>
              <w:top w:val="nil"/>
              <w:left w:val="nil"/>
              <w:bottom w:val="nil"/>
              <w:right w:val="nil"/>
            </w:tcBorders>
            <w:shd w:val="clear" w:color="000000" w:fill="FFFFFF"/>
            <w:noWrap/>
            <w:vAlign w:val="center"/>
            <w:hideMark/>
          </w:tcPr>
          <w:p w14:paraId="799A944D"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17 934</w:t>
            </w:r>
          </w:p>
        </w:tc>
        <w:tc>
          <w:tcPr>
            <w:tcW w:w="643" w:type="pct"/>
            <w:tcBorders>
              <w:top w:val="nil"/>
              <w:left w:val="nil"/>
              <w:bottom w:val="nil"/>
              <w:right w:val="nil"/>
            </w:tcBorders>
            <w:shd w:val="clear" w:color="auto" w:fill="BFBFBF" w:themeFill="background1" w:themeFillShade="BF"/>
            <w:noWrap/>
            <w:vAlign w:val="center"/>
            <w:hideMark/>
          </w:tcPr>
          <w:p w14:paraId="3A38573E"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17 181</w:t>
            </w:r>
          </w:p>
        </w:tc>
        <w:tc>
          <w:tcPr>
            <w:tcW w:w="579" w:type="pct"/>
            <w:tcBorders>
              <w:top w:val="nil"/>
              <w:left w:val="nil"/>
              <w:bottom w:val="nil"/>
              <w:right w:val="nil"/>
            </w:tcBorders>
            <w:shd w:val="clear" w:color="000000" w:fill="FFFFFF"/>
            <w:vAlign w:val="center"/>
            <w:hideMark/>
          </w:tcPr>
          <w:p w14:paraId="1E77B660"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-753</w:t>
            </w:r>
          </w:p>
        </w:tc>
        <w:tc>
          <w:tcPr>
            <w:tcW w:w="406" w:type="pct"/>
            <w:tcBorders>
              <w:top w:val="nil"/>
              <w:left w:val="nil"/>
              <w:bottom w:val="nil"/>
              <w:right w:val="nil"/>
            </w:tcBorders>
            <w:shd w:val="clear" w:color="000000" w:fill="FFFFFF"/>
            <w:vAlign w:val="center"/>
            <w:hideMark/>
          </w:tcPr>
          <w:p w14:paraId="719C33F9"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-4,2</w:t>
            </w:r>
          </w:p>
        </w:tc>
      </w:tr>
      <w:tr w:rsidR="00EA177A" w:rsidRPr="008A6314" w14:paraId="0B9C032C" w14:textId="77777777" w:rsidTr="003421E9">
        <w:trPr>
          <w:trHeight w:val="330"/>
        </w:trPr>
        <w:tc>
          <w:tcPr>
            <w:tcW w:w="1660" w:type="pct"/>
            <w:tcBorders>
              <w:top w:val="nil"/>
              <w:left w:val="nil"/>
              <w:bottom w:val="nil"/>
              <w:right w:val="nil"/>
            </w:tcBorders>
            <w:shd w:val="clear" w:color="000000" w:fill="FFFFFF"/>
            <w:vAlign w:val="center"/>
            <w:hideMark/>
          </w:tcPr>
          <w:p w14:paraId="05E6082A" w14:textId="77777777" w:rsidR="00EA177A" w:rsidRPr="008A6314" w:rsidRDefault="00EA177A" w:rsidP="00C704A7">
            <w:pPr>
              <w:spacing w:after="0" w:line="240" w:lineRule="auto"/>
              <w:jc w:val="lef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Odvody a príspevky SR spolu</w:t>
            </w:r>
          </w:p>
        </w:tc>
        <w:tc>
          <w:tcPr>
            <w:tcW w:w="574" w:type="pct"/>
            <w:tcBorders>
              <w:top w:val="nil"/>
              <w:left w:val="nil"/>
              <w:bottom w:val="nil"/>
              <w:right w:val="nil"/>
            </w:tcBorders>
            <w:shd w:val="clear" w:color="000000" w:fill="FFFFFF"/>
            <w:noWrap/>
            <w:vAlign w:val="center"/>
            <w:hideMark/>
          </w:tcPr>
          <w:p w14:paraId="64D3E036"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738 045</w:t>
            </w:r>
          </w:p>
        </w:tc>
        <w:tc>
          <w:tcPr>
            <w:tcW w:w="574" w:type="pct"/>
            <w:tcBorders>
              <w:top w:val="nil"/>
              <w:left w:val="nil"/>
              <w:bottom w:val="nil"/>
              <w:right w:val="nil"/>
            </w:tcBorders>
            <w:shd w:val="clear" w:color="000000" w:fill="FFFFFF"/>
            <w:noWrap/>
            <w:vAlign w:val="center"/>
            <w:hideMark/>
          </w:tcPr>
          <w:p w14:paraId="2F4D7739"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841 321</w:t>
            </w:r>
          </w:p>
        </w:tc>
        <w:tc>
          <w:tcPr>
            <w:tcW w:w="564" w:type="pct"/>
            <w:tcBorders>
              <w:top w:val="nil"/>
              <w:left w:val="nil"/>
              <w:bottom w:val="nil"/>
              <w:right w:val="nil"/>
            </w:tcBorders>
            <w:shd w:val="clear" w:color="000000" w:fill="FFFFFF"/>
            <w:noWrap/>
            <w:vAlign w:val="center"/>
            <w:hideMark/>
          </w:tcPr>
          <w:p w14:paraId="49E385FF"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953 913</w:t>
            </w:r>
          </w:p>
        </w:tc>
        <w:tc>
          <w:tcPr>
            <w:tcW w:w="643" w:type="pct"/>
            <w:tcBorders>
              <w:top w:val="nil"/>
              <w:left w:val="nil"/>
              <w:bottom w:val="nil"/>
              <w:right w:val="nil"/>
            </w:tcBorders>
            <w:shd w:val="clear" w:color="auto" w:fill="BFBFBF" w:themeFill="background1" w:themeFillShade="BF"/>
            <w:noWrap/>
            <w:vAlign w:val="center"/>
            <w:hideMark/>
          </w:tcPr>
          <w:p w14:paraId="38985BA2"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851 733</w:t>
            </w:r>
          </w:p>
        </w:tc>
        <w:tc>
          <w:tcPr>
            <w:tcW w:w="579" w:type="pct"/>
            <w:tcBorders>
              <w:top w:val="nil"/>
              <w:left w:val="nil"/>
              <w:bottom w:val="nil"/>
              <w:right w:val="nil"/>
            </w:tcBorders>
            <w:shd w:val="clear" w:color="000000" w:fill="FFFFFF"/>
            <w:vAlign w:val="center"/>
            <w:hideMark/>
          </w:tcPr>
          <w:p w14:paraId="48002114"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-102 180</w:t>
            </w:r>
          </w:p>
        </w:tc>
        <w:tc>
          <w:tcPr>
            <w:tcW w:w="406" w:type="pct"/>
            <w:tcBorders>
              <w:top w:val="nil"/>
              <w:left w:val="nil"/>
              <w:bottom w:val="nil"/>
              <w:right w:val="nil"/>
            </w:tcBorders>
            <w:shd w:val="clear" w:color="000000" w:fill="FFFFFF"/>
            <w:vAlign w:val="center"/>
            <w:hideMark/>
          </w:tcPr>
          <w:p w14:paraId="4801E431"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-10,7</w:t>
            </w:r>
          </w:p>
        </w:tc>
      </w:tr>
      <w:tr w:rsidR="00EA177A" w:rsidRPr="008A6314" w14:paraId="7C3D7B20" w14:textId="77777777" w:rsidTr="003421E9">
        <w:trPr>
          <w:trHeight w:val="330"/>
        </w:trPr>
        <w:tc>
          <w:tcPr>
            <w:tcW w:w="1660" w:type="pct"/>
            <w:tcBorders>
              <w:top w:val="nil"/>
              <w:left w:val="nil"/>
              <w:bottom w:val="nil"/>
              <w:right w:val="nil"/>
            </w:tcBorders>
            <w:shd w:val="clear" w:color="000000" w:fill="FFFFFF"/>
            <w:vAlign w:val="center"/>
            <w:hideMark/>
          </w:tcPr>
          <w:p w14:paraId="7B325A84" w14:textId="77777777" w:rsidR="00EA177A" w:rsidRPr="008A6314" w:rsidRDefault="00EA177A" w:rsidP="00C704A7">
            <w:pPr>
              <w:spacing w:after="0" w:line="240" w:lineRule="auto"/>
              <w:jc w:val="left"/>
              <w:rPr>
                <w:rFonts w:eastAsia="Times New Roman" w:cs="Times New Roman"/>
                <w:color w:val="000000"/>
                <w:sz w:val="18"/>
                <w:szCs w:val="18"/>
                <w:lang w:eastAsia="sk-SK"/>
              </w:rPr>
            </w:pPr>
            <w:r w:rsidRPr="008A6314">
              <w:rPr>
                <w:rFonts w:eastAsia="Times New Roman" w:cs="Times New Roman"/>
                <w:color w:val="000000"/>
                <w:sz w:val="18"/>
                <w:szCs w:val="18"/>
                <w:lang w:eastAsia="sk-SK"/>
              </w:rPr>
              <w:t>Zahraničné transfery</w:t>
            </w:r>
          </w:p>
        </w:tc>
        <w:tc>
          <w:tcPr>
            <w:tcW w:w="574" w:type="pct"/>
            <w:tcBorders>
              <w:top w:val="nil"/>
              <w:left w:val="nil"/>
              <w:bottom w:val="nil"/>
              <w:right w:val="nil"/>
            </w:tcBorders>
            <w:shd w:val="clear" w:color="000000" w:fill="FFFFFF"/>
            <w:noWrap/>
            <w:vAlign w:val="center"/>
            <w:hideMark/>
          </w:tcPr>
          <w:p w14:paraId="55C7683F"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1 422 488</w:t>
            </w:r>
          </w:p>
        </w:tc>
        <w:tc>
          <w:tcPr>
            <w:tcW w:w="574" w:type="pct"/>
            <w:tcBorders>
              <w:top w:val="nil"/>
              <w:left w:val="nil"/>
              <w:bottom w:val="nil"/>
              <w:right w:val="nil"/>
            </w:tcBorders>
            <w:shd w:val="clear" w:color="000000" w:fill="FFFFFF"/>
            <w:noWrap/>
            <w:vAlign w:val="center"/>
            <w:hideMark/>
          </w:tcPr>
          <w:p w14:paraId="5DF7211C"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2 169 725</w:t>
            </w:r>
          </w:p>
        </w:tc>
        <w:tc>
          <w:tcPr>
            <w:tcW w:w="564" w:type="pct"/>
            <w:tcBorders>
              <w:top w:val="nil"/>
              <w:left w:val="nil"/>
              <w:bottom w:val="nil"/>
              <w:right w:val="nil"/>
            </w:tcBorders>
            <w:shd w:val="clear" w:color="000000" w:fill="FFFFFF"/>
            <w:noWrap/>
            <w:vAlign w:val="center"/>
            <w:hideMark/>
          </w:tcPr>
          <w:p w14:paraId="6CBE2269"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1 665 041</w:t>
            </w:r>
          </w:p>
        </w:tc>
        <w:tc>
          <w:tcPr>
            <w:tcW w:w="643" w:type="pct"/>
            <w:tcBorders>
              <w:top w:val="nil"/>
              <w:left w:val="nil"/>
              <w:bottom w:val="nil"/>
              <w:right w:val="nil"/>
            </w:tcBorders>
            <w:shd w:val="clear" w:color="auto" w:fill="BFBFBF" w:themeFill="background1" w:themeFillShade="BF"/>
            <w:noWrap/>
            <w:vAlign w:val="center"/>
            <w:hideMark/>
          </w:tcPr>
          <w:p w14:paraId="553AFDEB"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2 126 921</w:t>
            </w:r>
          </w:p>
        </w:tc>
        <w:tc>
          <w:tcPr>
            <w:tcW w:w="579" w:type="pct"/>
            <w:tcBorders>
              <w:top w:val="nil"/>
              <w:left w:val="nil"/>
              <w:bottom w:val="nil"/>
              <w:right w:val="nil"/>
            </w:tcBorders>
            <w:shd w:val="clear" w:color="000000" w:fill="FFFFFF"/>
            <w:vAlign w:val="center"/>
            <w:hideMark/>
          </w:tcPr>
          <w:p w14:paraId="532C103D"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461 880</w:t>
            </w:r>
          </w:p>
        </w:tc>
        <w:tc>
          <w:tcPr>
            <w:tcW w:w="406" w:type="pct"/>
            <w:tcBorders>
              <w:top w:val="nil"/>
              <w:left w:val="nil"/>
              <w:bottom w:val="nil"/>
              <w:right w:val="nil"/>
            </w:tcBorders>
            <w:shd w:val="clear" w:color="000000" w:fill="FFFFFF"/>
            <w:vAlign w:val="center"/>
            <w:hideMark/>
          </w:tcPr>
          <w:p w14:paraId="5C77D544"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27,7</w:t>
            </w:r>
          </w:p>
        </w:tc>
      </w:tr>
      <w:tr w:rsidR="00EA177A" w:rsidRPr="008A6314" w14:paraId="5D5FE519" w14:textId="77777777" w:rsidTr="003421E9">
        <w:trPr>
          <w:trHeight w:val="330"/>
        </w:trPr>
        <w:tc>
          <w:tcPr>
            <w:tcW w:w="1660" w:type="pct"/>
            <w:tcBorders>
              <w:top w:val="nil"/>
              <w:left w:val="nil"/>
              <w:bottom w:val="nil"/>
              <w:right w:val="nil"/>
            </w:tcBorders>
            <w:shd w:val="clear" w:color="000000" w:fill="FFFFFF"/>
            <w:vAlign w:val="center"/>
            <w:hideMark/>
          </w:tcPr>
          <w:p w14:paraId="5DA96A44" w14:textId="77777777" w:rsidR="00EA177A" w:rsidRPr="008A6314" w:rsidRDefault="00EA177A" w:rsidP="00C704A7">
            <w:pPr>
              <w:spacing w:after="0" w:line="240" w:lineRule="auto"/>
              <w:jc w:val="left"/>
              <w:rPr>
                <w:rFonts w:eastAsia="Times New Roman" w:cs="Times New Roman"/>
                <w:color w:val="000000"/>
                <w:sz w:val="18"/>
                <w:szCs w:val="18"/>
                <w:lang w:eastAsia="sk-SK"/>
              </w:rPr>
            </w:pPr>
            <w:r w:rsidRPr="008A6314">
              <w:rPr>
                <w:rFonts w:eastAsia="Times New Roman" w:cs="Times New Roman"/>
                <w:color w:val="000000"/>
                <w:sz w:val="18"/>
                <w:szCs w:val="18"/>
                <w:lang w:eastAsia="sk-SK"/>
              </w:rPr>
              <w:t>Zahraničné granty z rozpočtu EÚ</w:t>
            </w:r>
          </w:p>
        </w:tc>
        <w:tc>
          <w:tcPr>
            <w:tcW w:w="574" w:type="pct"/>
            <w:tcBorders>
              <w:top w:val="nil"/>
              <w:left w:val="nil"/>
              <w:bottom w:val="nil"/>
              <w:right w:val="nil"/>
            </w:tcBorders>
            <w:shd w:val="clear" w:color="000000" w:fill="FFFFFF"/>
            <w:noWrap/>
            <w:vAlign w:val="center"/>
            <w:hideMark/>
          </w:tcPr>
          <w:p w14:paraId="475EA56B"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3 084</w:t>
            </w:r>
          </w:p>
        </w:tc>
        <w:tc>
          <w:tcPr>
            <w:tcW w:w="574" w:type="pct"/>
            <w:tcBorders>
              <w:top w:val="nil"/>
              <w:left w:val="nil"/>
              <w:bottom w:val="nil"/>
              <w:right w:val="nil"/>
            </w:tcBorders>
            <w:shd w:val="clear" w:color="000000" w:fill="FFFFFF"/>
            <w:noWrap/>
            <w:vAlign w:val="center"/>
            <w:hideMark/>
          </w:tcPr>
          <w:p w14:paraId="14FCD73C"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7</w:t>
            </w:r>
          </w:p>
        </w:tc>
        <w:tc>
          <w:tcPr>
            <w:tcW w:w="564" w:type="pct"/>
            <w:tcBorders>
              <w:top w:val="nil"/>
              <w:left w:val="nil"/>
              <w:bottom w:val="nil"/>
              <w:right w:val="nil"/>
            </w:tcBorders>
            <w:shd w:val="clear" w:color="000000" w:fill="FFFFFF"/>
            <w:noWrap/>
            <w:vAlign w:val="center"/>
            <w:hideMark/>
          </w:tcPr>
          <w:p w14:paraId="42D9D8B6"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0</w:t>
            </w:r>
          </w:p>
        </w:tc>
        <w:tc>
          <w:tcPr>
            <w:tcW w:w="643" w:type="pct"/>
            <w:tcBorders>
              <w:top w:val="nil"/>
              <w:left w:val="nil"/>
              <w:bottom w:val="nil"/>
              <w:right w:val="nil"/>
            </w:tcBorders>
            <w:shd w:val="clear" w:color="auto" w:fill="BFBFBF" w:themeFill="background1" w:themeFillShade="BF"/>
            <w:noWrap/>
            <w:vAlign w:val="center"/>
            <w:hideMark/>
          </w:tcPr>
          <w:p w14:paraId="3A5B95A2"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22</w:t>
            </w:r>
          </w:p>
        </w:tc>
        <w:tc>
          <w:tcPr>
            <w:tcW w:w="579" w:type="pct"/>
            <w:tcBorders>
              <w:top w:val="nil"/>
              <w:left w:val="nil"/>
              <w:bottom w:val="nil"/>
              <w:right w:val="nil"/>
            </w:tcBorders>
            <w:shd w:val="clear" w:color="000000" w:fill="FFFFFF"/>
            <w:vAlign w:val="center"/>
            <w:hideMark/>
          </w:tcPr>
          <w:p w14:paraId="668847AF"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22</w:t>
            </w:r>
          </w:p>
        </w:tc>
        <w:tc>
          <w:tcPr>
            <w:tcW w:w="406" w:type="pct"/>
            <w:tcBorders>
              <w:top w:val="nil"/>
              <w:left w:val="nil"/>
              <w:bottom w:val="nil"/>
              <w:right w:val="nil"/>
            </w:tcBorders>
            <w:shd w:val="clear" w:color="000000" w:fill="FFFFFF"/>
            <w:vAlign w:val="center"/>
            <w:hideMark/>
          </w:tcPr>
          <w:p w14:paraId="1532EAA1" w14:textId="77777777" w:rsidR="00EA177A" w:rsidRPr="008A6314" w:rsidRDefault="00EA177A" w:rsidP="00C704A7">
            <w:pPr>
              <w:spacing w:after="0" w:line="240" w:lineRule="auto"/>
              <w:jc w:val="right"/>
              <w:rPr>
                <w:rFonts w:eastAsia="Times New Roman" w:cs="Times New Roman"/>
                <w:color w:val="000000"/>
                <w:sz w:val="18"/>
                <w:szCs w:val="18"/>
                <w:lang w:eastAsia="sk-SK"/>
              </w:rPr>
            </w:pPr>
            <w:r w:rsidRPr="008A6314">
              <w:rPr>
                <w:rFonts w:eastAsia="Times New Roman" w:cs="Times New Roman"/>
                <w:color w:val="000000"/>
                <w:sz w:val="18"/>
                <w:szCs w:val="18"/>
                <w:lang w:eastAsia="sk-SK"/>
              </w:rPr>
              <w:t>-</w:t>
            </w:r>
          </w:p>
        </w:tc>
      </w:tr>
      <w:tr w:rsidR="00EA177A" w:rsidRPr="008A6314" w14:paraId="0907EFCD" w14:textId="77777777" w:rsidTr="003421E9">
        <w:trPr>
          <w:trHeight w:val="330"/>
        </w:trPr>
        <w:tc>
          <w:tcPr>
            <w:tcW w:w="1660" w:type="pct"/>
            <w:tcBorders>
              <w:top w:val="nil"/>
              <w:left w:val="nil"/>
              <w:bottom w:val="nil"/>
              <w:right w:val="nil"/>
            </w:tcBorders>
            <w:shd w:val="clear" w:color="000000" w:fill="FFFFFF"/>
            <w:vAlign w:val="center"/>
            <w:hideMark/>
          </w:tcPr>
          <w:p w14:paraId="42E4DC47" w14:textId="77777777" w:rsidR="00EA177A" w:rsidRPr="008A6314" w:rsidRDefault="00EA177A" w:rsidP="00C704A7">
            <w:pPr>
              <w:spacing w:after="0" w:line="240" w:lineRule="auto"/>
              <w:jc w:val="lef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Spolu príjmy z rozpočtu EÚ</w:t>
            </w:r>
          </w:p>
        </w:tc>
        <w:tc>
          <w:tcPr>
            <w:tcW w:w="574" w:type="pct"/>
            <w:tcBorders>
              <w:top w:val="nil"/>
              <w:left w:val="nil"/>
              <w:bottom w:val="nil"/>
              <w:right w:val="nil"/>
            </w:tcBorders>
            <w:shd w:val="clear" w:color="000000" w:fill="FFFFFF"/>
            <w:noWrap/>
            <w:vAlign w:val="center"/>
            <w:hideMark/>
          </w:tcPr>
          <w:p w14:paraId="60E374B8"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1 425 572</w:t>
            </w:r>
          </w:p>
        </w:tc>
        <w:tc>
          <w:tcPr>
            <w:tcW w:w="574" w:type="pct"/>
            <w:tcBorders>
              <w:top w:val="nil"/>
              <w:left w:val="nil"/>
              <w:bottom w:val="nil"/>
              <w:right w:val="nil"/>
            </w:tcBorders>
            <w:shd w:val="clear" w:color="000000" w:fill="FFFFFF"/>
            <w:noWrap/>
            <w:vAlign w:val="center"/>
            <w:hideMark/>
          </w:tcPr>
          <w:p w14:paraId="1101AA63"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2 169 732</w:t>
            </w:r>
          </w:p>
        </w:tc>
        <w:tc>
          <w:tcPr>
            <w:tcW w:w="564" w:type="pct"/>
            <w:tcBorders>
              <w:top w:val="nil"/>
              <w:left w:val="nil"/>
              <w:bottom w:val="nil"/>
              <w:right w:val="nil"/>
            </w:tcBorders>
            <w:shd w:val="clear" w:color="000000" w:fill="FFFFFF"/>
            <w:noWrap/>
            <w:vAlign w:val="center"/>
            <w:hideMark/>
          </w:tcPr>
          <w:p w14:paraId="07F24EE4"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1 665 041</w:t>
            </w:r>
          </w:p>
        </w:tc>
        <w:tc>
          <w:tcPr>
            <w:tcW w:w="643" w:type="pct"/>
            <w:tcBorders>
              <w:top w:val="nil"/>
              <w:left w:val="nil"/>
              <w:bottom w:val="nil"/>
              <w:right w:val="nil"/>
            </w:tcBorders>
            <w:shd w:val="clear" w:color="auto" w:fill="BFBFBF" w:themeFill="background1" w:themeFillShade="BF"/>
            <w:noWrap/>
            <w:vAlign w:val="center"/>
            <w:hideMark/>
          </w:tcPr>
          <w:p w14:paraId="75C939C5"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2 126 943</w:t>
            </w:r>
          </w:p>
        </w:tc>
        <w:tc>
          <w:tcPr>
            <w:tcW w:w="579" w:type="pct"/>
            <w:tcBorders>
              <w:top w:val="nil"/>
              <w:left w:val="nil"/>
              <w:bottom w:val="nil"/>
              <w:right w:val="nil"/>
            </w:tcBorders>
            <w:shd w:val="clear" w:color="000000" w:fill="FFFFFF"/>
            <w:vAlign w:val="center"/>
            <w:hideMark/>
          </w:tcPr>
          <w:p w14:paraId="43BA3C91"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461 902</w:t>
            </w:r>
          </w:p>
        </w:tc>
        <w:tc>
          <w:tcPr>
            <w:tcW w:w="406" w:type="pct"/>
            <w:tcBorders>
              <w:top w:val="nil"/>
              <w:left w:val="nil"/>
              <w:bottom w:val="nil"/>
              <w:right w:val="nil"/>
            </w:tcBorders>
            <w:shd w:val="clear" w:color="000000" w:fill="FFFFFF"/>
            <w:vAlign w:val="center"/>
            <w:hideMark/>
          </w:tcPr>
          <w:p w14:paraId="5AB26635"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27,7</w:t>
            </w:r>
          </w:p>
        </w:tc>
      </w:tr>
      <w:tr w:rsidR="00EA177A" w:rsidRPr="008A6314" w14:paraId="60B8F326" w14:textId="77777777" w:rsidTr="003421E9">
        <w:trPr>
          <w:trHeight w:val="345"/>
        </w:trPr>
        <w:tc>
          <w:tcPr>
            <w:tcW w:w="1660" w:type="pct"/>
            <w:tcBorders>
              <w:top w:val="single" w:sz="4" w:space="0" w:color="auto"/>
              <w:left w:val="nil"/>
              <w:bottom w:val="single" w:sz="8" w:space="0" w:color="auto"/>
              <w:right w:val="nil"/>
            </w:tcBorders>
            <w:shd w:val="clear" w:color="000000" w:fill="FFFFFF"/>
            <w:vAlign w:val="center"/>
            <w:hideMark/>
          </w:tcPr>
          <w:p w14:paraId="10873835" w14:textId="77777777" w:rsidR="00EA177A" w:rsidRPr="008A6314" w:rsidRDefault="00EA177A" w:rsidP="00C704A7">
            <w:pPr>
              <w:spacing w:after="0" w:line="240" w:lineRule="auto"/>
              <w:jc w:val="lef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Čistá finančná pozícia</w:t>
            </w:r>
          </w:p>
        </w:tc>
        <w:tc>
          <w:tcPr>
            <w:tcW w:w="574" w:type="pct"/>
            <w:tcBorders>
              <w:top w:val="single" w:sz="4" w:space="0" w:color="auto"/>
              <w:left w:val="nil"/>
              <w:bottom w:val="single" w:sz="8" w:space="0" w:color="auto"/>
              <w:right w:val="nil"/>
            </w:tcBorders>
            <w:shd w:val="clear" w:color="000000" w:fill="FFFFFF"/>
            <w:noWrap/>
            <w:vAlign w:val="center"/>
            <w:hideMark/>
          </w:tcPr>
          <w:p w14:paraId="2E840D97"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687 527</w:t>
            </w:r>
          </w:p>
        </w:tc>
        <w:tc>
          <w:tcPr>
            <w:tcW w:w="574" w:type="pct"/>
            <w:tcBorders>
              <w:top w:val="single" w:sz="4" w:space="0" w:color="auto"/>
              <w:left w:val="nil"/>
              <w:bottom w:val="single" w:sz="8" w:space="0" w:color="auto"/>
              <w:right w:val="nil"/>
            </w:tcBorders>
            <w:shd w:val="clear" w:color="000000" w:fill="FFFFFF"/>
            <w:noWrap/>
            <w:vAlign w:val="center"/>
            <w:hideMark/>
          </w:tcPr>
          <w:p w14:paraId="1B0A2682"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1 328 411</w:t>
            </w:r>
          </w:p>
        </w:tc>
        <w:tc>
          <w:tcPr>
            <w:tcW w:w="564" w:type="pct"/>
            <w:tcBorders>
              <w:top w:val="single" w:sz="4" w:space="0" w:color="auto"/>
              <w:left w:val="nil"/>
              <w:bottom w:val="single" w:sz="8" w:space="0" w:color="auto"/>
              <w:right w:val="nil"/>
            </w:tcBorders>
            <w:shd w:val="clear" w:color="000000" w:fill="FFFFFF"/>
            <w:noWrap/>
            <w:vAlign w:val="center"/>
            <w:hideMark/>
          </w:tcPr>
          <w:p w14:paraId="6F741C18"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711 128</w:t>
            </w:r>
          </w:p>
        </w:tc>
        <w:tc>
          <w:tcPr>
            <w:tcW w:w="643" w:type="pct"/>
            <w:tcBorders>
              <w:top w:val="single" w:sz="4" w:space="0" w:color="auto"/>
              <w:left w:val="nil"/>
              <w:bottom w:val="single" w:sz="8" w:space="0" w:color="auto"/>
              <w:right w:val="nil"/>
            </w:tcBorders>
            <w:shd w:val="clear" w:color="auto" w:fill="BFBFBF" w:themeFill="background1" w:themeFillShade="BF"/>
            <w:noWrap/>
            <w:vAlign w:val="center"/>
            <w:hideMark/>
          </w:tcPr>
          <w:p w14:paraId="5466C0E0"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1 275 210</w:t>
            </w:r>
          </w:p>
        </w:tc>
        <w:tc>
          <w:tcPr>
            <w:tcW w:w="579" w:type="pct"/>
            <w:tcBorders>
              <w:top w:val="single" w:sz="4" w:space="0" w:color="auto"/>
              <w:left w:val="nil"/>
              <w:bottom w:val="single" w:sz="8" w:space="0" w:color="auto"/>
              <w:right w:val="nil"/>
            </w:tcBorders>
            <w:shd w:val="clear" w:color="000000" w:fill="FFFFFF"/>
            <w:noWrap/>
            <w:vAlign w:val="center"/>
            <w:hideMark/>
          </w:tcPr>
          <w:p w14:paraId="05022A78"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564 082</w:t>
            </w:r>
          </w:p>
        </w:tc>
        <w:tc>
          <w:tcPr>
            <w:tcW w:w="406" w:type="pct"/>
            <w:tcBorders>
              <w:top w:val="single" w:sz="4" w:space="0" w:color="auto"/>
              <w:left w:val="nil"/>
              <w:bottom w:val="single" w:sz="8" w:space="0" w:color="auto"/>
              <w:right w:val="nil"/>
            </w:tcBorders>
            <w:shd w:val="clear" w:color="000000" w:fill="FFFFFF"/>
            <w:noWrap/>
            <w:vAlign w:val="center"/>
            <w:hideMark/>
          </w:tcPr>
          <w:p w14:paraId="3F23EFF2" w14:textId="77777777" w:rsidR="00EA177A" w:rsidRPr="008A6314" w:rsidRDefault="00EA177A" w:rsidP="00C704A7">
            <w:pPr>
              <w:spacing w:after="0" w:line="240" w:lineRule="auto"/>
              <w:jc w:val="right"/>
              <w:rPr>
                <w:rFonts w:eastAsia="Times New Roman" w:cs="Times New Roman"/>
                <w:b/>
                <w:bCs/>
                <w:color w:val="000000"/>
                <w:sz w:val="18"/>
                <w:szCs w:val="18"/>
                <w:lang w:eastAsia="sk-SK"/>
              </w:rPr>
            </w:pPr>
            <w:r w:rsidRPr="008A6314">
              <w:rPr>
                <w:rFonts w:eastAsia="Times New Roman" w:cs="Times New Roman"/>
                <w:b/>
                <w:bCs/>
                <w:color w:val="000000"/>
                <w:sz w:val="18"/>
                <w:szCs w:val="18"/>
                <w:lang w:eastAsia="sk-SK"/>
              </w:rPr>
              <w:t>79,3</w:t>
            </w:r>
          </w:p>
        </w:tc>
      </w:tr>
    </w:tbl>
    <w:p w14:paraId="3254E9A6" w14:textId="77777777" w:rsidR="00EA177A" w:rsidRPr="00CC1188" w:rsidRDefault="00EA177A" w:rsidP="00EA177A">
      <w:pPr>
        <w:pStyle w:val="Zkladntext1"/>
        <w:tabs>
          <w:tab w:val="left" w:pos="-5103"/>
          <w:tab w:val="left" w:pos="-4962"/>
          <w:tab w:val="left" w:pos="-4820"/>
        </w:tabs>
        <w:spacing w:after="120" w:line="360" w:lineRule="auto"/>
        <w:jc w:val="right"/>
        <w:rPr>
          <w:sz w:val="18"/>
          <w:szCs w:val="18"/>
        </w:rPr>
      </w:pPr>
      <w:proofErr w:type="spellStart"/>
      <w:r w:rsidRPr="00CC1188">
        <w:rPr>
          <w:sz w:val="18"/>
          <w:szCs w:val="18"/>
        </w:rPr>
        <w:t>Zdroj</w:t>
      </w:r>
      <w:proofErr w:type="spellEnd"/>
      <w:r w:rsidRPr="00CC1188">
        <w:rPr>
          <w:sz w:val="18"/>
          <w:szCs w:val="18"/>
        </w:rPr>
        <w:t>: MF SR</w:t>
      </w:r>
    </w:p>
    <w:p w14:paraId="7E944DE8" w14:textId="77777777" w:rsidR="00EA177A" w:rsidRPr="00784137" w:rsidRDefault="00EA177A" w:rsidP="00EA177A">
      <w:pPr>
        <w:pStyle w:val="Zkladntext1"/>
        <w:tabs>
          <w:tab w:val="left" w:pos="-5103"/>
          <w:tab w:val="left" w:pos="-4962"/>
          <w:tab w:val="left" w:pos="-4820"/>
        </w:tabs>
        <w:spacing w:after="120" w:line="336" w:lineRule="auto"/>
        <w:jc w:val="both"/>
        <w:rPr>
          <w:rFonts w:ascii="Times New Roman" w:hAnsi="Times New Roman"/>
          <w:color w:val="auto"/>
          <w:sz w:val="22"/>
          <w:szCs w:val="22"/>
          <w:lang w:val="sk-SK"/>
        </w:rPr>
      </w:pPr>
      <w:r w:rsidRPr="00784137">
        <w:rPr>
          <w:rFonts w:ascii="Times New Roman" w:hAnsi="Times New Roman"/>
          <w:b/>
          <w:i/>
          <w:sz w:val="22"/>
          <w:szCs w:val="22"/>
          <w:lang w:val="sk-SK"/>
        </w:rPr>
        <w:t>Odvody za tradičné vlastné zdroje</w:t>
      </w:r>
      <w:r w:rsidRPr="00784137">
        <w:rPr>
          <w:rFonts w:ascii="Times New Roman" w:hAnsi="Times New Roman"/>
          <w:color w:val="auto"/>
          <w:lang w:val="sk-SK"/>
        </w:rPr>
        <w:t xml:space="preserve"> </w:t>
      </w:r>
      <w:r w:rsidRPr="00784137">
        <w:rPr>
          <w:rFonts w:ascii="Times New Roman" w:hAnsi="Times New Roman"/>
          <w:color w:val="auto"/>
          <w:sz w:val="22"/>
          <w:szCs w:val="22"/>
          <w:lang w:val="sk-SK"/>
        </w:rPr>
        <w:t>(80 % z výberu cla a odvodov a poplatkov v sektore cukru) boli rozpočtované v sume 96 311 tis. eur. V priebehu roka 2019 Slovenská republika odviedla 84 32</w:t>
      </w:r>
      <w:r>
        <w:rPr>
          <w:rFonts w:ascii="Times New Roman" w:hAnsi="Times New Roman"/>
          <w:color w:val="auto"/>
          <w:sz w:val="22"/>
          <w:szCs w:val="22"/>
          <w:lang w:val="sk-SK"/>
        </w:rPr>
        <w:t>6 tis. eur.</w:t>
      </w:r>
    </w:p>
    <w:p w14:paraId="1A7DBDDC" w14:textId="77777777" w:rsidR="00EA177A" w:rsidRPr="00784137" w:rsidRDefault="00EA177A" w:rsidP="00EA177A">
      <w:pPr>
        <w:pStyle w:val="Zkladntext1"/>
        <w:tabs>
          <w:tab w:val="left" w:pos="-5103"/>
          <w:tab w:val="left" w:pos="-4962"/>
          <w:tab w:val="left" w:pos="-4820"/>
        </w:tabs>
        <w:spacing w:after="120" w:line="336" w:lineRule="auto"/>
        <w:jc w:val="both"/>
        <w:rPr>
          <w:rFonts w:ascii="Times New Roman" w:hAnsi="Times New Roman"/>
          <w:sz w:val="22"/>
          <w:szCs w:val="22"/>
          <w:lang w:val="sk-SK"/>
        </w:rPr>
      </w:pPr>
      <w:r w:rsidRPr="00784137">
        <w:rPr>
          <w:rFonts w:ascii="Times New Roman" w:hAnsi="Times New Roman"/>
          <w:b/>
          <w:i/>
          <w:sz w:val="22"/>
          <w:szCs w:val="22"/>
          <w:lang w:val="sk-SK"/>
        </w:rPr>
        <w:t>Ostatné odvody do rozpočtu EÚ</w:t>
      </w:r>
      <w:r w:rsidRPr="00784137">
        <w:rPr>
          <w:rFonts w:ascii="Times New Roman" w:hAnsi="Times New Roman"/>
          <w:sz w:val="22"/>
          <w:szCs w:val="22"/>
          <w:lang w:val="sk-SK"/>
        </w:rPr>
        <w:t xml:space="preserve"> (zdroj založený na DPH, zdroj založený na HND, podiel SR na korekcii Veľkej Británie, podiel SR na ko</w:t>
      </w:r>
      <w:r>
        <w:rPr>
          <w:rFonts w:ascii="Times New Roman" w:hAnsi="Times New Roman"/>
          <w:sz w:val="22"/>
          <w:szCs w:val="22"/>
          <w:lang w:val="sk-SK"/>
        </w:rPr>
        <w:t xml:space="preserve">rekciách pre Dánsko, Holandsko </w:t>
      </w:r>
      <w:r w:rsidRPr="00784137">
        <w:rPr>
          <w:rFonts w:ascii="Times New Roman" w:hAnsi="Times New Roman"/>
          <w:sz w:val="22"/>
          <w:szCs w:val="22"/>
          <w:lang w:val="sk-SK"/>
        </w:rPr>
        <w:t>a Švédsko) boli rozpočtované v sume 839 668 tis. eur, v priebehu roka boli znížené na sumu 760 000 ti</w:t>
      </w:r>
      <w:r>
        <w:rPr>
          <w:rFonts w:ascii="Times New Roman" w:hAnsi="Times New Roman"/>
          <w:sz w:val="22"/>
          <w:szCs w:val="22"/>
          <w:lang w:val="sk-SK"/>
        </w:rPr>
        <w:t xml:space="preserve">s. eur. Konečný odvod vlastných </w:t>
      </w:r>
      <w:r w:rsidRPr="00784137">
        <w:rPr>
          <w:rFonts w:ascii="Times New Roman" w:hAnsi="Times New Roman"/>
          <w:sz w:val="22"/>
          <w:szCs w:val="22"/>
          <w:lang w:val="sk-SK"/>
        </w:rPr>
        <w:t>zdrojov predstavoval sumu 750 226 tis. eur.</w:t>
      </w:r>
    </w:p>
    <w:p w14:paraId="64E96F12" w14:textId="77777777" w:rsidR="00EA177A" w:rsidRPr="00411790" w:rsidRDefault="00EA177A" w:rsidP="00EA177A">
      <w:r w:rsidRPr="00784137">
        <w:rPr>
          <w:b/>
          <w:i/>
          <w:color w:val="000000"/>
        </w:rPr>
        <w:t>Príspevky Slovenskej republiky do Európskeho rozvojového fondu</w:t>
      </w:r>
      <w:r w:rsidRPr="00784137">
        <w:rPr>
          <w:color w:val="000000"/>
        </w:rPr>
        <w:t xml:space="preserve"> boli rozpočtované v sume 17 934 tis. eur, poukázané finančné prostrie</w:t>
      </w:r>
      <w:r>
        <w:rPr>
          <w:color w:val="000000"/>
        </w:rPr>
        <w:t>dky boli v sume 17 181 tis. eur.</w:t>
      </w:r>
    </w:p>
    <w:p w14:paraId="390C0F27" w14:textId="77777777" w:rsidR="00606726" w:rsidRDefault="00606726">
      <w:pPr>
        <w:spacing w:after="160" w:line="259" w:lineRule="auto"/>
        <w:jc w:val="left"/>
        <w:rPr>
          <w:rFonts w:eastAsia="Times New Roman" w:cs="Times New Roman"/>
          <w:color w:val="000000"/>
          <w:lang w:eastAsia="sk-SK"/>
        </w:rPr>
      </w:pPr>
      <w:r>
        <w:br w:type="page"/>
      </w:r>
    </w:p>
    <w:p w14:paraId="6A56F0AF" w14:textId="7A2A04EE" w:rsidR="00EA177A" w:rsidRDefault="00EA177A" w:rsidP="00EA177A">
      <w:pPr>
        <w:pStyle w:val="Zkladntext1"/>
        <w:tabs>
          <w:tab w:val="left" w:pos="-5103"/>
          <w:tab w:val="left" w:pos="-4962"/>
          <w:tab w:val="left" w:pos="-4820"/>
        </w:tabs>
        <w:spacing w:after="120" w:line="336" w:lineRule="auto"/>
        <w:jc w:val="both"/>
      </w:pPr>
      <w:r w:rsidRPr="00A42FEA">
        <w:rPr>
          <w:rFonts w:ascii="Times New Roman" w:hAnsi="Times New Roman"/>
          <w:sz w:val="22"/>
          <w:szCs w:val="22"/>
          <w:lang w:val="sk-SK"/>
        </w:rPr>
        <w:t>Na základe realizovaných príjmov z rozpočtu EÚ v roku 2019 vo výške 2 126 9</w:t>
      </w:r>
      <w:r>
        <w:rPr>
          <w:rFonts w:ascii="Times New Roman" w:hAnsi="Times New Roman"/>
          <w:sz w:val="22"/>
          <w:szCs w:val="22"/>
          <w:lang w:val="sk-SK"/>
        </w:rPr>
        <w:t>43</w:t>
      </w:r>
      <w:r w:rsidRPr="00A42FEA">
        <w:rPr>
          <w:rFonts w:ascii="Times New Roman" w:hAnsi="Times New Roman"/>
          <w:sz w:val="22"/>
          <w:szCs w:val="22"/>
          <w:lang w:val="sk-SK"/>
        </w:rPr>
        <w:t xml:space="preserve"> tis. eur a odvodov a príspevkov do všeobecného rozpočtu EÚ vo výške 851 733 tis. eur predstavuje </w:t>
      </w:r>
      <w:r w:rsidRPr="00A42FEA">
        <w:rPr>
          <w:rFonts w:ascii="Times New Roman" w:hAnsi="Times New Roman"/>
          <w:b/>
          <w:sz w:val="22"/>
          <w:szCs w:val="22"/>
          <w:lang w:val="sk-SK"/>
        </w:rPr>
        <w:t xml:space="preserve">čistá finančná pozícia Slovenskej republiky voči rozpočtu EÚ za rok 2019 sumu 1 275 </w:t>
      </w:r>
      <w:r>
        <w:rPr>
          <w:rFonts w:ascii="Times New Roman" w:hAnsi="Times New Roman"/>
          <w:b/>
          <w:sz w:val="22"/>
          <w:szCs w:val="22"/>
          <w:lang w:val="sk-SK"/>
        </w:rPr>
        <w:t>210</w:t>
      </w:r>
      <w:r w:rsidRPr="00A42FEA">
        <w:rPr>
          <w:rFonts w:ascii="Times New Roman" w:hAnsi="Times New Roman"/>
          <w:b/>
          <w:sz w:val="22"/>
          <w:szCs w:val="22"/>
          <w:lang w:val="sk-SK"/>
        </w:rPr>
        <w:t xml:space="preserve"> tis. eur</w:t>
      </w:r>
      <w:r w:rsidRPr="00A42FEA">
        <w:rPr>
          <w:rFonts w:ascii="Times New Roman" w:hAnsi="Times New Roman"/>
          <w:sz w:val="22"/>
          <w:szCs w:val="22"/>
          <w:lang w:val="sk-SK"/>
        </w:rPr>
        <w:t>, čo predstavuje medziročný pokles o 53 2</w:t>
      </w:r>
      <w:r>
        <w:rPr>
          <w:rFonts w:ascii="Times New Roman" w:hAnsi="Times New Roman"/>
          <w:sz w:val="22"/>
          <w:szCs w:val="22"/>
          <w:lang w:val="sk-SK"/>
        </w:rPr>
        <w:t>01</w:t>
      </w:r>
      <w:r w:rsidRPr="00A42FEA">
        <w:rPr>
          <w:rFonts w:ascii="Times New Roman" w:hAnsi="Times New Roman"/>
          <w:sz w:val="22"/>
          <w:szCs w:val="22"/>
          <w:lang w:val="sk-SK"/>
        </w:rPr>
        <w:t xml:space="preserve"> tis. eur. </w:t>
      </w:r>
    </w:p>
    <w:p w14:paraId="245C600A" w14:textId="77777777" w:rsidR="00EA177A" w:rsidRDefault="00EA177A" w:rsidP="00EA177A">
      <w:r w:rsidRPr="00A42FEA">
        <w:t>Prehľad o ročných príjmoch z rozpočtu EÚ a odvodoch a príspevkoch Slovenskej republiky do všeobecného rozpočtu EÚ je uvedený v nasledovnej tabuľke:</w:t>
      </w:r>
    </w:p>
    <w:tbl>
      <w:tblPr>
        <w:tblW w:w="5000" w:type="pct"/>
        <w:tblCellMar>
          <w:left w:w="70" w:type="dxa"/>
          <w:right w:w="70" w:type="dxa"/>
        </w:tblCellMar>
        <w:tblLook w:val="04A0" w:firstRow="1" w:lastRow="0" w:firstColumn="1" w:lastColumn="0" w:noHBand="0" w:noVBand="1"/>
      </w:tblPr>
      <w:tblGrid>
        <w:gridCol w:w="2691"/>
        <w:gridCol w:w="1582"/>
        <w:gridCol w:w="2245"/>
        <w:gridCol w:w="1985"/>
      </w:tblGrid>
      <w:tr w:rsidR="00EA177A" w:rsidRPr="00CC1188" w14:paraId="14E30A21" w14:textId="77777777" w:rsidTr="000A3EDD">
        <w:trPr>
          <w:trHeight w:val="525"/>
        </w:trPr>
        <w:tc>
          <w:tcPr>
            <w:tcW w:w="3833" w:type="pct"/>
            <w:gridSpan w:val="3"/>
            <w:tcBorders>
              <w:top w:val="nil"/>
              <w:left w:val="nil"/>
              <w:bottom w:val="nil"/>
              <w:right w:val="nil"/>
            </w:tcBorders>
            <w:shd w:val="clear" w:color="000000" w:fill="000000"/>
            <w:vAlign w:val="bottom"/>
            <w:hideMark/>
          </w:tcPr>
          <w:p w14:paraId="06DD19C8" w14:textId="77777777" w:rsidR="00EA177A" w:rsidRPr="00CC1188" w:rsidRDefault="00EA177A" w:rsidP="00752EB6">
            <w:pPr>
              <w:spacing w:before="120" w:line="240" w:lineRule="auto"/>
              <w:jc w:val="left"/>
              <w:rPr>
                <w:rFonts w:eastAsia="Times New Roman" w:cs="Times New Roman"/>
                <w:b/>
                <w:bCs/>
                <w:color w:val="FFFFFF"/>
                <w:sz w:val="18"/>
                <w:szCs w:val="18"/>
                <w:lang w:eastAsia="sk-SK"/>
              </w:rPr>
            </w:pPr>
            <w:r w:rsidRPr="00CC1188">
              <w:rPr>
                <w:rFonts w:eastAsia="Times New Roman" w:cs="Times New Roman"/>
                <w:b/>
                <w:bCs/>
                <w:color w:val="FFFFFF"/>
                <w:sz w:val="18"/>
                <w:szCs w:val="18"/>
                <w:lang w:eastAsia="sk-SK"/>
              </w:rPr>
              <w:t xml:space="preserve">Prehľad o ročných príjmoch z rozpočtu EÚ a odvodoch a príspevkoch SR do všeobecného rozpočtu EÚ </w:t>
            </w:r>
          </w:p>
        </w:tc>
        <w:tc>
          <w:tcPr>
            <w:tcW w:w="1167" w:type="pct"/>
            <w:tcBorders>
              <w:top w:val="nil"/>
              <w:left w:val="nil"/>
              <w:bottom w:val="nil"/>
              <w:right w:val="nil"/>
            </w:tcBorders>
            <w:shd w:val="clear" w:color="000000" w:fill="000000"/>
            <w:noWrap/>
            <w:vAlign w:val="center"/>
            <w:hideMark/>
          </w:tcPr>
          <w:p w14:paraId="6B32BF55" w14:textId="77777777" w:rsidR="00EA177A" w:rsidRPr="00CC1188" w:rsidRDefault="00EA177A" w:rsidP="00752EB6">
            <w:pPr>
              <w:spacing w:before="120" w:line="240" w:lineRule="auto"/>
              <w:jc w:val="right"/>
              <w:rPr>
                <w:rFonts w:eastAsia="Times New Roman" w:cs="Times New Roman"/>
                <w:b/>
                <w:bCs/>
                <w:color w:val="FFFFFF"/>
                <w:sz w:val="18"/>
                <w:szCs w:val="18"/>
                <w:lang w:eastAsia="sk-SK"/>
              </w:rPr>
            </w:pPr>
            <w:r w:rsidRPr="00CC1188">
              <w:rPr>
                <w:rFonts w:eastAsia="Times New Roman" w:cs="Times New Roman"/>
                <w:b/>
                <w:bCs/>
                <w:color w:val="FFFFFF"/>
                <w:sz w:val="18"/>
                <w:szCs w:val="18"/>
                <w:lang w:eastAsia="sk-SK"/>
              </w:rPr>
              <w:t>v tis. eur</w:t>
            </w:r>
          </w:p>
        </w:tc>
      </w:tr>
      <w:tr w:rsidR="00EA177A" w:rsidRPr="00CC1188" w14:paraId="52AD2F99" w14:textId="77777777" w:rsidTr="00585AAF">
        <w:trPr>
          <w:trHeight w:val="525"/>
        </w:trPr>
        <w:tc>
          <w:tcPr>
            <w:tcW w:w="1583" w:type="pct"/>
            <w:tcBorders>
              <w:top w:val="nil"/>
              <w:left w:val="nil"/>
              <w:bottom w:val="single" w:sz="8" w:space="0" w:color="auto"/>
              <w:right w:val="nil"/>
            </w:tcBorders>
            <w:shd w:val="clear" w:color="000000" w:fill="BFBFBF"/>
            <w:vAlign w:val="center"/>
            <w:hideMark/>
          </w:tcPr>
          <w:p w14:paraId="65085D57" w14:textId="77777777" w:rsidR="00EA177A" w:rsidRPr="00CC1188" w:rsidRDefault="00EA177A" w:rsidP="005A4F98">
            <w:pPr>
              <w:spacing w:after="0" w:line="240" w:lineRule="auto"/>
              <w:jc w:val="center"/>
              <w:rPr>
                <w:rFonts w:eastAsia="Times New Roman" w:cs="Times New Roman"/>
                <w:b/>
                <w:bCs/>
                <w:sz w:val="20"/>
                <w:szCs w:val="20"/>
                <w:lang w:eastAsia="sk-SK"/>
              </w:rPr>
            </w:pPr>
            <w:r w:rsidRPr="00CC1188">
              <w:rPr>
                <w:rFonts w:eastAsia="Times New Roman" w:cs="Times New Roman"/>
                <w:b/>
                <w:bCs/>
                <w:sz w:val="20"/>
                <w:szCs w:val="20"/>
                <w:lang w:eastAsia="sk-SK"/>
              </w:rPr>
              <w:t>Rok</w:t>
            </w:r>
          </w:p>
        </w:tc>
        <w:tc>
          <w:tcPr>
            <w:tcW w:w="930" w:type="pct"/>
            <w:tcBorders>
              <w:top w:val="nil"/>
              <w:left w:val="nil"/>
              <w:bottom w:val="single" w:sz="8" w:space="0" w:color="auto"/>
              <w:right w:val="nil"/>
            </w:tcBorders>
            <w:shd w:val="clear" w:color="000000" w:fill="BFBFBF"/>
            <w:vAlign w:val="center"/>
            <w:hideMark/>
          </w:tcPr>
          <w:p w14:paraId="0CF1CC25" w14:textId="77777777" w:rsidR="00EA177A" w:rsidRPr="00CC1188" w:rsidRDefault="00EA177A" w:rsidP="00C704A7">
            <w:pPr>
              <w:spacing w:after="0" w:line="240" w:lineRule="auto"/>
              <w:jc w:val="center"/>
              <w:rPr>
                <w:rFonts w:eastAsia="Times New Roman" w:cs="Times New Roman"/>
                <w:b/>
                <w:bCs/>
                <w:sz w:val="20"/>
                <w:szCs w:val="20"/>
                <w:lang w:eastAsia="sk-SK"/>
              </w:rPr>
            </w:pPr>
            <w:r w:rsidRPr="00CC1188">
              <w:rPr>
                <w:rFonts w:eastAsia="Times New Roman" w:cs="Times New Roman"/>
                <w:b/>
                <w:bCs/>
                <w:sz w:val="20"/>
                <w:szCs w:val="20"/>
                <w:lang w:eastAsia="sk-SK"/>
              </w:rPr>
              <w:t>Celkové príjmy</w:t>
            </w:r>
          </w:p>
        </w:tc>
        <w:tc>
          <w:tcPr>
            <w:tcW w:w="1320" w:type="pct"/>
            <w:tcBorders>
              <w:top w:val="nil"/>
              <w:left w:val="nil"/>
              <w:bottom w:val="single" w:sz="8" w:space="0" w:color="auto"/>
              <w:right w:val="nil"/>
            </w:tcBorders>
            <w:shd w:val="clear" w:color="000000" w:fill="BFBFBF"/>
            <w:vAlign w:val="center"/>
            <w:hideMark/>
          </w:tcPr>
          <w:p w14:paraId="33314C62" w14:textId="77777777" w:rsidR="00EA177A" w:rsidRPr="00CC1188" w:rsidRDefault="00EA177A" w:rsidP="00C704A7">
            <w:pPr>
              <w:spacing w:after="0" w:line="240" w:lineRule="auto"/>
              <w:jc w:val="center"/>
              <w:rPr>
                <w:rFonts w:eastAsia="Times New Roman" w:cs="Times New Roman"/>
                <w:b/>
                <w:bCs/>
                <w:sz w:val="20"/>
                <w:szCs w:val="20"/>
                <w:lang w:eastAsia="sk-SK"/>
              </w:rPr>
            </w:pPr>
            <w:r w:rsidRPr="00CC1188">
              <w:rPr>
                <w:rFonts w:eastAsia="Times New Roman" w:cs="Times New Roman"/>
                <w:b/>
                <w:bCs/>
                <w:sz w:val="20"/>
                <w:szCs w:val="20"/>
                <w:lang w:eastAsia="sk-SK"/>
              </w:rPr>
              <w:t>Celkové odvody a príspevky</w:t>
            </w:r>
          </w:p>
        </w:tc>
        <w:tc>
          <w:tcPr>
            <w:tcW w:w="1167" w:type="pct"/>
            <w:tcBorders>
              <w:top w:val="nil"/>
              <w:left w:val="nil"/>
              <w:bottom w:val="single" w:sz="8" w:space="0" w:color="auto"/>
              <w:right w:val="nil"/>
            </w:tcBorders>
            <w:shd w:val="clear" w:color="000000" w:fill="BFBFBF"/>
            <w:vAlign w:val="center"/>
            <w:hideMark/>
          </w:tcPr>
          <w:p w14:paraId="054C1423" w14:textId="77777777" w:rsidR="00EA177A" w:rsidRPr="00CC1188" w:rsidRDefault="00EA177A" w:rsidP="00C704A7">
            <w:pPr>
              <w:spacing w:after="0" w:line="240" w:lineRule="auto"/>
              <w:jc w:val="center"/>
              <w:rPr>
                <w:rFonts w:eastAsia="Times New Roman" w:cs="Times New Roman"/>
                <w:b/>
                <w:bCs/>
                <w:sz w:val="20"/>
                <w:szCs w:val="20"/>
                <w:lang w:eastAsia="sk-SK"/>
              </w:rPr>
            </w:pPr>
            <w:r w:rsidRPr="00CC1188">
              <w:rPr>
                <w:rFonts w:eastAsia="Times New Roman" w:cs="Times New Roman"/>
                <w:b/>
                <w:bCs/>
                <w:sz w:val="20"/>
                <w:szCs w:val="20"/>
                <w:lang w:eastAsia="sk-SK"/>
              </w:rPr>
              <w:t>Čistá finančná pozícia</w:t>
            </w:r>
          </w:p>
        </w:tc>
      </w:tr>
      <w:tr w:rsidR="00EA177A" w:rsidRPr="00CC1188" w14:paraId="7EAA1C99" w14:textId="77777777" w:rsidTr="00585AAF">
        <w:trPr>
          <w:trHeight w:val="330"/>
        </w:trPr>
        <w:tc>
          <w:tcPr>
            <w:tcW w:w="1583" w:type="pct"/>
            <w:tcBorders>
              <w:top w:val="nil"/>
              <w:left w:val="nil"/>
              <w:bottom w:val="nil"/>
              <w:right w:val="nil"/>
            </w:tcBorders>
            <w:shd w:val="clear" w:color="000000" w:fill="FFFFFF"/>
            <w:vAlign w:val="center"/>
            <w:hideMark/>
          </w:tcPr>
          <w:p w14:paraId="5907D2DA"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2004</w:t>
            </w:r>
          </w:p>
        </w:tc>
        <w:tc>
          <w:tcPr>
            <w:tcW w:w="930" w:type="pct"/>
            <w:tcBorders>
              <w:top w:val="nil"/>
              <w:left w:val="nil"/>
              <w:bottom w:val="nil"/>
              <w:right w:val="nil"/>
            </w:tcBorders>
            <w:shd w:val="clear" w:color="000000" w:fill="FFFFFF"/>
            <w:noWrap/>
            <w:vAlign w:val="center"/>
            <w:hideMark/>
          </w:tcPr>
          <w:p w14:paraId="1C30DFF8"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303 990</w:t>
            </w:r>
          </w:p>
        </w:tc>
        <w:tc>
          <w:tcPr>
            <w:tcW w:w="1320" w:type="pct"/>
            <w:tcBorders>
              <w:top w:val="nil"/>
              <w:left w:val="nil"/>
              <w:bottom w:val="nil"/>
              <w:right w:val="nil"/>
            </w:tcBorders>
            <w:shd w:val="clear" w:color="000000" w:fill="FFFFFF"/>
            <w:noWrap/>
            <w:vAlign w:val="center"/>
            <w:hideMark/>
          </w:tcPr>
          <w:p w14:paraId="1A0D00B7"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290 689</w:t>
            </w:r>
          </w:p>
        </w:tc>
        <w:tc>
          <w:tcPr>
            <w:tcW w:w="1167" w:type="pct"/>
            <w:tcBorders>
              <w:top w:val="nil"/>
              <w:left w:val="nil"/>
              <w:bottom w:val="nil"/>
              <w:right w:val="nil"/>
            </w:tcBorders>
            <w:shd w:val="clear" w:color="000000" w:fill="FFFFFF"/>
            <w:noWrap/>
            <w:vAlign w:val="center"/>
            <w:hideMark/>
          </w:tcPr>
          <w:p w14:paraId="7FE13B3A"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13 301</w:t>
            </w:r>
          </w:p>
        </w:tc>
      </w:tr>
      <w:tr w:rsidR="00EA177A" w:rsidRPr="00CC1188" w14:paraId="7B1E6E55" w14:textId="77777777" w:rsidTr="00585AAF">
        <w:trPr>
          <w:trHeight w:val="330"/>
        </w:trPr>
        <w:tc>
          <w:tcPr>
            <w:tcW w:w="1583" w:type="pct"/>
            <w:tcBorders>
              <w:top w:val="nil"/>
              <w:left w:val="nil"/>
              <w:bottom w:val="nil"/>
              <w:right w:val="nil"/>
            </w:tcBorders>
            <w:shd w:val="clear" w:color="000000" w:fill="FFFFFF"/>
            <w:vAlign w:val="center"/>
            <w:hideMark/>
          </w:tcPr>
          <w:p w14:paraId="5F181596"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2005</w:t>
            </w:r>
          </w:p>
        </w:tc>
        <w:tc>
          <w:tcPr>
            <w:tcW w:w="930" w:type="pct"/>
            <w:tcBorders>
              <w:top w:val="nil"/>
              <w:left w:val="nil"/>
              <w:bottom w:val="nil"/>
              <w:right w:val="nil"/>
            </w:tcBorders>
            <w:shd w:val="clear" w:color="000000" w:fill="FFFFFF"/>
            <w:noWrap/>
            <w:vAlign w:val="center"/>
            <w:hideMark/>
          </w:tcPr>
          <w:p w14:paraId="3A010D02"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704 993</w:t>
            </w:r>
          </w:p>
        </w:tc>
        <w:tc>
          <w:tcPr>
            <w:tcW w:w="1320" w:type="pct"/>
            <w:tcBorders>
              <w:top w:val="nil"/>
              <w:left w:val="nil"/>
              <w:bottom w:val="nil"/>
              <w:right w:val="nil"/>
            </w:tcBorders>
            <w:shd w:val="clear" w:color="000000" w:fill="FFFFFF"/>
            <w:noWrap/>
            <w:vAlign w:val="center"/>
            <w:hideMark/>
          </w:tcPr>
          <w:p w14:paraId="555CE6AF"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485 614</w:t>
            </w:r>
          </w:p>
        </w:tc>
        <w:tc>
          <w:tcPr>
            <w:tcW w:w="1167" w:type="pct"/>
            <w:tcBorders>
              <w:top w:val="nil"/>
              <w:left w:val="nil"/>
              <w:bottom w:val="nil"/>
              <w:right w:val="nil"/>
            </w:tcBorders>
            <w:shd w:val="clear" w:color="000000" w:fill="FFFFFF"/>
            <w:noWrap/>
            <w:vAlign w:val="center"/>
            <w:hideMark/>
          </w:tcPr>
          <w:p w14:paraId="680AA30F"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219 379</w:t>
            </w:r>
          </w:p>
        </w:tc>
      </w:tr>
      <w:tr w:rsidR="00EA177A" w:rsidRPr="00CC1188" w14:paraId="632F7EF0" w14:textId="77777777" w:rsidTr="00585AAF">
        <w:trPr>
          <w:trHeight w:val="330"/>
        </w:trPr>
        <w:tc>
          <w:tcPr>
            <w:tcW w:w="1583" w:type="pct"/>
            <w:tcBorders>
              <w:top w:val="nil"/>
              <w:left w:val="nil"/>
              <w:bottom w:val="nil"/>
              <w:right w:val="nil"/>
            </w:tcBorders>
            <w:shd w:val="clear" w:color="000000" w:fill="FFFFFF"/>
            <w:vAlign w:val="center"/>
            <w:hideMark/>
          </w:tcPr>
          <w:p w14:paraId="597BA4B2"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2006</w:t>
            </w:r>
          </w:p>
        </w:tc>
        <w:tc>
          <w:tcPr>
            <w:tcW w:w="930" w:type="pct"/>
            <w:tcBorders>
              <w:top w:val="nil"/>
              <w:left w:val="nil"/>
              <w:bottom w:val="nil"/>
              <w:right w:val="nil"/>
            </w:tcBorders>
            <w:shd w:val="clear" w:color="000000" w:fill="FFFFFF"/>
            <w:noWrap/>
            <w:vAlign w:val="center"/>
            <w:hideMark/>
          </w:tcPr>
          <w:p w14:paraId="776A1734"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893 623</w:t>
            </w:r>
          </w:p>
        </w:tc>
        <w:tc>
          <w:tcPr>
            <w:tcW w:w="1320" w:type="pct"/>
            <w:tcBorders>
              <w:top w:val="nil"/>
              <w:left w:val="nil"/>
              <w:bottom w:val="nil"/>
              <w:right w:val="nil"/>
            </w:tcBorders>
            <w:shd w:val="clear" w:color="000000" w:fill="FFFFFF"/>
            <w:noWrap/>
            <w:vAlign w:val="center"/>
            <w:hideMark/>
          </w:tcPr>
          <w:p w14:paraId="3C091E3A"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526 326</w:t>
            </w:r>
          </w:p>
        </w:tc>
        <w:tc>
          <w:tcPr>
            <w:tcW w:w="1167" w:type="pct"/>
            <w:tcBorders>
              <w:top w:val="nil"/>
              <w:left w:val="nil"/>
              <w:bottom w:val="nil"/>
              <w:right w:val="nil"/>
            </w:tcBorders>
            <w:shd w:val="clear" w:color="000000" w:fill="FFFFFF"/>
            <w:noWrap/>
            <w:vAlign w:val="center"/>
            <w:hideMark/>
          </w:tcPr>
          <w:p w14:paraId="44D9661F"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367 297</w:t>
            </w:r>
          </w:p>
        </w:tc>
      </w:tr>
      <w:tr w:rsidR="00EA177A" w:rsidRPr="00CC1188" w14:paraId="2A2D48C3" w14:textId="77777777" w:rsidTr="00585AAF">
        <w:trPr>
          <w:trHeight w:val="330"/>
        </w:trPr>
        <w:tc>
          <w:tcPr>
            <w:tcW w:w="1583" w:type="pct"/>
            <w:tcBorders>
              <w:top w:val="nil"/>
              <w:left w:val="nil"/>
              <w:bottom w:val="nil"/>
              <w:right w:val="nil"/>
            </w:tcBorders>
            <w:shd w:val="clear" w:color="000000" w:fill="FFFFFF"/>
            <w:vAlign w:val="center"/>
            <w:hideMark/>
          </w:tcPr>
          <w:p w14:paraId="3025A890"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2007</w:t>
            </w:r>
          </w:p>
        </w:tc>
        <w:tc>
          <w:tcPr>
            <w:tcW w:w="930" w:type="pct"/>
            <w:tcBorders>
              <w:top w:val="nil"/>
              <w:left w:val="nil"/>
              <w:bottom w:val="nil"/>
              <w:right w:val="nil"/>
            </w:tcBorders>
            <w:shd w:val="clear" w:color="000000" w:fill="FFFFFF"/>
            <w:noWrap/>
            <w:vAlign w:val="center"/>
            <w:hideMark/>
          </w:tcPr>
          <w:p w14:paraId="2FC05AF4"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910 838</w:t>
            </w:r>
          </w:p>
        </w:tc>
        <w:tc>
          <w:tcPr>
            <w:tcW w:w="1320" w:type="pct"/>
            <w:tcBorders>
              <w:top w:val="nil"/>
              <w:left w:val="nil"/>
              <w:bottom w:val="nil"/>
              <w:right w:val="nil"/>
            </w:tcBorders>
            <w:shd w:val="clear" w:color="000000" w:fill="FFFFFF"/>
            <w:noWrap/>
            <w:vAlign w:val="center"/>
            <w:hideMark/>
          </w:tcPr>
          <w:p w14:paraId="016E16CA"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589 800</w:t>
            </w:r>
          </w:p>
        </w:tc>
        <w:tc>
          <w:tcPr>
            <w:tcW w:w="1167" w:type="pct"/>
            <w:tcBorders>
              <w:top w:val="nil"/>
              <w:left w:val="nil"/>
              <w:bottom w:val="nil"/>
              <w:right w:val="nil"/>
            </w:tcBorders>
            <w:shd w:val="clear" w:color="000000" w:fill="FFFFFF"/>
            <w:noWrap/>
            <w:vAlign w:val="center"/>
            <w:hideMark/>
          </w:tcPr>
          <w:p w14:paraId="776CF62E"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321 038</w:t>
            </w:r>
          </w:p>
        </w:tc>
      </w:tr>
      <w:tr w:rsidR="00EA177A" w:rsidRPr="00CC1188" w14:paraId="1E006868" w14:textId="77777777" w:rsidTr="00585AAF">
        <w:trPr>
          <w:trHeight w:val="330"/>
        </w:trPr>
        <w:tc>
          <w:tcPr>
            <w:tcW w:w="1583" w:type="pct"/>
            <w:tcBorders>
              <w:top w:val="nil"/>
              <w:left w:val="nil"/>
              <w:bottom w:val="nil"/>
              <w:right w:val="nil"/>
            </w:tcBorders>
            <w:shd w:val="clear" w:color="000000" w:fill="FFFFFF"/>
            <w:vAlign w:val="center"/>
            <w:hideMark/>
          </w:tcPr>
          <w:p w14:paraId="264D1E35"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2008</w:t>
            </w:r>
          </w:p>
        </w:tc>
        <w:tc>
          <w:tcPr>
            <w:tcW w:w="930" w:type="pct"/>
            <w:tcBorders>
              <w:top w:val="nil"/>
              <w:left w:val="nil"/>
              <w:bottom w:val="nil"/>
              <w:right w:val="nil"/>
            </w:tcBorders>
            <w:shd w:val="clear" w:color="000000" w:fill="FFFFFF"/>
            <w:noWrap/>
            <w:vAlign w:val="center"/>
            <w:hideMark/>
          </w:tcPr>
          <w:p w14:paraId="778CA806"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893 497</w:t>
            </w:r>
          </w:p>
        </w:tc>
        <w:tc>
          <w:tcPr>
            <w:tcW w:w="1320" w:type="pct"/>
            <w:tcBorders>
              <w:top w:val="nil"/>
              <w:left w:val="nil"/>
              <w:bottom w:val="nil"/>
              <w:right w:val="nil"/>
            </w:tcBorders>
            <w:shd w:val="clear" w:color="000000" w:fill="FFFFFF"/>
            <w:noWrap/>
            <w:vAlign w:val="center"/>
            <w:hideMark/>
          </w:tcPr>
          <w:p w14:paraId="6A16E709"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643 374</w:t>
            </w:r>
          </w:p>
        </w:tc>
        <w:tc>
          <w:tcPr>
            <w:tcW w:w="1167" w:type="pct"/>
            <w:tcBorders>
              <w:top w:val="nil"/>
              <w:left w:val="nil"/>
              <w:bottom w:val="nil"/>
              <w:right w:val="nil"/>
            </w:tcBorders>
            <w:shd w:val="clear" w:color="000000" w:fill="FFFFFF"/>
            <w:noWrap/>
            <w:vAlign w:val="center"/>
            <w:hideMark/>
          </w:tcPr>
          <w:p w14:paraId="0BAA4407"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250 123</w:t>
            </w:r>
          </w:p>
        </w:tc>
      </w:tr>
      <w:tr w:rsidR="00EA177A" w:rsidRPr="00CC1188" w14:paraId="43768723" w14:textId="77777777" w:rsidTr="00585AAF">
        <w:trPr>
          <w:trHeight w:val="330"/>
        </w:trPr>
        <w:tc>
          <w:tcPr>
            <w:tcW w:w="1583" w:type="pct"/>
            <w:tcBorders>
              <w:top w:val="nil"/>
              <w:left w:val="nil"/>
              <w:bottom w:val="nil"/>
              <w:right w:val="nil"/>
            </w:tcBorders>
            <w:shd w:val="clear" w:color="000000" w:fill="FFFFFF"/>
            <w:vAlign w:val="center"/>
            <w:hideMark/>
          </w:tcPr>
          <w:p w14:paraId="10B22989"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2009</w:t>
            </w:r>
          </w:p>
        </w:tc>
        <w:tc>
          <w:tcPr>
            <w:tcW w:w="930" w:type="pct"/>
            <w:tcBorders>
              <w:top w:val="nil"/>
              <w:left w:val="nil"/>
              <w:bottom w:val="nil"/>
              <w:right w:val="nil"/>
            </w:tcBorders>
            <w:shd w:val="clear" w:color="000000" w:fill="FFFFFF"/>
            <w:noWrap/>
            <w:vAlign w:val="center"/>
            <w:hideMark/>
          </w:tcPr>
          <w:p w14:paraId="1DF038C0"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1 119 659</w:t>
            </w:r>
          </w:p>
        </w:tc>
        <w:tc>
          <w:tcPr>
            <w:tcW w:w="1320" w:type="pct"/>
            <w:tcBorders>
              <w:top w:val="nil"/>
              <w:left w:val="nil"/>
              <w:bottom w:val="nil"/>
              <w:right w:val="nil"/>
            </w:tcBorders>
            <w:shd w:val="clear" w:color="000000" w:fill="FFFFFF"/>
            <w:noWrap/>
            <w:vAlign w:val="center"/>
            <w:hideMark/>
          </w:tcPr>
          <w:p w14:paraId="23BDD845"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695 726</w:t>
            </w:r>
          </w:p>
        </w:tc>
        <w:tc>
          <w:tcPr>
            <w:tcW w:w="1167" w:type="pct"/>
            <w:tcBorders>
              <w:top w:val="nil"/>
              <w:left w:val="nil"/>
              <w:bottom w:val="nil"/>
              <w:right w:val="nil"/>
            </w:tcBorders>
            <w:shd w:val="clear" w:color="000000" w:fill="FFFFFF"/>
            <w:noWrap/>
            <w:vAlign w:val="center"/>
            <w:hideMark/>
          </w:tcPr>
          <w:p w14:paraId="451EA396"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423 933</w:t>
            </w:r>
          </w:p>
        </w:tc>
      </w:tr>
      <w:tr w:rsidR="00EA177A" w:rsidRPr="00CC1188" w14:paraId="52D4BBEF" w14:textId="77777777" w:rsidTr="00585AAF">
        <w:trPr>
          <w:trHeight w:val="330"/>
        </w:trPr>
        <w:tc>
          <w:tcPr>
            <w:tcW w:w="1583" w:type="pct"/>
            <w:tcBorders>
              <w:top w:val="nil"/>
              <w:left w:val="nil"/>
              <w:bottom w:val="nil"/>
              <w:right w:val="nil"/>
            </w:tcBorders>
            <w:shd w:val="clear" w:color="000000" w:fill="FFFFFF"/>
            <w:vAlign w:val="center"/>
            <w:hideMark/>
          </w:tcPr>
          <w:p w14:paraId="352B14CB"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2010</w:t>
            </w:r>
          </w:p>
        </w:tc>
        <w:tc>
          <w:tcPr>
            <w:tcW w:w="930" w:type="pct"/>
            <w:tcBorders>
              <w:top w:val="nil"/>
              <w:left w:val="nil"/>
              <w:bottom w:val="nil"/>
              <w:right w:val="nil"/>
            </w:tcBorders>
            <w:shd w:val="clear" w:color="000000" w:fill="FFFFFF"/>
            <w:noWrap/>
            <w:vAlign w:val="center"/>
            <w:hideMark/>
          </w:tcPr>
          <w:p w14:paraId="50C989BC"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1 672 483</w:t>
            </w:r>
          </w:p>
        </w:tc>
        <w:tc>
          <w:tcPr>
            <w:tcW w:w="1320" w:type="pct"/>
            <w:tcBorders>
              <w:top w:val="nil"/>
              <w:left w:val="nil"/>
              <w:bottom w:val="nil"/>
              <w:right w:val="nil"/>
            </w:tcBorders>
            <w:shd w:val="clear" w:color="000000" w:fill="FFFFFF"/>
            <w:noWrap/>
            <w:vAlign w:val="center"/>
            <w:hideMark/>
          </w:tcPr>
          <w:p w14:paraId="5EB5D0E7"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627 529</w:t>
            </w:r>
          </w:p>
        </w:tc>
        <w:tc>
          <w:tcPr>
            <w:tcW w:w="1167" w:type="pct"/>
            <w:tcBorders>
              <w:top w:val="nil"/>
              <w:left w:val="nil"/>
              <w:bottom w:val="nil"/>
              <w:right w:val="nil"/>
            </w:tcBorders>
            <w:shd w:val="clear" w:color="000000" w:fill="FFFFFF"/>
            <w:noWrap/>
            <w:vAlign w:val="center"/>
            <w:hideMark/>
          </w:tcPr>
          <w:p w14:paraId="001C256F"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1 044 954</w:t>
            </w:r>
          </w:p>
        </w:tc>
      </w:tr>
      <w:tr w:rsidR="00EA177A" w:rsidRPr="00CC1188" w14:paraId="71FCCE49" w14:textId="77777777" w:rsidTr="00585AAF">
        <w:trPr>
          <w:trHeight w:val="330"/>
        </w:trPr>
        <w:tc>
          <w:tcPr>
            <w:tcW w:w="1583" w:type="pct"/>
            <w:tcBorders>
              <w:top w:val="nil"/>
              <w:left w:val="nil"/>
              <w:bottom w:val="nil"/>
              <w:right w:val="nil"/>
            </w:tcBorders>
            <w:shd w:val="clear" w:color="000000" w:fill="FFFFFF"/>
            <w:vAlign w:val="center"/>
            <w:hideMark/>
          </w:tcPr>
          <w:p w14:paraId="463AAAE6"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2011</w:t>
            </w:r>
          </w:p>
        </w:tc>
        <w:tc>
          <w:tcPr>
            <w:tcW w:w="930" w:type="pct"/>
            <w:tcBorders>
              <w:top w:val="nil"/>
              <w:left w:val="nil"/>
              <w:bottom w:val="nil"/>
              <w:right w:val="nil"/>
            </w:tcBorders>
            <w:shd w:val="clear" w:color="000000" w:fill="FFFFFF"/>
            <w:noWrap/>
            <w:vAlign w:val="center"/>
            <w:hideMark/>
          </w:tcPr>
          <w:p w14:paraId="53BB1112"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2 041 093</w:t>
            </w:r>
          </w:p>
        </w:tc>
        <w:tc>
          <w:tcPr>
            <w:tcW w:w="1320" w:type="pct"/>
            <w:tcBorders>
              <w:top w:val="nil"/>
              <w:left w:val="nil"/>
              <w:bottom w:val="nil"/>
              <w:right w:val="nil"/>
            </w:tcBorders>
            <w:shd w:val="clear" w:color="000000" w:fill="FFFFFF"/>
            <w:noWrap/>
            <w:vAlign w:val="center"/>
            <w:hideMark/>
          </w:tcPr>
          <w:p w14:paraId="4A8ABF5F"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704 656</w:t>
            </w:r>
          </w:p>
        </w:tc>
        <w:tc>
          <w:tcPr>
            <w:tcW w:w="1167" w:type="pct"/>
            <w:tcBorders>
              <w:top w:val="nil"/>
              <w:left w:val="nil"/>
              <w:bottom w:val="nil"/>
              <w:right w:val="nil"/>
            </w:tcBorders>
            <w:shd w:val="clear" w:color="000000" w:fill="FFFFFF"/>
            <w:noWrap/>
            <w:vAlign w:val="center"/>
            <w:hideMark/>
          </w:tcPr>
          <w:p w14:paraId="47DC8590"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1 336 437</w:t>
            </w:r>
          </w:p>
        </w:tc>
      </w:tr>
      <w:tr w:rsidR="00EA177A" w:rsidRPr="00CC1188" w14:paraId="74EC5B36" w14:textId="77777777" w:rsidTr="00585AAF">
        <w:trPr>
          <w:trHeight w:val="330"/>
        </w:trPr>
        <w:tc>
          <w:tcPr>
            <w:tcW w:w="1583" w:type="pct"/>
            <w:tcBorders>
              <w:top w:val="nil"/>
              <w:left w:val="nil"/>
              <w:bottom w:val="nil"/>
              <w:right w:val="nil"/>
            </w:tcBorders>
            <w:shd w:val="clear" w:color="000000" w:fill="FFFFFF"/>
            <w:vAlign w:val="center"/>
            <w:hideMark/>
          </w:tcPr>
          <w:p w14:paraId="0A82B2B8"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2012</w:t>
            </w:r>
          </w:p>
        </w:tc>
        <w:tc>
          <w:tcPr>
            <w:tcW w:w="930" w:type="pct"/>
            <w:tcBorders>
              <w:top w:val="nil"/>
              <w:left w:val="nil"/>
              <w:bottom w:val="nil"/>
              <w:right w:val="nil"/>
            </w:tcBorders>
            <w:shd w:val="clear" w:color="000000" w:fill="FFFFFF"/>
            <w:noWrap/>
            <w:vAlign w:val="center"/>
            <w:hideMark/>
          </w:tcPr>
          <w:p w14:paraId="530EFB68"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2 137 849</w:t>
            </w:r>
          </w:p>
        </w:tc>
        <w:tc>
          <w:tcPr>
            <w:tcW w:w="1320" w:type="pct"/>
            <w:tcBorders>
              <w:top w:val="nil"/>
              <w:left w:val="nil"/>
              <w:bottom w:val="nil"/>
              <w:right w:val="nil"/>
            </w:tcBorders>
            <w:shd w:val="clear" w:color="000000" w:fill="FFFFFF"/>
            <w:noWrap/>
            <w:vAlign w:val="center"/>
            <w:hideMark/>
          </w:tcPr>
          <w:p w14:paraId="00CFB853"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722 831</w:t>
            </w:r>
          </w:p>
        </w:tc>
        <w:tc>
          <w:tcPr>
            <w:tcW w:w="1167" w:type="pct"/>
            <w:tcBorders>
              <w:top w:val="nil"/>
              <w:left w:val="nil"/>
              <w:bottom w:val="nil"/>
              <w:right w:val="nil"/>
            </w:tcBorders>
            <w:shd w:val="clear" w:color="000000" w:fill="FFFFFF"/>
            <w:noWrap/>
            <w:vAlign w:val="center"/>
            <w:hideMark/>
          </w:tcPr>
          <w:p w14:paraId="3BDEFF13"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1 415 018</w:t>
            </w:r>
          </w:p>
        </w:tc>
      </w:tr>
      <w:tr w:rsidR="00EA177A" w:rsidRPr="00CC1188" w14:paraId="4B8CA987" w14:textId="77777777" w:rsidTr="00585AAF">
        <w:trPr>
          <w:trHeight w:val="330"/>
        </w:trPr>
        <w:tc>
          <w:tcPr>
            <w:tcW w:w="1583" w:type="pct"/>
            <w:tcBorders>
              <w:top w:val="nil"/>
              <w:left w:val="nil"/>
              <w:bottom w:val="nil"/>
              <w:right w:val="nil"/>
            </w:tcBorders>
            <w:shd w:val="clear" w:color="000000" w:fill="FFFFFF"/>
            <w:vAlign w:val="center"/>
            <w:hideMark/>
          </w:tcPr>
          <w:p w14:paraId="2A740DB8"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2013</w:t>
            </w:r>
          </w:p>
        </w:tc>
        <w:tc>
          <w:tcPr>
            <w:tcW w:w="930" w:type="pct"/>
            <w:tcBorders>
              <w:top w:val="nil"/>
              <w:left w:val="nil"/>
              <w:bottom w:val="nil"/>
              <w:right w:val="nil"/>
            </w:tcBorders>
            <w:shd w:val="clear" w:color="000000" w:fill="FFFFFF"/>
            <w:noWrap/>
            <w:vAlign w:val="center"/>
            <w:hideMark/>
          </w:tcPr>
          <w:p w14:paraId="413F2349"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2 185 358</w:t>
            </w:r>
          </w:p>
        </w:tc>
        <w:tc>
          <w:tcPr>
            <w:tcW w:w="1320" w:type="pct"/>
            <w:tcBorders>
              <w:top w:val="nil"/>
              <w:left w:val="nil"/>
              <w:bottom w:val="nil"/>
              <w:right w:val="nil"/>
            </w:tcBorders>
            <w:shd w:val="clear" w:color="000000" w:fill="FFFFFF"/>
            <w:noWrap/>
            <w:vAlign w:val="center"/>
            <w:hideMark/>
          </w:tcPr>
          <w:p w14:paraId="2E398063"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825 098</w:t>
            </w:r>
          </w:p>
        </w:tc>
        <w:tc>
          <w:tcPr>
            <w:tcW w:w="1167" w:type="pct"/>
            <w:tcBorders>
              <w:top w:val="nil"/>
              <w:left w:val="nil"/>
              <w:bottom w:val="nil"/>
              <w:right w:val="nil"/>
            </w:tcBorders>
            <w:shd w:val="clear" w:color="000000" w:fill="FFFFFF"/>
            <w:noWrap/>
            <w:vAlign w:val="center"/>
            <w:hideMark/>
          </w:tcPr>
          <w:p w14:paraId="6EFF19C6"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1 360 260</w:t>
            </w:r>
          </w:p>
        </w:tc>
      </w:tr>
      <w:tr w:rsidR="00EA177A" w:rsidRPr="00CC1188" w14:paraId="5A5439E2" w14:textId="77777777" w:rsidTr="00585AAF">
        <w:trPr>
          <w:trHeight w:val="330"/>
        </w:trPr>
        <w:tc>
          <w:tcPr>
            <w:tcW w:w="1583" w:type="pct"/>
            <w:tcBorders>
              <w:top w:val="nil"/>
              <w:left w:val="nil"/>
              <w:bottom w:val="nil"/>
              <w:right w:val="nil"/>
            </w:tcBorders>
            <w:shd w:val="clear" w:color="000000" w:fill="FFFFFF"/>
            <w:vAlign w:val="center"/>
            <w:hideMark/>
          </w:tcPr>
          <w:p w14:paraId="6E508FC2"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2014</w:t>
            </w:r>
          </w:p>
        </w:tc>
        <w:tc>
          <w:tcPr>
            <w:tcW w:w="930" w:type="pct"/>
            <w:tcBorders>
              <w:top w:val="nil"/>
              <w:left w:val="nil"/>
              <w:bottom w:val="nil"/>
              <w:right w:val="nil"/>
            </w:tcBorders>
            <w:shd w:val="clear" w:color="000000" w:fill="FFFFFF"/>
            <w:noWrap/>
            <w:vAlign w:val="center"/>
            <w:hideMark/>
          </w:tcPr>
          <w:p w14:paraId="23A7FF03"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1 265 091</w:t>
            </w:r>
          </w:p>
        </w:tc>
        <w:tc>
          <w:tcPr>
            <w:tcW w:w="1320" w:type="pct"/>
            <w:tcBorders>
              <w:top w:val="nil"/>
              <w:left w:val="nil"/>
              <w:bottom w:val="nil"/>
              <w:right w:val="nil"/>
            </w:tcBorders>
            <w:shd w:val="clear" w:color="000000" w:fill="FFFFFF"/>
            <w:noWrap/>
            <w:vAlign w:val="center"/>
            <w:hideMark/>
          </w:tcPr>
          <w:p w14:paraId="7EEEE18A"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785 366</w:t>
            </w:r>
          </w:p>
        </w:tc>
        <w:tc>
          <w:tcPr>
            <w:tcW w:w="1167" w:type="pct"/>
            <w:tcBorders>
              <w:top w:val="nil"/>
              <w:left w:val="nil"/>
              <w:bottom w:val="nil"/>
              <w:right w:val="nil"/>
            </w:tcBorders>
            <w:shd w:val="clear" w:color="000000" w:fill="FFFFFF"/>
            <w:noWrap/>
            <w:vAlign w:val="center"/>
            <w:hideMark/>
          </w:tcPr>
          <w:p w14:paraId="2D4F67F7"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479 725</w:t>
            </w:r>
          </w:p>
        </w:tc>
      </w:tr>
      <w:tr w:rsidR="00EA177A" w:rsidRPr="00CC1188" w14:paraId="47E58C66" w14:textId="77777777" w:rsidTr="00585AAF">
        <w:trPr>
          <w:trHeight w:val="330"/>
        </w:trPr>
        <w:tc>
          <w:tcPr>
            <w:tcW w:w="1583" w:type="pct"/>
            <w:tcBorders>
              <w:top w:val="nil"/>
              <w:left w:val="nil"/>
              <w:bottom w:val="nil"/>
              <w:right w:val="nil"/>
            </w:tcBorders>
            <w:shd w:val="clear" w:color="000000" w:fill="FFFFFF"/>
            <w:vAlign w:val="center"/>
            <w:hideMark/>
          </w:tcPr>
          <w:p w14:paraId="6C3D740E"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2015</w:t>
            </w:r>
          </w:p>
        </w:tc>
        <w:tc>
          <w:tcPr>
            <w:tcW w:w="930" w:type="pct"/>
            <w:tcBorders>
              <w:top w:val="nil"/>
              <w:left w:val="nil"/>
              <w:bottom w:val="nil"/>
              <w:right w:val="nil"/>
            </w:tcBorders>
            <w:shd w:val="clear" w:color="auto" w:fill="auto"/>
            <w:noWrap/>
            <w:vAlign w:val="center"/>
            <w:hideMark/>
          </w:tcPr>
          <w:p w14:paraId="0C9A3EF1"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4 288 873</w:t>
            </w:r>
          </w:p>
        </w:tc>
        <w:tc>
          <w:tcPr>
            <w:tcW w:w="1320" w:type="pct"/>
            <w:tcBorders>
              <w:top w:val="nil"/>
              <w:left w:val="nil"/>
              <w:bottom w:val="nil"/>
              <w:right w:val="nil"/>
            </w:tcBorders>
            <w:shd w:val="clear" w:color="000000" w:fill="FFFFFF"/>
            <w:noWrap/>
            <w:vAlign w:val="center"/>
            <w:hideMark/>
          </w:tcPr>
          <w:p w14:paraId="146D4ECA"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695 508</w:t>
            </w:r>
          </w:p>
        </w:tc>
        <w:tc>
          <w:tcPr>
            <w:tcW w:w="1167" w:type="pct"/>
            <w:tcBorders>
              <w:top w:val="nil"/>
              <w:left w:val="nil"/>
              <w:bottom w:val="nil"/>
              <w:right w:val="nil"/>
            </w:tcBorders>
            <w:shd w:val="clear" w:color="auto" w:fill="auto"/>
            <w:noWrap/>
            <w:vAlign w:val="center"/>
            <w:hideMark/>
          </w:tcPr>
          <w:p w14:paraId="40744771"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3 593 365</w:t>
            </w:r>
          </w:p>
        </w:tc>
      </w:tr>
      <w:tr w:rsidR="00EA177A" w:rsidRPr="00CC1188" w14:paraId="26872C71" w14:textId="77777777" w:rsidTr="00585AAF">
        <w:trPr>
          <w:trHeight w:val="330"/>
        </w:trPr>
        <w:tc>
          <w:tcPr>
            <w:tcW w:w="1583" w:type="pct"/>
            <w:tcBorders>
              <w:top w:val="nil"/>
              <w:left w:val="nil"/>
              <w:bottom w:val="nil"/>
              <w:right w:val="nil"/>
            </w:tcBorders>
            <w:shd w:val="clear" w:color="000000" w:fill="FFFFFF"/>
            <w:vAlign w:val="center"/>
            <w:hideMark/>
          </w:tcPr>
          <w:p w14:paraId="4C47F06F"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2016</w:t>
            </w:r>
          </w:p>
        </w:tc>
        <w:tc>
          <w:tcPr>
            <w:tcW w:w="930" w:type="pct"/>
            <w:tcBorders>
              <w:top w:val="nil"/>
              <w:left w:val="nil"/>
              <w:bottom w:val="nil"/>
              <w:right w:val="nil"/>
            </w:tcBorders>
            <w:shd w:val="clear" w:color="000000" w:fill="FFFFFF"/>
            <w:noWrap/>
            <w:vAlign w:val="center"/>
            <w:hideMark/>
          </w:tcPr>
          <w:p w14:paraId="7EDFA1D2"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1 947 481</w:t>
            </w:r>
          </w:p>
        </w:tc>
        <w:tc>
          <w:tcPr>
            <w:tcW w:w="1320" w:type="pct"/>
            <w:tcBorders>
              <w:top w:val="nil"/>
              <w:left w:val="nil"/>
              <w:bottom w:val="nil"/>
              <w:right w:val="nil"/>
            </w:tcBorders>
            <w:shd w:val="clear" w:color="auto" w:fill="auto"/>
            <w:noWrap/>
            <w:vAlign w:val="center"/>
            <w:hideMark/>
          </w:tcPr>
          <w:p w14:paraId="644FEAC6"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739 903</w:t>
            </w:r>
          </w:p>
        </w:tc>
        <w:tc>
          <w:tcPr>
            <w:tcW w:w="1167" w:type="pct"/>
            <w:tcBorders>
              <w:top w:val="nil"/>
              <w:left w:val="nil"/>
              <w:bottom w:val="nil"/>
              <w:right w:val="nil"/>
            </w:tcBorders>
            <w:shd w:val="clear" w:color="000000" w:fill="FFFFFF"/>
            <w:noWrap/>
            <w:vAlign w:val="center"/>
            <w:hideMark/>
          </w:tcPr>
          <w:p w14:paraId="68EEA6F0"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1 207 578</w:t>
            </w:r>
          </w:p>
        </w:tc>
      </w:tr>
      <w:tr w:rsidR="00EA177A" w:rsidRPr="00CC1188" w14:paraId="407F9ABD" w14:textId="77777777" w:rsidTr="00585AAF">
        <w:trPr>
          <w:trHeight w:val="330"/>
        </w:trPr>
        <w:tc>
          <w:tcPr>
            <w:tcW w:w="1583" w:type="pct"/>
            <w:tcBorders>
              <w:top w:val="nil"/>
              <w:left w:val="nil"/>
              <w:bottom w:val="nil"/>
              <w:right w:val="nil"/>
            </w:tcBorders>
            <w:shd w:val="clear" w:color="000000" w:fill="FFFFFF"/>
            <w:vAlign w:val="center"/>
            <w:hideMark/>
          </w:tcPr>
          <w:p w14:paraId="2AC0AA11"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2017</w:t>
            </w:r>
          </w:p>
        </w:tc>
        <w:tc>
          <w:tcPr>
            <w:tcW w:w="930" w:type="pct"/>
            <w:tcBorders>
              <w:top w:val="nil"/>
              <w:left w:val="nil"/>
              <w:bottom w:val="nil"/>
              <w:right w:val="nil"/>
            </w:tcBorders>
            <w:shd w:val="clear" w:color="000000" w:fill="FFFFFF"/>
            <w:noWrap/>
            <w:vAlign w:val="center"/>
            <w:hideMark/>
          </w:tcPr>
          <w:p w14:paraId="3C491ECD"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1 425 572</w:t>
            </w:r>
          </w:p>
        </w:tc>
        <w:tc>
          <w:tcPr>
            <w:tcW w:w="1320" w:type="pct"/>
            <w:tcBorders>
              <w:top w:val="nil"/>
              <w:left w:val="nil"/>
              <w:bottom w:val="nil"/>
              <w:right w:val="nil"/>
            </w:tcBorders>
            <w:shd w:val="clear" w:color="000000" w:fill="FFFFFF"/>
            <w:noWrap/>
            <w:vAlign w:val="center"/>
            <w:hideMark/>
          </w:tcPr>
          <w:p w14:paraId="5C2F6308"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738 045</w:t>
            </w:r>
          </w:p>
        </w:tc>
        <w:tc>
          <w:tcPr>
            <w:tcW w:w="1167" w:type="pct"/>
            <w:tcBorders>
              <w:top w:val="nil"/>
              <w:left w:val="nil"/>
              <w:bottom w:val="nil"/>
              <w:right w:val="nil"/>
            </w:tcBorders>
            <w:shd w:val="clear" w:color="000000" w:fill="FFFFFF"/>
            <w:noWrap/>
            <w:vAlign w:val="center"/>
            <w:hideMark/>
          </w:tcPr>
          <w:p w14:paraId="20F70B77"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687 527</w:t>
            </w:r>
          </w:p>
        </w:tc>
      </w:tr>
      <w:tr w:rsidR="00EA177A" w:rsidRPr="00CC1188" w14:paraId="30D84FB3" w14:textId="77777777" w:rsidTr="00585AAF">
        <w:trPr>
          <w:trHeight w:val="330"/>
        </w:trPr>
        <w:tc>
          <w:tcPr>
            <w:tcW w:w="1583" w:type="pct"/>
            <w:tcBorders>
              <w:top w:val="nil"/>
              <w:left w:val="nil"/>
              <w:bottom w:val="nil"/>
              <w:right w:val="nil"/>
            </w:tcBorders>
            <w:shd w:val="clear" w:color="000000" w:fill="FFFFFF"/>
            <w:vAlign w:val="center"/>
            <w:hideMark/>
          </w:tcPr>
          <w:p w14:paraId="7A601B93"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2018</w:t>
            </w:r>
          </w:p>
        </w:tc>
        <w:tc>
          <w:tcPr>
            <w:tcW w:w="930" w:type="pct"/>
            <w:tcBorders>
              <w:top w:val="nil"/>
              <w:left w:val="nil"/>
              <w:bottom w:val="nil"/>
              <w:right w:val="nil"/>
            </w:tcBorders>
            <w:shd w:val="clear" w:color="000000" w:fill="FFFFFF"/>
            <w:noWrap/>
            <w:vAlign w:val="center"/>
            <w:hideMark/>
          </w:tcPr>
          <w:p w14:paraId="540ECB37"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2 169 732</w:t>
            </w:r>
          </w:p>
        </w:tc>
        <w:tc>
          <w:tcPr>
            <w:tcW w:w="1320" w:type="pct"/>
            <w:tcBorders>
              <w:top w:val="nil"/>
              <w:left w:val="nil"/>
              <w:bottom w:val="nil"/>
              <w:right w:val="nil"/>
            </w:tcBorders>
            <w:shd w:val="clear" w:color="auto" w:fill="auto"/>
            <w:noWrap/>
            <w:vAlign w:val="center"/>
            <w:hideMark/>
          </w:tcPr>
          <w:p w14:paraId="5696DDB6"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841 321</w:t>
            </w:r>
          </w:p>
        </w:tc>
        <w:tc>
          <w:tcPr>
            <w:tcW w:w="1167" w:type="pct"/>
            <w:tcBorders>
              <w:top w:val="nil"/>
              <w:left w:val="nil"/>
              <w:bottom w:val="nil"/>
              <w:right w:val="nil"/>
            </w:tcBorders>
            <w:shd w:val="clear" w:color="000000" w:fill="FFFFFF"/>
            <w:noWrap/>
            <w:vAlign w:val="center"/>
            <w:hideMark/>
          </w:tcPr>
          <w:p w14:paraId="74C47C0F"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1 328 411</w:t>
            </w:r>
          </w:p>
        </w:tc>
      </w:tr>
      <w:tr w:rsidR="00EA177A" w:rsidRPr="00CC1188" w14:paraId="0BDD96EE" w14:textId="77777777" w:rsidTr="00585AAF">
        <w:trPr>
          <w:trHeight w:val="330"/>
        </w:trPr>
        <w:tc>
          <w:tcPr>
            <w:tcW w:w="1583" w:type="pct"/>
            <w:tcBorders>
              <w:top w:val="nil"/>
              <w:left w:val="nil"/>
              <w:bottom w:val="nil"/>
              <w:right w:val="nil"/>
            </w:tcBorders>
            <w:shd w:val="clear" w:color="000000" w:fill="FFFFFF"/>
            <w:vAlign w:val="center"/>
            <w:hideMark/>
          </w:tcPr>
          <w:p w14:paraId="7576506E" w14:textId="77777777" w:rsidR="00EA177A" w:rsidRPr="00CC1188" w:rsidRDefault="00EA177A" w:rsidP="005A4F98">
            <w:pPr>
              <w:spacing w:after="0" w:line="240" w:lineRule="auto"/>
              <w:jc w:val="center"/>
              <w:rPr>
                <w:rFonts w:eastAsia="Times New Roman" w:cs="Times New Roman"/>
                <w:color w:val="000000"/>
                <w:sz w:val="20"/>
                <w:szCs w:val="20"/>
                <w:lang w:eastAsia="sk-SK"/>
              </w:rPr>
            </w:pPr>
            <w:r w:rsidRPr="00CC1188">
              <w:rPr>
                <w:rFonts w:eastAsia="Times New Roman" w:cs="Times New Roman"/>
                <w:color w:val="000000"/>
                <w:sz w:val="20"/>
                <w:szCs w:val="20"/>
                <w:lang w:eastAsia="sk-SK"/>
              </w:rPr>
              <w:t>2019</w:t>
            </w:r>
          </w:p>
        </w:tc>
        <w:tc>
          <w:tcPr>
            <w:tcW w:w="930" w:type="pct"/>
            <w:tcBorders>
              <w:top w:val="nil"/>
              <w:left w:val="nil"/>
              <w:bottom w:val="nil"/>
              <w:right w:val="nil"/>
            </w:tcBorders>
            <w:shd w:val="clear" w:color="auto" w:fill="auto"/>
            <w:noWrap/>
            <w:vAlign w:val="center"/>
            <w:hideMark/>
          </w:tcPr>
          <w:p w14:paraId="56F873F6"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2 126 943</w:t>
            </w:r>
          </w:p>
        </w:tc>
        <w:tc>
          <w:tcPr>
            <w:tcW w:w="1320" w:type="pct"/>
            <w:tcBorders>
              <w:top w:val="nil"/>
              <w:left w:val="nil"/>
              <w:bottom w:val="nil"/>
              <w:right w:val="nil"/>
            </w:tcBorders>
            <w:shd w:val="clear" w:color="000000" w:fill="FFFFFF"/>
            <w:noWrap/>
            <w:vAlign w:val="center"/>
            <w:hideMark/>
          </w:tcPr>
          <w:p w14:paraId="148582B4"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851 733</w:t>
            </w:r>
          </w:p>
        </w:tc>
        <w:tc>
          <w:tcPr>
            <w:tcW w:w="1167" w:type="pct"/>
            <w:tcBorders>
              <w:top w:val="nil"/>
              <w:left w:val="nil"/>
              <w:bottom w:val="nil"/>
              <w:right w:val="nil"/>
            </w:tcBorders>
            <w:shd w:val="clear" w:color="000000" w:fill="FFFFFF"/>
            <w:noWrap/>
            <w:vAlign w:val="center"/>
            <w:hideMark/>
          </w:tcPr>
          <w:p w14:paraId="60F4012A" w14:textId="77777777" w:rsidR="00EA177A" w:rsidRPr="00CC1188" w:rsidRDefault="00EA177A" w:rsidP="00C704A7">
            <w:pPr>
              <w:spacing w:after="0" w:line="240" w:lineRule="auto"/>
              <w:jc w:val="right"/>
              <w:rPr>
                <w:rFonts w:eastAsia="Times New Roman" w:cs="Times New Roman"/>
                <w:color w:val="000000"/>
                <w:sz w:val="20"/>
                <w:szCs w:val="20"/>
                <w:lang w:eastAsia="sk-SK"/>
              </w:rPr>
            </w:pPr>
            <w:r w:rsidRPr="00CC1188">
              <w:rPr>
                <w:rFonts w:eastAsia="Times New Roman" w:cs="Times New Roman"/>
                <w:color w:val="000000"/>
                <w:sz w:val="20"/>
                <w:szCs w:val="20"/>
                <w:lang w:eastAsia="sk-SK"/>
              </w:rPr>
              <w:t>1 275 210</w:t>
            </w:r>
          </w:p>
        </w:tc>
      </w:tr>
      <w:tr w:rsidR="00EA177A" w:rsidRPr="00CC1188" w14:paraId="6A0829E1" w14:textId="77777777" w:rsidTr="00585AAF">
        <w:trPr>
          <w:trHeight w:val="345"/>
        </w:trPr>
        <w:tc>
          <w:tcPr>
            <w:tcW w:w="1583" w:type="pct"/>
            <w:tcBorders>
              <w:top w:val="single" w:sz="4" w:space="0" w:color="auto"/>
              <w:left w:val="nil"/>
              <w:bottom w:val="single" w:sz="8" w:space="0" w:color="auto"/>
              <w:right w:val="nil"/>
            </w:tcBorders>
            <w:shd w:val="clear" w:color="000000" w:fill="FFFFFF"/>
            <w:vAlign w:val="center"/>
            <w:hideMark/>
          </w:tcPr>
          <w:p w14:paraId="4EF3E6CD" w14:textId="77777777" w:rsidR="00EA177A" w:rsidRPr="00CC1188" w:rsidRDefault="00EA177A" w:rsidP="005A4F98">
            <w:pPr>
              <w:spacing w:after="0" w:line="240" w:lineRule="auto"/>
              <w:jc w:val="center"/>
              <w:rPr>
                <w:rFonts w:eastAsia="Times New Roman" w:cs="Times New Roman"/>
                <w:b/>
                <w:bCs/>
                <w:color w:val="000000"/>
                <w:sz w:val="20"/>
                <w:szCs w:val="20"/>
                <w:lang w:eastAsia="sk-SK"/>
              </w:rPr>
            </w:pPr>
            <w:r w:rsidRPr="00CC1188">
              <w:rPr>
                <w:rFonts w:eastAsia="Times New Roman" w:cs="Times New Roman"/>
                <w:b/>
                <w:bCs/>
                <w:color w:val="000000"/>
                <w:sz w:val="20"/>
                <w:szCs w:val="20"/>
                <w:lang w:eastAsia="sk-SK"/>
              </w:rPr>
              <w:t>Spolu</w:t>
            </w:r>
          </w:p>
        </w:tc>
        <w:tc>
          <w:tcPr>
            <w:tcW w:w="930" w:type="pct"/>
            <w:tcBorders>
              <w:top w:val="single" w:sz="4" w:space="0" w:color="auto"/>
              <w:left w:val="nil"/>
              <w:bottom w:val="single" w:sz="8" w:space="0" w:color="auto"/>
              <w:right w:val="nil"/>
            </w:tcBorders>
            <w:shd w:val="clear" w:color="000000" w:fill="FFFFFF"/>
            <w:noWrap/>
            <w:vAlign w:val="center"/>
            <w:hideMark/>
          </w:tcPr>
          <w:p w14:paraId="7DEA251B" w14:textId="77777777" w:rsidR="00EA177A" w:rsidRPr="00CC1188" w:rsidRDefault="00EA177A" w:rsidP="00C704A7">
            <w:pPr>
              <w:spacing w:after="0" w:line="240" w:lineRule="auto"/>
              <w:jc w:val="right"/>
              <w:rPr>
                <w:rFonts w:eastAsia="Times New Roman" w:cs="Times New Roman"/>
                <w:b/>
                <w:bCs/>
                <w:color w:val="000000"/>
                <w:sz w:val="20"/>
                <w:szCs w:val="20"/>
                <w:lang w:eastAsia="sk-SK"/>
              </w:rPr>
            </w:pPr>
            <w:r w:rsidRPr="00CC1188">
              <w:rPr>
                <w:rFonts w:eastAsia="Times New Roman" w:cs="Times New Roman"/>
                <w:b/>
                <w:bCs/>
                <w:color w:val="000000"/>
                <w:sz w:val="20"/>
                <w:szCs w:val="20"/>
                <w:lang w:eastAsia="sk-SK"/>
              </w:rPr>
              <w:t>26 087 075</w:t>
            </w:r>
          </w:p>
        </w:tc>
        <w:tc>
          <w:tcPr>
            <w:tcW w:w="1320" w:type="pct"/>
            <w:tcBorders>
              <w:top w:val="single" w:sz="4" w:space="0" w:color="auto"/>
              <w:left w:val="nil"/>
              <w:bottom w:val="single" w:sz="8" w:space="0" w:color="auto"/>
              <w:right w:val="nil"/>
            </w:tcBorders>
            <w:shd w:val="clear" w:color="000000" w:fill="FFFFFF"/>
            <w:noWrap/>
            <w:vAlign w:val="center"/>
            <w:hideMark/>
          </w:tcPr>
          <w:p w14:paraId="1A9E6676" w14:textId="77777777" w:rsidR="00EA177A" w:rsidRPr="00CC1188" w:rsidRDefault="00EA177A" w:rsidP="00C704A7">
            <w:pPr>
              <w:spacing w:after="0" w:line="240" w:lineRule="auto"/>
              <w:jc w:val="right"/>
              <w:rPr>
                <w:rFonts w:eastAsia="Times New Roman" w:cs="Times New Roman"/>
                <w:b/>
                <w:bCs/>
                <w:color w:val="000000"/>
                <w:sz w:val="20"/>
                <w:szCs w:val="20"/>
                <w:lang w:eastAsia="sk-SK"/>
              </w:rPr>
            </w:pPr>
            <w:r w:rsidRPr="00CC1188">
              <w:rPr>
                <w:rFonts w:eastAsia="Times New Roman" w:cs="Times New Roman"/>
                <w:b/>
                <w:bCs/>
                <w:color w:val="000000"/>
                <w:sz w:val="20"/>
                <w:szCs w:val="20"/>
                <w:lang w:eastAsia="sk-SK"/>
              </w:rPr>
              <w:t>10 763 519</w:t>
            </w:r>
          </w:p>
        </w:tc>
        <w:tc>
          <w:tcPr>
            <w:tcW w:w="1167" w:type="pct"/>
            <w:tcBorders>
              <w:top w:val="single" w:sz="4" w:space="0" w:color="auto"/>
              <w:left w:val="nil"/>
              <w:bottom w:val="single" w:sz="8" w:space="0" w:color="auto"/>
              <w:right w:val="nil"/>
            </w:tcBorders>
            <w:shd w:val="clear" w:color="000000" w:fill="FFFFFF"/>
            <w:noWrap/>
            <w:vAlign w:val="center"/>
            <w:hideMark/>
          </w:tcPr>
          <w:p w14:paraId="49CD74D7" w14:textId="77777777" w:rsidR="00EA177A" w:rsidRPr="00CC1188" w:rsidRDefault="00EA177A" w:rsidP="00C704A7">
            <w:pPr>
              <w:spacing w:after="0" w:line="240" w:lineRule="auto"/>
              <w:jc w:val="right"/>
              <w:rPr>
                <w:rFonts w:eastAsia="Times New Roman" w:cs="Times New Roman"/>
                <w:b/>
                <w:bCs/>
                <w:color w:val="000000"/>
                <w:sz w:val="20"/>
                <w:szCs w:val="20"/>
                <w:lang w:eastAsia="sk-SK"/>
              </w:rPr>
            </w:pPr>
            <w:r w:rsidRPr="00CC1188">
              <w:rPr>
                <w:rFonts w:eastAsia="Times New Roman" w:cs="Times New Roman"/>
                <w:b/>
                <w:bCs/>
                <w:color w:val="000000"/>
                <w:sz w:val="20"/>
                <w:szCs w:val="20"/>
                <w:lang w:eastAsia="sk-SK"/>
              </w:rPr>
              <w:t>15 323 556</w:t>
            </w:r>
          </w:p>
        </w:tc>
      </w:tr>
    </w:tbl>
    <w:p w14:paraId="563B8B68" w14:textId="77777777" w:rsidR="00EA177A" w:rsidRPr="00CC1188" w:rsidRDefault="00EA177A" w:rsidP="00EA177A">
      <w:pPr>
        <w:jc w:val="right"/>
        <w:rPr>
          <w:sz w:val="18"/>
          <w:szCs w:val="18"/>
        </w:rPr>
      </w:pPr>
      <w:r w:rsidRPr="00CC1188">
        <w:rPr>
          <w:sz w:val="18"/>
          <w:szCs w:val="18"/>
        </w:rPr>
        <w:t>Zdroj: MF SR</w:t>
      </w:r>
    </w:p>
    <w:p w14:paraId="28FF396E" w14:textId="7EC7CAF2" w:rsidR="00606726" w:rsidRDefault="00EA177A" w:rsidP="00EA177A">
      <w:r w:rsidRPr="00A42FEA">
        <w:t>Za obdobie od</w:t>
      </w:r>
      <w:r w:rsidRPr="00A42FEA">
        <w:rPr>
          <w:b/>
        </w:rPr>
        <w:t xml:space="preserve"> </w:t>
      </w:r>
      <w:r w:rsidRPr="00A42FEA">
        <w:t>vstupu Slovenskej republiky do EÚ</w:t>
      </w:r>
      <w:r w:rsidRPr="00A42FEA">
        <w:rPr>
          <w:b/>
        </w:rPr>
        <w:t xml:space="preserve"> </w:t>
      </w:r>
      <w:r w:rsidRPr="00A42FEA">
        <w:t>boli celkovo</w:t>
      </w:r>
      <w:r w:rsidRPr="00A42FEA">
        <w:rPr>
          <w:b/>
        </w:rPr>
        <w:t xml:space="preserve"> </w:t>
      </w:r>
      <w:r w:rsidRPr="00A42FEA">
        <w:t>do rozpočtu Slovenskej republiky prijaté príjmy z EÚ vo výške 26 087 0</w:t>
      </w:r>
      <w:r>
        <w:t>75</w:t>
      </w:r>
      <w:r w:rsidRPr="00A42FEA">
        <w:t xml:space="preserve"> tis. eur a Slovenská republika odviedla do všeobecného rozpočtu EÚ sumu vo výške 10 763 519 tis. eur, na základe čoho </w:t>
      </w:r>
      <w:r w:rsidRPr="00A42FEA">
        <w:rPr>
          <w:b/>
        </w:rPr>
        <w:t>čistá finančná pozícia voči EÚ dosiahla 15 323</w:t>
      </w:r>
      <w:r>
        <w:rPr>
          <w:b/>
        </w:rPr>
        <w:t> </w:t>
      </w:r>
      <w:r w:rsidRPr="00A42FEA">
        <w:rPr>
          <w:b/>
        </w:rPr>
        <w:t>5</w:t>
      </w:r>
      <w:r>
        <w:rPr>
          <w:b/>
        </w:rPr>
        <w:t>56 </w:t>
      </w:r>
      <w:r w:rsidRPr="00A42FEA">
        <w:rPr>
          <w:b/>
        </w:rPr>
        <w:t>tis.</w:t>
      </w:r>
      <w:r>
        <w:rPr>
          <w:b/>
        </w:rPr>
        <w:t> </w:t>
      </w:r>
      <w:r w:rsidRPr="00A42FEA">
        <w:rPr>
          <w:b/>
        </w:rPr>
        <w:t>eur</w:t>
      </w:r>
      <w:r w:rsidRPr="00A42FEA">
        <w:t>.</w:t>
      </w:r>
      <w:r w:rsidRPr="00A42FEA">
        <w:rPr>
          <w:b/>
        </w:rPr>
        <w:t xml:space="preserve"> </w:t>
      </w:r>
      <w:r w:rsidRPr="00A42FEA">
        <w:t>Od roku 2004 Slovenská repu</w:t>
      </w:r>
      <w:r>
        <w:t>blika prijala z rozpočtu EÚ 2,4 </w:t>
      </w:r>
      <w:r w:rsidRPr="00A42FEA">
        <w:t>násobok prostriedkov, ktoré do rozpočtu odviedla</w:t>
      </w:r>
      <w:r>
        <w:t>.</w:t>
      </w:r>
    </w:p>
    <w:p w14:paraId="51C1981B" w14:textId="77777777" w:rsidR="00606726" w:rsidRDefault="00606726">
      <w:pPr>
        <w:spacing w:after="160" w:line="259" w:lineRule="auto"/>
        <w:jc w:val="left"/>
      </w:pPr>
      <w:r>
        <w:br w:type="page"/>
      </w:r>
    </w:p>
    <w:p w14:paraId="6A838574" w14:textId="13EC2E04" w:rsidR="008254BE" w:rsidRDefault="008254BE" w:rsidP="00606726">
      <w:pPr>
        <w:pStyle w:val="Nadpis3"/>
      </w:pPr>
      <w:bookmarkStart w:id="59" w:name="_Toc6415653"/>
      <w:bookmarkStart w:id="60" w:name="_Toc39095184"/>
      <w:r>
        <w:t>Príjmy z rozpočtu Európskej únie</w:t>
      </w:r>
      <w:bookmarkEnd w:id="59"/>
      <w:bookmarkEnd w:id="60"/>
    </w:p>
    <w:p w14:paraId="323DF448" w14:textId="77777777" w:rsidR="00EA177A" w:rsidRPr="000466DD" w:rsidRDefault="00EA177A" w:rsidP="00EA177A">
      <w:r w:rsidRPr="000466DD">
        <w:t>Príjmy z rozpočtu EÚ sa rozpočtujú pre programy, ktoré sa v Slovenskej republike poskytujú prostredníctvom certifikačného orgánu (Ministerstva financií SR a Ministerstva práce, sociálnych vecí a rodiny SR) alebo Ministerstva pôdohospodárstva a rozvo</w:t>
      </w:r>
      <w:r>
        <w:t>ja vidieka Slovenskej republiky.</w:t>
      </w:r>
      <w:r w:rsidRPr="000466DD">
        <w:t xml:space="preserve"> </w:t>
      </w:r>
    </w:p>
    <w:p w14:paraId="0DD129CD" w14:textId="77777777" w:rsidR="00EA177A" w:rsidRPr="000466DD" w:rsidRDefault="00EA177A" w:rsidP="00EA177A">
      <w:r w:rsidRPr="000466DD">
        <w:rPr>
          <w:b/>
        </w:rPr>
        <w:t>Príjmy zo zahraničných transferov</w:t>
      </w:r>
      <w:r w:rsidRPr="000466DD">
        <w:t xml:space="preserve"> sa rozpočtujú v rámci jednotlivých kapitol na úrovni platobných jednotiek, Pôdohospodárskej platobnej agentúry a Ministerstva práce sociálnych vecí a rodiny SR.</w:t>
      </w:r>
    </w:p>
    <w:p w14:paraId="2C3D676E" w14:textId="77777777" w:rsidR="00EA177A" w:rsidRPr="000466DD" w:rsidRDefault="00EA177A" w:rsidP="00EA177A">
      <w:pPr>
        <w:rPr>
          <w:b/>
        </w:rPr>
      </w:pPr>
      <w:r w:rsidRPr="000466DD">
        <w:rPr>
          <w:b/>
        </w:rPr>
        <w:t xml:space="preserve">Prostriedky za štrukturálne operácie </w:t>
      </w:r>
      <w:r w:rsidRPr="000466DD">
        <w:t>boli v rok</w:t>
      </w:r>
      <w:r>
        <w:t>u 2019 rozpočtované za programy</w:t>
      </w:r>
      <w:r>
        <w:br/>
      </w:r>
      <w:r w:rsidRPr="000466DD">
        <w:t xml:space="preserve">3. programového obdobia 2014-2020, a to za fondy - Európsky fond regionálneho rozvoja (vrátane programov európskej územnej spolupráce pre ktoré je Ministerstvo financií SR certifikačným orgánom - </w:t>
      </w:r>
      <w:proofErr w:type="spellStart"/>
      <w:r w:rsidRPr="000466DD">
        <w:t>Interreg</w:t>
      </w:r>
      <w:proofErr w:type="spellEnd"/>
      <w:r w:rsidRPr="000466DD">
        <w:t xml:space="preserve"> V-A SK-AT 2014-2020, </w:t>
      </w:r>
      <w:proofErr w:type="spellStart"/>
      <w:r w:rsidRPr="000466DD">
        <w:t>Interreg</w:t>
      </w:r>
      <w:proofErr w:type="spellEnd"/>
      <w:r w:rsidRPr="000466DD">
        <w:t xml:space="preserve"> V-A SK-CZ 2014-2020), Európsky sociálny fond, Iniciatíva na podporu zamestnanosti mladých ľudí, Kohézny fond, Európsky námorný a rybársky fond a Fond európskej pomoci pre najodkázanejšie osoby.</w:t>
      </w:r>
    </w:p>
    <w:p w14:paraId="4AB5A527" w14:textId="77777777" w:rsidR="00EA177A" w:rsidRPr="000466DD" w:rsidRDefault="00EA177A" w:rsidP="00EA177A">
      <w:r w:rsidRPr="000466DD">
        <w:rPr>
          <w:b/>
        </w:rPr>
        <w:t>Prostriedky za poľnohospodárske fondy</w:t>
      </w:r>
      <w:r w:rsidRPr="000466DD">
        <w:t xml:space="preserve"> boli v roku 2019 rozpočtované za Európsky poľnohospodársky záručný fond (Priame platby a Trhovo orientované výdavky)</w:t>
      </w:r>
      <w:r>
        <w:t xml:space="preserve"> a </w:t>
      </w:r>
      <w:r w:rsidRPr="000466DD">
        <w:t>za Európsky poľnohospodársky fond pre rozvoj vidieka (Program rozvoja vidieka).</w:t>
      </w:r>
    </w:p>
    <w:p w14:paraId="358D99DE" w14:textId="77777777" w:rsidR="00EA177A" w:rsidRPr="000466DD" w:rsidRDefault="00EA177A" w:rsidP="00EA177A">
      <w:r w:rsidRPr="000466DD">
        <w:t>Schválený rozpočet príjmov zo zahraničných transferov na rok 2019 bol vo výške 1</w:t>
      </w:r>
      <w:r>
        <w:t> 665 </w:t>
      </w:r>
      <w:r w:rsidRPr="000466DD">
        <w:t>041 tis. eur.</w:t>
      </w:r>
    </w:p>
    <w:p w14:paraId="1454A52E" w14:textId="18317F31" w:rsidR="00EA177A" w:rsidRPr="000466DD" w:rsidRDefault="00EA177A" w:rsidP="00EA177A">
      <w:r w:rsidRPr="000466DD">
        <w:t>Rozpočet príjmov za prostriedky EÚ bol v roku 2019 upravený na úroveň 2</w:t>
      </w:r>
      <w:r>
        <w:t> 126 </w:t>
      </w:r>
      <w:r w:rsidRPr="000466DD">
        <w:t>785</w:t>
      </w:r>
      <w:r>
        <w:t> </w:t>
      </w:r>
      <w:r w:rsidRPr="000466DD">
        <w:t>tis.</w:t>
      </w:r>
      <w:r>
        <w:t> </w:t>
      </w:r>
      <w:r w:rsidRPr="000466DD">
        <w:t>eur. K úpravám došlo v nadväznosti na vysporiadanie finančných prostriedkov za finančné opravy v</w:t>
      </w:r>
      <w:r>
        <w:t> </w:t>
      </w:r>
      <w:r w:rsidRPr="000466DD">
        <w:t>zmysle § 15 zákona o rozpočtových pravidlách verejnej správy, v nadväznosti na prijaté oznámenia o výške prostriedkov, ktoré budú použité v nasledujúcich rokoch v zmysle § 8 zákona o rozpočtových pravidlách verejnej správy a v nadväznosti na ostatné viazania prostriedkov v zmysle § 18 zákona o rozpočtových pravidlách verejnej správy.</w:t>
      </w:r>
    </w:p>
    <w:p w14:paraId="0E518CC9" w14:textId="77777777" w:rsidR="00EA177A" w:rsidRPr="00CF34E6" w:rsidRDefault="00EA177A" w:rsidP="00EA177A">
      <w:r w:rsidRPr="000466DD">
        <w:t>Skutočné plnenie príjmov zo zahraničných transferov</w:t>
      </w:r>
      <w:r w:rsidRPr="000466DD">
        <w:rPr>
          <w:b/>
          <w:i/>
        </w:rPr>
        <w:t xml:space="preserve"> </w:t>
      </w:r>
      <w:r w:rsidRPr="000466DD">
        <w:t>vo výške 2</w:t>
      </w:r>
      <w:r>
        <w:t> 126 </w:t>
      </w:r>
      <w:r w:rsidRPr="000466DD">
        <w:t>921</w:t>
      </w:r>
      <w:r>
        <w:t> </w:t>
      </w:r>
      <w:r w:rsidRPr="000466DD">
        <w:t>tis.</w:t>
      </w:r>
      <w:r>
        <w:t> </w:t>
      </w:r>
      <w:r w:rsidRPr="000466DD">
        <w:t xml:space="preserve">eur predstavuje plnenie na úrovni 100 % z upraveného rozpočtu. Príjmy za štrukturálne operácie, pri ktorých plní úlohu certifikačného orgánu Ministerstvo financií SR sú </w:t>
      </w:r>
      <w:r w:rsidRPr="00CF34E6">
        <w:t>vo výške 1 404 636 tis. eur (z toho štrukturálne fondy 2. programového obdobia v sume 43 275 tis. eur, štrukturálne fondy 3. programového obdobia v sume 8</w:t>
      </w:r>
      <w:r>
        <w:t>44 546</w:t>
      </w:r>
      <w:r w:rsidRPr="00CF34E6">
        <w:t xml:space="preserve"> tis. eur, Kohézny fond 2. programového obdobia v sume 83 392 tis. eur a Kohézny fond 3. programového obdobia v sume 433 423 tis. eur). Príjmy za štrukturálne operácie, pri ktorých plní úlohu certifikačného orgánu Ministerstvo práce, sociálnych vecí a rodiny SR sú v sume 11 090 tis. eur. Príjmy za poľno</w:t>
      </w:r>
      <w:r>
        <w:t>hospodárske fondy boli vo výške</w:t>
      </w:r>
      <w:r>
        <w:br/>
      </w:r>
      <w:r w:rsidRPr="00CF34E6">
        <w:t>711 195 tis. eur (z toho za Európsky poľnohospodársky fond rozvoja vidieka v sume 212 004 tis. eur a za Európsky poľnoh</w:t>
      </w:r>
      <w:r>
        <w:t xml:space="preserve">ospodársky záručný fond v sume </w:t>
      </w:r>
      <w:r w:rsidRPr="00CF34E6">
        <w:t>499</w:t>
      </w:r>
      <w:r>
        <w:t> </w:t>
      </w:r>
      <w:r w:rsidRPr="00CF34E6">
        <w:t>191</w:t>
      </w:r>
      <w:r>
        <w:t> </w:t>
      </w:r>
      <w:r w:rsidRPr="00CF34E6">
        <w:t>tis.</w:t>
      </w:r>
      <w:r>
        <w:t> </w:t>
      </w:r>
      <w:r w:rsidRPr="00CF34E6">
        <w:t xml:space="preserve">eur). </w:t>
      </w:r>
    </w:p>
    <w:p w14:paraId="6E69BAF3" w14:textId="77777777" w:rsidR="00F02221" w:rsidRDefault="00F02221">
      <w:pPr>
        <w:spacing w:after="160" w:line="259" w:lineRule="auto"/>
        <w:jc w:val="left"/>
      </w:pPr>
      <w:r>
        <w:br w:type="page"/>
      </w:r>
    </w:p>
    <w:p w14:paraId="6992C1E6" w14:textId="7F7CB647" w:rsidR="00EA177A" w:rsidRPr="00E00FA8" w:rsidRDefault="00EA177A" w:rsidP="00EA177A">
      <w:r w:rsidRPr="00CF34E6">
        <w:t xml:space="preserve">Do skutočnosti príjmov z rozpočtu EÚ vstupujú aj </w:t>
      </w:r>
      <w:r w:rsidRPr="00CF34E6">
        <w:rPr>
          <w:b/>
        </w:rPr>
        <w:t xml:space="preserve">príjmy zo zahraničných grantov poskytnutých z rozpočtu EÚ, </w:t>
      </w:r>
      <w:r w:rsidRPr="00CF34E6">
        <w:t>ktoré boli zapojené cez</w:t>
      </w:r>
      <w:r>
        <w:t xml:space="preserve"> príjmy ŠR v roku 2019 vo výške</w:t>
      </w:r>
      <w:r>
        <w:br/>
      </w:r>
      <w:r w:rsidRPr="00CF34E6">
        <w:t xml:space="preserve">22 tis. eur. V rámci </w:t>
      </w:r>
      <w:r w:rsidRPr="00E00FA8">
        <w:t xml:space="preserve">zahraničných grantov sú uvedené výlučne zahraničné granty poskytnuté z rozpočtu EÚ, ktorých poskytovanie riadi EÚ centralizovaným spôsobom. </w:t>
      </w:r>
    </w:p>
    <w:p w14:paraId="41D17345" w14:textId="55801F50" w:rsidR="00EA177A" w:rsidRDefault="00EA177A" w:rsidP="00F02221">
      <w:r w:rsidRPr="00E00FA8">
        <w:t>Skutočné plnenie príjmov SR z rozpočtu EÚ je vo výške 2 126</w:t>
      </w:r>
      <w:r>
        <w:t xml:space="preserve"> 943 tis. eur, z toho príjmy zo </w:t>
      </w:r>
      <w:r w:rsidRPr="00E00FA8">
        <w:t>zahraničných transferov sú vo výške 2 126 921 tis. eur a príjm</w:t>
      </w:r>
      <w:r>
        <w:t>y zo zahraničných grantov sú vo </w:t>
      </w:r>
      <w:r w:rsidRPr="00E00FA8">
        <w:t>výške 22 tis. eur.</w:t>
      </w:r>
    </w:p>
    <w:p w14:paraId="1B40009A" w14:textId="77777777" w:rsidR="00EA177A" w:rsidRDefault="00EA177A" w:rsidP="00EA177A">
      <w:r w:rsidRPr="00E00FA8">
        <w:t>Prehľad je uvedený v nasledovnej tabuľke:</w:t>
      </w:r>
    </w:p>
    <w:tbl>
      <w:tblPr>
        <w:tblW w:w="5081" w:type="pct"/>
        <w:tblLayout w:type="fixed"/>
        <w:tblCellMar>
          <w:left w:w="70" w:type="dxa"/>
          <w:right w:w="70" w:type="dxa"/>
        </w:tblCellMar>
        <w:tblLook w:val="04A0" w:firstRow="1" w:lastRow="0" w:firstColumn="1" w:lastColumn="0" w:noHBand="0" w:noVBand="1"/>
      </w:tblPr>
      <w:tblGrid>
        <w:gridCol w:w="2956"/>
        <w:gridCol w:w="1025"/>
        <w:gridCol w:w="989"/>
        <w:gridCol w:w="990"/>
        <w:gridCol w:w="1129"/>
        <w:gridCol w:w="847"/>
        <w:gridCol w:w="705"/>
      </w:tblGrid>
      <w:tr w:rsidR="00EA177A" w:rsidRPr="00F02221" w14:paraId="15C982FC" w14:textId="77777777" w:rsidTr="009A1540">
        <w:trPr>
          <w:trHeight w:val="526"/>
        </w:trPr>
        <w:tc>
          <w:tcPr>
            <w:tcW w:w="1711" w:type="pct"/>
            <w:tcBorders>
              <w:top w:val="nil"/>
              <w:left w:val="nil"/>
              <w:bottom w:val="nil"/>
              <w:right w:val="nil"/>
            </w:tcBorders>
            <w:shd w:val="clear" w:color="000000" w:fill="000000"/>
            <w:noWrap/>
            <w:vAlign w:val="center"/>
            <w:hideMark/>
          </w:tcPr>
          <w:p w14:paraId="0163C1F5" w14:textId="77777777" w:rsidR="00EA177A" w:rsidRPr="00F02221" w:rsidRDefault="00EA177A" w:rsidP="00C704A7">
            <w:pPr>
              <w:spacing w:after="0" w:line="240" w:lineRule="auto"/>
              <w:jc w:val="left"/>
              <w:rPr>
                <w:rFonts w:eastAsia="Times New Roman" w:cs="Times New Roman"/>
                <w:b/>
                <w:bCs/>
                <w:color w:val="FFFFFF"/>
                <w:sz w:val="18"/>
                <w:szCs w:val="18"/>
                <w:lang w:eastAsia="sk-SK"/>
              </w:rPr>
            </w:pPr>
            <w:r w:rsidRPr="00F02221">
              <w:rPr>
                <w:rFonts w:eastAsia="Times New Roman" w:cs="Times New Roman"/>
                <w:b/>
                <w:bCs/>
                <w:color w:val="FFFFFF"/>
                <w:sz w:val="18"/>
                <w:szCs w:val="18"/>
                <w:lang w:eastAsia="sk-SK"/>
              </w:rPr>
              <w:t xml:space="preserve">Plnenie príjmov z rozpočtu EÚ </w:t>
            </w:r>
          </w:p>
        </w:tc>
        <w:tc>
          <w:tcPr>
            <w:tcW w:w="593" w:type="pct"/>
            <w:tcBorders>
              <w:top w:val="nil"/>
              <w:left w:val="nil"/>
              <w:bottom w:val="nil"/>
              <w:right w:val="nil"/>
            </w:tcBorders>
            <w:shd w:val="clear" w:color="000000" w:fill="000000"/>
            <w:noWrap/>
            <w:vAlign w:val="center"/>
            <w:hideMark/>
          </w:tcPr>
          <w:p w14:paraId="6B147558" w14:textId="77777777" w:rsidR="00EA177A" w:rsidRPr="00F02221" w:rsidRDefault="00EA177A" w:rsidP="00C704A7">
            <w:pPr>
              <w:spacing w:after="0" w:line="240" w:lineRule="auto"/>
              <w:jc w:val="left"/>
              <w:rPr>
                <w:rFonts w:ascii="Arial Narrow" w:eastAsia="Times New Roman" w:hAnsi="Arial Narrow" w:cs="Times New Roman"/>
                <w:color w:val="000000"/>
                <w:sz w:val="18"/>
                <w:szCs w:val="18"/>
                <w:lang w:eastAsia="sk-SK"/>
              </w:rPr>
            </w:pPr>
            <w:r w:rsidRPr="00F02221">
              <w:rPr>
                <w:rFonts w:ascii="Arial Narrow" w:eastAsia="Times New Roman" w:hAnsi="Arial Narrow" w:cs="Times New Roman"/>
                <w:color w:val="000000"/>
                <w:sz w:val="18"/>
                <w:szCs w:val="18"/>
                <w:lang w:eastAsia="sk-SK"/>
              </w:rPr>
              <w:t> </w:t>
            </w:r>
          </w:p>
        </w:tc>
        <w:tc>
          <w:tcPr>
            <w:tcW w:w="572" w:type="pct"/>
            <w:tcBorders>
              <w:top w:val="nil"/>
              <w:left w:val="nil"/>
              <w:bottom w:val="nil"/>
              <w:right w:val="nil"/>
            </w:tcBorders>
            <w:shd w:val="clear" w:color="000000" w:fill="000000"/>
            <w:noWrap/>
            <w:vAlign w:val="center"/>
            <w:hideMark/>
          </w:tcPr>
          <w:p w14:paraId="0AE6AAA8" w14:textId="77777777" w:rsidR="00EA177A" w:rsidRPr="00F02221" w:rsidRDefault="00EA177A" w:rsidP="00C704A7">
            <w:pPr>
              <w:spacing w:after="0" w:line="240" w:lineRule="auto"/>
              <w:jc w:val="left"/>
              <w:rPr>
                <w:rFonts w:ascii="Arial Narrow" w:eastAsia="Times New Roman" w:hAnsi="Arial Narrow" w:cs="Times New Roman"/>
                <w:color w:val="000000"/>
                <w:sz w:val="18"/>
                <w:szCs w:val="18"/>
                <w:lang w:eastAsia="sk-SK"/>
              </w:rPr>
            </w:pPr>
            <w:r w:rsidRPr="00F02221">
              <w:rPr>
                <w:rFonts w:ascii="Arial Narrow" w:eastAsia="Times New Roman" w:hAnsi="Arial Narrow" w:cs="Times New Roman"/>
                <w:color w:val="000000"/>
                <w:sz w:val="18"/>
                <w:szCs w:val="18"/>
                <w:lang w:eastAsia="sk-SK"/>
              </w:rPr>
              <w:t> </w:t>
            </w:r>
          </w:p>
        </w:tc>
        <w:tc>
          <w:tcPr>
            <w:tcW w:w="573" w:type="pct"/>
            <w:tcBorders>
              <w:top w:val="nil"/>
              <w:left w:val="nil"/>
              <w:bottom w:val="nil"/>
              <w:right w:val="nil"/>
            </w:tcBorders>
            <w:shd w:val="clear" w:color="000000" w:fill="000000"/>
            <w:noWrap/>
            <w:vAlign w:val="center"/>
            <w:hideMark/>
          </w:tcPr>
          <w:p w14:paraId="4E2DAD72" w14:textId="77777777" w:rsidR="00EA177A" w:rsidRPr="00F02221" w:rsidRDefault="00EA177A" w:rsidP="00C704A7">
            <w:pPr>
              <w:spacing w:after="0" w:line="240" w:lineRule="auto"/>
              <w:jc w:val="left"/>
              <w:rPr>
                <w:rFonts w:ascii="Arial Narrow" w:eastAsia="Times New Roman" w:hAnsi="Arial Narrow" w:cs="Times New Roman"/>
                <w:color w:val="000000"/>
                <w:sz w:val="18"/>
                <w:szCs w:val="18"/>
                <w:lang w:eastAsia="sk-SK"/>
              </w:rPr>
            </w:pPr>
            <w:r w:rsidRPr="00F02221">
              <w:rPr>
                <w:rFonts w:ascii="Arial Narrow" w:eastAsia="Times New Roman" w:hAnsi="Arial Narrow" w:cs="Times New Roman"/>
                <w:color w:val="000000"/>
                <w:sz w:val="18"/>
                <w:szCs w:val="18"/>
                <w:lang w:eastAsia="sk-SK"/>
              </w:rPr>
              <w:t> </w:t>
            </w:r>
          </w:p>
        </w:tc>
        <w:tc>
          <w:tcPr>
            <w:tcW w:w="1551" w:type="pct"/>
            <w:gridSpan w:val="3"/>
            <w:tcBorders>
              <w:top w:val="nil"/>
              <w:left w:val="nil"/>
              <w:bottom w:val="nil"/>
              <w:right w:val="nil"/>
            </w:tcBorders>
            <w:shd w:val="clear" w:color="000000" w:fill="000000"/>
            <w:noWrap/>
            <w:vAlign w:val="center"/>
            <w:hideMark/>
          </w:tcPr>
          <w:p w14:paraId="4963D404" w14:textId="04BA609A" w:rsidR="00EA177A" w:rsidRPr="00F02221" w:rsidRDefault="00EA177A" w:rsidP="00FF7451">
            <w:pPr>
              <w:spacing w:after="0" w:line="240" w:lineRule="auto"/>
              <w:jc w:val="left"/>
              <w:rPr>
                <w:rFonts w:eastAsia="Times New Roman" w:cs="Times New Roman"/>
                <w:b/>
                <w:bCs/>
                <w:color w:val="FFFFFF"/>
                <w:sz w:val="18"/>
                <w:szCs w:val="18"/>
                <w:lang w:eastAsia="sk-SK"/>
              </w:rPr>
            </w:pPr>
            <w:r w:rsidRPr="00F02221">
              <w:rPr>
                <w:rFonts w:ascii="Arial Narrow" w:eastAsia="Times New Roman" w:hAnsi="Arial Narrow" w:cs="Times New Roman"/>
                <w:color w:val="000000"/>
                <w:sz w:val="18"/>
                <w:szCs w:val="18"/>
                <w:lang w:eastAsia="sk-SK"/>
              </w:rPr>
              <w:t xml:space="preserve">                                    </w:t>
            </w:r>
            <w:r w:rsidR="00FF7451">
              <w:rPr>
                <w:rFonts w:ascii="Arial Narrow" w:eastAsia="Times New Roman" w:hAnsi="Arial Narrow" w:cs="Times New Roman"/>
                <w:color w:val="000000"/>
                <w:sz w:val="18"/>
                <w:szCs w:val="18"/>
                <w:lang w:eastAsia="sk-SK"/>
              </w:rPr>
              <w:t xml:space="preserve">    </w:t>
            </w:r>
            <w:r w:rsidRPr="00F02221">
              <w:rPr>
                <w:rFonts w:ascii="Arial Narrow" w:eastAsia="Times New Roman" w:hAnsi="Arial Narrow" w:cs="Times New Roman"/>
                <w:color w:val="000000"/>
                <w:sz w:val="18"/>
                <w:szCs w:val="18"/>
                <w:lang w:eastAsia="sk-SK"/>
              </w:rPr>
              <w:t xml:space="preserve"> </w:t>
            </w:r>
            <w:r w:rsidRPr="00F02221">
              <w:rPr>
                <w:rFonts w:eastAsia="Times New Roman" w:cs="Times New Roman"/>
                <w:b/>
                <w:bCs/>
                <w:color w:val="FFFFFF"/>
                <w:sz w:val="18"/>
                <w:szCs w:val="18"/>
                <w:lang w:eastAsia="sk-SK"/>
              </w:rPr>
              <w:t>v tis. eur</w:t>
            </w:r>
          </w:p>
        </w:tc>
      </w:tr>
      <w:tr w:rsidR="00EA177A" w:rsidRPr="00F02221" w14:paraId="3F55125F" w14:textId="77777777" w:rsidTr="009A1540">
        <w:trPr>
          <w:trHeight w:val="330"/>
        </w:trPr>
        <w:tc>
          <w:tcPr>
            <w:tcW w:w="1711" w:type="pct"/>
            <w:tcBorders>
              <w:top w:val="nil"/>
              <w:left w:val="nil"/>
              <w:bottom w:val="nil"/>
              <w:right w:val="nil"/>
            </w:tcBorders>
            <w:shd w:val="clear" w:color="000000" w:fill="BFBFBF"/>
            <w:vAlign w:val="center"/>
            <w:hideMark/>
          </w:tcPr>
          <w:p w14:paraId="6EB2B5BE" w14:textId="77777777" w:rsidR="00EA177A" w:rsidRPr="00F02221" w:rsidRDefault="00EA177A" w:rsidP="00C704A7">
            <w:pPr>
              <w:spacing w:after="0" w:line="240" w:lineRule="auto"/>
              <w:jc w:val="left"/>
              <w:rPr>
                <w:rFonts w:eastAsia="Times New Roman" w:cs="Times New Roman"/>
                <w:b/>
                <w:bCs/>
                <w:color w:val="FFFFFF"/>
                <w:sz w:val="18"/>
                <w:szCs w:val="18"/>
                <w:lang w:eastAsia="sk-SK"/>
              </w:rPr>
            </w:pPr>
            <w:r w:rsidRPr="00F02221">
              <w:rPr>
                <w:rFonts w:eastAsia="Times New Roman" w:cs="Times New Roman"/>
                <w:b/>
                <w:bCs/>
                <w:color w:val="FFFFFF"/>
                <w:sz w:val="18"/>
                <w:szCs w:val="18"/>
                <w:lang w:eastAsia="sk-SK"/>
              </w:rPr>
              <w:t> </w:t>
            </w:r>
          </w:p>
        </w:tc>
        <w:tc>
          <w:tcPr>
            <w:tcW w:w="1165" w:type="pct"/>
            <w:gridSpan w:val="2"/>
            <w:tcBorders>
              <w:top w:val="nil"/>
              <w:left w:val="nil"/>
              <w:bottom w:val="nil"/>
              <w:right w:val="nil"/>
            </w:tcBorders>
            <w:shd w:val="clear" w:color="000000" w:fill="BFBFBF"/>
            <w:vAlign w:val="center"/>
            <w:hideMark/>
          </w:tcPr>
          <w:p w14:paraId="58F31CB4"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Skutočnosť</w:t>
            </w:r>
          </w:p>
        </w:tc>
        <w:tc>
          <w:tcPr>
            <w:tcW w:w="573" w:type="pct"/>
            <w:tcBorders>
              <w:top w:val="nil"/>
              <w:left w:val="nil"/>
              <w:bottom w:val="nil"/>
              <w:right w:val="nil"/>
            </w:tcBorders>
            <w:shd w:val="clear" w:color="000000" w:fill="BFBFBF"/>
            <w:vAlign w:val="center"/>
            <w:hideMark/>
          </w:tcPr>
          <w:p w14:paraId="01A107C7"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Rozpočet</w:t>
            </w:r>
          </w:p>
        </w:tc>
        <w:tc>
          <w:tcPr>
            <w:tcW w:w="653" w:type="pct"/>
            <w:tcBorders>
              <w:top w:val="nil"/>
              <w:left w:val="nil"/>
              <w:bottom w:val="nil"/>
              <w:right w:val="nil"/>
            </w:tcBorders>
            <w:shd w:val="clear" w:color="000000" w:fill="BFBFBF"/>
            <w:vAlign w:val="center"/>
            <w:hideMark/>
          </w:tcPr>
          <w:p w14:paraId="19B3FD5D"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Skutočnosť</w:t>
            </w:r>
          </w:p>
        </w:tc>
        <w:tc>
          <w:tcPr>
            <w:tcW w:w="899" w:type="pct"/>
            <w:gridSpan w:val="2"/>
            <w:tcBorders>
              <w:top w:val="nil"/>
              <w:left w:val="nil"/>
              <w:bottom w:val="nil"/>
              <w:right w:val="nil"/>
            </w:tcBorders>
            <w:shd w:val="clear" w:color="000000" w:fill="BFBFBF"/>
            <w:vAlign w:val="center"/>
            <w:hideMark/>
          </w:tcPr>
          <w:p w14:paraId="290BA8BD"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Rozdiel</w:t>
            </w:r>
          </w:p>
        </w:tc>
      </w:tr>
      <w:tr w:rsidR="00EA177A" w:rsidRPr="00F02221" w14:paraId="524D1F75" w14:textId="77777777" w:rsidTr="009A1540">
        <w:trPr>
          <w:trHeight w:val="330"/>
        </w:trPr>
        <w:tc>
          <w:tcPr>
            <w:tcW w:w="1711" w:type="pct"/>
            <w:tcBorders>
              <w:top w:val="nil"/>
              <w:left w:val="nil"/>
              <w:bottom w:val="nil"/>
              <w:right w:val="nil"/>
            </w:tcBorders>
            <w:shd w:val="clear" w:color="000000" w:fill="BFBFBF"/>
            <w:vAlign w:val="center"/>
            <w:hideMark/>
          </w:tcPr>
          <w:p w14:paraId="3DAE8F15"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 </w:t>
            </w:r>
          </w:p>
        </w:tc>
        <w:tc>
          <w:tcPr>
            <w:tcW w:w="593" w:type="pct"/>
            <w:tcBorders>
              <w:top w:val="nil"/>
              <w:left w:val="nil"/>
              <w:bottom w:val="nil"/>
              <w:right w:val="nil"/>
            </w:tcBorders>
            <w:shd w:val="clear" w:color="000000" w:fill="BFBFBF"/>
            <w:vAlign w:val="center"/>
            <w:hideMark/>
          </w:tcPr>
          <w:p w14:paraId="6CB3DC36"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2017</w:t>
            </w:r>
          </w:p>
        </w:tc>
        <w:tc>
          <w:tcPr>
            <w:tcW w:w="572" w:type="pct"/>
            <w:tcBorders>
              <w:top w:val="nil"/>
              <w:left w:val="nil"/>
              <w:bottom w:val="nil"/>
              <w:right w:val="nil"/>
            </w:tcBorders>
            <w:shd w:val="clear" w:color="000000" w:fill="BFBFBF"/>
            <w:vAlign w:val="center"/>
            <w:hideMark/>
          </w:tcPr>
          <w:p w14:paraId="4B13FDAD"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2018</w:t>
            </w:r>
          </w:p>
        </w:tc>
        <w:tc>
          <w:tcPr>
            <w:tcW w:w="573" w:type="pct"/>
            <w:tcBorders>
              <w:top w:val="nil"/>
              <w:left w:val="nil"/>
              <w:bottom w:val="nil"/>
              <w:right w:val="nil"/>
            </w:tcBorders>
            <w:shd w:val="clear" w:color="000000" w:fill="BFBFBF"/>
            <w:vAlign w:val="center"/>
            <w:hideMark/>
          </w:tcPr>
          <w:p w14:paraId="58F7ABA4"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2019</w:t>
            </w:r>
          </w:p>
        </w:tc>
        <w:tc>
          <w:tcPr>
            <w:tcW w:w="653" w:type="pct"/>
            <w:tcBorders>
              <w:top w:val="nil"/>
              <w:left w:val="nil"/>
              <w:bottom w:val="nil"/>
              <w:right w:val="nil"/>
            </w:tcBorders>
            <w:shd w:val="clear" w:color="000000" w:fill="BFBFBF"/>
            <w:vAlign w:val="center"/>
            <w:hideMark/>
          </w:tcPr>
          <w:p w14:paraId="30808B98"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2019</w:t>
            </w:r>
          </w:p>
        </w:tc>
        <w:tc>
          <w:tcPr>
            <w:tcW w:w="490" w:type="pct"/>
            <w:tcBorders>
              <w:top w:val="nil"/>
              <w:left w:val="nil"/>
              <w:bottom w:val="nil"/>
              <w:right w:val="nil"/>
            </w:tcBorders>
            <w:shd w:val="clear" w:color="000000" w:fill="BFBFBF"/>
            <w:vAlign w:val="center"/>
            <w:hideMark/>
          </w:tcPr>
          <w:p w14:paraId="4E7817F7"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 xml:space="preserve"> v tis. eur</w:t>
            </w:r>
          </w:p>
        </w:tc>
        <w:tc>
          <w:tcPr>
            <w:tcW w:w="409" w:type="pct"/>
            <w:tcBorders>
              <w:top w:val="nil"/>
              <w:left w:val="nil"/>
              <w:bottom w:val="nil"/>
              <w:right w:val="nil"/>
            </w:tcBorders>
            <w:shd w:val="clear" w:color="000000" w:fill="BFBFBF"/>
            <w:vAlign w:val="center"/>
            <w:hideMark/>
          </w:tcPr>
          <w:p w14:paraId="703C3F16" w14:textId="77777777" w:rsidR="00EA177A" w:rsidRPr="00F02221" w:rsidRDefault="00EA177A" w:rsidP="00C704A7">
            <w:pPr>
              <w:spacing w:after="0" w:line="240" w:lineRule="auto"/>
              <w:jc w:val="center"/>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v %</w:t>
            </w:r>
          </w:p>
        </w:tc>
      </w:tr>
      <w:tr w:rsidR="00EA177A" w:rsidRPr="00F02221" w14:paraId="15A4CE40" w14:textId="77777777" w:rsidTr="009A1540">
        <w:trPr>
          <w:trHeight w:val="345"/>
        </w:trPr>
        <w:tc>
          <w:tcPr>
            <w:tcW w:w="1711" w:type="pct"/>
            <w:tcBorders>
              <w:top w:val="nil"/>
              <w:left w:val="nil"/>
              <w:bottom w:val="single" w:sz="8" w:space="0" w:color="auto"/>
              <w:right w:val="nil"/>
            </w:tcBorders>
            <w:shd w:val="clear" w:color="000000" w:fill="BFBFBF"/>
            <w:vAlign w:val="center"/>
            <w:hideMark/>
          </w:tcPr>
          <w:p w14:paraId="73BCBE11" w14:textId="77777777" w:rsidR="00EA177A" w:rsidRPr="00F02221" w:rsidRDefault="00EA177A" w:rsidP="00C704A7">
            <w:pPr>
              <w:spacing w:after="0" w:line="240" w:lineRule="auto"/>
              <w:jc w:val="left"/>
              <w:rPr>
                <w:rFonts w:eastAsia="Times New Roman" w:cs="Times New Roman"/>
                <w:b/>
                <w:bCs/>
                <w:color w:val="FFFFFF"/>
                <w:sz w:val="18"/>
                <w:szCs w:val="18"/>
                <w:lang w:eastAsia="sk-SK"/>
              </w:rPr>
            </w:pPr>
            <w:r w:rsidRPr="00F02221">
              <w:rPr>
                <w:rFonts w:eastAsia="Times New Roman" w:cs="Times New Roman"/>
                <w:b/>
                <w:bCs/>
                <w:color w:val="FFFFFF"/>
                <w:sz w:val="18"/>
                <w:szCs w:val="18"/>
                <w:lang w:eastAsia="sk-SK"/>
              </w:rPr>
              <w:t> </w:t>
            </w:r>
          </w:p>
        </w:tc>
        <w:tc>
          <w:tcPr>
            <w:tcW w:w="593" w:type="pct"/>
            <w:tcBorders>
              <w:top w:val="nil"/>
              <w:left w:val="nil"/>
              <w:bottom w:val="single" w:sz="8" w:space="0" w:color="auto"/>
              <w:right w:val="nil"/>
            </w:tcBorders>
            <w:shd w:val="clear" w:color="000000" w:fill="BFBFBF"/>
            <w:vAlign w:val="center"/>
            <w:hideMark/>
          </w:tcPr>
          <w:p w14:paraId="2AD487F7"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1</w:t>
            </w:r>
          </w:p>
        </w:tc>
        <w:tc>
          <w:tcPr>
            <w:tcW w:w="572" w:type="pct"/>
            <w:tcBorders>
              <w:top w:val="nil"/>
              <w:left w:val="nil"/>
              <w:bottom w:val="single" w:sz="8" w:space="0" w:color="auto"/>
              <w:right w:val="nil"/>
            </w:tcBorders>
            <w:shd w:val="clear" w:color="000000" w:fill="BFBFBF"/>
            <w:vAlign w:val="center"/>
            <w:hideMark/>
          </w:tcPr>
          <w:p w14:paraId="3670D6E3"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2</w:t>
            </w:r>
          </w:p>
        </w:tc>
        <w:tc>
          <w:tcPr>
            <w:tcW w:w="573" w:type="pct"/>
            <w:tcBorders>
              <w:top w:val="nil"/>
              <w:left w:val="nil"/>
              <w:bottom w:val="single" w:sz="8" w:space="0" w:color="auto"/>
              <w:right w:val="nil"/>
            </w:tcBorders>
            <w:shd w:val="clear" w:color="000000" w:fill="BFBFBF"/>
            <w:vAlign w:val="center"/>
            <w:hideMark/>
          </w:tcPr>
          <w:p w14:paraId="21F0993C"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3</w:t>
            </w:r>
          </w:p>
        </w:tc>
        <w:tc>
          <w:tcPr>
            <w:tcW w:w="653" w:type="pct"/>
            <w:tcBorders>
              <w:top w:val="nil"/>
              <w:left w:val="nil"/>
              <w:bottom w:val="single" w:sz="8" w:space="0" w:color="auto"/>
              <w:right w:val="nil"/>
            </w:tcBorders>
            <w:shd w:val="clear" w:color="000000" w:fill="BFBFBF"/>
            <w:vAlign w:val="center"/>
            <w:hideMark/>
          </w:tcPr>
          <w:p w14:paraId="26335350"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4</w:t>
            </w:r>
          </w:p>
        </w:tc>
        <w:tc>
          <w:tcPr>
            <w:tcW w:w="490" w:type="pct"/>
            <w:tcBorders>
              <w:top w:val="nil"/>
              <w:left w:val="nil"/>
              <w:bottom w:val="single" w:sz="8" w:space="0" w:color="auto"/>
              <w:right w:val="nil"/>
            </w:tcBorders>
            <w:shd w:val="clear" w:color="000000" w:fill="BFBFBF"/>
            <w:vAlign w:val="center"/>
            <w:hideMark/>
          </w:tcPr>
          <w:p w14:paraId="1A0FE69A"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5=4-3</w:t>
            </w:r>
          </w:p>
        </w:tc>
        <w:tc>
          <w:tcPr>
            <w:tcW w:w="409" w:type="pct"/>
            <w:tcBorders>
              <w:top w:val="nil"/>
              <w:left w:val="nil"/>
              <w:bottom w:val="single" w:sz="8" w:space="0" w:color="auto"/>
              <w:right w:val="nil"/>
            </w:tcBorders>
            <w:shd w:val="clear" w:color="000000" w:fill="BFBFBF"/>
            <w:vAlign w:val="center"/>
            <w:hideMark/>
          </w:tcPr>
          <w:p w14:paraId="6F0E60CF" w14:textId="77777777" w:rsidR="00EA177A" w:rsidRPr="00F02221" w:rsidRDefault="00EA177A" w:rsidP="00C704A7">
            <w:pPr>
              <w:spacing w:after="0" w:line="240" w:lineRule="auto"/>
              <w:jc w:val="center"/>
              <w:rPr>
                <w:rFonts w:eastAsia="Times New Roman" w:cs="Times New Roman"/>
                <w:b/>
                <w:bCs/>
                <w:sz w:val="18"/>
                <w:szCs w:val="18"/>
                <w:lang w:eastAsia="sk-SK"/>
              </w:rPr>
            </w:pPr>
            <w:r w:rsidRPr="00F02221">
              <w:rPr>
                <w:rFonts w:eastAsia="Times New Roman" w:cs="Times New Roman"/>
                <w:b/>
                <w:bCs/>
                <w:sz w:val="18"/>
                <w:szCs w:val="18"/>
                <w:lang w:eastAsia="sk-SK"/>
              </w:rPr>
              <w:t>6=4-3</w:t>
            </w:r>
          </w:p>
        </w:tc>
      </w:tr>
      <w:tr w:rsidR="00EA177A" w:rsidRPr="00F02221" w14:paraId="24E77255" w14:textId="77777777" w:rsidTr="003421E9">
        <w:trPr>
          <w:trHeight w:val="330"/>
        </w:trPr>
        <w:tc>
          <w:tcPr>
            <w:tcW w:w="1711" w:type="pct"/>
            <w:tcBorders>
              <w:top w:val="nil"/>
              <w:left w:val="nil"/>
              <w:bottom w:val="nil"/>
              <w:right w:val="nil"/>
            </w:tcBorders>
            <w:shd w:val="clear" w:color="000000" w:fill="FFFFFF"/>
            <w:vAlign w:val="center"/>
            <w:hideMark/>
          </w:tcPr>
          <w:p w14:paraId="6E893A33"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Poľnohospodárske fondy 3. programové obdobie</w:t>
            </w:r>
          </w:p>
        </w:tc>
        <w:tc>
          <w:tcPr>
            <w:tcW w:w="593" w:type="pct"/>
            <w:tcBorders>
              <w:top w:val="nil"/>
              <w:left w:val="nil"/>
              <w:bottom w:val="nil"/>
              <w:right w:val="nil"/>
            </w:tcBorders>
            <w:shd w:val="clear" w:color="000000" w:fill="FFFFFF"/>
            <w:noWrap/>
            <w:vAlign w:val="center"/>
            <w:hideMark/>
          </w:tcPr>
          <w:p w14:paraId="218AA546"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586 678</w:t>
            </w:r>
          </w:p>
        </w:tc>
        <w:tc>
          <w:tcPr>
            <w:tcW w:w="572" w:type="pct"/>
            <w:tcBorders>
              <w:top w:val="nil"/>
              <w:left w:val="nil"/>
              <w:bottom w:val="nil"/>
              <w:right w:val="nil"/>
            </w:tcBorders>
            <w:shd w:val="clear" w:color="000000" w:fill="FFFFFF"/>
            <w:noWrap/>
            <w:vAlign w:val="center"/>
            <w:hideMark/>
          </w:tcPr>
          <w:p w14:paraId="5EF333E3"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650 931</w:t>
            </w:r>
          </w:p>
        </w:tc>
        <w:tc>
          <w:tcPr>
            <w:tcW w:w="573" w:type="pct"/>
            <w:tcBorders>
              <w:top w:val="nil"/>
              <w:left w:val="nil"/>
              <w:bottom w:val="nil"/>
              <w:right w:val="nil"/>
            </w:tcBorders>
            <w:shd w:val="clear" w:color="000000" w:fill="FFFFFF"/>
            <w:noWrap/>
            <w:vAlign w:val="center"/>
            <w:hideMark/>
          </w:tcPr>
          <w:p w14:paraId="331A73EA"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684 613</w:t>
            </w:r>
          </w:p>
        </w:tc>
        <w:tc>
          <w:tcPr>
            <w:tcW w:w="653" w:type="pct"/>
            <w:tcBorders>
              <w:top w:val="nil"/>
              <w:left w:val="nil"/>
              <w:bottom w:val="nil"/>
              <w:right w:val="nil"/>
            </w:tcBorders>
            <w:shd w:val="clear" w:color="auto" w:fill="BFBFBF" w:themeFill="background1" w:themeFillShade="BF"/>
            <w:noWrap/>
            <w:vAlign w:val="center"/>
            <w:hideMark/>
          </w:tcPr>
          <w:p w14:paraId="18DDB9CB"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711 195</w:t>
            </w:r>
          </w:p>
        </w:tc>
        <w:tc>
          <w:tcPr>
            <w:tcW w:w="490" w:type="pct"/>
            <w:tcBorders>
              <w:top w:val="nil"/>
              <w:left w:val="nil"/>
              <w:bottom w:val="nil"/>
              <w:right w:val="nil"/>
            </w:tcBorders>
            <w:shd w:val="clear" w:color="000000" w:fill="FFFFFF"/>
            <w:noWrap/>
            <w:vAlign w:val="center"/>
            <w:hideMark/>
          </w:tcPr>
          <w:p w14:paraId="0D2D55CC"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26 582</w:t>
            </w:r>
          </w:p>
        </w:tc>
        <w:tc>
          <w:tcPr>
            <w:tcW w:w="409" w:type="pct"/>
            <w:tcBorders>
              <w:top w:val="nil"/>
              <w:left w:val="nil"/>
              <w:bottom w:val="nil"/>
              <w:right w:val="nil"/>
            </w:tcBorders>
            <w:shd w:val="clear" w:color="000000" w:fill="FFFFFF"/>
            <w:noWrap/>
            <w:vAlign w:val="center"/>
            <w:hideMark/>
          </w:tcPr>
          <w:p w14:paraId="1F413DAA"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3,9</w:t>
            </w:r>
          </w:p>
        </w:tc>
      </w:tr>
      <w:tr w:rsidR="00EA177A" w:rsidRPr="00F02221" w14:paraId="01AC3AC8" w14:textId="77777777" w:rsidTr="003421E9">
        <w:trPr>
          <w:trHeight w:val="330"/>
        </w:trPr>
        <w:tc>
          <w:tcPr>
            <w:tcW w:w="1711" w:type="pct"/>
            <w:tcBorders>
              <w:top w:val="nil"/>
              <w:left w:val="nil"/>
              <w:bottom w:val="nil"/>
              <w:right w:val="nil"/>
            </w:tcBorders>
            <w:shd w:val="clear" w:color="000000" w:fill="FFFFFF"/>
            <w:vAlign w:val="center"/>
            <w:hideMark/>
          </w:tcPr>
          <w:p w14:paraId="5E19FCF8" w14:textId="77777777" w:rsidR="00EA177A" w:rsidRPr="00F02221" w:rsidRDefault="00EA177A" w:rsidP="00C704A7">
            <w:pPr>
              <w:spacing w:after="0" w:line="240" w:lineRule="auto"/>
              <w:jc w:val="lef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Poľnohospodárske fondy spolu - MPRV SR</w:t>
            </w:r>
          </w:p>
        </w:tc>
        <w:tc>
          <w:tcPr>
            <w:tcW w:w="593" w:type="pct"/>
            <w:tcBorders>
              <w:top w:val="nil"/>
              <w:left w:val="nil"/>
              <w:bottom w:val="nil"/>
              <w:right w:val="nil"/>
            </w:tcBorders>
            <w:shd w:val="clear" w:color="000000" w:fill="FFFFFF"/>
            <w:noWrap/>
            <w:vAlign w:val="center"/>
            <w:hideMark/>
          </w:tcPr>
          <w:p w14:paraId="260AAAFC"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586 678</w:t>
            </w:r>
          </w:p>
        </w:tc>
        <w:tc>
          <w:tcPr>
            <w:tcW w:w="572" w:type="pct"/>
            <w:tcBorders>
              <w:top w:val="nil"/>
              <w:left w:val="nil"/>
              <w:bottom w:val="nil"/>
              <w:right w:val="nil"/>
            </w:tcBorders>
            <w:shd w:val="clear" w:color="000000" w:fill="FFFFFF"/>
            <w:noWrap/>
            <w:vAlign w:val="center"/>
            <w:hideMark/>
          </w:tcPr>
          <w:p w14:paraId="024E46D0"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650 931</w:t>
            </w:r>
          </w:p>
        </w:tc>
        <w:tc>
          <w:tcPr>
            <w:tcW w:w="573" w:type="pct"/>
            <w:tcBorders>
              <w:top w:val="nil"/>
              <w:left w:val="nil"/>
              <w:bottom w:val="nil"/>
              <w:right w:val="nil"/>
            </w:tcBorders>
            <w:shd w:val="clear" w:color="000000" w:fill="FFFFFF"/>
            <w:noWrap/>
            <w:vAlign w:val="center"/>
            <w:hideMark/>
          </w:tcPr>
          <w:p w14:paraId="0FFF550F"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684 613</w:t>
            </w:r>
          </w:p>
        </w:tc>
        <w:tc>
          <w:tcPr>
            <w:tcW w:w="653" w:type="pct"/>
            <w:tcBorders>
              <w:top w:val="nil"/>
              <w:left w:val="nil"/>
              <w:bottom w:val="nil"/>
              <w:right w:val="nil"/>
            </w:tcBorders>
            <w:shd w:val="clear" w:color="auto" w:fill="BFBFBF" w:themeFill="background1" w:themeFillShade="BF"/>
            <w:noWrap/>
            <w:vAlign w:val="center"/>
            <w:hideMark/>
          </w:tcPr>
          <w:p w14:paraId="516EDC78"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711 195</w:t>
            </w:r>
          </w:p>
        </w:tc>
        <w:tc>
          <w:tcPr>
            <w:tcW w:w="490" w:type="pct"/>
            <w:tcBorders>
              <w:top w:val="nil"/>
              <w:left w:val="nil"/>
              <w:bottom w:val="nil"/>
              <w:right w:val="nil"/>
            </w:tcBorders>
            <w:shd w:val="clear" w:color="000000" w:fill="FFFFFF"/>
            <w:noWrap/>
            <w:vAlign w:val="center"/>
            <w:hideMark/>
          </w:tcPr>
          <w:p w14:paraId="250CC508"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26 582</w:t>
            </w:r>
          </w:p>
        </w:tc>
        <w:tc>
          <w:tcPr>
            <w:tcW w:w="409" w:type="pct"/>
            <w:tcBorders>
              <w:top w:val="nil"/>
              <w:left w:val="nil"/>
              <w:bottom w:val="nil"/>
              <w:right w:val="nil"/>
            </w:tcBorders>
            <w:shd w:val="clear" w:color="000000" w:fill="FFFFFF"/>
            <w:noWrap/>
            <w:vAlign w:val="center"/>
            <w:hideMark/>
          </w:tcPr>
          <w:p w14:paraId="75EF8AC9"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3,9</w:t>
            </w:r>
          </w:p>
        </w:tc>
      </w:tr>
      <w:tr w:rsidR="00EA177A" w:rsidRPr="00F02221" w14:paraId="54B59802" w14:textId="77777777" w:rsidTr="003421E9">
        <w:trPr>
          <w:trHeight w:val="510"/>
        </w:trPr>
        <w:tc>
          <w:tcPr>
            <w:tcW w:w="1711" w:type="pct"/>
            <w:tcBorders>
              <w:top w:val="nil"/>
              <w:left w:val="nil"/>
              <w:bottom w:val="nil"/>
              <w:right w:val="nil"/>
            </w:tcBorders>
            <w:shd w:val="clear" w:color="000000" w:fill="FFFFFF"/>
            <w:vAlign w:val="center"/>
            <w:hideMark/>
          </w:tcPr>
          <w:p w14:paraId="4757C493"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 xml:space="preserve">Štrukturálne fondy, Kohézny fond, Európsky fond pre rybné hospodárstvo 2. programové obdobie </w:t>
            </w:r>
          </w:p>
        </w:tc>
        <w:tc>
          <w:tcPr>
            <w:tcW w:w="593" w:type="pct"/>
            <w:tcBorders>
              <w:top w:val="nil"/>
              <w:left w:val="nil"/>
              <w:bottom w:val="nil"/>
              <w:right w:val="nil"/>
            </w:tcBorders>
            <w:shd w:val="clear" w:color="auto" w:fill="auto"/>
            <w:noWrap/>
            <w:vAlign w:val="center"/>
            <w:hideMark/>
          </w:tcPr>
          <w:p w14:paraId="0D1D24E8"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25 255</w:t>
            </w:r>
          </w:p>
        </w:tc>
        <w:tc>
          <w:tcPr>
            <w:tcW w:w="572" w:type="pct"/>
            <w:tcBorders>
              <w:top w:val="nil"/>
              <w:left w:val="nil"/>
              <w:bottom w:val="nil"/>
              <w:right w:val="nil"/>
            </w:tcBorders>
            <w:shd w:val="clear" w:color="000000" w:fill="FFFFFF"/>
            <w:noWrap/>
            <w:vAlign w:val="center"/>
            <w:hideMark/>
          </w:tcPr>
          <w:p w14:paraId="321D992C"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93 018</w:t>
            </w:r>
          </w:p>
        </w:tc>
        <w:tc>
          <w:tcPr>
            <w:tcW w:w="573" w:type="pct"/>
            <w:tcBorders>
              <w:top w:val="nil"/>
              <w:left w:val="nil"/>
              <w:bottom w:val="nil"/>
              <w:right w:val="nil"/>
            </w:tcBorders>
            <w:shd w:val="clear" w:color="000000" w:fill="FFFFFF"/>
            <w:noWrap/>
            <w:vAlign w:val="center"/>
            <w:hideMark/>
          </w:tcPr>
          <w:p w14:paraId="3489EC00"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0</w:t>
            </w:r>
          </w:p>
        </w:tc>
        <w:tc>
          <w:tcPr>
            <w:tcW w:w="653" w:type="pct"/>
            <w:tcBorders>
              <w:top w:val="nil"/>
              <w:left w:val="nil"/>
              <w:bottom w:val="nil"/>
              <w:right w:val="nil"/>
            </w:tcBorders>
            <w:shd w:val="clear" w:color="auto" w:fill="BFBFBF" w:themeFill="background1" w:themeFillShade="BF"/>
            <w:noWrap/>
            <w:vAlign w:val="center"/>
            <w:hideMark/>
          </w:tcPr>
          <w:p w14:paraId="2A2F8CA0"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126 667</w:t>
            </w:r>
          </w:p>
        </w:tc>
        <w:tc>
          <w:tcPr>
            <w:tcW w:w="490" w:type="pct"/>
            <w:tcBorders>
              <w:top w:val="nil"/>
              <w:left w:val="nil"/>
              <w:bottom w:val="nil"/>
              <w:right w:val="nil"/>
            </w:tcBorders>
            <w:shd w:val="clear" w:color="000000" w:fill="FFFFFF"/>
            <w:noWrap/>
            <w:vAlign w:val="center"/>
            <w:hideMark/>
          </w:tcPr>
          <w:p w14:paraId="7D329AAE"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126 667</w:t>
            </w:r>
          </w:p>
        </w:tc>
        <w:tc>
          <w:tcPr>
            <w:tcW w:w="409" w:type="pct"/>
            <w:tcBorders>
              <w:top w:val="nil"/>
              <w:left w:val="nil"/>
              <w:bottom w:val="nil"/>
              <w:right w:val="nil"/>
            </w:tcBorders>
            <w:shd w:val="clear" w:color="000000" w:fill="FFFFFF"/>
            <w:noWrap/>
            <w:vAlign w:val="center"/>
            <w:hideMark/>
          </w:tcPr>
          <w:p w14:paraId="19650D22"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w:t>
            </w:r>
          </w:p>
        </w:tc>
      </w:tr>
      <w:tr w:rsidR="00EA177A" w:rsidRPr="00F02221" w14:paraId="12DFFA00" w14:textId="77777777" w:rsidTr="003421E9">
        <w:trPr>
          <w:trHeight w:val="510"/>
        </w:trPr>
        <w:tc>
          <w:tcPr>
            <w:tcW w:w="1711" w:type="pct"/>
            <w:tcBorders>
              <w:top w:val="nil"/>
              <w:left w:val="nil"/>
              <w:bottom w:val="nil"/>
              <w:right w:val="nil"/>
            </w:tcBorders>
            <w:shd w:val="clear" w:color="000000" w:fill="FFFFFF"/>
            <w:vAlign w:val="center"/>
            <w:hideMark/>
          </w:tcPr>
          <w:p w14:paraId="55956994"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 xml:space="preserve">Štrukturálne fondy, Kohézny fond, Európsky námorný a rybársky fond 3. programové obdobie </w:t>
            </w:r>
          </w:p>
        </w:tc>
        <w:tc>
          <w:tcPr>
            <w:tcW w:w="593" w:type="pct"/>
            <w:tcBorders>
              <w:top w:val="nil"/>
              <w:left w:val="nil"/>
              <w:bottom w:val="nil"/>
              <w:right w:val="nil"/>
            </w:tcBorders>
            <w:shd w:val="clear" w:color="000000" w:fill="FFFFFF"/>
            <w:noWrap/>
            <w:vAlign w:val="center"/>
            <w:hideMark/>
          </w:tcPr>
          <w:p w14:paraId="60003F56"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801 432</w:t>
            </w:r>
          </w:p>
        </w:tc>
        <w:tc>
          <w:tcPr>
            <w:tcW w:w="572" w:type="pct"/>
            <w:tcBorders>
              <w:top w:val="nil"/>
              <w:left w:val="nil"/>
              <w:bottom w:val="nil"/>
              <w:right w:val="nil"/>
            </w:tcBorders>
            <w:shd w:val="clear" w:color="000000" w:fill="FFFFFF"/>
            <w:noWrap/>
            <w:vAlign w:val="center"/>
            <w:hideMark/>
          </w:tcPr>
          <w:p w14:paraId="048AA7A7"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1 412 676</w:t>
            </w:r>
          </w:p>
        </w:tc>
        <w:tc>
          <w:tcPr>
            <w:tcW w:w="573" w:type="pct"/>
            <w:tcBorders>
              <w:top w:val="nil"/>
              <w:left w:val="nil"/>
              <w:bottom w:val="nil"/>
              <w:right w:val="nil"/>
            </w:tcBorders>
            <w:shd w:val="clear" w:color="000000" w:fill="FFFFFF"/>
            <w:noWrap/>
            <w:vAlign w:val="center"/>
            <w:hideMark/>
          </w:tcPr>
          <w:p w14:paraId="564E6A3D"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961 206</w:t>
            </w:r>
          </w:p>
        </w:tc>
        <w:tc>
          <w:tcPr>
            <w:tcW w:w="653" w:type="pct"/>
            <w:tcBorders>
              <w:top w:val="nil"/>
              <w:left w:val="nil"/>
              <w:bottom w:val="nil"/>
              <w:right w:val="nil"/>
            </w:tcBorders>
            <w:shd w:val="clear" w:color="auto" w:fill="BFBFBF" w:themeFill="background1" w:themeFillShade="BF"/>
            <w:noWrap/>
            <w:vAlign w:val="center"/>
            <w:hideMark/>
          </w:tcPr>
          <w:p w14:paraId="194E8552"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1 263 251</w:t>
            </w:r>
          </w:p>
        </w:tc>
        <w:tc>
          <w:tcPr>
            <w:tcW w:w="490" w:type="pct"/>
            <w:tcBorders>
              <w:top w:val="nil"/>
              <w:left w:val="nil"/>
              <w:bottom w:val="nil"/>
              <w:right w:val="nil"/>
            </w:tcBorders>
            <w:shd w:val="clear" w:color="000000" w:fill="FFFFFF"/>
            <w:noWrap/>
            <w:vAlign w:val="center"/>
            <w:hideMark/>
          </w:tcPr>
          <w:p w14:paraId="745D687D"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302 045</w:t>
            </w:r>
          </w:p>
        </w:tc>
        <w:tc>
          <w:tcPr>
            <w:tcW w:w="409" w:type="pct"/>
            <w:tcBorders>
              <w:top w:val="nil"/>
              <w:left w:val="nil"/>
              <w:bottom w:val="nil"/>
              <w:right w:val="nil"/>
            </w:tcBorders>
            <w:shd w:val="clear" w:color="000000" w:fill="FFFFFF"/>
            <w:noWrap/>
            <w:vAlign w:val="center"/>
            <w:hideMark/>
          </w:tcPr>
          <w:p w14:paraId="3E7E6B1D"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31,4</w:t>
            </w:r>
          </w:p>
        </w:tc>
      </w:tr>
      <w:tr w:rsidR="00EA177A" w:rsidRPr="00F02221" w14:paraId="315374A9" w14:textId="77777777" w:rsidTr="003421E9">
        <w:trPr>
          <w:trHeight w:val="330"/>
        </w:trPr>
        <w:tc>
          <w:tcPr>
            <w:tcW w:w="1711" w:type="pct"/>
            <w:tcBorders>
              <w:top w:val="nil"/>
              <w:left w:val="nil"/>
              <w:bottom w:val="nil"/>
              <w:right w:val="nil"/>
            </w:tcBorders>
            <w:shd w:val="clear" w:color="000000" w:fill="FFFFFF"/>
            <w:vAlign w:val="center"/>
            <w:hideMark/>
          </w:tcPr>
          <w:p w14:paraId="358689E6"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Programy EÚS 3. programové obdobie (CO MF SR)</w:t>
            </w:r>
          </w:p>
        </w:tc>
        <w:tc>
          <w:tcPr>
            <w:tcW w:w="593" w:type="pct"/>
            <w:tcBorders>
              <w:top w:val="nil"/>
              <w:left w:val="nil"/>
              <w:bottom w:val="nil"/>
              <w:right w:val="nil"/>
            </w:tcBorders>
            <w:shd w:val="clear" w:color="000000" w:fill="FFFFFF"/>
            <w:noWrap/>
            <w:vAlign w:val="center"/>
            <w:hideMark/>
          </w:tcPr>
          <w:p w14:paraId="0565035E"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0</w:t>
            </w:r>
          </w:p>
        </w:tc>
        <w:tc>
          <w:tcPr>
            <w:tcW w:w="572" w:type="pct"/>
            <w:tcBorders>
              <w:top w:val="nil"/>
              <w:left w:val="nil"/>
              <w:bottom w:val="nil"/>
              <w:right w:val="nil"/>
            </w:tcBorders>
            <w:shd w:val="clear" w:color="000000" w:fill="FFFFFF"/>
            <w:noWrap/>
            <w:vAlign w:val="center"/>
            <w:hideMark/>
          </w:tcPr>
          <w:p w14:paraId="0F3ED337"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4 158</w:t>
            </w:r>
          </w:p>
        </w:tc>
        <w:tc>
          <w:tcPr>
            <w:tcW w:w="573" w:type="pct"/>
            <w:tcBorders>
              <w:top w:val="nil"/>
              <w:left w:val="nil"/>
              <w:bottom w:val="nil"/>
              <w:right w:val="nil"/>
            </w:tcBorders>
            <w:shd w:val="clear" w:color="000000" w:fill="FFFFFF"/>
            <w:noWrap/>
            <w:vAlign w:val="center"/>
            <w:hideMark/>
          </w:tcPr>
          <w:p w14:paraId="7839A2F1"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13 927</w:t>
            </w:r>
          </w:p>
        </w:tc>
        <w:tc>
          <w:tcPr>
            <w:tcW w:w="653" w:type="pct"/>
            <w:tcBorders>
              <w:top w:val="nil"/>
              <w:left w:val="nil"/>
              <w:bottom w:val="nil"/>
              <w:right w:val="nil"/>
            </w:tcBorders>
            <w:shd w:val="clear" w:color="auto" w:fill="BFBFBF" w:themeFill="background1" w:themeFillShade="BF"/>
            <w:noWrap/>
            <w:vAlign w:val="center"/>
            <w:hideMark/>
          </w:tcPr>
          <w:p w14:paraId="562D0012"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14 718</w:t>
            </w:r>
          </w:p>
        </w:tc>
        <w:tc>
          <w:tcPr>
            <w:tcW w:w="490" w:type="pct"/>
            <w:tcBorders>
              <w:top w:val="nil"/>
              <w:left w:val="nil"/>
              <w:bottom w:val="nil"/>
              <w:right w:val="nil"/>
            </w:tcBorders>
            <w:shd w:val="clear" w:color="000000" w:fill="FFFFFF"/>
            <w:noWrap/>
            <w:vAlign w:val="center"/>
            <w:hideMark/>
          </w:tcPr>
          <w:p w14:paraId="17688A95"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791</w:t>
            </w:r>
          </w:p>
        </w:tc>
        <w:tc>
          <w:tcPr>
            <w:tcW w:w="409" w:type="pct"/>
            <w:tcBorders>
              <w:top w:val="nil"/>
              <w:left w:val="nil"/>
              <w:bottom w:val="nil"/>
              <w:right w:val="nil"/>
            </w:tcBorders>
            <w:shd w:val="clear" w:color="000000" w:fill="FFFFFF"/>
            <w:noWrap/>
            <w:vAlign w:val="center"/>
            <w:hideMark/>
          </w:tcPr>
          <w:p w14:paraId="20993A04"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5,7</w:t>
            </w:r>
          </w:p>
        </w:tc>
      </w:tr>
      <w:tr w:rsidR="00EA177A" w:rsidRPr="00F02221" w14:paraId="2C10C7BA" w14:textId="77777777" w:rsidTr="003421E9">
        <w:trPr>
          <w:trHeight w:val="330"/>
        </w:trPr>
        <w:tc>
          <w:tcPr>
            <w:tcW w:w="1711" w:type="pct"/>
            <w:tcBorders>
              <w:top w:val="nil"/>
              <w:left w:val="nil"/>
              <w:bottom w:val="nil"/>
              <w:right w:val="nil"/>
            </w:tcBorders>
            <w:shd w:val="clear" w:color="000000" w:fill="FFFFFF"/>
            <w:vAlign w:val="center"/>
            <w:hideMark/>
          </w:tcPr>
          <w:p w14:paraId="69AF3CA0" w14:textId="77777777" w:rsidR="00EA177A" w:rsidRPr="00F02221" w:rsidRDefault="00EA177A" w:rsidP="00C704A7">
            <w:pPr>
              <w:spacing w:after="0" w:line="240" w:lineRule="auto"/>
              <w:jc w:val="lef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Štrukturálne operácie - MF SR</w:t>
            </w:r>
          </w:p>
        </w:tc>
        <w:tc>
          <w:tcPr>
            <w:tcW w:w="593" w:type="pct"/>
            <w:tcBorders>
              <w:top w:val="nil"/>
              <w:left w:val="nil"/>
              <w:bottom w:val="nil"/>
              <w:right w:val="nil"/>
            </w:tcBorders>
            <w:shd w:val="clear" w:color="000000" w:fill="FFFFFF"/>
            <w:noWrap/>
            <w:vAlign w:val="center"/>
            <w:hideMark/>
          </w:tcPr>
          <w:p w14:paraId="02B5C00A"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826 687</w:t>
            </w:r>
          </w:p>
        </w:tc>
        <w:tc>
          <w:tcPr>
            <w:tcW w:w="572" w:type="pct"/>
            <w:tcBorders>
              <w:top w:val="nil"/>
              <w:left w:val="nil"/>
              <w:bottom w:val="nil"/>
              <w:right w:val="nil"/>
            </w:tcBorders>
            <w:shd w:val="clear" w:color="000000" w:fill="FFFFFF"/>
            <w:noWrap/>
            <w:vAlign w:val="center"/>
            <w:hideMark/>
          </w:tcPr>
          <w:p w14:paraId="1194E10E"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1 509 852</w:t>
            </w:r>
          </w:p>
        </w:tc>
        <w:tc>
          <w:tcPr>
            <w:tcW w:w="573" w:type="pct"/>
            <w:tcBorders>
              <w:top w:val="nil"/>
              <w:left w:val="nil"/>
              <w:bottom w:val="nil"/>
              <w:right w:val="nil"/>
            </w:tcBorders>
            <w:shd w:val="clear" w:color="auto" w:fill="auto"/>
            <w:noWrap/>
            <w:vAlign w:val="center"/>
            <w:hideMark/>
          </w:tcPr>
          <w:p w14:paraId="178A8A04"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975 133</w:t>
            </w:r>
          </w:p>
        </w:tc>
        <w:tc>
          <w:tcPr>
            <w:tcW w:w="653" w:type="pct"/>
            <w:tcBorders>
              <w:top w:val="nil"/>
              <w:left w:val="nil"/>
              <w:bottom w:val="nil"/>
              <w:right w:val="nil"/>
            </w:tcBorders>
            <w:shd w:val="clear" w:color="auto" w:fill="BFBFBF" w:themeFill="background1" w:themeFillShade="BF"/>
            <w:noWrap/>
            <w:vAlign w:val="center"/>
            <w:hideMark/>
          </w:tcPr>
          <w:p w14:paraId="38DD8136"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1 404 636</w:t>
            </w:r>
          </w:p>
        </w:tc>
        <w:tc>
          <w:tcPr>
            <w:tcW w:w="490" w:type="pct"/>
            <w:tcBorders>
              <w:top w:val="nil"/>
              <w:left w:val="nil"/>
              <w:bottom w:val="nil"/>
              <w:right w:val="nil"/>
            </w:tcBorders>
            <w:shd w:val="clear" w:color="000000" w:fill="FFFFFF"/>
            <w:noWrap/>
            <w:vAlign w:val="center"/>
            <w:hideMark/>
          </w:tcPr>
          <w:p w14:paraId="24B2D294"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429 503</w:t>
            </w:r>
          </w:p>
        </w:tc>
        <w:tc>
          <w:tcPr>
            <w:tcW w:w="409" w:type="pct"/>
            <w:tcBorders>
              <w:top w:val="nil"/>
              <w:left w:val="nil"/>
              <w:bottom w:val="nil"/>
              <w:right w:val="nil"/>
            </w:tcBorders>
            <w:shd w:val="clear" w:color="000000" w:fill="FFFFFF"/>
            <w:noWrap/>
            <w:vAlign w:val="center"/>
            <w:hideMark/>
          </w:tcPr>
          <w:p w14:paraId="7B45490F"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44,0</w:t>
            </w:r>
          </w:p>
        </w:tc>
      </w:tr>
      <w:tr w:rsidR="00EA177A" w:rsidRPr="00F02221" w14:paraId="4F13FEAE" w14:textId="77777777" w:rsidTr="003421E9">
        <w:trPr>
          <w:trHeight w:val="480"/>
        </w:trPr>
        <w:tc>
          <w:tcPr>
            <w:tcW w:w="1711" w:type="pct"/>
            <w:tcBorders>
              <w:top w:val="nil"/>
              <w:left w:val="nil"/>
              <w:bottom w:val="nil"/>
              <w:right w:val="nil"/>
            </w:tcBorders>
            <w:shd w:val="clear" w:color="000000" w:fill="FFFFFF"/>
            <w:vAlign w:val="center"/>
            <w:hideMark/>
          </w:tcPr>
          <w:p w14:paraId="1ACAE70A"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OP Sociálneho začlenenia najodkázanejších osôb</w:t>
            </w:r>
          </w:p>
        </w:tc>
        <w:tc>
          <w:tcPr>
            <w:tcW w:w="593" w:type="pct"/>
            <w:tcBorders>
              <w:top w:val="nil"/>
              <w:left w:val="nil"/>
              <w:bottom w:val="nil"/>
              <w:right w:val="nil"/>
            </w:tcBorders>
            <w:shd w:val="clear" w:color="000000" w:fill="FFFFFF"/>
            <w:noWrap/>
            <w:vAlign w:val="center"/>
            <w:hideMark/>
          </w:tcPr>
          <w:p w14:paraId="750E3482"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9 123</w:t>
            </w:r>
          </w:p>
        </w:tc>
        <w:tc>
          <w:tcPr>
            <w:tcW w:w="572" w:type="pct"/>
            <w:tcBorders>
              <w:top w:val="nil"/>
              <w:left w:val="nil"/>
              <w:bottom w:val="nil"/>
              <w:right w:val="nil"/>
            </w:tcBorders>
            <w:shd w:val="clear" w:color="000000" w:fill="FFFFFF"/>
            <w:noWrap/>
            <w:vAlign w:val="center"/>
            <w:hideMark/>
          </w:tcPr>
          <w:p w14:paraId="3D01632D"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8 942</w:t>
            </w:r>
          </w:p>
        </w:tc>
        <w:tc>
          <w:tcPr>
            <w:tcW w:w="573" w:type="pct"/>
            <w:tcBorders>
              <w:top w:val="nil"/>
              <w:left w:val="nil"/>
              <w:bottom w:val="nil"/>
              <w:right w:val="nil"/>
            </w:tcBorders>
            <w:shd w:val="clear" w:color="000000" w:fill="FFFFFF"/>
            <w:noWrap/>
            <w:vAlign w:val="center"/>
            <w:hideMark/>
          </w:tcPr>
          <w:p w14:paraId="79468A3D"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5 295</w:t>
            </w:r>
          </w:p>
        </w:tc>
        <w:tc>
          <w:tcPr>
            <w:tcW w:w="653" w:type="pct"/>
            <w:tcBorders>
              <w:top w:val="nil"/>
              <w:left w:val="nil"/>
              <w:bottom w:val="nil"/>
              <w:right w:val="nil"/>
            </w:tcBorders>
            <w:shd w:val="clear" w:color="auto" w:fill="BFBFBF" w:themeFill="background1" w:themeFillShade="BF"/>
            <w:noWrap/>
            <w:vAlign w:val="center"/>
            <w:hideMark/>
          </w:tcPr>
          <w:p w14:paraId="22323EA6"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11 090</w:t>
            </w:r>
          </w:p>
        </w:tc>
        <w:tc>
          <w:tcPr>
            <w:tcW w:w="490" w:type="pct"/>
            <w:tcBorders>
              <w:top w:val="nil"/>
              <w:left w:val="nil"/>
              <w:bottom w:val="nil"/>
              <w:right w:val="nil"/>
            </w:tcBorders>
            <w:shd w:val="clear" w:color="000000" w:fill="FFFFFF"/>
            <w:noWrap/>
            <w:vAlign w:val="center"/>
            <w:hideMark/>
          </w:tcPr>
          <w:p w14:paraId="7C9A1CC6"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5 795</w:t>
            </w:r>
          </w:p>
        </w:tc>
        <w:tc>
          <w:tcPr>
            <w:tcW w:w="409" w:type="pct"/>
            <w:tcBorders>
              <w:top w:val="nil"/>
              <w:left w:val="nil"/>
              <w:bottom w:val="nil"/>
              <w:right w:val="nil"/>
            </w:tcBorders>
            <w:shd w:val="clear" w:color="000000" w:fill="FFFFFF"/>
            <w:noWrap/>
            <w:vAlign w:val="center"/>
            <w:hideMark/>
          </w:tcPr>
          <w:p w14:paraId="3F4EDA28"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109,4</w:t>
            </w:r>
          </w:p>
        </w:tc>
      </w:tr>
      <w:tr w:rsidR="00EA177A" w:rsidRPr="00F02221" w14:paraId="55D069B5" w14:textId="77777777" w:rsidTr="003421E9">
        <w:trPr>
          <w:trHeight w:val="330"/>
        </w:trPr>
        <w:tc>
          <w:tcPr>
            <w:tcW w:w="1711" w:type="pct"/>
            <w:tcBorders>
              <w:top w:val="nil"/>
              <w:left w:val="nil"/>
              <w:bottom w:val="nil"/>
              <w:right w:val="nil"/>
            </w:tcBorders>
            <w:shd w:val="clear" w:color="000000" w:fill="FFFFFF"/>
            <w:vAlign w:val="center"/>
            <w:hideMark/>
          </w:tcPr>
          <w:p w14:paraId="4D1E445C" w14:textId="77777777" w:rsidR="00EA177A" w:rsidRPr="00F02221" w:rsidRDefault="00EA177A" w:rsidP="00C704A7">
            <w:pPr>
              <w:spacing w:after="0" w:line="240" w:lineRule="auto"/>
              <w:jc w:val="lef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Štrukturálne operácie - MPSVR SR</w:t>
            </w:r>
          </w:p>
        </w:tc>
        <w:tc>
          <w:tcPr>
            <w:tcW w:w="593" w:type="pct"/>
            <w:tcBorders>
              <w:top w:val="nil"/>
              <w:left w:val="nil"/>
              <w:bottom w:val="nil"/>
              <w:right w:val="nil"/>
            </w:tcBorders>
            <w:shd w:val="clear" w:color="000000" w:fill="FFFFFF"/>
            <w:noWrap/>
            <w:vAlign w:val="center"/>
            <w:hideMark/>
          </w:tcPr>
          <w:p w14:paraId="1D314D86"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9 123</w:t>
            </w:r>
          </w:p>
        </w:tc>
        <w:tc>
          <w:tcPr>
            <w:tcW w:w="572" w:type="pct"/>
            <w:tcBorders>
              <w:top w:val="nil"/>
              <w:left w:val="nil"/>
              <w:bottom w:val="nil"/>
              <w:right w:val="nil"/>
            </w:tcBorders>
            <w:shd w:val="clear" w:color="000000" w:fill="FFFFFF"/>
            <w:noWrap/>
            <w:vAlign w:val="center"/>
            <w:hideMark/>
          </w:tcPr>
          <w:p w14:paraId="0777C7D4"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8 942</w:t>
            </w:r>
          </w:p>
        </w:tc>
        <w:tc>
          <w:tcPr>
            <w:tcW w:w="573" w:type="pct"/>
            <w:tcBorders>
              <w:top w:val="nil"/>
              <w:left w:val="nil"/>
              <w:bottom w:val="nil"/>
              <w:right w:val="nil"/>
            </w:tcBorders>
            <w:shd w:val="clear" w:color="auto" w:fill="auto"/>
            <w:noWrap/>
            <w:vAlign w:val="center"/>
            <w:hideMark/>
          </w:tcPr>
          <w:p w14:paraId="1939C1B2"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5 295</w:t>
            </w:r>
          </w:p>
        </w:tc>
        <w:tc>
          <w:tcPr>
            <w:tcW w:w="653" w:type="pct"/>
            <w:tcBorders>
              <w:top w:val="nil"/>
              <w:left w:val="nil"/>
              <w:bottom w:val="nil"/>
              <w:right w:val="nil"/>
            </w:tcBorders>
            <w:shd w:val="clear" w:color="auto" w:fill="BFBFBF" w:themeFill="background1" w:themeFillShade="BF"/>
            <w:noWrap/>
            <w:vAlign w:val="center"/>
            <w:hideMark/>
          </w:tcPr>
          <w:p w14:paraId="57C88D8C"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11 090</w:t>
            </w:r>
          </w:p>
        </w:tc>
        <w:tc>
          <w:tcPr>
            <w:tcW w:w="490" w:type="pct"/>
            <w:tcBorders>
              <w:top w:val="nil"/>
              <w:left w:val="nil"/>
              <w:bottom w:val="nil"/>
              <w:right w:val="nil"/>
            </w:tcBorders>
            <w:shd w:val="clear" w:color="000000" w:fill="FFFFFF"/>
            <w:noWrap/>
            <w:vAlign w:val="center"/>
            <w:hideMark/>
          </w:tcPr>
          <w:p w14:paraId="43EB236D"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5 795</w:t>
            </w:r>
          </w:p>
        </w:tc>
        <w:tc>
          <w:tcPr>
            <w:tcW w:w="409" w:type="pct"/>
            <w:tcBorders>
              <w:top w:val="nil"/>
              <w:left w:val="nil"/>
              <w:bottom w:val="nil"/>
              <w:right w:val="nil"/>
            </w:tcBorders>
            <w:shd w:val="clear" w:color="000000" w:fill="FFFFFF"/>
            <w:noWrap/>
            <w:vAlign w:val="center"/>
            <w:hideMark/>
          </w:tcPr>
          <w:p w14:paraId="2EBAF832"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109,4</w:t>
            </w:r>
          </w:p>
        </w:tc>
      </w:tr>
      <w:tr w:rsidR="00EA177A" w:rsidRPr="00F02221" w14:paraId="320C90D1" w14:textId="77777777" w:rsidTr="003421E9">
        <w:trPr>
          <w:trHeight w:val="330"/>
        </w:trPr>
        <w:tc>
          <w:tcPr>
            <w:tcW w:w="1711" w:type="pct"/>
            <w:tcBorders>
              <w:top w:val="nil"/>
              <w:left w:val="nil"/>
              <w:bottom w:val="nil"/>
              <w:right w:val="nil"/>
            </w:tcBorders>
            <w:shd w:val="clear" w:color="000000" w:fill="FFFFFF"/>
            <w:vAlign w:val="center"/>
            <w:hideMark/>
          </w:tcPr>
          <w:p w14:paraId="377432E6"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Spolu zahraničné transfery</w:t>
            </w:r>
          </w:p>
        </w:tc>
        <w:tc>
          <w:tcPr>
            <w:tcW w:w="593" w:type="pct"/>
            <w:tcBorders>
              <w:top w:val="nil"/>
              <w:left w:val="nil"/>
              <w:bottom w:val="nil"/>
              <w:right w:val="nil"/>
            </w:tcBorders>
            <w:shd w:val="clear" w:color="000000" w:fill="FFFFFF"/>
            <w:noWrap/>
            <w:vAlign w:val="center"/>
            <w:hideMark/>
          </w:tcPr>
          <w:p w14:paraId="7FD17BD7"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1 422 488</w:t>
            </w:r>
          </w:p>
        </w:tc>
        <w:tc>
          <w:tcPr>
            <w:tcW w:w="572" w:type="pct"/>
            <w:tcBorders>
              <w:top w:val="nil"/>
              <w:left w:val="nil"/>
              <w:bottom w:val="nil"/>
              <w:right w:val="nil"/>
            </w:tcBorders>
            <w:shd w:val="clear" w:color="000000" w:fill="FFFFFF"/>
            <w:noWrap/>
            <w:vAlign w:val="center"/>
            <w:hideMark/>
          </w:tcPr>
          <w:p w14:paraId="2288E297"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2 169 725</w:t>
            </w:r>
          </w:p>
        </w:tc>
        <w:tc>
          <w:tcPr>
            <w:tcW w:w="573" w:type="pct"/>
            <w:tcBorders>
              <w:top w:val="nil"/>
              <w:left w:val="nil"/>
              <w:bottom w:val="nil"/>
              <w:right w:val="nil"/>
            </w:tcBorders>
            <w:shd w:val="clear" w:color="000000" w:fill="FFFFFF"/>
            <w:noWrap/>
            <w:vAlign w:val="center"/>
            <w:hideMark/>
          </w:tcPr>
          <w:p w14:paraId="78697B84"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1 665 041</w:t>
            </w:r>
          </w:p>
        </w:tc>
        <w:tc>
          <w:tcPr>
            <w:tcW w:w="653" w:type="pct"/>
            <w:tcBorders>
              <w:top w:val="nil"/>
              <w:left w:val="nil"/>
              <w:bottom w:val="nil"/>
              <w:right w:val="nil"/>
            </w:tcBorders>
            <w:shd w:val="clear" w:color="auto" w:fill="BFBFBF" w:themeFill="background1" w:themeFillShade="BF"/>
            <w:noWrap/>
            <w:vAlign w:val="center"/>
            <w:hideMark/>
          </w:tcPr>
          <w:p w14:paraId="01B46DCB"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2 126 921</w:t>
            </w:r>
          </w:p>
        </w:tc>
        <w:tc>
          <w:tcPr>
            <w:tcW w:w="490" w:type="pct"/>
            <w:tcBorders>
              <w:top w:val="nil"/>
              <w:left w:val="nil"/>
              <w:bottom w:val="nil"/>
              <w:right w:val="nil"/>
            </w:tcBorders>
            <w:shd w:val="clear" w:color="000000" w:fill="FFFFFF"/>
            <w:noWrap/>
            <w:vAlign w:val="center"/>
            <w:hideMark/>
          </w:tcPr>
          <w:p w14:paraId="01E4BB86"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461 880</w:t>
            </w:r>
          </w:p>
        </w:tc>
        <w:tc>
          <w:tcPr>
            <w:tcW w:w="409" w:type="pct"/>
            <w:tcBorders>
              <w:top w:val="nil"/>
              <w:left w:val="nil"/>
              <w:bottom w:val="nil"/>
              <w:right w:val="nil"/>
            </w:tcBorders>
            <w:shd w:val="clear" w:color="000000" w:fill="FFFFFF"/>
            <w:noWrap/>
            <w:vAlign w:val="center"/>
            <w:hideMark/>
          </w:tcPr>
          <w:p w14:paraId="3EFAAEB1"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27,7</w:t>
            </w:r>
          </w:p>
        </w:tc>
      </w:tr>
      <w:tr w:rsidR="00EA177A" w:rsidRPr="00F02221" w14:paraId="4BCB16A2" w14:textId="77777777" w:rsidTr="003421E9">
        <w:trPr>
          <w:trHeight w:val="330"/>
        </w:trPr>
        <w:tc>
          <w:tcPr>
            <w:tcW w:w="1711" w:type="pct"/>
            <w:tcBorders>
              <w:top w:val="nil"/>
              <w:left w:val="nil"/>
              <w:bottom w:val="nil"/>
              <w:right w:val="nil"/>
            </w:tcBorders>
            <w:shd w:val="clear" w:color="000000" w:fill="FFFFFF"/>
            <w:vAlign w:val="center"/>
            <w:hideMark/>
          </w:tcPr>
          <w:p w14:paraId="271C6FEE" w14:textId="77777777" w:rsidR="00EA177A" w:rsidRPr="00F02221" w:rsidRDefault="00EA177A" w:rsidP="00C704A7">
            <w:pPr>
              <w:spacing w:after="0" w:line="240" w:lineRule="auto"/>
              <w:jc w:val="left"/>
              <w:rPr>
                <w:rFonts w:eastAsia="Times New Roman" w:cs="Times New Roman"/>
                <w:color w:val="000000"/>
                <w:sz w:val="18"/>
                <w:szCs w:val="18"/>
                <w:lang w:eastAsia="sk-SK"/>
              </w:rPr>
            </w:pPr>
            <w:r w:rsidRPr="00F02221">
              <w:rPr>
                <w:rFonts w:eastAsia="Times New Roman" w:cs="Times New Roman"/>
                <w:color w:val="000000"/>
                <w:sz w:val="18"/>
                <w:szCs w:val="18"/>
                <w:lang w:eastAsia="sk-SK"/>
              </w:rPr>
              <w:t>Zahraničné granty z rozpočtu EÚ</w:t>
            </w:r>
          </w:p>
        </w:tc>
        <w:tc>
          <w:tcPr>
            <w:tcW w:w="593" w:type="pct"/>
            <w:tcBorders>
              <w:top w:val="nil"/>
              <w:left w:val="nil"/>
              <w:bottom w:val="nil"/>
              <w:right w:val="nil"/>
            </w:tcBorders>
            <w:shd w:val="clear" w:color="000000" w:fill="FFFFFF"/>
            <w:noWrap/>
            <w:vAlign w:val="center"/>
            <w:hideMark/>
          </w:tcPr>
          <w:p w14:paraId="08FEB450"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3 084</w:t>
            </w:r>
          </w:p>
        </w:tc>
        <w:tc>
          <w:tcPr>
            <w:tcW w:w="572" w:type="pct"/>
            <w:tcBorders>
              <w:top w:val="nil"/>
              <w:left w:val="nil"/>
              <w:bottom w:val="nil"/>
              <w:right w:val="nil"/>
            </w:tcBorders>
            <w:shd w:val="clear" w:color="000000" w:fill="FFFFFF"/>
            <w:noWrap/>
            <w:vAlign w:val="center"/>
            <w:hideMark/>
          </w:tcPr>
          <w:p w14:paraId="2E58130B"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7</w:t>
            </w:r>
          </w:p>
        </w:tc>
        <w:tc>
          <w:tcPr>
            <w:tcW w:w="573" w:type="pct"/>
            <w:tcBorders>
              <w:top w:val="nil"/>
              <w:left w:val="nil"/>
              <w:bottom w:val="nil"/>
              <w:right w:val="nil"/>
            </w:tcBorders>
            <w:shd w:val="clear" w:color="000000" w:fill="FFFFFF"/>
            <w:noWrap/>
            <w:vAlign w:val="center"/>
            <w:hideMark/>
          </w:tcPr>
          <w:p w14:paraId="03DF4665"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0</w:t>
            </w:r>
          </w:p>
        </w:tc>
        <w:tc>
          <w:tcPr>
            <w:tcW w:w="653" w:type="pct"/>
            <w:tcBorders>
              <w:top w:val="nil"/>
              <w:left w:val="nil"/>
              <w:bottom w:val="nil"/>
              <w:right w:val="nil"/>
            </w:tcBorders>
            <w:shd w:val="clear" w:color="auto" w:fill="BFBFBF" w:themeFill="background1" w:themeFillShade="BF"/>
            <w:noWrap/>
            <w:vAlign w:val="center"/>
            <w:hideMark/>
          </w:tcPr>
          <w:p w14:paraId="279C496A"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22</w:t>
            </w:r>
          </w:p>
        </w:tc>
        <w:tc>
          <w:tcPr>
            <w:tcW w:w="490" w:type="pct"/>
            <w:tcBorders>
              <w:top w:val="nil"/>
              <w:left w:val="nil"/>
              <w:bottom w:val="nil"/>
              <w:right w:val="nil"/>
            </w:tcBorders>
            <w:shd w:val="clear" w:color="000000" w:fill="FFFFFF"/>
            <w:noWrap/>
            <w:vAlign w:val="center"/>
            <w:hideMark/>
          </w:tcPr>
          <w:p w14:paraId="31B92E3E"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22</w:t>
            </w:r>
          </w:p>
        </w:tc>
        <w:tc>
          <w:tcPr>
            <w:tcW w:w="409" w:type="pct"/>
            <w:tcBorders>
              <w:top w:val="nil"/>
              <w:left w:val="nil"/>
              <w:bottom w:val="nil"/>
              <w:right w:val="nil"/>
            </w:tcBorders>
            <w:shd w:val="clear" w:color="000000" w:fill="FFFFFF"/>
            <w:noWrap/>
            <w:vAlign w:val="center"/>
            <w:hideMark/>
          </w:tcPr>
          <w:p w14:paraId="282FC5FC" w14:textId="77777777" w:rsidR="00EA177A" w:rsidRPr="00F02221" w:rsidRDefault="00EA177A" w:rsidP="00C704A7">
            <w:pPr>
              <w:spacing w:after="0" w:line="240" w:lineRule="auto"/>
              <w:jc w:val="right"/>
              <w:rPr>
                <w:rFonts w:eastAsia="Times New Roman" w:cs="Times New Roman"/>
                <w:color w:val="000000"/>
                <w:sz w:val="18"/>
                <w:szCs w:val="18"/>
                <w:lang w:eastAsia="sk-SK"/>
              </w:rPr>
            </w:pPr>
            <w:r w:rsidRPr="00F02221">
              <w:rPr>
                <w:rFonts w:eastAsia="Times New Roman" w:cs="Times New Roman"/>
                <w:color w:val="000000"/>
                <w:sz w:val="18"/>
                <w:szCs w:val="18"/>
                <w:lang w:eastAsia="sk-SK"/>
              </w:rPr>
              <w:t>-</w:t>
            </w:r>
          </w:p>
        </w:tc>
      </w:tr>
      <w:tr w:rsidR="00EA177A" w:rsidRPr="00F02221" w14:paraId="7A58EAC5" w14:textId="77777777" w:rsidTr="003421E9">
        <w:trPr>
          <w:trHeight w:val="345"/>
        </w:trPr>
        <w:tc>
          <w:tcPr>
            <w:tcW w:w="1711" w:type="pct"/>
            <w:tcBorders>
              <w:top w:val="single" w:sz="4" w:space="0" w:color="auto"/>
              <w:left w:val="nil"/>
              <w:bottom w:val="single" w:sz="8" w:space="0" w:color="auto"/>
              <w:right w:val="nil"/>
            </w:tcBorders>
            <w:shd w:val="clear" w:color="000000" w:fill="FFFFFF"/>
            <w:vAlign w:val="center"/>
            <w:hideMark/>
          </w:tcPr>
          <w:p w14:paraId="493026A2" w14:textId="77777777" w:rsidR="00EA177A" w:rsidRPr="00F02221" w:rsidRDefault="00EA177A" w:rsidP="00C704A7">
            <w:pPr>
              <w:spacing w:after="0" w:line="240" w:lineRule="auto"/>
              <w:jc w:val="lef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Spolu príjmy z rozpočtu EÚ</w:t>
            </w:r>
          </w:p>
        </w:tc>
        <w:tc>
          <w:tcPr>
            <w:tcW w:w="593" w:type="pct"/>
            <w:tcBorders>
              <w:top w:val="single" w:sz="4" w:space="0" w:color="auto"/>
              <w:left w:val="nil"/>
              <w:bottom w:val="single" w:sz="8" w:space="0" w:color="auto"/>
              <w:right w:val="nil"/>
            </w:tcBorders>
            <w:shd w:val="clear" w:color="000000" w:fill="FFFFFF"/>
            <w:noWrap/>
            <w:vAlign w:val="center"/>
            <w:hideMark/>
          </w:tcPr>
          <w:p w14:paraId="5746F043"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1 425 572</w:t>
            </w:r>
          </w:p>
        </w:tc>
        <w:tc>
          <w:tcPr>
            <w:tcW w:w="572" w:type="pct"/>
            <w:tcBorders>
              <w:top w:val="single" w:sz="4" w:space="0" w:color="auto"/>
              <w:left w:val="nil"/>
              <w:bottom w:val="single" w:sz="8" w:space="0" w:color="auto"/>
              <w:right w:val="nil"/>
            </w:tcBorders>
            <w:shd w:val="clear" w:color="000000" w:fill="FFFFFF"/>
            <w:noWrap/>
            <w:vAlign w:val="center"/>
            <w:hideMark/>
          </w:tcPr>
          <w:p w14:paraId="577C2B41"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2 169 732</w:t>
            </w:r>
          </w:p>
        </w:tc>
        <w:tc>
          <w:tcPr>
            <w:tcW w:w="573" w:type="pct"/>
            <w:tcBorders>
              <w:top w:val="single" w:sz="4" w:space="0" w:color="auto"/>
              <w:left w:val="nil"/>
              <w:bottom w:val="single" w:sz="8" w:space="0" w:color="auto"/>
              <w:right w:val="nil"/>
            </w:tcBorders>
            <w:shd w:val="clear" w:color="000000" w:fill="FFFFFF"/>
            <w:noWrap/>
            <w:vAlign w:val="center"/>
            <w:hideMark/>
          </w:tcPr>
          <w:p w14:paraId="5194528D"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1 665 041</w:t>
            </w:r>
          </w:p>
        </w:tc>
        <w:tc>
          <w:tcPr>
            <w:tcW w:w="653" w:type="pct"/>
            <w:tcBorders>
              <w:top w:val="single" w:sz="4" w:space="0" w:color="auto"/>
              <w:left w:val="nil"/>
              <w:bottom w:val="single" w:sz="8" w:space="0" w:color="auto"/>
              <w:right w:val="nil"/>
            </w:tcBorders>
            <w:shd w:val="clear" w:color="auto" w:fill="BFBFBF" w:themeFill="background1" w:themeFillShade="BF"/>
            <w:noWrap/>
            <w:vAlign w:val="center"/>
            <w:hideMark/>
          </w:tcPr>
          <w:p w14:paraId="422FC151"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2 126 943</w:t>
            </w:r>
          </w:p>
        </w:tc>
        <w:tc>
          <w:tcPr>
            <w:tcW w:w="490" w:type="pct"/>
            <w:tcBorders>
              <w:top w:val="single" w:sz="4" w:space="0" w:color="auto"/>
              <w:left w:val="nil"/>
              <w:bottom w:val="single" w:sz="8" w:space="0" w:color="auto"/>
              <w:right w:val="nil"/>
            </w:tcBorders>
            <w:shd w:val="clear" w:color="000000" w:fill="FFFFFF"/>
            <w:noWrap/>
            <w:vAlign w:val="center"/>
            <w:hideMark/>
          </w:tcPr>
          <w:p w14:paraId="3D180EF3"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461 902</w:t>
            </w:r>
          </w:p>
        </w:tc>
        <w:tc>
          <w:tcPr>
            <w:tcW w:w="409" w:type="pct"/>
            <w:tcBorders>
              <w:top w:val="single" w:sz="4" w:space="0" w:color="auto"/>
              <w:left w:val="nil"/>
              <w:bottom w:val="single" w:sz="8" w:space="0" w:color="auto"/>
              <w:right w:val="nil"/>
            </w:tcBorders>
            <w:shd w:val="clear" w:color="000000" w:fill="FFFFFF"/>
            <w:noWrap/>
            <w:vAlign w:val="center"/>
            <w:hideMark/>
          </w:tcPr>
          <w:p w14:paraId="5F0267E7" w14:textId="77777777" w:rsidR="00EA177A" w:rsidRPr="00F02221" w:rsidRDefault="00EA177A" w:rsidP="00C704A7">
            <w:pPr>
              <w:spacing w:after="0" w:line="240" w:lineRule="auto"/>
              <w:jc w:val="right"/>
              <w:rPr>
                <w:rFonts w:eastAsia="Times New Roman" w:cs="Times New Roman"/>
                <w:b/>
                <w:bCs/>
                <w:color w:val="000000"/>
                <w:sz w:val="18"/>
                <w:szCs w:val="18"/>
                <w:lang w:eastAsia="sk-SK"/>
              </w:rPr>
            </w:pPr>
            <w:r w:rsidRPr="00F02221">
              <w:rPr>
                <w:rFonts w:eastAsia="Times New Roman" w:cs="Times New Roman"/>
                <w:b/>
                <w:bCs/>
                <w:color w:val="000000"/>
                <w:sz w:val="18"/>
                <w:szCs w:val="18"/>
                <w:lang w:eastAsia="sk-SK"/>
              </w:rPr>
              <w:t>27,7</w:t>
            </w:r>
          </w:p>
        </w:tc>
      </w:tr>
    </w:tbl>
    <w:p w14:paraId="0B814933" w14:textId="5B302E64" w:rsidR="000550BC" w:rsidRDefault="00EA177A" w:rsidP="000550BC">
      <w:pPr>
        <w:spacing w:after="0" w:line="240" w:lineRule="auto"/>
        <w:rPr>
          <w:sz w:val="18"/>
          <w:szCs w:val="18"/>
        </w:rPr>
      </w:pPr>
      <w:r w:rsidRPr="00723957">
        <w:rPr>
          <w:sz w:val="18"/>
          <w:szCs w:val="18"/>
        </w:rPr>
        <w:t>*Do kategórie programov Európskej územnej spolupráce, t.</w:t>
      </w:r>
      <w:r w:rsidR="00D0091C">
        <w:rPr>
          <w:sz w:val="18"/>
          <w:szCs w:val="18"/>
        </w:rPr>
        <w:t xml:space="preserve"> </w:t>
      </w:r>
      <w:r w:rsidRPr="00723957">
        <w:rPr>
          <w:sz w:val="18"/>
          <w:szCs w:val="18"/>
        </w:rPr>
        <w:t xml:space="preserve">j. EÚS (CO MF SR) sú </w:t>
      </w:r>
      <w:r w:rsidR="000550BC">
        <w:rPr>
          <w:sz w:val="18"/>
          <w:szCs w:val="18"/>
        </w:rPr>
        <w:tab/>
      </w:r>
      <w:r w:rsidR="000550BC">
        <w:rPr>
          <w:sz w:val="18"/>
          <w:szCs w:val="18"/>
        </w:rPr>
        <w:tab/>
        <w:t xml:space="preserve">         </w:t>
      </w:r>
      <w:r w:rsidR="000550BC" w:rsidRPr="00723957">
        <w:rPr>
          <w:sz w:val="18"/>
          <w:szCs w:val="18"/>
        </w:rPr>
        <w:t>Zdroj: MF SR</w:t>
      </w:r>
    </w:p>
    <w:p w14:paraId="40339050" w14:textId="350E6103" w:rsidR="00EA177A" w:rsidRDefault="00EA177A" w:rsidP="000550BC">
      <w:pPr>
        <w:spacing w:after="0" w:line="240" w:lineRule="auto"/>
        <w:rPr>
          <w:sz w:val="18"/>
          <w:szCs w:val="18"/>
        </w:rPr>
      </w:pPr>
      <w:r w:rsidRPr="00723957">
        <w:rPr>
          <w:sz w:val="18"/>
          <w:szCs w:val="18"/>
        </w:rPr>
        <w:t xml:space="preserve">zaradené programy </w:t>
      </w:r>
      <w:proofErr w:type="spellStart"/>
      <w:r w:rsidRPr="00723957">
        <w:rPr>
          <w:sz w:val="18"/>
          <w:szCs w:val="18"/>
        </w:rPr>
        <w:t>Interreg</w:t>
      </w:r>
      <w:proofErr w:type="spellEnd"/>
      <w:r w:rsidRPr="00723957">
        <w:rPr>
          <w:sz w:val="18"/>
          <w:szCs w:val="18"/>
        </w:rPr>
        <w:t xml:space="preserve"> V-A SK-AT 2014-2020 a </w:t>
      </w:r>
      <w:proofErr w:type="spellStart"/>
      <w:r w:rsidRPr="00723957">
        <w:rPr>
          <w:sz w:val="18"/>
          <w:szCs w:val="18"/>
        </w:rPr>
        <w:t>Interreg</w:t>
      </w:r>
      <w:proofErr w:type="spellEnd"/>
      <w:r w:rsidRPr="00723957">
        <w:rPr>
          <w:sz w:val="18"/>
          <w:szCs w:val="18"/>
        </w:rPr>
        <w:t xml:space="preserve"> V-A SK-CZ 2014-2020.</w:t>
      </w:r>
      <w:r>
        <w:rPr>
          <w:sz w:val="18"/>
          <w:szCs w:val="18"/>
        </w:rPr>
        <w:tab/>
      </w:r>
      <w:r>
        <w:rPr>
          <w:sz w:val="18"/>
          <w:szCs w:val="18"/>
        </w:rPr>
        <w:tab/>
      </w:r>
      <w:r>
        <w:rPr>
          <w:sz w:val="18"/>
          <w:szCs w:val="18"/>
        </w:rPr>
        <w:tab/>
      </w:r>
      <w:r>
        <w:rPr>
          <w:sz w:val="18"/>
          <w:szCs w:val="18"/>
        </w:rPr>
        <w:tab/>
      </w:r>
      <w:r>
        <w:rPr>
          <w:sz w:val="18"/>
          <w:szCs w:val="18"/>
        </w:rPr>
        <w:tab/>
        <w:t xml:space="preserve">         </w:t>
      </w:r>
    </w:p>
    <w:p w14:paraId="1B6687A4" w14:textId="77777777" w:rsidR="00EA177A" w:rsidRPr="00EA177A" w:rsidRDefault="00EA177A" w:rsidP="00EA177A"/>
    <w:p w14:paraId="7B9CEE49" w14:textId="77777777" w:rsidR="00F02221" w:rsidRDefault="00F02221">
      <w:pPr>
        <w:spacing w:after="160" w:line="259" w:lineRule="auto"/>
        <w:jc w:val="left"/>
        <w:rPr>
          <w:rFonts w:eastAsiaTheme="majorEastAsia" w:cstheme="majorBidi"/>
          <w:b/>
          <w:szCs w:val="24"/>
        </w:rPr>
      </w:pPr>
      <w:bookmarkStart w:id="61" w:name="_Toc6415654"/>
      <w:r>
        <w:br w:type="page"/>
      </w:r>
    </w:p>
    <w:p w14:paraId="022C9398" w14:textId="2F3E1449" w:rsidR="008254BE" w:rsidRDefault="008254BE" w:rsidP="00F02221">
      <w:pPr>
        <w:pStyle w:val="Nadpis3"/>
      </w:pPr>
      <w:bookmarkStart w:id="62" w:name="_Toc39095185"/>
      <w:r>
        <w:t>Výdavky štátneho rozpočtu rozpočtované vo väzbe na príjmy z Európskej únie</w:t>
      </w:r>
      <w:bookmarkEnd w:id="61"/>
      <w:bookmarkEnd w:id="62"/>
    </w:p>
    <w:p w14:paraId="4675FA28" w14:textId="77777777" w:rsidR="00EA177A" w:rsidRPr="00075891" w:rsidRDefault="00EA177A" w:rsidP="00EA177A">
      <w:r w:rsidRPr="00075891">
        <w:t>Vo väzbe na príjmy z Európskej únie sa v štátnom rozpočte rozpočtujú výdavky z prostriedk</w:t>
      </w:r>
      <w:r>
        <w:t>ov</w:t>
      </w:r>
      <w:r w:rsidRPr="00075891">
        <w:t xml:space="preserve"> EÚ</w:t>
      </w:r>
      <w:r>
        <w:t xml:space="preserve"> a</w:t>
      </w:r>
      <w:r w:rsidRPr="00075891">
        <w:t xml:space="preserve"> k nim zodpovedajúce spolufinancovanie zo štátneho rozpočtu. </w:t>
      </w:r>
    </w:p>
    <w:p w14:paraId="370A9970" w14:textId="77777777" w:rsidR="00EA177A" w:rsidRPr="00075891" w:rsidRDefault="00EA177A" w:rsidP="00EA177A">
      <w:pPr>
        <w:rPr>
          <w:b/>
        </w:rPr>
      </w:pPr>
      <w:r w:rsidRPr="00075891">
        <w:rPr>
          <w:b/>
        </w:rPr>
        <w:t xml:space="preserve">Výdavky za prostriedky EÚ </w:t>
      </w:r>
    </w:p>
    <w:p w14:paraId="2CAD2D6A" w14:textId="77777777" w:rsidR="00EA177A" w:rsidRPr="00075891" w:rsidRDefault="00EA177A" w:rsidP="00EA177A">
      <w:r w:rsidRPr="00075891">
        <w:t>Výdavky za prostriedky EÚ boli na rok 2019 rozpočtované vo výške 1 665 041 tis. eur, teda v rovnakej výške ako príjmy z rozpočtu EÚ. Skutočné plneni</w:t>
      </w:r>
      <w:r>
        <w:t>e výdavkov EÚ je vo výške 2 092 </w:t>
      </w:r>
      <w:r w:rsidRPr="00075891">
        <w:t>381</w:t>
      </w:r>
      <w:r>
        <w:t> </w:t>
      </w:r>
      <w:r w:rsidRPr="00075891">
        <w:t>tis.</w:t>
      </w:r>
      <w:r>
        <w:t> </w:t>
      </w:r>
      <w:r w:rsidRPr="00075891">
        <w:t>eur.</w:t>
      </w:r>
    </w:p>
    <w:p w14:paraId="0AB3F92D" w14:textId="77777777" w:rsidR="00EA177A" w:rsidRPr="00075891" w:rsidRDefault="00EA177A" w:rsidP="00EA177A">
      <w:r w:rsidRPr="00075891">
        <w:t xml:space="preserve">Na rozdiel od schváleného rozpočtu výdavkov z prostriedkov EÚ, ktoré boli zákonom o štátnom rozpočte na rok 2019 vyčlenené pre kapitoly, v ktorých sa nachádzajú platobné jednotky, Pôdohospodárska platobná agentúra a Ministerstvo práce, sociálnych vecí a rodiny SR za Fond pre najodkázanejšie osoby, skutočné čerpanie výdavkov sa prejavuje tiež v rozpočtových kapitolách, v ktorých sa realizujú projekty na úrovni konečných prijímateľov. Na základe uvedeného sa v niektorých kapitolách prejavuje negatívne saldo príjmov a výdavkov za prostriedky EÚ. </w:t>
      </w:r>
    </w:p>
    <w:p w14:paraId="356AF9A2" w14:textId="0A2C6974" w:rsidR="00EA177A" w:rsidRPr="00F9548E" w:rsidRDefault="00EA177A" w:rsidP="00EA177A">
      <w:r w:rsidRPr="00F9548E">
        <w:t xml:space="preserve">Rozpočet výdavkov za prostriedky EÚ bol v roku 2019 upravený v nadväznosti na vysporiadanie finančných prostriedkov za finančné opravy v zmysle § 15 zákona o rozpočtových pravidlách verejnej správy, v nadväznosti na prijaté oznámenia o výške prostriedkov, ktoré budú použité v nasledujúcich rokoch v zmysle § 8 zákona o rozpočtových pravidlách verejnej správy a v nadväznosti na ostatné viazania prostriedkov v zmysle § 18 zákona o rozpočtových pravidlách verejnej správy. </w:t>
      </w:r>
    </w:p>
    <w:p w14:paraId="63F77DDD" w14:textId="77777777" w:rsidR="00EA177A" w:rsidRPr="009C6F59" w:rsidRDefault="00EA177A" w:rsidP="00EA177A">
      <w:r w:rsidRPr="009C6F59">
        <w:t xml:space="preserve">Po úpravách dosiahol rozpočet úroveň 2 092 386 tis. eur, pričom celkové čerpanie výdavkov za prostriedky EÚ v roku 2019 je mierne nižšie a to vo výške 2 092 381 tis. eur. </w:t>
      </w:r>
    </w:p>
    <w:p w14:paraId="42BD6FA4" w14:textId="77777777" w:rsidR="00B91D78" w:rsidRDefault="00EA177A" w:rsidP="00EA177A">
      <w:r w:rsidRPr="009C6F59">
        <w:t>Skutočné plnenie výdavkov za prostriedky EÚ vo výške 2 092 381 tis. eur predstavuje plnenie na úrovni 100 % z </w:t>
      </w:r>
      <w:r w:rsidRPr="00227DE5">
        <w:t>upraveného rozpočtu. Výdavky za štrukturálne operácie, pri ktorých plní úlohu certifikačného orgánu Ministerstvo financií SR, sú vo výške 1 370 409 tis. eur (z toho štrukturálne fondy 3. programového obdobia v sume 903 951 tis. eur a Kohézny fond 3. programového obdobia v sume 466 458 tis. eur). Výdavky</w:t>
      </w:r>
      <w:r w:rsidRPr="009C6F59">
        <w:t xml:space="preserve"> za štrukturálne op</w:t>
      </w:r>
      <w:r>
        <w:t xml:space="preserve">erácie, pri ktorých plní úlohu </w:t>
      </w:r>
      <w:r w:rsidRPr="009C6F59">
        <w:t xml:space="preserve">certifikačného orgánu Ministerstvo práce, </w:t>
      </w:r>
      <w:r w:rsidRPr="00227DE5">
        <w:t xml:space="preserve">sociálnych vecí a rodiny SR, sú v sume </w:t>
      </w:r>
      <w:r>
        <w:t>12 </w:t>
      </w:r>
      <w:r w:rsidRPr="00227DE5">
        <w:t>300</w:t>
      </w:r>
      <w:r>
        <w:t> </w:t>
      </w:r>
      <w:r w:rsidRPr="00227DE5">
        <w:t>tis.</w:t>
      </w:r>
      <w:r>
        <w:t xml:space="preserve"> </w:t>
      </w:r>
      <w:r w:rsidRPr="00227DE5">
        <w:t xml:space="preserve">eur. Výdavky za poľnohospodárske fondy boli vo výške </w:t>
      </w:r>
      <w:r>
        <w:t>709 </w:t>
      </w:r>
      <w:r w:rsidRPr="00227DE5">
        <w:t>672</w:t>
      </w:r>
      <w:r>
        <w:t> </w:t>
      </w:r>
      <w:r w:rsidRPr="00227DE5">
        <w:t>tis.</w:t>
      </w:r>
      <w:r>
        <w:t xml:space="preserve"> </w:t>
      </w:r>
      <w:r w:rsidRPr="00227DE5">
        <w:t xml:space="preserve">eur (z toho za Európsky poľnohospodársky fond rozvoja vidieka v sume </w:t>
      </w:r>
      <w:r>
        <w:t>210 414 </w:t>
      </w:r>
      <w:r w:rsidRPr="00227DE5">
        <w:t>tis.</w:t>
      </w:r>
      <w:r>
        <w:t xml:space="preserve"> eur a </w:t>
      </w:r>
      <w:r w:rsidRPr="00227DE5">
        <w:t>za Európsky poľnohospo</w:t>
      </w:r>
      <w:r>
        <w:t>dársky záručný fond v sume</w:t>
      </w:r>
      <w:r w:rsidRPr="00227DE5">
        <w:t xml:space="preserve"> 499</w:t>
      </w:r>
      <w:r>
        <w:t> </w:t>
      </w:r>
      <w:r w:rsidRPr="00227DE5">
        <w:t>258</w:t>
      </w:r>
      <w:r>
        <w:t> </w:t>
      </w:r>
      <w:r w:rsidRPr="00227DE5">
        <w:t>tis.</w:t>
      </w:r>
      <w:r>
        <w:t xml:space="preserve"> </w:t>
      </w:r>
      <w:r w:rsidRPr="00227DE5">
        <w:t>eur).</w:t>
      </w:r>
    </w:p>
    <w:p w14:paraId="1A0569DD" w14:textId="77777777" w:rsidR="00B91D78" w:rsidRDefault="00B91D78">
      <w:pPr>
        <w:spacing w:after="160" w:line="259" w:lineRule="auto"/>
        <w:jc w:val="left"/>
      </w:pPr>
      <w:r>
        <w:br w:type="page"/>
      </w:r>
    </w:p>
    <w:tbl>
      <w:tblPr>
        <w:tblW w:w="5000" w:type="pct"/>
        <w:tblCellMar>
          <w:left w:w="70" w:type="dxa"/>
          <w:right w:w="70" w:type="dxa"/>
        </w:tblCellMar>
        <w:tblLook w:val="04A0" w:firstRow="1" w:lastRow="0" w:firstColumn="1" w:lastColumn="0" w:noHBand="0" w:noVBand="1"/>
      </w:tblPr>
      <w:tblGrid>
        <w:gridCol w:w="2965"/>
        <w:gridCol w:w="940"/>
        <w:gridCol w:w="940"/>
        <w:gridCol w:w="940"/>
        <w:gridCol w:w="1122"/>
        <w:gridCol w:w="791"/>
        <w:gridCol w:w="805"/>
      </w:tblGrid>
      <w:tr w:rsidR="00EA177A" w:rsidRPr="00B91D78" w14:paraId="7E7CEECF" w14:textId="77777777" w:rsidTr="00B91D78">
        <w:trPr>
          <w:trHeight w:val="424"/>
        </w:trPr>
        <w:tc>
          <w:tcPr>
            <w:tcW w:w="1744" w:type="pct"/>
            <w:tcBorders>
              <w:top w:val="nil"/>
              <w:left w:val="nil"/>
              <w:bottom w:val="nil"/>
              <w:right w:val="nil"/>
            </w:tcBorders>
            <w:shd w:val="clear" w:color="000000" w:fill="000000"/>
            <w:noWrap/>
            <w:vAlign w:val="center"/>
            <w:hideMark/>
          </w:tcPr>
          <w:p w14:paraId="4554389E"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 xml:space="preserve">Výdavky za prostriedky EÚ </w:t>
            </w:r>
          </w:p>
        </w:tc>
        <w:tc>
          <w:tcPr>
            <w:tcW w:w="553" w:type="pct"/>
            <w:tcBorders>
              <w:top w:val="nil"/>
              <w:left w:val="nil"/>
              <w:bottom w:val="nil"/>
              <w:right w:val="nil"/>
            </w:tcBorders>
            <w:shd w:val="clear" w:color="000000" w:fill="000000"/>
            <w:noWrap/>
            <w:vAlign w:val="center"/>
            <w:hideMark/>
          </w:tcPr>
          <w:p w14:paraId="4B0CCF94"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r w:rsidRPr="00B91D78">
              <w:rPr>
                <w:rFonts w:ascii="Arial Narrow" w:eastAsia="Times New Roman" w:hAnsi="Arial Narrow" w:cs="Times New Roman"/>
                <w:color w:val="000000"/>
                <w:sz w:val="18"/>
                <w:szCs w:val="18"/>
                <w:lang w:eastAsia="sk-SK"/>
              </w:rPr>
              <w:t> </w:t>
            </w:r>
          </w:p>
        </w:tc>
        <w:tc>
          <w:tcPr>
            <w:tcW w:w="553" w:type="pct"/>
            <w:tcBorders>
              <w:top w:val="nil"/>
              <w:left w:val="nil"/>
              <w:bottom w:val="nil"/>
              <w:right w:val="nil"/>
            </w:tcBorders>
            <w:shd w:val="clear" w:color="000000" w:fill="000000"/>
            <w:noWrap/>
            <w:vAlign w:val="center"/>
            <w:hideMark/>
          </w:tcPr>
          <w:p w14:paraId="458433DC"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r w:rsidRPr="00B91D78">
              <w:rPr>
                <w:rFonts w:ascii="Arial Narrow" w:eastAsia="Times New Roman" w:hAnsi="Arial Narrow" w:cs="Times New Roman"/>
                <w:color w:val="000000"/>
                <w:sz w:val="18"/>
                <w:szCs w:val="18"/>
                <w:lang w:eastAsia="sk-SK"/>
              </w:rPr>
              <w:t> </w:t>
            </w:r>
          </w:p>
        </w:tc>
        <w:tc>
          <w:tcPr>
            <w:tcW w:w="553" w:type="pct"/>
            <w:tcBorders>
              <w:top w:val="nil"/>
              <w:left w:val="nil"/>
              <w:bottom w:val="nil"/>
              <w:right w:val="nil"/>
            </w:tcBorders>
            <w:shd w:val="clear" w:color="000000" w:fill="000000"/>
            <w:noWrap/>
            <w:vAlign w:val="center"/>
            <w:hideMark/>
          </w:tcPr>
          <w:p w14:paraId="7BC6699E"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r w:rsidRPr="00B91D78">
              <w:rPr>
                <w:rFonts w:ascii="Arial Narrow" w:eastAsia="Times New Roman" w:hAnsi="Arial Narrow" w:cs="Times New Roman"/>
                <w:color w:val="000000"/>
                <w:sz w:val="18"/>
                <w:szCs w:val="18"/>
                <w:lang w:eastAsia="sk-SK"/>
              </w:rPr>
              <w:t> </w:t>
            </w:r>
          </w:p>
        </w:tc>
        <w:tc>
          <w:tcPr>
            <w:tcW w:w="660" w:type="pct"/>
            <w:tcBorders>
              <w:top w:val="nil"/>
              <w:left w:val="nil"/>
              <w:bottom w:val="nil"/>
              <w:right w:val="nil"/>
            </w:tcBorders>
            <w:shd w:val="clear" w:color="000000" w:fill="000000"/>
            <w:noWrap/>
            <w:vAlign w:val="center"/>
            <w:hideMark/>
          </w:tcPr>
          <w:p w14:paraId="05CEC56B"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r w:rsidRPr="00B91D78">
              <w:rPr>
                <w:rFonts w:ascii="Arial Narrow" w:eastAsia="Times New Roman" w:hAnsi="Arial Narrow" w:cs="Times New Roman"/>
                <w:color w:val="000000"/>
                <w:sz w:val="18"/>
                <w:szCs w:val="18"/>
                <w:lang w:eastAsia="sk-SK"/>
              </w:rPr>
              <w:t> </w:t>
            </w:r>
          </w:p>
        </w:tc>
        <w:tc>
          <w:tcPr>
            <w:tcW w:w="465" w:type="pct"/>
            <w:tcBorders>
              <w:top w:val="nil"/>
              <w:left w:val="nil"/>
              <w:bottom w:val="nil"/>
              <w:right w:val="nil"/>
            </w:tcBorders>
            <w:shd w:val="clear" w:color="000000" w:fill="000000"/>
            <w:noWrap/>
            <w:vAlign w:val="center"/>
            <w:hideMark/>
          </w:tcPr>
          <w:p w14:paraId="68784674"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r w:rsidRPr="00B91D78">
              <w:rPr>
                <w:rFonts w:ascii="Arial Narrow" w:eastAsia="Times New Roman" w:hAnsi="Arial Narrow" w:cs="Times New Roman"/>
                <w:color w:val="000000"/>
                <w:sz w:val="18"/>
                <w:szCs w:val="18"/>
                <w:lang w:eastAsia="sk-SK"/>
              </w:rPr>
              <w:t> </w:t>
            </w:r>
          </w:p>
        </w:tc>
        <w:tc>
          <w:tcPr>
            <w:tcW w:w="473" w:type="pct"/>
            <w:tcBorders>
              <w:top w:val="nil"/>
              <w:left w:val="nil"/>
              <w:bottom w:val="nil"/>
              <w:right w:val="nil"/>
            </w:tcBorders>
            <w:shd w:val="clear" w:color="000000" w:fill="000000"/>
            <w:noWrap/>
            <w:vAlign w:val="center"/>
            <w:hideMark/>
          </w:tcPr>
          <w:p w14:paraId="6933ACE6"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v tis. eur</w:t>
            </w:r>
          </w:p>
        </w:tc>
      </w:tr>
      <w:tr w:rsidR="00EA177A" w:rsidRPr="00B91D78" w14:paraId="0C84EC00" w14:textId="77777777" w:rsidTr="00B91D78">
        <w:trPr>
          <w:trHeight w:val="330"/>
        </w:trPr>
        <w:tc>
          <w:tcPr>
            <w:tcW w:w="1744" w:type="pct"/>
            <w:tcBorders>
              <w:top w:val="nil"/>
              <w:left w:val="nil"/>
              <w:bottom w:val="nil"/>
              <w:right w:val="nil"/>
            </w:tcBorders>
            <w:shd w:val="clear" w:color="000000" w:fill="BFBFBF"/>
            <w:vAlign w:val="center"/>
            <w:hideMark/>
          </w:tcPr>
          <w:p w14:paraId="19E273B0"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 </w:t>
            </w:r>
          </w:p>
        </w:tc>
        <w:tc>
          <w:tcPr>
            <w:tcW w:w="1105" w:type="pct"/>
            <w:gridSpan w:val="2"/>
            <w:tcBorders>
              <w:top w:val="nil"/>
              <w:left w:val="nil"/>
              <w:bottom w:val="nil"/>
              <w:right w:val="nil"/>
            </w:tcBorders>
            <w:shd w:val="clear" w:color="000000" w:fill="BFBFBF"/>
            <w:vAlign w:val="center"/>
            <w:hideMark/>
          </w:tcPr>
          <w:p w14:paraId="1F7CDD6A"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Skutočnosť</w:t>
            </w:r>
          </w:p>
        </w:tc>
        <w:tc>
          <w:tcPr>
            <w:tcW w:w="553" w:type="pct"/>
            <w:tcBorders>
              <w:top w:val="nil"/>
              <w:left w:val="nil"/>
              <w:bottom w:val="nil"/>
              <w:right w:val="nil"/>
            </w:tcBorders>
            <w:shd w:val="clear" w:color="000000" w:fill="BFBFBF"/>
            <w:vAlign w:val="center"/>
            <w:hideMark/>
          </w:tcPr>
          <w:p w14:paraId="1446E102"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Rozpočet</w:t>
            </w:r>
          </w:p>
        </w:tc>
        <w:tc>
          <w:tcPr>
            <w:tcW w:w="660" w:type="pct"/>
            <w:tcBorders>
              <w:top w:val="nil"/>
              <w:left w:val="nil"/>
              <w:bottom w:val="nil"/>
              <w:right w:val="nil"/>
            </w:tcBorders>
            <w:shd w:val="clear" w:color="000000" w:fill="BFBFBF"/>
            <w:vAlign w:val="center"/>
            <w:hideMark/>
          </w:tcPr>
          <w:p w14:paraId="7E32D7B9"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Skutočnosť</w:t>
            </w:r>
          </w:p>
        </w:tc>
        <w:tc>
          <w:tcPr>
            <w:tcW w:w="938" w:type="pct"/>
            <w:gridSpan w:val="2"/>
            <w:tcBorders>
              <w:top w:val="nil"/>
              <w:left w:val="nil"/>
              <w:bottom w:val="nil"/>
              <w:right w:val="nil"/>
            </w:tcBorders>
            <w:shd w:val="clear" w:color="000000" w:fill="BFBFBF"/>
            <w:vAlign w:val="center"/>
            <w:hideMark/>
          </w:tcPr>
          <w:p w14:paraId="7F8AD7C7"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Rozdiel</w:t>
            </w:r>
          </w:p>
        </w:tc>
      </w:tr>
      <w:tr w:rsidR="00EA177A" w:rsidRPr="00B91D78" w14:paraId="4BFC0243" w14:textId="77777777" w:rsidTr="00B91D78">
        <w:trPr>
          <w:trHeight w:val="330"/>
        </w:trPr>
        <w:tc>
          <w:tcPr>
            <w:tcW w:w="1744" w:type="pct"/>
            <w:tcBorders>
              <w:top w:val="nil"/>
              <w:left w:val="nil"/>
              <w:bottom w:val="nil"/>
              <w:right w:val="nil"/>
            </w:tcBorders>
            <w:shd w:val="clear" w:color="000000" w:fill="BFBFBF"/>
            <w:vAlign w:val="center"/>
            <w:hideMark/>
          </w:tcPr>
          <w:p w14:paraId="625E7578"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 </w:t>
            </w:r>
          </w:p>
        </w:tc>
        <w:tc>
          <w:tcPr>
            <w:tcW w:w="553" w:type="pct"/>
            <w:tcBorders>
              <w:top w:val="nil"/>
              <w:left w:val="nil"/>
              <w:bottom w:val="nil"/>
              <w:right w:val="nil"/>
            </w:tcBorders>
            <w:shd w:val="clear" w:color="000000" w:fill="BFBFBF"/>
            <w:vAlign w:val="center"/>
            <w:hideMark/>
          </w:tcPr>
          <w:p w14:paraId="5CCD62A5"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2017</w:t>
            </w:r>
          </w:p>
        </w:tc>
        <w:tc>
          <w:tcPr>
            <w:tcW w:w="553" w:type="pct"/>
            <w:tcBorders>
              <w:top w:val="nil"/>
              <w:left w:val="nil"/>
              <w:bottom w:val="nil"/>
              <w:right w:val="nil"/>
            </w:tcBorders>
            <w:shd w:val="clear" w:color="000000" w:fill="BFBFBF"/>
            <w:vAlign w:val="center"/>
            <w:hideMark/>
          </w:tcPr>
          <w:p w14:paraId="4E4E3CEA"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2018</w:t>
            </w:r>
          </w:p>
        </w:tc>
        <w:tc>
          <w:tcPr>
            <w:tcW w:w="553" w:type="pct"/>
            <w:tcBorders>
              <w:top w:val="nil"/>
              <w:left w:val="nil"/>
              <w:bottom w:val="nil"/>
              <w:right w:val="nil"/>
            </w:tcBorders>
            <w:shd w:val="clear" w:color="000000" w:fill="BFBFBF"/>
            <w:vAlign w:val="center"/>
            <w:hideMark/>
          </w:tcPr>
          <w:p w14:paraId="2A83C935"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2019</w:t>
            </w:r>
          </w:p>
        </w:tc>
        <w:tc>
          <w:tcPr>
            <w:tcW w:w="660" w:type="pct"/>
            <w:tcBorders>
              <w:top w:val="nil"/>
              <w:left w:val="nil"/>
              <w:bottom w:val="nil"/>
              <w:right w:val="nil"/>
            </w:tcBorders>
            <w:shd w:val="clear" w:color="000000" w:fill="BFBFBF"/>
            <w:vAlign w:val="center"/>
            <w:hideMark/>
          </w:tcPr>
          <w:p w14:paraId="1CCAB4D2"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2019</w:t>
            </w:r>
          </w:p>
        </w:tc>
        <w:tc>
          <w:tcPr>
            <w:tcW w:w="465" w:type="pct"/>
            <w:tcBorders>
              <w:top w:val="nil"/>
              <w:left w:val="nil"/>
              <w:bottom w:val="nil"/>
              <w:right w:val="nil"/>
            </w:tcBorders>
            <w:shd w:val="clear" w:color="000000" w:fill="BFBFBF"/>
            <w:vAlign w:val="center"/>
            <w:hideMark/>
          </w:tcPr>
          <w:p w14:paraId="2787A978"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 xml:space="preserve"> v tis. eur</w:t>
            </w:r>
          </w:p>
        </w:tc>
        <w:tc>
          <w:tcPr>
            <w:tcW w:w="473" w:type="pct"/>
            <w:tcBorders>
              <w:top w:val="nil"/>
              <w:left w:val="nil"/>
              <w:bottom w:val="nil"/>
              <w:right w:val="nil"/>
            </w:tcBorders>
            <w:shd w:val="clear" w:color="000000" w:fill="BFBFBF"/>
            <w:vAlign w:val="center"/>
            <w:hideMark/>
          </w:tcPr>
          <w:p w14:paraId="1A7D1785"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v %</w:t>
            </w:r>
          </w:p>
        </w:tc>
      </w:tr>
      <w:tr w:rsidR="00EA177A" w:rsidRPr="00B91D78" w14:paraId="2D26F93A" w14:textId="77777777" w:rsidTr="00B91D78">
        <w:trPr>
          <w:trHeight w:val="345"/>
        </w:trPr>
        <w:tc>
          <w:tcPr>
            <w:tcW w:w="1744" w:type="pct"/>
            <w:tcBorders>
              <w:top w:val="nil"/>
              <w:left w:val="nil"/>
              <w:bottom w:val="single" w:sz="8" w:space="0" w:color="auto"/>
              <w:right w:val="nil"/>
            </w:tcBorders>
            <w:shd w:val="clear" w:color="000000" w:fill="BFBFBF"/>
            <w:vAlign w:val="center"/>
            <w:hideMark/>
          </w:tcPr>
          <w:p w14:paraId="1DEF9FFB"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 </w:t>
            </w:r>
          </w:p>
        </w:tc>
        <w:tc>
          <w:tcPr>
            <w:tcW w:w="553" w:type="pct"/>
            <w:tcBorders>
              <w:top w:val="nil"/>
              <w:left w:val="nil"/>
              <w:bottom w:val="single" w:sz="8" w:space="0" w:color="auto"/>
              <w:right w:val="nil"/>
            </w:tcBorders>
            <w:shd w:val="clear" w:color="000000" w:fill="BFBFBF"/>
            <w:vAlign w:val="center"/>
            <w:hideMark/>
          </w:tcPr>
          <w:p w14:paraId="0CD91948"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1</w:t>
            </w:r>
          </w:p>
        </w:tc>
        <w:tc>
          <w:tcPr>
            <w:tcW w:w="553" w:type="pct"/>
            <w:tcBorders>
              <w:top w:val="nil"/>
              <w:left w:val="nil"/>
              <w:bottom w:val="single" w:sz="8" w:space="0" w:color="auto"/>
              <w:right w:val="nil"/>
            </w:tcBorders>
            <w:shd w:val="clear" w:color="000000" w:fill="BFBFBF"/>
            <w:vAlign w:val="center"/>
            <w:hideMark/>
          </w:tcPr>
          <w:p w14:paraId="7FABA25D"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2</w:t>
            </w:r>
          </w:p>
        </w:tc>
        <w:tc>
          <w:tcPr>
            <w:tcW w:w="553" w:type="pct"/>
            <w:tcBorders>
              <w:top w:val="nil"/>
              <w:left w:val="nil"/>
              <w:bottom w:val="single" w:sz="8" w:space="0" w:color="auto"/>
              <w:right w:val="nil"/>
            </w:tcBorders>
            <w:shd w:val="clear" w:color="000000" w:fill="BFBFBF"/>
            <w:vAlign w:val="center"/>
            <w:hideMark/>
          </w:tcPr>
          <w:p w14:paraId="7680C75D"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3</w:t>
            </w:r>
          </w:p>
        </w:tc>
        <w:tc>
          <w:tcPr>
            <w:tcW w:w="660" w:type="pct"/>
            <w:tcBorders>
              <w:top w:val="nil"/>
              <w:left w:val="nil"/>
              <w:bottom w:val="single" w:sz="8" w:space="0" w:color="auto"/>
              <w:right w:val="nil"/>
            </w:tcBorders>
            <w:shd w:val="clear" w:color="000000" w:fill="BFBFBF"/>
            <w:vAlign w:val="center"/>
            <w:hideMark/>
          </w:tcPr>
          <w:p w14:paraId="456D251C"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4</w:t>
            </w:r>
          </w:p>
        </w:tc>
        <w:tc>
          <w:tcPr>
            <w:tcW w:w="465" w:type="pct"/>
            <w:tcBorders>
              <w:top w:val="nil"/>
              <w:left w:val="nil"/>
              <w:bottom w:val="single" w:sz="8" w:space="0" w:color="auto"/>
              <w:right w:val="nil"/>
            </w:tcBorders>
            <w:shd w:val="clear" w:color="000000" w:fill="BFBFBF"/>
            <w:vAlign w:val="center"/>
            <w:hideMark/>
          </w:tcPr>
          <w:p w14:paraId="0735736D"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5=4-3</w:t>
            </w:r>
          </w:p>
        </w:tc>
        <w:tc>
          <w:tcPr>
            <w:tcW w:w="473" w:type="pct"/>
            <w:tcBorders>
              <w:top w:val="nil"/>
              <w:left w:val="nil"/>
              <w:bottom w:val="single" w:sz="8" w:space="0" w:color="auto"/>
              <w:right w:val="nil"/>
            </w:tcBorders>
            <w:shd w:val="clear" w:color="000000" w:fill="BFBFBF"/>
            <w:vAlign w:val="center"/>
            <w:hideMark/>
          </w:tcPr>
          <w:p w14:paraId="2899BE51"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6=4-3</w:t>
            </w:r>
          </w:p>
        </w:tc>
      </w:tr>
      <w:tr w:rsidR="00EA177A" w:rsidRPr="00B91D78" w14:paraId="5C58E948" w14:textId="77777777" w:rsidTr="003421E9">
        <w:trPr>
          <w:trHeight w:val="330"/>
        </w:trPr>
        <w:tc>
          <w:tcPr>
            <w:tcW w:w="1744" w:type="pct"/>
            <w:tcBorders>
              <w:top w:val="nil"/>
              <w:left w:val="nil"/>
              <w:bottom w:val="nil"/>
              <w:right w:val="nil"/>
            </w:tcBorders>
            <w:shd w:val="clear" w:color="000000" w:fill="FFFFFF"/>
            <w:vAlign w:val="center"/>
            <w:hideMark/>
          </w:tcPr>
          <w:p w14:paraId="4B33EAB4"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Poľnohospodárske fondy 3. programové obdobie</w:t>
            </w:r>
          </w:p>
        </w:tc>
        <w:tc>
          <w:tcPr>
            <w:tcW w:w="553" w:type="pct"/>
            <w:tcBorders>
              <w:top w:val="nil"/>
              <w:left w:val="nil"/>
              <w:bottom w:val="nil"/>
              <w:right w:val="nil"/>
            </w:tcBorders>
            <w:shd w:val="clear" w:color="000000" w:fill="FFFFFF"/>
            <w:noWrap/>
            <w:vAlign w:val="center"/>
            <w:hideMark/>
          </w:tcPr>
          <w:p w14:paraId="21BFE3EB"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585 726</w:t>
            </w:r>
          </w:p>
        </w:tc>
        <w:tc>
          <w:tcPr>
            <w:tcW w:w="553" w:type="pct"/>
            <w:tcBorders>
              <w:top w:val="nil"/>
              <w:left w:val="nil"/>
              <w:bottom w:val="nil"/>
              <w:right w:val="nil"/>
            </w:tcBorders>
            <w:shd w:val="clear" w:color="000000" w:fill="FFFFFF"/>
            <w:noWrap/>
            <w:vAlign w:val="center"/>
            <w:hideMark/>
          </w:tcPr>
          <w:p w14:paraId="599770C2"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650 225</w:t>
            </w:r>
          </w:p>
        </w:tc>
        <w:tc>
          <w:tcPr>
            <w:tcW w:w="553" w:type="pct"/>
            <w:tcBorders>
              <w:top w:val="nil"/>
              <w:left w:val="nil"/>
              <w:bottom w:val="nil"/>
              <w:right w:val="nil"/>
            </w:tcBorders>
            <w:shd w:val="clear" w:color="000000" w:fill="FFFFFF"/>
            <w:noWrap/>
            <w:vAlign w:val="center"/>
            <w:hideMark/>
          </w:tcPr>
          <w:p w14:paraId="21CD99C5"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684 613</w:t>
            </w:r>
          </w:p>
        </w:tc>
        <w:tc>
          <w:tcPr>
            <w:tcW w:w="660" w:type="pct"/>
            <w:tcBorders>
              <w:top w:val="nil"/>
              <w:left w:val="nil"/>
              <w:bottom w:val="nil"/>
              <w:right w:val="nil"/>
            </w:tcBorders>
            <w:shd w:val="clear" w:color="auto" w:fill="BFBFBF" w:themeFill="background1" w:themeFillShade="BF"/>
            <w:noWrap/>
            <w:vAlign w:val="center"/>
            <w:hideMark/>
          </w:tcPr>
          <w:p w14:paraId="6790E57E"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709 672</w:t>
            </w:r>
          </w:p>
        </w:tc>
        <w:tc>
          <w:tcPr>
            <w:tcW w:w="465" w:type="pct"/>
            <w:tcBorders>
              <w:top w:val="nil"/>
              <w:left w:val="nil"/>
              <w:bottom w:val="nil"/>
              <w:right w:val="nil"/>
            </w:tcBorders>
            <w:shd w:val="clear" w:color="000000" w:fill="FFFFFF"/>
            <w:noWrap/>
            <w:vAlign w:val="center"/>
            <w:hideMark/>
          </w:tcPr>
          <w:p w14:paraId="3CC10531"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25 059</w:t>
            </w:r>
          </w:p>
        </w:tc>
        <w:tc>
          <w:tcPr>
            <w:tcW w:w="473" w:type="pct"/>
            <w:tcBorders>
              <w:top w:val="nil"/>
              <w:left w:val="nil"/>
              <w:bottom w:val="nil"/>
              <w:right w:val="nil"/>
            </w:tcBorders>
            <w:shd w:val="clear" w:color="000000" w:fill="FFFFFF"/>
            <w:noWrap/>
            <w:vAlign w:val="center"/>
            <w:hideMark/>
          </w:tcPr>
          <w:p w14:paraId="53F0EA4A"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3,7</w:t>
            </w:r>
          </w:p>
        </w:tc>
      </w:tr>
      <w:tr w:rsidR="00EA177A" w:rsidRPr="00B91D78" w14:paraId="67A3F6DA" w14:textId="77777777" w:rsidTr="003421E9">
        <w:trPr>
          <w:trHeight w:val="330"/>
        </w:trPr>
        <w:tc>
          <w:tcPr>
            <w:tcW w:w="1744" w:type="pct"/>
            <w:tcBorders>
              <w:top w:val="nil"/>
              <w:left w:val="nil"/>
              <w:bottom w:val="nil"/>
              <w:right w:val="nil"/>
            </w:tcBorders>
            <w:shd w:val="clear" w:color="000000" w:fill="FFFFFF"/>
            <w:vAlign w:val="center"/>
            <w:hideMark/>
          </w:tcPr>
          <w:p w14:paraId="59FA452C"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Poľnohospodárske fondy spolu - MPRV SR</w:t>
            </w:r>
          </w:p>
        </w:tc>
        <w:tc>
          <w:tcPr>
            <w:tcW w:w="553" w:type="pct"/>
            <w:tcBorders>
              <w:top w:val="nil"/>
              <w:left w:val="nil"/>
              <w:bottom w:val="nil"/>
              <w:right w:val="nil"/>
            </w:tcBorders>
            <w:shd w:val="clear" w:color="000000" w:fill="FFFFFF"/>
            <w:noWrap/>
            <w:vAlign w:val="center"/>
            <w:hideMark/>
          </w:tcPr>
          <w:p w14:paraId="713C96E7"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585 726</w:t>
            </w:r>
          </w:p>
        </w:tc>
        <w:tc>
          <w:tcPr>
            <w:tcW w:w="553" w:type="pct"/>
            <w:tcBorders>
              <w:top w:val="nil"/>
              <w:left w:val="nil"/>
              <w:bottom w:val="nil"/>
              <w:right w:val="nil"/>
            </w:tcBorders>
            <w:shd w:val="clear" w:color="000000" w:fill="FFFFFF"/>
            <w:noWrap/>
            <w:vAlign w:val="center"/>
            <w:hideMark/>
          </w:tcPr>
          <w:p w14:paraId="3C7607AA"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650 225</w:t>
            </w:r>
          </w:p>
        </w:tc>
        <w:tc>
          <w:tcPr>
            <w:tcW w:w="553" w:type="pct"/>
            <w:tcBorders>
              <w:top w:val="nil"/>
              <w:left w:val="nil"/>
              <w:bottom w:val="nil"/>
              <w:right w:val="nil"/>
            </w:tcBorders>
            <w:shd w:val="clear" w:color="000000" w:fill="FFFFFF"/>
            <w:noWrap/>
            <w:vAlign w:val="center"/>
            <w:hideMark/>
          </w:tcPr>
          <w:p w14:paraId="1710E66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684 613</w:t>
            </w:r>
          </w:p>
        </w:tc>
        <w:tc>
          <w:tcPr>
            <w:tcW w:w="660" w:type="pct"/>
            <w:tcBorders>
              <w:top w:val="nil"/>
              <w:left w:val="nil"/>
              <w:bottom w:val="nil"/>
              <w:right w:val="nil"/>
            </w:tcBorders>
            <w:shd w:val="clear" w:color="auto" w:fill="BFBFBF" w:themeFill="background1" w:themeFillShade="BF"/>
            <w:noWrap/>
            <w:vAlign w:val="center"/>
            <w:hideMark/>
          </w:tcPr>
          <w:p w14:paraId="7E6357CD"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709 672</w:t>
            </w:r>
          </w:p>
        </w:tc>
        <w:tc>
          <w:tcPr>
            <w:tcW w:w="465" w:type="pct"/>
            <w:tcBorders>
              <w:top w:val="nil"/>
              <w:left w:val="nil"/>
              <w:bottom w:val="nil"/>
              <w:right w:val="nil"/>
            </w:tcBorders>
            <w:shd w:val="clear" w:color="000000" w:fill="FFFFFF"/>
            <w:noWrap/>
            <w:vAlign w:val="center"/>
            <w:hideMark/>
          </w:tcPr>
          <w:p w14:paraId="442C4CA2"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25 059</w:t>
            </w:r>
          </w:p>
        </w:tc>
        <w:tc>
          <w:tcPr>
            <w:tcW w:w="473" w:type="pct"/>
            <w:tcBorders>
              <w:top w:val="nil"/>
              <w:left w:val="nil"/>
              <w:bottom w:val="nil"/>
              <w:right w:val="nil"/>
            </w:tcBorders>
            <w:shd w:val="clear" w:color="000000" w:fill="FFFFFF"/>
            <w:noWrap/>
            <w:vAlign w:val="center"/>
            <w:hideMark/>
          </w:tcPr>
          <w:p w14:paraId="7284B1C0"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3,7</w:t>
            </w:r>
          </w:p>
        </w:tc>
      </w:tr>
      <w:tr w:rsidR="00EA177A" w:rsidRPr="00B91D78" w14:paraId="7EF7F1B0" w14:textId="77777777" w:rsidTr="003421E9">
        <w:trPr>
          <w:trHeight w:val="510"/>
        </w:trPr>
        <w:tc>
          <w:tcPr>
            <w:tcW w:w="1744" w:type="pct"/>
            <w:tcBorders>
              <w:top w:val="nil"/>
              <w:left w:val="nil"/>
              <w:bottom w:val="nil"/>
              <w:right w:val="nil"/>
            </w:tcBorders>
            <w:shd w:val="clear" w:color="000000" w:fill="FFFFFF"/>
            <w:vAlign w:val="center"/>
            <w:hideMark/>
          </w:tcPr>
          <w:p w14:paraId="1841FCD0"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 xml:space="preserve">Štrukturálne fondy, Kohézny fond, Európsky fond pre rybné hospodárstvo 2. programové obdobie </w:t>
            </w:r>
          </w:p>
        </w:tc>
        <w:tc>
          <w:tcPr>
            <w:tcW w:w="553" w:type="pct"/>
            <w:tcBorders>
              <w:top w:val="nil"/>
              <w:left w:val="nil"/>
              <w:bottom w:val="nil"/>
              <w:right w:val="nil"/>
            </w:tcBorders>
            <w:shd w:val="clear" w:color="000000" w:fill="FFFFFF"/>
            <w:noWrap/>
            <w:vAlign w:val="center"/>
            <w:hideMark/>
          </w:tcPr>
          <w:p w14:paraId="368C7574"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320</w:t>
            </w:r>
          </w:p>
        </w:tc>
        <w:tc>
          <w:tcPr>
            <w:tcW w:w="553" w:type="pct"/>
            <w:tcBorders>
              <w:top w:val="nil"/>
              <w:left w:val="nil"/>
              <w:bottom w:val="nil"/>
              <w:right w:val="nil"/>
            </w:tcBorders>
            <w:shd w:val="clear" w:color="000000" w:fill="FFFFFF"/>
            <w:noWrap/>
            <w:vAlign w:val="center"/>
            <w:hideMark/>
          </w:tcPr>
          <w:p w14:paraId="4582BE54"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553" w:type="pct"/>
            <w:tcBorders>
              <w:top w:val="nil"/>
              <w:left w:val="nil"/>
              <w:bottom w:val="nil"/>
              <w:right w:val="nil"/>
            </w:tcBorders>
            <w:shd w:val="clear" w:color="000000" w:fill="FFFFFF"/>
            <w:noWrap/>
            <w:vAlign w:val="center"/>
            <w:hideMark/>
          </w:tcPr>
          <w:p w14:paraId="43CC7887"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660" w:type="pct"/>
            <w:tcBorders>
              <w:top w:val="nil"/>
              <w:left w:val="nil"/>
              <w:bottom w:val="nil"/>
              <w:right w:val="nil"/>
            </w:tcBorders>
            <w:shd w:val="clear" w:color="auto" w:fill="BFBFBF" w:themeFill="background1" w:themeFillShade="BF"/>
            <w:noWrap/>
            <w:vAlign w:val="center"/>
            <w:hideMark/>
          </w:tcPr>
          <w:p w14:paraId="1638AEFC"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465" w:type="pct"/>
            <w:tcBorders>
              <w:top w:val="nil"/>
              <w:left w:val="nil"/>
              <w:bottom w:val="nil"/>
              <w:right w:val="nil"/>
            </w:tcBorders>
            <w:shd w:val="clear" w:color="000000" w:fill="FFFFFF"/>
            <w:noWrap/>
            <w:vAlign w:val="center"/>
            <w:hideMark/>
          </w:tcPr>
          <w:p w14:paraId="179DA828"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473" w:type="pct"/>
            <w:tcBorders>
              <w:top w:val="nil"/>
              <w:left w:val="nil"/>
              <w:bottom w:val="nil"/>
              <w:right w:val="nil"/>
            </w:tcBorders>
            <w:shd w:val="clear" w:color="000000" w:fill="FFFFFF"/>
            <w:noWrap/>
            <w:vAlign w:val="center"/>
            <w:hideMark/>
          </w:tcPr>
          <w:p w14:paraId="1648B943"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w:t>
            </w:r>
          </w:p>
        </w:tc>
      </w:tr>
      <w:tr w:rsidR="00EA177A" w:rsidRPr="00B91D78" w14:paraId="44271B0E" w14:textId="77777777" w:rsidTr="003421E9">
        <w:trPr>
          <w:trHeight w:val="615"/>
        </w:trPr>
        <w:tc>
          <w:tcPr>
            <w:tcW w:w="1744" w:type="pct"/>
            <w:tcBorders>
              <w:top w:val="nil"/>
              <w:left w:val="nil"/>
              <w:bottom w:val="nil"/>
              <w:right w:val="nil"/>
            </w:tcBorders>
            <w:shd w:val="clear" w:color="000000" w:fill="FFFFFF"/>
            <w:vAlign w:val="center"/>
            <w:hideMark/>
          </w:tcPr>
          <w:p w14:paraId="08FFEF8B"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 xml:space="preserve">Štrukturálne fondy, Kohézny fond, Európsky námorný a rybársky fond 3. programové obdobie </w:t>
            </w:r>
          </w:p>
        </w:tc>
        <w:tc>
          <w:tcPr>
            <w:tcW w:w="553" w:type="pct"/>
            <w:tcBorders>
              <w:top w:val="nil"/>
              <w:left w:val="nil"/>
              <w:bottom w:val="nil"/>
              <w:right w:val="nil"/>
            </w:tcBorders>
            <w:shd w:val="clear" w:color="000000" w:fill="FFFFFF"/>
            <w:noWrap/>
            <w:vAlign w:val="center"/>
            <w:hideMark/>
          </w:tcPr>
          <w:p w14:paraId="5D954BAF"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834 141</w:t>
            </w:r>
          </w:p>
        </w:tc>
        <w:tc>
          <w:tcPr>
            <w:tcW w:w="553" w:type="pct"/>
            <w:tcBorders>
              <w:top w:val="nil"/>
              <w:left w:val="nil"/>
              <w:bottom w:val="nil"/>
              <w:right w:val="nil"/>
            </w:tcBorders>
            <w:shd w:val="clear" w:color="000000" w:fill="FFFFFF"/>
            <w:noWrap/>
            <w:vAlign w:val="center"/>
            <w:hideMark/>
          </w:tcPr>
          <w:p w14:paraId="43856E83"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1 416 456</w:t>
            </w:r>
          </w:p>
        </w:tc>
        <w:tc>
          <w:tcPr>
            <w:tcW w:w="553" w:type="pct"/>
            <w:tcBorders>
              <w:top w:val="nil"/>
              <w:left w:val="nil"/>
              <w:bottom w:val="nil"/>
              <w:right w:val="nil"/>
            </w:tcBorders>
            <w:shd w:val="clear" w:color="000000" w:fill="FFFFFF"/>
            <w:noWrap/>
            <w:vAlign w:val="center"/>
            <w:hideMark/>
          </w:tcPr>
          <w:p w14:paraId="70ED6DAE"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961 206</w:t>
            </w:r>
          </w:p>
        </w:tc>
        <w:tc>
          <w:tcPr>
            <w:tcW w:w="660" w:type="pct"/>
            <w:tcBorders>
              <w:top w:val="nil"/>
              <w:left w:val="nil"/>
              <w:bottom w:val="nil"/>
              <w:right w:val="nil"/>
            </w:tcBorders>
            <w:shd w:val="clear" w:color="auto" w:fill="BFBFBF" w:themeFill="background1" w:themeFillShade="BF"/>
            <w:noWrap/>
            <w:vAlign w:val="center"/>
            <w:hideMark/>
          </w:tcPr>
          <w:p w14:paraId="5F95A119"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1 354 785</w:t>
            </w:r>
          </w:p>
        </w:tc>
        <w:tc>
          <w:tcPr>
            <w:tcW w:w="465" w:type="pct"/>
            <w:tcBorders>
              <w:top w:val="nil"/>
              <w:left w:val="nil"/>
              <w:bottom w:val="nil"/>
              <w:right w:val="nil"/>
            </w:tcBorders>
            <w:shd w:val="clear" w:color="000000" w:fill="FFFFFF"/>
            <w:noWrap/>
            <w:vAlign w:val="center"/>
            <w:hideMark/>
          </w:tcPr>
          <w:p w14:paraId="0A5223B6"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393 579</w:t>
            </w:r>
          </w:p>
        </w:tc>
        <w:tc>
          <w:tcPr>
            <w:tcW w:w="473" w:type="pct"/>
            <w:tcBorders>
              <w:top w:val="nil"/>
              <w:left w:val="nil"/>
              <w:bottom w:val="nil"/>
              <w:right w:val="nil"/>
            </w:tcBorders>
            <w:shd w:val="clear" w:color="000000" w:fill="FFFFFF"/>
            <w:noWrap/>
            <w:vAlign w:val="center"/>
            <w:hideMark/>
          </w:tcPr>
          <w:p w14:paraId="0C30B89D"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40,9</w:t>
            </w:r>
          </w:p>
        </w:tc>
      </w:tr>
      <w:tr w:rsidR="00EA177A" w:rsidRPr="00B91D78" w14:paraId="682545C3" w14:textId="77777777" w:rsidTr="003421E9">
        <w:trPr>
          <w:trHeight w:val="330"/>
        </w:trPr>
        <w:tc>
          <w:tcPr>
            <w:tcW w:w="1744" w:type="pct"/>
            <w:tcBorders>
              <w:top w:val="nil"/>
              <w:left w:val="nil"/>
              <w:bottom w:val="nil"/>
              <w:right w:val="nil"/>
            </w:tcBorders>
            <w:shd w:val="clear" w:color="000000" w:fill="FFFFFF"/>
            <w:vAlign w:val="center"/>
            <w:hideMark/>
          </w:tcPr>
          <w:p w14:paraId="2B45AE85"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Programy EÚS 3. programové obdobie (CO MF SR)</w:t>
            </w:r>
          </w:p>
        </w:tc>
        <w:tc>
          <w:tcPr>
            <w:tcW w:w="553" w:type="pct"/>
            <w:tcBorders>
              <w:top w:val="nil"/>
              <w:left w:val="nil"/>
              <w:bottom w:val="nil"/>
              <w:right w:val="nil"/>
            </w:tcBorders>
            <w:shd w:val="clear" w:color="000000" w:fill="FFFFFF"/>
            <w:noWrap/>
            <w:vAlign w:val="center"/>
            <w:hideMark/>
          </w:tcPr>
          <w:p w14:paraId="2B44F444"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553" w:type="pct"/>
            <w:tcBorders>
              <w:top w:val="nil"/>
              <w:left w:val="nil"/>
              <w:bottom w:val="nil"/>
              <w:right w:val="nil"/>
            </w:tcBorders>
            <w:shd w:val="clear" w:color="000000" w:fill="FFFFFF"/>
            <w:noWrap/>
            <w:vAlign w:val="center"/>
            <w:hideMark/>
          </w:tcPr>
          <w:p w14:paraId="0F5BA747"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2 602</w:t>
            </w:r>
          </w:p>
        </w:tc>
        <w:tc>
          <w:tcPr>
            <w:tcW w:w="553" w:type="pct"/>
            <w:tcBorders>
              <w:top w:val="nil"/>
              <w:left w:val="nil"/>
              <w:bottom w:val="nil"/>
              <w:right w:val="nil"/>
            </w:tcBorders>
            <w:shd w:val="clear" w:color="000000" w:fill="FFFFFF"/>
            <w:noWrap/>
            <w:vAlign w:val="center"/>
            <w:hideMark/>
          </w:tcPr>
          <w:p w14:paraId="4A2D08B6"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13 927</w:t>
            </w:r>
          </w:p>
        </w:tc>
        <w:tc>
          <w:tcPr>
            <w:tcW w:w="660" w:type="pct"/>
            <w:tcBorders>
              <w:top w:val="nil"/>
              <w:left w:val="nil"/>
              <w:bottom w:val="nil"/>
              <w:right w:val="nil"/>
            </w:tcBorders>
            <w:shd w:val="clear" w:color="auto" w:fill="BFBFBF" w:themeFill="background1" w:themeFillShade="BF"/>
            <w:noWrap/>
            <w:vAlign w:val="center"/>
            <w:hideMark/>
          </w:tcPr>
          <w:p w14:paraId="3CB4179E"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15 624</w:t>
            </w:r>
          </w:p>
        </w:tc>
        <w:tc>
          <w:tcPr>
            <w:tcW w:w="465" w:type="pct"/>
            <w:tcBorders>
              <w:top w:val="nil"/>
              <w:left w:val="nil"/>
              <w:bottom w:val="nil"/>
              <w:right w:val="nil"/>
            </w:tcBorders>
            <w:shd w:val="clear" w:color="000000" w:fill="FFFFFF"/>
            <w:noWrap/>
            <w:vAlign w:val="center"/>
            <w:hideMark/>
          </w:tcPr>
          <w:p w14:paraId="63FAD8A5"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1 697</w:t>
            </w:r>
          </w:p>
        </w:tc>
        <w:tc>
          <w:tcPr>
            <w:tcW w:w="473" w:type="pct"/>
            <w:tcBorders>
              <w:top w:val="nil"/>
              <w:left w:val="nil"/>
              <w:bottom w:val="nil"/>
              <w:right w:val="nil"/>
            </w:tcBorders>
            <w:shd w:val="clear" w:color="000000" w:fill="FFFFFF"/>
            <w:noWrap/>
            <w:vAlign w:val="center"/>
            <w:hideMark/>
          </w:tcPr>
          <w:p w14:paraId="29562063"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12,2</w:t>
            </w:r>
          </w:p>
        </w:tc>
      </w:tr>
      <w:tr w:rsidR="00EA177A" w:rsidRPr="00B91D78" w14:paraId="27DC9659" w14:textId="77777777" w:rsidTr="003421E9">
        <w:trPr>
          <w:trHeight w:val="330"/>
        </w:trPr>
        <w:tc>
          <w:tcPr>
            <w:tcW w:w="1744" w:type="pct"/>
            <w:tcBorders>
              <w:top w:val="nil"/>
              <w:left w:val="nil"/>
              <w:bottom w:val="nil"/>
              <w:right w:val="nil"/>
            </w:tcBorders>
            <w:shd w:val="clear" w:color="000000" w:fill="FFFFFF"/>
            <w:vAlign w:val="center"/>
            <w:hideMark/>
          </w:tcPr>
          <w:p w14:paraId="78F234D6"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Štrukturálne operácie - MF SR</w:t>
            </w:r>
          </w:p>
        </w:tc>
        <w:tc>
          <w:tcPr>
            <w:tcW w:w="553" w:type="pct"/>
            <w:tcBorders>
              <w:top w:val="nil"/>
              <w:left w:val="nil"/>
              <w:bottom w:val="nil"/>
              <w:right w:val="nil"/>
            </w:tcBorders>
            <w:shd w:val="clear" w:color="000000" w:fill="FFFFFF"/>
            <w:noWrap/>
            <w:vAlign w:val="center"/>
            <w:hideMark/>
          </w:tcPr>
          <w:p w14:paraId="7EE1DE43"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834 461</w:t>
            </w:r>
          </w:p>
        </w:tc>
        <w:tc>
          <w:tcPr>
            <w:tcW w:w="553" w:type="pct"/>
            <w:tcBorders>
              <w:top w:val="nil"/>
              <w:left w:val="nil"/>
              <w:bottom w:val="nil"/>
              <w:right w:val="nil"/>
            </w:tcBorders>
            <w:shd w:val="clear" w:color="000000" w:fill="FFFFFF"/>
            <w:noWrap/>
            <w:vAlign w:val="center"/>
            <w:hideMark/>
          </w:tcPr>
          <w:p w14:paraId="3A18BF87"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1 419 058</w:t>
            </w:r>
          </w:p>
        </w:tc>
        <w:tc>
          <w:tcPr>
            <w:tcW w:w="553" w:type="pct"/>
            <w:tcBorders>
              <w:top w:val="nil"/>
              <w:left w:val="nil"/>
              <w:bottom w:val="nil"/>
              <w:right w:val="nil"/>
            </w:tcBorders>
            <w:shd w:val="clear" w:color="000000" w:fill="FFFFFF"/>
            <w:noWrap/>
            <w:vAlign w:val="center"/>
            <w:hideMark/>
          </w:tcPr>
          <w:p w14:paraId="62787C60"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975 133</w:t>
            </w:r>
          </w:p>
        </w:tc>
        <w:tc>
          <w:tcPr>
            <w:tcW w:w="660" w:type="pct"/>
            <w:tcBorders>
              <w:top w:val="nil"/>
              <w:left w:val="nil"/>
              <w:bottom w:val="nil"/>
              <w:right w:val="nil"/>
            </w:tcBorders>
            <w:shd w:val="clear" w:color="auto" w:fill="BFBFBF" w:themeFill="background1" w:themeFillShade="BF"/>
            <w:noWrap/>
            <w:vAlign w:val="center"/>
            <w:hideMark/>
          </w:tcPr>
          <w:p w14:paraId="4348630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1 370 409</w:t>
            </w:r>
          </w:p>
        </w:tc>
        <w:tc>
          <w:tcPr>
            <w:tcW w:w="465" w:type="pct"/>
            <w:tcBorders>
              <w:top w:val="nil"/>
              <w:left w:val="nil"/>
              <w:bottom w:val="nil"/>
              <w:right w:val="nil"/>
            </w:tcBorders>
            <w:shd w:val="clear" w:color="000000" w:fill="FFFFFF"/>
            <w:noWrap/>
            <w:vAlign w:val="center"/>
            <w:hideMark/>
          </w:tcPr>
          <w:p w14:paraId="4B0B58C2"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395 276</w:t>
            </w:r>
          </w:p>
        </w:tc>
        <w:tc>
          <w:tcPr>
            <w:tcW w:w="473" w:type="pct"/>
            <w:tcBorders>
              <w:top w:val="nil"/>
              <w:left w:val="nil"/>
              <w:bottom w:val="nil"/>
              <w:right w:val="nil"/>
            </w:tcBorders>
            <w:shd w:val="clear" w:color="000000" w:fill="FFFFFF"/>
            <w:noWrap/>
            <w:vAlign w:val="center"/>
            <w:hideMark/>
          </w:tcPr>
          <w:p w14:paraId="0D58EF2F"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40,5</w:t>
            </w:r>
          </w:p>
        </w:tc>
      </w:tr>
      <w:tr w:rsidR="00EA177A" w:rsidRPr="00B91D78" w14:paraId="5ECFB929" w14:textId="77777777" w:rsidTr="003421E9">
        <w:trPr>
          <w:trHeight w:val="330"/>
        </w:trPr>
        <w:tc>
          <w:tcPr>
            <w:tcW w:w="1744" w:type="pct"/>
            <w:tcBorders>
              <w:top w:val="nil"/>
              <w:left w:val="nil"/>
              <w:bottom w:val="nil"/>
              <w:right w:val="nil"/>
            </w:tcBorders>
            <w:shd w:val="clear" w:color="000000" w:fill="FFFFFF"/>
            <w:vAlign w:val="center"/>
            <w:hideMark/>
          </w:tcPr>
          <w:p w14:paraId="5480979E"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OP Sociálneho začlenenia najodkázanejších osôb</w:t>
            </w:r>
          </w:p>
        </w:tc>
        <w:tc>
          <w:tcPr>
            <w:tcW w:w="553" w:type="pct"/>
            <w:tcBorders>
              <w:top w:val="nil"/>
              <w:left w:val="nil"/>
              <w:bottom w:val="nil"/>
              <w:right w:val="nil"/>
            </w:tcBorders>
            <w:shd w:val="clear" w:color="000000" w:fill="FFFFFF"/>
            <w:noWrap/>
            <w:vAlign w:val="center"/>
            <w:hideMark/>
          </w:tcPr>
          <w:p w14:paraId="64456695"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11 935</w:t>
            </w:r>
          </w:p>
        </w:tc>
        <w:tc>
          <w:tcPr>
            <w:tcW w:w="553" w:type="pct"/>
            <w:tcBorders>
              <w:top w:val="nil"/>
              <w:left w:val="nil"/>
              <w:bottom w:val="nil"/>
              <w:right w:val="nil"/>
            </w:tcBorders>
            <w:shd w:val="clear" w:color="000000" w:fill="FFFFFF"/>
            <w:noWrap/>
            <w:vAlign w:val="center"/>
            <w:hideMark/>
          </w:tcPr>
          <w:p w14:paraId="557D4855"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11 949</w:t>
            </w:r>
          </w:p>
        </w:tc>
        <w:tc>
          <w:tcPr>
            <w:tcW w:w="553" w:type="pct"/>
            <w:tcBorders>
              <w:top w:val="nil"/>
              <w:left w:val="nil"/>
              <w:bottom w:val="nil"/>
              <w:right w:val="nil"/>
            </w:tcBorders>
            <w:shd w:val="clear" w:color="000000" w:fill="FFFFFF"/>
            <w:noWrap/>
            <w:vAlign w:val="center"/>
            <w:hideMark/>
          </w:tcPr>
          <w:p w14:paraId="424CB56D"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5 295</w:t>
            </w:r>
          </w:p>
        </w:tc>
        <w:tc>
          <w:tcPr>
            <w:tcW w:w="660" w:type="pct"/>
            <w:tcBorders>
              <w:top w:val="nil"/>
              <w:left w:val="nil"/>
              <w:bottom w:val="nil"/>
              <w:right w:val="nil"/>
            </w:tcBorders>
            <w:shd w:val="clear" w:color="auto" w:fill="BFBFBF" w:themeFill="background1" w:themeFillShade="BF"/>
            <w:noWrap/>
            <w:vAlign w:val="center"/>
            <w:hideMark/>
          </w:tcPr>
          <w:p w14:paraId="13D8FA8E"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12 300</w:t>
            </w:r>
          </w:p>
        </w:tc>
        <w:tc>
          <w:tcPr>
            <w:tcW w:w="465" w:type="pct"/>
            <w:tcBorders>
              <w:top w:val="nil"/>
              <w:left w:val="nil"/>
              <w:bottom w:val="nil"/>
              <w:right w:val="nil"/>
            </w:tcBorders>
            <w:shd w:val="clear" w:color="000000" w:fill="FFFFFF"/>
            <w:noWrap/>
            <w:vAlign w:val="center"/>
            <w:hideMark/>
          </w:tcPr>
          <w:p w14:paraId="0610D8E7"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7 005</w:t>
            </w:r>
          </w:p>
        </w:tc>
        <w:tc>
          <w:tcPr>
            <w:tcW w:w="473" w:type="pct"/>
            <w:tcBorders>
              <w:top w:val="nil"/>
              <w:left w:val="nil"/>
              <w:bottom w:val="nil"/>
              <w:right w:val="nil"/>
            </w:tcBorders>
            <w:shd w:val="clear" w:color="000000" w:fill="FFFFFF"/>
            <w:noWrap/>
            <w:vAlign w:val="center"/>
            <w:hideMark/>
          </w:tcPr>
          <w:p w14:paraId="4F5DDC0D"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132,3</w:t>
            </w:r>
          </w:p>
        </w:tc>
      </w:tr>
      <w:tr w:rsidR="00EA177A" w:rsidRPr="00B91D78" w14:paraId="32B09551" w14:textId="77777777" w:rsidTr="003421E9">
        <w:trPr>
          <w:trHeight w:val="330"/>
        </w:trPr>
        <w:tc>
          <w:tcPr>
            <w:tcW w:w="1744" w:type="pct"/>
            <w:tcBorders>
              <w:top w:val="nil"/>
              <w:left w:val="nil"/>
              <w:bottom w:val="nil"/>
              <w:right w:val="nil"/>
            </w:tcBorders>
            <w:shd w:val="clear" w:color="000000" w:fill="FFFFFF"/>
            <w:vAlign w:val="center"/>
            <w:hideMark/>
          </w:tcPr>
          <w:p w14:paraId="61FF3CF3"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Štrukturálne operácie - MPSVR SR</w:t>
            </w:r>
          </w:p>
        </w:tc>
        <w:tc>
          <w:tcPr>
            <w:tcW w:w="553" w:type="pct"/>
            <w:tcBorders>
              <w:top w:val="nil"/>
              <w:left w:val="nil"/>
              <w:bottom w:val="nil"/>
              <w:right w:val="nil"/>
            </w:tcBorders>
            <w:shd w:val="clear" w:color="000000" w:fill="FFFFFF"/>
            <w:noWrap/>
            <w:vAlign w:val="center"/>
            <w:hideMark/>
          </w:tcPr>
          <w:p w14:paraId="17D21510"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11 935</w:t>
            </w:r>
          </w:p>
        </w:tc>
        <w:tc>
          <w:tcPr>
            <w:tcW w:w="553" w:type="pct"/>
            <w:tcBorders>
              <w:top w:val="nil"/>
              <w:left w:val="nil"/>
              <w:bottom w:val="nil"/>
              <w:right w:val="nil"/>
            </w:tcBorders>
            <w:shd w:val="clear" w:color="000000" w:fill="FFFFFF"/>
            <w:noWrap/>
            <w:vAlign w:val="center"/>
            <w:hideMark/>
          </w:tcPr>
          <w:p w14:paraId="717ED808"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11 949</w:t>
            </w:r>
          </w:p>
        </w:tc>
        <w:tc>
          <w:tcPr>
            <w:tcW w:w="553" w:type="pct"/>
            <w:tcBorders>
              <w:top w:val="nil"/>
              <w:left w:val="nil"/>
              <w:bottom w:val="nil"/>
              <w:right w:val="nil"/>
            </w:tcBorders>
            <w:shd w:val="clear" w:color="000000" w:fill="FFFFFF"/>
            <w:noWrap/>
            <w:vAlign w:val="center"/>
            <w:hideMark/>
          </w:tcPr>
          <w:p w14:paraId="2A32A737"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5 295</w:t>
            </w:r>
          </w:p>
        </w:tc>
        <w:tc>
          <w:tcPr>
            <w:tcW w:w="660" w:type="pct"/>
            <w:tcBorders>
              <w:top w:val="nil"/>
              <w:left w:val="nil"/>
              <w:bottom w:val="nil"/>
              <w:right w:val="nil"/>
            </w:tcBorders>
            <w:shd w:val="clear" w:color="auto" w:fill="BFBFBF" w:themeFill="background1" w:themeFillShade="BF"/>
            <w:noWrap/>
            <w:vAlign w:val="center"/>
            <w:hideMark/>
          </w:tcPr>
          <w:p w14:paraId="7445A9A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12 300</w:t>
            </w:r>
          </w:p>
        </w:tc>
        <w:tc>
          <w:tcPr>
            <w:tcW w:w="465" w:type="pct"/>
            <w:tcBorders>
              <w:top w:val="nil"/>
              <w:left w:val="nil"/>
              <w:bottom w:val="nil"/>
              <w:right w:val="nil"/>
            </w:tcBorders>
            <w:shd w:val="clear" w:color="000000" w:fill="FFFFFF"/>
            <w:noWrap/>
            <w:vAlign w:val="center"/>
            <w:hideMark/>
          </w:tcPr>
          <w:p w14:paraId="2F89EF6A"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7 005</w:t>
            </w:r>
          </w:p>
        </w:tc>
        <w:tc>
          <w:tcPr>
            <w:tcW w:w="473" w:type="pct"/>
            <w:tcBorders>
              <w:top w:val="nil"/>
              <w:left w:val="nil"/>
              <w:bottom w:val="nil"/>
              <w:right w:val="nil"/>
            </w:tcBorders>
            <w:shd w:val="clear" w:color="000000" w:fill="FFFFFF"/>
            <w:noWrap/>
            <w:vAlign w:val="center"/>
            <w:hideMark/>
          </w:tcPr>
          <w:p w14:paraId="59B292A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132,3</w:t>
            </w:r>
          </w:p>
        </w:tc>
      </w:tr>
      <w:tr w:rsidR="00EA177A" w:rsidRPr="00B91D78" w14:paraId="2FD89FB8" w14:textId="77777777" w:rsidTr="003421E9">
        <w:trPr>
          <w:trHeight w:val="345"/>
        </w:trPr>
        <w:tc>
          <w:tcPr>
            <w:tcW w:w="1744" w:type="pct"/>
            <w:tcBorders>
              <w:top w:val="single" w:sz="4" w:space="0" w:color="auto"/>
              <w:left w:val="nil"/>
              <w:bottom w:val="single" w:sz="8" w:space="0" w:color="auto"/>
              <w:right w:val="nil"/>
            </w:tcBorders>
            <w:shd w:val="clear" w:color="000000" w:fill="FFFFFF"/>
            <w:vAlign w:val="center"/>
            <w:hideMark/>
          </w:tcPr>
          <w:p w14:paraId="3B5D01F1"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Spolu výdavky za prostriedky EÚ</w:t>
            </w:r>
          </w:p>
        </w:tc>
        <w:tc>
          <w:tcPr>
            <w:tcW w:w="553" w:type="pct"/>
            <w:tcBorders>
              <w:top w:val="single" w:sz="4" w:space="0" w:color="auto"/>
              <w:left w:val="nil"/>
              <w:bottom w:val="single" w:sz="8" w:space="0" w:color="auto"/>
              <w:right w:val="nil"/>
            </w:tcBorders>
            <w:shd w:val="clear" w:color="000000" w:fill="FFFFFF"/>
            <w:noWrap/>
            <w:vAlign w:val="center"/>
            <w:hideMark/>
          </w:tcPr>
          <w:p w14:paraId="7A205942"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1 432 122</w:t>
            </w:r>
          </w:p>
        </w:tc>
        <w:tc>
          <w:tcPr>
            <w:tcW w:w="553" w:type="pct"/>
            <w:tcBorders>
              <w:top w:val="single" w:sz="4" w:space="0" w:color="auto"/>
              <w:left w:val="nil"/>
              <w:bottom w:val="single" w:sz="8" w:space="0" w:color="auto"/>
              <w:right w:val="nil"/>
            </w:tcBorders>
            <w:shd w:val="clear" w:color="000000" w:fill="FFFFFF"/>
            <w:noWrap/>
            <w:vAlign w:val="center"/>
            <w:hideMark/>
          </w:tcPr>
          <w:p w14:paraId="460D2998"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2 081 232</w:t>
            </w:r>
          </w:p>
        </w:tc>
        <w:tc>
          <w:tcPr>
            <w:tcW w:w="553" w:type="pct"/>
            <w:tcBorders>
              <w:top w:val="single" w:sz="4" w:space="0" w:color="auto"/>
              <w:left w:val="nil"/>
              <w:bottom w:val="single" w:sz="8" w:space="0" w:color="auto"/>
              <w:right w:val="nil"/>
            </w:tcBorders>
            <w:shd w:val="clear" w:color="auto" w:fill="auto"/>
            <w:noWrap/>
            <w:vAlign w:val="center"/>
            <w:hideMark/>
          </w:tcPr>
          <w:p w14:paraId="0201865D"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1 665 041</w:t>
            </w:r>
          </w:p>
        </w:tc>
        <w:tc>
          <w:tcPr>
            <w:tcW w:w="660" w:type="pct"/>
            <w:tcBorders>
              <w:top w:val="single" w:sz="4" w:space="0" w:color="auto"/>
              <w:left w:val="nil"/>
              <w:bottom w:val="single" w:sz="8" w:space="0" w:color="auto"/>
              <w:right w:val="nil"/>
            </w:tcBorders>
            <w:shd w:val="clear" w:color="auto" w:fill="BFBFBF" w:themeFill="background1" w:themeFillShade="BF"/>
            <w:noWrap/>
            <w:vAlign w:val="center"/>
            <w:hideMark/>
          </w:tcPr>
          <w:p w14:paraId="0F8C3E9B"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2 092 381</w:t>
            </w:r>
          </w:p>
        </w:tc>
        <w:tc>
          <w:tcPr>
            <w:tcW w:w="465" w:type="pct"/>
            <w:tcBorders>
              <w:top w:val="single" w:sz="4" w:space="0" w:color="auto"/>
              <w:left w:val="nil"/>
              <w:bottom w:val="single" w:sz="8" w:space="0" w:color="auto"/>
              <w:right w:val="nil"/>
            </w:tcBorders>
            <w:shd w:val="clear" w:color="000000" w:fill="FFFFFF"/>
            <w:noWrap/>
            <w:vAlign w:val="center"/>
            <w:hideMark/>
          </w:tcPr>
          <w:p w14:paraId="124A8938"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427 340</w:t>
            </w:r>
          </w:p>
        </w:tc>
        <w:tc>
          <w:tcPr>
            <w:tcW w:w="473" w:type="pct"/>
            <w:tcBorders>
              <w:top w:val="single" w:sz="4" w:space="0" w:color="auto"/>
              <w:left w:val="nil"/>
              <w:bottom w:val="single" w:sz="8" w:space="0" w:color="auto"/>
              <w:right w:val="nil"/>
            </w:tcBorders>
            <w:shd w:val="clear" w:color="000000" w:fill="FFFFFF"/>
            <w:noWrap/>
            <w:vAlign w:val="center"/>
            <w:hideMark/>
          </w:tcPr>
          <w:p w14:paraId="507EE9B5"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25,7</w:t>
            </w:r>
          </w:p>
        </w:tc>
      </w:tr>
    </w:tbl>
    <w:p w14:paraId="24741CF4" w14:textId="77777777" w:rsidR="00EA177A" w:rsidRPr="00723957" w:rsidRDefault="00EA177A" w:rsidP="00EA177A">
      <w:pPr>
        <w:jc w:val="right"/>
      </w:pPr>
      <w:r w:rsidRPr="00723957">
        <w:rPr>
          <w:sz w:val="18"/>
          <w:szCs w:val="18"/>
        </w:rPr>
        <w:t>Zdroj: MF SR</w:t>
      </w:r>
      <w:r w:rsidRPr="00723957">
        <w:t xml:space="preserve"> </w:t>
      </w:r>
    </w:p>
    <w:p w14:paraId="0A0FC79D" w14:textId="77777777" w:rsidR="00EA177A" w:rsidRPr="00AB1CA4" w:rsidRDefault="00EA177A" w:rsidP="00EA177A">
      <w:pPr>
        <w:tabs>
          <w:tab w:val="left" w:pos="284"/>
        </w:tabs>
        <w:rPr>
          <w:b/>
        </w:rPr>
      </w:pPr>
      <w:r w:rsidRPr="005114A1">
        <w:rPr>
          <w:b/>
        </w:rPr>
        <w:t>Výda</w:t>
      </w:r>
      <w:r>
        <w:rPr>
          <w:b/>
        </w:rPr>
        <w:t xml:space="preserve">vky na spolufinancovanie zo ŠR </w:t>
      </w:r>
      <w:r w:rsidRPr="005114A1">
        <w:t>boli rozpočtované vo výške 235</w:t>
      </w:r>
      <w:r>
        <w:t> </w:t>
      </w:r>
      <w:r w:rsidRPr="005114A1">
        <w:t>097</w:t>
      </w:r>
      <w:r>
        <w:t> </w:t>
      </w:r>
      <w:r w:rsidRPr="005114A1">
        <w:t>tis.</w:t>
      </w:r>
      <w:r>
        <w:t> </w:t>
      </w:r>
      <w:r w:rsidRPr="005114A1">
        <w:t>eur, z toho prostriedky na spolufinancovanie zo ŠR k prostriedkom EÚ vo výške 228</w:t>
      </w:r>
      <w:r>
        <w:t> </w:t>
      </w:r>
      <w:r w:rsidRPr="005114A1">
        <w:t>466</w:t>
      </w:r>
      <w:r>
        <w:t> </w:t>
      </w:r>
      <w:r w:rsidRPr="005114A1">
        <w:t>tis.</w:t>
      </w:r>
      <w:r>
        <w:t> </w:t>
      </w:r>
      <w:r w:rsidRPr="005114A1">
        <w:t>eur, prostriedky na spolufinancovanie k zahraničným grantom a prostriedkom poskytnutým na základe medzinárodných zmlúv vo výške 5</w:t>
      </w:r>
      <w:r>
        <w:t> </w:t>
      </w:r>
      <w:r w:rsidRPr="005114A1">
        <w:t>683</w:t>
      </w:r>
      <w:r>
        <w:t> </w:t>
      </w:r>
      <w:r w:rsidRPr="005114A1">
        <w:t>tis.</w:t>
      </w:r>
      <w:r>
        <w:t> </w:t>
      </w:r>
      <w:r w:rsidRPr="005114A1">
        <w:t>eur a prostriedky na spolufinancovanie vnútorných politík v sume 948</w:t>
      </w:r>
      <w:r>
        <w:t> tis. </w:t>
      </w:r>
      <w:r w:rsidRPr="005114A1">
        <w:t>eur. Skutočné plnenie výdavkov na spolufinancovanie zo ŠR je vo výške 306</w:t>
      </w:r>
      <w:r>
        <w:t> </w:t>
      </w:r>
      <w:r w:rsidRPr="005114A1">
        <w:t>189</w:t>
      </w:r>
      <w:r>
        <w:t> </w:t>
      </w:r>
      <w:r w:rsidRPr="005114A1">
        <w:t>tis.</w:t>
      </w:r>
      <w:r>
        <w:t> </w:t>
      </w:r>
      <w:r w:rsidRPr="005114A1">
        <w:t>eur, z toho prostriedky na spolufinancovanie zo ŠR k prostriedkom EÚ vo výške 295</w:t>
      </w:r>
      <w:r>
        <w:t> </w:t>
      </w:r>
      <w:r w:rsidRPr="005114A1">
        <w:t>777</w:t>
      </w:r>
      <w:r>
        <w:t> </w:t>
      </w:r>
      <w:r w:rsidRPr="005114A1">
        <w:t>tis. eur, prostriedky na spolufinancovanie k zahraničným grantom a prostriedkom poskytnutým na základe medzinárodných zmlúv vo výške 8</w:t>
      </w:r>
      <w:r>
        <w:t> </w:t>
      </w:r>
      <w:r w:rsidRPr="005114A1">
        <w:t>571</w:t>
      </w:r>
      <w:r>
        <w:t> </w:t>
      </w:r>
      <w:r w:rsidRPr="005114A1">
        <w:t>tis.</w:t>
      </w:r>
      <w:r>
        <w:t> </w:t>
      </w:r>
      <w:r w:rsidRPr="005114A1">
        <w:t xml:space="preserve">eur a prostriedky na spolufinancovanie vnútorných politík v sume </w:t>
      </w:r>
      <w:r>
        <w:t>1 </w:t>
      </w:r>
      <w:r w:rsidRPr="005114A1">
        <w:t>841</w:t>
      </w:r>
      <w:r>
        <w:t> </w:t>
      </w:r>
      <w:r w:rsidRPr="005114A1">
        <w:t>tis.</w:t>
      </w:r>
      <w:r>
        <w:t> </w:t>
      </w:r>
      <w:r w:rsidRPr="005114A1">
        <w:t>eur.</w:t>
      </w:r>
    </w:p>
    <w:p w14:paraId="1A698F54" w14:textId="77777777" w:rsidR="00EA177A" w:rsidRPr="00ED6B91" w:rsidRDefault="00EA177A" w:rsidP="00EA177A">
      <w:pPr>
        <w:numPr>
          <w:ilvl w:val="0"/>
          <w:numId w:val="5"/>
        </w:numPr>
        <w:tabs>
          <w:tab w:val="left" w:pos="284"/>
        </w:tabs>
        <w:ind w:left="0" w:firstLine="0"/>
        <w:rPr>
          <w:b/>
        </w:rPr>
      </w:pPr>
      <w:r w:rsidRPr="00ED6B91">
        <w:rPr>
          <w:b/>
        </w:rPr>
        <w:t>Spolufinancovanie zo štátneho rozpočtu k prostriedkom EÚ</w:t>
      </w:r>
    </w:p>
    <w:p w14:paraId="5EAC5352" w14:textId="77777777" w:rsidR="00EA177A" w:rsidRPr="00ED6B91" w:rsidRDefault="00EA177A" w:rsidP="00EA177A">
      <w:r w:rsidRPr="00ED6B91">
        <w:t>Z rovnakého dôvodu ako pri úprave výdavkov z prostriedkov EÚ došlo k úprave rozpočtu na</w:t>
      </w:r>
      <w:r>
        <w:t> </w:t>
      </w:r>
      <w:r w:rsidRPr="00ED6B91">
        <w:t>spolufinancovanie zo štátneho rozpočtu. Zároveň z dôvodu rýchlejšej implementácie projektov v rámci OP Výskum a inovácie 2014 - 2020 bol navýšený rozpočet Ministerstvu hospodárstva SR v sume 2 802 tis. eur z kapitoly VPS – Rezerva na prostriedky EÚ a odvody EÚ – Rýchlejšia realizácia a väčší počet prostriedkov. Po úpravách dosiahol rozpočet úroveň 295</w:t>
      </w:r>
      <w:r>
        <w:t> </w:t>
      </w:r>
      <w:r w:rsidRPr="00ED6B91">
        <w:t>778</w:t>
      </w:r>
      <w:r>
        <w:t> </w:t>
      </w:r>
      <w:r w:rsidRPr="00ED6B91">
        <w:t>tis.</w:t>
      </w:r>
      <w:r>
        <w:t> </w:t>
      </w:r>
      <w:r w:rsidRPr="00ED6B91">
        <w:t xml:space="preserve">eur. </w:t>
      </w:r>
    </w:p>
    <w:p w14:paraId="14054769" w14:textId="77777777" w:rsidR="00EA177A" w:rsidRPr="001B10F3" w:rsidRDefault="00EA177A" w:rsidP="00EA177A">
      <w:r w:rsidRPr="00ED6B91">
        <w:t xml:space="preserve">Čerpanie výdavkov na spolufinancovanie zo ŠR k prostriedkom EÚ v roku 2019 za štrukturálne operácie je mierne nižšie ako upravený rozpočet a predstavuje sumu </w:t>
      </w:r>
      <w:r>
        <w:t>396 </w:t>
      </w:r>
      <w:r w:rsidRPr="00ED6B91">
        <w:t>777</w:t>
      </w:r>
      <w:r>
        <w:t> </w:t>
      </w:r>
      <w:r w:rsidRPr="00B53562">
        <w:t>tis.</w:t>
      </w:r>
      <w:r>
        <w:t> </w:t>
      </w:r>
      <w:r w:rsidRPr="00B53562">
        <w:t xml:space="preserve">eur. Nižšie čerpanie oproti upravenému rozpočtu sa prejavilo v kapitole </w:t>
      </w:r>
      <w:r>
        <w:t xml:space="preserve">Správa </w:t>
      </w:r>
      <w:r w:rsidRPr="00B53562">
        <w:t xml:space="preserve">štátnych hmotných rezerv SR z rovnakého </w:t>
      </w:r>
      <w:r w:rsidRPr="001B10F3">
        <w:t>dôvodu, ako pri výdavkoch EÚ.</w:t>
      </w:r>
    </w:p>
    <w:p w14:paraId="299139B9" w14:textId="77777777" w:rsidR="00EA177A" w:rsidRDefault="00EA177A" w:rsidP="00EA177A">
      <w:r w:rsidRPr="001B10F3">
        <w:t xml:space="preserve">Skutočné plnenie výdavkov na spolufinancovanie zo ŠR vo výške </w:t>
      </w:r>
      <w:r>
        <w:t>295 777 </w:t>
      </w:r>
      <w:r w:rsidRPr="001B10F3">
        <w:t>tis.</w:t>
      </w:r>
      <w:r>
        <w:t> </w:t>
      </w:r>
      <w:r w:rsidRPr="001B10F3">
        <w:t xml:space="preserve">eur predstavuje plnenie na úrovni 100 % z upraveného rozpočtu. Výdavky za štrukturálne operácie, pri ktorých plní úlohu certifikačného orgánu Ministerstvo financií SR, </w:t>
      </w:r>
      <w:r w:rsidRPr="00E432EA">
        <w:t xml:space="preserve">sú vo výške </w:t>
      </w:r>
      <w:r>
        <w:t>213 </w:t>
      </w:r>
      <w:r w:rsidRPr="00E432EA">
        <w:t>965</w:t>
      </w:r>
      <w:r>
        <w:t> </w:t>
      </w:r>
      <w:r w:rsidRPr="00E432EA">
        <w:t>tis.</w:t>
      </w:r>
      <w:r>
        <w:t> </w:t>
      </w:r>
      <w:r w:rsidRPr="00E432EA">
        <w:t>eur (z toho štrukturálne fondy 3. programového obdobia v sume 149</w:t>
      </w:r>
      <w:r>
        <w:t> </w:t>
      </w:r>
      <w:r w:rsidRPr="00E432EA">
        <w:t>506</w:t>
      </w:r>
      <w:r>
        <w:t> </w:t>
      </w:r>
      <w:r w:rsidRPr="00E432EA">
        <w:t>tis. eur a Kohézny fond 3. programového obdobia v sume 64</w:t>
      </w:r>
      <w:r>
        <w:t> </w:t>
      </w:r>
      <w:r w:rsidRPr="00E432EA">
        <w:t>459</w:t>
      </w:r>
      <w:r>
        <w:t> </w:t>
      </w:r>
      <w:r w:rsidRPr="00E432EA">
        <w:t>tis.</w:t>
      </w:r>
      <w:r>
        <w:t> </w:t>
      </w:r>
      <w:r w:rsidRPr="00E432EA">
        <w:t>eur). Výdavky za štrukturálne operácie, pri ktorých plní úlohu certifikačného orgánu Ministerstvo práce, sociálnych vecí a rodiny SR,</w:t>
      </w:r>
      <w:r>
        <w:t xml:space="preserve"> sú v sume 2 </w:t>
      </w:r>
      <w:r w:rsidRPr="00E432EA">
        <w:t>171</w:t>
      </w:r>
      <w:r>
        <w:t> </w:t>
      </w:r>
      <w:r w:rsidRPr="00E432EA">
        <w:t>tis.</w:t>
      </w:r>
      <w:r>
        <w:t> </w:t>
      </w:r>
      <w:r w:rsidRPr="00E432EA">
        <w:t>eur. Výdavky za poľnohospodárske fondy boli vo výške 79</w:t>
      </w:r>
      <w:r>
        <w:t> </w:t>
      </w:r>
      <w:r w:rsidRPr="00E432EA">
        <w:t>641</w:t>
      </w:r>
      <w:r>
        <w:t xml:space="preserve"> </w:t>
      </w:r>
      <w:r w:rsidRPr="00E432EA">
        <w:t>tis. eur (z toho za Európsky poľnohospodársky fond rozvoja vidieka v sume 71</w:t>
      </w:r>
      <w:r>
        <w:t> </w:t>
      </w:r>
      <w:r w:rsidRPr="00E432EA">
        <w:t>543</w:t>
      </w:r>
      <w:r>
        <w:t> </w:t>
      </w:r>
      <w:r w:rsidRPr="00E432EA">
        <w:t>tis.</w:t>
      </w:r>
      <w:r>
        <w:t xml:space="preserve"> eur a </w:t>
      </w:r>
      <w:r w:rsidRPr="00E432EA">
        <w:t>za Európsky poľnohospodársky záručný fond v sume 8</w:t>
      </w:r>
      <w:r>
        <w:t> </w:t>
      </w:r>
      <w:r w:rsidRPr="00E432EA">
        <w:t>098</w:t>
      </w:r>
      <w:r>
        <w:t> </w:t>
      </w:r>
      <w:r w:rsidRPr="00E432EA">
        <w:t>tis.</w:t>
      </w:r>
      <w:r>
        <w:t> </w:t>
      </w:r>
      <w:r w:rsidRPr="00E432EA">
        <w:t>eur).</w:t>
      </w:r>
    </w:p>
    <w:tbl>
      <w:tblPr>
        <w:tblW w:w="5084" w:type="pct"/>
        <w:tblLayout w:type="fixed"/>
        <w:tblCellMar>
          <w:left w:w="70" w:type="dxa"/>
          <w:right w:w="70" w:type="dxa"/>
        </w:tblCellMar>
        <w:tblLook w:val="04A0" w:firstRow="1" w:lastRow="0" w:firstColumn="1" w:lastColumn="0" w:noHBand="0" w:noVBand="1"/>
      </w:tblPr>
      <w:tblGrid>
        <w:gridCol w:w="3318"/>
        <w:gridCol w:w="797"/>
        <w:gridCol w:w="795"/>
        <w:gridCol w:w="926"/>
        <w:gridCol w:w="1060"/>
        <w:gridCol w:w="896"/>
        <w:gridCol w:w="694"/>
        <w:gridCol w:w="160"/>
      </w:tblGrid>
      <w:tr w:rsidR="00EA177A" w:rsidRPr="00B91D78" w14:paraId="1E44EFEC" w14:textId="77777777" w:rsidTr="00C704A7">
        <w:trPr>
          <w:trHeight w:val="474"/>
        </w:trPr>
        <w:tc>
          <w:tcPr>
            <w:tcW w:w="2846" w:type="pct"/>
            <w:gridSpan w:val="3"/>
            <w:tcBorders>
              <w:top w:val="nil"/>
              <w:left w:val="nil"/>
              <w:bottom w:val="nil"/>
              <w:right w:val="nil"/>
            </w:tcBorders>
            <w:shd w:val="clear" w:color="000000" w:fill="000000"/>
            <w:noWrap/>
            <w:vAlign w:val="center"/>
            <w:hideMark/>
          </w:tcPr>
          <w:p w14:paraId="436038FC"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 xml:space="preserve">Výdavky spolufinancovania zo ŠR k prostriedkom EÚ </w:t>
            </w:r>
          </w:p>
        </w:tc>
        <w:tc>
          <w:tcPr>
            <w:tcW w:w="538" w:type="pct"/>
            <w:tcBorders>
              <w:top w:val="nil"/>
              <w:left w:val="nil"/>
              <w:bottom w:val="nil"/>
              <w:right w:val="nil"/>
            </w:tcBorders>
            <w:shd w:val="clear" w:color="000000" w:fill="000000"/>
            <w:noWrap/>
            <w:vAlign w:val="center"/>
            <w:hideMark/>
          </w:tcPr>
          <w:p w14:paraId="5D770006"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r w:rsidRPr="00B91D78">
              <w:rPr>
                <w:rFonts w:ascii="Arial Narrow" w:eastAsia="Times New Roman" w:hAnsi="Arial Narrow" w:cs="Times New Roman"/>
                <w:color w:val="000000"/>
                <w:sz w:val="18"/>
                <w:szCs w:val="18"/>
                <w:lang w:eastAsia="sk-SK"/>
              </w:rPr>
              <w:t> </w:t>
            </w:r>
          </w:p>
        </w:tc>
        <w:tc>
          <w:tcPr>
            <w:tcW w:w="615" w:type="pct"/>
            <w:tcBorders>
              <w:top w:val="nil"/>
              <w:left w:val="nil"/>
              <w:bottom w:val="nil"/>
              <w:right w:val="nil"/>
            </w:tcBorders>
            <w:shd w:val="clear" w:color="000000" w:fill="000000"/>
            <w:noWrap/>
            <w:vAlign w:val="center"/>
            <w:hideMark/>
          </w:tcPr>
          <w:p w14:paraId="3948D646" w14:textId="77777777" w:rsidR="00EA177A" w:rsidRPr="00B91D78" w:rsidRDefault="00EA177A" w:rsidP="00C704A7">
            <w:pPr>
              <w:spacing w:after="0" w:line="240" w:lineRule="auto"/>
              <w:jc w:val="left"/>
              <w:rPr>
                <w:rFonts w:ascii="Arial Narrow" w:eastAsia="Times New Roman" w:hAnsi="Arial Narrow" w:cs="Times New Roman"/>
                <w:color w:val="000000"/>
                <w:sz w:val="18"/>
                <w:szCs w:val="18"/>
                <w:lang w:eastAsia="sk-SK"/>
              </w:rPr>
            </w:pPr>
          </w:p>
        </w:tc>
        <w:tc>
          <w:tcPr>
            <w:tcW w:w="923" w:type="pct"/>
            <w:gridSpan w:val="2"/>
            <w:tcBorders>
              <w:top w:val="nil"/>
              <w:left w:val="nil"/>
              <w:bottom w:val="nil"/>
              <w:right w:val="nil"/>
            </w:tcBorders>
            <w:shd w:val="clear" w:color="000000" w:fill="000000"/>
            <w:noWrap/>
            <w:vAlign w:val="center"/>
            <w:hideMark/>
          </w:tcPr>
          <w:p w14:paraId="3A510B14" w14:textId="77777777" w:rsidR="00EA177A" w:rsidRPr="00B91D78" w:rsidRDefault="00EA177A" w:rsidP="00C704A7">
            <w:pPr>
              <w:spacing w:after="0" w:line="240" w:lineRule="auto"/>
              <w:jc w:val="righ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v tis. eur</w:t>
            </w:r>
          </w:p>
        </w:tc>
        <w:tc>
          <w:tcPr>
            <w:tcW w:w="79" w:type="pct"/>
            <w:tcBorders>
              <w:top w:val="nil"/>
              <w:left w:val="nil"/>
              <w:bottom w:val="nil"/>
              <w:right w:val="nil"/>
            </w:tcBorders>
            <w:shd w:val="clear" w:color="auto" w:fill="auto"/>
            <w:noWrap/>
            <w:vAlign w:val="center"/>
            <w:hideMark/>
          </w:tcPr>
          <w:p w14:paraId="5222DB53"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p>
        </w:tc>
      </w:tr>
      <w:tr w:rsidR="00EA177A" w:rsidRPr="00B91D78" w14:paraId="5FC91A2C" w14:textId="77777777" w:rsidTr="00C704A7">
        <w:trPr>
          <w:trHeight w:val="330"/>
        </w:trPr>
        <w:tc>
          <w:tcPr>
            <w:tcW w:w="1921" w:type="pct"/>
            <w:tcBorders>
              <w:top w:val="nil"/>
              <w:left w:val="nil"/>
              <w:bottom w:val="nil"/>
              <w:right w:val="nil"/>
            </w:tcBorders>
            <w:shd w:val="clear" w:color="000000" w:fill="BFBFBF"/>
            <w:vAlign w:val="center"/>
            <w:hideMark/>
          </w:tcPr>
          <w:p w14:paraId="55B4F25F"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 </w:t>
            </w:r>
          </w:p>
        </w:tc>
        <w:tc>
          <w:tcPr>
            <w:tcW w:w="925" w:type="pct"/>
            <w:gridSpan w:val="2"/>
            <w:tcBorders>
              <w:top w:val="nil"/>
              <w:left w:val="nil"/>
              <w:bottom w:val="nil"/>
              <w:right w:val="nil"/>
            </w:tcBorders>
            <w:shd w:val="clear" w:color="000000" w:fill="BFBFBF"/>
            <w:vAlign w:val="center"/>
            <w:hideMark/>
          </w:tcPr>
          <w:p w14:paraId="19C304D9"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Skutočnosť </w:t>
            </w:r>
          </w:p>
        </w:tc>
        <w:tc>
          <w:tcPr>
            <w:tcW w:w="538" w:type="pct"/>
            <w:tcBorders>
              <w:top w:val="nil"/>
              <w:left w:val="nil"/>
              <w:bottom w:val="nil"/>
              <w:right w:val="nil"/>
            </w:tcBorders>
            <w:shd w:val="clear" w:color="000000" w:fill="BFBFBF"/>
            <w:vAlign w:val="center"/>
            <w:hideMark/>
          </w:tcPr>
          <w:p w14:paraId="699DC69B"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Rozpočet</w:t>
            </w:r>
          </w:p>
        </w:tc>
        <w:tc>
          <w:tcPr>
            <w:tcW w:w="615" w:type="pct"/>
            <w:tcBorders>
              <w:top w:val="nil"/>
              <w:left w:val="nil"/>
              <w:bottom w:val="nil"/>
              <w:right w:val="nil"/>
            </w:tcBorders>
            <w:shd w:val="clear" w:color="000000" w:fill="BFBFBF"/>
            <w:vAlign w:val="center"/>
            <w:hideMark/>
          </w:tcPr>
          <w:p w14:paraId="64D916FA"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Skutočnosť</w:t>
            </w:r>
          </w:p>
        </w:tc>
        <w:tc>
          <w:tcPr>
            <w:tcW w:w="520" w:type="pct"/>
            <w:tcBorders>
              <w:top w:val="nil"/>
              <w:left w:val="nil"/>
              <w:bottom w:val="nil"/>
              <w:right w:val="nil"/>
            </w:tcBorders>
            <w:shd w:val="clear" w:color="000000" w:fill="BFBFBF"/>
            <w:vAlign w:val="center"/>
            <w:hideMark/>
          </w:tcPr>
          <w:p w14:paraId="77535985"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Rozdiel</w:t>
            </w:r>
          </w:p>
        </w:tc>
        <w:tc>
          <w:tcPr>
            <w:tcW w:w="403" w:type="pct"/>
            <w:tcBorders>
              <w:top w:val="nil"/>
              <w:left w:val="nil"/>
              <w:bottom w:val="nil"/>
              <w:right w:val="nil"/>
            </w:tcBorders>
            <w:shd w:val="clear" w:color="000000" w:fill="BFBFBF"/>
            <w:vAlign w:val="center"/>
            <w:hideMark/>
          </w:tcPr>
          <w:p w14:paraId="539E4850"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 </w:t>
            </w:r>
          </w:p>
        </w:tc>
        <w:tc>
          <w:tcPr>
            <w:tcW w:w="79" w:type="pct"/>
            <w:tcBorders>
              <w:top w:val="nil"/>
              <w:left w:val="nil"/>
              <w:bottom w:val="nil"/>
              <w:right w:val="nil"/>
            </w:tcBorders>
            <w:shd w:val="clear" w:color="auto" w:fill="auto"/>
            <w:noWrap/>
            <w:vAlign w:val="bottom"/>
            <w:hideMark/>
          </w:tcPr>
          <w:p w14:paraId="7A490EC8"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p>
        </w:tc>
      </w:tr>
      <w:tr w:rsidR="00EA177A" w:rsidRPr="00B91D78" w14:paraId="6FF09D7A" w14:textId="77777777" w:rsidTr="00C704A7">
        <w:trPr>
          <w:trHeight w:val="330"/>
        </w:trPr>
        <w:tc>
          <w:tcPr>
            <w:tcW w:w="1921" w:type="pct"/>
            <w:tcBorders>
              <w:top w:val="nil"/>
              <w:left w:val="nil"/>
              <w:bottom w:val="nil"/>
              <w:right w:val="nil"/>
            </w:tcBorders>
            <w:shd w:val="clear" w:color="000000" w:fill="BFBFBF"/>
            <w:vAlign w:val="center"/>
            <w:hideMark/>
          </w:tcPr>
          <w:p w14:paraId="40FDEC37"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 </w:t>
            </w:r>
          </w:p>
        </w:tc>
        <w:tc>
          <w:tcPr>
            <w:tcW w:w="463" w:type="pct"/>
            <w:tcBorders>
              <w:top w:val="nil"/>
              <w:left w:val="nil"/>
              <w:bottom w:val="nil"/>
              <w:right w:val="nil"/>
            </w:tcBorders>
            <w:shd w:val="clear" w:color="000000" w:fill="BFBFBF"/>
            <w:vAlign w:val="center"/>
            <w:hideMark/>
          </w:tcPr>
          <w:p w14:paraId="685BD8D6"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2017</w:t>
            </w:r>
          </w:p>
        </w:tc>
        <w:tc>
          <w:tcPr>
            <w:tcW w:w="462" w:type="pct"/>
            <w:tcBorders>
              <w:top w:val="nil"/>
              <w:left w:val="nil"/>
              <w:bottom w:val="nil"/>
              <w:right w:val="nil"/>
            </w:tcBorders>
            <w:shd w:val="clear" w:color="000000" w:fill="BFBFBF"/>
            <w:vAlign w:val="center"/>
            <w:hideMark/>
          </w:tcPr>
          <w:p w14:paraId="269A884C"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2018</w:t>
            </w:r>
          </w:p>
        </w:tc>
        <w:tc>
          <w:tcPr>
            <w:tcW w:w="538" w:type="pct"/>
            <w:tcBorders>
              <w:top w:val="nil"/>
              <w:left w:val="nil"/>
              <w:bottom w:val="nil"/>
              <w:right w:val="nil"/>
            </w:tcBorders>
            <w:shd w:val="clear" w:color="000000" w:fill="BFBFBF"/>
            <w:vAlign w:val="center"/>
            <w:hideMark/>
          </w:tcPr>
          <w:p w14:paraId="116B9D6F"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2019</w:t>
            </w:r>
          </w:p>
        </w:tc>
        <w:tc>
          <w:tcPr>
            <w:tcW w:w="615" w:type="pct"/>
            <w:tcBorders>
              <w:top w:val="nil"/>
              <w:left w:val="nil"/>
              <w:bottom w:val="nil"/>
              <w:right w:val="nil"/>
            </w:tcBorders>
            <w:shd w:val="clear" w:color="000000" w:fill="BFBFBF"/>
            <w:vAlign w:val="center"/>
            <w:hideMark/>
          </w:tcPr>
          <w:p w14:paraId="68836C49"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2019</w:t>
            </w:r>
          </w:p>
        </w:tc>
        <w:tc>
          <w:tcPr>
            <w:tcW w:w="520" w:type="pct"/>
            <w:tcBorders>
              <w:top w:val="nil"/>
              <w:left w:val="nil"/>
              <w:bottom w:val="nil"/>
              <w:right w:val="nil"/>
            </w:tcBorders>
            <w:shd w:val="clear" w:color="000000" w:fill="BFBFBF"/>
            <w:vAlign w:val="center"/>
            <w:hideMark/>
          </w:tcPr>
          <w:p w14:paraId="14DE18DE"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 xml:space="preserve"> v tis. eur</w:t>
            </w:r>
          </w:p>
        </w:tc>
        <w:tc>
          <w:tcPr>
            <w:tcW w:w="403" w:type="pct"/>
            <w:tcBorders>
              <w:top w:val="nil"/>
              <w:left w:val="nil"/>
              <w:bottom w:val="nil"/>
              <w:right w:val="nil"/>
            </w:tcBorders>
            <w:shd w:val="clear" w:color="000000" w:fill="BFBFBF"/>
            <w:vAlign w:val="center"/>
            <w:hideMark/>
          </w:tcPr>
          <w:p w14:paraId="276CC927"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v %</w:t>
            </w:r>
          </w:p>
        </w:tc>
        <w:tc>
          <w:tcPr>
            <w:tcW w:w="79" w:type="pct"/>
            <w:tcBorders>
              <w:top w:val="nil"/>
              <w:left w:val="nil"/>
              <w:bottom w:val="nil"/>
              <w:right w:val="nil"/>
            </w:tcBorders>
            <w:shd w:val="clear" w:color="auto" w:fill="auto"/>
            <w:noWrap/>
            <w:vAlign w:val="bottom"/>
            <w:hideMark/>
          </w:tcPr>
          <w:p w14:paraId="136DA21B" w14:textId="77777777" w:rsidR="00EA177A" w:rsidRPr="00B91D78" w:rsidRDefault="00EA177A" w:rsidP="00C704A7">
            <w:pPr>
              <w:spacing w:after="0" w:line="240" w:lineRule="auto"/>
              <w:jc w:val="center"/>
              <w:rPr>
                <w:rFonts w:eastAsia="Times New Roman" w:cs="Times New Roman"/>
                <w:b/>
                <w:bCs/>
                <w:color w:val="000000"/>
                <w:sz w:val="18"/>
                <w:szCs w:val="18"/>
                <w:lang w:eastAsia="sk-SK"/>
              </w:rPr>
            </w:pPr>
          </w:p>
        </w:tc>
      </w:tr>
      <w:tr w:rsidR="00EA177A" w:rsidRPr="00B91D78" w14:paraId="760A08AE" w14:textId="77777777" w:rsidTr="00C704A7">
        <w:trPr>
          <w:trHeight w:val="345"/>
        </w:trPr>
        <w:tc>
          <w:tcPr>
            <w:tcW w:w="1921" w:type="pct"/>
            <w:tcBorders>
              <w:top w:val="nil"/>
              <w:left w:val="nil"/>
              <w:bottom w:val="single" w:sz="8" w:space="0" w:color="auto"/>
              <w:right w:val="nil"/>
            </w:tcBorders>
            <w:shd w:val="clear" w:color="000000" w:fill="BFBFBF"/>
            <w:vAlign w:val="center"/>
            <w:hideMark/>
          </w:tcPr>
          <w:p w14:paraId="7CD64FF2" w14:textId="77777777" w:rsidR="00EA177A" w:rsidRPr="00B91D78" w:rsidRDefault="00EA177A" w:rsidP="00C704A7">
            <w:pPr>
              <w:spacing w:after="0" w:line="240" w:lineRule="auto"/>
              <w:jc w:val="left"/>
              <w:rPr>
                <w:rFonts w:eastAsia="Times New Roman" w:cs="Times New Roman"/>
                <w:b/>
                <w:bCs/>
                <w:color w:val="FFFFFF"/>
                <w:sz w:val="18"/>
                <w:szCs w:val="18"/>
                <w:lang w:eastAsia="sk-SK"/>
              </w:rPr>
            </w:pPr>
            <w:r w:rsidRPr="00B91D78">
              <w:rPr>
                <w:rFonts w:eastAsia="Times New Roman" w:cs="Times New Roman"/>
                <w:b/>
                <w:bCs/>
                <w:color w:val="FFFFFF"/>
                <w:sz w:val="18"/>
                <w:szCs w:val="18"/>
                <w:lang w:eastAsia="sk-SK"/>
              </w:rPr>
              <w:t> </w:t>
            </w:r>
          </w:p>
        </w:tc>
        <w:tc>
          <w:tcPr>
            <w:tcW w:w="463" w:type="pct"/>
            <w:tcBorders>
              <w:top w:val="nil"/>
              <w:left w:val="nil"/>
              <w:bottom w:val="single" w:sz="8" w:space="0" w:color="auto"/>
              <w:right w:val="nil"/>
            </w:tcBorders>
            <w:shd w:val="clear" w:color="000000" w:fill="BFBFBF"/>
            <w:vAlign w:val="center"/>
            <w:hideMark/>
          </w:tcPr>
          <w:p w14:paraId="44C5F638"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1</w:t>
            </w:r>
          </w:p>
        </w:tc>
        <w:tc>
          <w:tcPr>
            <w:tcW w:w="462" w:type="pct"/>
            <w:tcBorders>
              <w:top w:val="nil"/>
              <w:left w:val="nil"/>
              <w:bottom w:val="single" w:sz="8" w:space="0" w:color="auto"/>
              <w:right w:val="nil"/>
            </w:tcBorders>
            <w:shd w:val="clear" w:color="000000" w:fill="BFBFBF"/>
            <w:vAlign w:val="center"/>
            <w:hideMark/>
          </w:tcPr>
          <w:p w14:paraId="79838D32"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2</w:t>
            </w:r>
          </w:p>
        </w:tc>
        <w:tc>
          <w:tcPr>
            <w:tcW w:w="538" w:type="pct"/>
            <w:tcBorders>
              <w:top w:val="nil"/>
              <w:left w:val="nil"/>
              <w:bottom w:val="single" w:sz="8" w:space="0" w:color="auto"/>
              <w:right w:val="nil"/>
            </w:tcBorders>
            <w:shd w:val="clear" w:color="000000" w:fill="BFBFBF"/>
            <w:vAlign w:val="center"/>
            <w:hideMark/>
          </w:tcPr>
          <w:p w14:paraId="46CCA29C"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3</w:t>
            </w:r>
          </w:p>
        </w:tc>
        <w:tc>
          <w:tcPr>
            <w:tcW w:w="615" w:type="pct"/>
            <w:tcBorders>
              <w:top w:val="nil"/>
              <w:left w:val="nil"/>
              <w:bottom w:val="single" w:sz="8" w:space="0" w:color="auto"/>
              <w:right w:val="nil"/>
            </w:tcBorders>
            <w:shd w:val="clear" w:color="000000" w:fill="BFBFBF"/>
            <w:vAlign w:val="center"/>
            <w:hideMark/>
          </w:tcPr>
          <w:p w14:paraId="338726CB"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4</w:t>
            </w:r>
          </w:p>
        </w:tc>
        <w:tc>
          <w:tcPr>
            <w:tcW w:w="520" w:type="pct"/>
            <w:tcBorders>
              <w:top w:val="nil"/>
              <w:left w:val="nil"/>
              <w:bottom w:val="single" w:sz="8" w:space="0" w:color="auto"/>
              <w:right w:val="nil"/>
            </w:tcBorders>
            <w:shd w:val="clear" w:color="000000" w:fill="BFBFBF"/>
            <w:vAlign w:val="center"/>
            <w:hideMark/>
          </w:tcPr>
          <w:p w14:paraId="62E817B4"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5=4-3</w:t>
            </w:r>
          </w:p>
        </w:tc>
        <w:tc>
          <w:tcPr>
            <w:tcW w:w="403" w:type="pct"/>
            <w:tcBorders>
              <w:top w:val="nil"/>
              <w:left w:val="nil"/>
              <w:bottom w:val="single" w:sz="8" w:space="0" w:color="auto"/>
              <w:right w:val="nil"/>
            </w:tcBorders>
            <w:shd w:val="clear" w:color="000000" w:fill="BFBFBF"/>
            <w:vAlign w:val="center"/>
            <w:hideMark/>
          </w:tcPr>
          <w:p w14:paraId="7CE24C0C" w14:textId="77777777" w:rsidR="00EA177A" w:rsidRPr="00B91D78" w:rsidRDefault="00EA177A" w:rsidP="00C704A7">
            <w:pPr>
              <w:spacing w:after="0" w:line="240" w:lineRule="auto"/>
              <w:jc w:val="center"/>
              <w:rPr>
                <w:rFonts w:eastAsia="Times New Roman" w:cs="Times New Roman"/>
                <w:b/>
                <w:bCs/>
                <w:sz w:val="18"/>
                <w:szCs w:val="18"/>
                <w:lang w:eastAsia="sk-SK"/>
              </w:rPr>
            </w:pPr>
            <w:r w:rsidRPr="00B91D78">
              <w:rPr>
                <w:rFonts w:eastAsia="Times New Roman" w:cs="Times New Roman"/>
                <w:b/>
                <w:bCs/>
                <w:sz w:val="18"/>
                <w:szCs w:val="18"/>
                <w:lang w:eastAsia="sk-SK"/>
              </w:rPr>
              <w:t>6=4-3</w:t>
            </w:r>
          </w:p>
        </w:tc>
        <w:tc>
          <w:tcPr>
            <w:tcW w:w="79" w:type="pct"/>
            <w:tcBorders>
              <w:top w:val="nil"/>
              <w:left w:val="nil"/>
              <w:bottom w:val="nil"/>
              <w:right w:val="nil"/>
            </w:tcBorders>
            <w:shd w:val="clear" w:color="auto" w:fill="auto"/>
            <w:noWrap/>
            <w:vAlign w:val="bottom"/>
            <w:hideMark/>
          </w:tcPr>
          <w:p w14:paraId="108C6BA3" w14:textId="77777777" w:rsidR="00EA177A" w:rsidRPr="00B91D78" w:rsidRDefault="00EA177A" w:rsidP="00C704A7">
            <w:pPr>
              <w:spacing w:after="0" w:line="240" w:lineRule="auto"/>
              <w:jc w:val="center"/>
              <w:rPr>
                <w:rFonts w:eastAsia="Times New Roman" w:cs="Times New Roman"/>
                <w:b/>
                <w:bCs/>
                <w:sz w:val="18"/>
                <w:szCs w:val="18"/>
                <w:lang w:eastAsia="sk-SK"/>
              </w:rPr>
            </w:pPr>
          </w:p>
        </w:tc>
      </w:tr>
      <w:tr w:rsidR="00EA177A" w:rsidRPr="00B91D78" w14:paraId="4B6B1906" w14:textId="77777777" w:rsidTr="003421E9">
        <w:trPr>
          <w:trHeight w:val="330"/>
        </w:trPr>
        <w:tc>
          <w:tcPr>
            <w:tcW w:w="1921" w:type="pct"/>
            <w:tcBorders>
              <w:top w:val="nil"/>
              <w:left w:val="nil"/>
              <w:bottom w:val="nil"/>
              <w:right w:val="nil"/>
            </w:tcBorders>
            <w:shd w:val="clear" w:color="000000" w:fill="FFFFFF"/>
            <w:vAlign w:val="center"/>
            <w:hideMark/>
          </w:tcPr>
          <w:p w14:paraId="79FBEB73"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Poľnohospodárske fondy 3. programové obdobie</w:t>
            </w:r>
          </w:p>
        </w:tc>
        <w:tc>
          <w:tcPr>
            <w:tcW w:w="463" w:type="pct"/>
            <w:tcBorders>
              <w:top w:val="nil"/>
              <w:left w:val="nil"/>
              <w:bottom w:val="nil"/>
              <w:right w:val="nil"/>
            </w:tcBorders>
            <w:shd w:val="clear" w:color="000000" w:fill="FFFFFF"/>
            <w:noWrap/>
            <w:vAlign w:val="center"/>
            <w:hideMark/>
          </w:tcPr>
          <w:p w14:paraId="50849EE0"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74 043</w:t>
            </w:r>
          </w:p>
        </w:tc>
        <w:tc>
          <w:tcPr>
            <w:tcW w:w="462" w:type="pct"/>
            <w:tcBorders>
              <w:top w:val="nil"/>
              <w:left w:val="nil"/>
              <w:bottom w:val="nil"/>
              <w:right w:val="nil"/>
            </w:tcBorders>
            <w:shd w:val="clear" w:color="000000" w:fill="FFFFFF"/>
            <w:noWrap/>
            <w:vAlign w:val="center"/>
            <w:hideMark/>
          </w:tcPr>
          <w:p w14:paraId="0ACFDA36"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80 894</w:t>
            </w:r>
          </w:p>
        </w:tc>
        <w:tc>
          <w:tcPr>
            <w:tcW w:w="538" w:type="pct"/>
            <w:tcBorders>
              <w:top w:val="nil"/>
              <w:left w:val="nil"/>
              <w:bottom w:val="nil"/>
              <w:right w:val="nil"/>
            </w:tcBorders>
            <w:shd w:val="clear" w:color="000000" w:fill="FFFFFF"/>
            <w:noWrap/>
            <w:vAlign w:val="center"/>
            <w:hideMark/>
          </w:tcPr>
          <w:p w14:paraId="62F2ED22"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104 498</w:t>
            </w:r>
          </w:p>
        </w:tc>
        <w:tc>
          <w:tcPr>
            <w:tcW w:w="615" w:type="pct"/>
            <w:tcBorders>
              <w:top w:val="nil"/>
              <w:left w:val="nil"/>
              <w:bottom w:val="nil"/>
              <w:right w:val="nil"/>
            </w:tcBorders>
            <w:shd w:val="clear" w:color="auto" w:fill="BFBFBF" w:themeFill="background1" w:themeFillShade="BF"/>
            <w:noWrap/>
            <w:vAlign w:val="center"/>
            <w:hideMark/>
          </w:tcPr>
          <w:p w14:paraId="1C800EF1"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79 641</w:t>
            </w:r>
          </w:p>
        </w:tc>
        <w:tc>
          <w:tcPr>
            <w:tcW w:w="520" w:type="pct"/>
            <w:tcBorders>
              <w:top w:val="nil"/>
              <w:left w:val="nil"/>
              <w:bottom w:val="nil"/>
              <w:right w:val="nil"/>
            </w:tcBorders>
            <w:shd w:val="clear" w:color="000000" w:fill="FFFFFF"/>
            <w:noWrap/>
            <w:vAlign w:val="center"/>
            <w:hideMark/>
          </w:tcPr>
          <w:p w14:paraId="77C9E201"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-24 857</w:t>
            </w:r>
          </w:p>
        </w:tc>
        <w:tc>
          <w:tcPr>
            <w:tcW w:w="403" w:type="pct"/>
            <w:tcBorders>
              <w:top w:val="nil"/>
              <w:left w:val="nil"/>
              <w:bottom w:val="nil"/>
              <w:right w:val="nil"/>
            </w:tcBorders>
            <w:shd w:val="clear" w:color="000000" w:fill="FFFFFF"/>
            <w:noWrap/>
            <w:vAlign w:val="center"/>
            <w:hideMark/>
          </w:tcPr>
          <w:p w14:paraId="16F031E2"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-23,8</w:t>
            </w:r>
          </w:p>
        </w:tc>
        <w:tc>
          <w:tcPr>
            <w:tcW w:w="79" w:type="pct"/>
            <w:tcBorders>
              <w:top w:val="nil"/>
              <w:left w:val="nil"/>
              <w:bottom w:val="nil"/>
              <w:right w:val="nil"/>
            </w:tcBorders>
            <w:shd w:val="clear" w:color="auto" w:fill="auto"/>
            <w:noWrap/>
            <w:vAlign w:val="bottom"/>
            <w:hideMark/>
          </w:tcPr>
          <w:p w14:paraId="17B665C6" w14:textId="77777777" w:rsidR="00EA177A" w:rsidRPr="00B91D78" w:rsidRDefault="00EA177A" w:rsidP="00C704A7">
            <w:pPr>
              <w:spacing w:after="0" w:line="240" w:lineRule="auto"/>
              <w:jc w:val="right"/>
              <w:rPr>
                <w:rFonts w:eastAsia="Times New Roman" w:cs="Times New Roman"/>
                <w:color w:val="000000"/>
                <w:sz w:val="18"/>
                <w:szCs w:val="18"/>
                <w:lang w:eastAsia="sk-SK"/>
              </w:rPr>
            </w:pPr>
          </w:p>
        </w:tc>
      </w:tr>
      <w:tr w:rsidR="00EA177A" w:rsidRPr="00B91D78" w14:paraId="5957F221" w14:textId="77777777" w:rsidTr="003421E9">
        <w:trPr>
          <w:trHeight w:val="330"/>
        </w:trPr>
        <w:tc>
          <w:tcPr>
            <w:tcW w:w="1921" w:type="pct"/>
            <w:tcBorders>
              <w:top w:val="nil"/>
              <w:left w:val="nil"/>
              <w:bottom w:val="nil"/>
              <w:right w:val="nil"/>
            </w:tcBorders>
            <w:shd w:val="clear" w:color="000000" w:fill="FFFFFF"/>
            <w:vAlign w:val="center"/>
            <w:hideMark/>
          </w:tcPr>
          <w:p w14:paraId="66ABC894"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Poľnohospodárske fondy spolu - MPRV SR</w:t>
            </w:r>
          </w:p>
        </w:tc>
        <w:tc>
          <w:tcPr>
            <w:tcW w:w="463" w:type="pct"/>
            <w:tcBorders>
              <w:top w:val="nil"/>
              <w:left w:val="nil"/>
              <w:bottom w:val="nil"/>
              <w:right w:val="nil"/>
            </w:tcBorders>
            <w:shd w:val="clear" w:color="000000" w:fill="FFFFFF"/>
            <w:noWrap/>
            <w:vAlign w:val="center"/>
            <w:hideMark/>
          </w:tcPr>
          <w:p w14:paraId="673AC7F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74 043</w:t>
            </w:r>
          </w:p>
        </w:tc>
        <w:tc>
          <w:tcPr>
            <w:tcW w:w="462" w:type="pct"/>
            <w:tcBorders>
              <w:top w:val="nil"/>
              <w:left w:val="nil"/>
              <w:bottom w:val="nil"/>
              <w:right w:val="nil"/>
            </w:tcBorders>
            <w:shd w:val="clear" w:color="000000" w:fill="FFFFFF"/>
            <w:noWrap/>
            <w:vAlign w:val="center"/>
            <w:hideMark/>
          </w:tcPr>
          <w:p w14:paraId="5515D4F3"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80 894</w:t>
            </w:r>
          </w:p>
        </w:tc>
        <w:tc>
          <w:tcPr>
            <w:tcW w:w="538" w:type="pct"/>
            <w:tcBorders>
              <w:top w:val="nil"/>
              <w:left w:val="nil"/>
              <w:bottom w:val="nil"/>
              <w:right w:val="nil"/>
            </w:tcBorders>
            <w:shd w:val="clear" w:color="000000" w:fill="FFFFFF"/>
            <w:noWrap/>
            <w:vAlign w:val="center"/>
            <w:hideMark/>
          </w:tcPr>
          <w:p w14:paraId="41974B0A"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104 498</w:t>
            </w:r>
          </w:p>
        </w:tc>
        <w:tc>
          <w:tcPr>
            <w:tcW w:w="615" w:type="pct"/>
            <w:tcBorders>
              <w:top w:val="nil"/>
              <w:left w:val="nil"/>
              <w:bottom w:val="nil"/>
              <w:right w:val="nil"/>
            </w:tcBorders>
            <w:shd w:val="clear" w:color="auto" w:fill="BFBFBF" w:themeFill="background1" w:themeFillShade="BF"/>
            <w:noWrap/>
            <w:vAlign w:val="center"/>
            <w:hideMark/>
          </w:tcPr>
          <w:p w14:paraId="64269386"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79 641</w:t>
            </w:r>
          </w:p>
        </w:tc>
        <w:tc>
          <w:tcPr>
            <w:tcW w:w="520" w:type="pct"/>
            <w:tcBorders>
              <w:top w:val="nil"/>
              <w:left w:val="nil"/>
              <w:bottom w:val="nil"/>
              <w:right w:val="nil"/>
            </w:tcBorders>
            <w:shd w:val="clear" w:color="000000" w:fill="FFFFFF"/>
            <w:noWrap/>
            <w:vAlign w:val="center"/>
            <w:hideMark/>
          </w:tcPr>
          <w:p w14:paraId="36F6742A"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-24 857</w:t>
            </w:r>
          </w:p>
        </w:tc>
        <w:tc>
          <w:tcPr>
            <w:tcW w:w="403" w:type="pct"/>
            <w:tcBorders>
              <w:top w:val="nil"/>
              <w:left w:val="nil"/>
              <w:bottom w:val="nil"/>
              <w:right w:val="nil"/>
            </w:tcBorders>
            <w:shd w:val="clear" w:color="000000" w:fill="FFFFFF"/>
            <w:noWrap/>
            <w:vAlign w:val="center"/>
            <w:hideMark/>
          </w:tcPr>
          <w:p w14:paraId="27D34C19"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-23,8</w:t>
            </w:r>
          </w:p>
        </w:tc>
        <w:tc>
          <w:tcPr>
            <w:tcW w:w="79" w:type="pct"/>
            <w:tcBorders>
              <w:top w:val="nil"/>
              <w:left w:val="nil"/>
              <w:bottom w:val="nil"/>
              <w:right w:val="nil"/>
            </w:tcBorders>
            <w:shd w:val="clear" w:color="auto" w:fill="auto"/>
            <w:noWrap/>
            <w:vAlign w:val="bottom"/>
            <w:hideMark/>
          </w:tcPr>
          <w:p w14:paraId="701B109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p>
        </w:tc>
      </w:tr>
      <w:tr w:rsidR="00EA177A" w:rsidRPr="00B91D78" w14:paraId="1F3D4974" w14:textId="77777777" w:rsidTr="003421E9">
        <w:trPr>
          <w:trHeight w:val="510"/>
        </w:trPr>
        <w:tc>
          <w:tcPr>
            <w:tcW w:w="1921" w:type="pct"/>
            <w:tcBorders>
              <w:top w:val="nil"/>
              <w:left w:val="nil"/>
              <w:bottom w:val="nil"/>
              <w:right w:val="nil"/>
            </w:tcBorders>
            <w:shd w:val="clear" w:color="000000" w:fill="FFFFFF"/>
            <w:vAlign w:val="center"/>
            <w:hideMark/>
          </w:tcPr>
          <w:p w14:paraId="1DF0B947"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 xml:space="preserve">Štrukturálne fondy, Kohézny fond, Európsky fond pre rybné hospodárstvo 2. programové obdobie </w:t>
            </w:r>
          </w:p>
        </w:tc>
        <w:tc>
          <w:tcPr>
            <w:tcW w:w="463" w:type="pct"/>
            <w:tcBorders>
              <w:top w:val="nil"/>
              <w:left w:val="nil"/>
              <w:bottom w:val="nil"/>
              <w:right w:val="nil"/>
            </w:tcBorders>
            <w:shd w:val="clear" w:color="000000" w:fill="FFFFFF"/>
            <w:noWrap/>
            <w:vAlign w:val="center"/>
            <w:hideMark/>
          </w:tcPr>
          <w:p w14:paraId="370091BD"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12</w:t>
            </w:r>
          </w:p>
        </w:tc>
        <w:tc>
          <w:tcPr>
            <w:tcW w:w="462" w:type="pct"/>
            <w:tcBorders>
              <w:top w:val="nil"/>
              <w:left w:val="nil"/>
              <w:bottom w:val="nil"/>
              <w:right w:val="nil"/>
            </w:tcBorders>
            <w:shd w:val="clear" w:color="000000" w:fill="FFFFFF"/>
            <w:noWrap/>
            <w:vAlign w:val="center"/>
            <w:hideMark/>
          </w:tcPr>
          <w:p w14:paraId="2BE3DB4D"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538" w:type="pct"/>
            <w:tcBorders>
              <w:top w:val="nil"/>
              <w:left w:val="nil"/>
              <w:bottom w:val="nil"/>
              <w:right w:val="nil"/>
            </w:tcBorders>
            <w:shd w:val="clear" w:color="000000" w:fill="FFFFFF"/>
            <w:noWrap/>
            <w:vAlign w:val="center"/>
            <w:hideMark/>
          </w:tcPr>
          <w:p w14:paraId="5F60D211"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615" w:type="pct"/>
            <w:tcBorders>
              <w:top w:val="nil"/>
              <w:left w:val="nil"/>
              <w:bottom w:val="nil"/>
              <w:right w:val="nil"/>
            </w:tcBorders>
            <w:shd w:val="clear" w:color="auto" w:fill="BFBFBF" w:themeFill="background1" w:themeFillShade="BF"/>
            <w:noWrap/>
            <w:vAlign w:val="center"/>
            <w:hideMark/>
          </w:tcPr>
          <w:p w14:paraId="2067BFC1"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520" w:type="pct"/>
            <w:tcBorders>
              <w:top w:val="nil"/>
              <w:left w:val="nil"/>
              <w:bottom w:val="nil"/>
              <w:right w:val="nil"/>
            </w:tcBorders>
            <w:shd w:val="clear" w:color="000000" w:fill="FFFFFF"/>
            <w:noWrap/>
            <w:vAlign w:val="center"/>
            <w:hideMark/>
          </w:tcPr>
          <w:p w14:paraId="4733FFF7"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403" w:type="pct"/>
            <w:tcBorders>
              <w:top w:val="nil"/>
              <w:left w:val="nil"/>
              <w:bottom w:val="nil"/>
              <w:right w:val="nil"/>
            </w:tcBorders>
            <w:shd w:val="clear" w:color="000000" w:fill="FFFFFF"/>
            <w:noWrap/>
            <w:vAlign w:val="center"/>
            <w:hideMark/>
          </w:tcPr>
          <w:p w14:paraId="30EF910E"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w:t>
            </w:r>
          </w:p>
        </w:tc>
        <w:tc>
          <w:tcPr>
            <w:tcW w:w="79" w:type="pct"/>
            <w:tcBorders>
              <w:top w:val="nil"/>
              <w:left w:val="nil"/>
              <w:bottom w:val="nil"/>
              <w:right w:val="nil"/>
            </w:tcBorders>
            <w:shd w:val="clear" w:color="auto" w:fill="auto"/>
            <w:noWrap/>
            <w:vAlign w:val="bottom"/>
            <w:hideMark/>
          </w:tcPr>
          <w:p w14:paraId="719C9642" w14:textId="77777777" w:rsidR="00EA177A" w:rsidRPr="00B91D78" w:rsidRDefault="00EA177A" w:rsidP="00C704A7">
            <w:pPr>
              <w:spacing w:after="0" w:line="240" w:lineRule="auto"/>
              <w:jc w:val="right"/>
              <w:rPr>
                <w:rFonts w:eastAsia="Times New Roman" w:cs="Times New Roman"/>
                <w:color w:val="000000"/>
                <w:sz w:val="18"/>
                <w:szCs w:val="18"/>
                <w:lang w:eastAsia="sk-SK"/>
              </w:rPr>
            </w:pPr>
          </w:p>
        </w:tc>
      </w:tr>
      <w:tr w:rsidR="00EA177A" w:rsidRPr="00B91D78" w14:paraId="4A76A024" w14:textId="77777777" w:rsidTr="003421E9">
        <w:trPr>
          <w:trHeight w:val="510"/>
        </w:trPr>
        <w:tc>
          <w:tcPr>
            <w:tcW w:w="1921" w:type="pct"/>
            <w:tcBorders>
              <w:top w:val="nil"/>
              <w:left w:val="nil"/>
              <w:bottom w:val="nil"/>
              <w:right w:val="nil"/>
            </w:tcBorders>
            <w:shd w:val="clear" w:color="000000" w:fill="FFFFFF"/>
            <w:vAlign w:val="center"/>
            <w:hideMark/>
          </w:tcPr>
          <w:p w14:paraId="0D37BB23"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 xml:space="preserve">Štrukturálne fondy, Kohézny fond, Európsky námorný a rybársky fond 3. programové obdobie </w:t>
            </w:r>
          </w:p>
        </w:tc>
        <w:tc>
          <w:tcPr>
            <w:tcW w:w="463" w:type="pct"/>
            <w:tcBorders>
              <w:top w:val="nil"/>
              <w:left w:val="nil"/>
              <w:bottom w:val="nil"/>
              <w:right w:val="nil"/>
            </w:tcBorders>
            <w:shd w:val="clear" w:color="000000" w:fill="FFFFFF"/>
            <w:noWrap/>
            <w:vAlign w:val="center"/>
            <w:hideMark/>
          </w:tcPr>
          <w:p w14:paraId="2E12F8F2"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150 873</w:t>
            </w:r>
          </w:p>
        </w:tc>
        <w:tc>
          <w:tcPr>
            <w:tcW w:w="462" w:type="pct"/>
            <w:tcBorders>
              <w:top w:val="nil"/>
              <w:left w:val="nil"/>
              <w:bottom w:val="nil"/>
              <w:right w:val="nil"/>
            </w:tcBorders>
            <w:shd w:val="clear" w:color="000000" w:fill="FFFFFF"/>
            <w:noWrap/>
            <w:vAlign w:val="center"/>
            <w:hideMark/>
          </w:tcPr>
          <w:p w14:paraId="28E51D7A"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228 230</w:t>
            </w:r>
          </w:p>
        </w:tc>
        <w:tc>
          <w:tcPr>
            <w:tcW w:w="538" w:type="pct"/>
            <w:tcBorders>
              <w:top w:val="nil"/>
              <w:left w:val="nil"/>
              <w:bottom w:val="nil"/>
              <w:right w:val="nil"/>
            </w:tcBorders>
            <w:shd w:val="clear" w:color="000000" w:fill="FFFFFF"/>
            <w:noWrap/>
            <w:vAlign w:val="center"/>
            <w:hideMark/>
          </w:tcPr>
          <w:p w14:paraId="78A8A8AF"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122 483</w:t>
            </w:r>
          </w:p>
        </w:tc>
        <w:tc>
          <w:tcPr>
            <w:tcW w:w="615" w:type="pct"/>
            <w:tcBorders>
              <w:top w:val="nil"/>
              <w:left w:val="nil"/>
              <w:bottom w:val="nil"/>
              <w:right w:val="nil"/>
            </w:tcBorders>
            <w:shd w:val="clear" w:color="auto" w:fill="BFBFBF" w:themeFill="background1" w:themeFillShade="BF"/>
            <w:noWrap/>
            <w:vAlign w:val="center"/>
            <w:hideMark/>
          </w:tcPr>
          <w:p w14:paraId="795C39D5"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213 068</w:t>
            </w:r>
          </w:p>
        </w:tc>
        <w:tc>
          <w:tcPr>
            <w:tcW w:w="520" w:type="pct"/>
            <w:tcBorders>
              <w:top w:val="nil"/>
              <w:left w:val="nil"/>
              <w:bottom w:val="nil"/>
              <w:right w:val="nil"/>
            </w:tcBorders>
            <w:shd w:val="clear" w:color="000000" w:fill="FFFFFF"/>
            <w:noWrap/>
            <w:vAlign w:val="center"/>
            <w:hideMark/>
          </w:tcPr>
          <w:p w14:paraId="62238EBF"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90 585</w:t>
            </w:r>
          </w:p>
        </w:tc>
        <w:tc>
          <w:tcPr>
            <w:tcW w:w="403" w:type="pct"/>
            <w:tcBorders>
              <w:top w:val="nil"/>
              <w:left w:val="nil"/>
              <w:bottom w:val="nil"/>
              <w:right w:val="nil"/>
            </w:tcBorders>
            <w:shd w:val="clear" w:color="000000" w:fill="FFFFFF"/>
            <w:noWrap/>
            <w:vAlign w:val="center"/>
            <w:hideMark/>
          </w:tcPr>
          <w:p w14:paraId="092824A9"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74,0</w:t>
            </w:r>
          </w:p>
        </w:tc>
        <w:tc>
          <w:tcPr>
            <w:tcW w:w="79" w:type="pct"/>
            <w:tcBorders>
              <w:top w:val="nil"/>
              <w:left w:val="nil"/>
              <w:bottom w:val="nil"/>
              <w:right w:val="nil"/>
            </w:tcBorders>
            <w:shd w:val="clear" w:color="auto" w:fill="auto"/>
            <w:noWrap/>
            <w:vAlign w:val="bottom"/>
            <w:hideMark/>
          </w:tcPr>
          <w:p w14:paraId="641310C1" w14:textId="77777777" w:rsidR="00EA177A" w:rsidRPr="00B91D78" w:rsidRDefault="00EA177A" w:rsidP="00C704A7">
            <w:pPr>
              <w:spacing w:after="0" w:line="240" w:lineRule="auto"/>
              <w:jc w:val="right"/>
              <w:rPr>
                <w:rFonts w:eastAsia="Times New Roman" w:cs="Times New Roman"/>
                <w:color w:val="000000"/>
                <w:sz w:val="18"/>
                <w:szCs w:val="18"/>
                <w:lang w:eastAsia="sk-SK"/>
              </w:rPr>
            </w:pPr>
          </w:p>
        </w:tc>
      </w:tr>
      <w:tr w:rsidR="00EA177A" w:rsidRPr="00B91D78" w14:paraId="3C4F0D8C" w14:textId="77777777" w:rsidTr="003421E9">
        <w:trPr>
          <w:trHeight w:val="330"/>
        </w:trPr>
        <w:tc>
          <w:tcPr>
            <w:tcW w:w="1921" w:type="pct"/>
            <w:tcBorders>
              <w:top w:val="nil"/>
              <w:left w:val="nil"/>
              <w:bottom w:val="nil"/>
              <w:right w:val="nil"/>
            </w:tcBorders>
            <w:shd w:val="clear" w:color="000000" w:fill="FFFFFF"/>
            <w:vAlign w:val="center"/>
            <w:hideMark/>
          </w:tcPr>
          <w:p w14:paraId="43EA71B9"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Programy EÚS 3. programové obdobie (CO MF SR)</w:t>
            </w:r>
          </w:p>
        </w:tc>
        <w:tc>
          <w:tcPr>
            <w:tcW w:w="463" w:type="pct"/>
            <w:tcBorders>
              <w:top w:val="nil"/>
              <w:left w:val="nil"/>
              <w:bottom w:val="nil"/>
              <w:right w:val="nil"/>
            </w:tcBorders>
            <w:shd w:val="clear" w:color="000000" w:fill="FFFFFF"/>
            <w:noWrap/>
            <w:vAlign w:val="center"/>
            <w:hideMark/>
          </w:tcPr>
          <w:p w14:paraId="1419AE96"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0</w:t>
            </w:r>
          </w:p>
        </w:tc>
        <w:tc>
          <w:tcPr>
            <w:tcW w:w="462" w:type="pct"/>
            <w:tcBorders>
              <w:top w:val="nil"/>
              <w:left w:val="nil"/>
              <w:bottom w:val="nil"/>
              <w:right w:val="nil"/>
            </w:tcBorders>
            <w:shd w:val="clear" w:color="000000" w:fill="FFFFFF"/>
            <w:noWrap/>
            <w:vAlign w:val="center"/>
            <w:hideMark/>
          </w:tcPr>
          <w:p w14:paraId="384B64F1"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94</w:t>
            </w:r>
          </w:p>
        </w:tc>
        <w:tc>
          <w:tcPr>
            <w:tcW w:w="538" w:type="pct"/>
            <w:tcBorders>
              <w:top w:val="nil"/>
              <w:left w:val="nil"/>
              <w:bottom w:val="nil"/>
              <w:right w:val="nil"/>
            </w:tcBorders>
            <w:shd w:val="clear" w:color="000000" w:fill="FFFFFF"/>
            <w:noWrap/>
            <w:vAlign w:val="center"/>
            <w:hideMark/>
          </w:tcPr>
          <w:p w14:paraId="3F6C5116"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551</w:t>
            </w:r>
          </w:p>
        </w:tc>
        <w:tc>
          <w:tcPr>
            <w:tcW w:w="615" w:type="pct"/>
            <w:tcBorders>
              <w:top w:val="nil"/>
              <w:left w:val="nil"/>
              <w:bottom w:val="nil"/>
              <w:right w:val="nil"/>
            </w:tcBorders>
            <w:shd w:val="clear" w:color="auto" w:fill="BFBFBF" w:themeFill="background1" w:themeFillShade="BF"/>
            <w:noWrap/>
            <w:vAlign w:val="center"/>
            <w:hideMark/>
          </w:tcPr>
          <w:p w14:paraId="396F832C"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897</w:t>
            </w:r>
          </w:p>
        </w:tc>
        <w:tc>
          <w:tcPr>
            <w:tcW w:w="520" w:type="pct"/>
            <w:tcBorders>
              <w:top w:val="nil"/>
              <w:left w:val="nil"/>
              <w:bottom w:val="nil"/>
              <w:right w:val="nil"/>
            </w:tcBorders>
            <w:shd w:val="clear" w:color="000000" w:fill="FFFFFF"/>
            <w:noWrap/>
            <w:vAlign w:val="center"/>
            <w:hideMark/>
          </w:tcPr>
          <w:p w14:paraId="06080215"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346</w:t>
            </w:r>
          </w:p>
        </w:tc>
        <w:tc>
          <w:tcPr>
            <w:tcW w:w="403" w:type="pct"/>
            <w:tcBorders>
              <w:top w:val="nil"/>
              <w:left w:val="nil"/>
              <w:bottom w:val="nil"/>
              <w:right w:val="nil"/>
            </w:tcBorders>
            <w:shd w:val="clear" w:color="000000" w:fill="FFFFFF"/>
            <w:noWrap/>
            <w:vAlign w:val="center"/>
            <w:hideMark/>
          </w:tcPr>
          <w:p w14:paraId="7C44A3F6"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w:t>
            </w:r>
          </w:p>
        </w:tc>
        <w:tc>
          <w:tcPr>
            <w:tcW w:w="79" w:type="pct"/>
            <w:tcBorders>
              <w:top w:val="nil"/>
              <w:left w:val="nil"/>
              <w:bottom w:val="nil"/>
              <w:right w:val="nil"/>
            </w:tcBorders>
            <w:shd w:val="clear" w:color="auto" w:fill="auto"/>
            <w:noWrap/>
            <w:vAlign w:val="bottom"/>
            <w:hideMark/>
          </w:tcPr>
          <w:p w14:paraId="70530761" w14:textId="77777777" w:rsidR="00EA177A" w:rsidRPr="00B91D78" w:rsidRDefault="00EA177A" w:rsidP="00C704A7">
            <w:pPr>
              <w:spacing w:after="0" w:line="240" w:lineRule="auto"/>
              <w:jc w:val="right"/>
              <w:rPr>
                <w:rFonts w:eastAsia="Times New Roman" w:cs="Times New Roman"/>
                <w:color w:val="000000"/>
                <w:sz w:val="18"/>
                <w:szCs w:val="18"/>
                <w:lang w:eastAsia="sk-SK"/>
              </w:rPr>
            </w:pPr>
          </w:p>
        </w:tc>
      </w:tr>
      <w:tr w:rsidR="00EA177A" w:rsidRPr="00B91D78" w14:paraId="28D8D1EA" w14:textId="77777777" w:rsidTr="003421E9">
        <w:trPr>
          <w:trHeight w:val="330"/>
        </w:trPr>
        <w:tc>
          <w:tcPr>
            <w:tcW w:w="1921" w:type="pct"/>
            <w:tcBorders>
              <w:top w:val="nil"/>
              <w:left w:val="nil"/>
              <w:bottom w:val="nil"/>
              <w:right w:val="nil"/>
            </w:tcBorders>
            <w:shd w:val="clear" w:color="000000" w:fill="FFFFFF"/>
            <w:vAlign w:val="center"/>
            <w:hideMark/>
          </w:tcPr>
          <w:p w14:paraId="3FC790B2"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Štrukturálne operácie - MF SR</w:t>
            </w:r>
          </w:p>
        </w:tc>
        <w:tc>
          <w:tcPr>
            <w:tcW w:w="463" w:type="pct"/>
            <w:tcBorders>
              <w:top w:val="nil"/>
              <w:left w:val="nil"/>
              <w:bottom w:val="nil"/>
              <w:right w:val="nil"/>
            </w:tcBorders>
            <w:shd w:val="clear" w:color="000000" w:fill="FFFFFF"/>
            <w:noWrap/>
            <w:vAlign w:val="center"/>
            <w:hideMark/>
          </w:tcPr>
          <w:p w14:paraId="6606D886"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150 885</w:t>
            </w:r>
          </w:p>
        </w:tc>
        <w:tc>
          <w:tcPr>
            <w:tcW w:w="462" w:type="pct"/>
            <w:tcBorders>
              <w:top w:val="nil"/>
              <w:left w:val="nil"/>
              <w:bottom w:val="nil"/>
              <w:right w:val="nil"/>
            </w:tcBorders>
            <w:shd w:val="clear" w:color="000000" w:fill="FFFFFF"/>
            <w:noWrap/>
            <w:vAlign w:val="center"/>
            <w:hideMark/>
          </w:tcPr>
          <w:p w14:paraId="2FAD810B"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228 324</w:t>
            </w:r>
          </w:p>
        </w:tc>
        <w:tc>
          <w:tcPr>
            <w:tcW w:w="538" w:type="pct"/>
            <w:tcBorders>
              <w:top w:val="nil"/>
              <w:left w:val="nil"/>
              <w:bottom w:val="nil"/>
              <w:right w:val="nil"/>
            </w:tcBorders>
            <w:shd w:val="clear" w:color="000000" w:fill="FFFFFF"/>
            <w:noWrap/>
            <w:vAlign w:val="center"/>
            <w:hideMark/>
          </w:tcPr>
          <w:p w14:paraId="2E3C6035"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123 034</w:t>
            </w:r>
          </w:p>
        </w:tc>
        <w:tc>
          <w:tcPr>
            <w:tcW w:w="615" w:type="pct"/>
            <w:tcBorders>
              <w:top w:val="nil"/>
              <w:left w:val="nil"/>
              <w:bottom w:val="nil"/>
              <w:right w:val="nil"/>
            </w:tcBorders>
            <w:shd w:val="clear" w:color="auto" w:fill="BFBFBF" w:themeFill="background1" w:themeFillShade="BF"/>
            <w:noWrap/>
            <w:vAlign w:val="center"/>
            <w:hideMark/>
          </w:tcPr>
          <w:p w14:paraId="5D43A998"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213 965</w:t>
            </w:r>
          </w:p>
        </w:tc>
        <w:tc>
          <w:tcPr>
            <w:tcW w:w="520" w:type="pct"/>
            <w:tcBorders>
              <w:top w:val="nil"/>
              <w:left w:val="nil"/>
              <w:bottom w:val="nil"/>
              <w:right w:val="nil"/>
            </w:tcBorders>
            <w:shd w:val="clear" w:color="000000" w:fill="FFFFFF"/>
            <w:noWrap/>
            <w:vAlign w:val="center"/>
            <w:hideMark/>
          </w:tcPr>
          <w:p w14:paraId="07CE0BFB"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90 931</w:t>
            </w:r>
          </w:p>
        </w:tc>
        <w:tc>
          <w:tcPr>
            <w:tcW w:w="403" w:type="pct"/>
            <w:tcBorders>
              <w:top w:val="nil"/>
              <w:left w:val="nil"/>
              <w:bottom w:val="nil"/>
              <w:right w:val="nil"/>
            </w:tcBorders>
            <w:shd w:val="clear" w:color="000000" w:fill="FFFFFF"/>
            <w:noWrap/>
            <w:vAlign w:val="center"/>
            <w:hideMark/>
          </w:tcPr>
          <w:p w14:paraId="06AE54E8"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73,9</w:t>
            </w:r>
          </w:p>
        </w:tc>
        <w:tc>
          <w:tcPr>
            <w:tcW w:w="79" w:type="pct"/>
            <w:tcBorders>
              <w:top w:val="nil"/>
              <w:left w:val="nil"/>
              <w:bottom w:val="nil"/>
              <w:right w:val="nil"/>
            </w:tcBorders>
            <w:shd w:val="clear" w:color="auto" w:fill="auto"/>
            <w:noWrap/>
            <w:vAlign w:val="bottom"/>
            <w:hideMark/>
          </w:tcPr>
          <w:p w14:paraId="68FC0F03"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p>
        </w:tc>
      </w:tr>
      <w:tr w:rsidR="00EA177A" w:rsidRPr="00B91D78" w14:paraId="1FB30DFD" w14:textId="77777777" w:rsidTr="003421E9">
        <w:trPr>
          <w:trHeight w:val="330"/>
        </w:trPr>
        <w:tc>
          <w:tcPr>
            <w:tcW w:w="1921" w:type="pct"/>
            <w:tcBorders>
              <w:top w:val="nil"/>
              <w:left w:val="nil"/>
              <w:bottom w:val="nil"/>
              <w:right w:val="nil"/>
            </w:tcBorders>
            <w:shd w:val="clear" w:color="000000" w:fill="FFFFFF"/>
            <w:vAlign w:val="center"/>
            <w:hideMark/>
          </w:tcPr>
          <w:p w14:paraId="20F9C019" w14:textId="77777777" w:rsidR="00EA177A" w:rsidRPr="00B91D78" w:rsidRDefault="00EA177A" w:rsidP="00C704A7">
            <w:pPr>
              <w:spacing w:after="0" w:line="240" w:lineRule="auto"/>
              <w:jc w:val="left"/>
              <w:rPr>
                <w:rFonts w:eastAsia="Times New Roman" w:cs="Times New Roman"/>
                <w:color w:val="000000"/>
                <w:sz w:val="18"/>
                <w:szCs w:val="18"/>
                <w:lang w:eastAsia="sk-SK"/>
              </w:rPr>
            </w:pPr>
            <w:r w:rsidRPr="00B91D78">
              <w:rPr>
                <w:rFonts w:eastAsia="Times New Roman" w:cs="Times New Roman"/>
                <w:color w:val="000000"/>
                <w:sz w:val="18"/>
                <w:szCs w:val="18"/>
                <w:lang w:eastAsia="sk-SK"/>
              </w:rPr>
              <w:t>OP Sociálneho začlenenia najodkázanejších osôb</w:t>
            </w:r>
          </w:p>
        </w:tc>
        <w:tc>
          <w:tcPr>
            <w:tcW w:w="463" w:type="pct"/>
            <w:tcBorders>
              <w:top w:val="nil"/>
              <w:left w:val="nil"/>
              <w:bottom w:val="nil"/>
              <w:right w:val="nil"/>
            </w:tcBorders>
            <w:shd w:val="clear" w:color="000000" w:fill="FFFFFF"/>
            <w:noWrap/>
            <w:vAlign w:val="center"/>
            <w:hideMark/>
          </w:tcPr>
          <w:p w14:paraId="284B3A80"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2 106</w:t>
            </w:r>
          </w:p>
        </w:tc>
        <w:tc>
          <w:tcPr>
            <w:tcW w:w="462" w:type="pct"/>
            <w:tcBorders>
              <w:top w:val="nil"/>
              <w:left w:val="nil"/>
              <w:bottom w:val="nil"/>
              <w:right w:val="nil"/>
            </w:tcBorders>
            <w:shd w:val="clear" w:color="000000" w:fill="FFFFFF"/>
            <w:noWrap/>
            <w:vAlign w:val="center"/>
            <w:hideMark/>
          </w:tcPr>
          <w:p w14:paraId="69101BE9"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2 109</w:t>
            </w:r>
          </w:p>
        </w:tc>
        <w:tc>
          <w:tcPr>
            <w:tcW w:w="538" w:type="pct"/>
            <w:tcBorders>
              <w:top w:val="nil"/>
              <w:left w:val="nil"/>
              <w:bottom w:val="nil"/>
              <w:right w:val="nil"/>
            </w:tcBorders>
            <w:shd w:val="clear" w:color="000000" w:fill="FFFFFF"/>
            <w:noWrap/>
            <w:vAlign w:val="center"/>
            <w:hideMark/>
          </w:tcPr>
          <w:p w14:paraId="2A0BAA90"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934</w:t>
            </w:r>
          </w:p>
        </w:tc>
        <w:tc>
          <w:tcPr>
            <w:tcW w:w="615" w:type="pct"/>
            <w:tcBorders>
              <w:top w:val="nil"/>
              <w:left w:val="nil"/>
              <w:bottom w:val="nil"/>
              <w:right w:val="nil"/>
            </w:tcBorders>
            <w:shd w:val="clear" w:color="auto" w:fill="BFBFBF" w:themeFill="background1" w:themeFillShade="BF"/>
            <w:noWrap/>
            <w:vAlign w:val="center"/>
            <w:hideMark/>
          </w:tcPr>
          <w:p w14:paraId="1C9B25E4"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2 171</w:t>
            </w:r>
          </w:p>
        </w:tc>
        <w:tc>
          <w:tcPr>
            <w:tcW w:w="520" w:type="pct"/>
            <w:tcBorders>
              <w:top w:val="nil"/>
              <w:left w:val="nil"/>
              <w:bottom w:val="nil"/>
              <w:right w:val="nil"/>
            </w:tcBorders>
            <w:shd w:val="clear" w:color="000000" w:fill="FFFFFF"/>
            <w:noWrap/>
            <w:vAlign w:val="center"/>
            <w:hideMark/>
          </w:tcPr>
          <w:p w14:paraId="07094B90"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1 237</w:t>
            </w:r>
          </w:p>
        </w:tc>
        <w:tc>
          <w:tcPr>
            <w:tcW w:w="403" w:type="pct"/>
            <w:tcBorders>
              <w:top w:val="nil"/>
              <w:left w:val="nil"/>
              <w:bottom w:val="nil"/>
              <w:right w:val="nil"/>
            </w:tcBorders>
            <w:shd w:val="clear" w:color="000000" w:fill="FFFFFF"/>
            <w:noWrap/>
            <w:vAlign w:val="center"/>
            <w:hideMark/>
          </w:tcPr>
          <w:p w14:paraId="0AA47B7A" w14:textId="77777777" w:rsidR="00EA177A" w:rsidRPr="00B91D78" w:rsidRDefault="00EA177A" w:rsidP="00C704A7">
            <w:pPr>
              <w:spacing w:after="0" w:line="240" w:lineRule="auto"/>
              <w:jc w:val="right"/>
              <w:rPr>
                <w:rFonts w:eastAsia="Times New Roman" w:cs="Times New Roman"/>
                <w:color w:val="000000"/>
                <w:sz w:val="18"/>
                <w:szCs w:val="18"/>
                <w:lang w:eastAsia="sk-SK"/>
              </w:rPr>
            </w:pPr>
            <w:r w:rsidRPr="00B91D78">
              <w:rPr>
                <w:rFonts w:eastAsia="Times New Roman" w:cs="Times New Roman"/>
                <w:color w:val="000000"/>
                <w:sz w:val="18"/>
                <w:szCs w:val="18"/>
                <w:lang w:eastAsia="sk-SK"/>
              </w:rPr>
              <w:t>132,4</w:t>
            </w:r>
          </w:p>
        </w:tc>
        <w:tc>
          <w:tcPr>
            <w:tcW w:w="79" w:type="pct"/>
            <w:tcBorders>
              <w:top w:val="nil"/>
              <w:left w:val="nil"/>
              <w:bottom w:val="nil"/>
              <w:right w:val="nil"/>
            </w:tcBorders>
            <w:shd w:val="clear" w:color="auto" w:fill="auto"/>
            <w:noWrap/>
            <w:vAlign w:val="bottom"/>
            <w:hideMark/>
          </w:tcPr>
          <w:p w14:paraId="6321B895" w14:textId="77777777" w:rsidR="00EA177A" w:rsidRPr="00B91D78" w:rsidRDefault="00EA177A" w:rsidP="00C704A7">
            <w:pPr>
              <w:spacing w:after="0" w:line="240" w:lineRule="auto"/>
              <w:jc w:val="right"/>
              <w:rPr>
                <w:rFonts w:eastAsia="Times New Roman" w:cs="Times New Roman"/>
                <w:color w:val="000000"/>
                <w:sz w:val="18"/>
                <w:szCs w:val="18"/>
                <w:lang w:eastAsia="sk-SK"/>
              </w:rPr>
            </w:pPr>
          </w:p>
        </w:tc>
      </w:tr>
      <w:tr w:rsidR="00EA177A" w:rsidRPr="00B91D78" w14:paraId="6499F5A3" w14:textId="77777777" w:rsidTr="003421E9">
        <w:trPr>
          <w:trHeight w:val="330"/>
        </w:trPr>
        <w:tc>
          <w:tcPr>
            <w:tcW w:w="1921" w:type="pct"/>
            <w:tcBorders>
              <w:top w:val="nil"/>
              <w:left w:val="nil"/>
              <w:bottom w:val="nil"/>
              <w:right w:val="nil"/>
            </w:tcBorders>
            <w:shd w:val="clear" w:color="000000" w:fill="FFFFFF"/>
            <w:vAlign w:val="center"/>
            <w:hideMark/>
          </w:tcPr>
          <w:p w14:paraId="332C5EEE"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Štrukturálne operácie - MPSVR SR</w:t>
            </w:r>
          </w:p>
        </w:tc>
        <w:tc>
          <w:tcPr>
            <w:tcW w:w="463" w:type="pct"/>
            <w:tcBorders>
              <w:top w:val="nil"/>
              <w:left w:val="nil"/>
              <w:bottom w:val="nil"/>
              <w:right w:val="nil"/>
            </w:tcBorders>
            <w:shd w:val="clear" w:color="000000" w:fill="FFFFFF"/>
            <w:noWrap/>
            <w:vAlign w:val="center"/>
            <w:hideMark/>
          </w:tcPr>
          <w:p w14:paraId="484296E5"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2 106</w:t>
            </w:r>
          </w:p>
        </w:tc>
        <w:tc>
          <w:tcPr>
            <w:tcW w:w="462" w:type="pct"/>
            <w:tcBorders>
              <w:top w:val="nil"/>
              <w:left w:val="nil"/>
              <w:bottom w:val="nil"/>
              <w:right w:val="nil"/>
            </w:tcBorders>
            <w:shd w:val="clear" w:color="000000" w:fill="FFFFFF"/>
            <w:noWrap/>
            <w:vAlign w:val="center"/>
            <w:hideMark/>
          </w:tcPr>
          <w:p w14:paraId="3DA39F2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2 109</w:t>
            </w:r>
          </w:p>
        </w:tc>
        <w:tc>
          <w:tcPr>
            <w:tcW w:w="538" w:type="pct"/>
            <w:tcBorders>
              <w:top w:val="nil"/>
              <w:left w:val="nil"/>
              <w:bottom w:val="nil"/>
              <w:right w:val="nil"/>
            </w:tcBorders>
            <w:shd w:val="clear" w:color="000000" w:fill="FFFFFF"/>
            <w:noWrap/>
            <w:vAlign w:val="center"/>
            <w:hideMark/>
          </w:tcPr>
          <w:p w14:paraId="491CFAA6"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934</w:t>
            </w:r>
          </w:p>
        </w:tc>
        <w:tc>
          <w:tcPr>
            <w:tcW w:w="615" w:type="pct"/>
            <w:tcBorders>
              <w:top w:val="nil"/>
              <w:left w:val="nil"/>
              <w:bottom w:val="nil"/>
              <w:right w:val="nil"/>
            </w:tcBorders>
            <w:shd w:val="clear" w:color="auto" w:fill="BFBFBF" w:themeFill="background1" w:themeFillShade="BF"/>
            <w:noWrap/>
            <w:vAlign w:val="center"/>
            <w:hideMark/>
          </w:tcPr>
          <w:p w14:paraId="77C89296"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2 171</w:t>
            </w:r>
          </w:p>
        </w:tc>
        <w:tc>
          <w:tcPr>
            <w:tcW w:w="520" w:type="pct"/>
            <w:tcBorders>
              <w:top w:val="nil"/>
              <w:left w:val="nil"/>
              <w:bottom w:val="nil"/>
              <w:right w:val="nil"/>
            </w:tcBorders>
            <w:shd w:val="clear" w:color="000000" w:fill="FFFFFF"/>
            <w:noWrap/>
            <w:vAlign w:val="center"/>
            <w:hideMark/>
          </w:tcPr>
          <w:p w14:paraId="64AC6DFD"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1 237</w:t>
            </w:r>
          </w:p>
        </w:tc>
        <w:tc>
          <w:tcPr>
            <w:tcW w:w="403" w:type="pct"/>
            <w:tcBorders>
              <w:top w:val="nil"/>
              <w:left w:val="nil"/>
              <w:bottom w:val="nil"/>
              <w:right w:val="nil"/>
            </w:tcBorders>
            <w:shd w:val="clear" w:color="000000" w:fill="FFFFFF"/>
            <w:noWrap/>
            <w:vAlign w:val="center"/>
            <w:hideMark/>
          </w:tcPr>
          <w:p w14:paraId="46047986"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132,4</w:t>
            </w:r>
          </w:p>
        </w:tc>
        <w:tc>
          <w:tcPr>
            <w:tcW w:w="79" w:type="pct"/>
            <w:tcBorders>
              <w:top w:val="nil"/>
              <w:left w:val="nil"/>
              <w:bottom w:val="nil"/>
              <w:right w:val="nil"/>
            </w:tcBorders>
            <w:shd w:val="clear" w:color="auto" w:fill="auto"/>
            <w:noWrap/>
            <w:vAlign w:val="bottom"/>
            <w:hideMark/>
          </w:tcPr>
          <w:p w14:paraId="34B6D1C3"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p>
        </w:tc>
      </w:tr>
      <w:tr w:rsidR="00EA177A" w:rsidRPr="00B91D78" w14:paraId="0290B487" w14:textId="77777777" w:rsidTr="003421E9">
        <w:trPr>
          <w:trHeight w:val="345"/>
        </w:trPr>
        <w:tc>
          <w:tcPr>
            <w:tcW w:w="1921" w:type="pct"/>
            <w:tcBorders>
              <w:top w:val="single" w:sz="4" w:space="0" w:color="auto"/>
              <w:left w:val="nil"/>
              <w:bottom w:val="single" w:sz="8" w:space="0" w:color="auto"/>
              <w:right w:val="nil"/>
            </w:tcBorders>
            <w:shd w:val="clear" w:color="000000" w:fill="FFFFFF"/>
            <w:vAlign w:val="center"/>
            <w:hideMark/>
          </w:tcPr>
          <w:p w14:paraId="01715937" w14:textId="77777777" w:rsidR="00EA177A" w:rsidRPr="00B91D78" w:rsidRDefault="00EA177A" w:rsidP="00C704A7">
            <w:pPr>
              <w:spacing w:after="0" w:line="240" w:lineRule="auto"/>
              <w:jc w:val="lef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Spolu výdavky za prostriedky ŠR</w:t>
            </w:r>
          </w:p>
        </w:tc>
        <w:tc>
          <w:tcPr>
            <w:tcW w:w="463" w:type="pct"/>
            <w:tcBorders>
              <w:top w:val="single" w:sz="4" w:space="0" w:color="auto"/>
              <w:left w:val="nil"/>
              <w:bottom w:val="single" w:sz="8" w:space="0" w:color="auto"/>
              <w:right w:val="nil"/>
            </w:tcBorders>
            <w:shd w:val="clear" w:color="000000" w:fill="FFFFFF"/>
            <w:noWrap/>
            <w:vAlign w:val="center"/>
            <w:hideMark/>
          </w:tcPr>
          <w:p w14:paraId="7478552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227 034</w:t>
            </w:r>
          </w:p>
        </w:tc>
        <w:tc>
          <w:tcPr>
            <w:tcW w:w="462" w:type="pct"/>
            <w:tcBorders>
              <w:top w:val="single" w:sz="4" w:space="0" w:color="auto"/>
              <w:left w:val="nil"/>
              <w:bottom w:val="single" w:sz="8" w:space="0" w:color="auto"/>
              <w:right w:val="nil"/>
            </w:tcBorders>
            <w:shd w:val="clear" w:color="000000" w:fill="FFFFFF"/>
            <w:noWrap/>
            <w:vAlign w:val="center"/>
            <w:hideMark/>
          </w:tcPr>
          <w:p w14:paraId="47672ED4"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311 327</w:t>
            </w:r>
          </w:p>
        </w:tc>
        <w:tc>
          <w:tcPr>
            <w:tcW w:w="538" w:type="pct"/>
            <w:tcBorders>
              <w:top w:val="single" w:sz="4" w:space="0" w:color="auto"/>
              <w:left w:val="nil"/>
              <w:bottom w:val="single" w:sz="8" w:space="0" w:color="auto"/>
              <w:right w:val="nil"/>
            </w:tcBorders>
            <w:shd w:val="clear" w:color="000000" w:fill="FFFFFF"/>
            <w:noWrap/>
            <w:vAlign w:val="center"/>
            <w:hideMark/>
          </w:tcPr>
          <w:p w14:paraId="5C7C5DD8"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228 466</w:t>
            </w:r>
          </w:p>
        </w:tc>
        <w:tc>
          <w:tcPr>
            <w:tcW w:w="615" w:type="pct"/>
            <w:tcBorders>
              <w:top w:val="single" w:sz="4" w:space="0" w:color="auto"/>
              <w:left w:val="nil"/>
              <w:bottom w:val="single" w:sz="8" w:space="0" w:color="auto"/>
              <w:right w:val="nil"/>
            </w:tcBorders>
            <w:shd w:val="clear" w:color="auto" w:fill="BFBFBF" w:themeFill="background1" w:themeFillShade="BF"/>
            <w:noWrap/>
            <w:vAlign w:val="center"/>
            <w:hideMark/>
          </w:tcPr>
          <w:p w14:paraId="2A2917B7"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295 777</w:t>
            </w:r>
          </w:p>
        </w:tc>
        <w:tc>
          <w:tcPr>
            <w:tcW w:w="520" w:type="pct"/>
            <w:tcBorders>
              <w:top w:val="single" w:sz="4" w:space="0" w:color="auto"/>
              <w:left w:val="nil"/>
              <w:bottom w:val="single" w:sz="8" w:space="0" w:color="auto"/>
              <w:right w:val="nil"/>
            </w:tcBorders>
            <w:shd w:val="clear" w:color="000000" w:fill="FFFFFF"/>
            <w:noWrap/>
            <w:vAlign w:val="center"/>
            <w:hideMark/>
          </w:tcPr>
          <w:p w14:paraId="057F7EB5"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67 311</w:t>
            </w:r>
          </w:p>
        </w:tc>
        <w:tc>
          <w:tcPr>
            <w:tcW w:w="403" w:type="pct"/>
            <w:tcBorders>
              <w:top w:val="single" w:sz="4" w:space="0" w:color="auto"/>
              <w:left w:val="nil"/>
              <w:bottom w:val="single" w:sz="8" w:space="0" w:color="auto"/>
              <w:right w:val="nil"/>
            </w:tcBorders>
            <w:shd w:val="clear" w:color="000000" w:fill="FFFFFF"/>
            <w:noWrap/>
            <w:vAlign w:val="center"/>
            <w:hideMark/>
          </w:tcPr>
          <w:p w14:paraId="072C9437"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r w:rsidRPr="00B91D78">
              <w:rPr>
                <w:rFonts w:eastAsia="Times New Roman" w:cs="Times New Roman"/>
                <w:b/>
                <w:bCs/>
                <w:color w:val="000000"/>
                <w:sz w:val="18"/>
                <w:szCs w:val="18"/>
                <w:lang w:eastAsia="sk-SK"/>
              </w:rPr>
              <w:t>29,5</w:t>
            </w:r>
          </w:p>
        </w:tc>
        <w:tc>
          <w:tcPr>
            <w:tcW w:w="79" w:type="pct"/>
            <w:tcBorders>
              <w:top w:val="nil"/>
              <w:left w:val="nil"/>
              <w:bottom w:val="nil"/>
              <w:right w:val="nil"/>
            </w:tcBorders>
            <w:shd w:val="clear" w:color="auto" w:fill="auto"/>
            <w:noWrap/>
            <w:vAlign w:val="bottom"/>
            <w:hideMark/>
          </w:tcPr>
          <w:p w14:paraId="543EA6C5" w14:textId="77777777" w:rsidR="00EA177A" w:rsidRPr="00B91D78" w:rsidRDefault="00EA177A" w:rsidP="00C704A7">
            <w:pPr>
              <w:spacing w:after="0" w:line="240" w:lineRule="auto"/>
              <w:jc w:val="right"/>
              <w:rPr>
                <w:rFonts w:eastAsia="Times New Roman" w:cs="Times New Roman"/>
                <w:b/>
                <w:bCs/>
                <w:color w:val="000000"/>
                <w:sz w:val="18"/>
                <w:szCs w:val="18"/>
                <w:lang w:eastAsia="sk-SK"/>
              </w:rPr>
            </w:pPr>
          </w:p>
        </w:tc>
      </w:tr>
    </w:tbl>
    <w:p w14:paraId="046A542C" w14:textId="77777777" w:rsidR="00EA177A" w:rsidRPr="00723957" w:rsidRDefault="00EA177A" w:rsidP="00EA177A">
      <w:pPr>
        <w:jc w:val="right"/>
        <w:rPr>
          <w:sz w:val="18"/>
          <w:szCs w:val="18"/>
        </w:rPr>
      </w:pPr>
      <w:r w:rsidRPr="00723957">
        <w:rPr>
          <w:sz w:val="18"/>
          <w:szCs w:val="18"/>
        </w:rPr>
        <w:t>Zdroj: MF SR</w:t>
      </w:r>
    </w:p>
    <w:p w14:paraId="7E2BC724" w14:textId="77777777" w:rsidR="00EA177A" w:rsidRPr="00F77097" w:rsidRDefault="00EA177A" w:rsidP="00EA177A">
      <w:pPr>
        <w:numPr>
          <w:ilvl w:val="0"/>
          <w:numId w:val="5"/>
        </w:numPr>
        <w:tabs>
          <w:tab w:val="left" w:pos="284"/>
        </w:tabs>
        <w:ind w:left="0" w:firstLine="0"/>
        <w:rPr>
          <w:b/>
        </w:rPr>
      </w:pPr>
      <w:r w:rsidRPr="00F77097">
        <w:rPr>
          <w:b/>
        </w:rPr>
        <w:t>Spolufinancovanie zo štátneho rozpočtu k zahraničným grantom z EÚ a k prostriedkom poskytnutým na základe medzinárodných zmlúv</w:t>
      </w:r>
    </w:p>
    <w:p w14:paraId="7083B8E3" w14:textId="14D0A163" w:rsidR="00EA177A" w:rsidRPr="00F77097" w:rsidRDefault="00EA177A" w:rsidP="00EA177A">
      <w:r w:rsidRPr="00F77097">
        <w:t xml:space="preserve">Okrem výdavkov na spolufinancovanie zo ŠR k prostriedkom EÚ sú rozpočtované aj výdavky </w:t>
      </w:r>
      <w:r w:rsidRPr="00F77097">
        <w:br/>
        <w:t>na spolufinancovanie zo ŠR k zahraničným grantom (finančný nástroj pre životné prostredie LIFE+ a programy európskej územnej spolupráce</w:t>
      </w:r>
      <w:r w:rsidR="000821CD">
        <w:t xml:space="preserve"> - EÚS</w:t>
      </w:r>
      <w:r w:rsidRPr="00F77097">
        <w:t>), k prostriedkom poskytnutým na základe medzinárodných zmlúv (Finančný mechanizmus EHP a N</w:t>
      </w:r>
      <w:r>
        <w:t>órsky finančný mechanizmus) a k </w:t>
      </w:r>
      <w:r w:rsidRPr="00F77097">
        <w:t xml:space="preserve">prostriedkom na spolufinancovanie </w:t>
      </w:r>
      <w:r w:rsidRPr="00F77097">
        <w:rPr>
          <w:bCs/>
        </w:rPr>
        <w:t xml:space="preserve">fondov pre oblasť vnútorných záležitostí na </w:t>
      </w:r>
      <w:r>
        <w:t>roky</w:t>
      </w:r>
      <w:r>
        <w:br/>
      </w:r>
      <w:r w:rsidRPr="00F77097">
        <w:t>2014 - 2020.</w:t>
      </w:r>
    </w:p>
    <w:p w14:paraId="0858C119" w14:textId="77777777" w:rsidR="00EA177A" w:rsidRPr="00F77097" w:rsidRDefault="00EA177A" w:rsidP="00EA177A">
      <w:r w:rsidRPr="00F77097">
        <w:t>Čerpanie výdavkov na spolufinancovanie k zahraničným grantom z prostriedkov EÚ v roku 2019 predstavovalo sumu 6 321 tis. eur. Čerpanie výdavkov k prostriedkom poskytnutým na základe medzinárodných zmlúv v roku 2019 predstavovalo sumu 2</w:t>
      </w:r>
      <w:r>
        <w:t> </w:t>
      </w:r>
      <w:r w:rsidRPr="00F77097">
        <w:t>250</w:t>
      </w:r>
      <w:r>
        <w:t> </w:t>
      </w:r>
      <w:r w:rsidRPr="00F77097">
        <w:t>tis.</w:t>
      </w:r>
      <w:r>
        <w:t> </w:t>
      </w:r>
      <w:r w:rsidRPr="00F77097">
        <w:t>eur.</w:t>
      </w:r>
    </w:p>
    <w:p w14:paraId="4FF48D76" w14:textId="77777777" w:rsidR="00EA177A" w:rsidRDefault="00EA177A" w:rsidP="00EA177A">
      <w:r w:rsidRPr="00F77097">
        <w:t>Prehľad výdavkov na spolufinancovanie zo štátneho rozpočtu k zahraničným grantom z EÚ a</w:t>
      </w:r>
      <w:r>
        <w:t xml:space="preserve"> </w:t>
      </w:r>
      <w:r w:rsidRPr="00F77097">
        <w:t>k prostriedkom poskytnutým na základe medzinárodných zmlúv je uvedený v nasledovnej tabuľke:</w:t>
      </w:r>
    </w:p>
    <w:tbl>
      <w:tblPr>
        <w:tblW w:w="5085" w:type="pct"/>
        <w:tblLayout w:type="fixed"/>
        <w:tblCellMar>
          <w:left w:w="70" w:type="dxa"/>
          <w:right w:w="70" w:type="dxa"/>
        </w:tblCellMar>
        <w:tblLook w:val="04A0" w:firstRow="1" w:lastRow="0" w:firstColumn="1" w:lastColumn="0" w:noHBand="0" w:noVBand="1"/>
      </w:tblPr>
      <w:tblGrid>
        <w:gridCol w:w="3106"/>
        <w:gridCol w:w="931"/>
        <w:gridCol w:w="932"/>
        <w:gridCol w:w="931"/>
        <w:gridCol w:w="974"/>
        <w:gridCol w:w="173"/>
        <w:gridCol w:w="664"/>
        <w:gridCol w:w="937"/>
      </w:tblGrid>
      <w:tr w:rsidR="00EA177A" w:rsidRPr="00DB08A8" w14:paraId="209FFBCB" w14:textId="77777777" w:rsidTr="00C704A7">
        <w:trPr>
          <w:trHeight w:val="450"/>
        </w:trPr>
        <w:tc>
          <w:tcPr>
            <w:tcW w:w="4458" w:type="pct"/>
            <w:gridSpan w:val="7"/>
            <w:tcBorders>
              <w:top w:val="nil"/>
              <w:left w:val="nil"/>
              <w:bottom w:val="nil"/>
              <w:right w:val="nil"/>
            </w:tcBorders>
            <w:shd w:val="clear" w:color="000000" w:fill="000000"/>
            <w:noWrap/>
            <w:vAlign w:val="center"/>
            <w:hideMark/>
          </w:tcPr>
          <w:p w14:paraId="73E3B63D" w14:textId="77777777" w:rsidR="00EA177A" w:rsidRPr="00DB08A8" w:rsidRDefault="00EA177A" w:rsidP="00301E73">
            <w:pPr>
              <w:spacing w:before="12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 xml:space="preserve">Spolufinancovanie zo ŠR k zahraničným grantom/k prostriedkom poskytnutým na základe medzinárodných zmlúv </w:t>
            </w:r>
          </w:p>
        </w:tc>
        <w:tc>
          <w:tcPr>
            <w:tcW w:w="542" w:type="pct"/>
            <w:tcBorders>
              <w:top w:val="nil"/>
              <w:left w:val="nil"/>
              <w:bottom w:val="nil"/>
              <w:right w:val="nil"/>
            </w:tcBorders>
            <w:shd w:val="clear" w:color="000000" w:fill="000000"/>
            <w:noWrap/>
            <w:vAlign w:val="center"/>
            <w:hideMark/>
          </w:tcPr>
          <w:p w14:paraId="01D34237" w14:textId="77777777" w:rsidR="00EA177A" w:rsidRPr="00DB08A8" w:rsidRDefault="00EA177A" w:rsidP="00301E73">
            <w:pPr>
              <w:spacing w:before="12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v tis. eur</w:t>
            </w:r>
          </w:p>
        </w:tc>
      </w:tr>
      <w:tr w:rsidR="00EA177A" w:rsidRPr="00DB08A8" w14:paraId="1D16FEA1" w14:textId="77777777" w:rsidTr="00C704A7">
        <w:trPr>
          <w:trHeight w:val="330"/>
        </w:trPr>
        <w:tc>
          <w:tcPr>
            <w:tcW w:w="1796" w:type="pct"/>
            <w:tcBorders>
              <w:top w:val="nil"/>
              <w:left w:val="nil"/>
              <w:bottom w:val="nil"/>
              <w:right w:val="nil"/>
            </w:tcBorders>
            <w:shd w:val="clear" w:color="000000" w:fill="BFBFBF"/>
            <w:vAlign w:val="center"/>
            <w:hideMark/>
          </w:tcPr>
          <w:p w14:paraId="348B5CFC" w14:textId="77777777" w:rsidR="00EA177A" w:rsidRPr="00DB08A8" w:rsidRDefault="00EA177A" w:rsidP="00C704A7">
            <w:pPr>
              <w:spacing w:after="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 </w:t>
            </w:r>
          </w:p>
        </w:tc>
        <w:tc>
          <w:tcPr>
            <w:tcW w:w="1077" w:type="pct"/>
            <w:gridSpan w:val="2"/>
            <w:tcBorders>
              <w:top w:val="nil"/>
              <w:left w:val="nil"/>
              <w:bottom w:val="nil"/>
              <w:right w:val="nil"/>
            </w:tcBorders>
            <w:shd w:val="clear" w:color="000000" w:fill="BFBFBF"/>
            <w:vAlign w:val="center"/>
            <w:hideMark/>
          </w:tcPr>
          <w:p w14:paraId="617B0FE7"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Skutočnosť</w:t>
            </w:r>
          </w:p>
        </w:tc>
        <w:tc>
          <w:tcPr>
            <w:tcW w:w="538" w:type="pct"/>
            <w:tcBorders>
              <w:top w:val="nil"/>
              <w:left w:val="nil"/>
              <w:bottom w:val="nil"/>
              <w:right w:val="nil"/>
            </w:tcBorders>
            <w:shd w:val="clear" w:color="000000" w:fill="BFBFBF"/>
            <w:vAlign w:val="center"/>
            <w:hideMark/>
          </w:tcPr>
          <w:p w14:paraId="491E0163"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Rozpočet</w:t>
            </w:r>
          </w:p>
        </w:tc>
        <w:tc>
          <w:tcPr>
            <w:tcW w:w="663" w:type="pct"/>
            <w:gridSpan w:val="2"/>
            <w:tcBorders>
              <w:top w:val="nil"/>
              <w:left w:val="nil"/>
              <w:bottom w:val="nil"/>
              <w:right w:val="nil"/>
            </w:tcBorders>
            <w:shd w:val="clear" w:color="000000" w:fill="BFBFBF"/>
            <w:vAlign w:val="center"/>
            <w:hideMark/>
          </w:tcPr>
          <w:p w14:paraId="1F27FF18"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Skutočnosť</w:t>
            </w:r>
          </w:p>
        </w:tc>
        <w:tc>
          <w:tcPr>
            <w:tcW w:w="927" w:type="pct"/>
            <w:gridSpan w:val="2"/>
            <w:tcBorders>
              <w:top w:val="nil"/>
              <w:left w:val="nil"/>
              <w:bottom w:val="nil"/>
              <w:right w:val="nil"/>
            </w:tcBorders>
            <w:shd w:val="clear" w:color="000000" w:fill="BFBFBF"/>
            <w:vAlign w:val="center"/>
            <w:hideMark/>
          </w:tcPr>
          <w:p w14:paraId="5C72042C"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Rozdiel</w:t>
            </w:r>
          </w:p>
        </w:tc>
      </w:tr>
      <w:tr w:rsidR="00EA177A" w:rsidRPr="00DB08A8" w14:paraId="7ED380AA" w14:textId="77777777" w:rsidTr="00C704A7">
        <w:trPr>
          <w:trHeight w:val="330"/>
        </w:trPr>
        <w:tc>
          <w:tcPr>
            <w:tcW w:w="1796" w:type="pct"/>
            <w:tcBorders>
              <w:top w:val="nil"/>
              <w:left w:val="nil"/>
              <w:bottom w:val="nil"/>
              <w:right w:val="nil"/>
            </w:tcBorders>
            <w:shd w:val="clear" w:color="000000" w:fill="BFBFBF"/>
            <w:vAlign w:val="center"/>
            <w:hideMark/>
          </w:tcPr>
          <w:p w14:paraId="16331685"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 </w:t>
            </w:r>
          </w:p>
        </w:tc>
        <w:tc>
          <w:tcPr>
            <w:tcW w:w="538" w:type="pct"/>
            <w:tcBorders>
              <w:top w:val="nil"/>
              <w:left w:val="nil"/>
              <w:bottom w:val="nil"/>
              <w:right w:val="nil"/>
            </w:tcBorders>
            <w:shd w:val="clear" w:color="000000" w:fill="BFBFBF"/>
            <w:vAlign w:val="center"/>
            <w:hideMark/>
          </w:tcPr>
          <w:p w14:paraId="40F3B05A"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2017</w:t>
            </w:r>
          </w:p>
        </w:tc>
        <w:tc>
          <w:tcPr>
            <w:tcW w:w="539" w:type="pct"/>
            <w:tcBorders>
              <w:top w:val="nil"/>
              <w:left w:val="nil"/>
              <w:bottom w:val="nil"/>
              <w:right w:val="nil"/>
            </w:tcBorders>
            <w:shd w:val="clear" w:color="000000" w:fill="BFBFBF"/>
            <w:vAlign w:val="center"/>
            <w:hideMark/>
          </w:tcPr>
          <w:p w14:paraId="5FC143D6"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2018</w:t>
            </w:r>
          </w:p>
        </w:tc>
        <w:tc>
          <w:tcPr>
            <w:tcW w:w="538" w:type="pct"/>
            <w:tcBorders>
              <w:top w:val="nil"/>
              <w:left w:val="nil"/>
              <w:bottom w:val="nil"/>
              <w:right w:val="nil"/>
            </w:tcBorders>
            <w:shd w:val="clear" w:color="000000" w:fill="BFBFBF"/>
            <w:vAlign w:val="center"/>
            <w:hideMark/>
          </w:tcPr>
          <w:p w14:paraId="14544C1A"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2019</w:t>
            </w:r>
          </w:p>
        </w:tc>
        <w:tc>
          <w:tcPr>
            <w:tcW w:w="563" w:type="pct"/>
            <w:tcBorders>
              <w:top w:val="nil"/>
              <w:left w:val="nil"/>
              <w:bottom w:val="nil"/>
              <w:right w:val="nil"/>
            </w:tcBorders>
            <w:shd w:val="clear" w:color="000000" w:fill="BFBFBF"/>
            <w:vAlign w:val="center"/>
            <w:hideMark/>
          </w:tcPr>
          <w:p w14:paraId="00F82F61"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2019</w:t>
            </w:r>
          </w:p>
        </w:tc>
        <w:tc>
          <w:tcPr>
            <w:tcW w:w="484" w:type="pct"/>
            <w:gridSpan w:val="2"/>
            <w:tcBorders>
              <w:top w:val="nil"/>
              <w:left w:val="nil"/>
              <w:bottom w:val="nil"/>
              <w:right w:val="nil"/>
            </w:tcBorders>
            <w:shd w:val="clear" w:color="000000" w:fill="BFBFBF"/>
            <w:vAlign w:val="center"/>
            <w:hideMark/>
          </w:tcPr>
          <w:p w14:paraId="4C3E5CFA"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 xml:space="preserve"> v tis. eur</w:t>
            </w:r>
          </w:p>
        </w:tc>
        <w:tc>
          <w:tcPr>
            <w:tcW w:w="542" w:type="pct"/>
            <w:tcBorders>
              <w:top w:val="nil"/>
              <w:left w:val="nil"/>
              <w:bottom w:val="nil"/>
              <w:right w:val="nil"/>
            </w:tcBorders>
            <w:shd w:val="clear" w:color="000000" w:fill="BFBFBF"/>
            <w:vAlign w:val="center"/>
            <w:hideMark/>
          </w:tcPr>
          <w:p w14:paraId="0F81BA44"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v %</w:t>
            </w:r>
          </w:p>
        </w:tc>
      </w:tr>
      <w:tr w:rsidR="00EA177A" w:rsidRPr="00DB08A8" w14:paraId="0DB4135D" w14:textId="77777777" w:rsidTr="00C704A7">
        <w:trPr>
          <w:trHeight w:val="345"/>
        </w:trPr>
        <w:tc>
          <w:tcPr>
            <w:tcW w:w="1796" w:type="pct"/>
            <w:tcBorders>
              <w:top w:val="nil"/>
              <w:left w:val="nil"/>
              <w:bottom w:val="single" w:sz="8" w:space="0" w:color="auto"/>
              <w:right w:val="nil"/>
            </w:tcBorders>
            <w:shd w:val="clear" w:color="000000" w:fill="BFBFBF"/>
            <w:vAlign w:val="center"/>
            <w:hideMark/>
          </w:tcPr>
          <w:p w14:paraId="12FC0248" w14:textId="77777777" w:rsidR="00EA177A" w:rsidRPr="00DB08A8" w:rsidRDefault="00EA177A" w:rsidP="00C704A7">
            <w:pPr>
              <w:spacing w:after="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 </w:t>
            </w:r>
          </w:p>
        </w:tc>
        <w:tc>
          <w:tcPr>
            <w:tcW w:w="538" w:type="pct"/>
            <w:tcBorders>
              <w:top w:val="nil"/>
              <w:left w:val="nil"/>
              <w:bottom w:val="single" w:sz="8" w:space="0" w:color="auto"/>
              <w:right w:val="nil"/>
            </w:tcBorders>
            <w:shd w:val="clear" w:color="000000" w:fill="BFBFBF"/>
            <w:vAlign w:val="center"/>
            <w:hideMark/>
          </w:tcPr>
          <w:p w14:paraId="68F035D5"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1</w:t>
            </w:r>
          </w:p>
        </w:tc>
        <w:tc>
          <w:tcPr>
            <w:tcW w:w="539" w:type="pct"/>
            <w:tcBorders>
              <w:top w:val="nil"/>
              <w:left w:val="nil"/>
              <w:bottom w:val="single" w:sz="8" w:space="0" w:color="auto"/>
              <w:right w:val="nil"/>
            </w:tcBorders>
            <w:shd w:val="clear" w:color="000000" w:fill="BFBFBF"/>
            <w:vAlign w:val="center"/>
            <w:hideMark/>
          </w:tcPr>
          <w:p w14:paraId="624E16A0"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2</w:t>
            </w:r>
          </w:p>
        </w:tc>
        <w:tc>
          <w:tcPr>
            <w:tcW w:w="538" w:type="pct"/>
            <w:tcBorders>
              <w:top w:val="nil"/>
              <w:left w:val="nil"/>
              <w:bottom w:val="single" w:sz="8" w:space="0" w:color="auto"/>
              <w:right w:val="nil"/>
            </w:tcBorders>
            <w:shd w:val="clear" w:color="000000" w:fill="BFBFBF"/>
            <w:vAlign w:val="center"/>
            <w:hideMark/>
          </w:tcPr>
          <w:p w14:paraId="68C6E7B1"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3</w:t>
            </w:r>
          </w:p>
        </w:tc>
        <w:tc>
          <w:tcPr>
            <w:tcW w:w="563" w:type="pct"/>
            <w:tcBorders>
              <w:top w:val="nil"/>
              <w:left w:val="nil"/>
              <w:bottom w:val="single" w:sz="8" w:space="0" w:color="auto"/>
              <w:right w:val="nil"/>
            </w:tcBorders>
            <w:shd w:val="clear" w:color="000000" w:fill="BFBFBF"/>
            <w:vAlign w:val="center"/>
            <w:hideMark/>
          </w:tcPr>
          <w:p w14:paraId="31B35CE6"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4</w:t>
            </w:r>
          </w:p>
        </w:tc>
        <w:tc>
          <w:tcPr>
            <w:tcW w:w="484" w:type="pct"/>
            <w:gridSpan w:val="2"/>
            <w:tcBorders>
              <w:top w:val="nil"/>
              <w:left w:val="nil"/>
              <w:bottom w:val="single" w:sz="8" w:space="0" w:color="auto"/>
              <w:right w:val="nil"/>
            </w:tcBorders>
            <w:shd w:val="clear" w:color="000000" w:fill="BFBFBF"/>
            <w:vAlign w:val="center"/>
            <w:hideMark/>
          </w:tcPr>
          <w:p w14:paraId="48FFB719"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5=4-3</w:t>
            </w:r>
          </w:p>
        </w:tc>
        <w:tc>
          <w:tcPr>
            <w:tcW w:w="542" w:type="pct"/>
            <w:tcBorders>
              <w:top w:val="nil"/>
              <w:left w:val="nil"/>
              <w:bottom w:val="single" w:sz="8" w:space="0" w:color="auto"/>
              <w:right w:val="nil"/>
            </w:tcBorders>
            <w:shd w:val="clear" w:color="000000" w:fill="BFBFBF"/>
            <w:vAlign w:val="center"/>
            <w:hideMark/>
          </w:tcPr>
          <w:p w14:paraId="1520283B"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6=4-3</w:t>
            </w:r>
          </w:p>
        </w:tc>
      </w:tr>
      <w:tr w:rsidR="00EA177A" w:rsidRPr="00DB08A8" w14:paraId="586DAF3F" w14:textId="77777777" w:rsidTr="003421E9">
        <w:trPr>
          <w:trHeight w:val="510"/>
        </w:trPr>
        <w:tc>
          <w:tcPr>
            <w:tcW w:w="1796" w:type="pct"/>
            <w:tcBorders>
              <w:top w:val="nil"/>
              <w:left w:val="nil"/>
              <w:bottom w:val="nil"/>
              <w:right w:val="nil"/>
            </w:tcBorders>
            <w:shd w:val="clear" w:color="000000" w:fill="FFFFFF"/>
            <w:vAlign w:val="center"/>
            <w:hideMark/>
          </w:tcPr>
          <w:p w14:paraId="5057858A"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 xml:space="preserve">Finančný nástroj pre životné prostredie </w:t>
            </w:r>
            <w:r w:rsidRPr="00DB08A8">
              <w:rPr>
                <w:rFonts w:eastAsia="Times New Roman" w:cs="Times New Roman"/>
                <w:color w:val="000000"/>
                <w:sz w:val="18"/>
                <w:szCs w:val="18"/>
                <w:lang w:eastAsia="sk-SK"/>
              </w:rPr>
              <w:br/>
              <w:t>LIFE + (2. a 3. programové obdobie)</w:t>
            </w:r>
          </w:p>
        </w:tc>
        <w:tc>
          <w:tcPr>
            <w:tcW w:w="538" w:type="pct"/>
            <w:tcBorders>
              <w:top w:val="nil"/>
              <w:left w:val="nil"/>
              <w:bottom w:val="nil"/>
              <w:right w:val="nil"/>
            </w:tcBorders>
            <w:shd w:val="clear" w:color="000000" w:fill="FFFFFF"/>
            <w:noWrap/>
            <w:vAlign w:val="center"/>
            <w:hideMark/>
          </w:tcPr>
          <w:p w14:paraId="48AAE629"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958</w:t>
            </w:r>
          </w:p>
        </w:tc>
        <w:tc>
          <w:tcPr>
            <w:tcW w:w="539" w:type="pct"/>
            <w:tcBorders>
              <w:top w:val="nil"/>
              <w:left w:val="nil"/>
              <w:bottom w:val="nil"/>
              <w:right w:val="nil"/>
            </w:tcBorders>
            <w:shd w:val="clear" w:color="000000" w:fill="FFFFFF"/>
            <w:noWrap/>
            <w:vAlign w:val="center"/>
            <w:hideMark/>
          </w:tcPr>
          <w:p w14:paraId="5F4C835E"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1 548</w:t>
            </w:r>
          </w:p>
        </w:tc>
        <w:tc>
          <w:tcPr>
            <w:tcW w:w="538" w:type="pct"/>
            <w:tcBorders>
              <w:top w:val="nil"/>
              <w:left w:val="nil"/>
              <w:bottom w:val="nil"/>
              <w:right w:val="nil"/>
            </w:tcBorders>
            <w:shd w:val="clear" w:color="000000" w:fill="FFFFFF"/>
            <w:noWrap/>
            <w:vAlign w:val="center"/>
            <w:hideMark/>
          </w:tcPr>
          <w:p w14:paraId="15588A23"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1 500</w:t>
            </w:r>
          </w:p>
        </w:tc>
        <w:tc>
          <w:tcPr>
            <w:tcW w:w="563" w:type="pct"/>
            <w:tcBorders>
              <w:top w:val="nil"/>
              <w:left w:val="nil"/>
              <w:bottom w:val="nil"/>
              <w:right w:val="nil"/>
            </w:tcBorders>
            <w:shd w:val="clear" w:color="auto" w:fill="BFBFBF" w:themeFill="background1" w:themeFillShade="BF"/>
            <w:noWrap/>
            <w:vAlign w:val="center"/>
            <w:hideMark/>
          </w:tcPr>
          <w:p w14:paraId="00B82428"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3 145</w:t>
            </w:r>
          </w:p>
        </w:tc>
        <w:tc>
          <w:tcPr>
            <w:tcW w:w="484" w:type="pct"/>
            <w:gridSpan w:val="2"/>
            <w:tcBorders>
              <w:top w:val="nil"/>
              <w:left w:val="nil"/>
              <w:bottom w:val="nil"/>
              <w:right w:val="nil"/>
            </w:tcBorders>
            <w:shd w:val="clear" w:color="000000" w:fill="FFFFFF"/>
            <w:noWrap/>
            <w:vAlign w:val="center"/>
            <w:hideMark/>
          </w:tcPr>
          <w:p w14:paraId="334FB1ED"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1 645</w:t>
            </w:r>
          </w:p>
        </w:tc>
        <w:tc>
          <w:tcPr>
            <w:tcW w:w="542" w:type="pct"/>
            <w:tcBorders>
              <w:top w:val="nil"/>
              <w:left w:val="nil"/>
              <w:bottom w:val="nil"/>
              <w:right w:val="nil"/>
            </w:tcBorders>
            <w:shd w:val="clear" w:color="000000" w:fill="FFFFFF"/>
            <w:noWrap/>
            <w:vAlign w:val="center"/>
            <w:hideMark/>
          </w:tcPr>
          <w:p w14:paraId="1369AF10"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109,7</w:t>
            </w:r>
          </w:p>
        </w:tc>
      </w:tr>
      <w:tr w:rsidR="00EA177A" w:rsidRPr="00DB08A8" w14:paraId="6B163A62" w14:textId="77777777" w:rsidTr="003421E9">
        <w:trPr>
          <w:trHeight w:val="330"/>
        </w:trPr>
        <w:tc>
          <w:tcPr>
            <w:tcW w:w="1796" w:type="pct"/>
            <w:tcBorders>
              <w:top w:val="nil"/>
              <w:left w:val="nil"/>
              <w:bottom w:val="nil"/>
              <w:right w:val="nil"/>
            </w:tcBorders>
            <w:shd w:val="clear" w:color="000000" w:fill="FFFFFF"/>
            <w:vAlign w:val="center"/>
            <w:hideMark/>
          </w:tcPr>
          <w:p w14:paraId="02E8EF73"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Programy EÚS (2. a 3. programové obdobie)</w:t>
            </w:r>
          </w:p>
        </w:tc>
        <w:tc>
          <w:tcPr>
            <w:tcW w:w="538" w:type="pct"/>
            <w:tcBorders>
              <w:top w:val="nil"/>
              <w:left w:val="nil"/>
              <w:bottom w:val="nil"/>
              <w:right w:val="nil"/>
            </w:tcBorders>
            <w:shd w:val="clear" w:color="000000" w:fill="FFFFFF"/>
            <w:noWrap/>
            <w:vAlign w:val="center"/>
            <w:hideMark/>
          </w:tcPr>
          <w:p w14:paraId="3D36CB9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496</w:t>
            </w:r>
          </w:p>
        </w:tc>
        <w:tc>
          <w:tcPr>
            <w:tcW w:w="539" w:type="pct"/>
            <w:tcBorders>
              <w:top w:val="nil"/>
              <w:left w:val="nil"/>
              <w:bottom w:val="nil"/>
              <w:right w:val="nil"/>
            </w:tcBorders>
            <w:shd w:val="clear" w:color="000000" w:fill="FFFFFF"/>
            <w:noWrap/>
            <w:vAlign w:val="center"/>
            <w:hideMark/>
          </w:tcPr>
          <w:p w14:paraId="7A2E591E"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1 258</w:t>
            </w:r>
          </w:p>
        </w:tc>
        <w:tc>
          <w:tcPr>
            <w:tcW w:w="538" w:type="pct"/>
            <w:tcBorders>
              <w:top w:val="nil"/>
              <w:left w:val="nil"/>
              <w:bottom w:val="nil"/>
              <w:right w:val="nil"/>
            </w:tcBorders>
            <w:shd w:val="clear" w:color="000000" w:fill="FFFFFF"/>
            <w:noWrap/>
            <w:vAlign w:val="center"/>
            <w:hideMark/>
          </w:tcPr>
          <w:p w14:paraId="5F1DDA3E"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1 933</w:t>
            </w:r>
          </w:p>
        </w:tc>
        <w:tc>
          <w:tcPr>
            <w:tcW w:w="563" w:type="pct"/>
            <w:tcBorders>
              <w:top w:val="nil"/>
              <w:left w:val="nil"/>
              <w:bottom w:val="nil"/>
              <w:right w:val="nil"/>
            </w:tcBorders>
            <w:shd w:val="clear" w:color="auto" w:fill="BFBFBF" w:themeFill="background1" w:themeFillShade="BF"/>
            <w:noWrap/>
            <w:vAlign w:val="center"/>
            <w:hideMark/>
          </w:tcPr>
          <w:p w14:paraId="174A7097"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3 176</w:t>
            </w:r>
          </w:p>
        </w:tc>
        <w:tc>
          <w:tcPr>
            <w:tcW w:w="484" w:type="pct"/>
            <w:gridSpan w:val="2"/>
            <w:tcBorders>
              <w:top w:val="nil"/>
              <w:left w:val="nil"/>
              <w:bottom w:val="nil"/>
              <w:right w:val="nil"/>
            </w:tcBorders>
            <w:shd w:val="clear" w:color="000000" w:fill="FFFFFF"/>
            <w:noWrap/>
            <w:vAlign w:val="center"/>
            <w:hideMark/>
          </w:tcPr>
          <w:p w14:paraId="1DCE1232"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1 243</w:t>
            </w:r>
          </w:p>
        </w:tc>
        <w:tc>
          <w:tcPr>
            <w:tcW w:w="542" w:type="pct"/>
            <w:tcBorders>
              <w:top w:val="nil"/>
              <w:left w:val="nil"/>
              <w:bottom w:val="nil"/>
              <w:right w:val="nil"/>
            </w:tcBorders>
            <w:shd w:val="clear" w:color="000000" w:fill="FFFFFF"/>
            <w:noWrap/>
            <w:vAlign w:val="center"/>
            <w:hideMark/>
          </w:tcPr>
          <w:p w14:paraId="059CCAA1"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64,3</w:t>
            </w:r>
          </w:p>
        </w:tc>
      </w:tr>
      <w:tr w:rsidR="00EA177A" w:rsidRPr="00DB08A8" w14:paraId="48E7D2FE" w14:textId="77777777" w:rsidTr="003421E9">
        <w:trPr>
          <w:trHeight w:val="510"/>
        </w:trPr>
        <w:tc>
          <w:tcPr>
            <w:tcW w:w="1796" w:type="pct"/>
            <w:tcBorders>
              <w:top w:val="nil"/>
              <w:left w:val="nil"/>
              <w:bottom w:val="nil"/>
              <w:right w:val="nil"/>
            </w:tcBorders>
            <w:shd w:val="clear" w:color="000000" w:fill="FFFFFF"/>
            <w:vAlign w:val="center"/>
            <w:hideMark/>
          </w:tcPr>
          <w:p w14:paraId="4ECAAEC6" w14:textId="77777777" w:rsidR="00EA177A" w:rsidRPr="00DB08A8" w:rsidRDefault="00EA177A" w:rsidP="00C704A7">
            <w:pPr>
              <w:spacing w:after="0" w:line="240" w:lineRule="auto"/>
              <w:jc w:val="lef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Spolu spolufinancovanie k zahraničným grantom z prostriedkov EÚ</w:t>
            </w:r>
          </w:p>
        </w:tc>
        <w:tc>
          <w:tcPr>
            <w:tcW w:w="538" w:type="pct"/>
            <w:tcBorders>
              <w:top w:val="nil"/>
              <w:left w:val="nil"/>
              <w:bottom w:val="nil"/>
              <w:right w:val="nil"/>
            </w:tcBorders>
            <w:shd w:val="clear" w:color="000000" w:fill="FFFFFF"/>
            <w:noWrap/>
            <w:vAlign w:val="center"/>
            <w:hideMark/>
          </w:tcPr>
          <w:p w14:paraId="509FAE6E"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1 454</w:t>
            </w:r>
          </w:p>
        </w:tc>
        <w:tc>
          <w:tcPr>
            <w:tcW w:w="539" w:type="pct"/>
            <w:tcBorders>
              <w:top w:val="nil"/>
              <w:left w:val="nil"/>
              <w:bottom w:val="nil"/>
              <w:right w:val="nil"/>
            </w:tcBorders>
            <w:shd w:val="clear" w:color="000000" w:fill="FFFFFF"/>
            <w:noWrap/>
            <w:vAlign w:val="center"/>
            <w:hideMark/>
          </w:tcPr>
          <w:p w14:paraId="18F39D43"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2 806</w:t>
            </w:r>
          </w:p>
        </w:tc>
        <w:tc>
          <w:tcPr>
            <w:tcW w:w="538" w:type="pct"/>
            <w:tcBorders>
              <w:top w:val="nil"/>
              <w:left w:val="nil"/>
              <w:bottom w:val="nil"/>
              <w:right w:val="nil"/>
            </w:tcBorders>
            <w:shd w:val="clear" w:color="000000" w:fill="FFFFFF"/>
            <w:noWrap/>
            <w:vAlign w:val="center"/>
            <w:hideMark/>
          </w:tcPr>
          <w:p w14:paraId="54E4CB03"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3 433</w:t>
            </w:r>
          </w:p>
        </w:tc>
        <w:tc>
          <w:tcPr>
            <w:tcW w:w="563" w:type="pct"/>
            <w:tcBorders>
              <w:top w:val="nil"/>
              <w:left w:val="nil"/>
              <w:bottom w:val="nil"/>
              <w:right w:val="nil"/>
            </w:tcBorders>
            <w:shd w:val="clear" w:color="auto" w:fill="BFBFBF" w:themeFill="background1" w:themeFillShade="BF"/>
            <w:noWrap/>
            <w:vAlign w:val="center"/>
            <w:hideMark/>
          </w:tcPr>
          <w:p w14:paraId="684D0A5A"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6 321</w:t>
            </w:r>
          </w:p>
        </w:tc>
        <w:tc>
          <w:tcPr>
            <w:tcW w:w="484" w:type="pct"/>
            <w:gridSpan w:val="2"/>
            <w:tcBorders>
              <w:top w:val="nil"/>
              <w:left w:val="nil"/>
              <w:bottom w:val="nil"/>
              <w:right w:val="nil"/>
            </w:tcBorders>
            <w:shd w:val="clear" w:color="000000" w:fill="FFFFFF"/>
            <w:noWrap/>
            <w:vAlign w:val="center"/>
            <w:hideMark/>
          </w:tcPr>
          <w:p w14:paraId="6E931DD9"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2 888</w:t>
            </w:r>
          </w:p>
        </w:tc>
        <w:tc>
          <w:tcPr>
            <w:tcW w:w="542" w:type="pct"/>
            <w:tcBorders>
              <w:top w:val="nil"/>
              <w:left w:val="nil"/>
              <w:bottom w:val="nil"/>
              <w:right w:val="nil"/>
            </w:tcBorders>
            <w:shd w:val="clear" w:color="000000" w:fill="FFFFFF"/>
            <w:noWrap/>
            <w:vAlign w:val="center"/>
            <w:hideMark/>
          </w:tcPr>
          <w:p w14:paraId="1CECF10A"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84,1</w:t>
            </w:r>
          </w:p>
        </w:tc>
      </w:tr>
      <w:tr w:rsidR="00EA177A" w:rsidRPr="00DB08A8" w14:paraId="3627CD68" w14:textId="77777777" w:rsidTr="003421E9">
        <w:trPr>
          <w:trHeight w:val="330"/>
        </w:trPr>
        <w:tc>
          <w:tcPr>
            <w:tcW w:w="1796" w:type="pct"/>
            <w:tcBorders>
              <w:top w:val="nil"/>
              <w:left w:val="nil"/>
              <w:bottom w:val="nil"/>
              <w:right w:val="nil"/>
            </w:tcBorders>
            <w:shd w:val="clear" w:color="000000" w:fill="FFFFFF"/>
            <w:vAlign w:val="center"/>
            <w:hideMark/>
          </w:tcPr>
          <w:p w14:paraId="00962342"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Finančný mechanizmus EHP</w:t>
            </w:r>
          </w:p>
        </w:tc>
        <w:tc>
          <w:tcPr>
            <w:tcW w:w="538" w:type="pct"/>
            <w:tcBorders>
              <w:top w:val="nil"/>
              <w:left w:val="nil"/>
              <w:bottom w:val="nil"/>
              <w:right w:val="nil"/>
            </w:tcBorders>
            <w:shd w:val="clear" w:color="000000" w:fill="FFFFFF"/>
            <w:noWrap/>
            <w:vAlign w:val="center"/>
            <w:hideMark/>
          </w:tcPr>
          <w:p w14:paraId="1AD34B4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519</w:t>
            </w:r>
          </w:p>
        </w:tc>
        <w:tc>
          <w:tcPr>
            <w:tcW w:w="539" w:type="pct"/>
            <w:tcBorders>
              <w:top w:val="nil"/>
              <w:left w:val="nil"/>
              <w:bottom w:val="nil"/>
              <w:right w:val="nil"/>
            </w:tcBorders>
            <w:shd w:val="clear" w:color="000000" w:fill="FFFFFF"/>
            <w:noWrap/>
            <w:vAlign w:val="center"/>
            <w:hideMark/>
          </w:tcPr>
          <w:p w14:paraId="36FCCF3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999</w:t>
            </w:r>
          </w:p>
        </w:tc>
        <w:tc>
          <w:tcPr>
            <w:tcW w:w="538" w:type="pct"/>
            <w:tcBorders>
              <w:top w:val="nil"/>
              <w:left w:val="nil"/>
              <w:bottom w:val="nil"/>
              <w:right w:val="nil"/>
            </w:tcBorders>
            <w:shd w:val="clear" w:color="000000" w:fill="FFFFFF"/>
            <w:noWrap/>
            <w:vAlign w:val="center"/>
            <w:hideMark/>
          </w:tcPr>
          <w:p w14:paraId="1BA7760C"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1 073</w:t>
            </w:r>
          </w:p>
        </w:tc>
        <w:tc>
          <w:tcPr>
            <w:tcW w:w="563" w:type="pct"/>
            <w:tcBorders>
              <w:top w:val="nil"/>
              <w:left w:val="nil"/>
              <w:bottom w:val="nil"/>
              <w:right w:val="nil"/>
            </w:tcBorders>
            <w:shd w:val="clear" w:color="auto" w:fill="BFBFBF" w:themeFill="background1" w:themeFillShade="BF"/>
            <w:noWrap/>
            <w:vAlign w:val="center"/>
            <w:hideMark/>
          </w:tcPr>
          <w:p w14:paraId="0268778A"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1 073</w:t>
            </w:r>
          </w:p>
        </w:tc>
        <w:tc>
          <w:tcPr>
            <w:tcW w:w="484" w:type="pct"/>
            <w:gridSpan w:val="2"/>
            <w:tcBorders>
              <w:top w:val="nil"/>
              <w:left w:val="nil"/>
              <w:bottom w:val="nil"/>
              <w:right w:val="nil"/>
            </w:tcBorders>
            <w:shd w:val="clear" w:color="000000" w:fill="FFFFFF"/>
            <w:noWrap/>
            <w:vAlign w:val="center"/>
            <w:hideMark/>
          </w:tcPr>
          <w:p w14:paraId="7CBEA00D"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0</w:t>
            </w:r>
          </w:p>
        </w:tc>
        <w:tc>
          <w:tcPr>
            <w:tcW w:w="542" w:type="pct"/>
            <w:tcBorders>
              <w:top w:val="nil"/>
              <w:left w:val="nil"/>
              <w:bottom w:val="nil"/>
              <w:right w:val="nil"/>
            </w:tcBorders>
            <w:shd w:val="clear" w:color="000000" w:fill="FFFFFF"/>
            <w:noWrap/>
            <w:vAlign w:val="center"/>
            <w:hideMark/>
          </w:tcPr>
          <w:p w14:paraId="380F1866"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0,0</w:t>
            </w:r>
          </w:p>
        </w:tc>
      </w:tr>
      <w:tr w:rsidR="00EA177A" w:rsidRPr="00DB08A8" w14:paraId="2DA4E69F" w14:textId="77777777" w:rsidTr="003421E9">
        <w:trPr>
          <w:trHeight w:val="330"/>
        </w:trPr>
        <w:tc>
          <w:tcPr>
            <w:tcW w:w="1796" w:type="pct"/>
            <w:tcBorders>
              <w:top w:val="nil"/>
              <w:left w:val="nil"/>
              <w:bottom w:val="nil"/>
              <w:right w:val="nil"/>
            </w:tcBorders>
            <w:shd w:val="clear" w:color="000000" w:fill="FFFFFF"/>
            <w:vAlign w:val="center"/>
            <w:hideMark/>
          </w:tcPr>
          <w:p w14:paraId="2FFFEC25"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Nórsky finančný mechanizmus</w:t>
            </w:r>
          </w:p>
        </w:tc>
        <w:tc>
          <w:tcPr>
            <w:tcW w:w="538" w:type="pct"/>
            <w:tcBorders>
              <w:top w:val="nil"/>
              <w:left w:val="nil"/>
              <w:bottom w:val="nil"/>
              <w:right w:val="nil"/>
            </w:tcBorders>
            <w:shd w:val="clear" w:color="000000" w:fill="FFFFFF"/>
            <w:noWrap/>
            <w:vAlign w:val="center"/>
            <w:hideMark/>
          </w:tcPr>
          <w:p w14:paraId="0813075C"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640</w:t>
            </w:r>
          </w:p>
        </w:tc>
        <w:tc>
          <w:tcPr>
            <w:tcW w:w="539" w:type="pct"/>
            <w:tcBorders>
              <w:top w:val="nil"/>
              <w:left w:val="nil"/>
              <w:bottom w:val="nil"/>
              <w:right w:val="nil"/>
            </w:tcBorders>
            <w:shd w:val="clear" w:color="000000" w:fill="FFFFFF"/>
            <w:noWrap/>
            <w:vAlign w:val="center"/>
            <w:hideMark/>
          </w:tcPr>
          <w:p w14:paraId="5D0E0593"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1 318</w:t>
            </w:r>
          </w:p>
        </w:tc>
        <w:tc>
          <w:tcPr>
            <w:tcW w:w="538" w:type="pct"/>
            <w:tcBorders>
              <w:top w:val="nil"/>
              <w:left w:val="nil"/>
              <w:bottom w:val="nil"/>
              <w:right w:val="nil"/>
            </w:tcBorders>
            <w:shd w:val="clear" w:color="000000" w:fill="FFFFFF"/>
            <w:noWrap/>
            <w:vAlign w:val="center"/>
            <w:hideMark/>
          </w:tcPr>
          <w:p w14:paraId="7DF8B83B"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1 177</w:t>
            </w:r>
          </w:p>
        </w:tc>
        <w:tc>
          <w:tcPr>
            <w:tcW w:w="563" w:type="pct"/>
            <w:tcBorders>
              <w:top w:val="nil"/>
              <w:left w:val="nil"/>
              <w:bottom w:val="nil"/>
              <w:right w:val="nil"/>
            </w:tcBorders>
            <w:shd w:val="clear" w:color="auto" w:fill="BFBFBF" w:themeFill="background1" w:themeFillShade="BF"/>
            <w:noWrap/>
            <w:vAlign w:val="center"/>
            <w:hideMark/>
          </w:tcPr>
          <w:p w14:paraId="49C0BBD9"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1 177</w:t>
            </w:r>
          </w:p>
        </w:tc>
        <w:tc>
          <w:tcPr>
            <w:tcW w:w="484" w:type="pct"/>
            <w:gridSpan w:val="2"/>
            <w:tcBorders>
              <w:top w:val="nil"/>
              <w:left w:val="nil"/>
              <w:bottom w:val="nil"/>
              <w:right w:val="nil"/>
            </w:tcBorders>
            <w:shd w:val="clear" w:color="000000" w:fill="FFFFFF"/>
            <w:noWrap/>
            <w:vAlign w:val="center"/>
            <w:hideMark/>
          </w:tcPr>
          <w:p w14:paraId="01F35CF6"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0</w:t>
            </w:r>
          </w:p>
        </w:tc>
        <w:tc>
          <w:tcPr>
            <w:tcW w:w="542" w:type="pct"/>
            <w:tcBorders>
              <w:top w:val="nil"/>
              <w:left w:val="nil"/>
              <w:bottom w:val="nil"/>
              <w:right w:val="nil"/>
            </w:tcBorders>
            <w:shd w:val="clear" w:color="000000" w:fill="FFFFFF"/>
            <w:noWrap/>
            <w:vAlign w:val="center"/>
            <w:hideMark/>
          </w:tcPr>
          <w:p w14:paraId="7041F6C5"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0,0</w:t>
            </w:r>
          </w:p>
        </w:tc>
      </w:tr>
      <w:tr w:rsidR="00EA177A" w:rsidRPr="00DB08A8" w14:paraId="5D4620EC" w14:textId="77777777" w:rsidTr="003421E9">
        <w:trPr>
          <w:trHeight w:val="765"/>
        </w:trPr>
        <w:tc>
          <w:tcPr>
            <w:tcW w:w="1796" w:type="pct"/>
            <w:tcBorders>
              <w:top w:val="nil"/>
              <w:left w:val="nil"/>
              <w:bottom w:val="nil"/>
              <w:right w:val="nil"/>
            </w:tcBorders>
            <w:shd w:val="clear" w:color="000000" w:fill="FFFFFF"/>
            <w:vAlign w:val="center"/>
            <w:hideMark/>
          </w:tcPr>
          <w:p w14:paraId="2A302054" w14:textId="77777777" w:rsidR="00EA177A" w:rsidRPr="00DB08A8" w:rsidRDefault="00EA177A" w:rsidP="00C704A7">
            <w:pPr>
              <w:spacing w:after="0" w:line="240" w:lineRule="auto"/>
              <w:jc w:val="lef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Spolu spolufinancovanie k prostriedkom poskytnutým na základe medzinárodných zmlúv</w:t>
            </w:r>
          </w:p>
        </w:tc>
        <w:tc>
          <w:tcPr>
            <w:tcW w:w="538" w:type="pct"/>
            <w:tcBorders>
              <w:top w:val="nil"/>
              <w:left w:val="nil"/>
              <w:bottom w:val="nil"/>
              <w:right w:val="nil"/>
            </w:tcBorders>
            <w:shd w:val="clear" w:color="000000" w:fill="FFFFFF"/>
            <w:noWrap/>
            <w:vAlign w:val="center"/>
            <w:hideMark/>
          </w:tcPr>
          <w:p w14:paraId="135503B2"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1 159</w:t>
            </w:r>
          </w:p>
        </w:tc>
        <w:tc>
          <w:tcPr>
            <w:tcW w:w="539" w:type="pct"/>
            <w:tcBorders>
              <w:top w:val="nil"/>
              <w:left w:val="nil"/>
              <w:bottom w:val="nil"/>
              <w:right w:val="nil"/>
            </w:tcBorders>
            <w:shd w:val="clear" w:color="000000" w:fill="FFFFFF"/>
            <w:noWrap/>
            <w:vAlign w:val="center"/>
            <w:hideMark/>
          </w:tcPr>
          <w:p w14:paraId="3F7B7A96"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2 317</w:t>
            </w:r>
          </w:p>
        </w:tc>
        <w:tc>
          <w:tcPr>
            <w:tcW w:w="538" w:type="pct"/>
            <w:tcBorders>
              <w:top w:val="nil"/>
              <w:left w:val="nil"/>
              <w:bottom w:val="nil"/>
              <w:right w:val="nil"/>
            </w:tcBorders>
            <w:shd w:val="clear" w:color="000000" w:fill="FFFFFF"/>
            <w:noWrap/>
            <w:vAlign w:val="center"/>
            <w:hideMark/>
          </w:tcPr>
          <w:p w14:paraId="7F1AABCC"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2 250</w:t>
            </w:r>
          </w:p>
        </w:tc>
        <w:tc>
          <w:tcPr>
            <w:tcW w:w="563" w:type="pct"/>
            <w:tcBorders>
              <w:top w:val="nil"/>
              <w:left w:val="nil"/>
              <w:bottom w:val="nil"/>
              <w:right w:val="nil"/>
            </w:tcBorders>
            <w:shd w:val="clear" w:color="auto" w:fill="BFBFBF" w:themeFill="background1" w:themeFillShade="BF"/>
            <w:noWrap/>
            <w:vAlign w:val="center"/>
            <w:hideMark/>
          </w:tcPr>
          <w:p w14:paraId="3D3DB31C"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2 250</w:t>
            </w:r>
          </w:p>
        </w:tc>
        <w:tc>
          <w:tcPr>
            <w:tcW w:w="484" w:type="pct"/>
            <w:gridSpan w:val="2"/>
            <w:tcBorders>
              <w:top w:val="nil"/>
              <w:left w:val="nil"/>
              <w:bottom w:val="nil"/>
              <w:right w:val="nil"/>
            </w:tcBorders>
            <w:shd w:val="clear" w:color="000000" w:fill="FFFFFF"/>
            <w:noWrap/>
            <w:vAlign w:val="center"/>
            <w:hideMark/>
          </w:tcPr>
          <w:p w14:paraId="030D18B6"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0</w:t>
            </w:r>
          </w:p>
        </w:tc>
        <w:tc>
          <w:tcPr>
            <w:tcW w:w="542" w:type="pct"/>
            <w:tcBorders>
              <w:top w:val="nil"/>
              <w:left w:val="nil"/>
              <w:bottom w:val="nil"/>
              <w:right w:val="nil"/>
            </w:tcBorders>
            <w:shd w:val="clear" w:color="000000" w:fill="FFFFFF"/>
            <w:noWrap/>
            <w:vAlign w:val="center"/>
            <w:hideMark/>
          </w:tcPr>
          <w:p w14:paraId="2879A1EF"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0,0</w:t>
            </w:r>
          </w:p>
        </w:tc>
      </w:tr>
      <w:tr w:rsidR="00EA177A" w:rsidRPr="00DB08A8" w14:paraId="1BDEBBEE" w14:textId="77777777" w:rsidTr="003421E9">
        <w:trPr>
          <w:trHeight w:val="345"/>
        </w:trPr>
        <w:tc>
          <w:tcPr>
            <w:tcW w:w="1796" w:type="pct"/>
            <w:tcBorders>
              <w:top w:val="single" w:sz="4" w:space="0" w:color="auto"/>
              <w:left w:val="nil"/>
              <w:bottom w:val="single" w:sz="8" w:space="0" w:color="auto"/>
              <w:right w:val="nil"/>
            </w:tcBorders>
            <w:shd w:val="clear" w:color="000000" w:fill="FFFFFF"/>
            <w:vAlign w:val="center"/>
            <w:hideMark/>
          </w:tcPr>
          <w:p w14:paraId="6669D912" w14:textId="77777777" w:rsidR="00EA177A" w:rsidRPr="00DB08A8" w:rsidRDefault="00EA177A" w:rsidP="00C704A7">
            <w:pPr>
              <w:spacing w:after="0" w:line="240" w:lineRule="auto"/>
              <w:jc w:val="lef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 xml:space="preserve">Spolu </w:t>
            </w:r>
          </w:p>
        </w:tc>
        <w:tc>
          <w:tcPr>
            <w:tcW w:w="538" w:type="pct"/>
            <w:tcBorders>
              <w:top w:val="single" w:sz="4" w:space="0" w:color="auto"/>
              <w:left w:val="nil"/>
              <w:bottom w:val="single" w:sz="8" w:space="0" w:color="auto"/>
              <w:right w:val="nil"/>
            </w:tcBorders>
            <w:shd w:val="clear" w:color="000000" w:fill="FFFFFF"/>
            <w:noWrap/>
            <w:vAlign w:val="center"/>
            <w:hideMark/>
          </w:tcPr>
          <w:p w14:paraId="05B9717E"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2 613</w:t>
            </w:r>
          </w:p>
        </w:tc>
        <w:tc>
          <w:tcPr>
            <w:tcW w:w="539" w:type="pct"/>
            <w:tcBorders>
              <w:top w:val="single" w:sz="4" w:space="0" w:color="auto"/>
              <w:left w:val="nil"/>
              <w:bottom w:val="single" w:sz="8" w:space="0" w:color="auto"/>
              <w:right w:val="nil"/>
            </w:tcBorders>
            <w:shd w:val="clear" w:color="000000" w:fill="FFFFFF"/>
            <w:noWrap/>
            <w:vAlign w:val="center"/>
            <w:hideMark/>
          </w:tcPr>
          <w:p w14:paraId="36439C1B"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5 123</w:t>
            </w:r>
          </w:p>
        </w:tc>
        <w:tc>
          <w:tcPr>
            <w:tcW w:w="538" w:type="pct"/>
            <w:tcBorders>
              <w:top w:val="single" w:sz="4" w:space="0" w:color="auto"/>
              <w:left w:val="nil"/>
              <w:bottom w:val="single" w:sz="8" w:space="0" w:color="auto"/>
              <w:right w:val="nil"/>
            </w:tcBorders>
            <w:shd w:val="clear" w:color="000000" w:fill="FFFFFF"/>
            <w:noWrap/>
            <w:vAlign w:val="center"/>
            <w:hideMark/>
          </w:tcPr>
          <w:p w14:paraId="5AC88D86"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5 683</w:t>
            </w:r>
          </w:p>
        </w:tc>
        <w:tc>
          <w:tcPr>
            <w:tcW w:w="563" w:type="pct"/>
            <w:tcBorders>
              <w:top w:val="single" w:sz="4" w:space="0" w:color="auto"/>
              <w:left w:val="nil"/>
              <w:bottom w:val="single" w:sz="8" w:space="0" w:color="auto"/>
              <w:right w:val="nil"/>
            </w:tcBorders>
            <w:shd w:val="clear" w:color="auto" w:fill="BFBFBF" w:themeFill="background1" w:themeFillShade="BF"/>
            <w:noWrap/>
            <w:vAlign w:val="center"/>
            <w:hideMark/>
          </w:tcPr>
          <w:p w14:paraId="5AEA4617"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8 571</w:t>
            </w:r>
          </w:p>
        </w:tc>
        <w:tc>
          <w:tcPr>
            <w:tcW w:w="484" w:type="pct"/>
            <w:gridSpan w:val="2"/>
            <w:tcBorders>
              <w:top w:val="single" w:sz="4" w:space="0" w:color="auto"/>
              <w:left w:val="nil"/>
              <w:bottom w:val="single" w:sz="8" w:space="0" w:color="auto"/>
              <w:right w:val="nil"/>
            </w:tcBorders>
            <w:shd w:val="clear" w:color="000000" w:fill="FFFFFF"/>
            <w:noWrap/>
            <w:vAlign w:val="center"/>
            <w:hideMark/>
          </w:tcPr>
          <w:p w14:paraId="688FB639"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2 888</w:t>
            </w:r>
          </w:p>
        </w:tc>
        <w:tc>
          <w:tcPr>
            <w:tcW w:w="542" w:type="pct"/>
            <w:tcBorders>
              <w:top w:val="single" w:sz="4" w:space="0" w:color="auto"/>
              <w:left w:val="nil"/>
              <w:bottom w:val="single" w:sz="8" w:space="0" w:color="auto"/>
              <w:right w:val="nil"/>
            </w:tcBorders>
            <w:shd w:val="clear" w:color="000000" w:fill="FFFFFF"/>
            <w:noWrap/>
            <w:vAlign w:val="center"/>
            <w:hideMark/>
          </w:tcPr>
          <w:p w14:paraId="6C4E88B0"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50,8</w:t>
            </w:r>
          </w:p>
        </w:tc>
      </w:tr>
    </w:tbl>
    <w:p w14:paraId="4ADC53D4" w14:textId="77777777" w:rsidR="00EA177A" w:rsidRPr="00723957" w:rsidRDefault="00EA177A" w:rsidP="00EA177A">
      <w:pPr>
        <w:jc w:val="right"/>
        <w:rPr>
          <w:sz w:val="18"/>
          <w:szCs w:val="18"/>
        </w:rPr>
      </w:pPr>
      <w:r w:rsidRPr="00723957">
        <w:rPr>
          <w:sz w:val="18"/>
          <w:szCs w:val="18"/>
        </w:rPr>
        <w:t>Zdroj: MF SR</w:t>
      </w:r>
    </w:p>
    <w:p w14:paraId="0188D8F7" w14:textId="77777777" w:rsidR="00EA177A" w:rsidRDefault="00EA177A" w:rsidP="00EA177A">
      <w:r w:rsidRPr="00F77097">
        <w:t>Celkový prehľad výdavkov na spolufinancovanie zo štátneho rozpočtu k prostriedkom EÚ, k</w:t>
      </w:r>
      <w:r>
        <w:t> </w:t>
      </w:r>
      <w:r w:rsidRPr="00F77097">
        <w:t>zahraničným grantom z prostriedkov EÚ a k prostriedkom poskytnutým na základe medzinárodných zmlúv vrátane vnútorných politík EÚ je uvedený v nasledovnej tabuľke:</w:t>
      </w:r>
    </w:p>
    <w:tbl>
      <w:tblPr>
        <w:tblW w:w="5141" w:type="pct"/>
        <w:tblCellMar>
          <w:left w:w="70" w:type="dxa"/>
          <w:right w:w="70" w:type="dxa"/>
        </w:tblCellMar>
        <w:tblLook w:val="04A0" w:firstRow="1" w:lastRow="0" w:firstColumn="1" w:lastColumn="0" w:noHBand="0" w:noVBand="1"/>
      </w:tblPr>
      <w:tblGrid>
        <w:gridCol w:w="3112"/>
        <w:gridCol w:w="997"/>
        <w:gridCol w:w="929"/>
        <w:gridCol w:w="925"/>
        <w:gridCol w:w="1116"/>
        <w:gridCol w:w="859"/>
        <w:gridCol w:w="805"/>
      </w:tblGrid>
      <w:tr w:rsidR="00EA177A" w:rsidRPr="00DB08A8" w14:paraId="445A4D0E" w14:textId="77777777" w:rsidTr="00301E73">
        <w:trPr>
          <w:trHeight w:val="475"/>
        </w:trPr>
        <w:tc>
          <w:tcPr>
            <w:tcW w:w="3411" w:type="pct"/>
            <w:gridSpan w:val="4"/>
            <w:tcBorders>
              <w:top w:val="nil"/>
              <w:left w:val="nil"/>
              <w:bottom w:val="nil"/>
              <w:right w:val="nil"/>
            </w:tcBorders>
            <w:shd w:val="clear" w:color="000000" w:fill="000000"/>
            <w:noWrap/>
            <w:vAlign w:val="center"/>
            <w:hideMark/>
          </w:tcPr>
          <w:p w14:paraId="79F83340" w14:textId="77777777" w:rsidR="00EA177A" w:rsidRPr="00DB08A8" w:rsidRDefault="00EA177A" w:rsidP="00C704A7">
            <w:pPr>
              <w:spacing w:after="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 xml:space="preserve">Celkový prehľad spolufinancovania zo ŠR vrátane vnútorných politík EÚ </w:t>
            </w:r>
          </w:p>
        </w:tc>
        <w:tc>
          <w:tcPr>
            <w:tcW w:w="638" w:type="pct"/>
            <w:tcBorders>
              <w:top w:val="nil"/>
              <w:left w:val="nil"/>
              <w:bottom w:val="nil"/>
              <w:right w:val="nil"/>
            </w:tcBorders>
            <w:shd w:val="clear" w:color="000000" w:fill="000000"/>
            <w:noWrap/>
            <w:vAlign w:val="center"/>
            <w:hideMark/>
          </w:tcPr>
          <w:p w14:paraId="41D30EF2"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 </w:t>
            </w:r>
          </w:p>
        </w:tc>
        <w:tc>
          <w:tcPr>
            <w:tcW w:w="491" w:type="pct"/>
            <w:tcBorders>
              <w:top w:val="nil"/>
              <w:left w:val="nil"/>
              <w:bottom w:val="nil"/>
              <w:right w:val="nil"/>
            </w:tcBorders>
            <w:shd w:val="clear" w:color="000000" w:fill="000000"/>
            <w:noWrap/>
            <w:vAlign w:val="center"/>
            <w:hideMark/>
          </w:tcPr>
          <w:p w14:paraId="58F1201F"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 </w:t>
            </w:r>
          </w:p>
        </w:tc>
        <w:tc>
          <w:tcPr>
            <w:tcW w:w="460" w:type="pct"/>
            <w:tcBorders>
              <w:top w:val="nil"/>
              <w:left w:val="nil"/>
              <w:bottom w:val="nil"/>
              <w:right w:val="nil"/>
            </w:tcBorders>
            <w:shd w:val="clear" w:color="000000" w:fill="000000"/>
            <w:noWrap/>
            <w:vAlign w:val="center"/>
            <w:hideMark/>
          </w:tcPr>
          <w:p w14:paraId="356A26AB" w14:textId="77777777" w:rsidR="00EA177A" w:rsidRPr="00DB08A8" w:rsidRDefault="00EA177A" w:rsidP="00C704A7">
            <w:pPr>
              <w:spacing w:after="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v tis. eur</w:t>
            </w:r>
          </w:p>
        </w:tc>
      </w:tr>
      <w:tr w:rsidR="00EA177A" w:rsidRPr="00DB08A8" w14:paraId="4F6FD9A4" w14:textId="77777777" w:rsidTr="00C7327F">
        <w:trPr>
          <w:trHeight w:val="330"/>
        </w:trPr>
        <w:tc>
          <w:tcPr>
            <w:tcW w:w="1780" w:type="pct"/>
            <w:tcBorders>
              <w:top w:val="nil"/>
              <w:left w:val="nil"/>
              <w:bottom w:val="nil"/>
              <w:right w:val="nil"/>
            </w:tcBorders>
            <w:shd w:val="clear" w:color="000000" w:fill="BFBFBF"/>
            <w:vAlign w:val="center"/>
            <w:hideMark/>
          </w:tcPr>
          <w:p w14:paraId="574AF13E" w14:textId="77777777" w:rsidR="00EA177A" w:rsidRPr="00DB08A8" w:rsidRDefault="00EA177A" w:rsidP="00C704A7">
            <w:pPr>
              <w:spacing w:after="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 </w:t>
            </w:r>
          </w:p>
        </w:tc>
        <w:tc>
          <w:tcPr>
            <w:tcW w:w="1102" w:type="pct"/>
            <w:gridSpan w:val="2"/>
            <w:tcBorders>
              <w:top w:val="nil"/>
              <w:left w:val="nil"/>
              <w:bottom w:val="nil"/>
              <w:right w:val="nil"/>
            </w:tcBorders>
            <w:shd w:val="clear" w:color="000000" w:fill="BFBFBF"/>
            <w:vAlign w:val="center"/>
            <w:hideMark/>
          </w:tcPr>
          <w:p w14:paraId="7115CB96"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Skutočnosť</w:t>
            </w:r>
          </w:p>
        </w:tc>
        <w:tc>
          <w:tcPr>
            <w:tcW w:w="528" w:type="pct"/>
            <w:tcBorders>
              <w:top w:val="nil"/>
              <w:left w:val="nil"/>
              <w:bottom w:val="nil"/>
              <w:right w:val="nil"/>
            </w:tcBorders>
            <w:shd w:val="clear" w:color="000000" w:fill="BFBFBF"/>
            <w:vAlign w:val="center"/>
            <w:hideMark/>
          </w:tcPr>
          <w:p w14:paraId="6C302131"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Rozpočet</w:t>
            </w:r>
          </w:p>
        </w:tc>
        <w:tc>
          <w:tcPr>
            <w:tcW w:w="638" w:type="pct"/>
            <w:tcBorders>
              <w:top w:val="nil"/>
              <w:left w:val="nil"/>
              <w:bottom w:val="nil"/>
              <w:right w:val="nil"/>
            </w:tcBorders>
            <w:shd w:val="clear" w:color="000000" w:fill="BFBFBF"/>
            <w:vAlign w:val="center"/>
            <w:hideMark/>
          </w:tcPr>
          <w:p w14:paraId="0D763DA1"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Skutočnosť</w:t>
            </w:r>
          </w:p>
        </w:tc>
        <w:tc>
          <w:tcPr>
            <w:tcW w:w="951" w:type="pct"/>
            <w:gridSpan w:val="2"/>
            <w:tcBorders>
              <w:top w:val="nil"/>
              <w:left w:val="nil"/>
              <w:bottom w:val="nil"/>
              <w:right w:val="nil"/>
            </w:tcBorders>
            <w:shd w:val="clear" w:color="000000" w:fill="BFBFBF"/>
            <w:vAlign w:val="center"/>
            <w:hideMark/>
          </w:tcPr>
          <w:p w14:paraId="0C270177"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Rozdiel</w:t>
            </w:r>
          </w:p>
        </w:tc>
      </w:tr>
      <w:tr w:rsidR="00EA177A" w:rsidRPr="00DB08A8" w14:paraId="41BB6DCE" w14:textId="77777777" w:rsidTr="00C7327F">
        <w:trPr>
          <w:trHeight w:val="330"/>
        </w:trPr>
        <w:tc>
          <w:tcPr>
            <w:tcW w:w="1780" w:type="pct"/>
            <w:tcBorders>
              <w:top w:val="nil"/>
              <w:left w:val="nil"/>
              <w:bottom w:val="nil"/>
              <w:right w:val="nil"/>
            </w:tcBorders>
            <w:shd w:val="clear" w:color="000000" w:fill="BFBFBF"/>
            <w:vAlign w:val="center"/>
            <w:hideMark/>
          </w:tcPr>
          <w:p w14:paraId="10FD5740"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 </w:t>
            </w:r>
          </w:p>
        </w:tc>
        <w:tc>
          <w:tcPr>
            <w:tcW w:w="571" w:type="pct"/>
            <w:tcBorders>
              <w:top w:val="nil"/>
              <w:left w:val="nil"/>
              <w:bottom w:val="nil"/>
              <w:right w:val="nil"/>
            </w:tcBorders>
            <w:shd w:val="clear" w:color="000000" w:fill="BFBFBF"/>
            <w:vAlign w:val="center"/>
            <w:hideMark/>
          </w:tcPr>
          <w:p w14:paraId="6208F097"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2017</w:t>
            </w:r>
          </w:p>
        </w:tc>
        <w:tc>
          <w:tcPr>
            <w:tcW w:w="531" w:type="pct"/>
            <w:tcBorders>
              <w:top w:val="nil"/>
              <w:left w:val="nil"/>
              <w:bottom w:val="nil"/>
              <w:right w:val="nil"/>
            </w:tcBorders>
            <w:shd w:val="clear" w:color="000000" w:fill="BFBFBF"/>
            <w:vAlign w:val="center"/>
            <w:hideMark/>
          </w:tcPr>
          <w:p w14:paraId="0C02AF7E"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2018</w:t>
            </w:r>
          </w:p>
        </w:tc>
        <w:tc>
          <w:tcPr>
            <w:tcW w:w="528" w:type="pct"/>
            <w:tcBorders>
              <w:top w:val="nil"/>
              <w:left w:val="nil"/>
              <w:bottom w:val="nil"/>
              <w:right w:val="nil"/>
            </w:tcBorders>
            <w:shd w:val="clear" w:color="000000" w:fill="BFBFBF"/>
            <w:vAlign w:val="center"/>
            <w:hideMark/>
          </w:tcPr>
          <w:p w14:paraId="5E13380F"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2019</w:t>
            </w:r>
          </w:p>
        </w:tc>
        <w:tc>
          <w:tcPr>
            <w:tcW w:w="638" w:type="pct"/>
            <w:tcBorders>
              <w:top w:val="nil"/>
              <w:left w:val="nil"/>
              <w:bottom w:val="nil"/>
              <w:right w:val="nil"/>
            </w:tcBorders>
            <w:shd w:val="clear" w:color="000000" w:fill="BFBFBF"/>
            <w:vAlign w:val="center"/>
            <w:hideMark/>
          </w:tcPr>
          <w:p w14:paraId="225A75A3"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2019</w:t>
            </w:r>
          </w:p>
        </w:tc>
        <w:tc>
          <w:tcPr>
            <w:tcW w:w="491" w:type="pct"/>
            <w:tcBorders>
              <w:top w:val="nil"/>
              <w:left w:val="nil"/>
              <w:bottom w:val="nil"/>
              <w:right w:val="nil"/>
            </w:tcBorders>
            <w:shd w:val="clear" w:color="000000" w:fill="BFBFBF"/>
            <w:vAlign w:val="center"/>
            <w:hideMark/>
          </w:tcPr>
          <w:p w14:paraId="035FAE0F"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 xml:space="preserve"> v tis. eur</w:t>
            </w:r>
          </w:p>
        </w:tc>
        <w:tc>
          <w:tcPr>
            <w:tcW w:w="460" w:type="pct"/>
            <w:tcBorders>
              <w:top w:val="nil"/>
              <w:left w:val="nil"/>
              <w:bottom w:val="nil"/>
              <w:right w:val="nil"/>
            </w:tcBorders>
            <w:shd w:val="clear" w:color="000000" w:fill="BFBFBF"/>
            <w:vAlign w:val="center"/>
            <w:hideMark/>
          </w:tcPr>
          <w:p w14:paraId="08A51FA3" w14:textId="77777777" w:rsidR="00EA177A" w:rsidRPr="00DB08A8" w:rsidRDefault="00EA177A" w:rsidP="00C704A7">
            <w:pPr>
              <w:spacing w:after="0" w:line="240" w:lineRule="auto"/>
              <w:jc w:val="center"/>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v %</w:t>
            </w:r>
          </w:p>
        </w:tc>
      </w:tr>
      <w:tr w:rsidR="00EA177A" w:rsidRPr="00DB08A8" w14:paraId="5187FD72" w14:textId="77777777" w:rsidTr="00C7327F">
        <w:trPr>
          <w:trHeight w:val="345"/>
        </w:trPr>
        <w:tc>
          <w:tcPr>
            <w:tcW w:w="1780" w:type="pct"/>
            <w:tcBorders>
              <w:top w:val="nil"/>
              <w:left w:val="nil"/>
              <w:bottom w:val="single" w:sz="8" w:space="0" w:color="auto"/>
              <w:right w:val="nil"/>
            </w:tcBorders>
            <w:shd w:val="clear" w:color="000000" w:fill="BFBFBF"/>
            <w:vAlign w:val="center"/>
            <w:hideMark/>
          </w:tcPr>
          <w:p w14:paraId="4E705D83" w14:textId="77777777" w:rsidR="00EA177A" w:rsidRPr="00DB08A8" w:rsidRDefault="00EA177A" w:rsidP="00C704A7">
            <w:pPr>
              <w:spacing w:after="0" w:line="240" w:lineRule="auto"/>
              <w:jc w:val="left"/>
              <w:rPr>
                <w:rFonts w:eastAsia="Times New Roman" w:cs="Times New Roman"/>
                <w:b/>
                <w:bCs/>
                <w:color w:val="FFFFFF"/>
                <w:sz w:val="18"/>
                <w:szCs w:val="18"/>
                <w:lang w:eastAsia="sk-SK"/>
              </w:rPr>
            </w:pPr>
            <w:r w:rsidRPr="00DB08A8">
              <w:rPr>
                <w:rFonts w:eastAsia="Times New Roman" w:cs="Times New Roman"/>
                <w:b/>
                <w:bCs/>
                <w:color w:val="FFFFFF"/>
                <w:sz w:val="18"/>
                <w:szCs w:val="18"/>
                <w:lang w:eastAsia="sk-SK"/>
              </w:rPr>
              <w:t> </w:t>
            </w:r>
          </w:p>
        </w:tc>
        <w:tc>
          <w:tcPr>
            <w:tcW w:w="571" w:type="pct"/>
            <w:tcBorders>
              <w:top w:val="nil"/>
              <w:left w:val="nil"/>
              <w:bottom w:val="single" w:sz="8" w:space="0" w:color="auto"/>
              <w:right w:val="nil"/>
            </w:tcBorders>
            <w:shd w:val="clear" w:color="000000" w:fill="BFBFBF"/>
            <w:vAlign w:val="center"/>
            <w:hideMark/>
          </w:tcPr>
          <w:p w14:paraId="47C05716"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1</w:t>
            </w:r>
          </w:p>
        </w:tc>
        <w:tc>
          <w:tcPr>
            <w:tcW w:w="531" w:type="pct"/>
            <w:tcBorders>
              <w:top w:val="nil"/>
              <w:left w:val="nil"/>
              <w:bottom w:val="single" w:sz="8" w:space="0" w:color="auto"/>
              <w:right w:val="nil"/>
            </w:tcBorders>
            <w:shd w:val="clear" w:color="000000" w:fill="BFBFBF"/>
            <w:vAlign w:val="center"/>
            <w:hideMark/>
          </w:tcPr>
          <w:p w14:paraId="38D9C16E"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2</w:t>
            </w:r>
          </w:p>
        </w:tc>
        <w:tc>
          <w:tcPr>
            <w:tcW w:w="528" w:type="pct"/>
            <w:tcBorders>
              <w:top w:val="nil"/>
              <w:left w:val="nil"/>
              <w:bottom w:val="single" w:sz="8" w:space="0" w:color="auto"/>
              <w:right w:val="nil"/>
            </w:tcBorders>
            <w:shd w:val="clear" w:color="000000" w:fill="BFBFBF"/>
            <w:vAlign w:val="center"/>
            <w:hideMark/>
          </w:tcPr>
          <w:p w14:paraId="14DE7C05"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3</w:t>
            </w:r>
          </w:p>
        </w:tc>
        <w:tc>
          <w:tcPr>
            <w:tcW w:w="638" w:type="pct"/>
            <w:tcBorders>
              <w:top w:val="nil"/>
              <w:left w:val="nil"/>
              <w:bottom w:val="single" w:sz="8" w:space="0" w:color="auto"/>
              <w:right w:val="nil"/>
            </w:tcBorders>
            <w:shd w:val="clear" w:color="000000" w:fill="BFBFBF"/>
            <w:vAlign w:val="center"/>
            <w:hideMark/>
          </w:tcPr>
          <w:p w14:paraId="3648843D"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4</w:t>
            </w:r>
          </w:p>
        </w:tc>
        <w:tc>
          <w:tcPr>
            <w:tcW w:w="491" w:type="pct"/>
            <w:tcBorders>
              <w:top w:val="nil"/>
              <w:left w:val="nil"/>
              <w:bottom w:val="single" w:sz="8" w:space="0" w:color="auto"/>
              <w:right w:val="nil"/>
            </w:tcBorders>
            <w:shd w:val="clear" w:color="000000" w:fill="BFBFBF"/>
            <w:vAlign w:val="center"/>
            <w:hideMark/>
          </w:tcPr>
          <w:p w14:paraId="1705E963"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5=4-3</w:t>
            </w:r>
          </w:p>
        </w:tc>
        <w:tc>
          <w:tcPr>
            <w:tcW w:w="460" w:type="pct"/>
            <w:tcBorders>
              <w:top w:val="nil"/>
              <w:left w:val="nil"/>
              <w:bottom w:val="single" w:sz="8" w:space="0" w:color="auto"/>
              <w:right w:val="nil"/>
            </w:tcBorders>
            <w:shd w:val="clear" w:color="000000" w:fill="BFBFBF"/>
            <w:vAlign w:val="center"/>
            <w:hideMark/>
          </w:tcPr>
          <w:p w14:paraId="58D72A8B" w14:textId="77777777" w:rsidR="00EA177A" w:rsidRPr="00DB08A8" w:rsidRDefault="00EA177A" w:rsidP="00C704A7">
            <w:pPr>
              <w:spacing w:after="0" w:line="240" w:lineRule="auto"/>
              <w:jc w:val="center"/>
              <w:rPr>
                <w:rFonts w:eastAsia="Times New Roman" w:cs="Times New Roman"/>
                <w:b/>
                <w:bCs/>
                <w:sz w:val="18"/>
                <w:szCs w:val="18"/>
                <w:lang w:eastAsia="sk-SK"/>
              </w:rPr>
            </w:pPr>
            <w:r w:rsidRPr="00DB08A8">
              <w:rPr>
                <w:rFonts w:eastAsia="Times New Roman" w:cs="Times New Roman"/>
                <w:b/>
                <w:bCs/>
                <w:sz w:val="18"/>
                <w:szCs w:val="18"/>
                <w:lang w:eastAsia="sk-SK"/>
              </w:rPr>
              <w:t>6=4-3</w:t>
            </w:r>
          </w:p>
        </w:tc>
      </w:tr>
      <w:tr w:rsidR="00EA177A" w:rsidRPr="00DB08A8" w14:paraId="25EF9F6A" w14:textId="77777777" w:rsidTr="003421E9">
        <w:trPr>
          <w:trHeight w:val="739"/>
        </w:trPr>
        <w:tc>
          <w:tcPr>
            <w:tcW w:w="1780" w:type="pct"/>
            <w:tcBorders>
              <w:top w:val="single" w:sz="4" w:space="0" w:color="auto"/>
              <w:left w:val="nil"/>
              <w:bottom w:val="nil"/>
              <w:right w:val="nil"/>
            </w:tcBorders>
            <w:shd w:val="clear" w:color="auto" w:fill="auto"/>
            <w:vAlign w:val="center"/>
            <w:hideMark/>
          </w:tcPr>
          <w:p w14:paraId="6912EE48"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Spolufinancovanie k prostriedkom EÚ (štrukturálne operácie, poľnohospodárske fondy)</w:t>
            </w:r>
          </w:p>
        </w:tc>
        <w:tc>
          <w:tcPr>
            <w:tcW w:w="571" w:type="pct"/>
            <w:tcBorders>
              <w:top w:val="nil"/>
              <w:left w:val="nil"/>
              <w:bottom w:val="nil"/>
              <w:right w:val="nil"/>
            </w:tcBorders>
            <w:shd w:val="clear" w:color="auto" w:fill="auto"/>
            <w:noWrap/>
            <w:vAlign w:val="center"/>
            <w:hideMark/>
          </w:tcPr>
          <w:p w14:paraId="164C2144"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227 034</w:t>
            </w:r>
          </w:p>
        </w:tc>
        <w:tc>
          <w:tcPr>
            <w:tcW w:w="531" w:type="pct"/>
            <w:tcBorders>
              <w:top w:val="nil"/>
              <w:left w:val="nil"/>
              <w:bottom w:val="nil"/>
              <w:right w:val="nil"/>
            </w:tcBorders>
            <w:shd w:val="clear" w:color="auto" w:fill="auto"/>
            <w:noWrap/>
            <w:vAlign w:val="center"/>
            <w:hideMark/>
          </w:tcPr>
          <w:p w14:paraId="01A4F0C5"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311 327</w:t>
            </w:r>
          </w:p>
        </w:tc>
        <w:tc>
          <w:tcPr>
            <w:tcW w:w="528" w:type="pct"/>
            <w:tcBorders>
              <w:top w:val="nil"/>
              <w:left w:val="nil"/>
              <w:bottom w:val="nil"/>
              <w:right w:val="nil"/>
            </w:tcBorders>
            <w:shd w:val="clear" w:color="auto" w:fill="auto"/>
            <w:noWrap/>
            <w:vAlign w:val="center"/>
            <w:hideMark/>
          </w:tcPr>
          <w:p w14:paraId="2FB5587C"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228 466</w:t>
            </w:r>
          </w:p>
        </w:tc>
        <w:tc>
          <w:tcPr>
            <w:tcW w:w="638" w:type="pct"/>
            <w:tcBorders>
              <w:top w:val="nil"/>
              <w:left w:val="nil"/>
              <w:bottom w:val="nil"/>
              <w:right w:val="nil"/>
            </w:tcBorders>
            <w:shd w:val="clear" w:color="auto" w:fill="BFBFBF" w:themeFill="background1" w:themeFillShade="BF"/>
            <w:noWrap/>
            <w:vAlign w:val="center"/>
            <w:hideMark/>
          </w:tcPr>
          <w:p w14:paraId="5B105940"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295 777</w:t>
            </w:r>
          </w:p>
        </w:tc>
        <w:tc>
          <w:tcPr>
            <w:tcW w:w="491" w:type="pct"/>
            <w:tcBorders>
              <w:top w:val="nil"/>
              <w:left w:val="nil"/>
              <w:bottom w:val="nil"/>
              <w:right w:val="nil"/>
            </w:tcBorders>
            <w:shd w:val="clear" w:color="auto" w:fill="auto"/>
            <w:noWrap/>
            <w:vAlign w:val="center"/>
            <w:hideMark/>
          </w:tcPr>
          <w:p w14:paraId="1D3CC72E"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67 311</w:t>
            </w:r>
          </w:p>
        </w:tc>
        <w:tc>
          <w:tcPr>
            <w:tcW w:w="460" w:type="pct"/>
            <w:tcBorders>
              <w:top w:val="single" w:sz="4" w:space="0" w:color="auto"/>
              <w:left w:val="nil"/>
              <w:bottom w:val="nil"/>
              <w:right w:val="nil"/>
            </w:tcBorders>
            <w:shd w:val="clear" w:color="auto" w:fill="auto"/>
            <w:noWrap/>
            <w:vAlign w:val="center"/>
            <w:hideMark/>
          </w:tcPr>
          <w:p w14:paraId="3FB1E01D"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29,5</w:t>
            </w:r>
          </w:p>
        </w:tc>
      </w:tr>
      <w:tr w:rsidR="00EA177A" w:rsidRPr="00DB08A8" w14:paraId="366A904A" w14:textId="77777777" w:rsidTr="003421E9">
        <w:trPr>
          <w:trHeight w:val="739"/>
        </w:trPr>
        <w:tc>
          <w:tcPr>
            <w:tcW w:w="1780" w:type="pct"/>
            <w:tcBorders>
              <w:top w:val="nil"/>
              <w:left w:val="nil"/>
              <w:bottom w:val="nil"/>
              <w:right w:val="nil"/>
            </w:tcBorders>
            <w:shd w:val="clear" w:color="auto" w:fill="auto"/>
            <w:vAlign w:val="center"/>
            <w:hideMark/>
          </w:tcPr>
          <w:p w14:paraId="74C3680B"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Spolufinancovanie k zahraničným grantom z prostriedkov EÚ (EÚS, LIFE +)</w:t>
            </w:r>
          </w:p>
        </w:tc>
        <w:tc>
          <w:tcPr>
            <w:tcW w:w="571" w:type="pct"/>
            <w:tcBorders>
              <w:top w:val="nil"/>
              <w:left w:val="nil"/>
              <w:bottom w:val="nil"/>
              <w:right w:val="nil"/>
            </w:tcBorders>
            <w:shd w:val="clear" w:color="auto" w:fill="auto"/>
            <w:noWrap/>
            <w:vAlign w:val="center"/>
            <w:hideMark/>
          </w:tcPr>
          <w:p w14:paraId="077B533A"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1 454</w:t>
            </w:r>
          </w:p>
        </w:tc>
        <w:tc>
          <w:tcPr>
            <w:tcW w:w="531" w:type="pct"/>
            <w:tcBorders>
              <w:top w:val="nil"/>
              <w:left w:val="nil"/>
              <w:bottom w:val="nil"/>
              <w:right w:val="nil"/>
            </w:tcBorders>
            <w:shd w:val="clear" w:color="auto" w:fill="auto"/>
            <w:noWrap/>
            <w:vAlign w:val="center"/>
            <w:hideMark/>
          </w:tcPr>
          <w:p w14:paraId="21349AD5"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2 806</w:t>
            </w:r>
          </w:p>
        </w:tc>
        <w:tc>
          <w:tcPr>
            <w:tcW w:w="528" w:type="pct"/>
            <w:tcBorders>
              <w:top w:val="nil"/>
              <w:left w:val="nil"/>
              <w:bottom w:val="nil"/>
              <w:right w:val="nil"/>
            </w:tcBorders>
            <w:shd w:val="clear" w:color="auto" w:fill="auto"/>
            <w:noWrap/>
            <w:vAlign w:val="center"/>
            <w:hideMark/>
          </w:tcPr>
          <w:p w14:paraId="7A24B125"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3 433</w:t>
            </w:r>
          </w:p>
        </w:tc>
        <w:tc>
          <w:tcPr>
            <w:tcW w:w="638" w:type="pct"/>
            <w:tcBorders>
              <w:top w:val="nil"/>
              <w:left w:val="nil"/>
              <w:bottom w:val="nil"/>
              <w:right w:val="nil"/>
            </w:tcBorders>
            <w:shd w:val="clear" w:color="auto" w:fill="BFBFBF" w:themeFill="background1" w:themeFillShade="BF"/>
            <w:noWrap/>
            <w:vAlign w:val="center"/>
            <w:hideMark/>
          </w:tcPr>
          <w:p w14:paraId="6CACDB7D"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6 321</w:t>
            </w:r>
          </w:p>
        </w:tc>
        <w:tc>
          <w:tcPr>
            <w:tcW w:w="491" w:type="pct"/>
            <w:tcBorders>
              <w:top w:val="nil"/>
              <w:left w:val="nil"/>
              <w:bottom w:val="nil"/>
              <w:right w:val="nil"/>
            </w:tcBorders>
            <w:shd w:val="clear" w:color="auto" w:fill="auto"/>
            <w:noWrap/>
            <w:vAlign w:val="center"/>
            <w:hideMark/>
          </w:tcPr>
          <w:p w14:paraId="3E6D3EC6"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2 888</w:t>
            </w:r>
          </w:p>
        </w:tc>
        <w:tc>
          <w:tcPr>
            <w:tcW w:w="460" w:type="pct"/>
            <w:tcBorders>
              <w:top w:val="nil"/>
              <w:left w:val="nil"/>
              <w:bottom w:val="nil"/>
              <w:right w:val="nil"/>
            </w:tcBorders>
            <w:shd w:val="clear" w:color="auto" w:fill="auto"/>
            <w:noWrap/>
            <w:vAlign w:val="center"/>
            <w:hideMark/>
          </w:tcPr>
          <w:p w14:paraId="000E0F38"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84,1</w:t>
            </w:r>
          </w:p>
        </w:tc>
      </w:tr>
      <w:tr w:rsidR="00EA177A" w:rsidRPr="00DB08A8" w14:paraId="306D65D9" w14:textId="77777777" w:rsidTr="003421E9">
        <w:trPr>
          <w:trHeight w:val="739"/>
        </w:trPr>
        <w:tc>
          <w:tcPr>
            <w:tcW w:w="1780" w:type="pct"/>
            <w:tcBorders>
              <w:top w:val="nil"/>
              <w:left w:val="nil"/>
              <w:bottom w:val="nil"/>
              <w:right w:val="nil"/>
            </w:tcBorders>
            <w:shd w:val="clear" w:color="auto" w:fill="auto"/>
            <w:vAlign w:val="center"/>
            <w:hideMark/>
          </w:tcPr>
          <w:p w14:paraId="312E4286"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Spolufinancovanie k prostriedkom poskytnutým na základe medzinárodných zmlúv (EHP, NFM)</w:t>
            </w:r>
          </w:p>
        </w:tc>
        <w:tc>
          <w:tcPr>
            <w:tcW w:w="571" w:type="pct"/>
            <w:tcBorders>
              <w:top w:val="nil"/>
              <w:left w:val="nil"/>
              <w:bottom w:val="nil"/>
              <w:right w:val="nil"/>
            </w:tcBorders>
            <w:shd w:val="clear" w:color="auto" w:fill="auto"/>
            <w:noWrap/>
            <w:vAlign w:val="center"/>
            <w:hideMark/>
          </w:tcPr>
          <w:p w14:paraId="56BAD569"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1 159</w:t>
            </w:r>
          </w:p>
        </w:tc>
        <w:tc>
          <w:tcPr>
            <w:tcW w:w="531" w:type="pct"/>
            <w:tcBorders>
              <w:top w:val="nil"/>
              <w:left w:val="nil"/>
              <w:bottom w:val="nil"/>
              <w:right w:val="nil"/>
            </w:tcBorders>
            <w:shd w:val="clear" w:color="auto" w:fill="auto"/>
            <w:noWrap/>
            <w:vAlign w:val="center"/>
            <w:hideMark/>
          </w:tcPr>
          <w:p w14:paraId="589A08F7"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2 317</w:t>
            </w:r>
          </w:p>
        </w:tc>
        <w:tc>
          <w:tcPr>
            <w:tcW w:w="528" w:type="pct"/>
            <w:tcBorders>
              <w:top w:val="nil"/>
              <w:left w:val="nil"/>
              <w:bottom w:val="nil"/>
              <w:right w:val="nil"/>
            </w:tcBorders>
            <w:shd w:val="clear" w:color="auto" w:fill="auto"/>
            <w:noWrap/>
            <w:vAlign w:val="center"/>
            <w:hideMark/>
          </w:tcPr>
          <w:p w14:paraId="2856D42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2 250</w:t>
            </w:r>
          </w:p>
        </w:tc>
        <w:tc>
          <w:tcPr>
            <w:tcW w:w="638" w:type="pct"/>
            <w:tcBorders>
              <w:top w:val="nil"/>
              <w:left w:val="nil"/>
              <w:bottom w:val="nil"/>
              <w:right w:val="nil"/>
            </w:tcBorders>
            <w:shd w:val="clear" w:color="auto" w:fill="BFBFBF" w:themeFill="background1" w:themeFillShade="BF"/>
            <w:noWrap/>
            <w:vAlign w:val="center"/>
            <w:hideMark/>
          </w:tcPr>
          <w:p w14:paraId="2616CA7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2 250</w:t>
            </w:r>
          </w:p>
        </w:tc>
        <w:tc>
          <w:tcPr>
            <w:tcW w:w="491" w:type="pct"/>
            <w:tcBorders>
              <w:top w:val="nil"/>
              <w:left w:val="nil"/>
              <w:bottom w:val="nil"/>
              <w:right w:val="nil"/>
            </w:tcBorders>
            <w:shd w:val="clear" w:color="auto" w:fill="auto"/>
            <w:noWrap/>
            <w:vAlign w:val="center"/>
            <w:hideMark/>
          </w:tcPr>
          <w:p w14:paraId="53631F2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0</w:t>
            </w:r>
          </w:p>
        </w:tc>
        <w:tc>
          <w:tcPr>
            <w:tcW w:w="460" w:type="pct"/>
            <w:tcBorders>
              <w:top w:val="nil"/>
              <w:left w:val="nil"/>
              <w:bottom w:val="nil"/>
              <w:right w:val="nil"/>
            </w:tcBorders>
            <w:shd w:val="clear" w:color="auto" w:fill="auto"/>
            <w:noWrap/>
            <w:vAlign w:val="center"/>
            <w:hideMark/>
          </w:tcPr>
          <w:p w14:paraId="1CB03EFE"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0,0</w:t>
            </w:r>
          </w:p>
        </w:tc>
      </w:tr>
      <w:tr w:rsidR="00EA177A" w:rsidRPr="00DB08A8" w14:paraId="1B1B2E41" w14:textId="77777777" w:rsidTr="003421E9">
        <w:trPr>
          <w:trHeight w:val="330"/>
        </w:trPr>
        <w:tc>
          <w:tcPr>
            <w:tcW w:w="1780" w:type="pct"/>
            <w:tcBorders>
              <w:top w:val="nil"/>
              <w:left w:val="nil"/>
              <w:bottom w:val="nil"/>
              <w:right w:val="nil"/>
            </w:tcBorders>
            <w:shd w:val="clear" w:color="auto" w:fill="auto"/>
            <w:vAlign w:val="center"/>
            <w:hideMark/>
          </w:tcPr>
          <w:p w14:paraId="6FE90BEC" w14:textId="77777777" w:rsidR="00EA177A" w:rsidRPr="00DB08A8" w:rsidRDefault="00EA177A" w:rsidP="00C704A7">
            <w:pPr>
              <w:spacing w:after="0" w:line="240" w:lineRule="auto"/>
              <w:jc w:val="lef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Spolu</w:t>
            </w:r>
          </w:p>
        </w:tc>
        <w:tc>
          <w:tcPr>
            <w:tcW w:w="571" w:type="pct"/>
            <w:tcBorders>
              <w:top w:val="nil"/>
              <w:left w:val="nil"/>
              <w:bottom w:val="nil"/>
              <w:right w:val="nil"/>
            </w:tcBorders>
            <w:shd w:val="clear" w:color="auto" w:fill="auto"/>
            <w:noWrap/>
            <w:vAlign w:val="center"/>
            <w:hideMark/>
          </w:tcPr>
          <w:p w14:paraId="5A7B519F"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229 647</w:t>
            </w:r>
          </w:p>
        </w:tc>
        <w:tc>
          <w:tcPr>
            <w:tcW w:w="531" w:type="pct"/>
            <w:tcBorders>
              <w:top w:val="nil"/>
              <w:left w:val="nil"/>
              <w:bottom w:val="nil"/>
              <w:right w:val="nil"/>
            </w:tcBorders>
            <w:shd w:val="clear" w:color="auto" w:fill="auto"/>
            <w:noWrap/>
            <w:vAlign w:val="center"/>
            <w:hideMark/>
          </w:tcPr>
          <w:p w14:paraId="47F72863"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316 450</w:t>
            </w:r>
          </w:p>
        </w:tc>
        <w:tc>
          <w:tcPr>
            <w:tcW w:w="528" w:type="pct"/>
            <w:tcBorders>
              <w:top w:val="nil"/>
              <w:left w:val="nil"/>
              <w:bottom w:val="nil"/>
              <w:right w:val="nil"/>
            </w:tcBorders>
            <w:shd w:val="clear" w:color="auto" w:fill="auto"/>
            <w:noWrap/>
            <w:vAlign w:val="center"/>
            <w:hideMark/>
          </w:tcPr>
          <w:p w14:paraId="6FD53FD2"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234 149</w:t>
            </w:r>
          </w:p>
        </w:tc>
        <w:tc>
          <w:tcPr>
            <w:tcW w:w="638" w:type="pct"/>
            <w:tcBorders>
              <w:top w:val="nil"/>
              <w:left w:val="nil"/>
              <w:bottom w:val="nil"/>
              <w:right w:val="nil"/>
            </w:tcBorders>
            <w:shd w:val="clear" w:color="auto" w:fill="BFBFBF" w:themeFill="background1" w:themeFillShade="BF"/>
            <w:noWrap/>
            <w:vAlign w:val="center"/>
            <w:hideMark/>
          </w:tcPr>
          <w:p w14:paraId="62FE3DAB"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304 348</w:t>
            </w:r>
          </w:p>
        </w:tc>
        <w:tc>
          <w:tcPr>
            <w:tcW w:w="491" w:type="pct"/>
            <w:tcBorders>
              <w:top w:val="nil"/>
              <w:left w:val="nil"/>
              <w:bottom w:val="nil"/>
              <w:right w:val="nil"/>
            </w:tcBorders>
            <w:shd w:val="clear" w:color="auto" w:fill="auto"/>
            <w:noWrap/>
            <w:vAlign w:val="center"/>
            <w:hideMark/>
          </w:tcPr>
          <w:p w14:paraId="4E90B5FE"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70 199</w:t>
            </w:r>
          </w:p>
        </w:tc>
        <w:tc>
          <w:tcPr>
            <w:tcW w:w="460" w:type="pct"/>
            <w:tcBorders>
              <w:top w:val="nil"/>
              <w:left w:val="nil"/>
              <w:bottom w:val="nil"/>
              <w:right w:val="nil"/>
            </w:tcBorders>
            <w:shd w:val="clear" w:color="auto" w:fill="auto"/>
            <w:noWrap/>
            <w:vAlign w:val="center"/>
            <w:hideMark/>
          </w:tcPr>
          <w:p w14:paraId="20A2A831"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30,0</w:t>
            </w:r>
          </w:p>
        </w:tc>
      </w:tr>
      <w:tr w:rsidR="00EA177A" w:rsidRPr="00DB08A8" w14:paraId="30AF0DB9" w14:textId="77777777" w:rsidTr="003421E9">
        <w:trPr>
          <w:trHeight w:val="330"/>
        </w:trPr>
        <w:tc>
          <w:tcPr>
            <w:tcW w:w="1780" w:type="pct"/>
            <w:tcBorders>
              <w:top w:val="nil"/>
              <w:left w:val="nil"/>
              <w:bottom w:val="nil"/>
              <w:right w:val="nil"/>
            </w:tcBorders>
            <w:shd w:val="clear" w:color="auto" w:fill="auto"/>
            <w:vAlign w:val="center"/>
            <w:hideMark/>
          </w:tcPr>
          <w:p w14:paraId="7CCA2DE7" w14:textId="77777777" w:rsidR="00EA177A" w:rsidRPr="00DB08A8" w:rsidRDefault="00EA177A" w:rsidP="00C704A7">
            <w:pPr>
              <w:spacing w:after="0" w:line="240" w:lineRule="auto"/>
              <w:jc w:val="left"/>
              <w:rPr>
                <w:rFonts w:eastAsia="Times New Roman" w:cs="Times New Roman"/>
                <w:color w:val="000000"/>
                <w:sz w:val="18"/>
                <w:szCs w:val="18"/>
                <w:lang w:eastAsia="sk-SK"/>
              </w:rPr>
            </w:pPr>
            <w:r w:rsidRPr="00DB08A8">
              <w:rPr>
                <w:rFonts w:eastAsia="Times New Roman" w:cs="Times New Roman"/>
                <w:color w:val="000000"/>
                <w:sz w:val="18"/>
                <w:szCs w:val="18"/>
                <w:lang w:eastAsia="sk-SK"/>
              </w:rPr>
              <w:t>Vnútorné politiky EÚ</w:t>
            </w:r>
          </w:p>
        </w:tc>
        <w:tc>
          <w:tcPr>
            <w:tcW w:w="571" w:type="pct"/>
            <w:tcBorders>
              <w:top w:val="nil"/>
              <w:left w:val="nil"/>
              <w:bottom w:val="nil"/>
              <w:right w:val="nil"/>
            </w:tcBorders>
            <w:shd w:val="clear" w:color="auto" w:fill="auto"/>
            <w:noWrap/>
            <w:vAlign w:val="center"/>
            <w:hideMark/>
          </w:tcPr>
          <w:p w14:paraId="73500341" w14:textId="77777777" w:rsidR="00EA177A" w:rsidRPr="00DB08A8" w:rsidRDefault="00EA177A" w:rsidP="00C704A7">
            <w:pPr>
              <w:spacing w:after="0" w:line="240" w:lineRule="auto"/>
              <w:jc w:val="right"/>
              <w:rPr>
                <w:rFonts w:eastAsia="Times New Roman" w:cs="Times New Roman"/>
                <w:sz w:val="18"/>
                <w:szCs w:val="18"/>
                <w:lang w:eastAsia="sk-SK"/>
              </w:rPr>
            </w:pPr>
            <w:r w:rsidRPr="00DB08A8">
              <w:rPr>
                <w:rFonts w:eastAsia="Times New Roman" w:cs="Times New Roman"/>
                <w:sz w:val="18"/>
                <w:szCs w:val="18"/>
                <w:lang w:eastAsia="sk-SK"/>
              </w:rPr>
              <w:t>1 496</w:t>
            </w:r>
          </w:p>
        </w:tc>
        <w:tc>
          <w:tcPr>
            <w:tcW w:w="531" w:type="pct"/>
            <w:tcBorders>
              <w:top w:val="nil"/>
              <w:left w:val="nil"/>
              <w:bottom w:val="nil"/>
              <w:right w:val="nil"/>
            </w:tcBorders>
            <w:shd w:val="clear" w:color="auto" w:fill="auto"/>
            <w:noWrap/>
            <w:vAlign w:val="center"/>
            <w:hideMark/>
          </w:tcPr>
          <w:p w14:paraId="5F99DD0E" w14:textId="77777777" w:rsidR="00EA177A" w:rsidRPr="00DB08A8" w:rsidRDefault="00EA177A" w:rsidP="00C704A7">
            <w:pPr>
              <w:spacing w:after="0" w:line="240" w:lineRule="auto"/>
              <w:jc w:val="right"/>
              <w:rPr>
                <w:rFonts w:eastAsia="Times New Roman" w:cs="Times New Roman"/>
                <w:sz w:val="18"/>
                <w:szCs w:val="18"/>
                <w:lang w:eastAsia="sk-SK"/>
              </w:rPr>
            </w:pPr>
            <w:r w:rsidRPr="00DB08A8">
              <w:rPr>
                <w:rFonts w:eastAsia="Times New Roman" w:cs="Times New Roman"/>
                <w:sz w:val="18"/>
                <w:szCs w:val="18"/>
                <w:lang w:eastAsia="sk-SK"/>
              </w:rPr>
              <w:t>9 624</w:t>
            </w:r>
          </w:p>
        </w:tc>
        <w:tc>
          <w:tcPr>
            <w:tcW w:w="528" w:type="pct"/>
            <w:tcBorders>
              <w:top w:val="nil"/>
              <w:left w:val="nil"/>
              <w:bottom w:val="nil"/>
              <w:right w:val="nil"/>
            </w:tcBorders>
            <w:shd w:val="clear" w:color="auto" w:fill="auto"/>
            <w:noWrap/>
            <w:vAlign w:val="center"/>
            <w:hideMark/>
          </w:tcPr>
          <w:p w14:paraId="2CC25973" w14:textId="77777777" w:rsidR="00EA177A" w:rsidRPr="00DB08A8" w:rsidRDefault="00EA177A" w:rsidP="00C704A7">
            <w:pPr>
              <w:spacing w:after="0" w:line="240" w:lineRule="auto"/>
              <w:jc w:val="right"/>
              <w:rPr>
                <w:rFonts w:eastAsia="Times New Roman" w:cs="Times New Roman"/>
                <w:sz w:val="18"/>
                <w:szCs w:val="18"/>
                <w:lang w:eastAsia="sk-SK"/>
              </w:rPr>
            </w:pPr>
            <w:r w:rsidRPr="00DB08A8">
              <w:rPr>
                <w:rFonts w:eastAsia="Times New Roman" w:cs="Times New Roman"/>
                <w:sz w:val="18"/>
                <w:szCs w:val="18"/>
                <w:lang w:eastAsia="sk-SK"/>
              </w:rPr>
              <w:t>948</w:t>
            </w:r>
          </w:p>
        </w:tc>
        <w:tc>
          <w:tcPr>
            <w:tcW w:w="638" w:type="pct"/>
            <w:tcBorders>
              <w:top w:val="nil"/>
              <w:left w:val="nil"/>
              <w:bottom w:val="nil"/>
              <w:right w:val="nil"/>
            </w:tcBorders>
            <w:shd w:val="clear" w:color="auto" w:fill="BFBFBF" w:themeFill="background1" w:themeFillShade="BF"/>
            <w:noWrap/>
            <w:vAlign w:val="center"/>
            <w:hideMark/>
          </w:tcPr>
          <w:p w14:paraId="36EE51D1" w14:textId="77777777" w:rsidR="00EA177A" w:rsidRPr="00DB08A8" w:rsidRDefault="00EA177A" w:rsidP="00C704A7">
            <w:pPr>
              <w:spacing w:after="0" w:line="240" w:lineRule="auto"/>
              <w:jc w:val="right"/>
              <w:rPr>
                <w:rFonts w:eastAsia="Times New Roman" w:cs="Times New Roman"/>
                <w:sz w:val="18"/>
                <w:szCs w:val="18"/>
                <w:lang w:eastAsia="sk-SK"/>
              </w:rPr>
            </w:pPr>
            <w:r w:rsidRPr="00DB08A8">
              <w:rPr>
                <w:rFonts w:eastAsia="Times New Roman" w:cs="Times New Roman"/>
                <w:sz w:val="18"/>
                <w:szCs w:val="18"/>
                <w:lang w:eastAsia="sk-SK"/>
              </w:rPr>
              <w:t>1 841</w:t>
            </w:r>
          </w:p>
        </w:tc>
        <w:tc>
          <w:tcPr>
            <w:tcW w:w="491" w:type="pct"/>
            <w:tcBorders>
              <w:top w:val="nil"/>
              <w:left w:val="nil"/>
              <w:bottom w:val="nil"/>
              <w:right w:val="nil"/>
            </w:tcBorders>
            <w:shd w:val="clear" w:color="auto" w:fill="auto"/>
            <w:noWrap/>
            <w:vAlign w:val="center"/>
            <w:hideMark/>
          </w:tcPr>
          <w:p w14:paraId="6FC58BE0"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893</w:t>
            </w:r>
          </w:p>
        </w:tc>
        <w:tc>
          <w:tcPr>
            <w:tcW w:w="460" w:type="pct"/>
            <w:tcBorders>
              <w:top w:val="nil"/>
              <w:left w:val="nil"/>
              <w:bottom w:val="nil"/>
              <w:right w:val="nil"/>
            </w:tcBorders>
            <w:shd w:val="clear" w:color="auto" w:fill="auto"/>
            <w:noWrap/>
            <w:vAlign w:val="center"/>
            <w:hideMark/>
          </w:tcPr>
          <w:p w14:paraId="0893FF1F" w14:textId="77777777" w:rsidR="00EA177A" w:rsidRPr="00DB08A8" w:rsidRDefault="00EA177A" w:rsidP="00C704A7">
            <w:pPr>
              <w:spacing w:after="0" w:line="240" w:lineRule="auto"/>
              <w:jc w:val="right"/>
              <w:rPr>
                <w:rFonts w:eastAsia="Times New Roman" w:cs="Times New Roman"/>
                <w:color w:val="000000"/>
                <w:sz w:val="18"/>
                <w:szCs w:val="18"/>
                <w:lang w:eastAsia="sk-SK"/>
              </w:rPr>
            </w:pPr>
            <w:r w:rsidRPr="00DB08A8">
              <w:rPr>
                <w:rFonts w:eastAsia="Times New Roman" w:cs="Times New Roman"/>
                <w:color w:val="000000"/>
                <w:sz w:val="18"/>
                <w:szCs w:val="18"/>
                <w:lang w:eastAsia="sk-SK"/>
              </w:rPr>
              <w:t>94,2</w:t>
            </w:r>
          </w:p>
        </w:tc>
      </w:tr>
      <w:tr w:rsidR="00EA177A" w:rsidRPr="00DB08A8" w14:paraId="72974DF7" w14:textId="77777777" w:rsidTr="003421E9">
        <w:trPr>
          <w:trHeight w:val="345"/>
        </w:trPr>
        <w:tc>
          <w:tcPr>
            <w:tcW w:w="1780" w:type="pct"/>
            <w:tcBorders>
              <w:top w:val="single" w:sz="4" w:space="0" w:color="auto"/>
              <w:left w:val="nil"/>
              <w:bottom w:val="single" w:sz="8" w:space="0" w:color="auto"/>
              <w:right w:val="nil"/>
            </w:tcBorders>
            <w:shd w:val="clear" w:color="000000" w:fill="FFFFFF"/>
            <w:vAlign w:val="center"/>
            <w:hideMark/>
          </w:tcPr>
          <w:p w14:paraId="46AE344B" w14:textId="77777777" w:rsidR="00EA177A" w:rsidRPr="00DB08A8" w:rsidRDefault="00EA177A" w:rsidP="00C704A7">
            <w:pPr>
              <w:spacing w:after="0" w:line="240" w:lineRule="auto"/>
              <w:jc w:val="lef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Spolu (vrátane vnútorných politík EÚ)</w:t>
            </w:r>
          </w:p>
        </w:tc>
        <w:tc>
          <w:tcPr>
            <w:tcW w:w="571" w:type="pct"/>
            <w:tcBorders>
              <w:top w:val="single" w:sz="4" w:space="0" w:color="auto"/>
              <w:left w:val="nil"/>
              <w:bottom w:val="single" w:sz="8" w:space="0" w:color="auto"/>
              <w:right w:val="nil"/>
            </w:tcBorders>
            <w:shd w:val="clear" w:color="000000" w:fill="FFFFFF"/>
            <w:noWrap/>
            <w:vAlign w:val="center"/>
            <w:hideMark/>
          </w:tcPr>
          <w:p w14:paraId="24190308"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231 143</w:t>
            </w:r>
          </w:p>
        </w:tc>
        <w:tc>
          <w:tcPr>
            <w:tcW w:w="531" w:type="pct"/>
            <w:tcBorders>
              <w:top w:val="single" w:sz="4" w:space="0" w:color="auto"/>
              <w:left w:val="nil"/>
              <w:bottom w:val="single" w:sz="8" w:space="0" w:color="auto"/>
              <w:right w:val="nil"/>
            </w:tcBorders>
            <w:shd w:val="clear" w:color="000000" w:fill="FFFFFF"/>
            <w:noWrap/>
            <w:vAlign w:val="center"/>
            <w:hideMark/>
          </w:tcPr>
          <w:p w14:paraId="6E95FEF4"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326 074</w:t>
            </w:r>
          </w:p>
        </w:tc>
        <w:tc>
          <w:tcPr>
            <w:tcW w:w="528" w:type="pct"/>
            <w:tcBorders>
              <w:top w:val="single" w:sz="4" w:space="0" w:color="auto"/>
              <w:left w:val="nil"/>
              <w:bottom w:val="single" w:sz="8" w:space="0" w:color="auto"/>
              <w:right w:val="nil"/>
            </w:tcBorders>
            <w:shd w:val="clear" w:color="000000" w:fill="FFFFFF"/>
            <w:noWrap/>
            <w:vAlign w:val="center"/>
            <w:hideMark/>
          </w:tcPr>
          <w:p w14:paraId="0B62C790"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235 097</w:t>
            </w:r>
          </w:p>
        </w:tc>
        <w:tc>
          <w:tcPr>
            <w:tcW w:w="638" w:type="pct"/>
            <w:tcBorders>
              <w:top w:val="single" w:sz="4" w:space="0" w:color="auto"/>
              <w:left w:val="nil"/>
              <w:bottom w:val="single" w:sz="8" w:space="0" w:color="auto"/>
              <w:right w:val="nil"/>
            </w:tcBorders>
            <w:shd w:val="clear" w:color="auto" w:fill="BFBFBF" w:themeFill="background1" w:themeFillShade="BF"/>
            <w:noWrap/>
            <w:vAlign w:val="center"/>
            <w:hideMark/>
          </w:tcPr>
          <w:p w14:paraId="678E8899"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306 189</w:t>
            </w:r>
          </w:p>
        </w:tc>
        <w:tc>
          <w:tcPr>
            <w:tcW w:w="491" w:type="pct"/>
            <w:tcBorders>
              <w:top w:val="single" w:sz="4" w:space="0" w:color="auto"/>
              <w:left w:val="nil"/>
              <w:bottom w:val="single" w:sz="8" w:space="0" w:color="auto"/>
              <w:right w:val="nil"/>
            </w:tcBorders>
            <w:shd w:val="clear" w:color="000000" w:fill="FFFFFF"/>
            <w:noWrap/>
            <w:vAlign w:val="center"/>
            <w:hideMark/>
          </w:tcPr>
          <w:p w14:paraId="621B32A4"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71 092</w:t>
            </w:r>
          </w:p>
        </w:tc>
        <w:tc>
          <w:tcPr>
            <w:tcW w:w="460" w:type="pct"/>
            <w:tcBorders>
              <w:top w:val="single" w:sz="4" w:space="0" w:color="auto"/>
              <w:left w:val="nil"/>
              <w:bottom w:val="single" w:sz="8" w:space="0" w:color="auto"/>
              <w:right w:val="nil"/>
            </w:tcBorders>
            <w:shd w:val="clear" w:color="000000" w:fill="FFFFFF"/>
            <w:noWrap/>
            <w:vAlign w:val="center"/>
            <w:hideMark/>
          </w:tcPr>
          <w:p w14:paraId="4872AE58" w14:textId="77777777" w:rsidR="00EA177A" w:rsidRPr="00DB08A8" w:rsidRDefault="00EA177A" w:rsidP="00C704A7">
            <w:pPr>
              <w:spacing w:after="0" w:line="240" w:lineRule="auto"/>
              <w:jc w:val="right"/>
              <w:rPr>
                <w:rFonts w:eastAsia="Times New Roman" w:cs="Times New Roman"/>
                <w:b/>
                <w:bCs/>
                <w:color w:val="000000"/>
                <w:sz w:val="18"/>
                <w:szCs w:val="18"/>
                <w:lang w:eastAsia="sk-SK"/>
              </w:rPr>
            </w:pPr>
            <w:r w:rsidRPr="00DB08A8">
              <w:rPr>
                <w:rFonts w:eastAsia="Times New Roman" w:cs="Times New Roman"/>
                <w:b/>
                <w:bCs/>
                <w:color w:val="000000"/>
                <w:sz w:val="18"/>
                <w:szCs w:val="18"/>
                <w:lang w:eastAsia="sk-SK"/>
              </w:rPr>
              <w:t>30,2</w:t>
            </w:r>
          </w:p>
        </w:tc>
      </w:tr>
    </w:tbl>
    <w:p w14:paraId="3197016E" w14:textId="77777777" w:rsidR="00EA177A" w:rsidRPr="00A0338A" w:rsidRDefault="00EA177A" w:rsidP="00EA177A">
      <w:pPr>
        <w:jc w:val="right"/>
        <w:rPr>
          <w:sz w:val="18"/>
          <w:szCs w:val="18"/>
        </w:rPr>
      </w:pPr>
      <w:r w:rsidRPr="00A0338A">
        <w:rPr>
          <w:sz w:val="18"/>
          <w:szCs w:val="18"/>
        </w:rPr>
        <w:tab/>
      </w:r>
      <w:r w:rsidRPr="00A0338A">
        <w:rPr>
          <w:sz w:val="18"/>
          <w:szCs w:val="18"/>
        </w:rPr>
        <w:tab/>
      </w:r>
      <w:r w:rsidRPr="00A0338A">
        <w:rPr>
          <w:sz w:val="18"/>
          <w:szCs w:val="18"/>
        </w:rPr>
        <w:tab/>
        <w:t xml:space="preserve">    Zdroj: MF SR</w:t>
      </w:r>
    </w:p>
    <w:p w14:paraId="116CB322" w14:textId="77777777" w:rsidR="00AC293D" w:rsidRDefault="00AC293D">
      <w:pPr>
        <w:spacing w:after="160" w:line="259" w:lineRule="auto"/>
        <w:jc w:val="left"/>
        <w:rPr>
          <w:b/>
          <w:i/>
        </w:rPr>
      </w:pPr>
      <w:r>
        <w:rPr>
          <w:b/>
          <w:i/>
        </w:rPr>
        <w:br w:type="page"/>
      </w:r>
    </w:p>
    <w:p w14:paraId="091EA6D1" w14:textId="1F4411D4" w:rsidR="00EA177A" w:rsidRPr="007E0E3A" w:rsidRDefault="00EA177A" w:rsidP="00EA177A">
      <w:pPr>
        <w:rPr>
          <w:b/>
          <w:i/>
        </w:rPr>
      </w:pPr>
      <w:r w:rsidRPr="007E0E3A">
        <w:rPr>
          <w:b/>
          <w:i/>
        </w:rPr>
        <w:t>Plnenie príjmov z prostriedkov EÚ a čerpanie výdavkov z prostriedkov EÚ je uvedené v tabuľke č. 16. Čerpanie výdavkov na spolufinancovanie zo štátneho rozpočtu k prostriedkom EÚ, k zahraničným grantom z prostriedkov EÚ a k prostriedkom poskytnutým na základe medzinárodných zmlúv bez vnútorných politík EÚ je uvedené v tabuľke č. 17.</w:t>
      </w:r>
    </w:p>
    <w:p w14:paraId="15341393" w14:textId="77777777" w:rsidR="00EA177A" w:rsidRPr="00EA177A" w:rsidRDefault="00EA177A" w:rsidP="00EA177A"/>
    <w:p w14:paraId="4040C65E" w14:textId="68059A4E" w:rsidR="008254BE" w:rsidRDefault="008254BE" w:rsidP="00EB4DCD">
      <w:pPr>
        <w:pStyle w:val="Nadpis3"/>
      </w:pPr>
      <w:bookmarkStart w:id="63" w:name="_Toc6415655"/>
      <w:bookmarkStart w:id="64" w:name="_Toc39095186"/>
      <w:r>
        <w:t xml:space="preserve">Prostriedky poskytnuté SR používané prostredníctvom </w:t>
      </w:r>
      <w:r w:rsidR="006F14F4">
        <w:t>samostatných</w:t>
      </w:r>
      <w:r>
        <w:t xml:space="preserve"> účtov</w:t>
      </w:r>
      <w:bookmarkEnd w:id="63"/>
      <w:bookmarkEnd w:id="64"/>
    </w:p>
    <w:p w14:paraId="57EE45C1" w14:textId="77777777" w:rsidR="00EA177A" w:rsidRPr="007D55E1" w:rsidRDefault="00EA177A" w:rsidP="00EA177A">
      <w:pPr>
        <w:rPr>
          <w:b/>
        </w:rPr>
      </w:pPr>
      <w:r w:rsidRPr="007D55E1">
        <w:t xml:space="preserve">Časť finančných prostriedkov z rozpočtu EÚ a prostriedkov poskytnutých Slovenskej republike na základe medzinárodných zmlúv, ktorými je Slovenská republika viazaná, používajú štátne rozpočtové organizácie </w:t>
      </w:r>
      <w:r w:rsidRPr="007D55E1">
        <w:rPr>
          <w:b/>
        </w:rPr>
        <w:t>pro</w:t>
      </w:r>
      <w:r>
        <w:rPr>
          <w:b/>
        </w:rPr>
        <w:t>stredníctvom samostatných účtov.</w:t>
      </w:r>
    </w:p>
    <w:p w14:paraId="6AF6DEE4" w14:textId="77777777" w:rsidR="00EA177A" w:rsidRPr="00DD0DE8" w:rsidRDefault="00EA177A" w:rsidP="00EA177A">
      <w:pPr>
        <w:shd w:val="clear" w:color="auto" w:fill="FFFFFF"/>
        <w:rPr>
          <w:highlight w:val="yellow"/>
        </w:rPr>
      </w:pPr>
      <w:r w:rsidRPr="004972AE">
        <w:t xml:space="preserve">V rámci programov </w:t>
      </w:r>
      <w:r w:rsidRPr="004972AE">
        <w:rPr>
          <w:b/>
          <w:i/>
        </w:rPr>
        <w:t>Európskej územnej spolupráce</w:t>
      </w:r>
      <w:r w:rsidRPr="004972AE">
        <w:t xml:space="preserve"> prijala Slovenská republika prostredníctvom certifikačného orgánu MF SR príspevky EÚ vo výške </w:t>
      </w:r>
      <w:r>
        <w:t>5 </w:t>
      </w:r>
      <w:r w:rsidRPr="004972AE">
        <w:t>418</w:t>
      </w:r>
      <w:r>
        <w:t xml:space="preserve"> tis. eur a </w:t>
      </w:r>
      <w:proofErr w:type="spellStart"/>
      <w:r w:rsidRPr="004972AE">
        <w:t>prispievajúcich</w:t>
      </w:r>
      <w:proofErr w:type="spellEnd"/>
      <w:r w:rsidRPr="004972AE">
        <w:t xml:space="preserve"> členských štátov EÚ vo výške 438</w:t>
      </w:r>
      <w:r>
        <w:t> </w:t>
      </w:r>
      <w:r w:rsidRPr="004972AE">
        <w:t>tis.</w:t>
      </w:r>
      <w:r>
        <w:t> </w:t>
      </w:r>
      <w:r w:rsidRPr="004972AE">
        <w:t>eur na financovanie OP INTERACT III 2014-2020. Na financovanie programov bolo použitých 5</w:t>
      </w:r>
      <w:r>
        <w:t> </w:t>
      </w:r>
      <w:r w:rsidRPr="004972AE">
        <w:t>245</w:t>
      </w:r>
      <w:r>
        <w:t> </w:t>
      </w:r>
      <w:r w:rsidRPr="004972AE">
        <w:t>tis. eur za prostriedky EÚ a 926 tis. eur za spolufinancovanie z príspevkov členských štátov EÚ.</w:t>
      </w:r>
    </w:p>
    <w:p w14:paraId="1BD1D29B" w14:textId="77777777" w:rsidR="00EA177A" w:rsidRPr="00242B0E" w:rsidRDefault="00EA177A" w:rsidP="00EA177A">
      <w:r w:rsidRPr="00242B0E">
        <w:t xml:space="preserve">Z Úradu pre finančné mechanizmy v Bruseli boli Slovenskej republike v rámci programového obdobia 2014 – 2021 poukázané prostriedky z </w:t>
      </w:r>
      <w:r w:rsidRPr="00242B0E">
        <w:rPr>
          <w:b/>
          <w:i/>
        </w:rPr>
        <w:t>Finančného mechanizmu EHP a Nórskeho finančného mechanizmu</w:t>
      </w:r>
      <w:r w:rsidRPr="00242B0E">
        <w:rPr>
          <w:b/>
        </w:rPr>
        <w:t xml:space="preserve"> </w:t>
      </w:r>
      <w:r w:rsidRPr="00242B0E">
        <w:t>vo výške 10</w:t>
      </w:r>
      <w:r>
        <w:t> </w:t>
      </w:r>
      <w:r w:rsidRPr="00242B0E">
        <w:t xml:space="preserve">860 tis. eur. Subjektom zapojeným do implementácie boli prevedené prostriedky vo výške </w:t>
      </w:r>
      <w:r>
        <w:t>10 </w:t>
      </w:r>
      <w:r w:rsidRPr="00242B0E">
        <w:t xml:space="preserve">860 tis. eur. </w:t>
      </w:r>
    </w:p>
    <w:p w14:paraId="77F248D5" w14:textId="5B894EDC" w:rsidR="00EA177A" w:rsidRDefault="00EA177A" w:rsidP="00EA177A">
      <w:r w:rsidRPr="00242B0E">
        <w:t xml:space="preserve">Slovenskej republike boli v roku 2019 v rámci </w:t>
      </w:r>
      <w:r w:rsidRPr="00242B0E">
        <w:rPr>
          <w:b/>
          <w:i/>
        </w:rPr>
        <w:t>finančnej obálky</w:t>
      </w:r>
      <w:r w:rsidRPr="00242B0E">
        <w:t xml:space="preserve"> poskytnuté prostriedky na</w:t>
      </w:r>
      <w:r>
        <w:t> </w:t>
      </w:r>
      <w:r w:rsidRPr="00242B0E">
        <w:t>úhradu cestovných výdavkov súvisiacich s účasťou zástupcov Slovenskej republiky na</w:t>
      </w:r>
      <w:r>
        <w:t> </w:t>
      </w:r>
      <w:r w:rsidRPr="00242B0E">
        <w:t>zasadaniach výborov a pracovných skupín Rady EÚ vo výške 1</w:t>
      </w:r>
      <w:r>
        <w:t> </w:t>
      </w:r>
      <w:r w:rsidRPr="00242B0E">
        <w:t xml:space="preserve">017 tis. eur, finančné prostriedky na finančnú obálku, vrátane zdrojov z predchádzajúcich rokov, boli zo samostatného účtu Ministerstva financií SR použité vo výške </w:t>
      </w:r>
      <w:r>
        <w:t>623 </w:t>
      </w:r>
      <w:r w:rsidRPr="00242B0E">
        <w:t>tis. eur na úhradu oprávnených výdavkov zamestnancov ústredných orgánov štátnej správy a iných oprávnených inštitúcií.</w:t>
      </w:r>
    </w:p>
    <w:p w14:paraId="38161382" w14:textId="77777777" w:rsidR="008A6314" w:rsidRPr="00EA177A" w:rsidRDefault="008A6314" w:rsidP="00EA177A"/>
    <w:p w14:paraId="6F5D546B" w14:textId="77777777" w:rsidR="001F588C" w:rsidRDefault="001F588C">
      <w:pPr>
        <w:spacing w:after="160" w:line="259" w:lineRule="auto"/>
        <w:jc w:val="left"/>
        <w:rPr>
          <w:rFonts w:eastAsiaTheme="majorEastAsia" w:cstheme="majorBidi"/>
          <w:b/>
          <w:szCs w:val="24"/>
        </w:rPr>
      </w:pPr>
      <w:bookmarkStart w:id="65" w:name="_Toc6415656"/>
      <w:r>
        <w:br w:type="page"/>
      </w:r>
    </w:p>
    <w:p w14:paraId="040A6B59" w14:textId="3005F38E" w:rsidR="008254BE" w:rsidRDefault="008254BE" w:rsidP="008A6314">
      <w:pPr>
        <w:pStyle w:val="Nadpis3"/>
      </w:pPr>
      <w:bookmarkStart w:id="66" w:name="_Toc39095187"/>
      <w:r>
        <w:t>Zhrnutie čerpania záväzkov programových období po vstupe SR do EÚ</w:t>
      </w:r>
      <w:bookmarkEnd w:id="65"/>
      <w:bookmarkEnd w:id="66"/>
    </w:p>
    <w:p w14:paraId="7DAAE3A1" w14:textId="77777777" w:rsidR="00EA177A" w:rsidRPr="00BD5A6B" w:rsidRDefault="00EA177A" w:rsidP="00EA177A">
      <w:r w:rsidRPr="00BD5A6B">
        <w:t>Slovenská republika čerpá prostriedky z rozpočtu EÚ v rámci troch nadväzujúcich programových období:</w:t>
      </w:r>
    </w:p>
    <w:p w14:paraId="0F61CAE8" w14:textId="432692B9" w:rsidR="00AC293D" w:rsidRDefault="00EA177A" w:rsidP="001F588C">
      <w:r w:rsidRPr="00BD5A6B">
        <w:t>V rámci 1. programového obdobia 2004 - 2006 sa osobitnými programovými dokumentmi realizovali programy štrukturálnych fondov a Kohézneho fondu. Celkové čerpanie k 31.12.201</w:t>
      </w:r>
      <w:r>
        <w:t>9</w:t>
      </w:r>
      <w:r w:rsidRPr="00BD5A6B">
        <w:t xml:space="preserve"> za programy štrukturálnych fondov dosiahlo 1 155 881 tis. eur, čo predstavuje 98,9 % zo záväzku 2004 – 2006 a za programy Kohézneho fondu 405 035 tis. eur, čo predstavuje 100 % záväzku. Z pohľadu čerpania výdavkov a plnenia príjmov štátneho rozpočtu sa dané programové obdobie považuje za uzatvorené.</w:t>
      </w:r>
    </w:p>
    <w:p w14:paraId="2A33098D" w14:textId="6389532B" w:rsidR="00EA177A" w:rsidRPr="00BD5A6B" w:rsidRDefault="00EA177A" w:rsidP="00EA177A">
      <w:r w:rsidRPr="00BD5A6B">
        <w:t>V rámci 2. programového obdobia 2007 – 2013 bolo k 31.12.2015 ukončené oprávnené obdobie pre realizáciu výdavkov na úrovni prijímateľov. V roku 2016 prebiehalo dočerpanie prostriedkov a</w:t>
      </w:r>
      <w:r>
        <w:t xml:space="preserve"> </w:t>
      </w:r>
      <w:r w:rsidRPr="00BD5A6B">
        <w:t>zaslaním záverečnej dokumentácie k 31. marcu 2017</w:t>
      </w:r>
      <w:r>
        <w:t>, resp. na základe požiadavky EK na vykonanie úprav opakovane v novembri a decembri 2017</w:t>
      </w:r>
      <w:r w:rsidRPr="00BD5A6B">
        <w:t xml:space="preserve"> začal s EK proces uzatvárania tohto programového obdobia. Ku koncu roka 201</w:t>
      </w:r>
      <w:r>
        <w:t>9</w:t>
      </w:r>
      <w:r w:rsidRPr="00BD5A6B">
        <w:t xml:space="preserve"> bol</w:t>
      </w:r>
      <w:r>
        <w:t>i</w:t>
      </w:r>
      <w:r w:rsidRPr="00BD5A6B">
        <w:t xml:space="preserve"> s EK uzatvoren</w:t>
      </w:r>
      <w:r>
        <w:t>é</w:t>
      </w:r>
      <w:r w:rsidRPr="00BD5A6B">
        <w:t xml:space="preserve"> </w:t>
      </w:r>
      <w:r>
        <w:t>dva operačné programy PS</w:t>
      </w:r>
      <w:r w:rsidRPr="00BD5A6B">
        <w:t xml:space="preserve"> INTERACT II, ktorého čerpanie dosiahlo 28 733 tis. eur, </w:t>
      </w:r>
      <w:r>
        <w:t>t. j.</w:t>
      </w:r>
      <w:r w:rsidRPr="00BD5A6B">
        <w:t xml:space="preserve"> 98,0 %</w:t>
      </w:r>
      <w:r>
        <w:t xml:space="preserve"> a OP Rybné hospodárstvo, ktoré dosiahlo čerpanie 10 207 tis. eur, t. j. 79,3 %</w:t>
      </w:r>
      <w:r w:rsidRPr="00BD5A6B">
        <w:t xml:space="preserve">. </w:t>
      </w:r>
      <w:r w:rsidR="00346A92" w:rsidRPr="00BD5A6B">
        <w:t>Z celkového záväzku 2. programového obdobia 2007 - 2013 v rámci 14 operačných programov vyčerpala SR k 31.12.201</w:t>
      </w:r>
      <w:r w:rsidR="00346A92">
        <w:t>9</w:t>
      </w:r>
      <w:r w:rsidR="00346A92" w:rsidRPr="00BD5A6B">
        <w:t xml:space="preserve"> prostriedky vo výške 11</w:t>
      </w:r>
      <w:r w:rsidR="00346A92">
        <w:t> 236 663</w:t>
      </w:r>
      <w:r w:rsidR="00346A92" w:rsidRPr="00BD5A6B">
        <w:t xml:space="preserve"> tis. eur, čo predstavuje čerpanie na úrovni 9</w:t>
      </w:r>
      <w:r w:rsidR="00346A92">
        <w:t>6,7</w:t>
      </w:r>
      <w:r w:rsidR="00346A92" w:rsidRPr="00BD5A6B">
        <w:t xml:space="preserve"> % záväzku, pričom výsledné čerpanie bude známe po uzavretí obdobia zo strany EK.</w:t>
      </w:r>
      <w:r w:rsidRPr="00BD5A6B">
        <w:t xml:space="preserve"> </w:t>
      </w:r>
    </w:p>
    <w:p w14:paraId="03023ABF" w14:textId="77777777" w:rsidR="00EA177A" w:rsidRDefault="00EA177A" w:rsidP="00EA177A">
      <w:r w:rsidRPr="00BD5A6B">
        <w:t>V rámci 3. programového obdobia 2014 – 2020 z celkového záväzku 1</w:t>
      </w:r>
      <w:r>
        <w:t>0</w:t>
      </w:r>
      <w:r>
        <w:rPr>
          <w:rStyle w:val="Odkaznapoznmkupodiarou"/>
        </w:rPr>
        <w:footnoteReference w:id="34"/>
      </w:r>
      <w:r w:rsidRPr="00BD5A6B">
        <w:t xml:space="preserve"> operačných programov vyčerpala SR k 31.12.201</w:t>
      </w:r>
      <w:r>
        <w:t>9</w:t>
      </w:r>
      <w:r w:rsidRPr="00BD5A6B">
        <w:t xml:space="preserve"> prostriedky vo výške </w:t>
      </w:r>
      <w:r>
        <w:t>3 936 047 tis. </w:t>
      </w:r>
      <w:r w:rsidRPr="00BD5A6B">
        <w:t xml:space="preserve">eur, čo predstavuje čerpanie na úrovni </w:t>
      </w:r>
      <w:r>
        <w:t>28,55 </w:t>
      </w:r>
      <w:r w:rsidRPr="00BD5A6B">
        <w:t>% záväzku.</w:t>
      </w:r>
    </w:p>
    <w:p w14:paraId="3FEFD672" w14:textId="77777777" w:rsidR="00EA177A" w:rsidRPr="00EA177A" w:rsidRDefault="00EA177A" w:rsidP="00EA177A"/>
    <w:p w14:paraId="549BEF43" w14:textId="77777777" w:rsidR="006746AB" w:rsidRDefault="006746AB" w:rsidP="00ED135D">
      <w:pPr>
        <w:pStyle w:val="Nadpis1"/>
        <w:numPr>
          <w:ilvl w:val="0"/>
          <w:numId w:val="0"/>
        </w:numPr>
      </w:pPr>
    </w:p>
    <w:p w14:paraId="7D36D30C" w14:textId="77777777" w:rsidR="006746AB" w:rsidRDefault="006746AB" w:rsidP="00ED135D">
      <w:pPr>
        <w:pStyle w:val="Nadpis1"/>
        <w:numPr>
          <w:ilvl w:val="0"/>
          <w:numId w:val="0"/>
        </w:numPr>
      </w:pPr>
    </w:p>
    <w:p w14:paraId="3B4B8146" w14:textId="77777777" w:rsidR="006746AB" w:rsidRDefault="006746AB" w:rsidP="00ED135D">
      <w:pPr>
        <w:pStyle w:val="Nadpis1"/>
        <w:numPr>
          <w:ilvl w:val="0"/>
          <w:numId w:val="0"/>
        </w:numPr>
      </w:pPr>
    </w:p>
    <w:p w14:paraId="5AAB3577" w14:textId="77777777" w:rsidR="006746AB" w:rsidRDefault="006746AB" w:rsidP="00ED135D">
      <w:pPr>
        <w:pStyle w:val="Nadpis1"/>
        <w:numPr>
          <w:ilvl w:val="0"/>
          <w:numId w:val="0"/>
        </w:numPr>
      </w:pPr>
    </w:p>
    <w:p w14:paraId="752F0AAB" w14:textId="77777777" w:rsidR="006746AB" w:rsidRDefault="006746AB" w:rsidP="00ED135D">
      <w:pPr>
        <w:pStyle w:val="Nadpis1"/>
        <w:numPr>
          <w:ilvl w:val="0"/>
          <w:numId w:val="0"/>
        </w:numPr>
      </w:pPr>
    </w:p>
    <w:p w14:paraId="1BABC90A" w14:textId="77777777" w:rsidR="00AC293D" w:rsidRDefault="00AC293D">
      <w:pPr>
        <w:spacing w:after="160" w:line="259" w:lineRule="auto"/>
        <w:jc w:val="left"/>
        <w:rPr>
          <w:rFonts w:eastAsiaTheme="majorEastAsia" w:cstheme="majorBidi"/>
          <w:b/>
          <w:sz w:val="26"/>
          <w:szCs w:val="32"/>
        </w:rPr>
      </w:pPr>
      <w:bookmarkStart w:id="67" w:name="_Toc6415657"/>
      <w:r>
        <w:br w:type="page"/>
      </w:r>
    </w:p>
    <w:p w14:paraId="284C4838" w14:textId="77777777" w:rsidR="00AC293D" w:rsidRDefault="00AC293D" w:rsidP="00ED135D">
      <w:pPr>
        <w:pStyle w:val="Nadpis1"/>
        <w:numPr>
          <w:ilvl w:val="0"/>
          <w:numId w:val="0"/>
        </w:numPr>
      </w:pPr>
    </w:p>
    <w:p w14:paraId="117B600B" w14:textId="77777777" w:rsidR="00AC293D" w:rsidRDefault="00AC293D" w:rsidP="00ED135D">
      <w:pPr>
        <w:pStyle w:val="Nadpis1"/>
        <w:numPr>
          <w:ilvl w:val="0"/>
          <w:numId w:val="0"/>
        </w:numPr>
      </w:pPr>
    </w:p>
    <w:p w14:paraId="4520355A" w14:textId="77777777" w:rsidR="00AC293D" w:rsidRDefault="00AC293D" w:rsidP="00ED135D">
      <w:pPr>
        <w:pStyle w:val="Nadpis1"/>
        <w:numPr>
          <w:ilvl w:val="0"/>
          <w:numId w:val="0"/>
        </w:numPr>
      </w:pPr>
    </w:p>
    <w:p w14:paraId="7FAB8FBD" w14:textId="77777777" w:rsidR="00AC293D" w:rsidRDefault="00AC293D" w:rsidP="00ED135D">
      <w:pPr>
        <w:pStyle w:val="Nadpis1"/>
        <w:numPr>
          <w:ilvl w:val="0"/>
          <w:numId w:val="0"/>
        </w:numPr>
      </w:pPr>
    </w:p>
    <w:p w14:paraId="73B641E3" w14:textId="77777777" w:rsidR="00AC293D" w:rsidRDefault="00AC293D" w:rsidP="00ED135D">
      <w:pPr>
        <w:pStyle w:val="Nadpis1"/>
        <w:numPr>
          <w:ilvl w:val="0"/>
          <w:numId w:val="0"/>
        </w:numPr>
      </w:pPr>
    </w:p>
    <w:p w14:paraId="320AA7F6" w14:textId="77777777" w:rsidR="00AC293D" w:rsidRDefault="00AC293D" w:rsidP="00ED135D">
      <w:pPr>
        <w:pStyle w:val="Nadpis1"/>
        <w:numPr>
          <w:ilvl w:val="0"/>
          <w:numId w:val="0"/>
        </w:numPr>
      </w:pPr>
    </w:p>
    <w:p w14:paraId="5DDA6401" w14:textId="77777777" w:rsidR="00AC293D" w:rsidRDefault="00AC293D" w:rsidP="00ED135D">
      <w:pPr>
        <w:pStyle w:val="Nadpis1"/>
        <w:numPr>
          <w:ilvl w:val="0"/>
          <w:numId w:val="0"/>
        </w:numPr>
      </w:pPr>
    </w:p>
    <w:p w14:paraId="1E3B59D3" w14:textId="77777777" w:rsidR="00AC293D" w:rsidRDefault="00AC293D" w:rsidP="00ED135D">
      <w:pPr>
        <w:pStyle w:val="Nadpis1"/>
        <w:numPr>
          <w:ilvl w:val="0"/>
          <w:numId w:val="0"/>
        </w:numPr>
      </w:pPr>
    </w:p>
    <w:p w14:paraId="65F1B6DC" w14:textId="77777777" w:rsidR="00AC293D" w:rsidRDefault="00AC293D" w:rsidP="00ED135D">
      <w:pPr>
        <w:pStyle w:val="Nadpis1"/>
        <w:numPr>
          <w:ilvl w:val="0"/>
          <w:numId w:val="0"/>
        </w:numPr>
      </w:pPr>
    </w:p>
    <w:p w14:paraId="05011381" w14:textId="77777777" w:rsidR="00AC293D" w:rsidRDefault="00AC293D" w:rsidP="00ED135D">
      <w:pPr>
        <w:pStyle w:val="Nadpis1"/>
        <w:numPr>
          <w:ilvl w:val="0"/>
          <w:numId w:val="0"/>
        </w:numPr>
      </w:pPr>
    </w:p>
    <w:p w14:paraId="1555FFD4" w14:textId="77777777" w:rsidR="00AC293D" w:rsidRDefault="00AC293D" w:rsidP="00ED135D">
      <w:pPr>
        <w:pStyle w:val="Nadpis1"/>
        <w:numPr>
          <w:ilvl w:val="0"/>
          <w:numId w:val="0"/>
        </w:numPr>
      </w:pPr>
    </w:p>
    <w:p w14:paraId="28B9264D" w14:textId="0A8661DD" w:rsidR="008254BE" w:rsidRPr="008254BE" w:rsidRDefault="008254BE" w:rsidP="00ED135D">
      <w:pPr>
        <w:pStyle w:val="Nadpis1"/>
        <w:numPr>
          <w:ilvl w:val="0"/>
          <w:numId w:val="0"/>
        </w:numPr>
      </w:pPr>
      <w:bookmarkStart w:id="68" w:name="_Toc39095188"/>
      <w:r>
        <w:t>Tabuľková príloha</w:t>
      </w:r>
      <w:bookmarkEnd w:id="67"/>
      <w:r w:rsidR="00D54F91">
        <w:t xml:space="preserve"> </w:t>
      </w:r>
      <w:r w:rsidR="001C4E82">
        <w:t>k hotovostnému plneniu ŠR</w:t>
      </w:r>
      <w:bookmarkEnd w:id="68"/>
    </w:p>
    <w:p w14:paraId="61FF2C44" w14:textId="77777777" w:rsidR="005F5B88" w:rsidRPr="005F5B88" w:rsidRDefault="005F5B88" w:rsidP="005F5B88"/>
    <w:p w14:paraId="155213CF" w14:textId="77777777" w:rsidR="005F5B88" w:rsidRDefault="005F5B88" w:rsidP="005F5B88"/>
    <w:p w14:paraId="08CE9D48" w14:textId="77777777" w:rsidR="00881BDB" w:rsidRDefault="00881BDB" w:rsidP="005F5B88"/>
    <w:p w14:paraId="797485A8" w14:textId="77777777" w:rsidR="00881BDB" w:rsidRDefault="00881BDB" w:rsidP="005F5B88"/>
    <w:p w14:paraId="06386835" w14:textId="77777777" w:rsidR="00881BDB" w:rsidRDefault="00881BDB" w:rsidP="005F5B88"/>
    <w:p w14:paraId="3D027B91" w14:textId="77777777" w:rsidR="00881BDB" w:rsidRDefault="00881BDB" w:rsidP="005F5B88"/>
    <w:p w14:paraId="234B3A00" w14:textId="77777777" w:rsidR="00881BDB" w:rsidRDefault="00881BDB" w:rsidP="005F5B88"/>
    <w:p w14:paraId="17FCE10D" w14:textId="77777777" w:rsidR="00881BDB" w:rsidRDefault="00881BDB" w:rsidP="005F5B88"/>
    <w:p w14:paraId="5B527B66" w14:textId="77777777" w:rsidR="00881BDB" w:rsidRDefault="00881BDB" w:rsidP="005F5B88"/>
    <w:sectPr w:rsidR="00881BDB" w:rsidSect="00DC3EBD">
      <w:footerReference w:type="even" r:id="rId13"/>
      <w:footerReference w:type="default" r:id="rId14"/>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4D83C" w14:textId="77777777" w:rsidR="0044781D" w:rsidRDefault="0044781D" w:rsidP="00881BDB">
      <w:pPr>
        <w:spacing w:after="0" w:line="240" w:lineRule="auto"/>
      </w:pPr>
      <w:r>
        <w:separator/>
      </w:r>
    </w:p>
  </w:endnote>
  <w:endnote w:type="continuationSeparator" w:id="0">
    <w:p w14:paraId="787BC973" w14:textId="77777777" w:rsidR="0044781D" w:rsidRDefault="0044781D" w:rsidP="0088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NeueHaasGroteskText W02">
    <w:altName w:val="Segoe Script"/>
    <w:charset w:val="EE"/>
    <w:family w:val="swiss"/>
    <w:pitch w:val="variable"/>
    <w:sig w:usb0="00000001" w:usb1="4000204A" w:usb2="00000000" w:usb3="00000000" w:csb0="00000093"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4336"/>
      <w:docPartObj>
        <w:docPartGallery w:val="Page Numbers (Bottom of Page)"/>
        <w:docPartUnique/>
      </w:docPartObj>
    </w:sdtPr>
    <w:sdtEndPr>
      <w:rPr>
        <w:sz w:val="20"/>
        <w:szCs w:val="20"/>
      </w:rPr>
    </w:sdtEndPr>
    <w:sdtContent>
      <w:p w14:paraId="40CDF45F" w14:textId="73E2C24E" w:rsidR="0044781D" w:rsidRPr="00CA3D7D" w:rsidRDefault="0044781D">
        <w:pPr>
          <w:pStyle w:val="Pta"/>
          <w:jc w:val="center"/>
          <w:rPr>
            <w:sz w:val="20"/>
            <w:szCs w:val="20"/>
          </w:rPr>
        </w:pPr>
        <w:r w:rsidRPr="00CA3D7D">
          <w:rPr>
            <w:sz w:val="20"/>
            <w:szCs w:val="20"/>
          </w:rPr>
          <w:fldChar w:fldCharType="begin"/>
        </w:r>
        <w:r w:rsidRPr="00CA3D7D">
          <w:rPr>
            <w:sz w:val="20"/>
            <w:szCs w:val="20"/>
          </w:rPr>
          <w:instrText>PAGE   \* MERGEFORMAT</w:instrText>
        </w:r>
        <w:r w:rsidRPr="00CA3D7D">
          <w:rPr>
            <w:sz w:val="20"/>
            <w:szCs w:val="20"/>
          </w:rPr>
          <w:fldChar w:fldCharType="separate"/>
        </w:r>
        <w:r w:rsidR="00C01F52">
          <w:rPr>
            <w:noProof/>
            <w:sz w:val="20"/>
            <w:szCs w:val="20"/>
          </w:rPr>
          <w:t>26</w:t>
        </w:r>
        <w:r w:rsidRPr="00CA3D7D">
          <w:rPr>
            <w:sz w:val="20"/>
            <w:szCs w:val="20"/>
          </w:rPr>
          <w:fldChar w:fldCharType="end"/>
        </w:r>
      </w:p>
    </w:sdtContent>
  </w:sdt>
  <w:p w14:paraId="598E35E0" w14:textId="77777777" w:rsidR="0044781D" w:rsidRDefault="0044781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51800"/>
      <w:docPartObj>
        <w:docPartGallery w:val="Page Numbers (Bottom of Page)"/>
        <w:docPartUnique/>
      </w:docPartObj>
    </w:sdtPr>
    <w:sdtEndPr>
      <w:rPr>
        <w:sz w:val="20"/>
        <w:szCs w:val="20"/>
      </w:rPr>
    </w:sdtEndPr>
    <w:sdtContent>
      <w:p w14:paraId="23270C04" w14:textId="4A869BFC" w:rsidR="0044781D" w:rsidRPr="00CA3D7D" w:rsidRDefault="0044781D">
        <w:pPr>
          <w:pStyle w:val="Pta"/>
          <w:jc w:val="center"/>
          <w:rPr>
            <w:sz w:val="20"/>
            <w:szCs w:val="20"/>
          </w:rPr>
        </w:pPr>
        <w:r w:rsidRPr="00CA3D7D">
          <w:rPr>
            <w:sz w:val="20"/>
            <w:szCs w:val="20"/>
          </w:rPr>
          <w:fldChar w:fldCharType="begin"/>
        </w:r>
        <w:r w:rsidRPr="00CA3D7D">
          <w:rPr>
            <w:sz w:val="20"/>
            <w:szCs w:val="20"/>
          </w:rPr>
          <w:instrText>PAGE   \* MERGEFORMAT</w:instrText>
        </w:r>
        <w:r w:rsidRPr="00CA3D7D">
          <w:rPr>
            <w:sz w:val="20"/>
            <w:szCs w:val="20"/>
          </w:rPr>
          <w:fldChar w:fldCharType="separate"/>
        </w:r>
        <w:r w:rsidR="00C01F52">
          <w:rPr>
            <w:noProof/>
            <w:sz w:val="20"/>
            <w:szCs w:val="20"/>
          </w:rPr>
          <w:t>25</w:t>
        </w:r>
        <w:r w:rsidRPr="00CA3D7D">
          <w:rPr>
            <w:sz w:val="20"/>
            <w:szCs w:val="20"/>
          </w:rPr>
          <w:fldChar w:fldCharType="end"/>
        </w:r>
      </w:p>
    </w:sdtContent>
  </w:sdt>
  <w:p w14:paraId="2A479206" w14:textId="77777777" w:rsidR="0044781D" w:rsidRDefault="004478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8377" w14:textId="77777777" w:rsidR="0044781D" w:rsidRDefault="0044781D" w:rsidP="00881BDB">
      <w:pPr>
        <w:spacing w:after="0" w:line="240" w:lineRule="auto"/>
      </w:pPr>
      <w:r>
        <w:separator/>
      </w:r>
    </w:p>
  </w:footnote>
  <w:footnote w:type="continuationSeparator" w:id="0">
    <w:p w14:paraId="00C7EF0E" w14:textId="77777777" w:rsidR="0044781D" w:rsidRDefault="0044781D" w:rsidP="00881BDB">
      <w:pPr>
        <w:spacing w:after="0" w:line="240" w:lineRule="auto"/>
      </w:pPr>
      <w:r>
        <w:continuationSeparator/>
      </w:r>
    </w:p>
  </w:footnote>
  <w:footnote w:id="1">
    <w:p w14:paraId="15494E40" w14:textId="48BBD330" w:rsidR="0044781D" w:rsidRPr="00B40C1B" w:rsidRDefault="0044781D">
      <w:pPr>
        <w:pStyle w:val="Textpoznmkypodiarou"/>
        <w:rPr>
          <w:sz w:val="18"/>
          <w:szCs w:val="18"/>
        </w:rPr>
      </w:pPr>
      <w:r w:rsidRPr="00B40C1B">
        <w:rPr>
          <w:rStyle w:val="Odkaznapoznmkupodiarou"/>
          <w:sz w:val="18"/>
          <w:szCs w:val="18"/>
        </w:rPr>
        <w:footnoteRef/>
      </w:r>
      <w:r w:rsidRPr="00B40C1B">
        <w:rPr>
          <w:sz w:val="18"/>
          <w:szCs w:val="18"/>
        </w:rPr>
        <w:t xml:space="preserve"> S účinnosťou od 1. februára 2020 nie je Veľká Británia viac členskou krajinou Európskej únie.</w:t>
      </w:r>
    </w:p>
  </w:footnote>
  <w:footnote w:id="2">
    <w:p w14:paraId="08C1C8A7" w14:textId="46F6787B" w:rsidR="0044781D" w:rsidRDefault="0044781D">
      <w:pPr>
        <w:pStyle w:val="Textpoznmkypodiarou"/>
      </w:pPr>
      <w:r>
        <w:rPr>
          <w:rStyle w:val="Odkaznapoznmkupodiarou"/>
        </w:rPr>
        <w:footnoteRef/>
      </w:r>
      <w:r>
        <w:t xml:space="preserve"> </w:t>
      </w:r>
      <w:r w:rsidRPr="00DC4FC8">
        <w:rPr>
          <w:sz w:val="18"/>
          <w:szCs w:val="18"/>
        </w:rPr>
        <w:t>Celoročný priemer</w:t>
      </w:r>
    </w:p>
  </w:footnote>
  <w:footnote w:id="3">
    <w:p w14:paraId="4FB0F0E9" w14:textId="77777777" w:rsidR="0044781D" w:rsidRPr="00B40C1B" w:rsidRDefault="0044781D" w:rsidP="00415AB8">
      <w:pPr>
        <w:pStyle w:val="Textpoznmkypodiarou"/>
        <w:rPr>
          <w:rFonts w:ascii="Arial Narrow" w:hAnsi="Arial Narrow"/>
          <w:sz w:val="18"/>
          <w:szCs w:val="18"/>
        </w:rPr>
      </w:pPr>
      <w:r w:rsidRPr="00E15BD5">
        <w:rPr>
          <w:rStyle w:val="Odkaznapoznmkupodiarou"/>
          <w:rFonts w:ascii="Arial Narrow" w:hAnsi="Arial Narrow"/>
          <w:sz w:val="16"/>
          <w:szCs w:val="16"/>
        </w:rPr>
        <w:footnoteRef/>
      </w:r>
      <w:r w:rsidRPr="00F13310">
        <w:rPr>
          <w:rFonts w:ascii="Arial Narrow" w:hAnsi="Arial Narrow"/>
          <w:sz w:val="16"/>
          <w:szCs w:val="16"/>
        </w:rPr>
        <w:t xml:space="preserve"> </w:t>
      </w:r>
      <w:r w:rsidRPr="00B40C1B">
        <w:rPr>
          <w:rFonts w:cs="Times New Roman"/>
          <w:sz w:val="18"/>
          <w:szCs w:val="18"/>
        </w:rPr>
        <w:t>Harmonizovaný index spotrebiteľských cien.</w:t>
      </w:r>
      <w:r w:rsidRPr="00B40C1B">
        <w:rPr>
          <w:rFonts w:ascii="Arial Narrow" w:hAnsi="Arial Narrow"/>
          <w:sz w:val="18"/>
          <w:szCs w:val="18"/>
        </w:rPr>
        <w:t xml:space="preserve"> </w:t>
      </w:r>
    </w:p>
  </w:footnote>
  <w:footnote w:id="4">
    <w:p w14:paraId="727214F3" w14:textId="25948CA2" w:rsidR="0044781D" w:rsidRDefault="0044781D">
      <w:pPr>
        <w:pStyle w:val="Textpoznmkypodiarou"/>
      </w:pPr>
      <w:r>
        <w:rPr>
          <w:rStyle w:val="Odkaznapoznmkupodiarou"/>
        </w:rPr>
        <w:footnoteRef/>
      </w:r>
      <w:r>
        <w:t xml:space="preserve"> </w:t>
      </w:r>
      <w:hyperlink r:id="rId1" w:history="1">
        <w:r w:rsidRPr="00CA7AFB">
          <w:rPr>
            <w:rStyle w:val="Hypertextovprepojenie"/>
            <w:rFonts w:cs="Times New Roman"/>
            <w:sz w:val="18"/>
            <w:szCs w:val="18"/>
          </w:rPr>
          <w:t>https://www.mfsr.sk/sk/financie/verejne-financie/rozpocet-verejnej-spravy/</w:t>
        </w:r>
      </w:hyperlink>
      <w:r>
        <w:rPr>
          <w:rFonts w:cs="Times New Roman"/>
          <w:sz w:val="18"/>
          <w:szCs w:val="18"/>
        </w:rPr>
        <w:t xml:space="preserve"> </w:t>
      </w:r>
    </w:p>
  </w:footnote>
  <w:footnote w:id="5">
    <w:p w14:paraId="0B56C586" w14:textId="6423B6D3" w:rsidR="0044781D" w:rsidRDefault="0044781D">
      <w:pPr>
        <w:pStyle w:val="Textpoznmkypodiarou"/>
      </w:pPr>
      <w:r>
        <w:rPr>
          <w:rStyle w:val="Odkaznapoznmkupodiarou"/>
        </w:rPr>
        <w:footnoteRef/>
      </w:r>
      <w:r>
        <w:t xml:space="preserve"> </w:t>
      </w:r>
      <w:r w:rsidRPr="008978E7">
        <w:rPr>
          <w:rStyle w:val="Siln"/>
          <w:rFonts w:cs="Helvetica"/>
          <w:b w:val="0"/>
          <w:color w:val="333333"/>
          <w:sz w:val="18"/>
          <w:szCs w:val="18"/>
        </w:rPr>
        <w:t>Nariadenie Rady (ES) č. 479/2009 z 25. mája 2009 o uplatňovaní Protokolu o postupe pri nadmernom schodku</w:t>
      </w:r>
      <w:r>
        <w:rPr>
          <w:rStyle w:val="Siln"/>
          <w:rFonts w:cs="Helvetica"/>
          <w:b w:val="0"/>
          <w:color w:val="333333"/>
          <w:sz w:val="18"/>
          <w:szCs w:val="18"/>
        </w:rPr>
        <w:t>.</w:t>
      </w:r>
    </w:p>
  </w:footnote>
  <w:footnote w:id="6">
    <w:p w14:paraId="6411E5AF" w14:textId="77777777" w:rsidR="0044781D" w:rsidRPr="00501E92" w:rsidRDefault="0044781D" w:rsidP="00C23982">
      <w:pPr>
        <w:pStyle w:val="Textpoznmkypodiarou"/>
        <w:rPr>
          <w:sz w:val="18"/>
          <w:szCs w:val="18"/>
        </w:rPr>
      </w:pPr>
      <w:r w:rsidRPr="00501E92">
        <w:rPr>
          <w:rStyle w:val="Odkaznapoznmkupodiarou"/>
          <w:sz w:val="18"/>
          <w:szCs w:val="18"/>
        </w:rPr>
        <w:footnoteRef/>
      </w:r>
      <w:r w:rsidRPr="00501E92">
        <w:rPr>
          <w:sz w:val="18"/>
          <w:szCs w:val="18"/>
        </w:rPr>
        <w:t xml:space="preserve"> viac informácií</w:t>
      </w:r>
      <w:r>
        <w:rPr>
          <w:sz w:val="18"/>
          <w:szCs w:val="18"/>
        </w:rPr>
        <w:t xml:space="preserve"> na </w:t>
      </w:r>
      <w:hyperlink r:id="rId2" w:history="1">
        <w:r w:rsidRPr="00127D27">
          <w:rPr>
            <w:rStyle w:val="Hypertextovprepojenie"/>
            <w:sz w:val="18"/>
            <w:szCs w:val="18"/>
          </w:rPr>
          <w:t>www.statistics.sk</w:t>
        </w:r>
      </w:hyperlink>
      <w:r>
        <w:rPr>
          <w:sz w:val="18"/>
          <w:szCs w:val="18"/>
        </w:rPr>
        <w:t xml:space="preserve"> v časti </w:t>
      </w:r>
      <w:proofErr w:type="spellStart"/>
      <w:r>
        <w:rPr>
          <w:sz w:val="18"/>
          <w:szCs w:val="18"/>
        </w:rPr>
        <w:t>Metaúdaje</w:t>
      </w:r>
      <w:proofErr w:type="spellEnd"/>
      <w:r>
        <w:rPr>
          <w:sz w:val="18"/>
          <w:szCs w:val="18"/>
        </w:rPr>
        <w:t xml:space="preserve"> / Makroekonomické štatistiky / Národné účty</w:t>
      </w:r>
    </w:p>
  </w:footnote>
  <w:footnote w:id="7">
    <w:p w14:paraId="11A7B320" w14:textId="77777777" w:rsidR="0044781D" w:rsidRPr="000A2B5E" w:rsidRDefault="0044781D" w:rsidP="00667419">
      <w:pPr>
        <w:pStyle w:val="Textpoznmkypodiarou"/>
        <w:rPr>
          <w:sz w:val="18"/>
          <w:szCs w:val="18"/>
          <w:highlight w:val="yellow"/>
        </w:rPr>
      </w:pPr>
      <w:r w:rsidRPr="000A2B5E">
        <w:rPr>
          <w:rStyle w:val="Odkaznapoznmkupodiarou"/>
          <w:rFonts w:eastAsiaTheme="majorEastAsia"/>
          <w:sz w:val="18"/>
          <w:szCs w:val="18"/>
        </w:rPr>
        <w:footnoteRef/>
      </w:r>
      <w:r w:rsidRPr="000A2B5E">
        <w:rPr>
          <w:sz w:val="18"/>
          <w:szCs w:val="18"/>
        </w:rPr>
        <w:t xml:space="preserve"> Výnos DPFO z podnikania za rok 2019 je len odhad, pretože daňové priznania za rok 2019 sa podávajú v roku 2020 a skutočný výnos dane bude známy až na začiatku roka 2021.</w:t>
      </w:r>
    </w:p>
  </w:footnote>
  <w:footnote w:id="8">
    <w:p w14:paraId="698F8C3E" w14:textId="77777777" w:rsidR="0044781D" w:rsidRPr="000A2B5E" w:rsidRDefault="0044781D" w:rsidP="00667419">
      <w:pPr>
        <w:pStyle w:val="Textpoznmkypodiarou"/>
        <w:rPr>
          <w:sz w:val="18"/>
          <w:szCs w:val="18"/>
          <w:highlight w:val="yellow"/>
        </w:rPr>
      </w:pPr>
      <w:r w:rsidRPr="000A2B5E">
        <w:rPr>
          <w:rStyle w:val="Odkaznapoznmkupodiarou"/>
          <w:rFonts w:eastAsiaTheme="majorEastAsia"/>
          <w:sz w:val="18"/>
          <w:szCs w:val="18"/>
        </w:rPr>
        <w:footnoteRef/>
      </w:r>
      <w:r w:rsidRPr="000A2B5E">
        <w:rPr>
          <w:sz w:val="18"/>
          <w:szCs w:val="18"/>
        </w:rPr>
        <w:t xml:space="preserve"> Výnos DPPO za rok 2019 je len odhad, pretože daňové priznania za rok 2019 sa podávajú v roku 2020 a skutočný výnos dane bude známy až na začiatku roka 2021.</w:t>
      </w:r>
    </w:p>
  </w:footnote>
  <w:footnote w:id="9">
    <w:p w14:paraId="43041A83" w14:textId="77777777" w:rsidR="0044781D" w:rsidRPr="000A2B5E" w:rsidRDefault="0044781D" w:rsidP="00667419">
      <w:pPr>
        <w:pStyle w:val="Textpoznmkypodiarou"/>
        <w:rPr>
          <w:sz w:val="18"/>
          <w:szCs w:val="18"/>
        </w:rPr>
      </w:pPr>
      <w:r w:rsidRPr="000A2B5E">
        <w:rPr>
          <w:rStyle w:val="Odkaznapoznmkupodiarou"/>
          <w:rFonts w:eastAsiaTheme="majorEastAsia"/>
          <w:sz w:val="18"/>
          <w:szCs w:val="18"/>
        </w:rPr>
        <w:footnoteRef/>
      </w:r>
      <w:r w:rsidRPr="000A2B5E">
        <w:rPr>
          <w:rStyle w:val="Odkaznapoznmkupodiarou"/>
          <w:rFonts w:eastAsiaTheme="majorEastAsia"/>
          <w:sz w:val="18"/>
          <w:szCs w:val="18"/>
        </w:rPr>
        <w:t xml:space="preserve"> </w:t>
      </w:r>
      <w:r w:rsidRPr="000A2B5E">
        <w:rPr>
          <w:sz w:val="18"/>
          <w:szCs w:val="18"/>
        </w:rPr>
        <w:t xml:space="preserve">Pomalší než očakávaný rast </w:t>
      </w:r>
      <w:proofErr w:type="spellStart"/>
      <w:r w:rsidRPr="000A2B5E">
        <w:rPr>
          <w:sz w:val="18"/>
          <w:szCs w:val="18"/>
        </w:rPr>
        <w:t>makrobázy</w:t>
      </w:r>
      <w:proofErr w:type="spellEnd"/>
      <w:r w:rsidRPr="000A2B5E">
        <w:rPr>
          <w:sz w:val="18"/>
          <w:szCs w:val="18"/>
        </w:rPr>
        <w:t xml:space="preserve"> (HDP – kompenzácie zamestnancov), ktorá je odhadom pre ziskovosť </w:t>
      </w:r>
      <w:proofErr w:type="spellStart"/>
      <w:r w:rsidRPr="000A2B5E">
        <w:rPr>
          <w:sz w:val="18"/>
          <w:szCs w:val="18"/>
        </w:rPr>
        <w:t>korporátneho</w:t>
      </w:r>
      <w:proofErr w:type="spellEnd"/>
      <w:r w:rsidRPr="000A2B5E">
        <w:rPr>
          <w:sz w:val="18"/>
          <w:szCs w:val="18"/>
        </w:rPr>
        <w:t xml:space="preserve"> sektora.</w:t>
      </w:r>
    </w:p>
  </w:footnote>
  <w:footnote w:id="10">
    <w:p w14:paraId="0F79F453" w14:textId="280567CB" w:rsidR="0044781D" w:rsidRPr="000A2B5E" w:rsidRDefault="0044781D" w:rsidP="00667419">
      <w:pPr>
        <w:pStyle w:val="Textpoznmkypodiarou"/>
        <w:rPr>
          <w:sz w:val="18"/>
          <w:szCs w:val="18"/>
          <w:highlight w:val="yellow"/>
        </w:rPr>
      </w:pPr>
      <w:r w:rsidRPr="000A2B5E">
        <w:rPr>
          <w:rStyle w:val="Odkaznapoznmkupodiarou"/>
          <w:rFonts w:eastAsiaTheme="majorEastAsia"/>
          <w:sz w:val="18"/>
          <w:szCs w:val="18"/>
        </w:rPr>
        <w:footnoteRef/>
      </w:r>
      <w:r w:rsidRPr="000A2B5E">
        <w:rPr>
          <w:sz w:val="18"/>
          <w:szCs w:val="18"/>
        </w:rPr>
        <w:t xml:space="preserve"> Výnos DPH za rok 2019 </w:t>
      </w:r>
      <w:r>
        <w:rPr>
          <w:sz w:val="18"/>
          <w:szCs w:val="18"/>
        </w:rPr>
        <w:t>bol v čase prípravy Štátneho záverečného účtu len odhad</w:t>
      </w:r>
      <w:r w:rsidRPr="000A2B5E">
        <w:rPr>
          <w:sz w:val="18"/>
          <w:szCs w:val="18"/>
        </w:rPr>
        <w:t xml:space="preserve">. Skutočnosť bude </w:t>
      </w:r>
      <w:r>
        <w:rPr>
          <w:sz w:val="18"/>
          <w:szCs w:val="18"/>
        </w:rPr>
        <w:t>aktualizovaná pri jesennej notifikácii v októbri 2020.</w:t>
      </w:r>
    </w:p>
  </w:footnote>
  <w:footnote w:id="11">
    <w:p w14:paraId="549EDABC" w14:textId="77777777" w:rsidR="0044781D" w:rsidRPr="000A2B5E" w:rsidRDefault="0044781D" w:rsidP="00667419">
      <w:pPr>
        <w:pStyle w:val="Textpoznmkypodiarou"/>
        <w:rPr>
          <w:sz w:val="18"/>
          <w:szCs w:val="18"/>
        </w:rPr>
      </w:pPr>
      <w:r w:rsidRPr="000A2B5E">
        <w:rPr>
          <w:rStyle w:val="Odkaznapoznmkupodiarou"/>
          <w:rFonts w:eastAsiaTheme="majorEastAsia"/>
          <w:sz w:val="18"/>
          <w:szCs w:val="18"/>
        </w:rPr>
        <w:footnoteRef/>
      </w:r>
      <w:r w:rsidRPr="000A2B5E">
        <w:rPr>
          <w:sz w:val="18"/>
          <w:szCs w:val="18"/>
        </w:rPr>
        <w:t xml:space="preserve"> Výnos osobitného odvodu z regulovaných odvetví za rok 2019 je odhad, pretože daňové priznania za rok 2019 sa podávajú v roku 2020 a skutočný výnos dane bude známy až na začiatku roka 2021.</w:t>
      </w:r>
    </w:p>
  </w:footnote>
  <w:footnote w:id="12">
    <w:p w14:paraId="6D3A3C2E" w14:textId="77777777" w:rsidR="0044781D" w:rsidRPr="00E263CA" w:rsidRDefault="0044781D" w:rsidP="00667419">
      <w:pPr>
        <w:pStyle w:val="Textpoznmkypodiarou"/>
        <w:rPr>
          <w:sz w:val="16"/>
          <w:szCs w:val="16"/>
        </w:rPr>
      </w:pPr>
      <w:r w:rsidRPr="000A2B5E">
        <w:rPr>
          <w:rStyle w:val="Odkaznapoznmkupodiarou"/>
          <w:rFonts w:eastAsiaTheme="majorEastAsia"/>
          <w:sz w:val="18"/>
          <w:szCs w:val="18"/>
        </w:rPr>
        <w:footnoteRef/>
      </w:r>
      <w:r w:rsidRPr="000A2B5E">
        <w:rPr>
          <w:sz w:val="18"/>
          <w:szCs w:val="18"/>
        </w:rPr>
        <w:t xml:space="preserve"> Legislatívne bolo schválené zavedenie </w:t>
      </w:r>
      <w:proofErr w:type="spellStart"/>
      <w:r w:rsidRPr="000A2B5E">
        <w:rPr>
          <w:sz w:val="18"/>
          <w:szCs w:val="18"/>
        </w:rPr>
        <w:t>eKasy</w:t>
      </w:r>
      <w:proofErr w:type="spellEnd"/>
      <w:r w:rsidRPr="000A2B5E">
        <w:rPr>
          <w:sz w:val="18"/>
          <w:szCs w:val="18"/>
        </w:rPr>
        <w:t xml:space="preserve"> pre všetky subjekty najneskôr do 1. júla. Pokuty za nezavedenie boli neskôr posunuté na 1. január 2020 aby mali subjekty dostatok času na prechod na novú online pokladňu, nakoľko hrozilo, že by nebol dostatok certifikovaných pokladníc na trhu.</w:t>
      </w:r>
    </w:p>
  </w:footnote>
  <w:footnote w:id="13">
    <w:p w14:paraId="73201CA4" w14:textId="6EFCDA69" w:rsidR="0044781D" w:rsidRPr="00995C6D" w:rsidRDefault="0044781D" w:rsidP="00995C6D">
      <w:pPr>
        <w:pStyle w:val="Textpoznmkypodiarou"/>
        <w:rPr>
          <w:sz w:val="18"/>
          <w:szCs w:val="18"/>
        </w:rPr>
      </w:pPr>
      <w:r>
        <w:rPr>
          <w:rStyle w:val="Odkaznapoznmkupodiarou"/>
        </w:rPr>
        <w:footnoteRef/>
      </w:r>
      <w:r>
        <w:t xml:space="preserve"> </w:t>
      </w:r>
      <w:r w:rsidRPr="00995C6D">
        <w:rPr>
          <w:sz w:val="18"/>
          <w:szCs w:val="18"/>
        </w:rPr>
        <w:t>Obdobne ako v rozpočte na príslušný rok, hospodárenie jednotlivých zložiek verejnej správy sa prezentuje nekonsolidované a príjmy a výdavky celej verejnej správy na konsolidovanej báze.</w:t>
      </w:r>
    </w:p>
  </w:footnote>
  <w:footnote w:id="14">
    <w:p w14:paraId="2A38BEF4" w14:textId="72B35867" w:rsidR="0044781D" w:rsidRDefault="0044781D">
      <w:pPr>
        <w:pStyle w:val="Textpoznmkypodiarou"/>
      </w:pPr>
      <w:r>
        <w:rPr>
          <w:rStyle w:val="Odkaznapoznmkupodiarou"/>
        </w:rPr>
        <w:footnoteRef/>
      </w:r>
      <w:r>
        <w:t xml:space="preserve"> </w:t>
      </w:r>
      <w:r w:rsidRPr="0075634A">
        <w:rPr>
          <w:sz w:val="18"/>
          <w:szCs w:val="18"/>
        </w:rPr>
        <w:t xml:space="preserve">Superdividendy sú dividendy, ktoré sú vysoké z pohľadu poslednej (nedávnej) výšky úrovne dividend a ziskov. </w:t>
      </w:r>
      <w:r>
        <w:rPr>
          <w:sz w:val="18"/>
          <w:szCs w:val="18"/>
        </w:rPr>
        <w:t>S</w:t>
      </w:r>
      <w:r w:rsidRPr="0075634A">
        <w:rPr>
          <w:sz w:val="18"/>
          <w:szCs w:val="18"/>
        </w:rPr>
        <w:t xml:space="preserve">uperdividendy rozdeľujú čisté bohatstvo podniku, keď znižujú vlastné zdroje podniku. </w:t>
      </w:r>
      <w:r>
        <w:rPr>
          <w:sz w:val="18"/>
          <w:szCs w:val="18"/>
        </w:rPr>
        <w:t>Kým</w:t>
      </w:r>
      <w:r w:rsidRPr="0075634A">
        <w:rPr>
          <w:sz w:val="18"/>
          <w:szCs w:val="18"/>
        </w:rPr>
        <w:t xml:space="preserve"> dividendy prináležia bežnému zisku, ktorý pochádza zo štandardných hlavných činností podniku</w:t>
      </w:r>
      <w:r>
        <w:rPr>
          <w:sz w:val="18"/>
          <w:szCs w:val="18"/>
        </w:rPr>
        <w:t>,</w:t>
      </w:r>
      <w:r w:rsidRPr="0075634A">
        <w:rPr>
          <w:sz w:val="18"/>
          <w:szCs w:val="18"/>
        </w:rPr>
        <w:t xml:space="preserve"> superdividendy prináleži</w:t>
      </w:r>
      <w:r>
        <w:rPr>
          <w:sz w:val="18"/>
          <w:szCs w:val="18"/>
        </w:rPr>
        <w:t>a iným (mimoriadnym</w:t>
      </w:r>
      <w:r w:rsidRPr="0075634A">
        <w:rPr>
          <w:sz w:val="18"/>
          <w:szCs w:val="18"/>
        </w:rPr>
        <w:t xml:space="preserve">) výnosom. Na určenie výšky </w:t>
      </w:r>
      <w:proofErr w:type="spellStart"/>
      <w:r w:rsidRPr="0075634A">
        <w:rPr>
          <w:sz w:val="18"/>
          <w:szCs w:val="18"/>
        </w:rPr>
        <w:t>superdividend</w:t>
      </w:r>
      <w:proofErr w:type="spellEnd"/>
      <w:r w:rsidRPr="0075634A">
        <w:rPr>
          <w:sz w:val="18"/>
          <w:szCs w:val="18"/>
        </w:rPr>
        <w:t xml:space="preserve"> sa používa tzv. </w:t>
      </w:r>
      <w:proofErr w:type="spellStart"/>
      <w:r w:rsidRPr="0075634A">
        <w:rPr>
          <w:sz w:val="18"/>
          <w:szCs w:val="18"/>
        </w:rPr>
        <w:t>superdividendový</w:t>
      </w:r>
      <w:proofErr w:type="spellEnd"/>
      <w:r w:rsidRPr="0075634A">
        <w:rPr>
          <w:sz w:val="18"/>
          <w:szCs w:val="18"/>
        </w:rPr>
        <w:t xml:space="preserve"> test.</w:t>
      </w:r>
    </w:p>
  </w:footnote>
  <w:footnote w:id="15">
    <w:p w14:paraId="79BF0228" w14:textId="77777777" w:rsidR="0044781D" w:rsidRDefault="0044781D" w:rsidP="00F244F1">
      <w:pPr>
        <w:pStyle w:val="Textpoznmkypodiarou"/>
      </w:pPr>
      <w:r>
        <w:rPr>
          <w:rStyle w:val="Odkaznapoznmkupodiarou"/>
        </w:rPr>
        <w:footnoteRef/>
      </w:r>
      <w:r>
        <w:t xml:space="preserve"> </w:t>
      </w:r>
      <w:r w:rsidRPr="00420E49">
        <w:rPr>
          <w:sz w:val="18"/>
          <w:szCs w:val="18"/>
        </w:rPr>
        <w:t>Systémová korekcia vzniká v dôsledku opakujúceho sa nedostatku zisteného v</w:t>
      </w:r>
      <w:r>
        <w:rPr>
          <w:sz w:val="18"/>
          <w:szCs w:val="18"/>
        </w:rPr>
        <w:t> </w:t>
      </w:r>
      <w:r w:rsidRPr="00420E49">
        <w:rPr>
          <w:sz w:val="18"/>
          <w:szCs w:val="18"/>
        </w:rPr>
        <w:t>rámci viacerých projektov, je dôsledkom závažného nedostatku účinného fungovania systémov riadenia a</w:t>
      </w:r>
      <w:r>
        <w:rPr>
          <w:sz w:val="18"/>
          <w:szCs w:val="18"/>
        </w:rPr>
        <w:t> </w:t>
      </w:r>
      <w:r w:rsidRPr="00420E49">
        <w:rPr>
          <w:sz w:val="18"/>
          <w:szCs w:val="18"/>
        </w:rPr>
        <w:t>kontroly, a</w:t>
      </w:r>
      <w:r>
        <w:rPr>
          <w:sz w:val="18"/>
          <w:szCs w:val="18"/>
        </w:rPr>
        <w:t> </w:t>
      </w:r>
      <w:r w:rsidRPr="00420E49">
        <w:rPr>
          <w:sz w:val="18"/>
          <w:szCs w:val="18"/>
        </w:rPr>
        <w:t>to vrátane nestanovenia vhodných postupov.</w:t>
      </w:r>
    </w:p>
  </w:footnote>
  <w:footnote w:id="16">
    <w:p w14:paraId="2FC2B7FC" w14:textId="77777777" w:rsidR="0044781D" w:rsidRDefault="0044781D" w:rsidP="00F244F1">
      <w:pPr>
        <w:pStyle w:val="Textpoznmkypodiarou"/>
      </w:pPr>
      <w:r>
        <w:rPr>
          <w:rStyle w:val="Odkaznapoznmkupodiarou"/>
        </w:rPr>
        <w:footnoteRef/>
      </w:r>
      <w:r>
        <w:t xml:space="preserve"> </w:t>
      </w:r>
      <w:r w:rsidRPr="00420E49">
        <w:rPr>
          <w:sz w:val="18"/>
          <w:szCs w:val="18"/>
        </w:rPr>
        <w:t>Individuálna nezrovnalosť je zistený nedostatok (jedno</w:t>
      </w:r>
      <w:r>
        <w:rPr>
          <w:sz w:val="18"/>
          <w:szCs w:val="18"/>
        </w:rPr>
        <w:t>razová chyba), ktorý sa viaže k </w:t>
      </w:r>
      <w:r w:rsidRPr="00420E49">
        <w:rPr>
          <w:sz w:val="18"/>
          <w:szCs w:val="18"/>
        </w:rPr>
        <w:t>jednej operácii, resp. k jednému projektu a je nezávislý od</w:t>
      </w:r>
      <w:r>
        <w:rPr>
          <w:sz w:val="18"/>
          <w:szCs w:val="18"/>
        </w:rPr>
        <w:t> </w:t>
      </w:r>
      <w:r w:rsidRPr="00420E49">
        <w:rPr>
          <w:sz w:val="18"/>
          <w:szCs w:val="18"/>
        </w:rPr>
        <w:t>iných chýb alebo nedostatkov v</w:t>
      </w:r>
      <w:r>
        <w:rPr>
          <w:sz w:val="18"/>
          <w:szCs w:val="18"/>
        </w:rPr>
        <w:t> </w:t>
      </w:r>
      <w:r w:rsidRPr="00420E49">
        <w:rPr>
          <w:sz w:val="18"/>
          <w:szCs w:val="18"/>
        </w:rPr>
        <w:t>systéme riadenia a kontroly.</w:t>
      </w:r>
    </w:p>
  </w:footnote>
  <w:footnote w:id="17">
    <w:p w14:paraId="3CEDF273" w14:textId="7856E06A" w:rsidR="0044781D" w:rsidRDefault="0044781D">
      <w:pPr>
        <w:pStyle w:val="Textpoznmkypodiarou"/>
      </w:pPr>
      <w:r w:rsidRPr="00DF7D6D">
        <w:rPr>
          <w:rStyle w:val="Odkaznapoznmkupodiarou"/>
        </w:rPr>
        <w:footnoteRef/>
      </w:r>
      <w:r w:rsidRPr="00DF7D6D">
        <w:t xml:space="preserve"> </w:t>
      </w:r>
      <w:r w:rsidRPr="00DF7D6D">
        <w:rPr>
          <w:sz w:val="18"/>
          <w:szCs w:val="18"/>
        </w:rPr>
        <w:t>MGDD (</w:t>
      </w:r>
      <w:proofErr w:type="spellStart"/>
      <w:r w:rsidRPr="00DF7D6D">
        <w:rPr>
          <w:sz w:val="18"/>
          <w:szCs w:val="18"/>
        </w:rPr>
        <w:t>Manual</w:t>
      </w:r>
      <w:proofErr w:type="spellEnd"/>
      <w:r w:rsidRPr="00DF7D6D">
        <w:rPr>
          <w:sz w:val="18"/>
          <w:szCs w:val="18"/>
        </w:rPr>
        <w:t xml:space="preserve"> on </w:t>
      </w:r>
      <w:proofErr w:type="spellStart"/>
      <w:r w:rsidRPr="00DF7D6D">
        <w:rPr>
          <w:sz w:val="18"/>
          <w:szCs w:val="18"/>
        </w:rPr>
        <w:t>Government</w:t>
      </w:r>
      <w:proofErr w:type="spellEnd"/>
      <w:r w:rsidRPr="00DF7D6D">
        <w:rPr>
          <w:sz w:val="18"/>
          <w:szCs w:val="18"/>
        </w:rPr>
        <w:t xml:space="preserve"> Deficit and </w:t>
      </w:r>
      <w:proofErr w:type="spellStart"/>
      <w:r w:rsidRPr="00DF7D6D">
        <w:rPr>
          <w:sz w:val="18"/>
          <w:szCs w:val="18"/>
        </w:rPr>
        <w:t>Debt</w:t>
      </w:r>
      <w:proofErr w:type="spellEnd"/>
      <w:r w:rsidRPr="00DF7D6D">
        <w:rPr>
          <w:sz w:val="18"/>
          <w:szCs w:val="18"/>
        </w:rPr>
        <w:t xml:space="preserve">), vydaný </w:t>
      </w:r>
      <w:proofErr w:type="spellStart"/>
      <w:r w:rsidRPr="00DF7D6D">
        <w:rPr>
          <w:sz w:val="18"/>
          <w:szCs w:val="18"/>
        </w:rPr>
        <w:t>Eurostatom</w:t>
      </w:r>
      <w:proofErr w:type="spellEnd"/>
      <w:r w:rsidRPr="00DF7D6D">
        <w:rPr>
          <w:sz w:val="18"/>
          <w:szCs w:val="18"/>
        </w:rPr>
        <w:t xml:space="preserve"> v auguste 2019 a aplikovaný v rámci jesennej notifikácie údajov za rok 2018.</w:t>
      </w:r>
    </w:p>
  </w:footnote>
  <w:footnote w:id="18">
    <w:p w14:paraId="0172D358" w14:textId="77777777" w:rsidR="0044781D" w:rsidRDefault="0044781D" w:rsidP="00AE0294">
      <w:pPr>
        <w:pStyle w:val="Textpoznmkypodiarou"/>
      </w:pPr>
      <w:r>
        <w:rPr>
          <w:rStyle w:val="Odkaznapoznmkupodiarou"/>
        </w:rPr>
        <w:footnoteRef/>
      </w:r>
      <w:r>
        <w:t xml:space="preserve"> </w:t>
      </w:r>
      <w:r w:rsidRPr="00EC358D">
        <w:rPr>
          <w:sz w:val="18"/>
          <w:szCs w:val="18"/>
        </w:rPr>
        <w:t xml:space="preserve">Vláda </w:t>
      </w:r>
      <w:r>
        <w:rPr>
          <w:sz w:val="18"/>
          <w:szCs w:val="18"/>
        </w:rPr>
        <w:t>SR</w:t>
      </w:r>
      <w:r w:rsidRPr="00EC358D">
        <w:rPr>
          <w:sz w:val="18"/>
          <w:szCs w:val="18"/>
        </w:rPr>
        <w:t xml:space="preserve"> schválila „Koncepci</w:t>
      </w:r>
      <w:r>
        <w:rPr>
          <w:sz w:val="18"/>
          <w:szCs w:val="18"/>
        </w:rPr>
        <w:t>u</w:t>
      </w:r>
      <w:r w:rsidRPr="00EC358D">
        <w:rPr>
          <w:sz w:val="18"/>
          <w:szCs w:val="18"/>
        </w:rPr>
        <w:t xml:space="preserve"> oddlženia zdravotníckych zariadení,“</w:t>
      </w:r>
      <w:r>
        <w:rPr>
          <w:sz w:val="18"/>
          <w:szCs w:val="18"/>
        </w:rPr>
        <w:t xml:space="preserve"> </w:t>
      </w:r>
      <w:r w:rsidRPr="00EC358D">
        <w:rPr>
          <w:sz w:val="18"/>
          <w:szCs w:val="18"/>
        </w:rPr>
        <w:t>na svojom rokovaní 13. septemb</w:t>
      </w:r>
      <w:r>
        <w:rPr>
          <w:sz w:val="18"/>
          <w:szCs w:val="18"/>
        </w:rPr>
        <w:t>ra 2017 uznesením</w:t>
      </w:r>
      <w:r w:rsidRPr="00EC358D">
        <w:rPr>
          <w:sz w:val="18"/>
          <w:szCs w:val="18"/>
        </w:rPr>
        <w:t xml:space="preserve"> č. 425/2017.</w:t>
      </w:r>
    </w:p>
  </w:footnote>
  <w:footnote w:id="19">
    <w:p w14:paraId="44EABBCD" w14:textId="6BE484BA" w:rsidR="0044781D" w:rsidRDefault="0044781D">
      <w:pPr>
        <w:pStyle w:val="Textpoznmkypodiarou"/>
      </w:pPr>
      <w:r>
        <w:rPr>
          <w:rStyle w:val="Odkaznapoznmkupodiarou"/>
        </w:rPr>
        <w:footnoteRef/>
      </w:r>
      <w:r>
        <w:t xml:space="preserve"> </w:t>
      </w:r>
      <w:r w:rsidRPr="00EF378D">
        <w:rPr>
          <w:sz w:val="18"/>
          <w:szCs w:val="18"/>
        </w:rPr>
        <w:t>EUROFIMA je nadnárodná spoločnosť so sídlom vo Švajčiarsku, Bazileji. Bola založená na základe medzinárodnej zmluvy podpísanej 25 európskymi štátmi. Vznikla v roku 1956 na dobu fungovania 50 rokov. V</w:t>
      </w:r>
      <w:r>
        <w:rPr>
          <w:sz w:val="18"/>
          <w:szCs w:val="18"/>
        </w:rPr>
        <w:t> </w:t>
      </w:r>
      <w:r w:rsidRPr="00EF378D">
        <w:rPr>
          <w:sz w:val="18"/>
          <w:szCs w:val="18"/>
        </w:rPr>
        <w:t>roku</w:t>
      </w:r>
      <w:r>
        <w:rPr>
          <w:sz w:val="18"/>
          <w:szCs w:val="18"/>
        </w:rPr>
        <w:t xml:space="preserve"> 1984 valné zhromaždenie rozhodlo o pokračovaní vo fungovaní spoločnosti na ďalších 50 rokov, do roku 2056. </w:t>
      </w:r>
      <w:r w:rsidRPr="00EF378D">
        <w:rPr>
          <w:sz w:val="18"/>
          <w:szCs w:val="18"/>
        </w:rPr>
        <w:t>Cieľom je poskytovať finančné zdroje pre členov EUROFIMI ako aj iné železničné spoločnosti za účelom modernizácia a obnovy železničného vybavenia (vozne, rušne).</w:t>
      </w:r>
      <w:r>
        <w:rPr>
          <w:sz w:val="18"/>
          <w:szCs w:val="18"/>
        </w:rPr>
        <w:t xml:space="preserve"> Železničná spoločnosť Slovensko, a.s. drží v spoločnosti 0,50% podiel.</w:t>
      </w:r>
      <w:r>
        <w:t xml:space="preserve">  </w:t>
      </w:r>
    </w:p>
  </w:footnote>
  <w:footnote w:id="20">
    <w:p w14:paraId="7F12EEAC" w14:textId="77777777" w:rsidR="0044781D" w:rsidRDefault="0044781D" w:rsidP="00EA177A">
      <w:pPr>
        <w:pStyle w:val="Textpoznmkypodiarou"/>
      </w:pPr>
      <w:r w:rsidRPr="0078266E">
        <w:rPr>
          <w:rStyle w:val="Odkaznapoznmkupodiarou"/>
        </w:rPr>
        <w:footnoteRef/>
      </w:r>
      <w:r w:rsidRPr="0078266E">
        <w:t xml:space="preserve"> </w:t>
      </w:r>
      <w:r w:rsidRPr="0078266E">
        <w:rPr>
          <w:sz w:val="18"/>
          <w:szCs w:val="18"/>
        </w:rPr>
        <w:t>Rozpočet verej</w:t>
      </w:r>
      <w:r>
        <w:rPr>
          <w:sz w:val="18"/>
          <w:szCs w:val="18"/>
        </w:rPr>
        <w:t>nej správy na roky 2018 až 2020,</w:t>
      </w:r>
      <w:r w:rsidRPr="0078266E">
        <w:rPr>
          <w:sz w:val="18"/>
          <w:szCs w:val="18"/>
        </w:rPr>
        <w:t xml:space="preserve"> </w:t>
      </w:r>
      <w:hyperlink r:id="rId3" w:history="1">
        <w:r w:rsidRPr="0078266E">
          <w:rPr>
            <w:rStyle w:val="Hypertextovprepojenie"/>
            <w:sz w:val="18"/>
            <w:szCs w:val="18"/>
          </w:rPr>
          <w:t>www.finance.gov.sk</w:t>
        </w:r>
      </w:hyperlink>
      <w:r w:rsidRPr="00912632">
        <w:t xml:space="preserve"> </w:t>
      </w:r>
    </w:p>
  </w:footnote>
  <w:footnote w:id="21">
    <w:p w14:paraId="16544F0F" w14:textId="77777777" w:rsidR="0044781D" w:rsidRDefault="0044781D" w:rsidP="00EA177A">
      <w:pPr>
        <w:pStyle w:val="Textpoznmkypodiarou"/>
      </w:pPr>
      <w:r w:rsidRPr="001F5B67">
        <w:rPr>
          <w:rStyle w:val="Odkaznapoznmkupodiarou"/>
          <w:sz w:val="18"/>
          <w:szCs w:val="18"/>
        </w:rPr>
        <w:footnoteRef/>
      </w:r>
      <w:r w:rsidRPr="001F5B67">
        <w:rPr>
          <w:sz w:val="18"/>
          <w:szCs w:val="18"/>
        </w:rPr>
        <w:t xml:space="preserve"> </w:t>
      </w:r>
      <w:r>
        <w:rPr>
          <w:sz w:val="18"/>
          <w:szCs w:val="18"/>
        </w:rPr>
        <w:t>Z</w:t>
      </w:r>
      <w:r w:rsidRPr="001F5B67">
        <w:rPr>
          <w:sz w:val="18"/>
          <w:szCs w:val="18"/>
        </w:rPr>
        <w:t>ákon č. 361/2014 Z. z. o dani z motorových vozidiel a</w:t>
      </w:r>
      <w:r>
        <w:rPr>
          <w:sz w:val="18"/>
          <w:szCs w:val="18"/>
        </w:rPr>
        <w:t xml:space="preserve"> </w:t>
      </w:r>
      <w:r w:rsidRPr="001F5B67">
        <w:rPr>
          <w:sz w:val="18"/>
          <w:szCs w:val="18"/>
        </w:rPr>
        <w:t>o zmene a</w:t>
      </w:r>
      <w:r>
        <w:rPr>
          <w:sz w:val="18"/>
          <w:szCs w:val="18"/>
        </w:rPr>
        <w:t xml:space="preserve"> </w:t>
      </w:r>
      <w:r w:rsidRPr="001F5B67">
        <w:rPr>
          <w:sz w:val="18"/>
          <w:szCs w:val="18"/>
        </w:rPr>
        <w:t>doplnení niektorých zákonov</w:t>
      </w:r>
    </w:p>
  </w:footnote>
  <w:footnote w:id="22">
    <w:p w14:paraId="3B69B6DC" w14:textId="77777777" w:rsidR="0044781D" w:rsidRDefault="0044781D" w:rsidP="00EA177A">
      <w:pPr>
        <w:pStyle w:val="Textpoznmkypodiarou"/>
      </w:pPr>
      <w:r w:rsidRPr="00A54E56">
        <w:rPr>
          <w:rStyle w:val="Odkaznapoznmkupodiarou"/>
          <w:sz w:val="18"/>
          <w:szCs w:val="18"/>
        </w:rPr>
        <w:footnoteRef/>
      </w:r>
      <w:r w:rsidRPr="00A54E56">
        <w:rPr>
          <w:sz w:val="18"/>
          <w:szCs w:val="18"/>
        </w:rPr>
        <w:t xml:space="preserve"> Vo FIN výkazoch príjmov a výdavkov štátneho rozpočtu je zaznamenaný výnos dane z príjmov fyzických osôb (DPFO) v štátnom rozpočte vo výške 5 919 tis. eur a výnos zo sankcií 20 895 tis. eur. Výnos DPFO bez sankcií je znížený o prevod dane územným samosprávam, ktorý už zahŕňa sankcie. A z toho dôvodu je výnos z DPFO na účte štátneho rozpočtu vo FIN výkaze podhodnotený, a to o 4 691 tis. eur a sankcie sú o uvedenú sumu zároveň nadhodnotené. V tabuľke sú preto uvedené upravené výnosy DPFO a sankcií, pričom na celkové príjmy táto úprava vplyv nemá.</w:t>
      </w:r>
    </w:p>
  </w:footnote>
  <w:footnote w:id="23">
    <w:p w14:paraId="6198E98A" w14:textId="77777777" w:rsidR="0044781D" w:rsidRPr="00A97AE1" w:rsidRDefault="0044781D" w:rsidP="00EA177A">
      <w:pPr>
        <w:pStyle w:val="Normlnywebov"/>
        <w:spacing w:before="0" w:beforeAutospacing="0" w:after="0" w:afterAutospacing="0"/>
        <w:jc w:val="both"/>
        <w:rPr>
          <w:sz w:val="18"/>
          <w:szCs w:val="18"/>
        </w:rPr>
      </w:pPr>
      <w:r w:rsidRPr="008D5E94">
        <w:rPr>
          <w:rStyle w:val="Odkaznapoznmkupodiarou"/>
          <w:sz w:val="18"/>
          <w:szCs w:val="18"/>
        </w:rPr>
        <w:footnoteRef/>
      </w:r>
      <w:r w:rsidRPr="008D5E94">
        <w:rPr>
          <w:sz w:val="18"/>
          <w:szCs w:val="18"/>
        </w:rPr>
        <w:t xml:space="preserve"> </w:t>
      </w:r>
      <w:r w:rsidRPr="00A97AE1">
        <w:rPr>
          <w:sz w:val="18"/>
          <w:szCs w:val="18"/>
        </w:rPr>
        <w:t>Asignácia dane predstavuje mechanizmus priamej podpory mimovládnych organizácií a neziskového sektora.</w:t>
      </w:r>
    </w:p>
    <w:p w14:paraId="50946F0E" w14:textId="6A39199E" w:rsidR="0044781D" w:rsidRDefault="0044781D" w:rsidP="00EA177A">
      <w:pPr>
        <w:pStyle w:val="Normlnywebov"/>
        <w:spacing w:before="0" w:beforeAutospacing="0" w:after="0" w:afterAutospacing="0"/>
        <w:jc w:val="both"/>
      </w:pPr>
      <w:r w:rsidRPr="00A97AE1">
        <w:rPr>
          <w:sz w:val="18"/>
          <w:szCs w:val="18"/>
        </w:rPr>
        <w:t>Fyzické osoby (FO), ktoré zaplatili daň, môžu nasmerovať 2% alebo 3% dane v prospech neziskového sektora, za predpokladu minimálnej výšky asignácie 3 eur. Asignovať 3% môžu osoby, ktoré vykonali dobrovoľníctvo v rozsahu najmenej 40 hodín za rok.</w:t>
      </w:r>
      <w:r>
        <w:rPr>
          <w:sz w:val="18"/>
          <w:szCs w:val="18"/>
        </w:rPr>
        <w:t xml:space="preserve"> </w:t>
      </w:r>
      <w:r w:rsidRPr="00A97AE1">
        <w:rPr>
          <w:sz w:val="18"/>
          <w:szCs w:val="18"/>
        </w:rPr>
        <w:t>Právnické osoby (PO) môžu asignovať daň vo výške 2% alebo 1%, za predpokladu minimálnej výšky asignácie 8 eur. Asignovať 2 % môže subjekt, ktorý daroval finančné prostriedky najmenej vo výške zodpovedajúcej 0,5 % zaplatenej dane.</w:t>
      </w:r>
      <w:r>
        <w:rPr>
          <w:sz w:val="18"/>
          <w:szCs w:val="18"/>
        </w:rPr>
        <w:t xml:space="preserve"> </w:t>
      </w:r>
      <w:r w:rsidRPr="00A97AE1">
        <w:rPr>
          <w:sz w:val="18"/>
          <w:szCs w:val="18"/>
        </w:rPr>
        <w:t xml:space="preserve">Na základe </w:t>
      </w:r>
      <w:hyperlink r:id="rId4" w:tooltip="memorandum [nové okno]" w:history="1">
        <w:r w:rsidRPr="00A97AE1">
          <w:rPr>
            <w:rStyle w:val="Hypertextovprepojenie"/>
            <w:sz w:val="18"/>
            <w:szCs w:val="18"/>
          </w:rPr>
          <w:t>memoranda</w:t>
        </w:r>
      </w:hyperlink>
      <w:r w:rsidRPr="00A97AE1">
        <w:rPr>
          <w:sz w:val="18"/>
          <w:szCs w:val="18"/>
        </w:rPr>
        <w:t xml:space="preserve"> MF SR a mimovládnych organizácií, zverejňuje MF SR údaje o vývoji asignácií dane fyzických a právnických osôb spolu s prognózou na ďalšie roky.</w:t>
      </w:r>
    </w:p>
  </w:footnote>
  <w:footnote w:id="24">
    <w:p w14:paraId="69754194" w14:textId="77777777" w:rsidR="0044781D" w:rsidRPr="00A54E56" w:rsidRDefault="0044781D" w:rsidP="00EA177A">
      <w:pPr>
        <w:pStyle w:val="Textpoznmkypodiarou"/>
        <w:rPr>
          <w:sz w:val="18"/>
          <w:szCs w:val="18"/>
        </w:rPr>
      </w:pPr>
      <w:r w:rsidRPr="00E263CA">
        <w:rPr>
          <w:rStyle w:val="Odkaznapoznmkupodiarou"/>
          <w:sz w:val="16"/>
          <w:szCs w:val="16"/>
        </w:rPr>
        <w:footnoteRef/>
      </w:r>
      <w:r w:rsidRPr="00E263CA">
        <w:rPr>
          <w:sz w:val="16"/>
          <w:szCs w:val="16"/>
        </w:rPr>
        <w:t xml:space="preserve"> </w:t>
      </w:r>
      <w:r w:rsidRPr="00A54E56">
        <w:rPr>
          <w:sz w:val="18"/>
          <w:szCs w:val="18"/>
        </w:rPr>
        <w:t>Legislatívne bolo schválené zavedenie e</w:t>
      </w:r>
      <w:r>
        <w:rPr>
          <w:sz w:val="18"/>
          <w:szCs w:val="18"/>
        </w:rPr>
        <w:t>-</w:t>
      </w:r>
      <w:r w:rsidRPr="00A54E56">
        <w:rPr>
          <w:sz w:val="18"/>
          <w:szCs w:val="18"/>
        </w:rPr>
        <w:t>Kasy pre všetky subjekty najneskôr do 1. júla. Pokuty za nezavedenie boli neskôr posunuté na 1. január 2020 aby mali subjekty dostatok času na prechod na novú online pokladňu, nakoľko hrozilo, že by nebol dostatok certifikovaných pokladníc na trhu.</w:t>
      </w:r>
    </w:p>
  </w:footnote>
  <w:footnote w:id="25">
    <w:p w14:paraId="20603E07" w14:textId="77777777" w:rsidR="0044781D" w:rsidRDefault="0044781D" w:rsidP="00EA177A">
      <w:pPr>
        <w:pStyle w:val="Textpoznmkypodiarou"/>
      </w:pPr>
      <w:r>
        <w:rPr>
          <w:rStyle w:val="Odkaznapoznmkupodiarou"/>
          <w:sz w:val="18"/>
          <w:szCs w:val="18"/>
        </w:rPr>
        <w:footnoteRef/>
      </w:r>
      <w:r>
        <w:rPr>
          <w:sz w:val="18"/>
          <w:szCs w:val="18"/>
        </w:rPr>
        <w:t xml:space="preserve"> Od roku 2012 je saldo príjmových a výdavkových transakcií vzťahujúcich sa k finančným operáciám ARDAL presunuté do výdavkovej rozpočtovej položky transfer rozpočtovej organizácii.</w:t>
      </w:r>
    </w:p>
  </w:footnote>
  <w:footnote w:id="26">
    <w:p w14:paraId="273851C9" w14:textId="77777777" w:rsidR="0044781D" w:rsidRPr="00354633" w:rsidRDefault="0044781D" w:rsidP="00EA177A">
      <w:pPr>
        <w:spacing w:after="0" w:line="240" w:lineRule="auto"/>
        <w:rPr>
          <w:sz w:val="18"/>
          <w:szCs w:val="18"/>
        </w:rPr>
      </w:pPr>
      <w:r>
        <w:rPr>
          <w:rStyle w:val="Odkaznapoznmkupodiarou"/>
        </w:rPr>
        <w:footnoteRef/>
      </w:r>
      <w:r>
        <w:t xml:space="preserve"> </w:t>
      </w:r>
      <w:r w:rsidRPr="00354633">
        <w:rPr>
          <w:color w:val="000000"/>
          <w:sz w:val="18"/>
          <w:szCs w:val="18"/>
          <w:lang w:eastAsia="sk-SK"/>
        </w:rPr>
        <w:t>Napríklad podľa zákona č. 580/2004 Z. z. o zdravotnom poistení v znení neskorších predpisov, zákona</w:t>
      </w:r>
      <w:r w:rsidRPr="00354633">
        <w:rPr>
          <w:color w:val="000000"/>
          <w:sz w:val="18"/>
          <w:szCs w:val="18"/>
          <w:lang w:eastAsia="sk-SK"/>
        </w:rPr>
        <w:br/>
        <w:t>č. 461/2003 Z. z. o sociálnom poistení v znení neskorších predpisov.</w:t>
      </w:r>
    </w:p>
    <w:p w14:paraId="36A64B2F" w14:textId="77777777" w:rsidR="0044781D" w:rsidRDefault="0044781D" w:rsidP="00EA177A">
      <w:pPr>
        <w:pStyle w:val="Textpoznmkypodiarou"/>
      </w:pPr>
    </w:p>
  </w:footnote>
  <w:footnote w:id="27">
    <w:p w14:paraId="77B090AF" w14:textId="77777777" w:rsidR="0044781D" w:rsidRPr="003A1B73" w:rsidRDefault="0044781D" w:rsidP="00EA177A">
      <w:pPr>
        <w:pStyle w:val="Textpoznmkypodiarou"/>
        <w:rPr>
          <w:sz w:val="18"/>
          <w:szCs w:val="18"/>
        </w:rPr>
      </w:pPr>
      <w:r w:rsidRPr="003A1B73">
        <w:rPr>
          <w:rStyle w:val="Odkaznapoznmkupodiarou"/>
          <w:sz w:val="18"/>
          <w:szCs w:val="18"/>
        </w:rPr>
        <w:footnoteRef/>
      </w:r>
      <w:r w:rsidRPr="003A1B73">
        <w:rPr>
          <w:sz w:val="18"/>
          <w:szCs w:val="18"/>
        </w:rPr>
        <w:t xml:space="preserve"> </w:t>
      </w:r>
      <w:r w:rsidRPr="003A1B73">
        <w:rPr>
          <w:rStyle w:val="Hypertextovprepojenie"/>
          <w:color w:val="auto"/>
          <w:sz w:val="18"/>
          <w:szCs w:val="18"/>
          <w:u w:val="none"/>
        </w:rPr>
        <w:t>https://www.upsvr.gov.sk/statistiky/zoznam-najmenej-rozvinutych-okresov</w:t>
      </w:r>
      <w:r w:rsidRPr="003A1B73">
        <w:rPr>
          <w:sz w:val="18"/>
          <w:szCs w:val="18"/>
        </w:rPr>
        <w:t xml:space="preserve"> </w:t>
      </w:r>
    </w:p>
  </w:footnote>
  <w:footnote w:id="28">
    <w:p w14:paraId="042A961B" w14:textId="77777777" w:rsidR="0044781D" w:rsidRPr="001F75DF" w:rsidRDefault="0044781D" w:rsidP="00EA177A">
      <w:pPr>
        <w:pStyle w:val="Textpoznmkypodiarou"/>
        <w:rPr>
          <w:sz w:val="16"/>
          <w:szCs w:val="16"/>
        </w:rPr>
      </w:pPr>
      <w:r w:rsidRPr="001F75DF">
        <w:rPr>
          <w:rStyle w:val="Odkaznapoznmkupodiarou"/>
          <w:sz w:val="16"/>
          <w:szCs w:val="16"/>
        </w:rPr>
        <w:footnoteRef/>
      </w:r>
      <w:r w:rsidRPr="001F75DF">
        <w:rPr>
          <w:sz w:val="16"/>
          <w:szCs w:val="16"/>
        </w:rPr>
        <w:t xml:space="preserve"> Štátne finančné pasíva, ktorými sú najmä záväzky z vydaných štátnych dlhopisov a pokladničných poukážok, záväzky z prijatých vládnych</w:t>
      </w:r>
      <w:r>
        <w:rPr>
          <w:sz w:val="16"/>
          <w:szCs w:val="16"/>
        </w:rPr>
        <w:t xml:space="preserve"> úverov sú bližšie hodnotené v Súhrnnej účtovnej závierke, keďže ide o stavovú veličinu. Výdavkové finančné operácie na splátky istín a rozpočtové výdavky na úhradu úrokov z týchto záväzkov sú predmetom hotovostného plnenie štátneho rozpočtu opisovaného v tomto Štátnom záverečnom účte.</w:t>
      </w:r>
      <w:r w:rsidRPr="001F75DF">
        <w:rPr>
          <w:sz w:val="16"/>
          <w:szCs w:val="16"/>
        </w:rPr>
        <w:t xml:space="preserve"> </w:t>
      </w:r>
    </w:p>
  </w:footnote>
  <w:footnote w:id="29">
    <w:p w14:paraId="70CD30EB" w14:textId="77777777" w:rsidR="0044781D" w:rsidRDefault="0044781D" w:rsidP="00EA177A">
      <w:pPr>
        <w:pStyle w:val="Textpoznmkypodiarou"/>
      </w:pPr>
      <w:r w:rsidRPr="00EF7A18">
        <w:rPr>
          <w:rStyle w:val="Odkaznapoznmkupodiarou"/>
          <w:rFonts w:eastAsiaTheme="majorEastAsia"/>
          <w:sz w:val="16"/>
          <w:szCs w:val="16"/>
        </w:rPr>
        <w:footnoteRef/>
      </w:r>
      <w:r w:rsidRPr="00EF7A18">
        <w:rPr>
          <w:sz w:val="16"/>
          <w:szCs w:val="16"/>
        </w:rPr>
        <w:t xml:space="preserve"> § 13 zákona č. 523/2004 Z. z. o rozpočtových pravidlách verejnej správy a o zmene a doplnení niektorých zákonov</w:t>
      </w:r>
      <w:r>
        <w:rPr>
          <w:sz w:val="16"/>
          <w:szCs w:val="16"/>
        </w:rPr>
        <w:t xml:space="preserve"> v </w:t>
      </w:r>
      <w:proofErr w:type="spellStart"/>
      <w:r>
        <w:rPr>
          <w:sz w:val="16"/>
          <w:szCs w:val="16"/>
        </w:rPr>
        <w:t>z.n.p</w:t>
      </w:r>
      <w:proofErr w:type="spellEnd"/>
      <w:r w:rsidRPr="00EF7A18">
        <w:rPr>
          <w:sz w:val="16"/>
          <w:szCs w:val="16"/>
        </w:rPr>
        <w:t>.</w:t>
      </w:r>
    </w:p>
  </w:footnote>
  <w:footnote w:id="30">
    <w:p w14:paraId="0ADAA089" w14:textId="77777777" w:rsidR="0044781D" w:rsidRDefault="0044781D" w:rsidP="00EA177A">
      <w:pPr>
        <w:pStyle w:val="Textpoznmkypodiarou"/>
      </w:pPr>
      <w:r w:rsidRPr="00EF7A18">
        <w:rPr>
          <w:rStyle w:val="Odkaznapoznmkupodiarou"/>
          <w:rFonts w:eastAsiaTheme="majorEastAsia"/>
          <w:sz w:val="16"/>
          <w:szCs w:val="16"/>
        </w:rPr>
        <w:footnoteRef/>
      </w:r>
      <w:r w:rsidRPr="00EF7A18">
        <w:rPr>
          <w:sz w:val="16"/>
          <w:szCs w:val="16"/>
        </w:rPr>
        <w:t xml:space="preserve"> Zákon č. 384/2011 Z. z. o osobitnom odvode vybraných finančných inštitúcií </w:t>
      </w:r>
      <w:r>
        <w:rPr>
          <w:sz w:val="16"/>
          <w:szCs w:val="16"/>
        </w:rPr>
        <w:t>a o doplnení niektorých zákonov v </w:t>
      </w:r>
      <w:proofErr w:type="spellStart"/>
      <w:r>
        <w:rPr>
          <w:sz w:val="16"/>
          <w:szCs w:val="16"/>
        </w:rPr>
        <w:t>z.n.p</w:t>
      </w:r>
      <w:proofErr w:type="spellEnd"/>
      <w:r>
        <w:rPr>
          <w:sz w:val="16"/>
          <w:szCs w:val="16"/>
        </w:rPr>
        <w:t>.</w:t>
      </w:r>
    </w:p>
  </w:footnote>
  <w:footnote w:id="31">
    <w:p w14:paraId="004D504F" w14:textId="77777777" w:rsidR="0044781D" w:rsidRDefault="0044781D" w:rsidP="00EA177A">
      <w:pPr>
        <w:pStyle w:val="Textpoznmkypodiarou"/>
      </w:pPr>
      <w:r w:rsidRPr="00EF7A18">
        <w:rPr>
          <w:rStyle w:val="Odkaznapoznmkupodiarou"/>
          <w:rFonts w:eastAsiaTheme="majorEastAsia"/>
          <w:sz w:val="16"/>
          <w:szCs w:val="16"/>
        </w:rPr>
        <w:footnoteRef/>
      </w:r>
      <w:r w:rsidRPr="00EF7A18">
        <w:rPr>
          <w:sz w:val="16"/>
          <w:szCs w:val="16"/>
        </w:rPr>
        <w:t xml:space="preserve"> Zákon č. 235/2012 Z. z. o osobitnom odvode z podnikania v regulovaných odvetviach a o zmen</w:t>
      </w:r>
      <w:r>
        <w:rPr>
          <w:sz w:val="16"/>
          <w:szCs w:val="16"/>
        </w:rPr>
        <w:t>e a doplnení niektorých zákonov v </w:t>
      </w:r>
      <w:proofErr w:type="spellStart"/>
      <w:r>
        <w:rPr>
          <w:sz w:val="16"/>
          <w:szCs w:val="16"/>
        </w:rPr>
        <w:t>z.n.p</w:t>
      </w:r>
      <w:proofErr w:type="spellEnd"/>
      <w:r>
        <w:rPr>
          <w:sz w:val="16"/>
          <w:szCs w:val="16"/>
        </w:rPr>
        <w:t>.</w:t>
      </w:r>
    </w:p>
  </w:footnote>
  <w:footnote w:id="32">
    <w:p w14:paraId="310EA471" w14:textId="77777777" w:rsidR="0044781D" w:rsidRDefault="0044781D" w:rsidP="00EA177A">
      <w:pPr>
        <w:pStyle w:val="Textkomentra"/>
      </w:pPr>
      <w:r>
        <w:rPr>
          <w:rStyle w:val="Odkaznapoznmkupodiarou"/>
        </w:rPr>
        <w:footnoteRef/>
      </w:r>
      <w:r>
        <w:t xml:space="preserve">Materiál č. UV-29759/2017 Koncepcia oddlženia zdravotníckych zariadení, </w:t>
      </w:r>
      <w:hyperlink r:id="rId5" w:history="1">
        <w:r w:rsidRPr="0075701A">
          <w:rPr>
            <w:rStyle w:val="Hypertextovprepojenie"/>
          </w:rPr>
          <w:t>www.rokovania.gov.sk</w:t>
        </w:r>
      </w:hyperlink>
    </w:p>
  </w:footnote>
  <w:footnote w:id="33">
    <w:p w14:paraId="19C7504E" w14:textId="77777777" w:rsidR="0044781D" w:rsidRPr="00AC1F0A" w:rsidRDefault="0044781D" w:rsidP="00EA177A">
      <w:pPr>
        <w:pStyle w:val="Normlnywebov"/>
        <w:spacing w:before="0" w:beforeAutospacing="0" w:after="0" w:afterAutospacing="0"/>
        <w:jc w:val="both"/>
        <w:rPr>
          <w:sz w:val="18"/>
          <w:szCs w:val="18"/>
        </w:rPr>
      </w:pPr>
      <w:r w:rsidRPr="00CB31D3">
        <w:rPr>
          <w:rStyle w:val="Odkaznapoznmkupodiarou"/>
          <w:sz w:val="18"/>
          <w:szCs w:val="18"/>
        </w:rPr>
        <w:footnoteRef/>
      </w:r>
      <w:r w:rsidRPr="00CB31D3">
        <w:rPr>
          <w:sz w:val="18"/>
          <w:szCs w:val="18"/>
        </w:rPr>
        <w:t xml:space="preserve"> </w:t>
      </w:r>
      <w:r>
        <w:rPr>
          <w:sz w:val="18"/>
          <w:szCs w:val="18"/>
        </w:rPr>
        <w:t>V novembri 2019 schválila NR SR novelu zákona č.</w:t>
      </w:r>
      <w:r w:rsidRPr="00AC1F0A">
        <w:rPr>
          <w:sz w:val="18"/>
          <w:szCs w:val="18"/>
        </w:rPr>
        <w:t> 384/2011 Z. z. o osobitnom odvode vybraných finančných inštitúcií a o doplnení niektorých zákonov</w:t>
      </w:r>
      <w:r>
        <w:rPr>
          <w:sz w:val="18"/>
          <w:szCs w:val="18"/>
        </w:rPr>
        <w:t xml:space="preserve">, ktorou sa zvýšila sadzba osobitného odvodu bánk na rok 2020 a na ďalšie kalendárne roky na úrovni 0,4 %. Pred novelou zákona mal ,,bankový odvod“ platiť do roku 2021 pri sadzbe 0,2 %. </w:t>
      </w:r>
    </w:p>
    <w:p w14:paraId="0E608C9E" w14:textId="77777777" w:rsidR="0044781D" w:rsidRPr="00CB31D3" w:rsidRDefault="0044781D" w:rsidP="00EA177A">
      <w:pPr>
        <w:pStyle w:val="Textpoznmkypodiarou"/>
        <w:rPr>
          <w:sz w:val="18"/>
          <w:szCs w:val="18"/>
        </w:rPr>
      </w:pPr>
    </w:p>
  </w:footnote>
  <w:footnote w:id="34">
    <w:p w14:paraId="079460AC" w14:textId="77777777" w:rsidR="0044781D" w:rsidRDefault="0044781D" w:rsidP="00EA177A">
      <w:pPr>
        <w:pStyle w:val="Textpoznmkypodiarou"/>
      </w:pPr>
      <w:r>
        <w:rPr>
          <w:rStyle w:val="Odkaznapoznmkupodiarou"/>
        </w:rPr>
        <w:footnoteRef/>
      </w:r>
      <w:r>
        <w:t xml:space="preserve"> </w:t>
      </w:r>
      <w:r w:rsidRPr="00C704A7">
        <w:rPr>
          <w:sz w:val="18"/>
          <w:szCs w:val="18"/>
        </w:rPr>
        <w:t>Počet sa znížil zlúčením Operačného programu Integrovaná infraštruktúra s Operačným programom Výskum a inovácie na základe Rozhodnutia EK z 11.12.2019.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D97"/>
    <w:multiLevelType w:val="hybridMultilevel"/>
    <w:tmpl w:val="C06EB592"/>
    <w:lvl w:ilvl="0" w:tplc="602CF9E8">
      <w:start w:val="1"/>
      <w:numFmt w:val="decimal"/>
      <w:lvlText w:val="%1)"/>
      <w:lvlJc w:val="left"/>
      <w:pPr>
        <w:ind w:left="720" w:hanging="360"/>
      </w:pPr>
      <w:rPr>
        <w:rFonts w:hint="default"/>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F35EC"/>
    <w:multiLevelType w:val="hybridMultilevel"/>
    <w:tmpl w:val="B5AAD8B6"/>
    <w:lvl w:ilvl="0" w:tplc="0700F738">
      <w:start w:val="13"/>
      <w:numFmt w:val="bullet"/>
      <w:lvlText w:val="-"/>
      <w:lvlJc w:val="left"/>
      <w:pPr>
        <w:ind w:left="502"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9AF1F64"/>
    <w:multiLevelType w:val="hybridMultilevel"/>
    <w:tmpl w:val="5DC6EE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19818AC"/>
    <w:multiLevelType w:val="hybridMultilevel"/>
    <w:tmpl w:val="882A478E"/>
    <w:lvl w:ilvl="0" w:tplc="0700F738">
      <w:start w:val="1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80251A"/>
    <w:multiLevelType w:val="hybridMultilevel"/>
    <w:tmpl w:val="0F7455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26049F"/>
    <w:multiLevelType w:val="hybridMultilevel"/>
    <w:tmpl w:val="B7D037FA"/>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C3F95"/>
    <w:multiLevelType w:val="hybridMultilevel"/>
    <w:tmpl w:val="0C1CD950"/>
    <w:lvl w:ilvl="0" w:tplc="7486CED2">
      <w:start w:val="1"/>
      <w:numFmt w:val="decimal"/>
      <w:lvlText w:val="%1)"/>
      <w:lvlJc w:val="left"/>
      <w:pPr>
        <w:ind w:left="720" w:hanging="360"/>
      </w:pPr>
      <w:rPr>
        <w:rFonts w:hint="default"/>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AC3A1E"/>
    <w:multiLevelType w:val="multilevel"/>
    <w:tmpl w:val="D8FAB112"/>
    <w:lvl w:ilvl="0">
      <w:start w:val="1"/>
      <w:numFmt w:val="decimal"/>
      <w:pStyle w:val="Nadpis1"/>
      <w:lvlText w:val="%1"/>
      <w:lvlJc w:val="left"/>
      <w:pPr>
        <w:ind w:left="3977"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1D811F48"/>
    <w:multiLevelType w:val="hybridMultilevel"/>
    <w:tmpl w:val="AA9814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2D6907"/>
    <w:multiLevelType w:val="hybridMultilevel"/>
    <w:tmpl w:val="E4B6CE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7176939"/>
    <w:multiLevelType w:val="hybridMultilevel"/>
    <w:tmpl w:val="F81850D2"/>
    <w:lvl w:ilvl="0" w:tplc="0700F738">
      <w:start w:val="1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7D608E"/>
    <w:multiLevelType w:val="hybridMultilevel"/>
    <w:tmpl w:val="D06C4588"/>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8513FC9"/>
    <w:multiLevelType w:val="hybridMultilevel"/>
    <w:tmpl w:val="863E5E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A7436C6"/>
    <w:multiLevelType w:val="hybridMultilevel"/>
    <w:tmpl w:val="349CC3E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1E4BBE"/>
    <w:multiLevelType w:val="hybridMultilevel"/>
    <w:tmpl w:val="21CE4998"/>
    <w:lvl w:ilvl="0" w:tplc="FFFFFFFF">
      <w:start w:val="1"/>
      <w:numFmt w:val="bullet"/>
      <w:lvlText w:val=""/>
      <w:lvlJc w:val="left"/>
      <w:pPr>
        <w:ind w:left="1287" w:hanging="360"/>
      </w:pPr>
      <w:rPr>
        <w:rFonts w:ascii="Symbol" w:hAnsi="Symbol" w:hint="default"/>
      </w:rPr>
    </w:lvl>
    <w:lvl w:ilvl="1" w:tplc="041B0005">
      <w:start w:val="1"/>
      <w:numFmt w:val="bullet"/>
      <w:lvlText w:val=""/>
      <w:lvlJc w:val="left"/>
      <w:pPr>
        <w:ind w:left="1353" w:hanging="360"/>
      </w:pPr>
      <w:rPr>
        <w:rFonts w:ascii="Wingdings" w:hAnsi="Wingdings" w:hint="default"/>
      </w:rPr>
    </w:lvl>
    <w:lvl w:ilvl="2" w:tplc="041B0005">
      <w:start w:val="1"/>
      <w:numFmt w:val="bullet"/>
      <w:lvlText w:val=""/>
      <w:lvlJc w:val="left"/>
      <w:pPr>
        <w:ind w:left="2727" w:hanging="360"/>
      </w:pPr>
      <w:rPr>
        <w:rFonts w:ascii="Wingdings" w:hAnsi="Wingdings" w:hint="default"/>
      </w:rPr>
    </w:lvl>
    <w:lvl w:ilvl="3" w:tplc="AB0C57A0">
      <w:start w:val="12"/>
      <w:numFmt w:val="bullet"/>
      <w:lvlText w:val="-"/>
      <w:lvlJc w:val="left"/>
      <w:pPr>
        <w:ind w:left="3447" w:hanging="360"/>
      </w:pPr>
      <w:rPr>
        <w:rFonts w:ascii="Times New Roman" w:eastAsia="Times New Roman" w:hAnsi="Times New Roman"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3EA46160"/>
    <w:multiLevelType w:val="hybridMultilevel"/>
    <w:tmpl w:val="A894B8EC"/>
    <w:lvl w:ilvl="0" w:tplc="A36E3E12">
      <w:start w:val="3"/>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1277F1C"/>
    <w:multiLevelType w:val="hybridMultilevel"/>
    <w:tmpl w:val="C5E44DD8"/>
    <w:lvl w:ilvl="0" w:tplc="8DEC2BFC">
      <w:start w:val="883"/>
      <w:numFmt w:val="bullet"/>
      <w:lvlText w:val="-"/>
      <w:lvlJc w:val="left"/>
      <w:pPr>
        <w:ind w:left="760" w:hanging="360"/>
      </w:pPr>
      <w:rPr>
        <w:rFonts w:ascii="Arial Narrow" w:eastAsia="Times New Roman" w:hAnsi="Arial Narrow"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17" w15:restartNumberingAfterBreak="0">
    <w:nsid w:val="53D42E79"/>
    <w:multiLevelType w:val="hybridMultilevel"/>
    <w:tmpl w:val="0DF82906"/>
    <w:lvl w:ilvl="0" w:tplc="E9EA3ADA">
      <w:start w:val="5"/>
      <w:numFmt w:val="bullet"/>
      <w:lvlText w:val="-"/>
      <w:lvlJc w:val="left"/>
      <w:pPr>
        <w:ind w:left="1068" w:hanging="360"/>
      </w:pPr>
      <w:rPr>
        <w:rFonts w:ascii="Calibri" w:eastAsia="Calibri" w:hAnsi="Calibri"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8" w15:restartNumberingAfterBreak="0">
    <w:nsid w:val="565826BB"/>
    <w:multiLevelType w:val="hybridMultilevel"/>
    <w:tmpl w:val="E3FE22E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D280FDC"/>
    <w:multiLevelType w:val="hybridMultilevel"/>
    <w:tmpl w:val="5C06B272"/>
    <w:lvl w:ilvl="0" w:tplc="0700F738">
      <w:start w:val="13"/>
      <w:numFmt w:val="bullet"/>
      <w:lvlText w:val="-"/>
      <w:lvlJc w:val="left"/>
      <w:pPr>
        <w:ind w:left="1428" w:hanging="360"/>
      </w:pPr>
      <w:rPr>
        <w:rFonts w:ascii="Calibri" w:eastAsia="Calibri" w:hAnsi="Calibri"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5E041085"/>
    <w:multiLevelType w:val="multilevel"/>
    <w:tmpl w:val="227C488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C55E4A"/>
    <w:multiLevelType w:val="hybridMultilevel"/>
    <w:tmpl w:val="B28C50EC"/>
    <w:lvl w:ilvl="0" w:tplc="11FAF0F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63296CFC"/>
    <w:multiLevelType w:val="multilevel"/>
    <w:tmpl w:val="9C68BA8A"/>
    <w:lvl w:ilvl="0">
      <w:start w:val="1"/>
      <w:numFmt w:val="decimal"/>
      <w:lvlText w:val="%1"/>
      <w:lvlJc w:val="left"/>
      <w:pPr>
        <w:ind w:left="8087"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950" w:hanging="720"/>
      </w:pPr>
      <w:rPr>
        <w:rFonts w:cs="Times New Roman"/>
      </w:rPr>
    </w:lvl>
    <w:lvl w:ilvl="3">
      <w:start w:val="1"/>
      <w:numFmt w:val="decimal"/>
      <w:lvlText w:val="%1.%2.%3.%4"/>
      <w:lvlJc w:val="left"/>
      <w:pPr>
        <w:ind w:left="9510"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664D5586"/>
    <w:multiLevelType w:val="hybridMultilevel"/>
    <w:tmpl w:val="A154BC5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365A7E"/>
    <w:multiLevelType w:val="multilevel"/>
    <w:tmpl w:val="D16497F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BFA1DF4"/>
    <w:multiLevelType w:val="hybridMultilevel"/>
    <w:tmpl w:val="C0FAE3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B6461F"/>
    <w:multiLevelType w:val="hybridMultilevel"/>
    <w:tmpl w:val="040231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E22678B"/>
    <w:multiLevelType w:val="hybridMultilevel"/>
    <w:tmpl w:val="39D2BF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679511E"/>
    <w:multiLevelType w:val="hybridMultilevel"/>
    <w:tmpl w:val="23F61EEC"/>
    <w:lvl w:ilvl="0" w:tplc="24E6EF4E">
      <w:start w:val="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785775C6"/>
    <w:multiLevelType w:val="hybridMultilevel"/>
    <w:tmpl w:val="D8F82C0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0"/>
  </w:num>
  <w:num w:numId="5">
    <w:abstractNumId w:val="27"/>
  </w:num>
  <w:num w:numId="6">
    <w:abstractNumId w:val="15"/>
  </w:num>
  <w:num w:numId="7">
    <w:abstractNumId w:val="3"/>
  </w:num>
  <w:num w:numId="8">
    <w:abstractNumId w:val="10"/>
  </w:num>
  <w:num w:numId="9">
    <w:abstractNumId w:val="19"/>
  </w:num>
  <w:num w:numId="1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21"/>
  </w:num>
  <w:num w:numId="14">
    <w:abstractNumId w:val="18"/>
  </w:num>
  <w:num w:numId="15">
    <w:abstractNumId w:val="1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num>
  <w:num w:numId="20">
    <w:abstractNumId w:val="28"/>
  </w:num>
  <w:num w:numId="21">
    <w:abstractNumId w:val="8"/>
  </w:num>
  <w:num w:numId="22">
    <w:abstractNumId w:val="29"/>
  </w:num>
  <w:num w:numId="23">
    <w:abstractNumId w:val="16"/>
  </w:num>
  <w:num w:numId="24">
    <w:abstractNumId w:val="26"/>
  </w:num>
  <w:num w:numId="25">
    <w:abstractNumId w:val="13"/>
  </w:num>
  <w:num w:numId="26">
    <w:abstractNumId w:val="23"/>
  </w:num>
  <w:num w:numId="27">
    <w:abstractNumId w:val="4"/>
  </w:num>
  <w:num w:numId="28">
    <w:abstractNumId w:val="9"/>
  </w:num>
  <w:num w:numId="29">
    <w:abstractNumId w:val="7"/>
  </w:num>
  <w:num w:numId="30">
    <w:abstractNumId w:val="6"/>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hideGrammaticalErrors/>
  <w:proofState w:spelling="clean"/>
  <w:defaultTabStop w:val="708"/>
  <w:hyphenationZone w:val="425"/>
  <w:evenAndOddHeaders/>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B4"/>
    <w:rsid w:val="000009AA"/>
    <w:rsid w:val="00002C07"/>
    <w:rsid w:val="00003185"/>
    <w:rsid w:val="00004436"/>
    <w:rsid w:val="00006FC6"/>
    <w:rsid w:val="00007C06"/>
    <w:rsid w:val="00010C37"/>
    <w:rsid w:val="00011ABC"/>
    <w:rsid w:val="0001332C"/>
    <w:rsid w:val="000156A6"/>
    <w:rsid w:val="00020746"/>
    <w:rsid w:val="00021DF5"/>
    <w:rsid w:val="00021EB3"/>
    <w:rsid w:val="00022082"/>
    <w:rsid w:val="0002242F"/>
    <w:rsid w:val="000227C0"/>
    <w:rsid w:val="000235AD"/>
    <w:rsid w:val="0002384D"/>
    <w:rsid w:val="000247A8"/>
    <w:rsid w:val="00024990"/>
    <w:rsid w:val="00024D82"/>
    <w:rsid w:val="000265AB"/>
    <w:rsid w:val="00026608"/>
    <w:rsid w:val="00027919"/>
    <w:rsid w:val="00030868"/>
    <w:rsid w:val="000313E4"/>
    <w:rsid w:val="000337EE"/>
    <w:rsid w:val="000347AD"/>
    <w:rsid w:val="0003538A"/>
    <w:rsid w:val="00035949"/>
    <w:rsid w:val="0003620E"/>
    <w:rsid w:val="00040457"/>
    <w:rsid w:val="0004106B"/>
    <w:rsid w:val="0004373C"/>
    <w:rsid w:val="00044F35"/>
    <w:rsid w:val="00045828"/>
    <w:rsid w:val="00045BE3"/>
    <w:rsid w:val="00046082"/>
    <w:rsid w:val="0004633C"/>
    <w:rsid w:val="00046382"/>
    <w:rsid w:val="00047A6B"/>
    <w:rsid w:val="00047F86"/>
    <w:rsid w:val="00050148"/>
    <w:rsid w:val="000503CE"/>
    <w:rsid w:val="00051013"/>
    <w:rsid w:val="00051DD2"/>
    <w:rsid w:val="0005259F"/>
    <w:rsid w:val="000535E8"/>
    <w:rsid w:val="00053C7A"/>
    <w:rsid w:val="00054518"/>
    <w:rsid w:val="000550BC"/>
    <w:rsid w:val="00056CD8"/>
    <w:rsid w:val="00057121"/>
    <w:rsid w:val="00057E5C"/>
    <w:rsid w:val="0006055A"/>
    <w:rsid w:val="00062135"/>
    <w:rsid w:val="000633AA"/>
    <w:rsid w:val="00063F2E"/>
    <w:rsid w:val="00064795"/>
    <w:rsid w:val="00064D2C"/>
    <w:rsid w:val="00065E4A"/>
    <w:rsid w:val="00066627"/>
    <w:rsid w:val="00070082"/>
    <w:rsid w:val="00071652"/>
    <w:rsid w:val="00071D40"/>
    <w:rsid w:val="00072BE7"/>
    <w:rsid w:val="0007321A"/>
    <w:rsid w:val="000736E0"/>
    <w:rsid w:val="00073B7D"/>
    <w:rsid w:val="00073BD6"/>
    <w:rsid w:val="00074436"/>
    <w:rsid w:val="000747E2"/>
    <w:rsid w:val="000748F9"/>
    <w:rsid w:val="000754AC"/>
    <w:rsid w:val="00076C23"/>
    <w:rsid w:val="000779E1"/>
    <w:rsid w:val="00077D54"/>
    <w:rsid w:val="00077E5D"/>
    <w:rsid w:val="000801AF"/>
    <w:rsid w:val="000821CD"/>
    <w:rsid w:val="000821EE"/>
    <w:rsid w:val="00083F62"/>
    <w:rsid w:val="00084D1A"/>
    <w:rsid w:val="0008539A"/>
    <w:rsid w:val="0008566D"/>
    <w:rsid w:val="000866C2"/>
    <w:rsid w:val="0008687F"/>
    <w:rsid w:val="00087077"/>
    <w:rsid w:val="000909A0"/>
    <w:rsid w:val="00090D49"/>
    <w:rsid w:val="000911E5"/>
    <w:rsid w:val="00091942"/>
    <w:rsid w:val="000920F8"/>
    <w:rsid w:val="0009362B"/>
    <w:rsid w:val="00093D4B"/>
    <w:rsid w:val="00094327"/>
    <w:rsid w:val="000956A5"/>
    <w:rsid w:val="000961B7"/>
    <w:rsid w:val="00096A96"/>
    <w:rsid w:val="00097736"/>
    <w:rsid w:val="00097F73"/>
    <w:rsid w:val="000A08FC"/>
    <w:rsid w:val="000A2B5E"/>
    <w:rsid w:val="000A37A5"/>
    <w:rsid w:val="000A3929"/>
    <w:rsid w:val="000A3C84"/>
    <w:rsid w:val="000A3E55"/>
    <w:rsid w:val="000A3EDD"/>
    <w:rsid w:val="000A3FA3"/>
    <w:rsid w:val="000A4AFB"/>
    <w:rsid w:val="000A6683"/>
    <w:rsid w:val="000A69B1"/>
    <w:rsid w:val="000B07EE"/>
    <w:rsid w:val="000B11F9"/>
    <w:rsid w:val="000B3FA7"/>
    <w:rsid w:val="000B476C"/>
    <w:rsid w:val="000B4A89"/>
    <w:rsid w:val="000B61F4"/>
    <w:rsid w:val="000B75C0"/>
    <w:rsid w:val="000B78C4"/>
    <w:rsid w:val="000C03E3"/>
    <w:rsid w:val="000C0B4D"/>
    <w:rsid w:val="000C19A7"/>
    <w:rsid w:val="000C2381"/>
    <w:rsid w:val="000C2605"/>
    <w:rsid w:val="000C2D17"/>
    <w:rsid w:val="000C5B4E"/>
    <w:rsid w:val="000C6109"/>
    <w:rsid w:val="000C6F8E"/>
    <w:rsid w:val="000C71F6"/>
    <w:rsid w:val="000C74CA"/>
    <w:rsid w:val="000C7E91"/>
    <w:rsid w:val="000D0294"/>
    <w:rsid w:val="000D0C1A"/>
    <w:rsid w:val="000D1669"/>
    <w:rsid w:val="000D18AA"/>
    <w:rsid w:val="000D1FAF"/>
    <w:rsid w:val="000D2302"/>
    <w:rsid w:val="000D3F48"/>
    <w:rsid w:val="000D42C0"/>
    <w:rsid w:val="000D4942"/>
    <w:rsid w:val="000D5C00"/>
    <w:rsid w:val="000D5CED"/>
    <w:rsid w:val="000D5D8D"/>
    <w:rsid w:val="000D6114"/>
    <w:rsid w:val="000D731D"/>
    <w:rsid w:val="000E0E99"/>
    <w:rsid w:val="000E18B3"/>
    <w:rsid w:val="000E2643"/>
    <w:rsid w:val="000E67F6"/>
    <w:rsid w:val="000E6900"/>
    <w:rsid w:val="000F02FD"/>
    <w:rsid w:val="000F07B6"/>
    <w:rsid w:val="000F21D2"/>
    <w:rsid w:val="000F3834"/>
    <w:rsid w:val="000F4980"/>
    <w:rsid w:val="000F4E7E"/>
    <w:rsid w:val="000F5B64"/>
    <w:rsid w:val="000F6518"/>
    <w:rsid w:val="000F72B5"/>
    <w:rsid w:val="000F7410"/>
    <w:rsid w:val="000F751F"/>
    <w:rsid w:val="000F7527"/>
    <w:rsid w:val="000F7646"/>
    <w:rsid w:val="000F7DD7"/>
    <w:rsid w:val="0010106D"/>
    <w:rsid w:val="00102BBA"/>
    <w:rsid w:val="001048BE"/>
    <w:rsid w:val="00104953"/>
    <w:rsid w:val="001049B6"/>
    <w:rsid w:val="00104B0B"/>
    <w:rsid w:val="0010515D"/>
    <w:rsid w:val="001051D8"/>
    <w:rsid w:val="0010567A"/>
    <w:rsid w:val="00105B67"/>
    <w:rsid w:val="00105BF8"/>
    <w:rsid w:val="00110CA4"/>
    <w:rsid w:val="0011109D"/>
    <w:rsid w:val="00111D91"/>
    <w:rsid w:val="00111E27"/>
    <w:rsid w:val="00112357"/>
    <w:rsid w:val="00112E7C"/>
    <w:rsid w:val="00112ECB"/>
    <w:rsid w:val="00114152"/>
    <w:rsid w:val="00114612"/>
    <w:rsid w:val="001153B0"/>
    <w:rsid w:val="0011636A"/>
    <w:rsid w:val="00116BCD"/>
    <w:rsid w:val="00116EA0"/>
    <w:rsid w:val="001200B1"/>
    <w:rsid w:val="0012020C"/>
    <w:rsid w:val="001205FE"/>
    <w:rsid w:val="00120749"/>
    <w:rsid w:val="00122D00"/>
    <w:rsid w:val="00122D65"/>
    <w:rsid w:val="0012574B"/>
    <w:rsid w:val="00125DC5"/>
    <w:rsid w:val="001273F0"/>
    <w:rsid w:val="00127C08"/>
    <w:rsid w:val="00127DA4"/>
    <w:rsid w:val="0013027B"/>
    <w:rsid w:val="001311E9"/>
    <w:rsid w:val="00131246"/>
    <w:rsid w:val="00133B51"/>
    <w:rsid w:val="00135126"/>
    <w:rsid w:val="00135AFC"/>
    <w:rsid w:val="00135D9E"/>
    <w:rsid w:val="00136C54"/>
    <w:rsid w:val="001376BA"/>
    <w:rsid w:val="001402E1"/>
    <w:rsid w:val="00140B5A"/>
    <w:rsid w:val="00141083"/>
    <w:rsid w:val="00141A5D"/>
    <w:rsid w:val="001432A2"/>
    <w:rsid w:val="001436B3"/>
    <w:rsid w:val="00143CA3"/>
    <w:rsid w:val="00144775"/>
    <w:rsid w:val="00146229"/>
    <w:rsid w:val="00150B92"/>
    <w:rsid w:val="00150F61"/>
    <w:rsid w:val="0015169B"/>
    <w:rsid w:val="00153857"/>
    <w:rsid w:val="00154AB2"/>
    <w:rsid w:val="0015633C"/>
    <w:rsid w:val="00156FC4"/>
    <w:rsid w:val="00161134"/>
    <w:rsid w:val="00161914"/>
    <w:rsid w:val="00162608"/>
    <w:rsid w:val="00162CED"/>
    <w:rsid w:val="00164FE8"/>
    <w:rsid w:val="00165021"/>
    <w:rsid w:val="0016515E"/>
    <w:rsid w:val="00165F88"/>
    <w:rsid w:val="001706CF"/>
    <w:rsid w:val="0017186F"/>
    <w:rsid w:val="00171ABF"/>
    <w:rsid w:val="001726E9"/>
    <w:rsid w:val="00172AA1"/>
    <w:rsid w:val="0017407C"/>
    <w:rsid w:val="001742D7"/>
    <w:rsid w:val="001747AE"/>
    <w:rsid w:val="00174B01"/>
    <w:rsid w:val="001757A1"/>
    <w:rsid w:val="00176102"/>
    <w:rsid w:val="00176C4A"/>
    <w:rsid w:val="00177948"/>
    <w:rsid w:val="00181EAF"/>
    <w:rsid w:val="00184143"/>
    <w:rsid w:val="00184D2D"/>
    <w:rsid w:val="00185548"/>
    <w:rsid w:val="001859BD"/>
    <w:rsid w:val="00186A4D"/>
    <w:rsid w:val="00187814"/>
    <w:rsid w:val="00187F9D"/>
    <w:rsid w:val="001908BA"/>
    <w:rsid w:val="0019171E"/>
    <w:rsid w:val="00191E3C"/>
    <w:rsid w:val="00192270"/>
    <w:rsid w:val="00192B3E"/>
    <w:rsid w:val="001931A3"/>
    <w:rsid w:val="00194FA4"/>
    <w:rsid w:val="00195AB8"/>
    <w:rsid w:val="00195FE3"/>
    <w:rsid w:val="0019620A"/>
    <w:rsid w:val="00197430"/>
    <w:rsid w:val="0019788F"/>
    <w:rsid w:val="001A0EE8"/>
    <w:rsid w:val="001A14AF"/>
    <w:rsid w:val="001A1586"/>
    <w:rsid w:val="001A1993"/>
    <w:rsid w:val="001A1F07"/>
    <w:rsid w:val="001A2E80"/>
    <w:rsid w:val="001A333C"/>
    <w:rsid w:val="001A38B4"/>
    <w:rsid w:val="001A55BE"/>
    <w:rsid w:val="001A5BBF"/>
    <w:rsid w:val="001A66EA"/>
    <w:rsid w:val="001B072E"/>
    <w:rsid w:val="001B1225"/>
    <w:rsid w:val="001B148C"/>
    <w:rsid w:val="001B1630"/>
    <w:rsid w:val="001B1FCB"/>
    <w:rsid w:val="001B2D89"/>
    <w:rsid w:val="001B34E6"/>
    <w:rsid w:val="001B382F"/>
    <w:rsid w:val="001B4083"/>
    <w:rsid w:val="001B774D"/>
    <w:rsid w:val="001B7A1A"/>
    <w:rsid w:val="001C0A69"/>
    <w:rsid w:val="001C0BCD"/>
    <w:rsid w:val="001C119A"/>
    <w:rsid w:val="001C159F"/>
    <w:rsid w:val="001C2606"/>
    <w:rsid w:val="001C3737"/>
    <w:rsid w:val="001C37AC"/>
    <w:rsid w:val="001C3AA5"/>
    <w:rsid w:val="001C47F8"/>
    <w:rsid w:val="001C4CA7"/>
    <w:rsid w:val="001C4DF1"/>
    <w:rsid w:val="001C4E82"/>
    <w:rsid w:val="001C531B"/>
    <w:rsid w:val="001C6F9E"/>
    <w:rsid w:val="001C798E"/>
    <w:rsid w:val="001D0B23"/>
    <w:rsid w:val="001D0D92"/>
    <w:rsid w:val="001D2108"/>
    <w:rsid w:val="001D580F"/>
    <w:rsid w:val="001D59C7"/>
    <w:rsid w:val="001D5F54"/>
    <w:rsid w:val="001D79DF"/>
    <w:rsid w:val="001E195E"/>
    <w:rsid w:val="001E1E5F"/>
    <w:rsid w:val="001E2155"/>
    <w:rsid w:val="001E493B"/>
    <w:rsid w:val="001E7237"/>
    <w:rsid w:val="001E76AC"/>
    <w:rsid w:val="001F0570"/>
    <w:rsid w:val="001F131C"/>
    <w:rsid w:val="001F20A6"/>
    <w:rsid w:val="001F21CC"/>
    <w:rsid w:val="001F2757"/>
    <w:rsid w:val="001F4330"/>
    <w:rsid w:val="001F469D"/>
    <w:rsid w:val="001F55C8"/>
    <w:rsid w:val="001F588C"/>
    <w:rsid w:val="001F6F5A"/>
    <w:rsid w:val="001F7763"/>
    <w:rsid w:val="001F7AF8"/>
    <w:rsid w:val="00200966"/>
    <w:rsid w:val="00201CFC"/>
    <w:rsid w:val="00202B2E"/>
    <w:rsid w:val="002031C9"/>
    <w:rsid w:val="00203665"/>
    <w:rsid w:val="00203AA3"/>
    <w:rsid w:val="00204F56"/>
    <w:rsid w:val="002059E7"/>
    <w:rsid w:val="00205FD1"/>
    <w:rsid w:val="00207550"/>
    <w:rsid w:val="00207768"/>
    <w:rsid w:val="00207875"/>
    <w:rsid w:val="00210671"/>
    <w:rsid w:val="00210FD1"/>
    <w:rsid w:val="00211789"/>
    <w:rsid w:val="00211BE4"/>
    <w:rsid w:val="00213151"/>
    <w:rsid w:val="0021355F"/>
    <w:rsid w:val="0021385B"/>
    <w:rsid w:val="00214802"/>
    <w:rsid w:val="002152E9"/>
    <w:rsid w:val="00215466"/>
    <w:rsid w:val="002168AC"/>
    <w:rsid w:val="00216D4C"/>
    <w:rsid w:val="00223D6E"/>
    <w:rsid w:val="00223DE6"/>
    <w:rsid w:val="002253FA"/>
    <w:rsid w:val="002272DE"/>
    <w:rsid w:val="0022797E"/>
    <w:rsid w:val="0023176D"/>
    <w:rsid w:val="00231D4D"/>
    <w:rsid w:val="002321A0"/>
    <w:rsid w:val="00233CD5"/>
    <w:rsid w:val="0023509E"/>
    <w:rsid w:val="002358F0"/>
    <w:rsid w:val="00235FDB"/>
    <w:rsid w:val="002363AD"/>
    <w:rsid w:val="00237058"/>
    <w:rsid w:val="002379D7"/>
    <w:rsid w:val="0024131C"/>
    <w:rsid w:val="00241ED1"/>
    <w:rsid w:val="00242BE6"/>
    <w:rsid w:val="0024394A"/>
    <w:rsid w:val="00244138"/>
    <w:rsid w:val="00246CF3"/>
    <w:rsid w:val="00250BFC"/>
    <w:rsid w:val="002536EA"/>
    <w:rsid w:val="00254F4F"/>
    <w:rsid w:val="00260B27"/>
    <w:rsid w:val="00263348"/>
    <w:rsid w:val="002739FA"/>
    <w:rsid w:val="0027509D"/>
    <w:rsid w:val="00275CDA"/>
    <w:rsid w:val="00276DC3"/>
    <w:rsid w:val="00280521"/>
    <w:rsid w:val="00280735"/>
    <w:rsid w:val="00281281"/>
    <w:rsid w:val="00284EB4"/>
    <w:rsid w:val="00285018"/>
    <w:rsid w:val="00285FC4"/>
    <w:rsid w:val="00286D65"/>
    <w:rsid w:val="002874DF"/>
    <w:rsid w:val="00290B39"/>
    <w:rsid w:val="002910FA"/>
    <w:rsid w:val="00291B8E"/>
    <w:rsid w:val="002923BD"/>
    <w:rsid w:val="00292A98"/>
    <w:rsid w:val="0029368D"/>
    <w:rsid w:val="00294F97"/>
    <w:rsid w:val="00295A10"/>
    <w:rsid w:val="0029681C"/>
    <w:rsid w:val="002A0DA6"/>
    <w:rsid w:val="002A21EC"/>
    <w:rsid w:val="002A2A77"/>
    <w:rsid w:val="002A3869"/>
    <w:rsid w:val="002A3E52"/>
    <w:rsid w:val="002A452D"/>
    <w:rsid w:val="002A4A8A"/>
    <w:rsid w:val="002A4D0B"/>
    <w:rsid w:val="002A4F8F"/>
    <w:rsid w:val="002A5B11"/>
    <w:rsid w:val="002A7F5E"/>
    <w:rsid w:val="002B058C"/>
    <w:rsid w:val="002B100E"/>
    <w:rsid w:val="002B1164"/>
    <w:rsid w:val="002B2B4E"/>
    <w:rsid w:val="002B427F"/>
    <w:rsid w:val="002B49D7"/>
    <w:rsid w:val="002B4F8D"/>
    <w:rsid w:val="002B6078"/>
    <w:rsid w:val="002B68D0"/>
    <w:rsid w:val="002B6E3F"/>
    <w:rsid w:val="002C09C6"/>
    <w:rsid w:val="002C0D06"/>
    <w:rsid w:val="002C37B2"/>
    <w:rsid w:val="002C534E"/>
    <w:rsid w:val="002C5374"/>
    <w:rsid w:val="002C705A"/>
    <w:rsid w:val="002C758A"/>
    <w:rsid w:val="002D0CEA"/>
    <w:rsid w:val="002D0D67"/>
    <w:rsid w:val="002D224F"/>
    <w:rsid w:val="002D2470"/>
    <w:rsid w:val="002D67BA"/>
    <w:rsid w:val="002D6BA3"/>
    <w:rsid w:val="002D7346"/>
    <w:rsid w:val="002E0DFC"/>
    <w:rsid w:val="002E0E9B"/>
    <w:rsid w:val="002E1BC0"/>
    <w:rsid w:val="002E2A66"/>
    <w:rsid w:val="002E30D8"/>
    <w:rsid w:val="002E36BC"/>
    <w:rsid w:val="002E395C"/>
    <w:rsid w:val="002E52D0"/>
    <w:rsid w:val="002E53BB"/>
    <w:rsid w:val="002E591A"/>
    <w:rsid w:val="002E5BB3"/>
    <w:rsid w:val="002E733A"/>
    <w:rsid w:val="002F16EC"/>
    <w:rsid w:val="002F202C"/>
    <w:rsid w:val="002F511E"/>
    <w:rsid w:val="002F5855"/>
    <w:rsid w:val="002F62F8"/>
    <w:rsid w:val="00301993"/>
    <w:rsid w:val="00301E73"/>
    <w:rsid w:val="00303AB6"/>
    <w:rsid w:val="00304439"/>
    <w:rsid w:val="003044C3"/>
    <w:rsid w:val="003056F8"/>
    <w:rsid w:val="003059F5"/>
    <w:rsid w:val="00305F9B"/>
    <w:rsid w:val="00306A2A"/>
    <w:rsid w:val="00307207"/>
    <w:rsid w:val="00307928"/>
    <w:rsid w:val="00307A8E"/>
    <w:rsid w:val="00307CE1"/>
    <w:rsid w:val="0031292B"/>
    <w:rsid w:val="00312C1B"/>
    <w:rsid w:val="00313284"/>
    <w:rsid w:val="00313879"/>
    <w:rsid w:val="00317D5C"/>
    <w:rsid w:val="003203CF"/>
    <w:rsid w:val="0032061A"/>
    <w:rsid w:val="0032150D"/>
    <w:rsid w:val="003260AC"/>
    <w:rsid w:val="003262F1"/>
    <w:rsid w:val="00326B2A"/>
    <w:rsid w:val="00326E42"/>
    <w:rsid w:val="0032743B"/>
    <w:rsid w:val="00327600"/>
    <w:rsid w:val="00331568"/>
    <w:rsid w:val="00335449"/>
    <w:rsid w:val="003354F2"/>
    <w:rsid w:val="00336B7F"/>
    <w:rsid w:val="00337847"/>
    <w:rsid w:val="00340046"/>
    <w:rsid w:val="0034124E"/>
    <w:rsid w:val="003421E9"/>
    <w:rsid w:val="00344297"/>
    <w:rsid w:val="0034481B"/>
    <w:rsid w:val="003459D0"/>
    <w:rsid w:val="00346A92"/>
    <w:rsid w:val="0034738C"/>
    <w:rsid w:val="003506AF"/>
    <w:rsid w:val="00350745"/>
    <w:rsid w:val="0035143E"/>
    <w:rsid w:val="00351659"/>
    <w:rsid w:val="0035297E"/>
    <w:rsid w:val="00353072"/>
    <w:rsid w:val="00353F0C"/>
    <w:rsid w:val="00354633"/>
    <w:rsid w:val="003555C9"/>
    <w:rsid w:val="003559E4"/>
    <w:rsid w:val="003566E5"/>
    <w:rsid w:val="00361085"/>
    <w:rsid w:val="00362185"/>
    <w:rsid w:val="0036331A"/>
    <w:rsid w:val="003633EA"/>
    <w:rsid w:val="003635C6"/>
    <w:rsid w:val="00363F60"/>
    <w:rsid w:val="003641D1"/>
    <w:rsid w:val="003655FE"/>
    <w:rsid w:val="00365D11"/>
    <w:rsid w:val="0036697B"/>
    <w:rsid w:val="00370208"/>
    <w:rsid w:val="00370401"/>
    <w:rsid w:val="0037056C"/>
    <w:rsid w:val="00370CC4"/>
    <w:rsid w:val="00371115"/>
    <w:rsid w:val="003720FA"/>
    <w:rsid w:val="003721C9"/>
    <w:rsid w:val="00372C28"/>
    <w:rsid w:val="00373A75"/>
    <w:rsid w:val="003741D3"/>
    <w:rsid w:val="003754BC"/>
    <w:rsid w:val="00377F60"/>
    <w:rsid w:val="003801EF"/>
    <w:rsid w:val="00380877"/>
    <w:rsid w:val="00381469"/>
    <w:rsid w:val="00381820"/>
    <w:rsid w:val="0038330D"/>
    <w:rsid w:val="00383F10"/>
    <w:rsid w:val="003853C7"/>
    <w:rsid w:val="003855B7"/>
    <w:rsid w:val="003859C1"/>
    <w:rsid w:val="00385DE7"/>
    <w:rsid w:val="00386824"/>
    <w:rsid w:val="00387B36"/>
    <w:rsid w:val="00387BCC"/>
    <w:rsid w:val="003A0393"/>
    <w:rsid w:val="003A03FC"/>
    <w:rsid w:val="003A0432"/>
    <w:rsid w:val="003A0A95"/>
    <w:rsid w:val="003A1173"/>
    <w:rsid w:val="003A16A8"/>
    <w:rsid w:val="003A21ED"/>
    <w:rsid w:val="003A2A5E"/>
    <w:rsid w:val="003A3BAB"/>
    <w:rsid w:val="003A4D09"/>
    <w:rsid w:val="003A5900"/>
    <w:rsid w:val="003A599A"/>
    <w:rsid w:val="003A61EF"/>
    <w:rsid w:val="003A648A"/>
    <w:rsid w:val="003A6C49"/>
    <w:rsid w:val="003A70DF"/>
    <w:rsid w:val="003B076C"/>
    <w:rsid w:val="003B15E8"/>
    <w:rsid w:val="003B1754"/>
    <w:rsid w:val="003B307E"/>
    <w:rsid w:val="003B3FA1"/>
    <w:rsid w:val="003B4DC9"/>
    <w:rsid w:val="003B57EC"/>
    <w:rsid w:val="003B68F5"/>
    <w:rsid w:val="003B7DEF"/>
    <w:rsid w:val="003C22B1"/>
    <w:rsid w:val="003C2C8A"/>
    <w:rsid w:val="003C3ABB"/>
    <w:rsid w:val="003C3EA4"/>
    <w:rsid w:val="003C400C"/>
    <w:rsid w:val="003C440C"/>
    <w:rsid w:val="003C45AF"/>
    <w:rsid w:val="003C5315"/>
    <w:rsid w:val="003C541C"/>
    <w:rsid w:val="003C5ADA"/>
    <w:rsid w:val="003C5D1E"/>
    <w:rsid w:val="003C77D5"/>
    <w:rsid w:val="003D27B0"/>
    <w:rsid w:val="003D35D5"/>
    <w:rsid w:val="003D4172"/>
    <w:rsid w:val="003D5851"/>
    <w:rsid w:val="003D5A59"/>
    <w:rsid w:val="003E01D2"/>
    <w:rsid w:val="003E10EA"/>
    <w:rsid w:val="003E1502"/>
    <w:rsid w:val="003E19FA"/>
    <w:rsid w:val="003E1F41"/>
    <w:rsid w:val="003E1F86"/>
    <w:rsid w:val="003E2409"/>
    <w:rsid w:val="003E2C66"/>
    <w:rsid w:val="003E32F3"/>
    <w:rsid w:val="003E3E21"/>
    <w:rsid w:val="003E428F"/>
    <w:rsid w:val="003E4840"/>
    <w:rsid w:val="003E5812"/>
    <w:rsid w:val="003E594E"/>
    <w:rsid w:val="003E5ACD"/>
    <w:rsid w:val="003E5DF8"/>
    <w:rsid w:val="003E6AA8"/>
    <w:rsid w:val="003E6C13"/>
    <w:rsid w:val="003E7903"/>
    <w:rsid w:val="003F0DD9"/>
    <w:rsid w:val="003F12C5"/>
    <w:rsid w:val="003F16BB"/>
    <w:rsid w:val="003F1E84"/>
    <w:rsid w:val="003F25F2"/>
    <w:rsid w:val="003F3567"/>
    <w:rsid w:val="003F4E07"/>
    <w:rsid w:val="003F5846"/>
    <w:rsid w:val="003F5C26"/>
    <w:rsid w:val="003F5C9A"/>
    <w:rsid w:val="003F605E"/>
    <w:rsid w:val="003F64BA"/>
    <w:rsid w:val="003F6FD3"/>
    <w:rsid w:val="00400055"/>
    <w:rsid w:val="004004A4"/>
    <w:rsid w:val="00400A6C"/>
    <w:rsid w:val="00401151"/>
    <w:rsid w:val="00402275"/>
    <w:rsid w:val="00403199"/>
    <w:rsid w:val="00403301"/>
    <w:rsid w:val="0040343C"/>
    <w:rsid w:val="00403B2D"/>
    <w:rsid w:val="004044D7"/>
    <w:rsid w:val="00406EBD"/>
    <w:rsid w:val="0040746C"/>
    <w:rsid w:val="0040791D"/>
    <w:rsid w:val="0041115C"/>
    <w:rsid w:val="00411EBB"/>
    <w:rsid w:val="00411F2A"/>
    <w:rsid w:val="00412666"/>
    <w:rsid w:val="00415038"/>
    <w:rsid w:val="00415451"/>
    <w:rsid w:val="00415605"/>
    <w:rsid w:val="00415AB8"/>
    <w:rsid w:val="00416834"/>
    <w:rsid w:val="004168DE"/>
    <w:rsid w:val="0041776E"/>
    <w:rsid w:val="004179BC"/>
    <w:rsid w:val="0042118D"/>
    <w:rsid w:val="00421837"/>
    <w:rsid w:val="00422C0A"/>
    <w:rsid w:val="00423379"/>
    <w:rsid w:val="00423874"/>
    <w:rsid w:val="00423FCA"/>
    <w:rsid w:val="004240C3"/>
    <w:rsid w:val="0042635A"/>
    <w:rsid w:val="004265B0"/>
    <w:rsid w:val="00426B17"/>
    <w:rsid w:val="0043153C"/>
    <w:rsid w:val="00431549"/>
    <w:rsid w:val="00432C31"/>
    <w:rsid w:val="00432E24"/>
    <w:rsid w:val="0043380F"/>
    <w:rsid w:val="00433CB1"/>
    <w:rsid w:val="004344F0"/>
    <w:rsid w:val="0043572E"/>
    <w:rsid w:val="00436E70"/>
    <w:rsid w:val="00436F7E"/>
    <w:rsid w:val="00437773"/>
    <w:rsid w:val="00437F0A"/>
    <w:rsid w:val="00443DF7"/>
    <w:rsid w:val="00444209"/>
    <w:rsid w:val="00444436"/>
    <w:rsid w:val="004466D9"/>
    <w:rsid w:val="00446775"/>
    <w:rsid w:val="00446D0C"/>
    <w:rsid w:val="0044781D"/>
    <w:rsid w:val="004505D4"/>
    <w:rsid w:val="00450ECA"/>
    <w:rsid w:val="0045297A"/>
    <w:rsid w:val="00453217"/>
    <w:rsid w:val="0045434A"/>
    <w:rsid w:val="004546C1"/>
    <w:rsid w:val="00455BDF"/>
    <w:rsid w:val="004567F7"/>
    <w:rsid w:val="00456B40"/>
    <w:rsid w:val="00460216"/>
    <w:rsid w:val="004603BE"/>
    <w:rsid w:val="004604CA"/>
    <w:rsid w:val="00460AE0"/>
    <w:rsid w:val="00460FC4"/>
    <w:rsid w:val="0046114C"/>
    <w:rsid w:val="00462703"/>
    <w:rsid w:val="00465D8E"/>
    <w:rsid w:val="004668B8"/>
    <w:rsid w:val="0047038C"/>
    <w:rsid w:val="004706F8"/>
    <w:rsid w:val="00470D91"/>
    <w:rsid w:val="00471D81"/>
    <w:rsid w:val="00471D97"/>
    <w:rsid w:val="00471EDD"/>
    <w:rsid w:val="004728A5"/>
    <w:rsid w:val="00473490"/>
    <w:rsid w:val="00473662"/>
    <w:rsid w:val="004759D4"/>
    <w:rsid w:val="00476126"/>
    <w:rsid w:val="0047684A"/>
    <w:rsid w:val="0048038C"/>
    <w:rsid w:val="00480A4B"/>
    <w:rsid w:val="00480B55"/>
    <w:rsid w:val="00481AFA"/>
    <w:rsid w:val="00483B69"/>
    <w:rsid w:val="0048413F"/>
    <w:rsid w:val="00484382"/>
    <w:rsid w:val="0048578C"/>
    <w:rsid w:val="00492F18"/>
    <w:rsid w:val="00494227"/>
    <w:rsid w:val="00494FAB"/>
    <w:rsid w:val="00497A3C"/>
    <w:rsid w:val="00497D9E"/>
    <w:rsid w:val="004A0D87"/>
    <w:rsid w:val="004A1839"/>
    <w:rsid w:val="004A24CE"/>
    <w:rsid w:val="004A3C53"/>
    <w:rsid w:val="004A47FF"/>
    <w:rsid w:val="004A5585"/>
    <w:rsid w:val="004A71C4"/>
    <w:rsid w:val="004A7EE5"/>
    <w:rsid w:val="004B0C23"/>
    <w:rsid w:val="004B0FC9"/>
    <w:rsid w:val="004B12FB"/>
    <w:rsid w:val="004B21D2"/>
    <w:rsid w:val="004B2AB6"/>
    <w:rsid w:val="004B49B1"/>
    <w:rsid w:val="004B4F61"/>
    <w:rsid w:val="004B56F7"/>
    <w:rsid w:val="004B6124"/>
    <w:rsid w:val="004B7FC9"/>
    <w:rsid w:val="004C15B6"/>
    <w:rsid w:val="004C1B2A"/>
    <w:rsid w:val="004C247B"/>
    <w:rsid w:val="004C2D7E"/>
    <w:rsid w:val="004C3436"/>
    <w:rsid w:val="004C3989"/>
    <w:rsid w:val="004C5923"/>
    <w:rsid w:val="004D00A1"/>
    <w:rsid w:val="004D37B5"/>
    <w:rsid w:val="004D4D11"/>
    <w:rsid w:val="004D5FE3"/>
    <w:rsid w:val="004D66A6"/>
    <w:rsid w:val="004D6EE7"/>
    <w:rsid w:val="004D751D"/>
    <w:rsid w:val="004E0C1A"/>
    <w:rsid w:val="004E0FD1"/>
    <w:rsid w:val="004E1DB3"/>
    <w:rsid w:val="004E1DED"/>
    <w:rsid w:val="004E38F6"/>
    <w:rsid w:val="004E3B7F"/>
    <w:rsid w:val="004E3D66"/>
    <w:rsid w:val="004E64D3"/>
    <w:rsid w:val="004E78B7"/>
    <w:rsid w:val="004F0026"/>
    <w:rsid w:val="004F1EFC"/>
    <w:rsid w:val="004F23A6"/>
    <w:rsid w:val="004F3825"/>
    <w:rsid w:val="004F3CBA"/>
    <w:rsid w:val="004F52DB"/>
    <w:rsid w:val="004F6392"/>
    <w:rsid w:val="004F6C3B"/>
    <w:rsid w:val="004F6EA0"/>
    <w:rsid w:val="004F7095"/>
    <w:rsid w:val="004F7FA9"/>
    <w:rsid w:val="0050153F"/>
    <w:rsid w:val="00501E92"/>
    <w:rsid w:val="00502FDD"/>
    <w:rsid w:val="0050402E"/>
    <w:rsid w:val="0050652C"/>
    <w:rsid w:val="00510AF9"/>
    <w:rsid w:val="005128F7"/>
    <w:rsid w:val="005133ED"/>
    <w:rsid w:val="005133F0"/>
    <w:rsid w:val="00513A78"/>
    <w:rsid w:val="00513B89"/>
    <w:rsid w:val="0051484D"/>
    <w:rsid w:val="005159A9"/>
    <w:rsid w:val="00516BF4"/>
    <w:rsid w:val="005209F3"/>
    <w:rsid w:val="00520A6F"/>
    <w:rsid w:val="00524DFB"/>
    <w:rsid w:val="005259F5"/>
    <w:rsid w:val="00525BB6"/>
    <w:rsid w:val="00530112"/>
    <w:rsid w:val="005301DF"/>
    <w:rsid w:val="00531E10"/>
    <w:rsid w:val="00532A8E"/>
    <w:rsid w:val="00533A68"/>
    <w:rsid w:val="005347D5"/>
    <w:rsid w:val="00534CE2"/>
    <w:rsid w:val="005355F5"/>
    <w:rsid w:val="0053563F"/>
    <w:rsid w:val="00537EC3"/>
    <w:rsid w:val="0054276F"/>
    <w:rsid w:val="00542A45"/>
    <w:rsid w:val="005433B4"/>
    <w:rsid w:val="00543627"/>
    <w:rsid w:val="005437C2"/>
    <w:rsid w:val="00543E28"/>
    <w:rsid w:val="00544916"/>
    <w:rsid w:val="00544A74"/>
    <w:rsid w:val="005469A6"/>
    <w:rsid w:val="00547A79"/>
    <w:rsid w:val="00550504"/>
    <w:rsid w:val="00550549"/>
    <w:rsid w:val="00550751"/>
    <w:rsid w:val="00550BF4"/>
    <w:rsid w:val="00551D9A"/>
    <w:rsid w:val="0055396F"/>
    <w:rsid w:val="00553F33"/>
    <w:rsid w:val="00554654"/>
    <w:rsid w:val="0055698B"/>
    <w:rsid w:val="005575CD"/>
    <w:rsid w:val="00557A9B"/>
    <w:rsid w:val="00561113"/>
    <w:rsid w:val="005613CD"/>
    <w:rsid w:val="005614B1"/>
    <w:rsid w:val="00563683"/>
    <w:rsid w:val="00563B26"/>
    <w:rsid w:val="00563E40"/>
    <w:rsid w:val="005641E0"/>
    <w:rsid w:val="00564260"/>
    <w:rsid w:val="00566D5A"/>
    <w:rsid w:val="00566F24"/>
    <w:rsid w:val="00567FAC"/>
    <w:rsid w:val="005717A4"/>
    <w:rsid w:val="00571BA7"/>
    <w:rsid w:val="00572F67"/>
    <w:rsid w:val="005763CE"/>
    <w:rsid w:val="00577A5E"/>
    <w:rsid w:val="0058017A"/>
    <w:rsid w:val="0058106B"/>
    <w:rsid w:val="005812D5"/>
    <w:rsid w:val="00581791"/>
    <w:rsid w:val="00583E05"/>
    <w:rsid w:val="00584FC8"/>
    <w:rsid w:val="00585AAF"/>
    <w:rsid w:val="005861B1"/>
    <w:rsid w:val="0059070B"/>
    <w:rsid w:val="00590F0E"/>
    <w:rsid w:val="00591A3A"/>
    <w:rsid w:val="00592635"/>
    <w:rsid w:val="005943F0"/>
    <w:rsid w:val="00597493"/>
    <w:rsid w:val="005A029E"/>
    <w:rsid w:val="005A17A9"/>
    <w:rsid w:val="005A24A6"/>
    <w:rsid w:val="005A2F64"/>
    <w:rsid w:val="005A42CE"/>
    <w:rsid w:val="005A4506"/>
    <w:rsid w:val="005A48EE"/>
    <w:rsid w:val="005A4F98"/>
    <w:rsid w:val="005A7D71"/>
    <w:rsid w:val="005A7E6E"/>
    <w:rsid w:val="005B135C"/>
    <w:rsid w:val="005B185B"/>
    <w:rsid w:val="005B1A70"/>
    <w:rsid w:val="005B22E6"/>
    <w:rsid w:val="005B4281"/>
    <w:rsid w:val="005B47EF"/>
    <w:rsid w:val="005B7877"/>
    <w:rsid w:val="005C01E4"/>
    <w:rsid w:val="005C1277"/>
    <w:rsid w:val="005C1D11"/>
    <w:rsid w:val="005C251B"/>
    <w:rsid w:val="005C4E71"/>
    <w:rsid w:val="005C65B3"/>
    <w:rsid w:val="005C6EFC"/>
    <w:rsid w:val="005D1899"/>
    <w:rsid w:val="005D392B"/>
    <w:rsid w:val="005D4E21"/>
    <w:rsid w:val="005D545B"/>
    <w:rsid w:val="005D5A2D"/>
    <w:rsid w:val="005D72CA"/>
    <w:rsid w:val="005D7A85"/>
    <w:rsid w:val="005E0D3F"/>
    <w:rsid w:val="005E0EE9"/>
    <w:rsid w:val="005E1134"/>
    <w:rsid w:val="005E3558"/>
    <w:rsid w:val="005E427F"/>
    <w:rsid w:val="005E484B"/>
    <w:rsid w:val="005E557B"/>
    <w:rsid w:val="005F4CCE"/>
    <w:rsid w:val="005F5391"/>
    <w:rsid w:val="005F5A53"/>
    <w:rsid w:val="005F5B88"/>
    <w:rsid w:val="005F6042"/>
    <w:rsid w:val="005F60D7"/>
    <w:rsid w:val="005F6E5F"/>
    <w:rsid w:val="005F7A33"/>
    <w:rsid w:val="0060044C"/>
    <w:rsid w:val="00602738"/>
    <w:rsid w:val="00602BB9"/>
    <w:rsid w:val="00603353"/>
    <w:rsid w:val="00603CF3"/>
    <w:rsid w:val="00604735"/>
    <w:rsid w:val="00605987"/>
    <w:rsid w:val="00605DD4"/>
    <w:rsid w:val="0060602C"/>
    <w:rsid w:val="00606726"/>
    <w:rsid w:val="00606E0F"/>
    <w:rsid w:val="006070B3"/>
    <w:rsid w:val="0060719A"/>
    <w:rsid w:val="006071C9"/>
    <w:rsid w:val="00607CED"/>
    <w:rsid w:val="0061035B"/>
    <w:rsid w:val="00610C61"/>
    <w:rsid w:val="0061183B"/>
    <w:rsid w:val="00614751"/>
    <w:rsid w:val="00614F69"/>
    <w:rsid w:val="006150D1"/>
    <w:rsid w:val="00615D66"/>
    <w:rsid w:val="0061694F"/>
    <w:rsid w:val="00617B38"/>
    <w:rsid w:val="00620255"/>
    <w:rsid w:val="00621823"/>
    <w:rsid w:val="0062185B"/>
    <w:rsid w:val="00622F2E"/>
    <w:rsid w:val="00623E6E"/>
    <w:rsid w:val="00624A0B"/>
    <w:rsid w:val="0062515C"/>
    <w:rsid w:val="00626B5B"/>
    <w:rsid w:val="00626E4F"/>
    <w:rsid w:val="0062736B"/>
    <w:rsid w:val="00630581"/>
    <w:rsid w:val="00631B26"/>
    <w:rsid w:val="00631F1A"/>
    <w:rsid w:val="00631F33"/>
    <w:rsid w:val="00632F5D"/>
    <w:rsid w:val="006332AD"/>
    <w:rsid w:val="006335E0"/>
    <w:rsid w:val="0063411B"/>
    <w:rsid w:val="006349F7"/>
    <w:rsid w:val="0063503B"/>
    <w:rsid w:val="00635B62"/>
    <w:rsid w:val="00635CBE"/>
    <w:rsid w:val="00635DB0"/>
    <w:rsid w:val="00635F10"/>
    <w:rsid w:val="00636E18"/>
    <w:rsid w:val="00640A02"/>
    <w:rsid w:val="0064229B"/>
    <w:rsid w:val="0064267F"/>
    <w:rsid w:val="00642A8F"/>
    <w:rsid w:val="00643D58"/>
    <w:rsid w:val="00644E56"/>
    <w:rsid w:val="00645CAE"/>
    <w:rsid w:val="00645E8D"/>
    <w:rsid w:val="00645F04"/>
    <w:rsid w:val="00646061"/>
    <w:rsid w:val="00650014"/>
    <w:rsid w:val="00650043"/>
    <w:rsid w:val="0065101E"/>
    <w:rsid w:val="006516C3"/>
    <w:rsid w:val="00651A6C"/>
    <w:rsid w:val="00654EBD"/>
    <w:rsid w:val="006552A0"/>
    <w:rsid w:val="00661127"/>
    <w:rsid w:val="006614E6"/>
    <w:rsid w:val="0066223C"/>
    <w:rsid w:val="00662B40"/>
    <w:rsid w:val="006639E0"/>
    <w:rsid w:val="00664B74"/>
    <w:rsid w:val="00665CC5"/>
    <w:rsid w:val="00666F4D"/>
    <w:rsid w:val="00667419"/>
    <w:rsid w:val="00670486"/>
    <w:rsid w:val="006704DE"/>
    <w:rsid w:val="006733E7"/>
    <w:rsid w:val="00673E40"/>
    <w:rsid w:val="00673FB2"/>
    <w:rsid w:val="006746AB"/>
    <w:rsid w:val="00675BBD"/>
    <w:rsid w:val="00675C6B"/>
    <w:rsid w:val="006777E3"/>
    <w:rsid w:val="00677A44"/>
    <w:rsid w:val="00677C03"/>
    <w:rsid w:val="00680064"/>
    <w:rsid w:val="006809DA"/>
    <w:rsid w:val="00680A79"/>
    <w:rsid w:val="00681CB9"/>
    <w:rsid w:val="00681D17"/>
    <w:rsid w:val="00681EE0"/>
    <w:rsid w:val="00681FC0"/>
    <w:rsid w:val="006822D1"/>
    <w:rsid w:val="00682E40"/>
    <w:rsid w:val="00683A61"/>
    <w:rsid w:val="00684916"/>
    <w:rsid w:val="0068494F"/>
    <w:rsid w:val="0068671B"/>
    <w:rsid w:val="00690B9D"/>
    <w:rsid w:val="00690EF0"/>
    <w:rsid w:val="006913C3"/>
    <w:rsid w:val="006913FB"/>
    <w:rsid w:val="006927F4"/>
    <w:rsid w:val="006933D7"/>
    <w:rsid w:val="006936FF"/>
    <w:rsid w:val="006943E3"/>
    <w:rsid w:val="00694471"/>
    <w:rsid w:val="006967E9"/>
    <w:rsid w:val="006968EA"/>
    <w:rsid w:val="00697006"/>
    <w:rsid w:val="006A0CAD"/>
    <w:rsid w:val="006A3891"/>
    <w:rsid w:val="006A58D2"/>
    <w:rsid w:val="006A75AB"/>
    <w:rsid w:val="006B037D"/>
    <w:rsid w:val="006B10B9"/>
    <w:rsid w:val="006B2361"/>
    <w:rsid w:val="006B23F4"/>
    <w:rsid w:val="006B3187"/>
    <w:rsid w:val="006B3718"/>
    <w:rsid w:val="006B3D51"/>
    <w:rsid w:val="006B48C3"/>
    <w:rsid w:val="006B4C8A"/>
    <w:rsid w:val="006B54FE"/>
    <w:rsid w:val="006B617A"/>
    <w:rsid w:val="006B625E"/>
    <w:rsid w:val="006B783D"/>
    <w:rsid w:val="006C0026"/>
    <w:rsid w:val="006C0351"/>
    <w:rsid w:val="006C2586"/>
    <w:rsid w:val="006C3825"/>
    <w:rsid w:val="006C39C7"/>
    <w:rsid w:val="006C4401"/>
    <w:rsid w:val="006C496C"/>
    <w:rsid w:val="006C7170"/>
    <w:rsid w:val="006C76D4"/>
    <w:rsid w:val="006D12D2"/>
    <w:rsid w:val="006D1BCA"/>
    <w:rsid w:val="006D1CF4"/>
    <w:rsid w:val="006D2114"/>
    <w:rsid w:val="006D253B"/>
    <w:rsid w:val="006D31E7"/>
    <w:rsid w:val="006D3318"/>
    <w:rsid w:val="006D3AAD"/>
    <w:rsid w:val="006D4677"/>
    <w:rsid w:val="006D499E"/>
    <w:rsid w:val="006D59A7"/>
    <w:rsid w:val="006D5C28"/>
    <w:rsid w:val="006D66ED"/>
    <w:rsid w:val="006D6BBF"/>
    <w:rsid w:val="006D748A"/>
    <w:rsid w:val="006E095B"/>
    <w:rsid w:val="006E1848"/>
    <w:rsid w:val="006E2D31"/>
    <w:rsid w:val="006E4692"/>
    <w:rsid w:val="006E5382"/>
    <w:rsid w:val="006E5635"/>
    <w:rsid w:val="006E653F"/>
    <w:rsid w:val="006E6879"/>
    <w:rsid w:val="006E69E5"/>
    <w:rsid w:val="006E6CD9"/>
    <w:rsid w:val="006E6F7D"/>
    <w:rsid w:val="006E7698"/>
    <w:rsid w:val="006E7C24"/>
    <w:rsid w:val="006E7E3B"/>
    <w:rsid w:val="006F14F4"/>
    <w:rsid w:val="006F1B72"/>
    <w:rsid w:val="006F231B"/>
    <w:rsid w:val="006F6649"/>
    <w:rsid w:val="006F6DE5"/>
    <w:rsid w:val="00700207"/>
    <w:rsid w:val="00700DE0"/>
    <w:rsid w:val="007019D5"/>
    <w:rsid w:val="00701AC0"/>
    <w:rsid w:val="00702083"/>
    <w:rsid w:val="00702DCE"/>
    <w:rsid w:val="00703C11"/>
    <w:rsid w:val="00703CF8"/>
    <w:rsid w:val="00703D42"/>
    <w:rsid w:val="0070481D"/>
    <w:rsid w:val="00704E6C"/>
    <w:rsid w:val="007050A5"/>
    <w:rsid w:val="007059D3"/>
    <w:rsid w:val="00705B33"/>
    <w:rsid w:val="00705E16"/>
    <w:rsid w:val="00706725"/>
    <w:rsid w:val="00706A90"/>
    <w:rsid w:val="007071ED"/>
    <w:rsid w:val="00707343"/>
    <w:rsid w:val="007104C7"/>
    <w:rsid w:val="00711530"/>
    <w:rsid w:val="00711A8C"/>
    <w:rsid w:val="00711B8C"/>
    <w:rsid w:val="00712803"/>
    <w:rsid w:val="0071379D"/>
    <w:rsid w:val="00714545"/>
    <w:rsid w:val="00715186"/>
    <w:rsid w:val="0072044C"/>
    <w:rsid w:val="0072189B"/>
    <w:rsid w:val="00722558"/>
    <w:rsid w:val="007228CC"/>
    <w:rsid w:val="00723C0C"/>
    <w:rsid w:val="0072489E"/>
    <w:rsid w:val="007248F0"/>
    <w:rsid w:val="0072513C"/>
    <w:rsid w:val="00725AC6"/>
    <w:rsid w:val="00725FC2"/>
    <w:rsid w:val="00727D27"/>
    <w:rsid w:val="007340D7"/>
    <w:rsid w:val="007367CC"/>
    <w:rsid w:val="00736CEA"/>
    <w:rsid w:val="00737156"/>
    <w:rsid w:val="00737580"/>
    <w:rsid w:val="00741CF5"/>
    <w:rsid w:val="00743099"/>
    <w:rsid w:val="007436E5"/>
    <w:rsid w:val="00747939"/>
    <w:rsid w:val="00750B9E"/>
    <w:rsid w:val="0075264E"/>
    <w:rsid w:val="00752862"/>
    <w:rsid w:val="00752D9F"/>
    <w:rsid w:val="00752EB6"/>
    <w:rsid w:val="00753DB7"/>
    <w:rsid w:val="00754596"/>
    <w:rsid w:val="007548F2"/>
    <w:rsid w:val="00755E65"/>
    <w:rsid w:val="00755F94"/>
    <w:rsid w:val="0075634A"/>
    <w:rsid w:val="0075657F"/>
    <w:rsid w:val="00756AF4"/>
    <w:rsid w:val="00757547"/>
    <w:rsid w:val="00760283"/>
    <w:rsid w:val="00762324"/>
    <w:rsid w:val="007639FE"/>
    <w:rsid w:val="00764998"/>
    <w:rsid w:val="00765190"/>
    <w:rsid w:val="00767F2D"/>
    <w:rsid w:val="00770D06"/>
    <w:rsid w:val="007710DA"/>
    <w:rsid w:val="00772677"/>
    <w:rsid w:val="007733FC"/>
    <w:rsid w:val="0077470F"/>
    <w:rsid w:val="00775596"/>
    <w:rsid w:val="00775872"/>
    <w:rsid w:val="007764E9"/>
    <w:rsid w:val="00776CB9"/>
    <w:rsid w:val="00777BF6"/>
    <w:rsid w:val="00780083"/>
    <w:rsid w:val="00780543"/>
    <w:rsid w:val="007807BC"/>
    <w:rsid w:val="00780CA6"/>
    <w:rsid w:val="00781025"/>
    <w:rsid w:val="00781447"/>
    <w:rsid w:val="00782989"/>
    <w:rsid w:val="00787919"/>
    <w:rsid w:val="00791849"/>
    <w:rsid w:val="007918CD"/>
    <w:rsid w:val="00791BB7"/>
    <w:rsid w:val="00791C06"/>
    <w:rsid w:val="00791FCC"/>
    <w:rsid w:val="00792BAC"/>
    <w:rsid w:val="00792DC3"/>
    <w:rsid w:val="00794339"/>
    <w:rsid w:val="007945E8"/>
    <w:rsid w:val="007946CB"/>
    <w:rsid w:val="0079471B"/>
    <w:rsid w:val="00795AAA"/>
    <w:rsid w:val="00795CF7"/>
    <w:rsid w:val="00795E45"/>
    <w:rsid w:val="00796085"/>
    <w:rsid w:val="00796B6C"/>
    <w:rsid w:val="007977C9"/>
    <w:rsid w:val="007A0434"/>
    <w:rsid w:val="007A083F"/>
    <w:rsid w:val="007A1405"/>
    <w:rsid w:val="007A3048"/>
    <w:rsid w:val="007A426F"/>
    <w:rsid w:val="007A5A77"/>
    <w:rsid w:val="007A5DB1"/>
    <w:rsid w:val="007A6ECE"/>
    <w:rsid w:val="007A7401"/>
    <w:rsid w:val="007A778D"/>
    <w:rsid w:val="007B047B"/>
    <w:rsid w:val="007B1D9C"/>
    <w:rsid w:val="007B273C"/>
    <w:rsid w:val="007B2C2E"/>
    <w:rsid w:val="007B3789"/>
    <w:rsid w:val="007B38F3"/>
    <w:rsid w:val="007B3F20"/>
    <w:rsid w:val="007B440D"/>
    <w:rsid w:val="007B49CB"/>
    <w:rsid w:val="007B7135"/>
    <w:rsid w:val="007B7F5E"/>
    <w:rsid w:val="007C0A7A"/>
    <w:rsid w:val="007C1B5E"/>
    <w:rsid w:val="007C36E8"/>
    <w:rsid w:val="007C4622"/>
    <w:rsid w:val="007C54A2"/>
    <w:rsid w:val="007C5651"/>
    <w:rsid w:val="007C56F9"/>
    <w:rsid w:val="007C6B3E"/>
    <w:rsid w:val="007C7FB5"/>
    <w:rsid w:val="007D0832"/>
    <w:rsid w:val="007D17DD"/>
    <w:rsid w:val="007D65C4"/>
    <w:rsid w:val="007D6731"/>
    <w:rsid w:val="007D769F"/>
    <w:rsid w:val="007D7833"/>
    <w:rsid w:val="007D7EF7"/>
    <w:rsid w:val="007E0108"/>
    <w:rsid w:val="007E1679"/>
    <w:rsid w:val="007E22C9"/>
    <w:rsid w:val="007E48CF"/>
    <w:rsid w:val="007E5EA0"/>
    <w:rsid w:val="007E64DC"/>
    <w:rsid w:val="007E662D"/>
    <w:rsid w:val="007F1ABE"/>
    <w:rsid w:val="007F4B05"/>
    <w:rsid w:val="007F664D"/>
    <w:rsid w:val="007F699F"/>
    <w:rsid w:val="007F6FCC"/>
    <w:rsid w:val="007F70E9"/>
    <w:rsid w:val="007F723B"/>
    <w:rsid w:val="007F7853"/>
    <w:rsid w:val="0080073E"/>
    <w:rsid w:val="008013A0"/>
    <w:rsid w:val="00801FE5"/>
    <w:rsid w:val="00804119"/>
    <w:rsid w:val="008056FF"/>
    <w:rsid w:val="00806114"/>
    <w:rsid w:val="0080699E"/>
    <w:rsid w:val="00810578"/>
    <w:rsid w:val="00811A31"/>
    <w:rsid w:val="0081444E"/>
    <w:rsid w:val="00814529"/>
    <w:rsid w:val="00814B7F"/>
    <w:rsid w:val="00816F72"/>
    <w:rsid w:val="008172DD"/>
    <w:rsid w:val="008203D5"/>
    <w:rsid w:val="0082069F"/>
    <w:rsid w:val="008216E2"/>
    <w:rsid w:val="00821E10"/>
    <w:rsid w:val="00822ACE"/>
    <w:rsid w:val="00823135"/>
    <w:rsid w:val="00824768"/>
    <w:rsid w:val="00824C04"/>
    <w:rsid w:val="00825080"/>
    <w:rsid w:val="00825348"/>
    <w:rsid w:val="008254BE"/>
    <w:rsid w:val="00827D73"/>
    <w:rsid w:val="00830255"/>
    <w:rsid w:val="008317E9"/>
    <w:rsid w:val="008317F7"/>
    <w:rsid w:val="00831D1A"/>
    <w:rsid w:val="00832EA1"/>
    <w:rsid w:val="00833763"/>
    <w:rsid w:val="00833971"/>
    <w:rsid w:val="00834371"/>
    <w:rsid w:val="008346C0"/>
    <w:rsid w:val="00834E51"/>
    <w:rsid w:val="008429C7"/>
    <w:rsid w:val="0084300E"/>
    <w:rsid w:val="008438A5"/>
    <w:rsid w:val="00843E2C"/>
    <w:rsid w:val="00846579"/>
    <w:rsid w:val="008472BD"/>
    <w:rsid w:val="008479E9"/>
    <w:rsid w:val="00847B6D"/>
    <w:rsid w:val="00847E13"/>
    <w:rsid w:val="00850506"/>
    <w:rsid w:val="00850A2C"/>
    <w:rsid w:val="00850E03"/>
    <w:rsid w:val="00850FFD"/>
    <w:rsid w:val="00851405"/>
    <w:rsid w:val="00851B15"/>
    <w:rsid w:val="00852815"/>
    <w:rsid w:val="00854B34"/>
    <w:rsid w:val="00860048"/>
    <w:rsid w:val="0086070E"/>
    <w:rsid w:val="00860D3E"/>
    <w:rsid w:val="00861AB8"/>
    <w:rsid w:val="00863D3D"/>
    <w:rsid w:val="00864E24"/>
    <w:rsid w:val="00865E34"/>
    <w:rsid w:val="008662A3"/>
    <w:rsid w:val="00866701"/>
    <w:rsid w:val="00867CCC"/>
    <w:rsid w:val="00870500"/>
    <w:rsid w:val="0087122F"/>
    <w:rsid w:val="008720AB"/>
    <w:rsid w:val="00872D79"/>
    <w:rsid w:val="00872F0C"/>
    <w:rsid w:val="0087380D"/>
    <w:rsid w:val="00873ED9"/>
    <w:rsid w:val="00873FAD"/>
    <w:rsid w:val="0087468A"/>
    <w:rsid w:val="008757D1"/>
    <w:rsid w:val="00875F2B"/>
    <w:rsid w:val="008769E0"/>
    <w:rsid w:val="0087703A"/>
    <w:rsid w:val="008771F8"/>
    <w:rsid w:val="008772BC"/>
    <w:rsid w:val="00880E72"/>
    <w:rsid w:val="00880F52"/>
    <w:rsid w:val="00881BBC"/>
    <w:rsid w:val="00881BDB"/>
    <w:rsid w:val="00882FA3"/>
    <w:rsid w:val="00883866"/>
    <w:rsid w:val="00883D61"/>
    <w:rsid w:val="0088441B"/>
    <w:rsid w:val="00886B41"/>
    <w:rsid w:val="00887302"/>
    <w:rsid w:val="0088737D"/>
    <w:rsid w:val="008875FD"/>
    <w:rsid w:val="00887DCB"/>
    <w:rsid w:val="008901EE"/>
    <w:rsid w:val="00890D7C"/>
    <w:rsid w:val="00892FC5"/>
    <w:rsid w:val="00893D44"/>
    <w:rsid w:val="008945E6"/>
    <w:rsid w:val="0089687F"/>
    <w:rsid w:val="008978E7"/>
    <w:rsid w:val="00897E25"/>
    <w:rsid w:val="008A0537"/>
    <w:rsid w:val="008A1376"/>
    <w:rsid w:val="008A22A4"/>
    <w:rsid w:val="008A29D7"/>
    <w:rsid w:val="008A585A"/>
    <w:rsid w:val="008A62B6"/>
    <w:rsid w:val="008A6314"/>
    <w:rsid w:val="008A6D8F"/>
    <w:rsid w:val="008B0541"/>
    <w:rsid w:val="008B1F81"/>
    <w:rsid w:val="008B234A"/>
    <w:rsid w:val="008B237B"/>
    <w:rsid w:val="008B2D48"/>
    <w:rsid w:val="008B3F75"/>
    <w:rsid w:val="008B7190"/>
    <w:rsid w:val="008B7B85"/>
    <w:rsid w:val="008B7F70"/>
    <w:rsid w:val="008C040F"/>
    <w:rsid w:val="008C0B60"/>
    <w:rsid w:val="008C14DE"/>
    <w:rsid w:val="008C2638"/>
    <w:rsid w:val="008C4679"/>
    <w:rsid w:val="008C525A"/>
    <w:rsid w:val="008C55DF"/>
    <w:rsid w:val="008C5966"/>
    <w:rsid w:val="008C70AA"/>
    <w:rsid w:val="008D18AA"/>
    <w:rsid w:val="008D2EB0"/>
    <w:rsid w:val="008D4660"/>
    <w:rsid w:val="008D5E90"/>
    <w:rsid w:val="008D5E94"/>
    <w:rsid w:val="008D7367"/>
    <w:rsid w:val="008D75E2"/>
    <w:rsid w:val="008D79D4"/>
    <w:rsid w:val="008E083F"/>
    <w:rsid w:val="008E0DFD"/>
    <w:rsid w:val="008E0EF3"/>
    <w:rsid w:val="008E169C"/>
    <w:rsid w:val="008E1F10"/>
    <w:rsid w:val="008E202B"/>
    <w:rsid w:val="008E2137"/>
    <w:rsid w:val="008E272D"/>
    <w:rsid w:val="008E27C6"/>
    <w:rsid w:val="008E2E44"/>
    <w:rsid w:val="008E3B15"/>
    <w:rsid w:val="008E439E"/>
    <w:rsid w:val="008E457F"/>
    <w:rsid w:val="008E6BE7"/>
    <w:rsid w:val="008E6D5E"/>
    <w:rsid w:val="008E7992"/>
    <w:rsid w:val="008E7D36"/>
    <w:rsid w:val="008E7DDA"/>
    <w:rsid w:val="008F02EC"/>
    <w:rsid w:val="008F0C64"/>
    <w:rsid w:val="008F219F"/>
    <w:rsid w:val="008F3B5D"/>
    <w:rsid w:val="008F513A"/>
    <w:rsid w:val="008F75C2"/>
    <w:rsid w:val="00900249"/>
    <w:rsid w:val="00904A6C"/>
    <w:rsid w:val="009051A6"/>
    <w:rsid w:val="009059AF"/>
    <w:rsid w:val="009104D1"/>
    <w:rsid w:val="00910E61"/>
    <w:rsid w:val="009115E6"/>
    <w:rsid w:val="00911698"/>
    <w:rsid w:val="009117B0"/>
    <w:rsid w:val="00911EB7"/>
    <w:rsid w:val="00911F47"/>
    <w:rsid w:val="00911FBE"/>
    <w:rsid w:val="00912E50"/>
    <w:rsid w:val="00914618"/>
    <w:rsid w:val="0091494E"/>
    <w:rsid w:val="00916D7C"/>
    <w:rsid w:val="00917CC2"/>
    <w:rsid w:val="00920F21"/>
    <w:rsid w:val="00921942"/>
    <w:rsid w:val="0092254B"/>
    <w:rsid w:val="00922C86"/>
    <w:rsid w:val="0092407C"/>
    <w:rsid w:val="009243E9"/>
    <w:rsid w:val="0092442E"/>
    <w:rsid w:val="00924465"/>
    <w:rsid w:val="0092508E"/>
    <w:rsid w:val="009256E8"/>
    <w:rsid w:val="00925C91"/>
    <w:rsid w:val="0092655D"/>
    <w:rsid w:val="00931F7D"/>
    <w:rsid w:val="00931FAA"/>
    <w:rsid w:val="009320F1"/>
    <w:rsid w:val="00932C82"/>
    <w:rsid w:val="00933769"/>
    <w:rsid w:val="00933B07"/>
    <w:rsid w:val="00934EB1"/>
    <w:rsid w:val="00935CD2"/>
    <w:rsid w:val="00936A96"/>
    <w:rsid w:val="0094273F"/>
    <w:rsid w:val="00942955"/>
    <w:rsid w:val="00943A84"/>
    <w:rsid w:val="00943D69"/>
    <w:rsid w:val="00944014"/>
    <w:rsid w:val="00954115"/>
    <w:rsid w:val="00954EA5"/>
    <w:rsid w:val="00955229"/>
    <w:rsid w:val="009557B9"/>
    <w:rsid w:val="00955C2F"/>
    <w:rsid w:val="00956BDB"/>
    <w:rsid w:val="00956C56"/>
    <w:rsid w:val="00956FEF"/>
    <w:rsid w:val="0095754A"/>
    <w:rsid w:val="00957B2D"/>
    <w:rsid w:val="00960A87"/>
    <w:rsid w:val="00961CC4"/>
    <w:rsid w:val="009635A8"/>
    <w:rsid w:val="0096376B"/>
    <w:rsid w:val="00963E0F"/>
    <w:rsid w:val="009641BC"/>
    <w:rsid w:val="00966462"/>
    <w:rsid w:val="00967E14"/>
    <w:rsid w:val="00970AF9"/>
    <w:rsid w:val="00971BE2"/>
    <w:rsid w:val="00971C63"/>
    <w:rsid w:val="00971CC6"/>
    <w:rsid w:val="00972545"/>
    <w:rsid w:val="00975959"/>
    <w:rsid w:val="00976AAC"/>
    <w:rsid w:val="00981019"/>
    <w:rsid w:val="0098453F"/>
    <w:rsid w:val="00984575"/>
    <w:rsid w:val="0098515B"/>
    <w:rsid w:val="009851E0"/>
    <w:rsid w:val="009873C3"/>
    <w:rsid w:val="009904D9"/>
    <w:rsid w:val="00991D99"/>
    <w:rsid w:val="0099295D"/>
    <w:rsid w:val="00995C6D"/>
    <w:rsid w:val="00996D2F"/>
    <w:rsid w:val="009973C7"/>
    <w:rsid w:val="009A0CAF"/>
    <w:rsid w:val="009A1540"/>
    <w:rsid w:val="009A3A58"/>
    <w:rsid w:val="009A4D30"/>
    <w:rsid w:val="009A5723"/>
    <w:rsid w:val="009A5E72"/>
    <w:rsid w:val="009B05B3"/>
    <w:rsid w:val="009B0F0B"/>
    <w:rsid w:val="009B2C0E"/>
    <w:rsid w:val="009B2EC0"/>
    <w:rsid w:val="009B48B5"/>
    <w:rsid w:val="009B5822"/>
    <w:rsid w:val="009B6D33"/>
    <w:rsid w:val="009C0447"/>
    <w:rsid w:val="009C0D1E"/>
    <w:rsid w:val="009C2CF5"/>
    <w:rsid w:val="009C351B"/>
    <w:rsid w:val="009C424C"/>
    <w:rsid w:val="009C67C9"/>
    <w:rsid w:val="009C6BF0"/>
    <w:rsid w:val="009C703E"/>
    <w:rsid w:val="009C79A9"/>
    <w:rsid w:val="009D046C"/>
    <w:rsid w:val="009D0E19"/>
    <w:rsid w:val="009D48BA"/>
    <w:rsid w:val="009D5B22"/>
    <w:rsid w:val="009D79F5"/>
    <w:rsid w:val="009E1846"/>
    <w:rsid w:val="009E2E54"/>
    <w:rsid w:val="009E3910"/>
    <w:rsid w:val="009E3EEF"/>
    <w:rsid w:val="009E404B"/>
    <w:rsid w:val="009E4C72"/>
    <w:rsid w:val="009E6B93"/>
    <w:rsid w:val="009E7884"/>
    <w:rsid w:val="009F0E95"/>
    <w:rsid w:val="009F186B"/>
    <w:rsid w:val="009F25E6"/>
    <w:rsid w:val="009F4CD0"/>
    <w:rsid w:val="009F566E"/>
    <w:rsid w:val="009F7FF6"/>
    <w:rsid w:val="00A02569"/>
    <w:rsid w:val="00A04B0C"/>
    <w:rsid w:val="00A06265"/>
    <w:rsid w:val="00A0658E"/>
    <w:rsid w:val="00A10B2A"/>
    <w:rsid w:val="00A11A80"/>
    <w:rsid w:val="00A11D21"/>
    <w:rsid w:val="00A13DC4"/>
    <w:rsid w:val="00A13E42"/>
    <w:rsid w:val="00A13FDC"/>
    <w:rsid w:val="00A1647A"/>
    <w:rsid w:val="00A164E5"/>
    <w:rsid w:val="00A208E5"/>
    <w:rsid w:val="00A21294"/>
    <w:rsid w:val="00A22275"/>
    <w:rsid w:val="00A22355"/>
    <w:rsid w:val="00A2318B"/>
    <w:rsid w:val="00A236F5"/>
    <w:rsid w:val="00A2490F"/>
    <w:rsid w:val="00A252D7"/>
    <w:rsid w:val="00A265D6"/>
    <w:rsid w:val="00A2662C"/>
    <w:rsid w:val="00A268F0"/>
    <w:rsid w:val="00A303F6"/>
    <w:rsid w:val="00A30E61"/>
    <w:rsid w:val="00A313BD"/>
    <w:rsid w:val="00A31782"/>
    <w:rsid w:val="00A328FB"/>
    <w:rsid w:val="00A32910"/>
    <w:rsid w:val="00A34256"/>
    <w:rsid w:val="00A34259"/>
    <w:rsid w:val="00A34E1A"/>
    <w:rsid w:val="00A36542"/>
    <w:rsid w:val="00A3774E"/>
    <w:rsid w:val="00A42AD5"/>
    <w:rsid w:val="00A43638"/>
    <w:rsid w:val="00A43BEA"/>
    <w:rsid w:val="00A4418A"/>
    <w:rsid w:val="00A44746"/>
    <w:rsid w:val="00A447A8"/>
    <w:rsid w:val="00A454C4"/>
    <w:rsid w:val="00A45C24"/>
    <w:rsid w:val="00A47930"/>
    <w:rsid w:val="00A50103"/>
    <w:rsid w:val="00A50582"/>
    <w:rsid w:val="00A50A25"/>
    <w:rsid w:val="00A55088"/>
    <w:rsid w:val="00A55096"/>
    <w:rsid w:val="00A555B3"/>
    <w:rsid w:val="00A56E80"/>
    <w:rsid w:val="00A57EE4"/>
    <w:rsid w:val="00A61343"/>
    <w:rsid w:val="00A62355"/>
    <w:rsid w:val="00A64224"/>
    <w:rsid w:val="00A656BB"/>
    <w:rsid w:val="00A65AF1"/>
    <w:rsid w:val="00A669DB"/>
    <w:rsid w:val="00A67914"/>
    <w:rsid w:val="00A71FEE"/>
    <w:rsid w:val="00A7238A"/>
    <w:rsid w:val="00A73023"/>
    <w:rsid w:val="00A7421E"/>
    <w:rsid w:val="00A74FD5"/>
    <w:rsid w:val="00A75AFE"/>
    <w:rsid w:val="00A77698"/>
    <w:rsid w:val="00A77A4A"/>
    <w:rsid w:val="00A77F29"/>
    <w:rsid w:val="00A80AAF"/>
    <w:rsid w:val="00A8128C"/>
    <w:rsid w:val="00A83DC7"/>
    <w:rsid w:val="00A83FD8"/>
    <w:rsid w:val="00A83FEC"/>
    <w:rsid w:val="00A8438E"/>
    <w:rsid w:val="00A84A20"/>
    <w:rsid w:val="00A869E6"/>
    <w:rsid w:val="00A87036"/>
    <w:rsid w:val="00A872F0"/>
    <w:rsid w:val="00A878F4"/>
    <w:rsid w:val="00A87E55"/>
    <w:rsid w:val="00A903E4"/>
    <w:rsid w:val="00A920EA"/>
    <w:rsid w:val="00A92E0A"/>
    <w:rsid w:val="00AA08D4"/>
    <w:rsid w:val="00AA0B6D"/>
    <w:rsid w:val="00AA0DBC"/>
    <w:rsid w:val="00AA0E56"/>
    <w:rsid w:val="00AA1189"/>
    <w:rsid w:val="00AA1EB9"/>
    <w:rsid w:val="00AA3241"/>
    <w:rsid w:val="00AA32B4"/>
    <w:rsid w:val="00AA43DB"/>
    <w:rsid w:val="00AA476E"/>
    <w:rsid w:val="00AA4DCF"/>
    <w:rsid w:val="00AA6832"/>
    <w:rsid w:val="00AA7E19"/>
    <w:rsid w:val="00AB035A"/>
    <w:rsid w:val="00AB0898"/>
    <w:rsid w:val="00AB0C4A"/>
    <w:rsid w:val="00AB0EFE"/>
    <w:rsid w:val="00AB1731"/>
    <w:rsid w:val="00AB176E"/>
    <w:rsid w:val="00AB21D9"/>
    <w:rsid w:val="00AB2491"/>
    <w:rsid w:val="00AB2F9D"/>
    <w:rsid w:val="00AB3F63"/>
    <w:rsid w:val="00AB7C7E"/>
    <w:rsid w:val="00AC174C"/>
    <w:rsid w:val="00AC293D"/>
    <w:rsid w:val="00AC465E"/>
    <w:rsid w:val="00AC7DD3"/>
    <w:rsid w:val="00AD09B5"/>
    <w:rsid w:val="00AD18A4"/>
    <w:rsid w:val="00AD2C5F"/>
    <w:rsid w:val="00AD4A64"/>
    <w:rsid w:val="00AD6CF6"/>
    <w:rsid w:val="00AD7B6E"/>
    <w:rsid w:val="00AE0294"/>
    <w:rsid w:val="00AE2893"/>
    <w:rsid w:val="00AE3137"/>
    <w:rsid w:val="00AE34EE"/>
    <w:rsid w:val="00AE4A27"/>
    <w:rsid w:val="00AE6122"/>
    <w:rsid w:val="00AF065B"/>
    <w:rsid w:val="00AF181B"/>
    <w:rsid w:val="00AF4BE6"/>
    <w:rsid w:val="00AF53F9"/>
    <w:rsid w:val="00AF5529"/>
    <w:rsid w:val="00AF58B9"/>
    <w:rsid w:val="00AF58F9"/>
    <w:rsid w:val="00AF6706"/>
    <w:rsid w:val="00AF67C8"/>
    <w:rsid w:val="00AF6DFE"/>
    <w:rsid w:val="00AF7377"/>
    <w:rsid w:val="00AF7C97"/>
    <w:rsid w:val="00AF7DF0"/>
    <w:rsid w:val="00AF7F63"/>
    <w:rsid w:val="00B00B95"/>
    <w:rsid w:val="00B012D6"/>
    <w:rsid w:val="00B0344E"/>
    <w:rsid w:val="00B0398F"/>
    <w:rsid w:val="00B0429F"/>
    <w:rsid w:val="00B050BC"/>
    <w:rsid w:val="00B0596A"/>
    <w:rsid w:val="00B07C92"/>
    <w:rsid w:val="00B10BCC"/>
    <w:rsid w:val="00B119A9"/>
    <w:rsid w:val="00B1398A"/>
    <w:rsid w:val="00B13BEC"/>
    <w:rsid w:val="00B1440A"/>
    <w:rsid w:val="00B1749D"/>
    <w:rsid w:val="00B2103D"/>
    <w:rsid w:val="00B21EE1"/>
    <w:rsid w:val="00B21FF0"/>
    <w:rsid w:val="00B2244B"/>
    <w:rsid w:val="00B25831"/>
    <w:rsid w:val="00B25DF7"/>
    <w:rsid w:val="00B27986"/>
    <w:rsid w:val="00B27B57"/>
    <w:rsid w:val="00B31223"/>
    <w:rsid w:val="00B313B6"/>
    <w:rsid w:val="00B319C9"/>
    <w:rsid w:val="00B330A9"/>
    <w:rsid w:val="00B3489C"/>
    <w:rsid w:val="00B36DAC"/>
    <w:rsid w:val="00B36E22"/>
    <w:rsid w:val="00B36EB3"/>
    <w:rsid w:val="00B3763F"/>
    <w:rsid w:val="00B40C1B"/>
    <w:rsid w:val="00B42968"/>
    <w:rsid w:val="00B44585"/>
    <w:rsid w:val="00B44B76"/>
    <w:rsid w:val="00B465D8"/>
    <w:rsid w:val="00B50B4C"/>
    <w:rsid w:val="00B518A1"/>
    <w:rsid w:val="00B52E1B"/>
    <w:rsid w:val="00B53FFF"/>
    <w:rsid w:val="00B56006"/>
    <w:rsid w:val="00B56A72"/>
    <w:rsid w:val="00B56DEB"/>
    <w:rsid w:val="00B573FA"/>
    <w:rsid w:val="00B60E36"/>
    <w:rsid w:val="00B61ADD"/>
    <w:rsid w:val="00B61C4B"/>
    <w:rsid w:val="00B622D1"/>
    <w:rsid w:val="00B62DB5"/>
    <w:rsid w:val="00B63B26"/>
    <w:rsid w:val="00B65E87"/>
    <w:rsid w:val="00B70436"/>
    <w:rsid w:val="00B71526"/>
    <w:rsid w:val="00B71F88"/>
    <w:rsid w:val="00B72C90"/>
    <w:rsid w:val="00B73402"/>
    <w:rsid w:val="00B73898"/>
    <w:rsid w:val="00B7729C"/>
    <w:rsid w:val="00B77625"/>
    <w:rsid w:val="00B7767F"/>
    <w:rsid w:val="00B77A90"/>
    <w:rsid w:val="00B77CDE"/>
    <w:rsid w:val="00B77CE8"/>
    <w:rsid w:val="00B81041"/>
    <w:rsid w:val="00B8145B"/>
    <w:rsid w:val="00B81485"/>
    <w:rsid w:val="00B831FA"/>
    <w:rsid w:val="00B84957"/>
    <w:rsid w:val="00B86748"/>
    <w:rsid w:val="00B86AD5"/>
    <w:rsid w:val="00B871F3"/>
    <w:rsid w:val="00B874DC"/>
    <w:rsid w:val="00B900B3"/>
    <w:rsid w:val="00B905B3"/>
    <w:rsid w:val="00B90B86"/>
    <w:rsid w:val="00B910B0"/>
    <w:rsid w:val="00B911F8"/>
    <w:rsid w:val="00B912F9"/>
    <w:rsid w:val="00B9138A"/>
    <w:rsid w:val="00B91C5C"/>
    <w:rsid w:val="00B91D78"/>
    <w:rsid w:val="00B92F77"/>
    <w:rsid w:val="00B92FF9"/>
    <w:rsid w:val="00B933CE"/>
    <w:rsid w:val="00B938AC"/>
    <w:rsid w:val="00B93A5F"/>
    <w:rsid w:val="00B94D28"/>
    <w:rsid w:val="00B9572C"/>
    <w:rsid w:val="00B96228"/>
    <w:rsid w:val="00BA12C0"/>
    <w:rsid w:val="00BA5125"/>
    <w:rsid w:val="00BA7D90"/>
    <w:rsid w:val="00BB0860"/>
    <w:rsid w:val="00BB09F8"/>
    <w:rsid w:val="00BB180C"/>
    <w:rsid w:val="00BB234F"/>
    <w:rsid w:val="00BB26F9"/>
    <w:rsid w:val="00BB3555"/>
    <w:rsid w:val="00BB3915"/>
    <w:rsid w:val="00BB4DD7"/>
    <w:rsid w:val="00BB5166"/>
    <w:rsid w:val="00BB6048"/>
    <w:rsid w:val="00BB6208"/>
    <w:rsid w:val="00BB6715"/>
    <w:rsid w:val="00BB72CA"/>
    <w:rsid w:val="00BB7E4F"/>
    <w:rsid w:val="00BC2708"/>
    <w:rsid w:val="00BC3049"/>
    <w:rsid w:val="00BC4157"/>
    <w:rsid w:val="00BC45B8"/>
    <w:rsid w:val="00BC626F"/>
    <w:rsid w:val="00BC71DB"/>
    <w:rsid w:val="00BC7993"/>
    <w:rsid w:val="00BD0032"/>
    <w:rsid w:val="00BD02D9"/>
    <w:rsid w:val="00BD240E"/>
    <w:rsid w:val="00BD29FE"/>
    <w:rsid w:val="00BD413B"/>
    <w:rsid w:val="00BD79E7"/>
    <w:rsid w:val="00BE095B"/>
    <w:rsid w:val="00BE0F79"/>
    <w:rsid w:val="00BE191B"/>
    <w:rsid w:val="00BE272D"/>
    <w:rsid w:val="00BE4C33"/>
    <w:rsid w:val="00BE63AE"/>
    <w:rsid w:val="00BE65B1"/>
    <w:rsid w:val="00BE71E6"/>
    <w:rsid w:val="00BF0355"/>
    <w:rsid w:val="00BF0EB7"/>
    <w:rsid w:val="00BF1387"/>
    <w:rsid w:val="00BF1990"/>
    <w:rsid w:val="00BF4866"/>
    <w:rsid w:val="00BF4B27"/>
    <w:rsid w:val="00BF5D19"/>
    <w:rsid w:val="00BF620D"/>
    <w:rsid w:val="00BF6FCF"/>
    <w:rsid w:val="00BF744F"/>
    <w:rsid w:val="00BF7976"/>
    <w:rsid w:val="00C00478"/>
    <w:rsid w:val="00C009A2"/>
    <w:rsid w:val="00C00E65"/>
    <w:rsid w:val="00C0149A"/>
    <w:rsid w:val="00C01921"/>
    <w:rsid w:val="00C01F52"/>
    <w:rsid w:val="00C024B4"/>
    <w:rsid w:val="00C0259E"/>
    <w:rsid w:val="00C120AF"/>
    <w:rsid w:val="00C12647"/>
    <w:rsid w:val="00C14555"/>
    <w:rsid w:val="00C15DD8"/>
    <w:rsid w:val="00C16766"/>
    <w:rsid w:val="00C173C5"/>
    <w:rsid w:val="00C22128"/>
    <w:rsid w:val="00C22C0E"/>
    <w:rsid w:val="00C22C38"/>
    <w:rsid w:val="00C2345E"/>
    <w:rsid w:val="00C23982"/>
    <w:rsid w:val="00C23BDA"/>
    <w:rsid w:val="00C24665"/>
    <w:rsid w:val="00C24825"/>
    <w:rsid w:val="00C253F8"/>
    <w:rsid w:val="00C254DF"/>
    <w:rsid w:val="00C26A07"/>
    <w:rsid w:val="00C304A4"/>
    <w:rsid w:val="00C31056"/>
    <w:rsid w:val="00C33790"/>
    <w:rsid w:val="00C34351"/>
    <w:rsid w:val="00C34E95"/>
    <w:rsid w:val="00C350CE"/>
    <w:rsid w:val="00C36507"/>
    <w:rsid w:val="00C370DF"/>
    <w:rsid w:val="00C37509"/>
    <w:rsid w:val="00C37597"/>
    <w:rsid w:val="00C37B3A"/>
    <w:rsid w:val="00C40E08"/>
    <w:rsid w:val="00C420F3"/>
    <w:rsid w:val="00C427F9"/>
    <w:rsid w:val="00C42FE9"/>
    <w:rsid w:val="00C43EFB"/>
    <w:rsid w:val="00C46D89"/>
    <w:rsid w:val="00C50050"/>
    <w:rsid w:val="00C5091D"/>
    <w:rsid w:val="00C53138"/>
    <w:rsid w:val="00C53E67"/>
    <w:rsid w:val="00C54C4D"/>
    <w:rsid w:val="00C565F3"/>
    <w:rsid w:val="00C566E3"/>
    <w:rsid w:val="00C56741"/>
    <w:rsid w:val="00C568F0"/>
    <w:rsid w:val="00C57293"/>
    <w:rsid w:val="00C574C1"/>
    <w:rsid w:val="00C57FB2"/>
    <w:rsid w:val="00C604BE"/>
    <w:rsid w:val="00C60C49"/>
    <w:rsid w:val="00C6204D"/>
    <w:rsid w:val="00C620FF"/>
    <w:rsid w:val="00C62E98"/>
    <w:rsid w:val="00C62EDE"/>
    <w:rsid w:val="00C64D79"/>
    <w:rsid w:val="00C651BD"/>
    <w:rsid w:val="00C65E25"/>
    <w:rsid w:val="00C663FA"/>
    <w:rsid w:val="00C704A7"/>
    <w:rsid w:val="00C70D4E"/>
    <w:rsid w:val="00C71EBE"/>
    <w:rsid w:val="00C72B71"/>
    <w:rsid w:val="00C7303B"/>
    <w:rsid w:val="00C7327F"/>
    <w:rsid w:val="00C74456"/>
    <w:rsid w:val="00C7509B"/>
    <w:rsid w:val="00C767BF"/>
    <w:rsid w:val="00C80446"/>
    <w:rsid w:val="00C8173C"/>
    <w:rsid w:val="00C83274"/>
    <w:rsid w:val="00C840B4"/>
    <w:rsid w:val="00C84627"/>
    <w:rsid w:val="00C85020"/>
    <w:rsid w:val="00C86013"/>
    <w:rsid w:val="00C87100"/>
    <w:rsid w:val="00C91667"/>
    <w:rsid w:val="00C922BD"/>
    <w:rsid w:val="00C92682"/>
    <w:rsid w:val="00C9381A"/>
    <w:rsid w:val="00C94250"/>
    <w:rsid w:val="00C945BC"/>
    <w:rsid w:val="00C96910"/>
    <w:rsid w:val="00C97AF7"/>
    <w:rsid w:val="00CA0323"/>
    <w:rsid w:val="00CA0809"/>
    <w:rsid w:val="00CA0835"/>
    <w:rsid w:val="00CA106E"/>
    <w:rsid w:val="00CA279A"/>
    <w:rsid w:val="00CA27C6"/>
    <w:rsid w:val="00CA2D13"/>
    <w:rsid w:val="00CA3ABE"/>
    <w:rsid w:val="00CA3D7D"/>
    <w:rsid w:val="00CA4B91"/>
    <w:rsid w:val="00CA4BE5"/>
    <w:rsid w:val="00CA5E2F"/>
    <w:rsid w:val="00CA77E8"/>
    <w:rsid w:val="00CA7B8B"/>
    <w:rsid w:val="00CA7DCB"/>
    <w:rsid w:val="00CB43A9"/>
    <w:rsid w:val="00CB4AD6"/>
    <w:rsid w:val="00CB6968"/>
    <w:rsid w:val="00CB7BF2"/>
    <w:rsid w:val="00CC0072"/>
    <w:rsid w:val="00CC1964"/>
    <w:rsid w:val="00CC1F8B"/>
    <w:rsid w:val="00CC2AE1"/>
    <w:rsid w:val="00CC444F"/>
    <w:rsid w:val="00CC554F"/>
    <w:rsid w:val="00CC5633"/>
    <w:rsid w:val="00CC5ED2"/>
    <w:rsid w:val="00CC62B4"/>
    <w:rsid w:val="00CC6D25"/>
    <w:rsid w:val="00CD077D"/>
    <w:rsid w:val="00CD1433"/>
    <w:rsid w:val="00CD1E8D"/>
    <w:rsid w:val="00CD260F"/>
    <w:rsid w:val="00CD42EC"/>
    <w:rsid w:val="00CD5FC1"/>
    <w:rsid w:val="00CE1795"/>
    <w:rsid w:val="00CE18D3"/>
    <w:rsid w:val="00CE1E98"/>
    <w:rsid w:val="00CE4290"/>
    <w:rsid w:val="00CE446E"/>
    <w:rsid w:val="00CE4ED5"/>
    <w:rsid w:val="00CE5F98"/>
    <w:rsid w:val="00CE6178"/>
    <w:rsid w:val="00CE6BD5"/>
    <w:rsid w:val="00CE6D28"/>
    <w:rsid w:val="00CE73C2"/>
    <w:rsid w:val="00CF0B68"/>
    <w:rsid w:val="00CF2884"/>
    <w:rsid w:val="00CF419B"/>
    <w:rsid w:val="00CF5584"/>
    <w:rsid w:val="00CF5BE2"/>
    <w:rsid w:val="00CF64DA"/>
    <w:rsid w:val="00CF6502"/>
    <w:rsid w:val="00D0015E"/>
    <w:rsid w:val="00D003A5"/>
    <w:rsid w:val="00D0091C"/>
    <w:rsid w:val="00D00F1A"/>
    <w:rsid w:val="00D04C2C"/>
    <w:rsid w:val="00D05093"/>
    <w:rsid w:val="00D059F9"/>
    <w:rsid w:val="00D075A6"/>
    <w:rsid w:val="00D07E14"/>
    <w:rsid w:val="00D1154D"/>
    <w:rsid w:val="00D11F55"/>
    <w:rsid w:val="00D12013"/>
    <w:rsid w:val="00D120D9"/>
    <w:rsid w:val="00D12ECB"/>
    <w:rsid w:val="00D13819"/>
    <w:rsid w:val="00D13A4A"/>
    <w:rsid w:val="00D166E3"/>
    <w:rsid w:val="00D1782A"/>
    <w:rsid w:val="00D2014E"/>
    <w:rsid w:val="00D20476"/>
    <w:rsid w:val="00D21587"/>
    <w:rsid w:val="00D2172A"/>
    <w:rsid w:val="00D2263A"/>
    <w:rsid w:val="00D24024"/>
    <w:rsid w:val="00D253A4"/>
    <w:rsid w:val="00D25FEA"/>
    <w:rsid w:val="00D261D6"/>
    <w:rsid w:val="00D263E3"/>
    <w:rsid w:val="00D265F5"/>
    <w:rsid w:val="00D314BB"/>
    <w:rsid w:val="00D317C8"/>
    <w:rsid w:val="00D31B91"/>
    <w:rsid w:val="00D335CA"/>
    <w:rsid w:val="00D34BA8"/>
    <w:rsid w:val="00D351AB"/>
    <w:rsid w:val="00D35BBE"/>
    <w:rsid w:val="00D36579"/>
    <w:rsid w:val="00D36F61"/>
    <w:rsid w:val="00D40CDE"/>
    <w:rsid w:val="00D41AD0"/>
    <w:rsid w:val="00D41B32"/>
    <w:rsid w:val="00D42F2A"/>
    <w:rsid w:val="00D43B14"/>
    <w:rsid w:val="00D45A9A"/>
    <w:rsid w:val="00D4620A"/>
    <w:rsid w:val="00D46E50"/>
    <w:rsid w:val="00D46EC6"/>
    <w:rsid w:val="00D52F29"/>
    <w:rsid w:val="00D54F91"/>
    <w:rsid w:val="00D56D11"/>
    <w:rsid w:val="00D570C8"/>
    <w:rsid w:val="00D572CA"/>
    <w:rsid w:val="00D575C2"/>
    <w:rsid w:val="00D57D15"/>
    <w:rsid w:val="00D57FF9"/>
    <w:rsid w:val="00D612F7"/>
    <w:rsid w:val="00D61F13"/>
    <w:rsid w:val="00D643CE"/>
    <w:rsid w:val="00D6622C"/>
    <w:rsid w:val="00D679B5"/>
    <w:rsid w:val="00D70C96"/>
    <w:rsid w:val="00D71C66"/>
    <w:rsid w:val="00D7452C"/>
    <w:rsid w:val="00D74893"/>
    <w:rsid w:val="00D74A23"/>
    <w:rsid w:val="00D761CB"/>
    <w:rsid w:val="00D779A1"/>
    <w:rsid w:val="00D8124D"/>
    <w:rsid w:val="00D8132F"/>
    <w:rsid w:val="00D81A11"/>
    <w:rsid w:val="00D82CA8"/>
    <w:rsid w:val="00D82E5B"/>
    <w:rsid w:val="00D84794"/>
    <w:rsid w:val="00D84981"/>
    <w:rsid w:val="00D8751E"/>
    <w:rsid w:val="00D90A90"/>
    <w:rsid w:val="00D9182B"/>
    <w:rsid w:val="00D922C9"/>
    <w:rsid w:val="00D935EF"/>
    <w:rsid w:val="00D9398A"/>
    <w:rsid w:val="00D93D55"/>
    <w:rsid w:val="00D9466F"/>
    <w:rsid w:val="00D953FE"/>
    <w:rsid w:val="00DA25FA"/>
    <w:rsid w:val="00DA28BE"/>
    <w:rsid w:val="00DA2A65"/>
    <w:rsid w:val="00DA562D"/>
    <w:rsid w:val="00DA6082"/>
    <w:rsid w:val="00DA6790"/>
    <w:rsid w:val="00DA7E33"/>
    <w:rsid w:val="00DA7EA3"/>
    <w:rsid w:val="00DB005E"/>
    <w:rsid w:val="00DB08A8"/>
    <w:rsid w:val="00DB08D4"/>
    <w:rsid w:val="00DB2343"/>
    <w:rsid w:val="00DB2BA0"/>
    <w:rsid w:val="00DB3511"/>
    <w:rsid w:val="00DB4D6A"/>
    <w:rsid w:val="00DB5113"/>
    <w:rsid w:val="00DB720E"/>
    <w:rsid w:val="00DC03E6"/>
    <w:rsid w:val="00DC0589"/>
    <w:rsid w:val="00DC1A1A"/>
    <w:rsid w:val="00DC2482"/>
    <w:rsid w:val="00DC2846"/>
    <w:rsid w:val="00DC2F84"/>
    <w:rsid w:val="00DC3EBD"/>
    <w:rsid w:val="00DC45D0"/>
    <w:rsid w:val="00DC4760"/>
    <w:rsid w:val="00DC4EEE"/>
    <w:rsid w:val="00DC4FC8"/>
    <w:rsid w:val="00DC5EDB"/>
    <w:rsid w:val="00DC6D03"/>
    <w:rsid w:val="00DC79F8"/>
    <w:rsid w:val="00DC7CDE"/>
    <w:rsid w:val="00DD0108"/>
    <w:rsid w:val="00DD088F"/>
    <w:rsid w:val="00DD15A3"/>
    <w:rsid w:val="00DD2218"/>
    <w:rsid w:val="00DD3074"/>
    <w:rsid w:val="00DD32E3"/>
    <w:rsid w:val="00DD5D4A"/>
    <w:rsid w:val="00DD7034"/>
    <w:rsid w:val="00DD7A66"/>
    <w:rsid w:val="00DE0207"/>
    <w:rsid w:val="00DE0719"/>
    <w:rsid w:val="00DE14CE"/>
    <w:rsid w:val="00DE17D3"/>
    <w:rsid w:val="00DE2A01"/>
    <w:rsid w:val="00DE31EF"/>
    <w:rsid w:val="00DE34E3"/>
    <w:rsid w:val="00DE4F24"/>
    <w:rsid w:val="00DE6802"/>
    <w:rsid w:val="00DE765D"/>
    <w:rsid w:val="00DF1AD2"/>
    <w:rsid w:val="00DF249B"/>
    <w:rsid w:val="00DF2AC9"/>
    <w:rsid w:val="00DF2CA6"/>
    <w:rsid w:val="00DF30C6"/>
    <w:rsid w:val="00DF3416"/>
    <w:rsid w:val="00DF3562"/>
    <w:rsid w:val="00DF3FAB"/>
    <w:rsid w:val="00DF52A4"/>
    <w:rsid w:val="00DF58B0"/>
    <w:rsid w:val="00DF5AE8"/>
    <w:rsid w:val="00DF61A8"/>
    <w:rsid w:val="00DF6828"/>
    <w:rsid w:val="00DF7798"/>
    <w:rsid w:val="00DF7916"/>
    <w:rsid w:val="00DF7D6D"/>
    <w:rsid w:val="00E01630"/>
    <w:rsid w:val="00E01755"/>
    <w:rsid w:val="00E0303F"/>
    <w:rsid w:val="00E042D6"/>
    <w:rsid w:val="00E0490B"/>
    <w:rsid w:val="00E06401"/>
    <w:rsid w:val="00E104B3"/>
    <w:rsid w:val="00E122F8"/>
    <w:rsid w:val="00E12309"/>
    <w:rsid w:val="00E12EA6"/>
    <w:rsid w:val="00E1552F"/>
    <w:rsid w:val="00E176A1"/>
    <w:rsid w:val="00E1796E"/>
    <w:rsid w:val="00E21498"/>
    <w:rsid w:val="00E22584"/>
    <w:rsid w:val="00E226B4"/>
    <w:rsid w:val="00E23024"/>
    <w:rsid w:val="00E235A0"/>
    <w:rsid w:val="00E23B5F"/>
    <w:rsid w:val="00E245DD"/>
    <w:rsid w:val="00E25157"/>
    <w:rsid w:val="00E25337"/>
    <w:rsid w:val="00E25D99"/>
    <w:rsid w:val="00E30577"/>
    <w:rsid w:val="00E317C3"/>
    <w:rsid w:val="00E33214"/>
    <w:rsid w:val="00E33868"/>
    <w:rsid w:val="00E35D7C"/>
    <w:rsid w:val="00E3655B"/>
    <w:rsid w:val="00E36730"/>
    <w:rsid w:val="00E369C8"/>
    <w:rsid w:val="00E401DD"/>
    <w:rsid w:val="00E4065A"/>
    <w:rsid w:val="00E4097C"/>
    <w:rsid w:val="00E41BA4"/>
    <w:rsid w:val="00E41CEC"/>
    <w:rsid w:val="00E42893"/>
    <w:rsid w:val="00E43BB2"/>
    <w:rsid w:val="00E43D52"/>
    <w:rsid w:val="00E443FB"/>
    <w:rsid w:val="00E44943"/>
    <w:rsid w:val="00E44C5B"/>
    <w:rsid w:val="00E46A5C"/>
    <w:rsid w:val="00E5051B"/>
    <w:rsid w:val="00E5093C"/>
    <w:rsid w:val="00E50B32"/>
    <w:rsid w:val="00E54925"/>
    <w:rsid w:val="00E55D38"/>
    <w:rsid w:val="00E57BA8"/>
    <w:rsid w:val="00E62410"/>
    <w:rsid w:val="00E627BB"/>
    <w:rsid w:val="00E62ABF"/>
    <w:rsid w:val="00E6344C"/>
    <w:rsid w:val="00E63664"/>
    <w:rsid w:val="00E640BC"/>
    <w:rsid w:val="00E65D14"/>
    <w:rsid w:val="00E66ADE"/>
    <w:rsid w:val="00E66FB4"/>
    <w:rsid w:val="00E67726"/>
    <w:rsid w:val="00E71234"/>
    <w:rsid w:val="00E71F3B"/>
    <w:rsid w:val="00E727EF"/>
    <w:rsid w:val="00E72F8B"/>
    <w:rsid w:val="00E73114"/>
    <w:rsid w:val="00E73897"/>
    <w:rsid w:val="00E73DA2"/>
    <w:rsid w:val="00E7453B"/>
    <w:rsid w:val="00E7627F"/>
    <w:rsid w:val="00E7738F"/>
    <w:rsid w:val="00E77B31"/>
    <w:rsid w:val="00E80718"/>
    <w:rsid w:val="00E828EB"/>
    <w:rsid w:val="00E829EA"/>
    <w:rsid w:val="00E8327D"/>
    <w:rsid w:val="00E832E2"/>
    <w:rsid w:val="00E85BE7"/>
    <w:rsid w:val="00E85D3F"/>
    <w:rsid w:val="00E85E31"/>
    <w:rsid w:val="00E8651C"/>
    <w:rsid w:val="00E86559"/>
    <w:rsid w:val="00E8699D"/>
    <w:rsid w:val="00E86CF0"/>
    <w:rsid w:val="00E87117"/>
    <w:rsid w:val="00E90A4D"/>
    <w:rsid w:val="00E91EE6"/>
    <w:rsid w:val="00E929F6"/>
    <w:rsid w:val="00E9399B"/>
    <w:rsid w:val="00E939EA"/>
    <w:rsid w:val="00E94054"/>
    <w:rsid w:val="00E9456D"/>
    <w:rsid w:val="00E95469"/>
    <w:rsid w:val="00E96173"/>
    <w:rsid w:val="00E96286"/>
    <w:rsid w:val="00E963CB"/>
    <w:rsid w:val="00E96903"/>
    <w:rsid w:val="00E97642"/>
    <w:rsid w:val="00E97BE7"/>
    <w:rsid w:val="00EA08EF"/>
    <w:rsid w:val="00EA177A"/>
    <w:rsid w:val="00EA2261"/>
    <w:rsid w:val="00EA2CD5"/>
    <w:rsid w:val="00EA3540"/>
    <w:rsid w:val="00EA4EC2"/>
    <w:rsid w:val="00EA55FF"/>
    <w:rsid w:val="00EA5675"/>
    <w:rsid w:val="00EA5901"/>
    <w:rsid w:val="00EA75EF"/>
    <w:rsid w:val="00EB4DCD"/>
    <w:rsid w:val="00EB6D86"/>
    <w:rsid w:val="00EC13E4"/>
    <w:rsid w:val="00EC15C6"/>
    <w:rsid w:val="00EC1909"/>
    <w:rsid w:val="00EC2583"/>
    <w:rsid w:val="00EC2B04"/>
    <w:rsid w:val="00EC358D"/>
    <w:rsid w:val="00EC4841"/>
    <w:rsid w:val="00EC623B"/>
    <w:rsid w:val="00EC63CB"/>
    <w:rsid w:val="00EC7566"/>
    <w:rsid w:val="00ED0E78"/>
    <w:rsid w:val="00ED0F55"/>
    <w:rsid w:val="00ED10AA"/>
    <w:rsid w:val="00ED135D"/>
    <w:rsid w:val="00ED2943"/>
    <w:rsid w:val="00ED35DC"/>
    <w:rsid w:val="00ED4D98"/>
    <w:rsid w:val="00ED5FB3"/>
    <w:rsid w:val="00ED7A6E"/>
    <w:rsid w:val="00EE19AB"/>
    <w:rsid w:val="00EE2535"/>
    <w:rsid w:val="00EE2A63"/>
    <w:rsid w:val="00EE2C76"/>
    <w:rsid w:val="00EE2ED8"/>
    <w:rsid w:val="00EE41D4"/>
    <w:rsid w:val="00EE41EF"/>
    <w:rsid w:val="00EE41F9"/>
    <w:rsid w:val="00EE5A2F"/>
    <w:rsid w:val="00EE5D6B"/>
    <w:rsid w:val="00EE615D"/>
    <w:rsid w:val="00EE70B2"/>
    <w:rsid w:val="00EE7216"/>
    <w:rsid w:val="00EF013C"/>
    <w:rsid w:val="00EF01AD"/>
    <w:rsid w:val="00EF0B8E"/>
    <w:rsid w:val="00EF1CE1"/>
    <w:rsid w:val="00EF1D89"/>
    <w:rsid w:val="00EF26E7"/>
    <w:rsid w:val="00EF372B"/>
    <w:rsid w:val="00EF378D"/>
    <w:rsid w:val="00EF411A"/>
    <w:rsid w:val="00EF45AE"/>
    <w:rsid w:val="00EF469D"/>
    <w:rsid w:val="00EF4EC3"/>
    <w:rsid w:val="00EF60B1"/>
    <w:rsid w:val="00F001CF"/>
    <w:rsid w:val="00F011A1"/>
    <w:rsid w:val="00F013EE"/>
    <w:rsid w:val="00F01693"/>
    <w:rsid w:val="00F02221"/>
    <w:rsid w:val="00F050FA"/>
    <w:rsid w:val="00F057AA"/>
    <w:rsid w:val="00F0639F"/>
    <w:rsid w:val="00F07DDF"/>
    <w:rsid w:val="00F10825"/>
    <w:rsid w:val="00F113DA"/>
    <w:rsid w:val="00F138A0"/>
    <w:rsid w:val="00F13F63"/>
    <w:rsid w:val="00F14247"/>
    <w:rsid w:val="00F149D2"/>
    <w:rsid w:val="00F165E6"/>
    <w:rsid w:val="00F16F20"/>
    <w:rsid w:val="00F17E79"/>
    <w:rsid w:val="00F200D7"/>
    <w:rsid w:val="00F2159C"/>
    <w:rsid w:val="00F21EBF"/>
    <w:rsid w:val="00F228DB"/>
    <w:rsid w:val="00F22E19"/>
    <w:rsid w:val="00F244F1"/>
    <w:rsid w:val="00F251A1"/>
    <w:rsid w:val="00F25438"/>
    <w:rsid w:val="00F25D04"/>
    <w:rsid w:val="00F263D1"/>
    <w:rsid w:val="00F264C2"/>
    <w:rsid w:val="00F30250"/>
    <w:rsid w:val="00F30CD1"/>
    <w:rsid w:val="00F32C92"/>
    <w:rsid w:val="00F37B0F"/>
    <w:rsid w:val="00F37F1B"/>
    <w:rsid w:val="00F409EF"/>
    <w:rsid w:val="00F4119C"/>
    <w:rsid w:val="00F41CD6"/>
    <w:rsid w:val="00F44E65"/>
    <w:rsid w:val="00F45B6E"/>
    <w:rsid w:val="00F45C50"/>
    <w:rsid w:val="00F46AE3"/>
    <w:rsid w:val="00F508CB"/>
    <w:rsid w:val="00F51200"/>
    <w:rsid w:val="00F5156C"/>
    <w:rsid w:val="00F51AD0"/>
    <w:rsid w:val="00F52A6B"/>
    <w:rsid w:val="00F52A91"/>
    <w:rsid w:val="00F5374A"/>
    <w:rsid w:val="00F53AB4"/>
    <w:rsid w:val="00F542A1"/>
    <w:rsid w:val="00F55BF5"/>
    <w:rsid w:val="00F56C03"/>
    <w:rsid w:val="00F57C05"/>
    <w:rsid w:val="00F57C75"/>
    <w:rsid w:val="00F6147C"/>
    <w:rsid w:val="00F61685"/>
    <w:rsid w:val="00F61999"/>
    <w:rsid w:val="00F61AED"/>
    <w:rsid w:val="00F61D9C"/>
    <w:rsid w:val="00F63F1C"/>
    <w:rsid w:val="00F646BE"/>
    <w:rsid w:val="00F647BE"/>
    <w:rsid w:val="00F648FB"/>
    <w:rsid w:val="00F64E5B"/>
    <w:rsid w:val="00F67656"/>
    <w:rsid w:val="00F678B7"/>
    <w:rsid w:val="00F7014B"/>
    <w:rsid w:val="00F70CF4"/>
    <w:rsid w:val="00F71D21"/>
    <w:rsid w:val="00F73AF0"/>
    <w:rsid w:val="00F75E6F"/>
    <w:rsid w:val="00F77214"/>
    <w:rsid w:val="00F7753E"/>
    <w:rsid w:val="00F77758"/>
    <w:rsid w:val="00F805C2"/>
    <w:rsid w:val="00F81D8D"/>
    <w:rsid w:val="00F82871"/>
    <w:rsid w:val="00F8377D"/>
    <w:rsid w:val="00F83BC3"/>
    <w:rsid w:val="00F847A3"/>
    <w:rsid w:val="00F84AAF"/>
    <w:rsid w:val="00F86FC0"/>
    <w:rsid w:val="00F879F4"/>
    <w:rsid w:val="00F904F8"/>
    <w:rsid w:val="00F90C56"/>
    <w:rsid w:val="00F91121"/>
    <w:rsid w:val="00F93367"/>
    <w:rsid w:val="00F93545"/>
    <w:rsid w:val="00F93905"/>
    <w:rsid w:val="00F93DBE"/>
    <w:rsid w:val="00F94C4D"/>
    <w:rsid w:val="00F95476"/>
    <w:rsid w:val="00F955A2"/>
    <w:rsid w:val="00F95C2E"/>
    <w:rsid w:val="00F96B84"/>
    <w:rsid w:val="00F96E9F"/>
    <w:rsid w:val="00F9760B"/>
    <w:rsid w:val="00F97C6B"/>
    <w:rsid w:val="00FA01A0"/>
    <w:rsid w:val="00FA0777"/>
    <w:rsid w:val="00FA147C"/>
    <w:rsid w:val="00FA1A9C"/>
    <w:rsid w:val="00FA1DA9"/>
    <w:rsid w:val="00FA367A"/>
    <w:rsid w:val="00FA433C"/>
    <w:rsid w:val="00FA4349"/>
    <w:rsid w:val="00FA5033"/>
    <w:rsid w:val="00FA6037"/>
    <w:rsid w:val="00FA6340"/>
    <w:rsid w:val="00FA6ECC"/>
    <w:rsid w:val="00FA739E"/>
    <w:rsid w:val="00FB2B46"/>
    <w:rsid w:val="00FB2D24"/>
    <w:rsid w:val="00FB329C"/>
    <w:rsid w:val="00FB3580"/>
    <w:rsid w:val="00FB3886"/>
    <w:rsid w:val="00FB4470"/>
    <w:rsid w:val="00FB55C2"/>
    <w:rsid w:val="00FB6FE9"/>
    <w:rsid w:val="00FC07F3"/>
    <w:rsid w:val="00FC0C5E"/>
    <w:rsid w:val="00FC34D1"/>
    <w:rsid w:val="00FC37F8"/>
    <w:rsid w:val="00FC3877"/>
    <w:rsid w:val="00FD053A"/>
    <w:rsid w:val="00FD06FB"/>
    <w:rsid w:val="00FD14C0"/>
    <w:rsid w:val="00FD1BDD"/>
    <w:rsid w:val="00FD1EBD"/>
    <w:rsid w:val="00FD219C"/>
    <w:rsid w:val="00FD2D36"/>
    <w:rsid w:val="00FD3E40"/>
    <w:rsid w:val="00FD412A"/>
    <w:rsid w:val="00FD41C1"/>
    <w:rsid w:val="00FD499D"/>
    <w:rsid w:val="00FD5593"/>
    <w:rsid w:val="00FD65E7"/>
    <w:rsid w:val="00FD6BDC"/>
    <w:rsid w:val="00FE0833"/>
    <w:rsid w:val="00FE0A2F"/>
    <w:rsid w:val="00FE205C"/>
    <w:rsid w:val="00FE5D1D"/>
    <w:rsid w:val="00FF0031"/>
    <w:rsid w:val="00FF0041"/>
    <w:rsid w:val="00FF1A40"/>
    <w:rsid w:val="00FF1D2A"/>
    <w:rsid w:val="00FF326D"/>
    <w:rsid w:val="00FF36A7"/>
    <w:rsid w:val="00FF3E17"/>
    <w:rsid w:val="00FF53B4"/>
    <w:rsid w:val="00FF5F2E"/>
    <w:rsid w:val="00FF65F3"/>
    <w:rsid w:val="00FF67E2"/>
    <w:rsid w:val="00FF6E28"/>
    <w:rsid w:val="00FF6E50"/>
    <w:rsid w:val="00FF6F83"/>
    <w:rsid w:val="00FF72B2"/>
    <w:rsid w:val="00FF7451"/>
    <w:rsid w:val="00FF75DA"/>
    <w:rsid w:val="00FF7F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033A2647"/>
  <w15:chartTrackingRefBased/>
  <w15:docId w15:val="{805AD8B1-5288-49A9-A1DD-26C13BB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1EF"/>
    <w:pPr>
      <w:spacing w:after="120" w:line="336" w:lineRule="auto"/>
      <w:jc w:val="both"/>
    </w:pPr>
    <w:rPr>
      <w:rFonts w:ascii="Times New Roman" w:hAnsi="Times New Roman"/>
    </w:rPr>
  </w:style>
  <w:style w:type="paragraph" w:styleId="Nadpis1">
    <w:name w:val="heading 1"/>
    <w:basedOn w:val="Normlny"/>
    <w:next w:val="Normlny"/>
    <w:link w:val="Nadpis1Char"/>
    <w:uiPriority w:val="9"/>
    <w:qFormat/>
    <w:rsid w:val="00ED135D"/>
    <w:pPr>
      <w:keepNext/>
      <w:numPr>
        <w:numId w:val="1"/>
      </w:numPr>
      <w:spacing w:before="120"/>
      <w:ind w:left="4402"/>
      <w:jc w:val="center"/>
      <w:outlineLvl w:val="0"/>
    </w:pPr>
    <w:rPr>
      <w:rFonts w:eastAsiaTheme="majorEastAsia" w:cstheme="majorBidi"/>
      <w:b/>
      <w:sz w:val="26"/>
      <w:szCs w:val="32"/>
    </w:rPr>
  </w:style>
  <w:style w:type="paragraph" w:styleId="Nadpis2">
    <w:name w:val="heading 2"/>
    <w:basedOn w:val="Normlny"/>
    <w:next w:val="Normlny"/>
    <w:link w:val="Nadpis2Char"/>
    <w:uiPriority w:val="9"/>
    <w:unhideWhenUsed/>
    <w:qFormat/>
    <w:rsid w:val="00112E7C"/>
    <w:pPr>
      <w:keepNext/>
      <w:numPr>
        <w:ilvl w:val="1"/>
        <w:numId w:val="1"/>
      </w:numPr>
      <w:spacing w:before="120"/>
      <w:ind w:left="578" w:hanging="578"/>
      <w:jc w:val="center"/>
      <w:outlineLvl w:val="1"/>
    </w:pPr>
    <w:rPr>
      <w:rFonts w:eastAsiaTheme="majorEastAsia" w:cstheme="majorBidi"/>
      <w:b/>
      <w:sz w:val="24"/>
      <w:szCs w:val="26"/>
    </w:rPr>
  </w:style>
  <w:style w:type="paragraph" w:styleId="Nadpis3">
    <w:name w:val="heading 3"/>
    <w:basedOn w:val="Normlny"/>
    <w:next w:val="Normlny"/>
    <w:link w:val="Nadpis3Char"/>
    <w:uiPriority w:val="9"/>
    <w:unhideWhenUsed/>
    <w:qFormat/>
    <w:rsid w:val="00861AB8"/>
    <w:pPr>
      <w:keepNext/>
      <w:keepLines/>
      <w:numPr>
        <w:ilvl w:val="2"/>
        <w:numId w:val="1"/>
      </w:numPr>
      <w:spacing w:before="120"/>
      <w:ind w:left="0" w:firstLine="0"/>
      <w:jc w:val="center"/>
      <w:outlineLvl w:val="2"/>
    </w:pPr>
    <w:rPr>
      <w:rFonts w:eastAsiaTheme="majorEastAsia" w:cstheme="majorBidi"/>
      <w:b/>
      <w:szCs w:val="24"/>
    </w:rPr>
  </w:style>
  <w:style w:type="paragraph" w:styleId="Nadpis4">
    <w:name w:val="heading 4"/>
    <w:basedOn w:val="Normlny"/>
    <w:next w:val="Normlny"/>
    <w:link w:val="Nadpis4Char"/>
    <w:uiPriority w:val="9"/>
    <w:unhideWhenUsed/>
    <w:qFormat/>
    <w:rsid w:val="00F61D9C"/>
    <w:pPr>
      <w:keepNext/>
      <w:keepLines/>
      <w:numPr>
        <w:ilvl w:val="3"/>
        <w:numId w:val="1"/>
      </w:numPr>
      <w:spacing w:before="120"/>
      <w:ind w:left="862" w:hanging="862"/>
      <w:jc w:val="center"/>
      <w:outlineLvl w:val="3"/>
    </w:pPr>
    <w:rPr>
      <w:rFonts w:eastAsiaTheme="majorEastAsia" w:cstheme="majorBidi"/>
      <w:b/>
      <w:iCs/>
    </w:rPr>
  </w:style>
  <w:style w:type="paragraph" w:styleId="Nadpis5">
    <w:name w:val="heading 5"/>
    <w:basedOn w:val="Normlny"/>
    <w:next w:val="Normlny"/>
    <w:link w:val="Nadpis5Char"/>
    <w:uiPriority w:val="9"/>
    <w:semiHidden/>
    <w:unhideWhenUsed/>
    <w:qFormat/>
    <w:rsid w:val="005F5B8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5F5B8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5F5B8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5F5B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F5B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135D"/>
    <w:rPr>
      <w:rFonts w:ascii="Times New Roman" w:eastAsiaTheme="majorEastAsia" w:hAnsi="Times New Roman" w:cstheme="majorBidi"/>
      <w:b/>
      <w:sz w:val="26"/>
      <w:szCs w:val="32"/>
    </w:rPr>
  </w:style>
  <w:style w:type="character" w:customStyle="1" w:styleId="Nadpis2Char">
    <w:name w:val="Nadpis 2 Char"/>
    <w:basedOn w:val="Predvolenpsmoodseku"/>
    <w:link w:val="Nadpis2"/>
    <w:uiPriority w:val="9"/>
    <w:rsid w:val="00112E7C"/>
    <w:rPr>
      <w:rFonts w:ascii="Times New Roman" w:eastAsiaTheme="majorEastAsia" w:hAnsi="Times New Roman" w:cstheme="majorBidi"/>
      <w:b/>
      <w:sz w:val="24"/>
      <w:szCs w:val="26"/>
    </w:rPr>
  </w:style>
  <w:style w:type="character" w:customStyle="1" w:styleId="Nadpis3Char">
    <w:name w:val="Nadpis 3 Char"/>
    <w:basedOn w:val="Predvolenpsmoodseku"/>
    <w:link w:val="Nadpis3"/>
    <w:uiPriority w:val="9"/>
    <w:rsid w:val="00861AB8"/>
    <w:rPr>
      <w:rFonts w:ascii="Times New Roman" w:eastAsiaTheme="majorEastAsia" w:hAnsi="Times New Roman" w:cstheme="majorBidi"/>
      <w:b/>
      <w:szCs w:val="24"/>
    </w:rPr>
  </w:style>
  <w:style w:type="character" w:customStyle="1" w:styleId="Nadpis4Char">
    <w:name w:val="Nadpis 4 Char"/>
    <w:basedOn w:val="Predvolenpsmoodseku"/>
    <w:link w:val="Nadpis4"/>
    <w:uiPriority w:val="9"/>
    <w:rsid w:val="00F61D9C"/>
    <w:rPr>
      <w:rFonts w:ascii="Times New Roman" w:eastAsiaTheme="majorEastAsia" w:hAnsi="Times New Roman" w:cstheme="majorBidi"/>
      <w:b/>
      <w:iCs/>
    </w:rPr>
  </w:style>
  <w:style w:type="character" w:customStyle="1" w:styleId="Nadpis5Char">
    <w:name w:val="Nadpis 5 Char"/>
    <w:basedOn w:val="Predvolenpsmoodseku"/>
    <w:link w:val="Nadpis5"/>
    <w:uiPriority w:val="9"/>
    <w:semiHidden/>
    <w:rsid w:val="005F5B88"/>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5F5B88"/>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5F5B88"/>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5F5B8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5F5B88"/>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881B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81BDB"/>
    <w:rPr>
      <w:rFonts w:ascii="Times New Roman" w:hAnsi="Times New Roman"/>
    </w:rPr>
  </w:style>
  <w:style w:type="paragraph" w:styleId="Pta">
    <w:name w:val="footer"/>
    <w:basedOn w:val="Normlny"/>
    <w:link w:val="PtaChar"/>
    <w:unhideWhenUsed/>
    <w:rsid w:val="00881BDB"/>
    <w:pPr>
      <w:tabs>
        <w:tab w:val="center" w:pos="4536"/>
        <w:tab w:val="right" w:pos="9072"/>
      </w:tabs>
      <w:spacing w:after="0" w:line="240" w:lineRule="auto"/>
    </w:pPr>
  </w:style>
  <w:style w:type="character" w:customStyle="1" w:styleId="PtaChar">
    <w:name w:val="Päta Char"/>
    <w:basedOn w:val="Predvolenpsmoodseku"/>
    <w:link w:val="Pta"/>
    <w:uiPriority w:val="99"/>
    <w:rsid w:val="00881BDB"/>
    <w:rPr>
      <w:rFonts w:ascii="Times New Roman" w:hAnsi="Times New Roman"/>
    </w:rPr>
  </w:style>
  <w:style w:type="paragraph" w:styleId="Obsah1">
    <w:name w:val="toc 1"/>
    <w:basedOn w:val="Normlny"/>
    <w:next w:val="Normlny"/>
    <w:autoRedefine/>
    <w:uiPriority w:val="39"/>
    <w:unhideWhenUsed/>
    <w:rsid w:val="008A585A"/>
    <w:pPr>
      <w:tabs>
        <w:tab w:val="left" w:pos="332"/>
        <w:tab w:val="right" w:pos="8493"/>
      </w:tabs>
      <w:spacing w:before="120" w:line="288" w:lineRule="auto"/>
      <w:jc w:val="left"/>
    </w:pPr>
    <w:rPr>
      <w:b/>
      <w:bCs/>
      <w:noProof/>
      <w:sz w:val="20"/>
    </w:rPr>
  </w:style>
  <w:style w:type="paragraph" w:styleId="Obsah2">
    <w:name w:val="toc 2"/>
    <w:basedOn w:val="Normlny"/>
    <w:next w:val="Normlny"/>
    <w:autoRedefine/>
    <w:uiPriority w:val="39"/>
    <w:unhideWhenUsed/>
    <w:rsid w:val="00C37597"/>
    <w:pPr>
      <w:tabs>
        <w:tab w:val="left" w:pos="502"/>
        <w:tab w:val="right" w:pos="8493"/>
      </w:tabs>
      <w:spacing w:after="0"/>
      <w:jc w:val="left"/>
    </w:pPr>
    <w:rPr>
      <w:b/>
      <w:bCs/>
      <w:noProof/>
      <w:sz w:val="20"/>
    </w:rPr>
  </w:style>
  <w:style w:type="paragraph" w:styleId="Obsah3">
    <w:name w:val="toc 3"/>
    <w:basedOn w:val="Normlny"/>
    <w:next w:val="Normlny"/>
    <w:autoRedefine/>
    <w:uiPriority w:val="39"/>
    <w:unhideWhenUsed/>
    <w:rsid w:val="0021355F"/>
    <w:pPr>
      <w:spacing w:after="0"/>
      <w:jc w:val="left"/>
    </w:pPr>
    <w:rPr>
      <w:rFonts w:asciiTheme="minorHAnsi" w:hAnsiTheme="minorHAnsi"/>
      <w:smallCaps/>
    </w:rPr>
  </w:style>
  <w:style w:type="character" w:styleId="Hypertextovprepojenie">
    <w:name w:val="Hyperlink"/>
    <w:basedOn w:val="Predvolenpsmoodseku"/>
    <w:uiPriority w:val="99"/>
    <w:unhideWhenUsed/>
    <w:rsid w:val="0021355F"/>
    <w:rPr>
      <w:color w:val="0563C1" w:themeColor="hyperlink"/>
      <w:u w:val="single"/>
    </w:rPr>
  </w:style>
  <w:style w:type="paragraph" w:styleId="Obsah4">
    <w:name w:val="toc 4"/>
    <w:basedOn w:val="Normlny"/>
    <w:next w:val="Normlny"/>
    <w:autoRedefine/>
    <w:uiPriority w:val="39"/>
    <w:unhideWhenUsed/>
    <w:rsid w:val="007D65C4"/>
    <w:pPr>
      <w:spacing w:after="0"/>
      <w:jc w:val="left"/>
    </w:pPr>
    <w:rPr>
      <w:rFonts w:asciiTheme="minorHAnsi" w:hAnsiTheme="minorHAnsi"/>
    </w:rPr>
  </w:style>
  <w:style w:type="paragraph" w:styleId="Obsah5">
    <w:name w:val="toc 5"/>
    <w:basedOn w:val="Normlny"/>
    <w:next w:val="Normlny"/>
    <w:autoRedefine/>
    <w:uiPriority w:val="39"/>
    <w:unhideWhenUsed/>
    <w:rsid w:val="007D65C4"/>
    <w:pPr>
      <w:spacing w:after="0"/>
      <w:jc w:val="left"/>
    </w:pPr>
    <w:rPr>
      <w:rFonts w:asciiTheme="minorHAnsi" w:hAnsiTheme="minorHAnsi"/>
    </w:rPr>
  </w:style>
  <w:style w:type="paragraph" w:styleId="Obsah6">
    <w:name w:val="toc 6"/>
    <w:basedOn w:val="Normlny"/>
    <w:next w:val="Normlny"/>
    <w:autoRedefine/>
    <w:uiPriority w:val="39"/>
    <w:unhideWhenUsed/>
    <w:rsid w:val="007D65C4"/>
    <w:pPr>
      <w:spacing w:after="0"/>
      <w:jc w:val="left"/>
    </w:pPr>
    <w:rPr>
      <w:rFonts w:asciiTheme="minorHAnsi" w:hAnsiTheme="minorHAnsi"/>
    </w:rPr>
  </w:style>
  <w:style w:type="paragraph" w:styleId="Obsah7">
    <w:name w:val="toc 7"/>
    <w:basedOn w:val="Normlny"/>
    <w:next w:val="Normlny"/>
    <w:autoRedefine/>
    <w:uiPriority w:val="39"/>
    <w:unhideWhenUsed/>
    <w:rsid w:val="007D65C4"/>
    <w:pPr>
      <w:spacing w:after="0"/>
      <w:jc w:val="left"/>
    </w:pPr>
    <w:rPr>
      <w:rFonts w:asciiTheme="minorHAnsi" w:hAnsiTheme="minorHAnsi"/>
    </w:rPr>
  </w:style>
  <w:style w:type="paragraph" w:styleId="Obsah8">
    <w:name w:val="toc 8"/>
    <w:basedOn w:val="Normlny"/>
    <w:next w:val="Normlny"/>
    <w:autoRedefine/>
    <w:uiPriority w:val="39"/>
    <w:unhideWhenUsed/>
    <w:rsid w:val="007D65C4"/>
    <w:pPr>
      <w:spacing w:after="0"/>
      <w:jc w:val="left"/>
    </w:pPr>
    <w:rPr>
      <w:rFonts w:asciiTheme="minorHAnsi" w:hAnsiTheme="minorHAnsi"/>
    </w:rPr>
  </w:style>
  <w:style w:type="paragraph" w:styleId="Obsah9">
    <w:name w:val="toc 9"/>
    <w:basedOn w:val="Normlny"/>
    <w:next w:val="Normlny"/>
    <w:autoRedefine/>
    <w:uiPriority w:val="39"/>
    <w:unhideWhenUsed/>
    <w:rsid w:val="007D65C4"/>
    <w:pPr>
      <w:spacing w:after="0"/>
      <w:jc w:val="left"/>
    </w:pPr>
    <w:rPr>
      <w:rFonts w:asciiTheme="minorHAnsi" w:hAnsiTheme="minorHAnsi"/>
    </w:rPr>
  </w:style>
  <w:style w:type="character" w:customStyle="1" w:styleId="st1">
    <w:name w:val="st1"/>
    <w:basedOn w:val="Predvolenpsmoodseku"/>
    <w:rsid w:val="00743099"/>
  </w:style>
  <w:style w:type="character" w:customStyle="1" w:styleId="awspan1">
    <w:name w:val="awspan1"/>
    <w:basedOn w:val="Predvolenpsmoodseku"/>
    <w:rsid w:val="00743099"/>
    <w:rPr>
      <w:color w:val="000000"/>
      <w:sz w:val="24"/>
      <w:szCs w:val="24"/>
    </w:rPr>
  </w:style>
  <w:style w:type="paragraph" w:styleId="Odsekzoznamu">
    <w:name w:val="List Paragraph"/>
    <w:basedOn w:val="Normlny"/>
    <w:uiPriority w:val="34"/>
    <w:qFormat/>
    <w:rsid w:val="00530112"/>
    <w:pPr>
      <w:spacing w:after="0" w:line="240" w:lineRule="auto"/>
      <w:ind w:left="720"/>
      <w:contextualSpacing/>
      <w:jc w:val="left"/>
    </w:pPr>
    <w:rPr>
      <w:rFonts w:ascii="Calibri" w:hAnsi="Calibri" w:cs="Times New Roman"/>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237058"/>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rsid w:val="00237058"/>
    <w:rPr>
      <w:rFonts w:ascii="Times New Roman" w:hAnsi="Times New Roman"/>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link w:val="Char2"/>
    <w:uiPriority w:val="99"/>
    <w:unhideWhenUsed/>
    <w:qFormat/>
    <w:rsid w:val="00237058"/>
    <w:rPr>
      <w:vertAlign w:val="superscript"/>
    </w:rPr>
  </w:style>
  <w:style w:type="paragraph" w:customStyle="1" w:styleId="Zkladntext1">
    <w:name w:val="Základný text1"/>
    <w:rsid w:val="00F057AA"/>
    <w:pPr>
      <w:spacing w:after="0" w:line="240" w:lineRule="auto"/>
    </w:pPr>
    <w:rPr>
      <w:rFonts w:ascii="Dutch801 SWC" w:eastAsia="Times New Roman" w:hAnsi="Dutch801 SWC" w:cs="Times New Roman"/>
      <w:color w:val="000000"/>
      <w:sz w:val="24"/>
      <w:szCs w:val="20"/>
      <w:lang w:val="en-US" w:eastAsia="sk-SK"/>
    </w:rPr>
  </w:style>
  <w:style w:type="character" w:styleId="Odkaznakomentr">
    <w:name w:val="annotation reference"/>
    <w:basedOn w:val="Predvolenpsmoodseku"/>
    <w:uiPriority w:val="99"/>
    <w:semiHidden/>
    <w:unhideWhenUsed/>
    <w:rsid w:val="005717A4"/>
    <w:rPr>
      <w:sz w:val="16"/>
      <w:szCs w:val="16"/>
    </w:rPr>
  </w:style>
  <w:style w:type="paragraph" w:styleId="Textkomentra">
    <w:name w:val="annotation text"/>
    <w:basedOn w:val="Normlny"/>
    <w:link w:val="TextkomentraChar"/>
    <w:uiPriority w:val="99"/>
    <w:unhideWhenUsed/>
    <w:rsid w:val="005717A4"/>
    <w:pPr>
      <w:spacing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5717A4"/>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5434A"/>
    <w:pPr>
      <w:spacing w:after="0" w:line="240" w:lineRule="auto"/>
    </w:pPr>
    <w:rPr>
      <w:rFonts w:ascii="Segoe UI" w:hAnsi="Segoe UI"/>
      <w:sz w:val="18"/>
      <w:szCs w:val="18"/>
    </w:rPr>
  </w:style>
  <w:style w:type="character" w:customStyle="1" w:styleId="TextbublinyChar">
    <w:name w:val="Text bubliny Char"/>
    <w:basedOn w:val="Predvolenpsmoodseku"/>
    <w:link w:val="Textbubliny"/>
    <w:uiPriority w:val="99"/>
    <w:semiHidden/>
    <w:rsid w:val="0045434A"/>
    <w:rPr>
      <w:rFonts w:ascii="Segoe UI" w:hAnsi="Segoe UI"/>
      <w:sz w:val="18"/>
      <w:szCs w:val="18"/>
    </w:rPr>
  </w:style>
  <w:style w:type="paragraph" w:customStyle="1" w:styleId="Zkladntext">
    <w:name w:val="Základní text"/>
    <w:rsid w:val="00ED135D"/>
    <w:pPr>
      <w:widowControl w:val="0"/>
      <w:spacing w:after="0" w:line="240" w:lineRule="auto"/>
    </w:pPr>
    <w:rPr>
      <w:rFonts w:ascii="Times New Roman" w:eastAsia="Times New Roman" w:hAnsi="Times New Roman" w:cs="Times New Roman"/>
      <w:color w:val="000000"/>
      <w:sz w:val="26"/>
      <w:szCs w:val="20"/>
      <w:lang w:eastAsia="sk-SK"/>
    </w:rPr>
  </w:style>
  <w:style w:type="paragraph" w:styleId="Zkladntext0">
    <w:name w:val="Body Text"/>
    <w:basedOn w:val="Normlny"/>
    <w:link w:val="ZkladntextChar"/>
    <w:rsid w:val="005F6E5F"/>
    <w:pPr>
      <w:spacing w:after="0" w:line="240" w:lineRule="auto"/>
    </w:pPr>
    <w:rPr>
      <w:rFonts w:eastAsia="Times New Roman" w:cs="Times New Roman"/>
      <w:sz w:val="24"/>
      <w:szCs w:val="20"/>
      <w:lang w:eastAsia="sk-SK"/>
    </w:rPr>
  </w:style>
  <w:style w:type="character" w:customStyle="1" w:styleId="ZkladntextChar">
    <w:name w:val="Základný text Char"/>
    <w:basedOn w:val="Predvolenpsmoodseku"/>
    <w:link w:val="Zkladntext0"/>
    <w:rsid w:val="005F6E5F"/>
    <w:rPr>
      <w:rFonts w:ascii="Times New Roman" w:eastAsia="Times New Roman" w:hAnsi="Times New Roman" w:cs="Times New Roman"/>
      <w:sz w:val="24"/>
      <w:szCs w:val="20"/>
      <w:lang w:eastAsia="sk-SK"/>
    </w:rPr>
  </w:style>
  <w:style w:type="paragraph" w:styleId="Revzia">
    <w:name w:val="Revision"/>
    <w:hidden/>
    <w:uiPriority w:val="99"/>
    <w:semiHidden/>
    <w:rsid w:val="00F61D9C"/>
    <w:pPr>
      <w:spacing w:after="0" w:line="240" w:lineRule="auto"/>
    </w:pPr>
    <w:rPr>
      <w:rFonts w:ascii="Times New Roman" w:hAnsi="Times New Roman"/>
    </w:rPr>
  </w:style>
  <w:style w:type="character" w:customStyle="1" w:styleId="ZarkazkladnhotextuChar">
    <w:name w:val="Zarážka základného textu Char"/>
    <w:basedOn w:val="Predvolenpsmoodseku"/>
    <w:link w:val="Zarkazkladnhotextu"/>
    <w:uiPriority w:val="99"/>
    <w:semiHidden/>
    <w:rsid w:val="008F75C2"/>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8F75C2"/>
    <w:pPr>
      <w:spacing w:after="0" w:line="240" w:lineRule="auto"/>
      <w:ind w:firstLine="708"/>
      <w:jc w:val="left"/>
    </w:pPr>
    <w:rPr>
      <w:rFonts w:cs="Times New Roman"/>
      <w:sz w:val="24"/>
      <w:szCs w:val="24"/>
      <w:lang w:eastAsia="sk-SK"/>
    </w:rPr>
  </w:style>
  <w:style w:type="paragraph" w:styleId="Bezriadkovania">
    <w:name w:val="No Spacing"/>
    <w:uiPriority w:val="1"/>
    <w:qFormat/>
    <w:rsid w:val="00872F0C"/>
    <w:pPr>
      <w:spacing w:after="0" w:line="240" w:lineRule="auto"/>
      <w:jc w:val="both"/>
    </w:pPr>
    <w:rPr>
      <w:rFonts w:ascii="Times New Roman" w:eastAsia="Times New Roman" w:hAnsi="Times New Roman" w:cs="Times New Roman"/>
      <w:szCs w:val="36"/>
    </w:rPr>
  </w:style>
  <w:style w:type="paragraph" w:customStyle="1" w:styleId="textCharCharCharChar">
    <w:name w:val="text Char Char Char Char"/>
    <w:basedOn w:val="Normlny"/>
    <w:link w:val="textCharCharCharCharChar"/>
    <w:rsid w:val="00872F0C"/>
    <w:pPr>
      <w:spacing w:line="240" w:lineRule="auto"/>
      <w:ind w:firstLine="510"/>
    </w:pPr>
    <w:rPr>
      <w:rFonts w:eastAsia="Batang" w:cs="Times New Roman"/>
      <w:color w:val="000000"/>
      <w:szCs w:val="24"/>
      <w:lang w:eastAsia="sk-SK"/>
    </w:rPr>
  </w:style>
  <w:style w:type="character" w:customStyle="1" w:styleId="textCharCharCharCharChar">
    <w:name w:val="text Char Char Char Char Char"/>
    <w:link w:val="textCharCharCharChar"/>
    <w:rsid w:val="00872F0C"/>
    <w:rPr>
      <w:rFonts w:ascii="Times New Roman" w:eastAsia="Batang" w:hAnsi="Times New Roman" w:cs="Times New Roman"/>
      <w:color w:val="000000"/>
      <w:szCs w:val="24"/>
      <w:lang w:eastAsia="sk-SK"/>
    </w:rPr>
  </w:style>
  <w:style w:type="character" w:styleId="Siln">
    <w:name w:val="Strong"/>
    <w:basedOn w:val="Predvolenpsmoodseku"/>
    <w:uiPriority w:val="22"/>
    <w:qFormat/>
    <w:rsid w:val="00872F0C"/>
    <w:rPr>
      <w:b/>
      <w:bCs/>
    </w:rPr>
  </w:style>
  <w:style w:type="paragraph" w:customStyle="1" w:styleId="default">
    <w:name w:val="default"/>
    <w:basedOn w:val="Normlny"/>
    <w:rsid w:val="00614751"/>
    <w:pPr>
      <w:autoSpaceDE w:val="0"/>
      <w:autoSpaceDN w:val="0"/>
      <w:spacing w:after="0" w:line="240" w:lineRule="auto"/>
      <w:jc w:val="left"/>
    </w:pPr>
    <w:rPr>
      <w:rFonts w:eastAsia="Times New Roman" w:cs="Times New Roman"/>
      <w:color w:val="000000"/>
      <w:sz w:val="24"/>
      <w:szCs w:val="24"/>
      <w:lang w:eastAsia="sk-SK"/>
    </w:rPr>
  </w:style>
  <w:style w:type="character" w:styleId="PouitHypertextovPrepojenie">
    <w:name w:val="FollowedHyperlink"/>
    <w:basedOn w:val="Predvolenpsmoodseku"/>
    <w:uiPriority w:val="99"/>
    <w:semiHidden/>
    <w:unhideWhenUsed/>
    <w:rsid w:val="00614751"/>
    <w:rPr>
      <w:color w:val="954F72" w:themeColor="followedHyperlink"/>
      <w:u w:val="single"/>
    </w:rPr>
  </w:style>
  <w:style w:type="paragraph" w:styleId="Predmetkomentra">
    <w:name w:val="annotation subject"/>
    <w:basedOn w:val="Textkomentra"/>
    <w:next w:val="Textkomentra"/>
    <w:link w:val="PredmetkomentraChar"/>
    <w:uiPriority w:val="99"/>
    <w:semiHidden/>
    <w:unhideWhenUsed/>
    <w:rsid w:val="00E5051B"/>
    <w:rPr>
      <w:rFonts w:eastAsiaTheme="minorHAnsi" w:cstheme="minorBidi"/>
      <w:b/>
      <w:bCs/>
    </w:rPr>
  </w:style>
  <w:style w:type="character" w:customStyle="1" w:styleId="PredmetkomentraChar">
    <w:name w:val="Predmet komentára Char"/>
    <w:basedOn w:val="TextkomentraChar"/>
    <w:link w:val="Predmetkomentra"/>
    <w:uiPriority w:val="99"/>
    <w:semiHidden/>
    <w:rsid w:val="00E5051B"/>
    <w:rPr>
      <w:rFonts w:ascii="Times New Roman" w:eastAsia="Times New Roman" w:hAnsi="Times New Roman" w:cs="Times New Roman"/>
      <w:b/>
      <w:bCs/>
      <w:sz w:val="20"/>
      <w:szCs w:val="20"/>
    </w:rPr>
  </w:style>
  <w:style w:type="character" w:customStyle="1" w:styleId="h1a2">
    <w:name w:val="h1a2"/>
    <w:basedOn w:val="Predvolenpsmoodseku"/>
    <w:rsid w:val="00BD02D9"/>
    <w:rPr>
      <w:vanish w:val="0"/>
      <w:webHidden w:val="0"/>
      <w:sz w:val="24"/>
      <w:szCs w:val="24"/>
      <w:specVanish w:val="0"/>
    </w:rPr>
  </w:style>
  <w:style w:type="paragraph" w:styleId="Hlavikaobsahu">
    <w:name w:val="TOC Heading"/>
    <w:basedOn w:val="Nadpis1"/>
    <w:next w:val="Normlny"/>
    <w:uiPriority w:val="39"/>
    <w:unhideWhenUsed/>
    <w:qFormat/>
    <w:rsid w:val="00BB3915"/>
    <w:pPr>
      <w:keepLines/>
      <w:numPr>
        <w:numId w:val="0"/>
      </w:numPr>
      <w:spacing w:before="240" w:after="0" w:line="259" w:lineRule="auto"/>
      <w:jc w:val="left"/>
      <w:outlineLvl w:val="9"/>
    </w:pPr>
    <w:rPr>
      <w:rFonts w:asciiTheme="majorHAnsi" w:hAnsiTheme="majorHAnsi"/>
      <w:b w:val="0"/>
      <w:color w:val="2E74B5" w:themeColor="accent1" w:themeShade="BF"/>
      <w:sz w:val="32"/>
      <w:lang w:eastAsia="sk-SK"/>
    </w:rPr>
  </w:style>
  <w:style w:type="paragraph" w:styleId="Normlnywebov">
    <w:name w:val="Normal (Web)"/>
    <w:basedOn w:val="Normlny"/>
    <w:uiPriority w:val="99"/>
    <w:unhideWhenUsed/>
    <w:rsid w:val="00CE1795"/>
    <w:pPr>
      <w:spacing w:before="100" w:beforeAutospacing="1" w:after="100" w:afterAutospacing="1" w:line="240" w:lineRule="auto"/>
      <w:jc w:val="left"/>
    </w:pPr>
    <w:rPr>
      <w:rFonts w:cs="Times New Roman"/>
      <w:sz w:val="24"/>
      <w:szCs w:val="24"/>
      <w:lang w:eastAsia="sk-SK"/>
    </w:rPr>
  </w:style>
  <w:style w:type="paragraph" w:styleId="Textvysvetlivky">
    <w:name w:val="endnote text"/>
    <w:basedOn w:val="Normlny"/>
    <w:link w:val="TextvysvetlivkyChar"/>
    <w:uiPriority w:val="99"/>
    <w:semiHidden/>
    <w:unhideWhenUsed/>
    <w:rsid w:val="00537E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37EC3"/>
    <w:rPr>
      <w:rFonts w:ascii="Times New Roman" w:hAnsi="Times New Roman"/>
      <w:sz w:val="20"/>
      <w:szCs w:val="20"/>
    </w:rPr>
  </w:style>
  <w:style w:type="character" w:styleId="Odkaznavysvetlivku">
    <w:name w:val="endnote reference"/>
    <w:basedOn w:val="Predvolenpsmoodseku"/>
    <w:uiPriority w:val="99"/>
    <w:semiHidden/>
    <w:unhideWhenUsed/>
    <w:rsid w:val="00537EC3"/>
    <w:rPr>
      <w:vertAlign w:val="superscript"/>
    </w:rPr>
  </w:style>
  <w:style w:type="paragraph" w:customStyle="1" w:styleId="Char2">
    <w:name w:val="Char2"/>
    <w:basedOn w:val="Normlny"/>
    <w:link w:val="Odkaznapoznmkupodiarou"/>
    <w:uiPriority w:val="99"/>
    <w:rsid w:val="00415AB8"/>
    <w:pPr>
      <w:spacing w:after="0" w:line="240" w:lineRule="exact"/>
      <w:jc w:val="left"/>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660">
      <w:bodyDiv w:val="1"/>
      <w:marLeft w:val="0"/>
      <w:marRight w:val="0"/>
      <w:marTop w:val="0"/>
      <w:marBottom w:val="0"/>
      <w:divBdr>
        <w:top w:val="none" w:sz="0" w:space="0" w:color="auto"/>
        <w:left w:val="none" w:sz="0" w:space="0" w:color="auto"/>
        <w:bottom w:val="none" w:sz="0" w:space="0" w:color="auto"/>
        <w:right w:val="none" w:sz="0" w:space="0" w:color="auto"/>
      </w:divBdr>
    </w:div>
    <w:div w:id="103547509">
      <w:bodyDiv w:val="1"/>
      <w:marLeft w:val="0"/>
      <w:marRight w:val="0"/>
      <w:marTop w:val="0"/>
      <w:marBottom w:val="0"/>
      <w:divBdr>
        <w:top w:val="none" w:sz="0" w:space="0" w:color="auto"/>
        <w:left w:val="none" w:sz="0" w:space="0" w:color="auto"/>
        <w:bottom w:val="none" w:sz="0" w:space="0" w:color="auto"/>
        <w:right w:val="none" w:sz="0" w:space="0" w:color="auto"/>
      </w:divBdr>
      <w:divsChild>
        <w:div w:id="562831429">
          <w:marLeft w:val="0"/>
          <w:marRight w:val="0"/>
          <w:marTop w:val="0"/>
          <w:marBottom w:val="0"/>
          <w:divBdr>
            <w:top w:val="none" w:sz="0" w:space="0" w:color="auto"/>
            <w:left w:val="none" w:sz="0" w:space="0" w:color="auto"/>
            <w:bottom w:val="none" w:sz="0" w:space="0" w:color="auto"/>
            <w:right w:val="none" w:sz="0" w:space="0" w:color="auto"/>
          </w:divBdr>
          <w:divsChild>
            <w:div w:id="8848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349">
      <w:bodyDiv w:val="1"/>
      <w:marLeft w:val="0"/>
      <w:marRight w:val="0"/>
      <w:marTop w:val="0"/>
      <w:marBottom w:val="0"/>
      <w:divBdr>
        <w:top w:val="none" w:sz="0" w:space="0" w:color="auto"/>
        <w:left w:val="none" w:sz="0" w:space="0" w:color="auto"/>
        <w:bottom w:val="none" w:sz="0" w:space="0" w:color="auto"/>
        <w:right w:val="none" w:sz="0" w:space="0" w:color="auto"/>
      </w:divBdr>
    </w:div>
    <w:div w:id="221866251">
      <w:bodyDiv w:val="1"/>
      <w:marLeft w:val="0"/>
      <w:marRight w:val="0"/>
      <w:marTop w:val="0"/>
      <w:marBottom w:val="0"/>
      <w:divBdr>
        <w:top w:val="none" w:sz="0" w:space="0" w:color="auto"/>
        <w:left w:val="none" w:sz="0" w:space="0" w:color="auto"/>
        <w:bottom w:val="none" w:sz="0" w:space="0" w:color="auto"/>
        <w:right w:val="none" w:sz="0" w:space="0" w:color="auto"/>
      </w:divBdr>
    </w:div>
    <w:div w:id="232737814">
      <w:bodyDiv w:val="1"/>
      <w:marLeft w:val="0"/>
      <w:marRight w:val="0"/>
      <w:marTop w:val="0"/>
      <w:marBottom w:val="0"/>
      <w:divBdr>
        <w:top w:val="none" w:sz="0" w:space="0" w:color="auto"/>
        <w:left w:val="none" w:sz="0" w:space="0" w:color="auto"/>
        <w:bottom w:val="none" w:sz="0" w:space="0" w:color="auto"/>
        <w:right w:val="none" w:sz="0" w:space="0" w:color="auto"/>
      </w:divBdr>
    </w:div>
    <w:div w:id="282075293">
      <w:bodyDiv w:val="1"/>
      <w:marLeft w:val="0"/>
      <w:marRight w:val="0"/>
      <w:marTop w:val="0"/>
      <w:marBottom w:val="0"/>
      <w:divBdr>
        <w:top w:val="none" w:sz="0" w:space="0" w:color="auto"/>
        <w:left w:val="none" w:sz="0" w:space="0" w:color="auto"/>
        <w:bottom w:val="none" w:sz="0" w:space="0" w:color="auto"/>
        <w:right w:val="none" w:sz="0" w:space="0" w:color="auto"/>
      </w:divBdr>
    </w:div>
    <w:div w:id="305822928">
      <w:bodyDiv w:val="1"/>
      <w:marLeft w:val="0"/>
      <w:marRight w:val="0"/>
      <w:marTop w:val="0"/>
      <w:marBottom w:val="0"/>
      <w:divBdr>
        <w:top w:val="none" w:sz="0" w:space="0" w:color="auto"/>
        <w:left w:val="none" w:sz="0" w:space="0" w:color="auto"/>
        <w:bottom w:val="none" w:sz="0" w:space="0" w:color="auto"/>
        <w:right w:val="none" w:sz="0" w:space="0" w:color="auto"/>
      </w:divBdr>
    </w:div>
    <w:div w:id="325207847">
      <w:bodyDiv w:val="1"/>
      <w:marLeft w:val="0"/>
      <w:marRight w:val="0"/>
      <w:marTop w:val="0"/>
      <w:marBottom w:val="0"/>
      <w:divBdr>
        <w:top w:val="none" w:sz="0" w:space="0" w:color="auto"/>
        <w:left w:val="none" w:sz="0" w:space="0" w:color="auto"/>
        <w:bottom w:val="none" w:sz="0" w:space="0" w:color="auto"/>
        <w:right w:val="none" w:sz="0" w:space="0" w:color="auto"/>
      </w:divBdr>
    </w:div>
    <w:div w:id="365251082">
      <w:bodyDiv w:val="1"/>
      <w:marLeft w:val="0"/>
      <w:marRight w:val="0"/>
      <w:marTop w:val="0"/>
      <w:marBottom w:val="0"/>
      <w:divBdr>
        <w:top w:val="none" w:sz="0" w:space="0" w:color="auto"/>
        <w:left w:val="none" w:sz="0" w:space="0" w:color="auto"/>
        <w:bottom w:val="none" w:sz="0" w:space="0" w:color="auto"/>
        <w:right w:val="none" w:sz="0" w:space="0" w:color="auto"/>
      </w:divBdr>
    </w:div>
    <w:div w:id="366878275">
      <w:bodyDiv w:val="1"/>
      <w:marLeft w:val="0"/>
      <w:marRight w:val="0"/>
      <w:marTop w:val="0"/>
      <w:marBottom w:val="0"/>
      <w:divBdr>
        <w:top w:val="none" w:sz="0" w:space="0" w:color="auto"/>
        <w:left w:val="none" w:sz="0" w:space="0" w:color="auto"/>
        <w:bottom w:val="none" w:sz="0" w:space="0" w:color="auto"/>
        <w:right w:val="none" w:sz="0" w:space="0" w:color="auto"/>
      </w:divBdr>
    </w:div>
    <w:div w:id="398406455">
      <w:bodyDiv w:val="1"/>
      <w:marLeft w:val="0"/>
      <w:marRight w:val="0"/>
      <w:marTop w:val="0"/>
      <w:marBottom w:val="0"/>
      <w:divBdr>
        <w:top w:val="none" w:sz="0" w:space="0" w:color="auto"/>
        <w:left w:val="none" w:sz="0" w:space="0" w:color="auto"/>
        <w:bottom w:val="none" w:sz="0" w:space="0" w:color="auto"/>
        <w:right w:val="none" w:sz="0" w:space="0" w:color="auto"/>
      </w:divBdr>
    </w:div>
    <w:div w:id="431168882">
      <w:bodyDiv w:val="1"/>
      <w:marLeft w:val="0"/>
      <w:marRight w:val="0"/>
      <w:marTop w:val="0"/>
      <w:marBottom w:val="0"/>
      <w:divBdr>
        <w:top w:val="none" w:sz="0" w:space="0" w:color="auto"/>
        <w:left w:val="none" w:sz="0" w:space="0" w:color="auto"/>
        <w:bottom w:val="none" w:sz="0" w:space="0" w:color="auto"/>
        <w:right w:val="none" w:sz="0" w:space="0" w:color="auto"/>
      </w:divBdr>
    </w:div>
    <w:div w:id="451360976">
      <w:bodyDiv w:val="1"/>
      <w:marLeft w:val="0"/>
      <w:marRight w:val="0"/>
      <w:marTop w:val="0"/>
      <w:marBottom w:val="0"/>
      <w:divBdr>
        <w:top w:val="none" w:sz="0" w:space="0" w:color="auto"/>
        <w:left w:val="none" w:sz="0" w:space="0" w:color="auto"/>
        <w:bottom w:val="none" w:sz="0" w:space="0" w:color="auto"/>
        <w:right w:val="none" w:sz="0" w:space="0" w:color="auto"/>
      </w:divBdr>
    </w:div>
    <w:div w:id="607812558">
      <w:bodyDiv w:val="1"/>
      <w:marLeft w:val="0"/>
      <w:marRight w:val="0"/>
      <w:marTop w:val="0"/>
      <w:marBottom w:val="0"/>
      <w:divBdr>
        <w:top w:val="none" w:sz="0" w:space="0" w:color="auto"/>
        <w:left w:val="none" w:sz="0" w:space="0" w:color="auto"/>
        <w:bottom w:val="none" w:sz="0" w:space="0" w:color="auto"/>
        <w:right w:val="none" w:sz="0" w:space="0" w:color="auto"/>
      </w:divBdr>
    </w:div>
    <w:div w:id="607978284">
      <w:bodyDiv w:val="1"/>
      <w:marLeft w:val="0"/>
      <w:marRight w:val="0"/>
      <w:marTop w:val="0"/>
      <w:marBottom w:val="0"/>
      <w:divBdr>
        <w:top w:val="none" w:sz="0" w:space="0" w:color="auto"/>
        <w:left w:val="none" w:sz="0" w:space="0" w:color="auto"/>
        <w:bottom w:val="none" w:sz="0" w:space="0" w:color="auto"/>
        <w:right w:val="none" w:sz="0" w:space="0" w:color="auto"/>
      </w:divBdr>
    </w:div>
    <w:div w:id="640769414">
      <w:bodyDiv w:val="1"/>
      <w:marLeft w:val="0"/>
      <w:marRight w:val="0"/>
      <w:marTop w:val="0"/>
      <w:marBottom w:val="0"/>
      <w:divBdr>
        <w:top w:val="none" w:sz="0" w:space="0" w:color="auto"/>
        <w:left w:val="none" w:sz="0" w:space="0" w:color="auto"/>
        <w:bottom w:val="none" w:sz="0" w:space="0" w:color="auto"/>
        <w:right w:val="none" w:sz="0" w:space="0" w:color="auto"/>
      </w:divBdr>
    </w:div>
    <w:div w:id="672996393">
      <w:bodyDiv w:val="1"/>
      <w:marLeft w:val="0"/>
      <w:marRight w:val="0"/>
      <w:marTop w:val="0"/>
      <w:marBottom w:val="0"/>
      <w:divBdr>
        <w:top w:val="none" w:sz="0" w:space="0" w:color="auto"/>
        <w:left w:val="none" w:sz="0" w:space="0" w:color="auto"/>
        <w:bottom w:val="none" w:sz="0" w:space="0" w:color="auto"/>
        <w:right w:val="none" w:sz="0" w:space="0" w:color="auto"/>
      </w:divBdr>
    </w:div>
    <w:div w:id="745540572">
      <w:bodyDiv w:val="1"/>
      <w:marLeft w:val="0"/>
      <w:marRight w:val="0"/>
      <w:marTop w:val="0"/>
      <w:marBottom w:val="0"/>
      <w:divBdr>
        <w:top w:val="none" w:sz="0" w:space="0" w:color="auto"/>
        <w:left w:val="none" w:sz="0" w:space="0" w:color="auto"/>
        <w:bottom w:val="none" w:sz="0" w:space="0" w:color="auto"/>
        <w:right w:val="none" w:sz="0" w:space="0" w:color="auto"/>
      </w:divBdr>
    </w:div>
    <w:div w:id="759526628">
      <w:bodyDiv w:val="1"/>
      <w:marLeft w:val="0"/>
      <w:marRight w:val="0"/>
      <w:marTop w:val="0"/>
      <w:marBottom w:val="0"/>
      <w:divBdr>
        <w:top w:val="none" w:sz="0" w:space="0" w:color="auto"/>
        <w:left w:val="none" w:sz="0" w:space="0" w:color="auto"/>
        <w:bottom w:val="none" w:sz="0" w:space="0" w:color="auto"/>
        <w:right w:val="none" w:sz="0" w:space="0" w:color="auto"/>
      </w:divBdr>
    </w:div>
    <w:div w:id="828054206">
      <w:bodyDiv w:val="1"/>
      <w:marLeft w:val="0"/>
      <w:marRight w:val="0"/>
      <w:marTop w:val="0"/>
      <w:marBottom w:val="0"/>
      <w:divBdr>
        <w:top w:val="none" w:sz="0" w:space="0" w:color="auto"/>
        <w:left w:val="none" w:sz="0" w:space="0" w:color="auto"/>
        <w:bottom w:val="none" w:sz="0" w:space="0" w:color="auto"/>
        <w:right w:val="none" w:sz="0" w:space="0" w:color="auto"/>
      </w:divBdr>
    </w:div>
    <w:div w:id="842276737">
      <w:bodyDiv w:val="1"/>
      <w:marLeft w:val="0"/>
      <w:marRight w:val="0"/>
      <w:marTop w:val="0"/>
      <w:marBottom w:val="0"/>
      <w:divBdr>
        <w:top w:val="none" w:sz="0" w:space="0" w:color="auto"/>
        <w:left w:val="none" w:sz="0" w:space="0" w:color="auto"/>
        <w:bottom w:val="none" w:sz="0" w:space="0" w:color="auto"/>
        <w:right w:val="none" w:sz="0" w:space="0" w:color="auto"/>
      </w:divBdr>
    </w:div>
    <w:div w:id="843937752">
      <w:bodyDiv w:val="1"/>
      <w:marLeft w:val="0"/>
      <w:marRight w:val="0"/>
      <w:marTop w:val="0"/>
      <w:marBottom w:val="0"/>
      <w:divBdr>
        <w:top w:val="none" w:sz="0" w:space="0" w:color="auto"/>
        <w:left w:val="none" w:sz="0" w:space="0" w:color="auto"/>
        <w:bottom w:val="none" w:sz="0" w:space="0" w:color="auto"/>
        <w:right w:val="none" w:sz="0" w:space="0" w:color="auto"/>
      </w:divBdr>
    </w:div>
    <w:div w:id="930705010">
      <w:bodyDiv w:val="1"/>
      <w:marLeft w:val="0"/>
      <w:marRight w:val="0"/>
      <w:marTop w:val="0"/>
      <w:marBottom w:val="0"/>
      <w:divBdr>
        <w:top w:val="none" w:sz="0" w:space="0" w:color="auto"/>
        <w:left w:val="none" w:sz="0" w:space="0" w:color="auto"/>
        <w:bottom w:val="none" w:sz="0" w:space="0" w:color="auto"/>
        <w:right w:val="none" w:sz="0" w:space="0" w:color="auto"/>
      </w:divBdr>
    </w:div>
    <w:div w:id="941111308">
      <w:bodyDiv w:val="1"/>
      <w:marLeft w:val="0"/>
      <w:marRight w:val="0"/>
      <w:marTop w:val="0"/>
      <w:marBottom w:val="0"/>
      <w:divBdr>
        <w:top w:val="none" w:sz="0" w:space="0" w:color="auto"/>
        <w:left w:val="none" w:sz="0" w:space="0" w:color="auto"/>
        <w:bottom w:val="none" w:sz="0" w:space="0" w:color="auto"/>
        <w:right w:val="none" w:sz="0" w:space="0" w:color="auto"/>
      </w:divBdr>
    </w:div>
    <w:div w:id="977958545">
      <w:bodyDiv w:val="1"/>
      <w:marLeft w:val="0"/>
      <w:marRight w:val="0"/>
      <w:marTop w:val="0"/>
      <w:marBottom w:val="0"/>
      <w:divBdr>
        <w:top w:val="none" w:sz="0" w:space="0" w:color="auto"/>
        <w:left w:val="none" w:sz="0" w:space="0" w:color="auto"/>
        <w:bottom w:val="none" w:sz="0" w:space="0" w:color="auto"/>
        <w:right w:val="none" w:sz="0" w:space="0" w:color="auto"/>
      </w:divBdr>
    </w:div>
    <w:div w:id="999192318">
      <w:bodyDiv w:val="1"/>
      <w:marLeft w:val="0"/>
      <w:marRight w:val="0"/>
      <w:marTop w:val="0"/>
      <w:marBottom w:val="0"/>
      <w:divBdr>
        <w:top w:val="none" w:sz="0" w:space="0" w:color="auto"/>
        <w:left w:val="none" w:sz="0" w:space="0" w:color="auto"/>
        <w:bottom w:val="none" w:sz="0" w:space="0" w:color="auto"/>
        <w:right w:val="none" w:sz="0" w:space="0" w:color="auto"/>
      </w:divBdr>
    </w:div>
    <w:div w:id="1018970716">
      <w:bodyDiv w:val="1"/>
      <w:marLeft w:val="0"/>
      <w:marRight w:val="0"/>
      <w:marTop w:val="0"/>
      <w:marBottom w:val="0"/>
      <w:divBdr>
        <w:top w:val="none" w:sz="0" w:space="0" w:color="auto"/>
        <w:left w:val="none" w:sz="0" w:space="0" w:color="auto"/>
        <w:bottom w:val="none" w:sz="0" w:space="0" w:color="auto"/>
        <w:right w:val="none" w:sz="0" w:space="0" w:color="auto"/>
      </w:divBdr>
    </w:div>
    <w:div w:id="1094402443">
      <w:bodyDiv w:val="1"/>
      <w:marLeft w:val="0"/>
      <w:marRight w:val="0"/>
      <w:marTop w:val="0"/>
      <w:marBottom w:val="0"/>
      <w:divBdr>
        <w:top w:val="none" w:sz="0" w:space="0" w:color="auto"/>
        <w:left w:val="none" w:sz="0" w:space="0" w:color="auto"/>
        <w:bottom w:val="none" w:sz="0" w:space="0" w:color="auto"/>
        <w:right w:val="none" w:sz="0" w:space="0" w:color="auto"/>
      </w:divBdr>
    </w:div>
    <w:div w:id="1100636161">
      <w:bodyDiv w:val="1"/>
      <w:marLeft w:val="0"/>
      <w:marRight w:val="0"/>
      <w:marTop w:val="0"/>
      <w:marBottom w:val="0"/>
      <w:divBdr>
        <w:top w:val="none" w:sz="0" w:space="0" w:color="auto"/>
        <w:left w:val="none" w:sz="0" w:space="0" w:color="auto"/>
        <w:bottom w:val="none" w:sz="0" w:space="0" w:color="auto"/>
        <w:right w:val="none" w:sz="0" w:space="0" w:color="auto"/>
      </w:divBdr>
    </w:div>
    <w:div w:id="1122964428">
      <w:bodyDiv w:val="1"/>
      <w:marLeft w:val="0"/>
      <w:marRight w:val="0"/>
      <w:marTop w:val="0"/>
      <w:marBottom w:val="0"/>
      <w:divBdr>
        <w:top w:val="none" w:sz="0" w:space="0" w:color="auto"/>
        <w:left w:val="none" w:sz="0" w:space="0" w:color="auto"/>
        <w:bottom w:val="none" w:sz="0" w:space="0" w:color="auto"/>
        <w:right w:val="none" w:sz="0" w:space="0" w:color="auto"/>
      </w:divBdr>
    </w:div>
    <w:div w:id="1137844169">
      <w:bodyDiv w:val="1"/>
      <w:marLeft w:val="0"/>
      <w:marRight w:val="0"/>
      <w:marTop w:val="0"/>
      <w:marBottom w:val="0"/>
      <w:divBdr>
        <w:top w:val="none" w:sz="0" w:space="0" w:color="auto"/>
        <w:left w:val="none" w:sz="0" w:space="0" w:color="auto"/>
        <w:bottom w:val="none" w:sz="0" w:space="0" w:color="auto"/>
        <w:right w:val="none" w:sz="0" w:space="0" w:color="auto"/>
      </w:divBdr>
    </w:div>
    <w:div w:id="1155531707">
      <w:bodyDiv w:val="1"/>
      <w:marLeft w:val="0"/>
      <w:marRight w:val="0"/>
      <w:marTop w:val="0"/>
      <w:marBottom w:val="0"/>
      <w:divBdr>
        <w:top w:val="none" w:sz="0" w:space="0" w:color="auto"/>
        <w:left w:val="none" w:sz="0" w:space="0" w:color="auto"/>
        <w:bottom w:val="none" w:sz="0" w:space="0" w:color="auto"/>
        <w:right w:val="none" w:sz="0" w:space="0" w:color="auto"/>
      </w:divBdr>
    </w:div>
    <w:div w:id="1268805720">
      <w:bodyDiv w:val="1"/>
      <w:marLeft w:val="0"/>
      <w:marRight w:val="0"/>
      <w:marTop w:val="0"/>
      <w:marBottom w:val="0"/>
      <w:divBdr>
        <w:top w:val="none" w:sz="0" w:space="0" w:color="auto"/>
        <w:left w:val="none" w:sz="0" w:space="0" w:color="auto"/>
        <w:bottom w:val="none" w:sz="0" w:space="0" w:color="auto"/>
        <w:right w:val="none" w:sz="0" w:space="0" w:color="auto"/>
      </w:divBdr>
    </w:div>
    <w:div w:id="1283154203">
      <w:bodyDiv w:val="1"/>
      <w:marLeft w:val="0"/>
      <w:marRight w:val="0"/>
      <w:marTop w:val="0"/>
      <w:marBottom w:val="0"/>
      <w:divBdr>
        <w:top w:val="none" w:sz="0" w:space="0" w:color="auto"/>
        <w:left w:val="none" w:sz="0" w:space="0" w:color="auto"/>
        <w:bottom w:val="none" w:sz="0" w:space="0" w:color="auto"/>
        <w:right w:val="none" w:sz="0" w:space="0" w:color="auto"/>
      </w:divBdr>
    </w:div>
    <w:div w:id="1370226883">
      <w:bodyDiv w:val="1"/>
      <w:marLeft w:val="0"/>
      <w:marRight w:val="0"/>
      <w:marTop w:val="0"/>
      <w:marBottom w:val="0"/>
      <w:divBdr>
        <w:top w:val="none" w:sz="0" w:space="0" w:color="auto"/>
        <w:left w:val="none" w:sz="0" w:space="0" w:color="auto"/>
        <w:bottom w:val="none" w:sz="0" w:space="0" w:color="auto"/>
        <w:right w:val="none" w:sz="0" w:space="0" w:color="auto"/>
      </w:divBdr>
    </w:div>
    <w:div w:id="1379476605">
      <w:bodyDiv w:val="1"/>
      <w:marLeft w:val="0"/>
      <w:marRight w:val="0"/>
      <w:marTop w:val="0"/>
      <w:marBottom w:val="0"/>
      <w:divBdr>
        <w:top w:val="none" w:sz="0" w:space="0" w:color="auto"/>
        <w:left w:val="none" w:sz="0" w:space="0" w:color="auto"/>
        <w:bottom w:val="none" w:sz="0" w:space="0" w:color="auto"/>
        <w:right w:val="none" w:sz="0" w:space="0" w:color="auto"/>
      </w:divBdr>
    </w:div>
    <w:div w:id="1380780124">
      <w:bodyDiv w:val="1"/>
      <w:marLeft w:val="0"/>
      <w:marRight w:val="0"/>
      <w:marTop w:val="0"/>
      <w:marBottom w:val="0"/>
      <w:divBdr>
        <w:top w:val="none" w:sz="0" w:space="0" w:color="auto"/>
        <w:left w:val="none" w:sz="0" w:space="0" w:color="auto"/>
        <w:bottom w:val="none" w:sz="0" w:space="0" w:color="auto"/>
        <w:right w:val="none" w:sz="0" w:space="0" w:color="auto"/>
      </w:divBdr>
    </w:div>
    <w:div w:id="1384645267">
      <w:bodyDiv w:val="1"/>
      <w:marLeft w:val="0"/>
      <w:marRight w:val="0"/>
      <w:marTop w:val="0"/>
      <w:marBottom w:val="0"/>
      <w:divBdr>
        <w:top w:val="none" w:sz="0" w:space="0" w:color="auto"/>
        <w:left w:val="none" w:sz="0" w:space="0" w:color="auto"/>
        <w:bottom w:val="none" w:sz="0" w:space="0" w:color="auto"/>
        <w:right w:val="none" w:sz="0" w:space="0" w:color="auto"/>
      </w:divBdr>
    </w:div>
    <w:div w:id="1415738975">
      <w:bodyDiv w:val="1"/>
      <w:marLeft w:val="0"/>
      <w:marRight w:val="0"/>
      <w:marTop w:val="0"/>
      <w:marBottom w:val="0"/>
      <w:divBdr>
        <w:top w:val="none" w:sz="0" w:space="0" w:color="auto"/>
        <w:left w:val="none" w:sz="0" w:space="0" w:color="auto"/>
        <w:bottom w:val="none" w:sz="0" w:space="0" w:color="auto"/>
        <w:right w:val="none" w:sz="0" w:space="0" w:color="auto"/>
      </w:divBdr>
    </w:div>
    <w:div w:id="1427848696">
      <w:bodyDiv w:val="1"/>
      <w:marLeft w:val="0"/>
      <w:marRight w:val="0"/>
      <w:marTop w:val="0"/>
      <w:marBottom w:val="0"/>
      <w:divBdr>
        <w:top w:val="none" w:sz="0" w:space="0" w:color="auto"/>
        <w:left w:val="none" w:sz="0" w:space="0" w:color="auto"/>
        <w:bottom w:val="none" w:sz="0" w:space="0" w:color="auto"/>
        <w:right w:val="none" w:sz="0" w:space="0" w:color="auto"/>
      </w:divBdr>
    </w:div>
    <w:div w:id="1462530602">
      <w:bodyDiv w:val="1"/>
      <w:marLeft w:val="0"/>
      <w:marRight w:val="0"/>
      <w:marTop w:val="0"/>
      <w:marBottom w:val="0"/>
      <w:divBdr>
        <w:top w:val="none" w:sz="0" w:space="0" w:color="auto"/>
        <w:left w:val="none" w:sz="0" w:space="0" w:color="auto"/>
        <w:bottom w:val="none" w:sz="0" w:space="0" w:color="auto"/>
        <w:right w:val="none" w:sz="0" w:space="0" w:color="auto"/>
      </w:divBdr>
    </w:div>
    <w:div w:id="1513716708">
      <w:bodyDiv w:val="1"/>
      <w:marLeft w:val="0"/>
      <w:marRight w:val="0"/>
      <w:marTop w:val="0"/>
      <w:marBottom w:val="0"/>
      <w:divBdr>
        <w:top w:val="none" w:sz="0" w:space="0" w:color="auto"/>
        <w:left w:val="none" w:sz="0" w:space="0" w:color="auto"/>
        <w:bottom w:val="none" w:sz="0" w:space="0" w:color="auto"/>
        <w:right w:val="none" w:sz="0" w:space="0" w:color="auto"/>
      </w:divBdr>
    </w:div>
    <w:div w:id="1572036786">
      <w:bodyDiv w:val="1"/>
      <w:marLeft w:val="0"/>
      <w:marRight w:val="0"/>
      <w:marTop w:val="0"/>
      <w:marBottom w:val="0"/>
      <w:divBdr>
        <w:top w:val="none" w:sz="0" w:space="0" w:color="auto"/>
        <w:left w:val="none" w:sz="0" w:space="0" w:color="auto"/>
        <w:bottom w:val="none" w:sz="0" w:space="0" w:color="auto"/>
        <w:right w:val="none" w:sz="0" w:space="0" w:color="auto"/>
      </w:divBdr>
    </w:div>
    <w:div w:id="1701710505">
      <w:bodyDiv w:val="1"/>
      <w:marLeft w:val="0"/>
      <w:marRight w:val="0"/>
      <w:marTop w:val="0"/>
      <w:marBottom w:val="0"/>
      <w:divBdr>
        <w:top w:val="none" w:sz="0" w:space="0" w:color="auto"/>
        <w:left w:val="none" w:sz="0" w:space="0" w:color="auto"/>
        <w:bottom w:val="none" w:sz="0" w:space="0" w:color="auto"/>
        <w:right w:val="none" w:sz="0" w:space="0" w:color="auto"/>
      </w:divBdr>
      <w:divsChild>
        <w:div w:id="1977250787">
          <w:marLeft w:val="0"/>
          <w:marRight w:val="0"/>
          <w:marTop w:val="0"/>
          <w:marBottom w:val="0"/>
          <w:divBdr>
            <w:top w:val="none" w:sz="0" w:space="0" w:color="auto"/>
            <w:left w:val="none" w:sz="0" w:space="0" w:color="auto"/>
            <w:bottom w:val="none" w:sz="0" w:space="0" w:color="auto"/>
            <w:right w:val="none" w:sz="0" w:space="0" w:color="auto"/>
          </w:divBdr>
          <w:divsChild>
            <w:div w:id="1293634798">
              <w:marLeft w:val="0"/>
              <w:marRight w:val="0"/>
              <w:marTop w:val="0"/>
              <w:marBottom w:val="0"/>
              <w:divBdr>
                <w:top w:val="none" w:sz="0" w:space="0" w:color="auto"/>
                <w:left w:val="none" w:sz="0" w:space="0" w:color="auto"/>
                <w:bottom w:val="none" w:sz="0" w:space="0" w:color="auto"/>
                <w:right w:val="none" w:sz="0" w:space="0" w:color="auto"/>
              </w:divBdr>
              <w:divsChild>
                <w:div w:id="1392540232">
                  <w:marLeft w:val="-225"/>
                  <w:marRight w:val="-225"/>
                  <w:marTop w:val="0"/>
                  <w:marBottom w:val="0"/>
                  <w:divBdr>
                    <w:top w:val="none" w:sz="0" w:space="0" w:color="auto"/>
                    <w:left w:val="none" w:sz="0" w:space="0" w:color="auto"/>
                    <w:bottom w:val="none" w:sz="0" w:space="0" w:color="auto"/>
                    <w:right w:val="none" w:sz="0" w:space="0" w:color="auto"/>
                  </w:divBdr>
                  <w:divsChild>
                    <w:div w:id="895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08258">
      <w:bodyDiv w:val="1"/>
      <w:marLeft w:val="0"/>
      <w:marRight w:val="0"/>
      <w:marTop w:val="0"/>
      <w:marBottom w:val="0"/>
      <w:divBdr>
        <w:top w:val="none" w:sz="0" w:space="0" w:color="auto"/>
        <w:left w:val="none" w:sz="0" w:space="0" w:color="auto"/>
        <w:bottom w:val="none" w:sz="0" w:space="0" w:color="auto"/>
        <w:right w:val="none" w:sz="0" w:space="0" w:color="auto"/>
      </w:divBdr>
    </w:div>
    <w:div w:id="1729264926">
      <w:bodyDiv w:val="1"/>
      <w:marLeft w:val="0"/>
      <w:marRight w:val="0"/>
      <w:marTop w:val="0"/>
      <w:marBottom w:val="0"/>
      <w:divBdr>
        <w:top w:val="none" w:sz="0" w:space="0" w:color="auto"/>
        <w:left w:val="none" w:sz="0" w:space="0" w:color="auto"/>
        <w:bottom w:val="none" w:sz="0" w:space="0" w:color="auto"/>
        <w:right w:val="none" w:sz="0" w:space="0" w:color="auto"/>
      </w:divBdr>
    </w:div>
    <w:div w:id="1744253208">
      <w:bodyDiv w:val="1"/>
      <w:marLeft w:val="0"/>
      <w:marRight w:val="0"/>
      <w:marTop w:val="0"/>
      <w:marBottom w:val="0"/>
      <w:divBdr>
        <w:top w:val="none" w:sz="0" w:space="0" w:color="auto"/>
        <w:left w:val="none" w:sz="0" w:space="0" w:color="auto"/>
        <w:bottom w:val="none" w:sz="0" w:space="0" w:color="auto"/>
        <w:right w:val="none" w:sz="0" w:space="0" w:color="auto"/>
      </w:divBdr>
    </w:div>
    <w:div w:id="1812401138">
      <w:bodyDiv w:val="1"/>
      <w:marLeft w:val="0"/>
      <w:marRight w:val="0"/>
      <w:marTop w:val="0"/>
      <w:marBottom w:val="0"/>
      <w:divBdr>
        <w:top w:val="none" w:sz="0" w:space="0" w:color="auto"/>
        <w:left w:val="none" w:sz="0" w:space="0" w:color="auto"/>
        <w:bottom w:val="none" w:sz="0" w:space="0" w:color="auto"/>
        <w:right w:val="none" w:sz="0" w:space="0" w:color="auto"/>
      </w:divBdr>
    </w:div>
    <w:div w:id="1830435626">
      <w:bodyDiv w:val="1"/>
      <w:marLeft w:val="0"/>
      <w:marRight w:val="0"/>
      <w:marTop w:val="0"/>
      <w:marBottom w:val="0"/>
      <w:divBdr>
        <w:top w:val="none" w:sz="0" w:space="0" w:color="auto"/>
        <w:left w:val="none" w:sz="0" w:space="0" w:color="auto"/>
        <w:bottom w:val="none" w:sz="0" w:space="0" w:color="auto"/>
        <w:right w:val="none" w:sz="0" w:space="0" w:color="auto"/>
      </w:divBdr>
    </w:div>
    <w:div w:id="1911382337">
      <w:bodyDiv w:val="1"/>
      <w:marLeft w:val="0"/>
      <w:marRight w:val="0"/>
      <w:marTop w:val="0"/>
      <w:marBottom w:val="0"/>
      <w:divBdr>
        <w:top w:val="none" w:sz="0" w:space="0" w:color="auto"/>
        <w:left w:val="none" w:sz="0" w:space="0" w:color="auto"/>
        <w:bottom w:val="none" w:sz="0" w:space="0" w:color="auto"/>
        <w:right w:val="none" w:sz="0" w:space="0" w:color="auto"/>
      </w:divBdr>
    </w:div>
    <w:div w:id="1945573048">
      <w:bodyDiv w:val="1"/>
      <w:marLeft w:val="0"/>
      <w:marRight w:val="0"/>
      <w:marTop w:val="0"/>
      <w:marBottom w:val="0"/>
      <w:divBdr>
        <w:top w:val="none" w:sz="0" w:space="0" w:color="auto"/>
        <w:left w:val="none" w:sz="0" w:space="0" w:color="auto"/>
        <w:bottom w:val="none" w:sz="0" w:space="0" w:color="auto"/>
        <w:right w:val="none" w:sz="0" w:space="0" w:color="auto"/>
      </w:divBdr>
    </w:div>
    <w:div w:id="1952779478">
      <w:bodyDiv w:val="1"/>
      <w:marLeft w:val="0"/>
      <w:marRight w:val="0"/>
      <w:marTop w:val="0"/>
      <w:marBottom w:val="0"/>
      <w:divBdr>
        <w:top w:val="none" w:sz="0" w:space="0" w:color="auto"/>
        <w:left w:val="none" w:sz="0" w:space="0" w:color="auto"/>
        <w:bottom w:val="none" w:sz="0" w:space="0" w:color="auto"/>
        <w:right w:val="none" w:sz="0" w:space="0" w:color="auto"/>
      </w:divBdr>
    </w:div>
    <w:div w:id="1959605522">
      <w:bodyDiv w:val="1"/>
      <w:marLeft w:val="0"/>
      <w:marRight w:val="0"/>
      <w:marTop w:val="0"/>
      <w:marBottom w:val="0"/>
      <w:divBdr>
        <w:top w:val="none" w:sz="0" w:space="0" w:color="auto"/>
        <w:left w:val="none" w:sz="0" w:space="0" w:color="auto"/>
        <w:bottom w:val="none" w:sz="0" w:space="0" w:color="auto"/>
        <w:right w:val="none" w:sz="0" w:space="0" w:color="auto"/>
      </w:divBdr>
    </w:div>
    <w:div w:id="1964770860">
      <w:bodyDiv w:val="1"/>
      <w:marLeft w:val="0"/>
      <w:marRight w:val="0"/>
      <w:marTop w:val="0"/>
      <w:marBottom w:val="0"/>
      <w:divBdr>
        <w:top w:val="none" w:sz="0" w:space="0" w:color="auto"/>
        <w:left w:val="none" w:sz="0" w:space="0" w:color="auto"/>
        <w:bottom w:val="none" w:sz="0" w:space="0" w:color="auto"/>
        <w:right w:val="none" w:sz="0" w:space="0" w:color="auto"/>
      </w:divBdr>
    </w:div>
    <w:div w:id="1970624127">
      <w:bodyDiv w:val="1"/>
      <w:marLeft w:val="0"/>
      <w:marRight w:val="0"/>
      <w:marTop w:val="0"/>
      <w:marBottom w:val="0"/>
      <w:divBdr>
        <w:top w:val="none" w:sz="0" w:space="0" w:color="auto"/>
        <w:left w:val="none" w:sz="0" w:space="0" w:color="auto"/>
        <w:bottom w:val="none" w:sz="0" w:space="0" w:color="auto"/>
        <w:right w:val="none" w:sz="0" w:space="0" w:color="auto"/>
      </w:divBdr>
    </w:div>
    <w:div w:id="1979219006">
      <w:bodyDiv w:val="1"/>
      <w:marLeft w:val="0"/>
      <w:marRight w:val="0"/>
      <w:marTop w:val="0"/>
      <w:marBottom w:val="0"/>
      <w:divBdr>
        <w:top w:val="none" w:sz="0" w:space="0" w:color="auto"/>
        <w:left w:val="none" w:sz="0" w:space="0" w:color="auto"/>
        <w:bottom w:val="none" w:sz="0" w:space="0" w:color="auto"/>
        <w:right w:val="none" w:sz="0" w:space="0" w:color="auto"/>
      </w:divBdr>
    </w:div>
    <w:div w:id="2003846990">
      <w:bodyDiv w:val="1"/>
      <w:marLeft w:val="0"/>
      <w:marRight w:val="0"/>
      <w:marTop w:val="0"/>
      <w:marBottom w:val="0"/>
      <w:divBdr>
        <w:top w:val="none" w:sz="0" w:space="0" w:color="auto"/>
        <w:left w:val="none" w:sz="0" w:space="0" w:color="auto"/>
        <w:bottom w:val="none" w:sz="0" w:space="0" w:color="auto"/>
        <w:right w:val="none" w:sz="0" w:space="0" w:color="auto"/>
      </w:divBdr>
    </w:div>
    <w:div w:id="2033455664">
      <w:bodyDiv w:val="1"/>
      <w:marLeft w:val="0"/>
      <w:marRight w:val="0"/>
      <w:marTop w:val="0"/>
      <w:marBottom w:val="0"/>
      <w:divBdr>
        <w:top w:val="none" w:sz="0" w:space="0" w:color="auto"/>
        <w:left w:val="none" w:sz="0" w:space="0" w:color="auto"/>
        <w:bottom w:val="none" w:sz="0" w:space="0" w:color="auto"/>
        <w:right w:val="none" w:sz="0" w:space="0" w:color="auto"/>
      </w:divBdr>
    </w:div>
    <w:div w:id="21437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inance.gov.sk" TargetMode="External"/><Relationship Id="rId2" Type="http://schemas.openxmlformats.org/officeDocument/2006/relationships/hyperlink" Target="http://www.statistics.sk" TargetMode="External"/><Relationship Id="rId1" Type="http://schemas.openxmlformats.org/officeDocument/2006/relationships/hyperlink" Target="https://www.mfsr.sk/sk/financie/verejne-financie/rozpocet-verejnej-spravy/" TargetMode="External"/><Relationship Id="rId5" Type="http://schemas.openxmlformats.org/officeDocument/2006/relationships/hyperlink" Target="http://www.rokovania.gov.sk" TargetMode="External"/><Relationship Id="rId4" Type="http://schemas.openxmlformats.org/officeDocument/2006/relationships/hyperlink" Target="https://www.mfsr.sk/sk/media/tlacove-spravy/slovensko-ma-lepsi-transparentnejsi-model-asignacie.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f.mfsr.sk\DfsRoot\ADRESARE\IFP_NEW\3_MAKRO\3_7_Materialy\3_7_8_SZU\SZU%20za%202019\kap1_grafy.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f.mfsr.sk\DfsRoot\ADRESARE\IFP_NEW\3_MAKRO\3_7_Materialy\3_7_8_SZU\SZU%20za%202019\kap1_grafy.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mf.mfsr.sk\DfsRoot\ADRESARE\IFP_NEW\3_MAKRO\3_7_Materialy\3_7_8_SZU\SZU%20za%202019\kap1_grafy.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oleObject" Target="file:///\\mf.mfsr.sk\DfsRoot\ADRESARE\IFP_NEW\3_MAKRO\3_7_Materialy\3_7_8_SZU\SZU%20za%202019\kap1_grafy.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oleObject" Target="file:///\\mf.mfsr.sk\DfsRoot\ADRESARE\IFP_NEW\3_MAKRO\3_7_Materialy\3_7_8_SZU\SZU%20za%202019\kap1_grafy.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3"/>
          <c:order val="0"/>
          <c:tx>
            <c:strRef>
              <c:f>HDP!$A$5</c:f>
              <c:strCache>
                <c:ptCount val="1"/>
                <c:pt idx="0">
                  <c:v>štatistická diskrepancia</c:v>
                </c:pt>
              </c:strCache>
            </c:strRef>
          </c:tx>
          <c:spPr>
            <a:solidFill>
              <a:srgbClr val="7C7C7C"/>
            </a:solidFill>
          </c:spPr>
          <c:invertIfNegative val="0"/>
          <c:cat>
            <c:numRef>
              <c:f>HDP!$E$1:$L$1</c:f>
              <c:numCache>
                <c:formatCode>General</c:formatCode>
                <c:ptCount val="8"/>
                <c:pt idx="0">
                  <c:v>2012</c:v>
                </c:pt>
                <c:pt idx="1">
                  <c:v>2013</c:v>
                </c:pt>
                <c:pt idx="2">
                  <c:v>2014</c:v>
                </c:pt>
                <c:pt idx="3">
                  <c:v>2015</c:v>
                </c:pt>
                <c:pt idx="4">
                  <c:v>2016</c:v>
                </c:pt>
                <c:pt idx="5">
                  <c:v>2017</c:v>
                </c:pt>
                <c:pt idx="6">
                  <c:v>2018</c:v>
                </c:pt>
                <c:pt idx="7">
                  <c:v>2019</c:v>
                </c:pt>
              </c:numCache>
            </c:numRef>
          </c:cat>
          <c:val>
            <c:numRef>
              <c:f>HDP!$E$5:$L$5</c:f>
              <c:numCache>
                <c:formatCode>0.0</c:formatCode>
                <c:ptCount val="8"/>
                <c:pt idx="0">
                  <c:v>0.38342125969401475</c:v>
                </c:pt>
                <c:pt idx="1">
                  <c:v>7.4288746934469296E-2</c:v>
                </c:pt>
                <c:pt idx="2">
                  <c:v>-2.878825549369796E-2</c:v>
                </c:pt>
                <c:pt idx="3">
                  <c:v>-1.3973066913521275E-2</c:v>
                </c:pt>
                <c:pt idx="4">
                  <c:v>0</c:v>
                </c:pt>
                <c:pt idx="5">
                  <c:v>-5.4989553703506345E-3</c:v>
                </c:pt>
                <c:pt idx="6">
                  <c:v>-3.5688684435137882E-2</c:v>
                </c:pt>
                <c:pt idx="7">
                  <c:v>1.1765582771673024E-2</c:v>
                </c:pt>
              </c:numCache>
            </c:numRef>
          </c:val>
        </c:ser>
        <c:ser>
          <c:idx val="1"/>
          <c:order val="2"/>
          <c:tx>
            <c:strRef>
              <c:f>HDP!$A$3</c:f>
              <c:strCache>
                <c:ptCount val="1"/>
                <c:pt idx="0">
                  <c:v>domáci dopyt</c:v>
                </c:pt>
              </c:strCache>
            </c:strRef>
          </c:tx>
          <c:spPr>
            <a:solidFill>
              <a:srgbClr val="2C9ADC"/>
            </a:solidFill>
          </c:spPr>
          <c:invertIfNegative val="0"/>
          <c:cat>
            <c:numRef>
              <c:f>HDP!$E$1:$L$1</c:f>
              <c:numCache>
                <c:formatCode>General</c:formatCode>
                <c:ptCount val="8"/>
                <c:pt idx="0">
                  <c:v>2012</c:v>
                </c:pt>
                <c:pt idx="1">
                  <c:v>2013</c:v>
                </c:pt>
                <c:pt idx="2">
                  <c:v>2014</c:v>
                </c:pt>
                <c:pt idx="3">
                  <c:v>2015</c:v>
                </c:pt>
                <c:pt idx="4">
                  <c:v>2016</c:v>
                </c:pt>
                <c:pt idx="5">
                  <c:v>2017</c:v>
                </c:pt>
                <c:pt idx="6">
                  <c:v>2018</c:v>
                </c:pt>
                <c:pt idx="7">
                  <c:v>2019</c:v>
                </c:pt>
              </c:numCache>
            </c:numRef>
          </c:cat>
          <c:val>
            <c:numRef>
              <c:f>HDP!$E$3:$L$3</c:f>
              <c:numCache>
                <c:formatCode>0.0</c:formatCode>
                <c:ptCount val="8"/>
                <c:pt idx="0">
                  <c:v>-4.062280563022572</c:v>
                </c:pt>
                <c:pt idx="1">
                  <c:v>8.4219743299404973E-3</c:v>
                </c:pt>
                <c:pt idx="2">
                  <c:v>3.3086318541601414</c:v>
                </c:pt>
                <c:pt idx="3">
                  <c:v>6.1455879758657517</c:v>
                </c:pt>
                <c:pt idx="4">
                  <c:v>1.7940011633663187</c:v>
                </c:pt>
                <c:pt idx="5">
                  <c:v>3.2246898209805677</c:v>
                </c:pt>
                <c:pt idx="6">
                  <c:v>3.5256769498126679</c:v>
                </c:pt>
                <c:pt idx="7">
                  <c:v>2.9981036716314557</c:v>
                </c:pt>
              </c:numCache>
            </c:numRef>
          </c:val>
        </c:ser>
        <c:ser>
          <c:idx val="2"/>
          <c:order val="3"/>
          <c:tx>
            <c:strRef>
              <c:f>HDP!$A$4</c:f>
              <c:strCache>
                <c:ptCount val="1"/>
                <c:pt idx="0">
                  <c:v>zahraničný dopyt</c:v>
                </c:pt>
              </c:strCache>
            </c:strRef>
          </c:tx>
          <c:spPr>
            <a:solidFill>
              <a:srgbClr val="555555"/>
            </a:solidFill>
          </c:spPr>
          <c:invertIfNegative val="0"/>
          <c:cat>
            <c:numRef>
              <c:f>HDP!$E$1:$L$1</c:f>
              <c:numCache>
                <c:formatCode>General</c:formatCode>
                <c:ptCount val="8"/>
                <c:pt idx="0">
                  <c:v>2012</c:v>
                </c:pt>
                <c:pt idx="1">
                  <c:v>2013</c:v>
                </c:pt>
                <c:pt idx="2">
                  <c:v>2014</c:v>
                </c:pt>
                <c:pt idx="3">
                  <c:v>2015</c:v>
                </c:pt>
                <c:pt idx="4">
                  <c:v>2016</c:v>
                </c:pt>
                <c:pt idx="5">
                  <c:v>2017</c:v>
                </c:pt>
                <c:pt idx="6">
                  <c:v>2018</c:v>
                </c:pt>
                <c:pt idx="7">
                  <c:v>2019</c:v>
                </c:pt>
              </c:numCache>
            </c:numRef>
          </c:cat>
          <c:val>
            <c:numRef>
              <c:f>HDP!$E$4:$L$4</c:f>
              <c:numCache>
                <c:formatCode>0.0</c:formatCode>
                <c:ptCount val="8"/>
                <c:pt idx="0">
                  <c:v>5.5746701156313136</c:v>
                </c:pt>
                <c:pt idx="1">
                  <c:v>0.58813386096719811</c:v>
                </c:pt>
                <c:pt idx="2">
                  <c:v>-0.52740926726597204</c:v>
                </c:pt>
                <c:pt idx="3">
                  <c:v>-1.309696402922272</c:v>
                </c:pt>
                <c:pt idx="4">
                  <c:v>0.32946205730475636</c:v>
                </c:pt>
                <c:pt idx="5">
                  <c:v>-0.17846252547242145</c:v>
                </c:pt>
                <c:pt idx="6">
                  <c:v>0.54371477800710366</c:v>
                </c:pt>
                <c:pt idx="7">
                  <c:v>-0.73364873753568038</c:v>
                </c:pt>
              </c:numCache>
            </c:numRef>
          </c:val>
        </c:ser>
        <c:dLbls>
          <c:showLegendKey val="0"/>
          <c:showVal val="0"/>
          <c:showCatName val="0"/>
          <c:showSerName val="0"/>
          <c:showPercent val="0"/>
          <c:showBubbleSize val="0"/>
        </c:dLbls>
        <c:gapWidth val="150"/>
        <c:overlap val="100"/>
        <c:axId val="316272792"/>
        <c:axId val="316273184"/>
      </c:barChart>
      <c:lineChart>
        <c:grouping val="standard"/>
        <c:varyColors val="0"/>
        <c:ser>
          <c:idx val="0"/>
          <c:order val="1"/>
          <c:tx>
            <c:strRef>
              <c:f>HDP!$A$2</c:f>
              <c:strCache>
                <c:ptCount val="1"/>
                <c:pt idx="0">
                  <c:v>rast HDP</c:v>
                </c:pt>
              </c:strCache>
            </c:strRef>
          </c:tx>
          <c:spPr>
            <a:ln>
              <a:solidFill>
                <a:schemeClr val="tx1"/>
              </a:solidFill>
            </a:ln>
          </c:spPr>
          <c:marker>
            <c:symbol val="none"/>
          </c:marker>
          <c:dLbls>
            <c:dLbl>
              <c:idx val="0"/>
              <c:spPr>
                <a:noFill/>
                <a:ln>
                  <a:noFill/>
                </a:ln>
                <a:effectLst/>
              </c:spPr>
              <c:txPr>
                <a:bodyPr wrap="square" lIns="38100" tIns="19050" rIns="38100" bIns="19050" anchor="ctr">
                  <a:spAutoFit/>
                </a:bodyPr>
                <a:lstStyle/>
                <a:p>
                  <a:pPr>
                    <a:defRPr>
                      <a:solidFill>
                        <a:schemeClr val="bg1"/>
                      </a:solidFill>
                    </a:defRPr>
                  </a:pPr>
                  <a:endParaRPr lang="sk-SK"/>
                </a:p>
              </c:txPr>
              <c:dLblPos val="t"/>
              <c:showLegendKey val="0"/>
              <c:showVal val="1"/>
              <c:showCatName val="0"/>
              <c:showSerName val="0"/>
              <c:showPercent val="0"/>
              <c:showBubbleSize val="0"/>
            </c:dLbl>
            <c:dLbl>
              <c:idx val="3"/>
              <c:layout>
                <c:manualLayout>
                  <c:x val="-5.9300718557721267E-2"/>
                  <c:y val="-0.151491748462948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a:noFill/>
                    </a:ln>
                  </c:spPr>
                </c15:leaderLines>
              </c:ext>
            </c:extLst>
          </c:dLbls>
          <c:cat>
            <c:numRef>
              <c:f>HDP!$E$1:$L$1</c:f>
              <c:numCache>
                <c:formatCode>General</c:formatCode>
                <c:ptCount val="8"/>
                <c:pt idx="0">
                  <c:v>2012</c:v>
                </c:pt>
                <c:pt idx="1">
                  <c:v>2013</c:v>
                </c:pt>
                <c:pt idx="2">
                  <c:v>2014</c:v>
                </c:pt>
                <c:pt idx="3">
                  <c:v>2015</c:v>
                </c:pt>
                <c:pt idx="4">
                  <c:v>2016</c:v>
                </c:pt>
                <c:pt idx="5">
                  <c:v>2017</c:v>
                </c:pt>
                <c:pt idx="6">
                  <c:v>2018</c:v>
                </c:pt>
                <c:pt idx="7">
                  <c:v>2019</c:v>
                </c:pt>
              </c:numCache>
            </c:numRef>
          </c:cat>
          <c:val>
            <c:numRef>
              <c:f>HDP!$E$2:$L$2</c:f>
              <c:numCache>
                <c:formatCode>0.0</c:formatCode>
                <c:ptCount val="8"/>
                <c:pt idx="0">
                  <c:v>1.8958108123027673</c:v>
                </c:pt>
                <c:pt idx="1">
                  <c:v>0.67084458223161114</c:v>
                </c:pt>
                <c:pt idx="2">
                  <c:v>2.752434331400444</c:v>
                </c:pt>
                <c:pt idx="3">
                  <c:v>4.8219185060299763</c:v>
                </c:pt>
                <c:pt idx="4">
                  <c:v>2.1234632206710291</c:v>
                </c:pt>
                <c:pt idx="5">
                  <c:v>3.0407283401378216</c:v>
                </c:pt>
                <c:pt idx="6">
                  <c:v>4.0337030433846399</c:v>
                </c:pt>
                <c:pt idx="7">
                  <c:v>2.2762205168674443</c:v>
                </c:pt>
              </c:numCache>
            </c:numRef>
          </c:val>
          <c:smooth val="0"/>
        </c:ser>
        <c:dLbls>
          <c:showLegendKey val="0"/>
          <c:showVal val="0"/>
          <c:showCatName val="0"/>
          <c:showSerName val="0"/>
          <c:showPercent val="0"/>
          <c:showBubbleSize val="0"/>
        </c:dLbls>
        <c:marker val="1"/>
        <c:smooth val="0"/>
        <c:axId val="316272792"/>
        <c:axId val="316273184"/>
      </c:lineChart>
      <c:catAx>
        <c:axId val="316272792"/>
        <c:scaling>
          <c:orientation val="minMax"/>
        </c:scaling>
        <c:delete val="0"/>
        <c:axPos val="b"/>
        <c:numFmt formatCode="General" sourceLinked="1"/>
        <c:majorTickMark val="out"/>
        <c:minorTickMark val="none"/>
        <c:tickLblPos val="low"/>
        <c:crossAx val="316273184"/>
        <c:crosses val="autoZero"/>
        <c:auto val="1"/>
        <c:lblAlgn val="ctr"/>
        <c:lblOffset val="100"/>
        <c:noMultiLvlLbl val="0"/>
      </c:catAx>
      <c:valAx>
        <c:axId val="316273184"/>
        <c:scaling>
          <c:orientation val="minMax"/>
        </c:scaling>
        <c:delete val="0"/>
        <c:axPos val="l"/>
        <c:majorGridlines>
          <c:spPr>
            <a:ln>
              <a:prstDash val="sysDash"/>
            </a:ln>
          </c:spPr>
        </c:majorGridlines>
        <c:numFmt formatCode="0.0" sourceLinked="0"/>
        <c:majorTickMark val="out"/>
        <c:minorTickMark val="none"/>
        <c:tickLblPos val="nextTo"/>
        <c:crossAx val="316272792"/>
        <c:crosses val="autoZero"/>
        <c:crossBetween val="between"/>
      </c:valAx>
    </c:plotArea>
    <c:legend>
      <c:legendPos val="r"/>
      <c:layout>
        <c:manualLayout>
          <c:xMode val="edge"/>
          <c:yMode val="edge"/>
          <c:x val="0.18912366672251074"/>
          <c:y val="0.61075567046656476"/>
          <c:w val="0.78078774579407084"/>
          <c:h val="0.27245388846942076"/>
        </c:manualLayout>
      </c:layout>
      <c:overlay val="1"/>
    </c:legend>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9679777191692E-2"/>
          <c:y val="4.8823828544190706E-2"/>
          <c:w val="0.89093095636884034"/>
          <c:h val="0.85748137319626516"/>
        </c:manualLayout>
      </c:layout>
      <c:barChart>
        <c:barDir val="col"/>
        <c:grouping val="stacked"/>
        <c:varyColors val="0"/>
        <c:ser>
          <c:idx val="5"/>
          <c:order val="0"/>
          <c:tx>
            <c:strRef>
              <c:f>trh_prace!$A$19</c:f>
              <c:strCache>
                <c:ptCount val="1"/>
                <c:pt idx="0">
                  <c:v>Poľnohospodárstvo</c:v>
                </c:pt>
              </c:strCache>
            </c:strRef>
          </c:tx>
          <c:spPr>
            <a:solidFill>
              <a:srgbClr val="2C9ADC"/>
            </a:solidFill>
          </c:spPr>
          <c:invertIfNegative val="0"/>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trh_prace!$S$19:$Z$19</c:f>
              <c:numCache>
                <c:formatCode>0.00</c:formatCode>
                <c:ptCount val="8"/>
                <c:pt idx="0">
                  <c:v>-2.1864914968114393E-2</c:v>
                </c:pt>
                <c:pt idx="1">
                  <c:v>1.2641637070860492E-2</c:v>
                </c:pt>
                <c:pt idx="2" formatCode="0.0">
                  <c:v>-7.3789908391500621E-3</c:v>
                </c:pt>
                <c:pt idx="3" formatCode="0.0">
                  <c:v>-5.4651123497772127E-3</c:v>
                </c:pt>
                <c:pt idx="4">
                  <c:v>3.366750208855461E-2</c:v>
                </c:pt>
                <c:pt idx="5">
                  <c:v>7.5164536245986804E-2</c:v>
                </c:pt>
                <c:pt idx="6">
                  <c:v>4.3189668044211295E-2</c:v>
                </c:pt>
                <c:pt idx="7">
                  <c:v>4.0845820152080763E-2</c:v>
                </c:pt>
              </c:numCache>
            </c:numRef>
          </c:val>
        </c:ser>
        <c:ser>
          <c:idx val="8"/>
          <c:order val="1"/>
          <c:tx>
            <c:strRef>
              <c:f>trh_prace!$A$20</c:f>
              <c:strCache>
                <c:ptCount val="1"/>
                <c:pt idx="0">
                  <c:v>Priemysel</c:v>
                </c:pt>
              </c:strCache>
            </c:strRef>
          </c:tx>
          <c:spPr>
            <a:solidFill>
              <a:schemeClr val="tx2">
                <a:lumMod val="20000"/>
                <a:lumOff val="80000"/>
              </a:schemeClr>
            </a:solidFill>
            <a:ln>
              <a:noFill/>
            </a:ln>
          </c:spPr>
          <c:invertIfNegative val="0"/>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trh_prace!$S$20:$Z$20</c:f>
              <c:numCache>
                <c:formatCode>0.00</c:formatCode>
                <c:ptCount val="8"/>
                <c:pt idx="0">
                  <c:v>0.68379105169814181</c:v>
                </c:pt>
                <c:pt idx="1">
                  <c:v>0.40711144934889298</c:v>
                </c:pt>
                <c:pt idx="2" formatCode="0.0">
                  <c:v>0.37712512839863338</c:v>
                </c:pt>
                <c:pt idx="3" formatCode="0.0">
                  <c:v>0.24013119607112543</c:v>
                </c:pt>
                <c:pt idx="4">
                  <c:v>0.13980785296574685</c:v>
                </c:pt>
                <c:pt idx="5">
                  <c:v>0.13468359082843259</c:v>
                </c:pt>
                <c:pt idx="6">
                  <c:v>-0.23219588200911681</c:v>
                </c:pt>
                <c:pt idx="7">
                  <c:v>-0.36400351372476875</c:v>
                </c:pt>
              </c:numCache>
            </c:numRef>
          </c:val>
        </c:ser>
        <c:ser>
          <c:idx val="0"/>
          <c:order val="2"/>
          <c:tx>
            <c:strRef>
              <c:f>trh_prace!$A$21</c:f>
              <c:strCache>
                <c:ptCount val="1"/>
                <c:pt idx="0">
                  <c:v>Trhové služby</c:v>
                </c:pt>
              </c:strCache>
            </c:strRef>
          </c:tx>
          <c:spPr>
            <a:solidFill>
              <a:srgbClr val="1F497D"/>
            </a:solidFill>
          </c:spPr>
          <c:invertIfNegative val="0"/>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trh_prace!$S$21:$Z$21</c:f>
              <c:numCache>
                <c:formatCode>0.00</c:formatCode>
                <c:ptCount val="8"/>
                <c:pt idx="0">
                  <c:v>1.1336445952022858</c:v>
                </c:pt>
                <c:pt idx="1">
                  <c:v>1.3101217656012207</c:v>
                </c:pt>
                <c:pt idx="2" formatCode="0.0">
                  <c:v>1.3234387774353826</c:v>
                </c:pt>
                <c:pt idx="3" formatCode="0.0">
                  <c:v>1.2033676773230808</c:v>
                </c:pt>
                <c:pt idx="4">
                  <c:v>1.1262740183792801</c:v>
                </c:pt>
                <c:pt idx="5">
                  <c:v>0.63637375813989283</c:v>
                </c:pt>
                <c:pt idx="6">
                  <c:v>0.43901269241511282</c:v>
                </c:pt>
                <c:pt idx="7">
                  <c:v>0.29974106374653531</c:v>
                </c:pt>
              </c:numCache>
            </c:numRef>
          </c:val>
        </c:ser>
        <c:ser>
          <c:idx val="1"/>
          <c:order val="3"/>
          <c:tx>
            <c:strRef>
              <c:f>trh_prace!$A$22</c:f>
              <c:strCache>
                <c:ptCount val="1"/>
                <c:pt idx="0">
                  <c:v>Verejný sektor</c:v>
                </c:pt>
              </c:strCache>
            </c:strRef>
          </c:tx>
          <c:invertIfNegative val="0"/>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trh_prace!$S$22:$Z$22</c:f>
              <c:numCache>
                <c:formatCode>0.00</c:formatCode>
                <c:ptCount val="8"/>
                <c:pt idx="0">
                  <c:v>0.28172430477470722</c:v>
                </c:pt>
                <c:pt idx="1">
                  <c:v>0.22881785895484427</c:v>
                </c:pt>
                <c:pt idx="2" formatCode="0.0">
                  <c:v>8.934448567175951E-2</c:v>
                </c:pt>
                <c:pt idx="3" formatCode="0.0">
                  <c:v>0.11848029826998038</c:v>
                </c:pt>
                <c:pt idx="4">
                  <c:v>0.23053467000835209</c:v>
                </c:pt>
                <c:pt idx="5">
                  <c:v>0.25595676880241158</c:v>
                </c:pt>
                <c:pt idx="6">
                  <c:v>0.4246572694175611</c:v>
                </c:pt>
                <c:pt idx="7">
                  <c:v>0.37536324483132083</c:v>
                </c:pt>
              </c:numCache>
            </c:numRef>
          </c:val>
        </c:ser>
        <c:ser>
          <c:idx val="2"/>
          <c:order val="4"/>
          <c:tx>
            <c:strRef>
              <c:f>trh_prace!$A$23</c:f>
              <c:strCache>
                <c:ptCount val="1"/>
                <c:pt idx="0">
                  <c:v>Stavebníctvo</c:v>
                </c:pt>
              </c:strCache>
            </c:strRef>
          </c:tx>
          <c:invertIfNegative val="0"/>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trh_prace!$S$23:$Z$23</c:f>
              <c:numCache>
                <c:formatCode>0.00</c:formatCode>
                <c:ptCount val="8"/>
                <c:pt idx="0">
                  <c:v>0.15826440404654737</c:v>
                </c:pt>
                <c:pt idx="1">
                  <c:v>0.19051243023845643</c:v>
                </c:pt>
                <c:pt idx="2" formatCode="0.0">
                  <c:v>0.14552543865165726</c:v>
                </c:pt>
                <c:pt idx="3" formatCode="0.0">
                  <c:v>0.1712540930979799</c:v>
                </c:pt>
                <c:pt idx="4">
                  <c:v>0.26207184628237146</c:v>
                </c:pt>
                <c:pt idx="5">
                  <c:v>0.345814812959923</c:v>
                </c:pt>
                <c:pt idx="6">
                  <c:v>0.3677703066507565</c:v>
                </c:pt>
                <c:pt idx="7">
                  <c:v>0.36474169119739785</c:v>
                </c:pt>
              </c:numCache>
            </c:numRef>
          </c:val>
        </c:ser>
        <c:dLbls>
          <c:showLegendKey val="0"/>
          <c:showVal val="0"/>
          <c:showCatName val="0"/>
          <c:showSerName val="0"/>
          <c:showPercent val="0"/>
          <c:showBubbleSize val="0"/>
        </c:dLbls>
        <c:gapWidth val="150"/>
        <c:overlap val="100"/>
        <c:axId val="496902320"/>
        <c:axId val="496900752"/>
      </c:barChart>
      <c:lineChart>
        <c:grouping val="standard"/>
        <c:varyColors val="0"/>
        <c:ser>
          <c:idx val="3"/>
          <c:order val="5"/>
          <c:tx>
            <c:strRef>
              <c:f>trh_prace!$A$7</c:f>
              <c:strCache>
                <c:ptCount val="1"/>
                <c:pt idx="0">
                  <c:v>Hospodárstvo spolu</c:v>
                </c:pt>
              </c:strCache>
            </c:strRef>
          </c:tx>
          <c:spPr>
            <a:ln>
              <a:solidFill>
                <a:sysClr val="windowText" lastClr="000000"/>
              </a:solidFill>
            </a:ln>
          </c:spPr>
          <c:marker>
            <c:symbol val="none"/>
          </c:marker>
          <c:val>
            <c:numRef>
              <c:f>trh_prace!$S$24:$Z$24</c:f>
              <c:numCache>
                <c:formatCode>0.00</c:formatCode>
                <c:ptCount val="8"/>
                <c:pt idx="0">
                  <c:v>2.2355594407535677</c:v>
                </c:pt>
                <c:pt idx="1">
                  <c:v>2.1492051412142748</c:v>
                </c:pt>
                <c:pt idx="2">
                  <c:v>1.9280548393182828</c:v>
                </c:pt>
                <c:pt idx="3">
                  <c:v>1.7277681524123896</c:v>
                </c:pt>
                <c:pt idx="4">
                  <c:v>1.7923558897243053</c:v>
                </c:pt>
                <c:pt idx="5">
                  <c:v>1.4479934669766468</c:v>
                </c:pt>
                <c:pt idx="6">
                  <c:v>1.0424340545185249</c:v>
                </c:pt>
                <c:pt idx="7">
                  <c:v>0.71668830620256596</c:v>
                </c:pt>
              </c:numCache>
            </c:numRef>
          </c:val>
          <c:smooth val="0"/>
        </c:ser>
        <c:dLbls>
          <c:showLegendKey val="0"/>
          <c:showVal val="0"/>
          <c:showCatName val="0"/>
          <c:showSerName val="0"/>
          <c:showPercent val="0"/>
          <c:showBubbleSize val="0"/>
        </c:dLbls>
        <c:marker val="1"/>
        <c:smooth val="0"/>
        <c:axId val="496902320"/>
        <c:axId val="496900752"/>
      </c:lineChart>
      <c:catAx>
        <c:axId val="496902320"/>
        <c:scaling>
          <c:orientation val="minMax"/>
        </c:scaling>
        <c:delete val="0"/>
        <c:axPos val="b"/>
        <c:numFmt formatCode="General" sourceLinked="1"/>
        <c:majorTickMark val="out"/>
        <c:minorTickMark val="none"/>
        <c:tickLblPos val="low"/>
        <c:txPr>
          <a:bodyPr rot="-5400000" vert="horz"/>
          <a:lstStyle/>
          <a:p>
            <a:pPr>
              <a:defRPr/>
            </a:pPr>
            <a:endParaRPr lang="sk-SK"/>
          </a:p>
        </c:txPr>
        <c:crossAx val="496900752"/>
        <c:crosses val="autoZero"/>
        <c:auto val="1"/>
        <c:lblAlgn val="ctr"/>
        <c:lblOffset val="100"/>
        <c:noMultiLvlLbl val="0"/>
      </c:catAx>
      <c:valAx>
        <c:axId val="496900752"/>
        <c:scaling>
          <c:orientation val="minMax"/>
        </c:scaling>
        <c:delete val="0"/>
        <c:axPos val="l"/>
        <c:majorGridlines>
          <c:spPr>
            <a:ln>
              <a:solidFill>
                <a:schemeClr val="bg1">
                  <a:lumMod val="75000"/>
                </a:schemeClr>
              </a:solidFill>
              <a:prstDash val="dash"/>
            </a:ln>
          </c:spPr>
        </c:majorGridlines>
        <c:numFmt formatCode="#,##0" sourceLinked="0"/>
        <c:majorTickMark val="out"/>
        <c:minorTickMark val="none"/>
        <c:tickLblPos val="nextTo"/>
        <c:crossAx val="496902320"/>
        <c:crosses val="autoZero"/>
        <c:crossBetween val="between"/>
      </c:valAx>
    </c:plotArea>
    <c:legend>
      <c:legendPos val="r"/>
      <c:layout>
        <c:manualLayout>
          <c:xMode val="edge"/>
          <c:yMode val="edge"/>
          <c:x val="0.2328313127525726"/>
          <c:y val="4.6664381420952351E-3"/>
          <c:w val="0.76502763543445962"/>
          <c:h val="0.19210484106153394"/>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638149163938771E-2"/>
          <c:y val="8.4437759886755726E-2"/>
          <c:w val="0.91819511922711794"/>
          <c:h val="0.72658193006773042"/>
        </c:manualLayout>
      </c:layout>
      <c:lineChart>
        <c:grouping val="standard"/>
        <c:varyColors val="0"/>
        <c:ser>
          <c:idx val="3"/>
          <c:order val="0"/>
          <c:tx>
            <c:strRef>
              <c:f>trh_prace!$A$32</c:f>
              <c:strCache>
                <c:ptCount val="1"/>
                <c:pt idx="0">
                  <c:v>Rast nominálnej produktivity práce</c:v>
                </c:pt>
              </c:strCache>
            </c:strRef>
          </c:tx>
          <c:spPr>
            <a:ln w="19050">
              <a:solidFill>
                <a:srgbClr val="2C9ADC"/>
              </a:solidFill>
              <a:prstDash val="solid"/>
            </a:ln>
          </c:spPr>
          <c:marker>
            <c:symbol val="none"/>
          </c:marker>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trh_prace!$AE$34:$AL$34</c:f>
              <c:numCache>
                <c:formatCode>0.0</c:formatCode>
                <c:ptCount val="8"/>
                <c:pt idx="0">
                  <c:v>3.3815775272979742</c:v>
                </c:pt>
                <c:pt idx="1">
                  <c:v>4.4562445083105473</c:v>
                </c:pt>
                <c:pt idx="2">
                  <c:v>4.8785912048635138</c:v>
                </c:pt>
                <c:pt idx="3">
                  <c:v>3.4999793741238294</c:v>
                </c:pt>
                <c:pt idx="4">
                  <c:v>4.9374460798172759</c:v>
                </c:pt>
                <c:pt idx="5">
                  <c:v>3.3876983933066152</c:v>
                </c:pt>
                <c:pt idx="6">
                  <c:v>2.3459075602410673</c:v>
                </c:pt>
                <c:pt idx="7">
                  <c:v>4.2677646599336372</c:v>
                </c:pt>
              </c:numCache>
            </c:numRef>
          </c:val>
          <c:smooth val="0"/>
        </c:ser>
        <c:ser>
          <c:idx val="5"/>
          <c:order val="1"/>
          <c:tx>
            <c:strRef>
              <c:f>trh_prace!$A$31</c:f>
              <c:strCache>
                <c:ptCount val="1"/>
                <c:pt idx="0">
                  <c:v>Rast nominálnej mzdy</c:v>
                </c:pt>
              </c:strCache>
            </c:strRef>
          </c:tx>
          <c:spPr>
            <a:ln w="19050">
              <a:solidFill>
                <a:sysClr val="windowText" lastClr="000000"/>
              </a:solidFill>
              <a:prstDash val="solid"/>
            </a:ln>
          </c:spPr>
          <c:marker>
            <c:symbol val="none"/>
          </c:marker>
          <c:cat>
            <c:strRef>
              <c:f>trh_prace!$CD$2:$CK$2</c:f>
              <c:strCache>
                <c:ptCount val="8"/>
                <c:pt idx="0">
                  <c:v>2018Q1</c:v>
                </c:pt>
                <c:pt idx="1">
                  <c:v>2018Q2</c:v>
                </c:pt>
                <c:pt idx="2">
                  <c:v>2018Q3</c:v>
                </c:pt>
                <c:pt idx="3">
                  <c:v>2018Q4</c:v>
                </c:pt>
                <c:pt idx="4">
                  <c:v>2019Q1</c:v>
                </c:pt>
                <c:pt idx="5">
                  <c:v>2019Q2</c:v>
                </c:pt>
                <c:pt idx="6">
                  <c:v>2019Q3</c:v>
                </c:pt>
                <c:pt idx="7">
                  <c:v>2019Q4</c:v>
                </c:pt>
              </c:strCache>
            </c:strRef>
          </c:cat>
          <c:val>
            <c:numRef>
              <c:f>trh_prace!$AE$33:$AL$33</c:f>
              <c:numCache>
                <c:formatCode>0.0</c:formatCode>
                <c:ptCount val="8"/>
                <c:pt idx="0">
                  <c:v>6.4659977703455995</c:v>
                </c:pt>
                <c:pt idx="1">
                  <c:v>6.3559322033898358</c:v>
                </c:pt>
                <c:pt idx="2">
                  <c:v>6.0962566844919852</c:v>
                </c:pt>
                <c:pt idx="3">
                  <c:v>5.7636887608069065</c:v>
                </c:pt>
                <c:pt idx="4">
                  <c:v>7.1204188481675423</c:v>
                </c:pt>
                <c:pt idx="5">
                  <c:v>9.6613545816732973</c:v>
                </c:pt>
                <c:pt idx="6">
                  <c:v>7.6612903225806495</c:v>
                </c:pt>
                <c:pt idx="7">
                  <c:v>6.9028156221616621</c:v>
                </c:pt>
              </c:numCache>
            </c:numRef>
          </c:val>
          <c:smooth val="0"/>
        </c:ser>
        <c:dLbls>
          <c:showLegendKey val="0"/>
          <c:showVal val="0"/>
          <c:showCatName val="0"/>
          <c:showSerName val="0"/>
          <c:showPercent val="0"/>
          <c:showBubbleSize val="0"/>
        </c:dLbls>
        <c:smooth val="0"/>
        <c:axId val="496903104"/>
        <c:axId val="496901536"/>
      </c:lineChart>
      <c:catAx>
        <c:axId val="496903104"/>
        <c:scaling>
          <c:orientation val="minMax"/>
        </c:scaling>
        <c:delete val="0"/>
        <c:axPos val="b"/>
        <c:numFmt formatCode="General" sourceLinked="0"/>
        <c:majorTickMark val="out"/>
        <c:minorTickMark val="none"/>
        <c:tickLblPos val="low"/>
        <c:txPr>
          <a:bodyPr rot="-5400000" vert="horz"/>
          <a:lstStyle/>
          <a:p>
            <a:pPr>
              <a:defRPr/>
            </a:pPr>
            <a:endParaRPr lang="sk-SK"/>
          </a:p>
        </c:txPr>
        <c:crossAx val="496901536"/>
        <c:crosses val="autoZero"/>
        <c:auto val="1"/>
        <c:lblAlgn val="ctr"/>
        <c:lblOffset val="100"/>
        <c:noMultiLvlLbl val="0"/>
      </c:catAx>
      <c:valAx>
        <c:axId val="496901536"/>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txPr>
          <a:bodyPr rot="0" vert="horz"/>
          <a:lstStyle/>
          <a:p>
            <a:pPr>
              <a:defRPr/>
            </a:pPr>
            <a:endParaRPr lang="sk-SK"/>
          </a:p>
        </c:txPr>
        <c:crossAx val="496903104"/>
        <c:crosses val="autoZero"/>
        <c:crossBetween val="between"/>
      </c:valAx>
    </c:plotArea>
    <c:legend>
      <c:legendPos val="l"/>
      <c:layout>
        <c:manualLayout>
          <c:xMode val="edge"/>
          <c:yMode val="edge"/>
          <c:x val="0.11629213483146066"/>
          <c:y val="7.4298465500801159E-2"/>
          <c:w val="0.84091598100799203"/>
          <c:h val="0.16083399687398628"/>
        </c:manualLayout>
      </c:layout>
      <c:overlay val="1"/>
    </c:legend>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inflacia!$A$3</c:f>
              <c:strCache>
                <c:ptCount val="1"/>
                <c:pt idx="0">
                  <c:v>Čistá inflácia</c:v>
                </c:pt>
              </c:strCache>
            </c:strRef>
          </c:tx>
          <c:spPr>
            <a:solidFill>
              <a:srgbClr val="2C9ADC"/>
            </a:solidFill>
            <a:ln>
              <a:noFill/>
            </a:ln>
            <a:effectLst/>
          </c:spPr>
          <c:invertIfNegative val="0"/>
          <c:cat>
            <c:numRef>
              <c:f>inflacia!$Z$1:$AW$1</c:f>
              <c:numCache>
                <c:formatCode>mmm\-yy</c:formatCode>
                <c:ptCount val="2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numCache>
            </c:numRef>
          </c:cat>
          <c:val>
            <c:numRef>
              <c:f>inflacia!$Z$3:$AW$3</c:f>
              <c:numCache>
                <c:formatCode>General</c:formatCode>
                <c:ptCount val="24"/>
                <c:pt idx="0">
                  <c:v>1.0518705037406331</c:v>
                </c:pt>
                <c:pt idx="1">
                  <c:v>1.1524610121688799</c:v>
                </c:pt>
                <c:pt idx="2">
                  <c:v>1.2374527684336054</c:v>
                </c:pt>
                <c:pt idx="3">
                  <c:v>1.6775275305184185</c:v>
                </c:pt>
                <c:pt idx="4">
                  <c:v>1.5944329912315627</c:v>
                </c:pt>
                <c:pt idx="5">
                  <c:v>1.719799655022604</c:v>
                </c:pt>
                <c:pt idx="6">
                  <c:v>1.7331746450406906</c:v>
                </c:pt>
                <c:pt idx="7">
                  <c:v>1.925771779541537</c:v>
                </c:pt>
                <c:pt idx="8">
                  <c:v>1.7625910321499252</c:v>
                </c:pt>
                <c:pt idx="9">
                  <c:v>1.7784646977774292</c:v>
                </c:pt>
                <c:pt idx="10">
                  <c:v>1.5996549065469099</c:v>
                </c:pt>
                <c:pt idx="11">
                  <c:v>1.2934939546388393</c:v>
                </c:pt>
                <c:pt idx="12">
                  <c:v>1.0222161337996063</c:v>
                </c:pt>
                <c:pt idx="13">
                  <c:v>0.95627224314612747</c:v>
                </c:pt>
                <c:pt idx="14">
                  <c:v>1.2397411097079563</c:v>
                </c:pt>
                <c:pt idx="15">
                  <c:v>1.0036535310249906</c:v>
                </c:pt>
                <c:pt idx="16">
                  <c:v>1.1841637203051218</c:v>
                </c:pt>
                <c:pt idx="17">
                  <c:v>1.1369681930967772</c:v>
                </c:pt>
                <c:pt idx="18">
                  <c:v>1.2009056954301165</c:v>
                </c:pt>
                <c:pt idx="19">
                  <c:v>1.0576181091392127</c:v>
                </c:pt>
                <c:pt idx="20">
                  <c:v>1.2945284491439368</c:v>
                </c:pt>
                <c:pt idx="21">
                  <c:v>1.0603006109168973</c:v>
                </c:pt>
                <c:pt idx="22">
                  <c:v>1.287620856386084</c:v>
                </c:pt>
                <c:pt idx="23">
                  <c:v>1.4796647511439807</c:v>
                </c:pt>
              </c:numCache>
            </c:numRef>
          </c:val>
        </c:ser>
        <c:ser>
          <c:idx val="2"/>
          <c:order val="2"/>
          <c:tx>
            <c:strRef>
              <c:f>inflacia!$A$4</c:f>
              <c:strCache>
                <c:ptCount val="1"/>
                <c:pt idx="0">
                  <c:v>Ceny potravín</c:v>
                </c:pt>
              </c:strCache>
            </c:strRef>
          </c:tx>
          <c:spPr>
            <a:solidFill>
              <a:srgbClr val="555555"/>
            </a:solidFill>
            <a:ln>
              <a:noFill/>
            </a:ln>
            <a:effectLst/>
          </c:spPr>
          <c:invertIfNegative val="0"/>
          <c:cat>
            <c:numRef>
              <c:f>inflacia!$Z$1:$AW$1</c:f>
              <c:numCache>
                <c:formatCode>mmm\-yy</c:formatCode>
                <c:ptCount val="2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numCache>
            </c:numRef>
          </c:cat>
          <c:val>
            <c:numRef>
              <c:f>inflacia!$Z$4:$AW$4</c:f>
              <c:numCache>
                <c:formatCode>General</c:formatCode>
                <c:ptCount val="24"/>
                <c:pt idx="0">
                  <c:v>1.1461724318253041</c:v>
                </c:pt>
                <c:pt idx="1">
                  <c:v>0.76862165797722326</c:v>
                </c:pt>
                <c:pt idx="2">
                  <c:v>0.94986656205941933</c:v>
                </c:pt>
                <c:pt idx="3">
                  <c:v>0.95722445766196951</c:v>
                </c:pt>
                <c:pt idx="4">
                  <c:v>0.80329679757795325</c:v>
                </c:pt>
                <c:pt idx="5">
                  <c:v>0.83983909376731891</c:v>
                </c:pt>
                <c:pt idx="6">
                  <c:v>0.61622246493220612</c:v>
                </c:pt>
                <c:pt idx="7">
                  <c:v>0.62813556645890412</c:v>
                </c:pt>
                <c:pt idx="8">
                  <c:v>0.64147071146714774</c:v>
                </c:pt>
                <c:pt idx="9">
                  <c:v>0.40489728120688218</c:v>
                </c:pt>
                <c:pt idx="10">
                  <c:v>0.17280403544677622</c:v>
                </c:pt>
                <c:pt idx="11">
                  <c:v>0.16108770261414121</c:v>
                </c:pt>
                <c:pt idx="12">
                  <c:v>0.13520421084403283</c:v>
                </c:pt>
                <c:pt idx="13">
                  <c:v>0.29037747043469986</c:v>
                </c:pt>
                <c:pt idx="14">
                  <c:v>0.33029150971213328</c:v>
                </c:pt>
                <c:pt idx="15">
                  <c:v>0.49129737386896127</c:v>
                </c:pt>
                <c:pt idx="16">
                  <c:v>0.65365223874880019</c:v>
                </c:pt>
                <c:pt idx="17">
                  <c:v>0.63675839600847894</c:v>
                </c:pt>
                <c:pt idx="18">
                  <c:v>0.80794652038964254</c:v>
                </c:pt>
                <c:pt idx="19">
                  <c:v>0.86495203989130431</c:v>
                </c:pt>
                <c:pt idx="20">
                  <c:v>0.83605267307131081</c:v>
                </c:pt>
                <c:pt idx="21">
                  <c:v>0.80345742723017566</c:v>
                </c:pt>
                <c:pt idx="22">
                  <c:v>0.92222388158696966</c:v>
                </c:pt>
                <c:pt idx="23">
                  <c:v>0.89431648024478883</c:v>
                </c:pt>
              </c:numCache>
            </c:numRef>
          </c:val>
        </c:ser>
        <c:ser>
          <c:idx val="3"/>
          <c:order val="3"/>
          <c:tx>
            <c:strRef>
              <c:f>inflacia!$A$5</c:f>
              <c:strCache>
                <c:ptCount val="1"/>
                <c:pt idx="0">
                  <c:v>Regulované ceny</c:v>
                </c:pt>
              </c:strCache>
            </c:strRef>
          </c:tx>
          <c:spPr>
            <a:solidFill>
              <a:srgbClr val="C6D9F1"/>
            </a:solidFill>
            <a:ln>
              <a:noFill/>
            </a:ln>
            <a:effectLst/>
          </c:spPr>
          <c:invertIfNegative val="0"/>
          <c:cat>
            <c:numRef>
              <c:f>inflacia!$Z$1:$AW$1</c:f>
              <c:numCache>
                <c:formatCode>mmm\-yy</c:formatCode>
                <c:ptCount val="2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numCache>
            </c:numRef>
          </c:cat>
          <c:val>
            <c:numRef>
              <c:f>inflacia!$Z$5:$AW$5</c:f>
              <c:numCache>
                <c:formatCode>General</c:formatCode>
                <c:ptCount val="24"/>
                <c:pt idx="0">
                  <c:v>0.16047392040628458</c:v>
                </c:pt>
                <c:pt idx="1">
                  <c:v>0.15118309197849902</c:v>
                </c:pt>
                <c:pt idx="2">
                  <c:v>0.20026164306077371</c:v>
                </c:pt>
                <c:pt idx="3">
                  <c:v>0.20575146684489415</c:v>
                </c:pt>
                <c:pt idx="4">
                  <c:v>0.20728114784557641</c:v>
                </c:pt>
                <c:pt idx="5">
                  <c:v>0.20493514895475731</c:v>
                </c:pt>
                <c:pt idx="6">
                  <c:v>0.21096323158196464</c:v>
                </c:pt>
                <c:pt idx="7">
                  <c:v>0.24031804494164261</c:v>
                </c:pt>
                <c:pt idx="8">
                  <c:v>0.27716596724852882</c:v>
                </c:pt>
                <c:pt idx="9">
                  <c:v>0.27924918651181274</c:v>
                </c:pt>
                <c:pt idx="10">
                  <c:v>0.29324448560780308</c:v>
                </c:pt>
                <c:pt idx="11">
                  <c:v>0.48072653660883624</c:v>
                </c:pt>
                <c:pt idx="12">
                  <c:v>0.75025466051433376</c:v>
                </c:pt>
                <c:pt idx="13">
                  <c:v>0.75321186946011742</c:v>
                </c:pt>
                <c:pt idx="14">
                  <c:v>0.76163845234152305</c:v>
                </c:pt>
                <c:pt idx="15">
                  <c:v>0.77675668410025456</c:v>
                </c:pt>
                <c:pt idx="16">
                  <c:v>0.77446992510754276</c:v>
                </c:pt>
                <c:pt idx="17">
                  <c:v>0.78171995380152559</c:v>
                </c:pt>
                <c:pt idx="18">
                  <c:v>0.79958730053208393</c:v>
                </c:pt>
                <c:pt idx="19">
                  <c:v>0.86065519220753572</c:v>
                </c:pt>
                <c:pt idx="20">
                  <c:v>0.7391267186450865</c:v>
                </c:pt>
                <c:pt idx="21">
                  <c:v>0.78474531830693284</c:v>
                </c:pt>
                <c:pt idx="22">
                  <c:v>0.73974445876694384</c:v>
                </c:pt>
                <c:pt idx="23">
                  <c:v>0.54287111322844006</c:v>
                </c:pt>
              </c:numCache>
            </c:numRef>
          </c:val>
        </c:ser>
        <c:ser>
          <c:idx val="4"/>
          <c:order val="4"/>
          <c:tx>
            <c:strRef>
              <c:f>inflacia!$A$6</c:f>
              <c:strCache>
                <c:ptCount val="1"/>
                <c:pt idx="0">
                  <c:v>Zmena nepriamych daní</c:v>
                </c:pt>
              </c:strCache>
            </c:strRef>
          </c:tx>
          <c:spPr>
            <a:solidFill>
              <a:schemeClr val="bg1">
                <a:lumMod val="75000"/>
              </a:schemeClr>
            </a:solidFill>
            <a:ln>
              <a:noFill/>
            </a:ln>
            <a:effectLst/>
          </c:spPr>
          <c:invertIfNegative val="0"/>
          <c:cat>
            <c:numRef>
              <c:f>inflacia!$Z$1:$AW$1</c:f>
              <c:numCache>
                <c:formatCode>mmm\-yy</c:formatCode>
                <c:ptCount val="2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numCache>
            </c:numRef>
          </c:cat>
          <c:val>
            <c:numRef>
              <c:f>inflacia!$Z$6:$AW$6</c:f>
              <c:numCache>
                <c:formatCode>General</c:formatCode>
                <c:ptCount val="24"/>
                <c:pt idx="0">
                  <c:v>0.1</c:v>
                </c:pt>
                <c:pt idx="1">
                  <c:v>0</c:v>
                </c:pt>
                <c:pt idx="2">
                  <c:v>0</c:v>
                </c:pt>
                <c:pt idx="3">
                  <c:v>0</c:v>
                </c:pt>
                <c:pt idx="4">
                  <c:v>0</c:v>
                </c:pt>
                <c:pt idx="5">
                  <c:v>0</c:v>
                </c:pt>
                <c:pt idx="6">
                  <c:v>0</c:v>
                </c:pt>
                <c:pt idx="7">
                  <c:v>0</c:v>
                </c:pt>
                <c:pt idx="8">
                  <c:v>0</c:v>
                </c:pt>
                <c:pt idx="9">
                  <c:v>0</c:v>
                </c:pt>
                <c:pt idx="10">
                  <c:v>0</c:v>
                </c:pt>
                <c:pt idx="11">
                  <c:v>0</c:v>
                </c:pt>
                <c:pt idx="12">
                  <c:v>0.20335257826003855</c:v>
                </c:pt>
                <c:pt idx="13">
                  <c:v>0.27903148186684323</c:v>
                </c:pt>
                <c:pt idx="14">
                  <c:v>0.37661582837815544</c:v>
                </c:pt>
                <c:pt idx="15">
                  <c:v>7.1664745530304885E-2</c:v>
                </c:pt>
                <c:pt idx="16">
                  <c:v>7.1664745530304885E-2</c:v>
                </c:pt>
                <c:pt idx="17">
                  <c:v>7.1664745530304885E-2</c:v>
                </c:pt>
                <c:pt idx="18">
                  <c:v>7.1664745530304885E-2</c:v>
                </c:pt>
                <c:pt idx="19">
                  <c:v>7.1664745530304885E-2</c:v>
                </c:pt>
                <c:pt idx="20">
                  <c:v>7.1664745530304885E-2</c:v>
                </c:pt>
                <c:pt idx="21">
                  <c:v>7.1664745530304885E-2</c:v>
                </c:pt>
                <c:pt idx="22">
                  <c:v>7.1664745530304899E-2</c:v>
                </c:pt>
                <c:pt idx="23">
                  <c:v>7.1664745530304899E-2</c:v>
                </c:pt>
              </c:numCache>
            </c:numRef>
          </c:val>
        </c:ser>
        <c:dLbls>
          <c:showLegendKey val="0"/>
          <c:showVal val="0"/>
          <c:showCatName val="0"/>
          <c:showSerName val="0"/>
          <c:showPercent val="0"/>
          <c:showBubbleSize val="0"/>
        </c:dLbls>
        <c:gapWidth val="150"/>
        <c:overlap val="100"/>
        <c:axId val="315748256"/>
        <c:axId val="315750216"/>
      </c:barChart>
      <c:lineChart>
        <c:grouping val="standard"/>
        <c:varyColors val="0"/>
        <c:ser>
          <c:idx val="0"/>
          <c:order val="0"/>
          <c:tx>
            <c:strRef>
              <c:f>inflacia!$A$2</c:f>
              <c:strCache>
                <c:ptCount val="1"/>
                <c:pt idx="0">
                  <c:v>Celková inflácia</c:v>
                </c:pt>
              </c:strCache>
            </c:strRef>
          </c:tx>
          <c:spPr>
            <a:ln w="19050" cap="rnd">
              <a:solidFill>
                <a:schemeClr val="tx1"/>
              </a:solidFill>
              <a:round/>
            </a:ln>
            <a:effectLst/>
          </c:spPr>
          <c:marker>
            <c:symbol val="none"/>
          </c:marker>
          <c:cat>
            <c:numRef>
              <c:f>inflacia!$Z$1:$AW$1</c:f>
              <c:numCache>
                <c:formatCode>mmm\-yy</c:formatCode>
                <c:ptCount val="2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numCache>
            </c:numRef>
          </c:cat>
          <c:val>
            <c:numRef>
              <c:f>inflacia!$Z$2:$AW$2</c:f>
              <c:numCache>
                <c:formatCode>General</c:formatCode>
                <c:ptCount val="24"/>
                <c:pt idx="0">
                  <c:v>2.4585168559722219</c:v>
                </c:pt>
                <c:pt idx="1">
                  <c:v>2.0722657621246023</c:v>
                </c:pt>
                <c:pt idx="2">
                  <c:v>2.3875809735537983</c:v>
                </c:pt>
                <c:pt idx="3">
                  <c:v>2.8405034550252819</c:v>
                </c:pt>
                <c:pt idx="4">
                  <c:v>2.6050109366550922</c:v>
                </c:pt>
                <c:pt idx="5">
                  <c:v>2.7645738977446803</c:v>
                </c:pt>
                <c:pt idx="6">
                  <c:v>2.5603603415548615</c:v>
                </c:pt>
                <c:pt idx="7">
                  <c:v>2.794225390942084</c:v>
                </c:pt>
                <c:pt idx="8">
                  <c:v>2.6812277108656017</c:v>
                </c:pt>
                <c:pt idx="9">
                  <c:v>2.4626111654961242</c:v>
                </c:pt>
                <c:pt idx="10">
                  <c:v>2.065703427601489</c:v>
                </c:pt>
                <c:pt idx="11">
                  <c:v>1.9353081938618169</c:v>
                </c:pt>
                <c:pt idx="12">
                  <c:v>2.1110275834180117</c:v>
                </c:pt>
                <c:pt idx="13">
                  <c:v>2.2788930649077881</c:v>
                </c:pt>
                <c:pt idx="14">
                  <c:v>2.7082869001397682</c:v>
                </c:pt>
                <c:pt idx="15">
                  <c:v>2.3433723345245112</c:v>
                </c:pt>
                <c:pt idx="16">
                  <c:v>2.6839506296917697</c:v>
                </c:pt>
                <c:pt idx="17">
                  <c:v>2.6271112884370864</c:v>
                </c:pt>
                <c:pt idx="18">
                  <c:v>2.8801042618821477</c:v>
                </c:pt>
                <c:pt idx="19">
                  <c:v>2.8548900867683575</c:v>
                </c:pt>
                <c:pt idx="20">
                  <c:v>2.941372586390639</c:v>
                </c:pt>
                <c:pt idx="21">
                  <c:v>2.7201681019843105</c:v>
                </c:pt>
                <c:pt idx="22">
                  <c:v>3.0212539422703024</c:v>
                </c:pt>
                <c:pt idx="23">
                  <c:v>2.9885170901475147</c:v>
                </c:pt>
              </c:numCache>
            </c:numRef>
          </c:val>
          <c:smooth val="0"/>
        </c:ser>
        <c:dLbls>
          <c:showLegendKey val="0"/>
          <c:showVal val="0"/>
          <c:showCatName val="0"/>
          <c:showSerName val="0"/>
          <c:showPercent val="0"/>
          <c:showBubbleSize val="0"/>
        </c:dLbls>
        <c:marker val="1"/>
        <c:smooth val="0"/>
        <c:axId val="315748256"/>
        <c:axId val="315750216"/>
      </c:lineChart>
      <c:dateAx>
        <c:axId val="315748256"/>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315750216"/>
        <c:crosses val="autoZero"/>
        <c:auto val="1"/>
        <c:lblOffset val="100"/>
        <c:baseTimeUnit val="months"/>
      </c:dateAx>
      <c:valAx>
        <c:axId val="315750216"/>
        <c:scaling>
          <c:orientation val="minMax"/>
          <c:max val="4.5"/>
        </c:scaling>
        <c:delete val="0"/>
        <c:axPos val="l"/>
        <c:majorGridlines>
          <c:spPr>
            <a:ln w="9525" cap="flat" cmpd="sng" algn="ctr">
              <a:solidFill>
                <a:schemeClr val="bg1">
                  <a:lumMod val="75000"/>
                </a:schemeClr>
              </a:solidFill>
              <a:prstDash val="dash"/>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315748256"/>
        <c:crosses val="autoZero"/>
        <c:crossBetween val="between"/>
      </c:valAx>
      <c:spPr>
        <a:noFill/>
        <a:ln>
          <a:noFill/>
        </a:ln>
        <a:effectLst/>
      </c:spPr>
    </c:plotArea>
    <c:legend>
      <c:legendPos val="tr"/>
      <c:layout>
        <c:manualLayout>
          <c:xMode val="edge"/>
          <c:yMode val="edge"/>
          <c:x val="6.7632225477629232E-2"/>
          <c:y val="2.0864705344667736E-2"/>
          <c:w val="0.6659876793751297"/>
          <c:h val="0.30026574803149608"/>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9679777191692E-2"/>
          <c:y val="3.2977601100833268E-2"/>
          <c:w val="0.89093095636884034"/>
          <c:h val="0.66618148459597892"/>
        </c:manualLayout>
      </c:layout>
      <c:barChart>
        <c:barDir val="col"/>
        <c:grouping val="stacked"/>
        <c:varyColors val="0"/>
        <c:ser>
          <c:idx val="5"/>
          <c:order val="0"/>
          <c:tx>
            <c:strRef>
              <c:f>'BÚ PB'!$A$3</c:f>
              <c:strCache>
                <c:ptCount val="1"/>
                <c:pt idx="0">
                  <c:v>Tovary</c:v>
                </c:pt>
              </c:strCache>
            </c:strRef>
          </c:tx>
          <c:spPr>
            <a:solidFill>
              <a:srgbClr val="2C9ADC"/>
            </a:solidFill>
          </c:spPr>
          <c:invertIfNegative val="0"/>
          <c:cat>
            <c:numRef>
              <c:f>'BÚ PB'!$E$1:$M$1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'BÚ PB'!$E$3:$M$3</c:f>
              <c:numCache>
                <c:formatCode>0.0</c:formatCode>
                <c:ptCount val="9"/>
                <c:pt idx="0">
                  <c:v>-5.0455588632178146E-2</c:v>
                </c:pt>
                <c:pt idx="1">
                  <c:v>3.4099770022931963</c:v>
                </c:pt>
                <c:pt idx="2">
                  <c:v>3.9103977818274758</c:v>
                </c:pt>
                <c:pt idx="3">
                  <c:v>3.6163613835255668</c:v>
                </c:pt>
                <c:pt idx="4">
                  <c:v>1.0005814649924716</c:v>
                </c:pt>
                <c:pt idx="5">
                  <c:v>1.5474419089750067</c:v>
                </c:pt>
                <c:pt idx="6">
                  <c:v>0.70643103952867337</c:v>
                </c:pt>
                <c:pt idx="7">
                  <c:v>-0.24526685241367555</c:v>
                </c:pt>
                <c:pt idx="8">
                  <c:v>-0.77735903444328813</c:v>
                </c:pt>
              </c:numCache>
            </c:numRef>
          </c:val>
        </c:ser>
        <c:ser>
          <c:idx val="8"/>
          <c:order val="1"/>
          <c:tx>
            <c:strRef>
              <c:f>'BÚ PB'!$A$4</c:f>
              <c:strCache>
                <c:ptCount val="1"/>
                <c:pt idx="0">
                  <c:v>Služby</c:v>
                </c:pt>
              </c:strCache>
            </c:strRef>
          </c:tx>
          <c:spPr>
            <a:solidFill>
              <a:schemeClr val="tx2">
                <a:lumMod val="20000"/>
                <a:lumOff val="80000"/>
              </a:schemeClr>
            </a:solidFill>
            <a:ln>
              <a:noFill/>
            </a:ln>
          </c:spPr>
          <c:invertIfNegative val="0"/>
          <c:cat>
            <c:numRef>
              <c:f>'BÚ PB'!$E$1:$M$1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'BÚ PB'!$E$4:$M$4</c:f>
              <c:numCache>
                <c:formatCode>0.0</c:formatCode>
                <c:ptCount val="9"/>
                <c:pt idx="0">
                  <c:v>-0.37855520396044018</c:v>
                </c:pt>
                <c:pt idx="1">
                  <c:v>0.57345551792743377</c:v>
                </c:pt>
                <c:pt idx="2">
                  <c:v>0.65074837907982785</c:v>
                </c:pt>
                <c:pt idx="3">
                  <c:v>0.23050033036151524</c:v>
                </c:pt>
                <c:pt idx="4">
                  <c:v>0.1603665209314144</c:v>
                </c:pt>
                <c:pt idx="5">
                  <c:v>0.47310359453266032</c:v>
                </c:pt>
                <c:pt idx="6">
                  <c:v>1.044108103887496</c:v>
                </c:pt>
                <c:pt idx="7">
                  <c:v>1.0307710591731194</c:v>
                </c:pt>
                <c:pt idx="8">
                  <c:v>1.081395861972654</c:v>
                </c:pt>
              </c:numCache>
            </c:numRef>
          </c:val>
        </c:ser>
        <c:ser>
          <c:idx val="0"/>
          <c:order val="2"/>
          <c:tx>
            <c:strRef>
              <c:f>'BÚ PB'!$A$5</c:f>
              <c:strCache>
                <c:ptCount val="1"/>
                <c:pt idx="0">
                  <c:v>Primárne výnosy</c:v>
                </c:pt>
              </c:strCache>
            </c:strRef>
          </c:tx>
          <c:invertIfNegative val="0"/>
          <c:cat>
            <c:numRef>
              <c:f>'BÚ PB'!$E$1:$M$1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'BÚ PB'!$E$5:$M$5</c:f>
              <c:numCache>
                <c:formatCode>0.0</c:formatCode>
                <c:ptCount val="9"/>
                <c:pt idx="0">
                  <c:v>-3.3778450385139234</c:v>
                </c:pt>
                <c:pt idx="1">
                  <c:v>-1.6463534365338719</c:v>
                </c:pt>
                <c:pt idx="2">
                  <c:v>-0.66898842004702808</c:v>
                </c:pt>
                <c:pt idx="3">
                  <c:v>-0.98391214702251917</c:v>
                </c:pt>
                <c:pt idx="4">
                  <c:v>-1.7130765567195998</c:v>
                </c:pt>
                <c:pt idx="5">
                  <c:v>-3.0771260052301801</c:v>
                </c:pt>
                <c:pt idx="6">
                  <c:v>-2.1456530490582444</c:v>
                </c:pt>
                <c:pt idx="7">
                  <c:v>-2.0449268259621083</c:v>
                </c:pt>
                <c:pt idx="8">
                  <c:v>-2.1375962007218581</c:v>
                </c:pt>
              </c:numCache>
            </c:numRef>
          </c:val>
        </c:ser>
        <c:ser>
          <c:idx val="1"/>
          <c:order val="3"/>
          <c:tx>
            <c:strRef>
              <c:f>'BÚ PB'!$A$6</c:f>
              <c:strCache>
                <c:ptCount val="1"/>
                <c:pt idx="0">
                  <c:v>Sekundárne výnosy</c:v>
                </c:pt>
              </c:strCache>
            </c:strRef>
          </c:tx>
          <c:invertIfNegative val="0"/>
          <c:cat>
            <c:numRef>
              <c:f>'BÚ PB'!$E$1:$M$1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'BÚ PB'!$E$6:$M$6</c:f>
              <c:numCache>
                <c:formatCode>0.0</c:formatCode>
                <c:ptCount val="9"/>
                <c:pt idx="0">
                  <c:v>-1.1036557047609388</c:v>
                </c:pt>
                <c:pt idx="1">
                  <c:v>-1.4066845505212917</c:v>
                </c:pt>
                <c:pt idx="2">
                  <c:v>-2.0375063618330223</c:v>
                </c:pt>
                <c:pt idx="3">
                  <c:v>-1.7215701204639289</c:v>
                </c:pt>
                <c:pt idx="4">
                  <c:v>-1.5402071044784638</c:v>
                </c:pt>
                <c:pt idx="5">
                  <c:v>-1.684325398463363</c:v>
                </c:pt>
                <c:pt idx="6">
                  <c:v>-1.519694172788068</c:v>
                </c:pt>
                <c:pt idx="7">
                  <c:v>-1.3826200546380685</c:v>
                </c:pt>
                <c:pt idx="8">
                  <c:v>-1.1120543935503269</c:v>
                </c:pt>
              </c:numCache>
            </c:numRef>
          </c:val>
        </c:ser>
        <c:dLbls>
          <c:showLegendKey val="0"/>
          <c:showVal val="0"/>
          <c:showCatName val="0"/>
          <c:showSerName val="0"/>
          <c:showPercent val="0"/>
          <c:showBubbleSize val="0"/>
        </c:dLbls>
        <c:gapWidth val="150"/>
        <c:overlap val="100"/>
        <c:axId val="315750608"/>
        <c:axId val="131136504"/>
      </c:barChart>
      <c:lineChart>
        <c:grouping val="standard"/>
        <c:varyColors val="0"/>
        <c:ser>
          <c:idx val="3"/>
          <c:order val="4"/>
          <c:tx>
            <c:strRef>
              <c:f>'BÚ PB'!$A$2</c:f>
              <c:strCache>
                <c:ptCount val="1"/>
                <c:pt idx="0">
                  <c:v>BÚ PB</c:v>
                </c:pt>
              </c:strCache>
            </c:strRef>
          </c:tx>
          <c:spPr>
            <a:ln w="19050">
              <a:solidFill>
                <a:sysClr val="windowText" lastClr="000000"/>
              </a:solidFill>
            </a:ln>
          </c:spPr>
          <c:marker>
            <c:symbol val="none"/>
          </c:marker>
          <c:val>
            <c:numRef>
              <c:f>'BÚ PB'!$E$2:$M$2</c:f>
              <c:numCache>
                <c:formatCode>0.0</c:formatCode>
                <c:ptCount val="9"/>
                <c:pt idx="0">
                  <c:v>-4.9105115358674807</c:v>
                </c:pt>
                <c:pt idx="1">
                  <c:v>0.9303945331654665</c:v>
                </c:pt>
                <c:pt idx="2">
                  <c:v>1.8546513790272532</c:v>
                </c:pt>
                <c:pt idx="3">
                  <c:v>1.1413794464006339</c:v>
                </c:pt>
                <c:pt idx="4">
                  <c:v>-2.0923356752741773</c:v>
                </c:pt>
                <c:pt idx="5">
                  <c:v>-2.7409059001858758</c:v>
                </c:pt>
                <c:pt idx="6">
                  <c:v>-1.9148080784301431</c:v>
                </c:pt>
                <c:pt idx="7">
                  <c:v>-2.642042673840733</c:v>
                </c:pt>
                <c:pt idx="8">
                  <c:v>-2.9456137667428193</c:v>
                </c:pt>
              </c:numCache>
            </c:numRef>
          </c:val>
          <c:smooth val="0"/>
        </c:ser>
        <c:dLbls>
          <c:showLegendKey val="0"/>
          <c:showVal val="0"/>
          <c:showCatName val="0"/>
          <c:showSerName val="0"/>
          <c:showPercent val="0"/>
          <c:showBubbleSize val="0"/>
        </c:dLbls>
        <c:marker val="1"/>
        <c:smooth val="0"/>
        <c:axId val="315750608"/>
        <c:axId val="131136504"/>
      </c:lineChart>
      <c:catAx>
        <c:axId val="315750608"/>
        <c:scaling>
          <c:orientation val="minMax"/>
        </c:scaling>
        <c:delete val="0"/>
        <c:axPos val="b"/>
        <c:numFmt formatCode="General" sourceLinked="1"/>
        <c:majorTickMark val="out"/>
        <c:minorTickMark val="none"/>
        <c:tickLblPos val="low"/>
        <c:txPr>
          <a:bodyPr/>
          <a:lstStyle/>
          <a:p>
            <a:pPr>
              <a:defRPr sz="900"/>
            </a:pPr>
            <a:endParaRPr lang="sk-SK"/>
          </a:p>
        </c:txPr>
        <c:crossAx val="131136504"/>
        <c:crosses val="autoZero"/>
        <c:auto val="1"/>
        <c:lblAlgn val="ctr"/>
        <c:lblOffset val="100"/>
        <c:noMultiLvlLbl val="0"/>
      </c:catAx>
      <c:valAx>
        <c:axId val="131136504"/>
        <c:scaling>
          <c:orientation val="minMax"/>
          <c:max val="6"/>
          <c:min val="-6"/>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900"/>
            </a:pPr>
            <a:endParaRPr lang="sk-SK"/>
          </a:p>
        </c:txPr>
        <c:crossAx val="315750608"/>
        <c:crosses val="autoZero"/>
        <c:crossBetween val="between"/>
        <c:majorUnit val="2"/>
      </c:valAx>
    </c:plotArea>
    <c:legend>
      <c:legendPos val="b"/>
      <c:layout>
        <c:manualLayout>
          <c:xMode val="edge"/>
          <c:yMode val="edge"/>
          <c:x val="0"/>
          <c:y val="0.8160700585503734"/>
          <c:w val="0.97988887206406916"/>
          <c:h val="0.17959569957601451"/>
        </c:manualLayout>
      </c:layout>
      <c:overlay val="0"/>
      <c:txPr>
        <a:bodyPr/>
        <a:lstStyle/>
        <a:p>
          <a:pPr>
            <a:defRPr sz="900"/>
          </a:pPr>
          <a:endParaRPr lang="sk-SK"/>
        </a:p>
      </c:txPr>
    </c:legend>
    <c:plotVisOnly val="1"/>
    <c:dispBlanksAs val="gap"/>
    <c:showDLblsOverMax val="0"/>
  </c:chart>
  <c:spPr>
    <a:ln>
      <a:noFill/>
    </a:ln>
  </c:spPr>
  <c:txPr>
    <a:bodyPr/>
    <a:lstStyle/>
    <a:p>
      <a:pPr>
        <a:defRPr>
          <a:latin typeface="Arial Narrow" pitchFamily="34" charset="0"/>
        </a:defRPr>
      </a:pPr>
      <a:endParaRPr lang="sk-SK"/>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C6408-FDCB-4DE4-8B02-E89921CE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110</Pages>
  <Words>43497</Words>
  <Characters>247934</Characters>
  <Application>Microsoft Office Word</Application>
  <DocSecurity>0</DocSecurity>
  <Lines>2066</Lines>
  <Paragraphs>581</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290850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Suttova Jana</dc:creator>
  <cp:keywords/>
  <dc:description/>
  <cp:lastModifiedBy>Ivanek Peter</cp:lastModifiedBy>
  <cp:revision>380</cp:revision>
  <cp:lastPrinted>2020-04-30T05:55:00Z</cp:lastPrinted>
  <dcterms:created xsi:type="dcterms:W3CDTF">2020-04-16T12:19:00Z</dcterms:created>
  <dcterms:modified xsi:type="dcterms:W3CDTF">2020-04-30T06:01:00Z</dcterms:modified>
</cp:coreProperties>
</file>