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FC63F0" w:rsidRDefault="007D5748" w:rsidP="00FC63F0">
      <w:pPr>
        <w:spacing w:after="0" w:line="240" w:lineRule="auto"/>
        <w:jc w:val="center"/>
        <w:rPr>
          <w:rFonts w:ascii="Times New Roman" w:hAnsi="Times New Roman"/>
          <w:b/>
          <w:bCs/>
          <w:lang w:eastAsia="sk-SK"/>
        </w:rPr>
      </w:pPr>
      <w:r w:rsidRPr="00FC63F0">
        <w:rPr>
          <w:rFonts w:ascii="Times New Roman" w:hAnsi="Times New Roman"/>
          <w:b/>
          <w:bCs/>
          <w:lang w:eastAsia="sk-SK"/>
        </w:rPr>
        <w:t>Analýza vplyvov na rozpočet verejnej správy,</w:t>
      </w:r>
    </w:p>
    <w:p w:rsidR="007D5748" w:rsidRPr="00FC63F0" w:rsidRDefault="007D5748" w:rsidP="00FC63F0">
      <w:pPr>
        <w:spacing w:after="0" w:line="240" w:lineRule="auto"/>
        <w:jc w:val="center"/>
        <w:rPr>
          <w:rFonts w:ascii="Times New Roman" w:hAnsi="Times New Roman"/>
          <w:b/>
          <w:bCs/>
          <w:lang w:eastAsia="sk-SK"/>
        </w:rPr>
      </w:pPr>
      <w:r w:rsidRPr="00FC63F0">
        <w:rPr>
          <w:rFonts w:ascii="Times New Roman" w:hAnsi="Times New Roman"/>
          <w:b/>
          <w:bCs/>
          <w:lang w:eastAsia="sk-SK"/>
        </w:rPr>
        <w:t>na zamestnanosť vo verejnej správe a financovanie návrhu</w:t>
      </w:r>
    </w:p>
    <w:p w:rsidR="00E963A3" w:rsidRPr="00FC63F0" w:rsidRDefault="00E963A3" w:rsidP="00FC63F0">
      <w:pPr>
        <w:spacing w:after="0" w:line="240" w:lineRule="auto"/>
        <w:jc w:val="both"/>
        <w:rPr>
          <w:rFonts w:ascii="Times New Roman" w:hAnsi="Times New Roman"/>
          <w:b/>
          <w:bCs/>
          <w:lang w:eastAsia="sk-SK"/>
        </w:rPr>
      </w:pPr>
    </w:p>
    <w:p w:rsidR="0051724E" w:rsidRPr="00FC63F0" w:rsidRDefault="00E963A3"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2.1 Zhrnutie vplyvov na rozpočet verejnej správy v</w:t>
      </w:r>
      <w:r w:rsidR="0051724E" w:rsidRPr="00FC63F0">
        <w:rPr>
          <w:rFonts w:ascii="Times New Roman" w:hAnsi="Times New Roman"/>
          <w:b/>
          <w:bCs/>
          <w:lang w:eastAsia="sk-SK"/>
        </w:rPr>
        <w:t> </w:t>
      </w:r>
      <w:r w:rsidRPr="00FC63F0">
        <w:rPr>
          <w:rFonts w:ascii="Times New Roman" w:hAnsi="Times New Roman"/>
          <w:b/>
          <w:bCs/>
          <w:lang w:eastAsia="sk-SK"/>
        </w:rPr>
        <w:t>návrhu</w:t>
      </w:r>
    </w:p>
    <w:p w:rsidR="003E196D" w:rsidRPr="00FC63F0" w:rsidRDefault="003E196D" w:rsidP="00FC63F0">
      <w:pPr>
        <w:spacing w:after="0" w:line="240" w:lineRule="auto"/>
        <w:jc w:val="both"/>
        <w:rPr>
          <w:rFonts w:ascii="Times New Roman" w:hAnsi="Times New Roman"/>
          <w:b/>
          <w:bCs/>
          <w:lang w:eastAsia="sk-SK"/>
        </w:rPr>
      </w:pPr>
    </w:p>
    <w:p w:rsidR="00103E05" w:rsidRDefault="003E196D" w:rsidP="001C5328">
      <w:pPr>
        <w:spacing w:after="0" w:line="240" w:lineRule="auto"/>
        <w:jc w:val="both"/>
        <w:rPr>
          <w:rFonts w:ascii="Times New Roman" w:hAnsi="Times New Roman"/>
          <w:lang w:eastAsia="sk-SK"/>
        </w:rPr>
      </w:pPr>
      <w:r w:rsidRPr="00FC63F0">
        <w:rPr>
          <w:rFonts w:ascii="Times New Roman" w:hAnsi="Times New Roman"/>
          <w:lang w:eastAsia="sk-SK"/>
        </w:rPr>
        <w:t>Tabuľka č. 1</w:t>
      </w:r>
    </w:p>
    <w:tbl>
      <w:tblPr>
        <w:tblW w:w="10069" w:type="dxa"/>
        <w:tblInd w:w="-10" w:type="dxa"/>
        <w:tblCellMar>
          <w:left w:w="70" w:type="dxa"/>
          <w:right w:w="70" w:type="dxa"/>
        </w:tblCellMar>
        <w:tblLook w:val="04A0" w:firstRow="1" w:lastRow="0" w:firstColumn="1" w:lastColumn="0" w:noHBand="0" w:noVBand="1"/>
      </w:tblPr>
      <w:tblGrid>
        <w:gridCol w:w="4584"/>
        <w:gridCol w:w="1937"/>
        <w:gridCol w:w="1134"/>
        <w:gridCol w:w="1276"/>
        <w:gridCol w:w="1138"/>
      </w:tblGrid>
      <w:tr w:rsidR="00D64084" w:rsidRPr="00D64084" w:rsidTr="00D64084">
        <w:trPr>
          <w:trHeight w:val="757"/>
        </w:trPr>
        <w:tc>
          <w:tcPr>
            <w:tcW w:w="45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Vplyvy na rozpočet verejnej správy</w:t>
            </w:r>
          </w:p>
        </w:tc>
        <w:tc>
          <w:tcPr>
            <w:tcW w:w="5485" w:type="dxa"/>
            <w:gridSpan w:val="4"/>
            <w:tcBorders>
              <w:top w:val="single" w:sz="8" w:space="0" w:color="auto"/>
              <w:left w:val="nil"/>
              <w:bottom w:val="single" w:sz="8" w:space="0" w:color="auto"/>
              <w:right w:val="single" w:sz="8" w:space="0" w:color="000000"/>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 xml:space="preserve">Vplyv na rozpočet verejnej správy v eurách </w:t>
            </w:r>
          </w:p>
        </w:tc>
      </w:tr>
      <w:tr w:rsidR="00D64084" w:rsidRPr="00D64084" w:rsidTr="00D64084">
        <w:trPr>
          <w:trHeight w:val="300"/>
        </w:trPr>
        <w:tc>
          <w:tcPr>
            <w:tcW w:w="4584" w:type="dxa"/>
            <w:vMerge/>
            <w:tcBorders>
              <w:top w:val="single" w:sz="8" w:space="0" w:color="auto"/>
              <w:left w:val="single" w:sz="8" w:space="0" w:color="auto"/>
              <w:bottom w:val="single" w:sz="8" w:space="0" w:color="000000"/>
              <w:right w:val="single" w:sz="8" w:space="0" w:color="auto"/>
            </w:tcBorders>
            <w:vAlign w:val="center"/>
            <w:hideMark/>
          </w:tcPr>
          <w:p w:rsidR="00D64084" w:rsidRPr="00D64084" w:rsidRDefault="00D64084" w:rsidP="00D64084">
            <w:pPr>
              <w:spacing w:after="0" w:line="240" w:lineRule="auto"/>
              <w:rPr>
                <w:rFonts w:ascii="Times New Roman" w:hAnsi="Times New Roman"/>
                <w:b/>
                <w:bCs/>
                <w:color w:val="000000"/>
                <w:lang w:eastAsia="sk-SK"/>
              </w:rPr>
            </w:pPr>
          </w:p>
        </w:tc>
        <w:tc>
          <w:tcPr>
            <w:tcW w:w="5485" w:type="dxa"/>
            <w:gridSpan w:val="4"/>
            <w:tcBorders>
              <w:top w:val="single" w:sz="8" w:space="0" w:color="auto"/>
              <w:left w:val="nil"/>
              <w:bottom w:val="single" w:sz="8" w:space="0" w:color="auto"/>
              <w:right w:val="single" w:sz="8" w:space="0" w:color="000000"/>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 </w:t>
            </w:r>
          </w:p>
        </w:tc>
      </w:tr>
      <w:tr w:rsidR="00D64084" w:rsidRPr="00D64084" w:rsidTr="00D64084">
        <w:trPr>
          <w:trHeight w:val="300"/>
        </w:trPr>
        <w:tc>
          <w:tcPr>
            <w:tcW w:w="4584" w:type="dxa"/>
            <w:vMerge/>
            <w:tcBorders>
              <w:top w:val="single" w:sz="8" w:space="0" w:color="auto"/>
              <w:left w:val="single" w:sz="8" w:space="0" w:color="auto"/>
              <w:bottom w:val="single" w:sz="8" w:space="0" w:color="000000"/>
              <w:right w:val="single" w:sz="8" w:space="0" w:color="auto"/>
            </w:tcBorders>
            <w:vAlign w:val="center"/>
            <w:hideMark/>
          </w:tcPr>
          <w:p w:rsidR="00D64084" w:rsidRPr="00D64084" w:rsidRDefault="00D64084" w:rsidP="00D64084">
            <w:pPr>
              <w:spacing w:after="0" w:line="240" w:lineRule="auto"/>
              <w:rPr>
                <w:rFonts w:ascii="Times New Roman" w:hAnsi="Times New Roman"/>
                <w:b/>
                <w:bCs/>
                <w:color w:val="000000"/>
                <w:lang w:eastAsia="sk-SK"/>
              </w:rPr>
            </w:pPr>
          </w:p>
        </w:tc>
        <w:tc>
          <w:tcPr>
            <w:tcW w:w="1937" w:type="dxa"/>
            <w:tcBorders>
              <w:top w:val="nil"/>
              <w:left w:val="nil"/>
              <w:bottom w:val="single" w:sz="8" w:space="0" w:color="auto"/>
              <w:right w:val="single" w:sz="8" w:space="0" w:color="auto"/>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2 020</w:t>
            </w:r>
          </w:p>
        </w:tc>
        <w:tc>
          <w:tcPr>
            <w:tcW w:w="1134" w:type="dxa"/>
            <w:tcBorders>
              <w:top w:val="nil"/>
              <w:left w:val="nil"/>
              <w:bottom w:val="single" w:sz="8" w:space="0" w:color="auto"/>
              <w:right w:val="single" w:sz="8" w:space="0" w:color="auto"/>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2 021</w:t>
            </w:r>
          </w:p>
        </w:tc>
        <w:tc>
          <w:tcPr>
            <w:tcW w:w="1276" w:type="dxa"/>
            <w:tcBorders>
              <w:top w:val="nil"/>
              <w:left w:val="nil"/>
              <w:bottom w:val="single" w:sz="8" w:space="0" w:color="auto"/>
              <w:right w:val="single" w:sz="8" w:space="0" w:color="auto"/>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2 022</w:t>
            </w:r>
          </w:p>
        </w:tc>
        <w:tc>
          <w:tcPr>
            <w:tcW w:w="1138" w:type="dxa"/>
            <w:tcBorders>
              <w:top w:val="nil"/>
              <w:left w:val="nil"/>
              <w:bottom w:val="single" w:sz="8" w:space="0" w:color="auto"/>
              <w:right w:val="single" w:sz="8" w:space="0" w:color="auto"/>
            </w:tcBorders>
            <w:shd w:val="clear" w:color="000000" w:fill="BFBFBF"/>
            <w:vAlign w:val="center"/>
            <w:hideMark/>
          </w:tcPr>
          <w:p w:rsidR="00D64084" w:rsidRPr="00D64084" w:rsidRDefault="00D64084" w:rsidP="00D64084">
            <w:pPr>
              <w:spacing w:after="0" w:line="240" w:lineRule="auto"/>
              <w:jc w:val="center"/>
              <w:rPr>
                <w:rFonts w:ascii="Times New Roman" w:hAnsi="Times New Roman"/>
                <w:b/>
                <w:bCs/>
                <w:color w:val="000000"/>
                <w:lang w:eastAsia="sk-SK"/>
              </w:rPr>
            </w:pPr>
            <w:r w:rsidRPr="00D64084">
              <w:rPr>
                <w:rFonts w:ascii="Times New Roman" w:hAnsi="Times New Roman"/>
                <w:b/>
                <w:bCs/>
                <w:color w:val="000000"/>
                <w:lang w:eastAsia="sk-SK"/>
              </w:rPr>
              <w:t>2 023</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Príjmy verejnej správy celkom</w:t>
            </w:r>
          </w:p>
        </w:tc>
        <w:tc>
          <w:tcPr>
            <w:tcW w:w="1937" w:type="dxa"/>
            <w:tcBorders>
              <w:top w:val="nil"/>
              <w:left w:val="nil"/>
              <w:bottom w:val="single" w:sz="8" w:space="0" w:color="auto"/>
              <w:right w:val="single" w:sz="8" w:space="0" w:color="auto"/>
            </w:tcBorders>
            <w:shd w:val="clear" w:color="000000" w:fill="C0C0C0"/>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4" w:type="dxa"/>
            <w:tcBorders>
              <w:top w:val="nil"/>
              <w:left w:val="nil"/>
              <w:bottom w:val="single" w:sz="8" w:space="0" w:color="auto"/>
              <w:right w:val="single" w:sz="8" w:space="0" w:color="auto"/>
            </w:tcBorders>
            <w:shd w:val="clear" w:color="000000" w:fill="C0C0C0"/>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C0C0C0"/>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8" w:type="dxa"/>
            <w:tcBorders>
              <w:top w:val="nil"/>
              <w:left w:val="nil"/>
              <w:bottom w:val="single" w:sz="8" w:space="0" w:color="auto"/>
              <w:right w:val="single" w:sz="8" w:space="0" w:color="auto"/>
            </w:tcBorders>
            <w:shd w:val="clear" w:color="000000" w:fill="C0C0C0"/>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color w:val="000000"/>
                <w:lang w:eastAsia="sk-SK"/>
              </w:rPr>
            </w:pPr>
            <w:r w:rsidRPr="00D64084">
              <w:rPr>
                <w:rFonts w:ascii="Times New Roman" w:hAnsi="Times New Roman"/>
                <w:color w:val="000000"/>
                <w:lang w:eastAsia="sk-SK"/>
              </w:rPr>
              <w:t>v tom: za každý subjekt verejnej správy zvlášť</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xml:space="preserve">z toho:  </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r>
      <w:tr w:rsidR="00D64084" w:rsidRPr="00D64084" w:rsidTr="00BD5AAA">
        <w:trPr>
          <w:trHeight w:val="264"/>
        </w:trPr>
        <w:tc>
          <w:tcPr>
            <w:tcW w:w="4584" w:type="dxa"/>
            <w:tcBorders>
              <w:top w:val="nil"/>
              <w:left w:val="single" w:sz="8" w:space="0" w:color="auto"/>
              <w:bottom w:val="single" w:sz="8" w:space="0" w:color="auto"/>
              <w:right w:val="single" w:sz="8" w:space="0" w:color="auto"/>
            </w:tcBorders>
            <w:shd w:val="clear" w:color="auto" w:fill="auto"/>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xml:space="preserve">- vplyv na ŠR </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obce</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vyššie územné celky</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Sociálnu poisťovňu</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verejné zdravotné poistenie</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Výdavky verejnej správy celkom</w:t>
            </w:r>
          </w:p>
        </w:tc>
        <w:tc>
          <w:tcPr>
            <w:tcW w:w="1937" w:type="dxa"/>
            <w:tcBorders>
              <w:top w:val="nil"/>
              <w:left w:val="nil"/>
              <w:bottom w:val="single" w:sz="8" w:space="0" w:color="auto"/>
              <w:right w:val="single" w:sz="8" w:space="0" w:color="auto"/>
            </w:tcBorders>
            <w:shd w:val="clear" w:color="000000" w:fill="C0C0C0"/>
            <w:noWrap/>
            <w:vAlign w:val="center"/>
            <w:hideMark/>
          </w:tcPr>
          <w:p w:rsidR="00D64084" w:rsidRPr="00D64084" w:rsidRDefault="00540B4A" w:rsidP="00D64084">
            <w:pPr>
              <w:spacing w:after="0" w:line="240" w:lineRule="auto"/>
              <w:jc w:val="right"/>
              <w:rPr>
                <w:rFonts w:ascii="Times New Roman" w:hAnsi="Times New Roman"/>
                <w:b/>
                <w:bCs/>
                <w:color w:val="000000"/>
                <w:lang w:eastAsia="sk-SK"/>
              </w:rPr>
            </w:pPr>
            <w:r>
              <w:rPr>
                <w:rFonts w:ascii="Times New Roman" w:hAnsi="Times New Roman"/>
                <w:b/>
                <w:bCs/>
                <w:color w:val="000000"/>
                <w:lang w:eastAsia="sk-SK"/>
              </w:rPr>
              <w:t>0</w:t>
            </w:r>
          </w:p>
        </w:tc>
        <w:tc>
          <w:tcPr>
            <w:tcW w:w="1134"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8"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color w:val="000000"/>
                <w:lang w:eastAsia="sk-SK"/>
              </w:rPr>
            </w:pPr>
            <w:r w:rsidRPr="00D64084">
              <w:rPr>
                <w:rFonts w:ascii="Times New Roman" w:hAnsi="Times New Roman"/>
                <w:color w:val="000000"/>
                <w:lang w:eastAsia="sk-SK"/>
              </w:rPr>
              <w:t>v tom: za každý subjekt verejnej správy / program zvlášť</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xml:space="preserve">z toho: </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 </w:t>
            </w:r>
          </w:p>
        </w:tc>
      </w:tr>
      <w:tr w:rsidR="00D64084" w:rsidRPr="00D64084" w:rsidTr="00D64084">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0343A7">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xml:space="preserve">- vplyv na ŠR </w:t>
            </w:r>
          </w:p>
        </w:tc>
        <w:tc>
          <w:tcPr>
            <w:tcW w:w="1937" w:type="dxa"/>
            <w:tcBorders>
              <w:top w:val="nil"/>
              <w:left w:val="nil"/>
              <w:bottom w:val="single" w:sz="8" w:space="0" w:color="auto"/>
              <w:right w:val="single" w:sz="8" w:space="0" w:color="auto"/>
            </w:tcBorders>
            <w:shd w:val="clear" w:color="auto" w:fill="auto"/>
            <w:noWrap/>
            <w:vAlign w:val="center"/>
            <w:hideMark/>
          </w:tcPr>
          <w:p w:rsidR="00D64084" w:rsidRPr="00D64084" w:rsidRDefault="000343A7" w:rsidP="00776FCA">
            <w:pPr>
              <w:spacing w:after="0" w:line="240" w:lineRule="auto"/>
              <w:jc w:val="right"/>
              <w:rPr>
                <w:rFonts w:ascii="Times New Roman" w:hAnsi="Times New Roman"/>
                <w:color w:val="000000"/>
                <w:lang w:eastAsia="sk-SK"/>
              </w:rPr>
            </w:pPr>
            <w:r>
              <w:rPr>
                <w:rFonts w:ascii="Times New Roman" w:hAnsi="Times New Roman"/>
                <w:color w:val="000000"/>
                <w:lang w:eastAsia="sk-SK"/>
              </w:rPr>
              <w:t>- 1 </w:t>
            </w:r>
            <w:r w:rsidR="00776FCA">
              <w:rPr>
                <w:rFonts w:ascii="Times New Roman" w:hAnsi="Times New Roman"/>
                <w:color w:val="000000"/>
                <w:lang w:eastAsia="sk-SK"/>
              </w:rPr>
              <w:t>30</w:t>
            </w:r>
            <w:bookmarkStart w:id="0" w:name="_GoBack"/>
            <w:bookmarkEnd w:id="0"/>
            <w:r>
              <w:rPr>
                <w:rFonts w:ascii="Times New Roman" w:hAnsi="Times New Roman"/>
                <w:color w:val="000000"/>
                <w:lang w:eastAsia="sk-SK"/>
              </w:rPr>
              <w:t>0 000</w:t>
            </w:r>
            <w:r w:rsidR="00D64084" w:rsidRPr="00D64084">
              <w:rPr>
                <w:rFonts w:ascii="Times New Roman" w:hAnsi="Times New Roman"/>
                <w:color w:val="00000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xml:space="preserve">    EÚ zdroje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xml:space="preserve">    spolufinancovanie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obce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vyššie územné celky</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 xml:space="preserve">Vplyv na počet zamestnancov </w:t>
            </w:r>
          </w:p>
        </w:tc>
        <w:tc>
          <w:tcPr>
            <w:tcW w:w="1937" w:type="dxa"/>
            <w:tcBorders>
              <w:top w:val="nil"/>
              <w:left w:val="nil"/>
              <w:bottom w:val="single" w:sz="8" w:space="0" w:color="auto"/>
              <w:right w:val="single" w:sz="8" w:space="0" w:color="auto"/>
            </w:tcBorders>
            <w:shd w:val="clear" w:color="000000" w:fill="BFBFBF"/>
            <w:noWrap/>
            <w:vAlign w:val="center"/>
          </w:tcPr>
          <w:p w:rsidR="00D64084" w:rsidRPr="00D64084" w:rsidRDefault="00D64084" w:rsidP="00D64084">
            <w:pPr>
              <w:spacing w:after="0" w:line="240" w:lineRule="auto"/>
              <w:jc w:val="right"/>
              <w:rPr>
                <w:rFonts w:ascii="Times New Roman" w:hAnsi="Times New Roman"/>
                <w:b/>
                <w:bCs/>
                <w:color w:val="000000"/>
                <w:lang w:eastAsia="sk-SK"/>
              </w:rPr>
            </w:pPr>
          </w:p>
        </w:tc>
        <w:tc>
          <w:tcPr>
            <w:tcW w:w="1134"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8"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ŠR</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obce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vyššie územné celky</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Sociálnu poisťovňu</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Vplyv na mzdové výdavky</w:t>
            </w:r>
          </w:p>
        </w:tc>
        <w:tc>
          <w:tcPr>
            <w:tcW w:w="1937" w:type="dxa"/>
            <w:tcBorders>
              <w:top w:val="nil"/>
              <w:left w:val="nil"/>
              <w:bottom w:val="single" w:sz="8" w:space="0" w:color="auto"/>
              <w:right w:val="single" w:sz="8" w:space="0" w:color="auto"/>
            </w:tcBorders>
            <w:shd w:val="clear" w:color="000000" w:fill="BFBFBF"/>
            <w:noWrap/>
            <w:vAlign w:val="center"/>
          </w:tcPr>
          <w:p w:rsidR="00D64084" w:rsidRPr="00D64084" w:rsidRDefault="00D64084" w:rsidP="00D64084">
            <w:pPr>
              <w:spacing w:after="0" w:line="240" w:lineRule="auto"/>
              <w:jc w:val="right"/>
              <w:rPr>
                <w:rFonts w:ascii="Times New Roman" w:hAnsi="Times New Roman"/>
                <w:b/>
                <w:bCs/>
                <w:color w:val="000000"/>
                <w:lang w:eastAsia="sk-SK"/>
              </w:rPr>
            </w:pPr>
          </w:p>
        </w:tc>
        <w:tc>
          <w:tcPr>
            <w:tcW w:w="1134"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8"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ŠR</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obce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 vplyv na vyššie územné celky</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Financovanie zabezpečené v rozpočte</w:t>
            </w:r>
          </w:p>
        </w:tc>
        <w:tc>
          <w:tcPr>
            <w:tcW w:w="1937" w:type="dxa"/>
            <w:tcBorders>
              <w:top w:val="nil"/>
              <w:left w:val="nil"/>
              <w:bottom w:val="single" w:sz="8" w:space="0" w:color="auto"/>
              <w:right w:val="single" w:sz="8" w:space="0" w:color="auto"/>
            </w:tcBorders>
            <w:shd w:val="clear" w:color="000000" w:fill="C0C0C0"/>
            <w:noWrap/>
            <w:vAlign w:val="center"/>
          </w:tcPr>
          <w:p w:rsidR="00D64084" w:rsidRPr="00D64084" w:rsidRDefault="00D64084" w:rsidP="00D64084">
            <w:pPr>
              <w:spacing w:after="0" w:line="240" w:lineRule="auto"/>
              <w:jc w:val="right"/>
              <w:rPr>
                <w:rFonts w:ascii="Times New Roman" w:hAnsi="Times New Roman"/>
                <w:b/>
                <w:bCs/>
                <w:color w:val="000000"/>
                <w:lang w:eastAsia="sk-SK"/>
              </w:rPr>
            </w:pPr>
          </w:p>
        </w:tc>
        <w:tc>
          <w:tcPr>
            <w:tcW w:w="1134"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 </w:t>
            </w:r>
          </w:p>
        </w:tc>
        <w:tc>
          <w:tcPr>
            <w:tcW w:w="1138"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 </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b/>
                <w:bCs/>
                <w:i/>
                <w:iCs/>
                <w:color w:val="000000"/>
                <w:lang w:eastAsia="sk-SK"/>
              </w:rPr>
            </w:pPr>
            <w:r w:rsidRPr="00D64084">
              <w:rPr>
                <w:rFonts w:ascii="Times New Roman" w:hAnsi="Times New Roman"/>
                <w:b/>
                <w:bCs/>
                <w:i/>
                <w:iCs/>
                <w:color w:val="000000"/>
                <w:lang w:eastAsia="sk-SK"/>
              </w:rPr>
              <w:t>z toho:</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BD5AAA">
            <w:pPr>
              <w:spacing w:after="0" w:line="240" w:lineRule="auto"/>
              <w:rPr>
                <w:rFonts w:ascii="Times New Roman" w:hAnsi="Times New Roman"/>
                <w:color w:val="000000"/>
                <w:lang w:eastAsia="sk-SK"/>
              </w:rPr>
            </w:pPr>
            <w:r w:rsidRPr="00D64084">
              <w:rPr>
                <w:rFonts w:ascii="Times New Roman" w:hAnsi="Times New Roman"/>
                <w:color w:val="000000"/>
                <w:lang w:eastAsia="sk-SK"/>
              </w:rPr>
              <w:t xml:space="preserve">- vplyv na štátny rozpočet </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color w:val="000000"/>
                <w:lang w:eastAsia="sk-SK"/>
              </w:rPr>
            </w:pPr>
            <w:r w:rsidRPr="00D64084">
              <w:rPr>
                <w:rFonts w:ascii="Times New Roman" w:hAnsi="Times New Roman"/>
                <w:color w:val="000000"/>
                <w:lang w:eastAsia="sk-SK"/>
              </w:rPr>
              <w:t>- vplyv na obce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color w:val="000000"/>
                <w:lang w:eastAsia="sk-SK"/>
              </w:rPr>
            </w:pPr>
            <w:r w:rsidRPr="00D64084">
              <w:rPr>
                <w:rFonts w:ascii="Times New Roman" w:hAnsi="Times New Roman"/>
                <w:color w:val="000000"/>
                <w:lang w:eastAsia="sk-SK"/>
              </w:rPr>
              <w:t>- vplyv na vyššie územné celky</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rPr>
                <w:rFonts w:ascii="Times New Roman" w:hAnsi="Times New Roman"/>
                <w:color w:val="000000"/>
                <w:lang w:eastAsia="sk-SK"/>
              </w:rPr>
            </w:pPr>
            <w:r w:rsidRPr="00D64084">
              <w:rPr>
                <w:rFonts w:ascii="Times New Roman" w:hAnsi="Times New Roman"/>
                <w:color w:val="000000"/>
                <w:lang w:eastAsia="sk-SK"/>
              </w:rPr>
              <w:t>- vplyv na verejné zdravotné poistenie</w:t>
            </w:r>
          </w:p>
        </w:tc>
        <w:tc>
          <w:tcPr>
            <w:tcW w:w="1937" w:type="dxa"/>
            <w:tcBorders>
              <w:top w:val="nil"/>
              <w:left w:val="nil"/>
              <w:bottom w:val="single" w:sz="8" w:space="0" w:color="auto"/>
              <w:right w:val="single" w:sz="8" w:space="0" w:color="auto"/>
            </w:tcBorders>
            <w:shd w:val="clear" w:color="auto" w:fill="auto"/>
            <w:noWrap/>
            <w:vAlign w:val="center"/>
          </w:tcPr>
          <w:p w:rsidR="00D64084" w:rsidRPr="00D64084" w:rsidRDefault="00D64084" w:rsidP="00D64084">
            <w:pPr>
              <w:spacing w:after="0" w:line="240" w:lineRule="auto"/>
              <w:jc w:val="right"/>
              <w:rPr>
                <w:rFonts w:ascii="Times New Roman" w:hAnsi="Times New Roman"/>
                <w:color w:val="000000"/>
                <w:lang w:eastAsia="sk-SK"/>
              </w:rPr>
            </w:pPr>
          </w:p>
        </w:tc>
        <w:tc>
          <w:tcPr>
            <w:tcW w:w="1134"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D64084" w:rsidRPr="00D64084" w:rsidRDefault="00D64084" w:rsidP="00D64084">
            <w:pPr>
              <w:spacing w:after="0" w:line="240" w:lineRule="auto"/>
              <w:jc w:val="right"/>
              <w:rPr>
                <w:rFonts w:ascii="Times New Roman" w:hAnsi="Times New Roman"/>
                <w:color w:val="000000"/>
                <w:lang w:eastAsia="sk-SK"/>
              </w:rPr>
            </w:pPr>
            <w:r w:rsidRPr="00D64084">
              <w:rPr>
                <w:rFonts w:ascii="Times New Roman" w:hAnsi="Times New Roman"/>
                <w:color w:val="000000"/>
                <w:lang w:eastAsia="sk-SK"/>
              </w:rPr>
              <w:t> </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Iné ako rozpočtové zdroje</w:t>
            </w:r>
          </w:p>
        </w:tc>
        <w:tc>
          <w:tcPr>
            <w:tcW w:w="1937" w:type="dxa"/>
            <w:tcBorders>
              <w:top w:val="nil"/>
              <w:left w:val="nil"/>
              <w:bottom w:val="single" w:sz="8" w:space="0" w:color="auto"/>
              <w:right w:val="single" w:sz="8" w:space="0" w:color="auto"/>
            </w:tcBorders>
            <w:shd w:val="clear" w:color="000000" w:fill="BFBFBF"/>
            <w:noWrap/>
            <w:vAlign w:val="center"/>
          </w:tcPr>
          <w:p w:rsidR="00D64084" w:rsidRPr="00D64084" w:rsidRDefault="00D64084" w:rsidP="00D64084">
            <w:pPr>
              <w:spacing w:after="0" w:line="240" w:lineRule="auto"/>
              <w:jc w:val="right"/>
              <w:rPr>
                <w:rFonts w:ascii="Times New Roman" w:hAnsi="Times New Roman"/>
                <w:b/>
                <w:bCs/>
                <w:color w:val="000000"/>
                <w:lang w:eastAsia="sk-SK"/>
              </w:rPr>
            </w:pPr>
          </w:p>
        </w:tc>
        <w:tc>
          <w:tcPr>
            <w:tcW w:w="1134"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8" w:type="dxa"/>
            <w:tcBorders>
              <w:top w:val="nil"/>
              <w:left w:val="nil"/>
              <w:bottom w:val="single" w:sz="8" w:space="0" w:color="auto"/>
              <w:right w:val="single" w:sz="8" w:space="0" w:color="auto"/>
            </w:tcBorders>
            <w:shd w:val="clear" w:color="000000" w:fill="BFBFBF"/>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r>
      <w:tr w:rsidR="00D64084" w:rsidRPr="00D64084" w:rsidTr="00BD5AAA">
        <w:trPr>
          <w:trHeight w:val="300"/>
        </w:trPr>
        <w:tc>
          <w:tcPr>
            <w:tcW w:w="4584" w:type="dxa"/>
            <w:tcBorders>
              <w:top w:val="nil"/>
              <w:left w:val="single" w:sz="8" w:space="0" w:color="auto"/>
              <w:bottom w:val="single" w:sz="8" w:space="0" w:color="auto"/>
              <w:right w:val="single" w:sz="8" w:space="0" w:color="auto"/>
            </w:tcBorders>
            <w:shd w:val="clear" w:color="000000" w:fill="A6A6A6"/>
            <w:noWrap/>
            <w:vAlign w:val="center"/>
            <w:hideMark/>
          </w:tcPr>
          <w:p w:rsidR="00D64084" w:rsidRPr="00D64084" w:rsidRDefault="00D64084" w:rsidP="00D64084">
            <w:pPr>
              <w:spacing w:after="0" w:line="240" w:lineRule="auto"/>
              <w:rPr>
                <w:rFonts w:ascii="Times New Roman" w:hAnsi="Times New Roman"/>
                <w:b/>
                <w:bCs/>
                <w:color w:val="000000"/>
                <w:lang w:eastAsia="sk-SK"/>
              </w:rPr>
            </w:pPr>
            <w:r w:rsidRPr="00D64084">
              <w:rPr>
                <w:rFonts w:ascii="Times New Roman" w:hAnsi="Times New Roman"/>
                <w:b/>
                <w:bCs/>
                <w:color w:val="000000"/>
                <w:lang w:eastAsia="sk-SK"/>
              </w:rPr>
              <w:t>Rozpočtovo nekrytý vplyv / úspora</w:t>
            </w:r>
          </w:p>
        </w:tc>
        <w:tc>
          <w:tcPr>
            <w:tcW w:w="1937" w:type="dxa"/>
            <w:tcBorders>
              <w:top w:val="nil"/>
              <w:left w:val="nil"/>
              <w:bottom w:val="single" w:sz="8" w:space="0" w:color="auto"/>
              <w:right w:val="single" w:sz="8" w:space="0" w:color="auto"/>
            </w:tcBorders>
            <w:shd w:val="clear" w:color="000000" w:fill="BFBFBF"/>
            <w:noWrap/>
            <w:vAlign w:val="center"/>
          </w:tcPr>
          <w:p w:rsidR="00D64084" w:rsidRPr="00D64084" w:rsidRDefault="000343A7" w:rsidP="001E18CE">
            <w:pPr>
              <w:spacing w:after="0" w:line="240" w:lineRule="auto"/>
              <w:jc w:val="right"/>
              <w:rPr>
                <w:rFonts w:ascii="Times New Roman" w:hAnsi="Times New Roman"/>
                <w:b/>
                <w:bCs/>
                <w:color w:val="000000"/>
                <w:lang w:eastAsia="sk-SK"/>
              </w:rPr>
            </w:pPr>
            <w:r>
              <w:rPr>
                <w:rFonts w:ascii="Times New Roman" w:hAnsi="Times New Roman"/>
                <w:b/>
                <w:bCs/>
                <w:color w:val="000000"/>
                <w:lang w:eastAsia="sk-SK"/>
              </w:rPr>
              <w:t>- 1 </w:t>
            </w:r>
            <w:r w:rsidR="001E18CE">
              <w:rPr>
                <w:rFonts w:ascii="Times New Roman" w:hAnsi="Times New Roman"/>
                <w:b/>
                <w:bCs/>
                <w:color w:val="000000"/>
                <w:lang w:eastAsia="sk-SK"/>
              </w:rPr>
              <w:t>30</w:t>
            </w:r>
            <w:r>
              <w:rPr>
                <w:rFonts w:ascii="Times New Roman" w:hAnsi="Times New Roman"/>
                <w:b/>
                <w:bCs/>
                <w:color w:val="000000"/>
                <w:lang w:eastAsia="sk-SK"/>
              </w:rPr>
              <w:t>0 000</w:t>
            </w:r>
          </w:p>
        </w:tc>
        <w:tc>
          <w:tcPr>
            <w:tcW w:w="1134"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c>
          <w:tcPr>
            <w:tcW w:w="1138" w:type="dxa"/>
            <w:tcBorders>
              <w:top w:val="nil"/>
              <w:left w:val="nil"/>
              <w:bottom w:val="single" w:sz="8" w:space="0" w:color="auto"/>
              <w:right w:val="single" w:sz="8" w:space="0" w:color="auto"/>
            </w:tcBorders>
            <w:shd w:val="clear" w:color="000000" w:fill="C0C0C0"/>
            <w:noWrap/>
            <w:vAlign w:val="center"/>
            <w:hideMark/>
          </w:tcPr>
          <w:p w:rsidR="00D64084" w:rsidRPr="00D64084" w:rsidRDefault="00D64084" w:rsidP="00D64084">
            <w:pPr>
              <w:spacing w:after="0" w:line="240" w:lineRule="auto"/>
              <w:jc w:val="right"/>
              <w:rPr>
                <w:rFonts w:ascii="Times New Roman" w:hAnsi="Times New Roman"/>
                <w:b/>
                <w:bCs/>
                <w:color w:val="000000"/>
                <w:lang w:eastAsia="sk-SK"/>
              </w:rPr>
            </w:pPr>
            <w:r w:rsidRPr="00D64084">
              <w:rPr>
                <w:rFonts w:ascii="Times New Roman" w:hAnsi="Times New Roman"/>
                <w:b/>
                <w:bCs/>
                <w:color w:val="000000"/>
                <w:lang w:eastAsia="sk-SK"/>
              </w:rPr>
              <w:t>0</w:t>
            </w:r>
          </w:p>
        </w:tc>
      </w:tr>
    </w:tbl>
    <w:p w:rsidR="008E70B9" w:rsidRPr="00FC63F0" w:rsidRDefault="008E70B9" w:rsidP="001C5328">
      <w:pPr>
        <w:spacing w:after="0" w:line="240" w:lineRule="auto"/>
        <w:jc w:val="both"/>
        <w:rPr>
          <w:rFonts w:ascii="Times New Roman" w:hAnsi="Times New Roman"/>
          <w:lang w:eastAsia="sk-SK"/>
        </w:rPr>
      </w:pPr>
    </w:p>
    <w:p w:rsidR="009A17EA" w:rsidRPr="00FC63F0" w:rsidRDefault="007273C7"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lastRenderedPageBreak/>
        <w:t xml:space="preserve">                                                                                                                                   </w:t>
      </w:r>
      <w:r w:rsidR="009A17EA" w:rsidRPr="00FC63F0">
        <w:rPr>
          <w:rFonts w:ascii="Times New Roman" w:hAnsi="Times New Roman"/>
          <w:b/>
          <w:bCs/>
          <w:lang w:eastAsia="sk-SK"/>
        </w:rPr>
        <w:t xml:space="preserve">                            </w:t>
      </w:r>
      <w:r w:rsidR="00866FE4" w:rsidRPr="00FC63F0">
        <w:rPr>
          <w:rFonts w:ascii="Times New Roman" w:hAnsi="Times New Roman"/>
          <w:b/>
          <w:bCs/>
          <w:lang w:eastAsia="sk-SK"/>
        </w:rPr>
        <w:t xml:space="preserve"> </w:t>
      </w:r>
    </w:p>
    <w:p w:rsidR="007D5748"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2.1.1. Financovanie návrhu - Návrh na riešenie úbytku príjmov alebo zvýšených výdavkov podľa § 33 ods. 1 zákona č. 523/2004 Z. z. o rozpočtových pravidlách verejnej správy:</w:t>
      </w:r>
    </w:p>
    <w:p w:rsidR="007D5748" w:rsidRPr="00FC63F0" w:rsidRDefault="007D5748" w:rsidP="00FC63F0">
      <w:pPr>
        <w:spacing w:after="0" w:line="240" w:lineRule="auto"/>
        <w:jc w:val="both"/>
        <w:rPr>
          <w:rFonts w:ascii="Times New Roman" w:hAnsi="Times New Roman"/>
          <w:b/>
          <w:bCs/>
          <w:lang w:eastAsia="sk-SK"/>
        </w:rPr>
      </w:pPr>
    </w:p>
    <w:p w:rsidR="00656F4B" w:rsidRPr="00FC63F0" w:rsidRDefault="00656F4B" w:rsidP="00FC63F0">
      <w:pPr>
        <w:spacing w:after="0" w:line="240" w:lineRule="auto"/>
        <w:jc w:val="both"/>
        <w:rPr>
          <w:rFonts w:ascii="Times New Roman" w:hAnsi="Times New Roman"/>
          <w:b/>
          <w:bCs/>
          <w:lang w:eastAsia="sk-SK"/>
        </w:rPr>
      </w:pPr>
    </w:p>
    <w:p w:rsidR="007F30EB" w:rsidRPr="00FC63F0" w:rsidRDefault="000343A7" w:rsidP="00BD5AAA">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Cs/>
          <w:lang w:eastAsia="sk-SK"/>
        </w:rPr>
      </w:pPr>
      <w:r>
        <w:rPr>
          <w:rFonts w:ascii="Times New Roman" w:hAnsi="Times New Roman"/>
          <w:bCs/>
          <w:lang w:eastAsia="sk-SK"/>
        </w:rPr>
        <w:t>Návrh zákona predpokladá zn</w:t>
      </w:r>
      <w:r w:rsidR="001E18CE">
        <w:rPr>
          <w:rFonts w:ascii="Times New Roman" w:hAnsi="Times New Roman"/>
          <w:bCs/>
          <w:lang w:eastAsia="sk-SK"/>
        </w:rPr>
        <w:t>í</w:t>
      </w:r>
      <w:r>
        <w:rPr>
          <w:rFonts w:ascii="Times New Roman" w:hAnsi="Times New Roman"/>
          <w:bCs/>
          <w:lang w:eastAsia="sk-SK"/>
        </w:rPr>
        <w:t>ženie výdavkov v celkovej sume 1 </w:t>
      </w:r>
      <w:r w:rsidR="001E18CE">
        <w:rPr>
          <w:rFonts w:ascii="Times New Roman" w:hAnsi="Times New Roman"/>
          <w:bCs/>
          <w:lang w:eastAsia="sk-SK"/>
        </w:rPr>
        <w:t>30</w:t>
      </w:r>
      <w:r>
        <w:rPr>
          <w:rFonts w:ascii="Times New Roman" w:hAnsi="Times New Roman"/>
          <w:bCs/>
          <w:lang w:eastAsia="sk-SK"/>
        </w:rPr>
        <w:t>0 000 eur</w:t>
      </w:r>
      <w:r w:rsidR="00540B4A">
        <w:rPr>
          <w:rFonts w:ascii="Times New Roman" w:hAnsi="Times New Roman"/>
          <w:bCs/>
          <w:lang w:eastAsia="sk-SK"/>
        </w:rPr>
        <w:t>.</w:t>
      </w:r>
    </w:p>
    <w:p w:rsidR="007F30EB" w:rsidRPr="00FC63F0" w:rsidRDefault="007F30EB" w:rsidP="00FC63F0">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
          <w:bCs/>
          <w:lang w:eastAsia="sk-SK"/>
        </w:rPr>
      </w:pPr>
    </w:p>
    <w:p w:rsidR="00656F4B" w:rsidRPr="00FC63F0" w:rsidRDefault="00656F4B" w:rsidP="00FC63F0">
      <w:pPr>
        <w:spacing w:after="0" w:line="240" w:lineRule="auto"/>
        <w:jc w:val="both"/>
        <w:rPr>
          <w:rFonts w:ascii="Times New Roman" w:hAnsi="Times New Roman"/>
          <w:b/>
          <w:bCs/>
          <w:lang w:eastAsia="sk-SK"/>
        </w:rPr>
      </w:pPr>
    </w:p>
    <w:p w:rsidR="007D5748"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2.2. Popis a charakteristika návrhu</w:t>
      </w:r>
    </w:p>
    <w:p w:rsidR="002439B0" w:rsidRPr="00FC63F0" w:rsidRDefault="00176F52"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2.2.1. Popis návrhu:</w:t>
      </w:r>
    </w:p>
    <w:p w:rsidR="00C53D12" w:rsidRPr="00FC63F0" w:rsidRDefault="00C53D12" w:rsidP="00FC63F0">
      <w:pPr>
        <w:spacing w:after="0" w:line="240" w:lineRule="auto"/>
        <w:jc w:val="both"/>
        <w:rPr>
          <w:rFonts w:ascii="Times New Roman" w:hAnsi="Times New Roman"/>
          <w:color w:val="000000"/>
        </w:rPr>
      </w:pPr>
    </w:p>
    <w:p w:rsidR="003E596D" w:rsidRDefault="003E596D"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súvislosti s ohrozením verejného zdravia z dôvodu ochorenia COVID-19 spôsobeným korona vírusom zákon upravuje niektoré opatrenia a postupy v oblastiach, ktoré sú vo vecnej pôsobnosti Ministerstva zdravotníctva Slovenskej republiky. </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Účelom návrhu zákona je podporiť uplatňovanie a dodržiavania proti epidemiologických opatrení v čase mimoriadnej situácie vyvolanej pandémiou ochorenia COVID-19 proporcionálnym a ústavne konformným spôsobom.</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Aktuálny skutkový stav v čase prijímania tohto návrhu zákona je taký, že je nariadená povinná štátna alebo domáca karanténa / izolácia (ďalej len označované spoločne len ako „karanténa“) pre takmer všetky osoby, ktoré vstúpia na územie Slovenskej republiky zo zahraničia a zároveň pre osoby, ktoré boli v kontakte s ďalším okruhom osôb. Tieto opatrenia boli zavedené Úradom verejného zdravotníctva Slovenskej republiky (ďalej len „úrad verejného zdravotníctva“) na základe zákona č. 355/2007 Z. z. o ochrane, podpore a rozvoji verejného zdravia a o zmene a doplnení niektorých zákonov. Práve z dôvodu vynucovania povinnej štátnej karantény pri vstupe na územie Slovenskej republiky boli vyčlenené rôzne kapacity štátnych účelových zariadení ako aj ďalších ubytovacích zariadení orgánov verejnej správy. Aktuálne kapacity štátnych karanténnych zariadení sú maximálne vyťažené a v prípade akejkoľvek ďalšej zvýšenej potreby o ubytovanie osôb budú vystavené nezvládnuteľnej situácii. Prirodzeným očakávaním vlády pri uvoľňovaní najprísnejších opatrení a obmedzení v súvislosti s pandémiou je, že táto zvýšená potreba môže nastať. Existujú teda dve skupiny osôb, a to: (i) osoby, ktoré sú povinné absolvovať karanténu v štátnom zariadení pod sprísneným štátnym dohľadom; a (ii) osoby, ktoré majú povinnosť absolvovať karanténu v domácom prostredí, bez sprísneného štátneho dohľadu. Prekážkami, ktoré boli v praxi identifikované sú nasledovné. </w:t>
      </w:r>
    </w:p>
    <w:p w:rsid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Vo vzťahu k štátnej karanténe; jej dodržiavanie pod sprísneným štátnym dohľadom je síce zabezpečené na vysokej úrovni, ale nie je možné objektívne navyšovať kapacity štátnej karantény. Taktiež verejnosť nevníma štátnu karanténu pozitívne, ale ako opatrenie ktoré pôsobí pomerne reštriktívne. Jednak z dôvodu negatívnych správ v médiách ale aj z dôvodu samotnej skutočnosti, že osoby prichádzajúce zo zahraničia nemajú inú možnosť ako podrobiť sa pobytu v štátnom zariadení. </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Štátna karanténa síce plní svoj účel, ale bolo by vhodnejšie identifikovať opatrenie, ktoré by súčasne: </w:t>
      </w:r>
    </w:p>
    <w:p w:rsidR="00BD5AAA" w:rsidRPr="00BD5AAA" w:rsidRDefault="00BD5AAA" w:rsidP="00BD5AAA">
      <w:pPr>
        <w:spacing w:after="0" w:line="240" w:lineRule="auto"/>
        <w:ind w:left="426" w:hanging="426"/>
        <w:jc w:val="both"/>
        <w:rPr>
          <w:rFonts w:ascii="Times New Roman" w:hAnsi="Times New Roman"/>
          <w:color w:val="000000"/>
        </w:rPr>
      </w:pPr>
      <w:r w:rsidRPr="00BD5AAA">
        <w:rPr>
          <w:rFonts w:ascii="Times New Roman" w:hAnsi="Times New Roman"/>
          <w:color w:val="000000"/>
        </w:rPr>
        <w:t>i.</w:t>
      </w:r>
      <w:r w:rsidRPr="00BD5AAA">
        <w:rPr>
          <w:rFonts w:ascii="Times New Roman" w:hAnsi="Times New Roman"/>
          <w:color w:val="000000"/>
        </w:rPr>
        <w:tab/>
        <w:t xml:space="preserve">odbremenilo kapacity štátnych karanténnych zariadení; </w:t>
      </w:r>
    </w:p>
    <w:p w:rsidR="00BD5AAA" w:rsidRPr="00BD5AAA" w:rsidRDefault="00BD5AAA" w:rsidP="00BD5AAA">
      <w:pPr>
        <w:spacing w:after="0" w:line="240" w:lineRule="auto"/>
        <w:ind w:left="426" w:hanging="426"/>
        <w:jc w:val="both"/>
        <w:rPr>
          <w:rFonts w:ascii="Times New Roman" w:hAnsi="Times New Roman"/>
          <w:color w:val="000000"/>
        </w:rPr>
      </w:pPr>
      <w:r w:rsidRPr="00BD5AAA">
        <w:rPr>
          <w:rFonts w:ascii="Times New Roman" w:hAnsi="Times New Roman"/>
          <w:color w:val="000000"/>
        </w:rPr>
        <w:t>ii.</w:t>
      </w:r>
      <w:r w:rsidRPr="00BD5AAA">
        <w:rPr>
          <w:rFonts w:ascii="Times New Roman" w:hAnsi="Times New Roman"/>
          <w:color w:val="000000"/>
        </w:rPr>
        <w:tab/>
        <w:t xml:space="preserve">pôsobilo by menej invazívnym spôsobom na osoby prichádzajúce na územie Slovenskej republiky zo zahraničia; ale zároveň </w:t>
      </w:r>
    </w:p>
    <w:p w:rsidR="00BD5AAA" w:rsidRPr="00BD5AAA" w:rsidRDefault="00BD5AAA" w:rsidP="00BD5AAA">
      <w:pPr>
        <w:spacing w:after="0" w:line="240" w:lineRule="auto"/>
        <w:ind w:left="426" w:hanging="426"/>
        <w:jc w:val="both"/>
        <w:rPr>
          <w:rFonts w:ascii="Times New Roman" w:hAnsi="Times New Roman"/>
          <w:color w:val="000000"/>
        </w:rPr>
      </w:pPr>
      <w:r w:rsidRPr="00BD5AAA">
        <w:rPr>
          <w:rFonts w:ascii="Times New Roman" w:hAnsi="Times New Roman"/>
          <w:color w:val="000000"/>
        </w:rPr>
        <w:t>iii.</w:t>
      </w:r>
      <w:r w:rsidRPr="00BD5AAA">
        <w:rPr>
          <w:rFonts w:ascii="Times New Roman" w:hAnsi="Times New Roman"/>
          <w:color w:val="000000"/>
        </w:rPr>
        <w:tab/>
        <w:t xml:space="preserve">poskytovalo porovnateľnú úroveň dodržiavania karanténnych opatrení ako v prípade povinnej štátnej karantény. </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Zároveň by však dané opatrenie malo byť legitímnym, nevyhnutným a proporcionálnym opatrením v demokratickej spoločnosti vo vzťahu k sledovanému cieľu, ktorým je ochrana života a zdravia v súvislosti so šírením nového korona vírusu. </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Identifikovaným alternatívnym opatrením, ktoré spĺňa vyššie uvedené atribúty bude používanie dvoch mobilných aplikácií dostupných pre operačné systémy iOS a Android, ktoré sú predmetom predkladaného návrhu zákona. Po vzore odporúčaní Európskej komisie k aplikáciám monitorujúcim kontakty medzi infikovanými osobami je rozhodnutie o tom, či osoba bude používať mobilnú aplikáciu dobrovoľn</w:t>
      </w:r>
      <w:r w:rsidR="000343A7">
        <w:rPr>
          <w:rFonts w:ascii="Times New Roman" w:hAnsi="Times New Roman"/>
          <w:color w:val="000000"/>
        </w:rPr>
        <w:t>e</w:t>
      </w:r>
      <w:r w:rsidRPr="00BD5AAA">
        <w:rPr>
          <w:rFonts w:ascii="Times New Roman" w:hAnsi="Times New Roman"/>
          <w:color w:val="000000"/>
        </w:rPr>
        <w:t xml:space="preserve">, nakoľko vždy existujú aj iné alternatívy ako používanie aplikácie. Používanie mobilných aplikácií je preto v návrhu zákona chápané v prvom rade ako výnimka z povinnej štátnej karantény a zároveň možnosť pre ostatné osoby. </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Návrhom zákona sa nenavrhuje plošné používanie mobilnej aplikácie pre všetky osoby, na ktoré sa vzťahuje karanténna povinnosť (po vzore Poľska), nakoľko odporúčaným európskym prístupom by malo byť dobrovoľné používanie mobilnej aplikácie. Avšak, ak sa mobilnú aplikáciu rozhodne používať osoba, ktorá by inak mala </w:t>
      </w:r>
      <w:r w:rsidRPr="00BD5AAA">
        <w:rPr>
          <w:rFonts w:ascii="Times New Roman" w:hAnsi="Times New Roman"/>
          <w:color w:val="000000"/>
        </w:rPr>
        <w:lastRenderedPageBreak/>
        <w:t>povinnosť podriadiť sa povinnej štátnej alebo domácej karanténe, tejto osobe vznikne povinnosť používať aplikáciu určitým spôsobom, tak aby boli dodržané ciele popísané vyššie. Tieto spôsoby sa týkajú najmä umožnenia určitých funkcionalít mobilnej aplikácie, ako je bližšie vysvetlené v osobitnej časti.</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Znenie návrhu zákona výslovne počíta s konkrétnymi mobilnými aplikáciami hoci výslovne nespomína žiadny  názov aplikácií.  Zámerom zákonodarcu je výslovne upraviť dva konkrétne typy mobilnej aplikácie. Prvým typom je mobilná aplikácia na monitorovanie dodržiavania nariadenej izolácie a druhým typom je mobilná aplikácia na monitorovanie kontaktov s inými zaradeniami.  Nejde teda o žiadne iné aplikácie v správe alebo prevádzke úradu verejného zdravotníctva alebo Národného centra zdravotníckych informácií. </w:t>
      </w:r>
    </w:p>
    <w:p w:rsidR="00BD5AAA" w:rsidRP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 xml:space="preserve">Dôvodom tohto postupu je dynamický vývoj v oblasti mobilných aplikácií a najmä avizované zmeny zo strany operačných systémov iOS a Android v súvislosti s trasovaním kontaktov. </w:t>
      </w:r>
    </w:p>
    <w:p w:rsidR="00BD5AAA" w:rsidRDefault="00BD5AAA" w:rsidP="00BD5AAA">
      <w:pPr>
        <w:spacing w:after="0" w:line="240" w:lineRule="auto"/>
        <w:jc w:val="both"/>
        <w:rPr>
          <w:rFonts w:ascii="Times New Roman" w:hAnsi="Times New Roman"/>
          <w:color w:val="000000"/>
        </w:rPr>
      </w:pPr>
      <w:r w:rsidRPr="00BD5AAA">
        <w:rPr>
          <w:rFonts w:ascii="Times New Roman" w:hAnsi="Times New Roman"/>
          <w:color w:val="000000"/>
        </w:rPr>
        <w:t>Pri prevádzkovaní uvedených mobilných aplikácií je potrebné zohľadniť opodstatnenosť zásahov do základného ľudského práva na rešpektovanie súkromného a rodinného života podľa čl. 8 Dohovoru. Charta EÚ ďalej rozlišuje medzi právom na rešpektovanie súkromného a rodinného života podľa čl. 7 a právom na ochranu osobných údajov podľa čl. 8.</w:t>
      </w:r>
    </w:p>
    <w:p w:rsidR="00BD5AAA" w:rsidRPr="00FC63F0" w:rsidRDefault="00BD5AAA" w:rsidP="00FC63F0">
      <w:pPr>
        <w:spacing w:after="0" w:line="240" w:lineRule="auto"/>
        <w:jc w:val="both"/>
        <w:rPr>
          <w:rFonts w:ascii="Times New Roman" w:hAnsi="Times New Roman"/>
          <w:color w:val="000000"/>
        </w:rPr>
      </w:pPr>
    </w:p>
    <w:p w:rsidR="007D5748"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2.2.2. Charakteristika návrhu:</w:t>
      </w:r>
    </w:p>
    <w:p w:rsidR="007D5748" w:rsidRPr="00FC63F0" w:rsidRDefault="007D5748" w:rsidP="00FC63F0">
      <w:pPr>
        <w:spacing w:after="0" w:line="240" w:lineRule="auto"/>
        <w:jc w:val="both"/>
        <w:rPr>
          <w:rFonts w:ascii="Times New Roman" w:hAnsi="Times New Roman"/>
          <w:lang w:eastAsia="sk-SK"/>
        </w:rPr>
      </w:pP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
          <w:bdr w:val="single" w:sz="4" w:space="0" w:color="auto"/>
          <w:lang w:eastAsia="sk-SK"/>
        </w:rPr>
        <w:t xml:space="preserve">  </w:t>
      </w:r>
      <w:r w:rsidR="00373484" w:rsidRPr="00FC63F0">
        <w:rPr>
          <w:rFonts w:ascii="Times New Roman" w:hAnsi="Times New Roman"/>
          <w:b/>
          <w:bdr w:val="single" w:sz="4" w:space="0" w:color="auto"/>
          <w:lang w:eastAsia="sk-SK"/>
        </w:rPr>
        <w:t xml:space="preserve"> </w:t>
      </w:r>
      <w:r w:rsidR="000616B3" w:rsidRPr="00FC63F0">
        <w:rPr>
          <w:rFonts w:ascii="Times New Roman" w:hAnsi="Times New Roman"/>
          <w:b/>
          <w:bdr w:val="single" w:sz="4" w:space="0" w:color="auto"/>
          <w:lang w:eastAsia="sk-SK"/>
        </w:rPr>
        <w:t xml:space="preserve"> </w:t>
      </w:r>
      <w:r w:rsidR="00373484" w:rsidRPr="00FC63F0">
        <w:rPr>
          <w:rFonts w:ascii="Times New Roman" w:hAnsi="Times New Roman"/>
          <w:b/>
          <w:bdr w:val="single" w:sz="4" w:space="0" w:color="auto"/>
          <w:lang w:eastAsia="sk-SK"/>
        </w:rPr>
        <w:t xml:space="preserve"> </w:t>
      </w:r>
      <w:r w:rsidRPr="00FC63F0">
        <w:rPr>
          <w:rFonts w:ascii="Times New Roman" w:hAnsi="Times New Roman"/>
          <w:b/>
          <w:lang w:eastAsia="sk-SK"/>
        </w:rPr>
        <w:t xml:space="preserve">  </w:t>
      </w:r>
      <w:r w:rsidRPr="00FC63F0">
        <w:rPr>
          <w:rFonts w:ascii="Times New Roman" w:hAnsi="Times New Roman"/>
          <w:lang w:eastAsia="sk-SK"/>
        </w:rPr>
        <w:t>zmena sadzby</w:t>
      </w: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dr w:val="single" w:sz="4" w:space="0" w:color="auto"/>
          <w:lang w:eastAsia="sk-SK"/>
        </w:rPr>
        <w:t xml:space="preserve"> </w:t>
      </w:r>
      <w:r w:rsidR="009C576C" w:rsidRPr="00FC63F0">
        <w:rPr>
          <w:rFonts w:ascii="Times New Roman" w:hAnsi="Times New Roman"/>
          <w:bdr w:val="single" w:sz="4" w:space="0" w:color="auto"/>
          <w:lang w:eastAsia="sk-SK"/>
        </w:rPr>
        <w:t xml:space="preserve"> </w:t>
      </w:r>
      <w:r w:rsidR="00A8219A" w:rsidRPr="00FC63F0">
        <w:rPr>
          <w:rFonts w:ascii="Times New Roman" w:hAnsi="Times New Roman"/>
          <w:bdr w:val="single" w:sz="4" w:space="0" w:color="auto"/>
          <w:lang w:eastAsia="sk-SK"/>
        </w:rPr>
        <w:t xml:space="preserve">   </w:t>
      </w:r>
      <w:r w:rsidRPr="00FC63F0">
        <w:rPr>
          <w:rFonts w:ascii="Times New Roman" w:hAnsi="Times New Roman"/>
          <w:lang w:eastAsia="sk-SK"/>
        </w:rPr>
        <w:t xml:space="preserve">  zmena v nároku</w:t>
      </w:r>
    </w:p>
    <w:p w:rsidR="007D5748" w:rsidRPr="00FC63F0" w:rsidRDefault="00BD5AAA" w:rsidP="00FC63F0">
      <w:pPr>
        <w:spacing w:after="0" w:line="240" w:lineRule="auto"/>
        <w:jc w:val="both"/>
        <w:rPr>
          <w:rFonts w:ascii="Times New Roman" w:hAnsi="Times New Roman"/>
          <w:lang w:eastAsia="sk-SK"/>
        </w:rPr>
      </w:pPr>
      <w:r>
        <w:rPr>
          <w:rFonts w:ascii="Times New Roman" w:hAnsi="Times New Roman"/>
          <w:bdr w:val="single" w:sz="4" w:space="0" w:color="auto"/>
          <w:lang w:eastAsia="sk-SK"/>
        </w:rPr>
        <w:t xml:space="preserve"> X</w:t>
      </w:r>
      <w:r w:rsidR="007D5748" w:rsidRPr="00FC63F0">
        <w:rPr>
          <w:rFonts w:ascii="Times New Roman" w:hAnsi="Times New Roman"/>
          <w:bdr w:val="single" w:sz="4" w:space="0" w:color="auto"/>
          <w:lang w:eastAsia="sk-SK"/>
        </w:rPr>
        <w:t xml:space="preserve"> </w:t>
      </w:r>
      <w:r w:rsidR="007D5748" w:rsidRPr="00FC63F0">
        <w:rPr>
          <w:rFonts w:ascii="Times New Roman" w:hAnsi="Times New Roman"/>
          <w:lang w:eastAsia="sk-SK"/>
        </w:rPr>
        <w:t xml:space="preserve">  nová služba alebo nariadenie (alebo ich zrušenie)</w:t>
      </w:r>
    </w:p>
    <w:p w:rsidR="007D5748" w:rsidRPr="00FC63F0" w:rsidRDefault="00373484" w:rsidP="00FC63F0">
      <w:pPr>
        <w:spacing w:after="0" w:line="240" w:lineRule="auto"/>
        <w:jc w:val="both"/>
        <w:rPr>
          <w:rFonts w:ascii="Times New Roman" w:hAnsi="Times New Roman"/>
          <w:lang w:eastAsia="sk-SK"/>
        </w:rPr>
      </w:pPr>
      <w:r w:rsidRPr="00BD5AAA">
        <w:rPr>
          <w:rFonts w:ascii="Times New Roman" w:hAnsi="Times New Roman"/>
          <w:bdr w:val="single" w:sz="4" w:space="0" w:color="auto"/>
          <w:lang w:eastAsia="sk-SK"/>
        </w:rPr>
        <w:t xml:space="preserve"> </w:t>
      </w:r>
      <w:r w:rsidR="00BD5AAA" w:rsidRPr="00BD5AAA">
        <w:rPr>
          <w:rFonts w:ascii="Times New Roman" w:hAnsi="Times New Roman"/>
          <w:bdr w:val="single" w:sz="4" w:space="0" w:color="auto"/>
          <w:lang w:eastAsia="sk-SK"/>
        </w:rPr>
        <w:t xml:space="preserve">  </w:t>
      </w:r>
      <w:r w:rsidR="00A8219A" w:rsidRPr="00FC63F0">
        <w:rPr>
          <w:rFonts w:ascii="Times New Roman" w:hAnsi="Times New Roman"/>
          <w:bdr w:val="single" w:sz="4" w:space="0" w:color="auto"/>
          <w:lang w:eastAsia="sk-SK"/>
        </w:rPr>
        <w:t xml:space="preserve"> </w:t>
      </w:r>
      <w:r w:rsidR="007D5748" w:rsidRPr="00FC63F0">
        <w:rPr>
          <w:rFonts w:ascii="Times New Roman" w:hAnsi="Times New Roman"/>
          <w:bdr w:val="single" w:sz="4" w:space="0" w:color="auto"/>
          <w:lang w:eastAsia="sk-SK"/>
        </w:rPr>
        <w:t xml:space="preserve"> </w:t>
      </w:r>
      <w:r w:rsidR="007D5748" w:rsidRPr="00FC63F0">
        <w:rPr>
          <w:rFonts w:ascii="Times New Roman" w:hAnsi="Times New Roman"/>
          <w:lang w:eastAsia="sk-SK"/>
        </w:rPr>
        <w:t xml:space="preserve">  kombinovaný návrh</w:t>
      </w: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dr w:val="single" w:sz="4" w:space="0" w:color="auto"/>
          <w:lang w:eastAsia="sk-SK"/>
        </w:rPr>
        <w:t xml:space="preserve">     </w:t>
      </w:r>
      <w:r w:rsidRPr="00FC63F0">
        <w:rPr>
          <w:rFonts w:ascii="Times New Roman" w:hAnsi="Times New Roman"/>
          <w:lang w:eastAsia="sk-SK"/>
        </w:rPr>
        <w:t xml:space="preserve">  iné </w:t>
      </w:r>
    </w:p>
    <w:p w:rsidR="007D5748" w:rsidRPr="00FC63F0" w:rsidRDefault="007D5748" w:rsidP="00FC63F0">
      <w:pPr>
        <w:spacing w:after="0" w:line="240" w:lineRule="auto"/>
        <w:jc w:val="both"/>
        <w:rPr>
          <w:rFonts w:ascii="Times New Roman" w:hAnsi="Times New Roman"/>
          <w:lang w:eastAsia="sk-SK"/>
        </w:rPr>
      </w:pP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
          <w:bCs/>
          <w:lang w:eastAsia="sk-SK"/>
        </w:rPr>
        <w:t>2.2.3. Predpoklady vývoja objemu aktivít:</w:t>
      </w:r>
    </w:p>
    <w:p w:rsidR="007D5748" w:rsidRPr="00FC63F0" w:rsidRDefault="007D5748" w:rsidP="00FC63F0">
      <w:pPr>
        <w:spacing w:after="0" w:line="240" w:lineRule="auto"/>
        <w:jc w:val="both"/>
        <w:rPr>
          <w:rFonts w:ascii="Times New Roman" w:hAnsi="Times New Roman"/>
          <w:lang w:eastAsia="sk-SK"/>
        </w:rPr>
      </w:pPr>
    </w:p>
    <w:p w:rsidR="00B51A21" w:rsidRDefault="00AD7A6C" w:rsidP="00FC63F0">
      <w:pPr>
        <w:spacing w:after="0" w:line="240" w:lineRule="auto"/>
        <w:jc w:val="both"/>
        <w:rPr>
          <w:rFonts w:ascii="Times New Roman" w:hAnsi="Times New Roman"/>
          <w:color w:val="000000"/>
        </w:rPr>
      </w:pPr>
      <w:r w:rsidRPr="00FC63F0">
        <w:rPr>
          <w:rFonts w:ascii="Times New Roman" w:hAnsi="Times New Roman"/>
          <w:color w:val="000000"/>
        </w:rPr>
        <w:t xml:space="preserve">Navrhované zmeny si </w:t>
      </w:r>
      <w:r w:rsidR="00540B4A">
        <w:rPr>
          <w:rFonts w:ascii="Times New Roman" w:hAnsi="Times New Roman"/>
          <w:color w:val="000000"/>
        </w:rPr>
        <w:t>ne</w:t>
      </w:r>
      <w:r w:rsidRPr="00FC63F0">
        <w:rPr>
          <w:rFonts w:ascii="Times New Roman" w:hAnsi="Times New Roman"/>
          <w:color w:val="000000"/>
        </w:rPr>
        <w:t xml:space="preserve">vyžiadajú </w:t>
      </w:r>
      <w:r w:rsidR="00FD039D" w:rsidRPr="00FC63F0">
        <w:rPr>
          <w:rFonts w:ascii="Times New Roman" w:hAnsi="Times New Roman"/>
          <w:color w:val="000000"/>
        </w:rPr>
        <w:t>zvýšenie nákladov na štátny rozpočet počas mimoriadnej situácie</w:t>
      </w:r>
      <w:r w:rsidR="00540B4A">
        <w:rPr>
          <w:rFonts w:ascii="Times New Roman" w:hAnsi="Times New Roman"/>
          <w:color w:val="000000"/>
        </w:rPr>
        <w:t>, dokonca sa očakáva zníženie nákladov MO SR a MV SR pri zabezpečovaním štátnej karantény</w:t>
      </w:r>
      <w:r w:rsidR="004418D6" w:rsidRPr="00FC63F0">
        <w:rPr>
          <w:rFonts w:ascii="Times New Roman" w:hAnsi="Times New Roman"/>
          <w:color w:val="000000"/>
        </w:rPr>
        <w:t>.</w:t>
      </w:r>
      <w:r w:rsidR="006144D0" w:rsidRPr="00FC63F0">
        <w:rPr>
          <w:rFonts w:ascii="Times New Roman" w:hAnsi="Times New Roman"/>
          <w:color w:val="000000"/>
        </w:rPr>
        <w:t xml:space="preserve"> </w:t>
      </w:r>
      <w:r w:rsidR="00981B3A" w:rsidRPr="00FC63F0">
        <w:rPr>
          <w:rFonts w:ascii="Times New Roman" w:hAnsi="Times New Roman"/>
          <w:color w:val="000000"/>
        </w:rPr>
        <w:t xml:space="preserve"> </w:t>
      </w:r>
    </w:p>
    <w:p w:rsidR="00BD5AAA" w:rsidRPr="00FC63F0" w:rsidRDefault="00BD5AAA" w:rsidP="00FC63F0">
      <w:pPr>
        <w:spacing w:after="0" w:line="240" w:lineRule="auto"/>
        <w:jc w:val="both"/>
        <w:rPr>
          <w:rFonts w:ascii="Times New Roman" w:hAnsi="Times New Roman"/>
          <w:color w:val="000000"/>
        </w:rPr>
      </w:pPr>
    </w:p>
    <w:p w:rsidR="00D57829"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 xml:space="preserve">2.2.4. </w:t>
      </w:r>
      <w:r w:rsidR="00D57829" w:rsidRPr="00FC63F0">
        <w:rPr>
          <w:rFonts w:ascii="Times New Roman" w:hAnsi="Times New Roman"/>
          <w:b/>
          <w:bCs/>
          <w:lang w:eastAsia="sk-SK"/>
        </w:rPr>
        <w:t>Výpočty vplyvov celkovo</w:t>
      </w:r>
    </w:p>
    <w:p w:rsidR="008E59EB" w:rsidRPr="00FC63F0" w:rsidRDefault="008E59EB" w:rsidP="00FC63F0">
      <w:pPr>
        <w:autoSpaceDE w:val="0"/>
        <w:autoSpaceDN w:val="0"/>
        <w:adjustRightInd w:val="0"/>
        <w:spacing w:after="0" w:line="240" w:lineRule="auto"/>
        <w:jc w:val="both"/>
        <w:rPr>
          <w:rFonts w:ascii="Times New Roman" w:hAnsi="Times New Roman"/>
          <w:bCs/>
        </w:rPr>
      </w:pPr>
    </w:p>
    <w:p w:rsidR="006A243B" w:rsidRDefault="00246984" w:rsidP="008E70B9">
      <w:pPr>
        <w:spacing w:after="0" w:line="240" w:lineRule="auto"/>
        <w:jc w:val="both"/>
        <w:rPr>
          <w:rFonts w:ascii="Times New Roman" w:hAnsi="Times New Roman"/>
        </w:rPr>
      </w:pPr>
      <w:r w:rsidRPr="00FC63F0">
        <w:rPr>
          <w:rFonts w:ascii="Times New Roman" w:hAnsi="Times New Roman"/>
          <w:lang w:eastAsia="sk-SK"/>
        </w:rPr>
        <w:t>Návrh zákona r</w:t>
      </w:r>
      <w:r w:rsidRPr="00FC63F0">
        <w:rPr>
          <w:rFonts w:ascii="Times New Roman" w:hAnsi="Times New Roman"/>
          <w:iCs/>
        </w:rPr>
        <w:t xml:space="preserve">eflektuje súčasnú situáciu </w:t>
      </w:r>
      <w:r w:rsidRPr="00FC63F0">
        <w:rPr>
          <w:rFonts w:ascii="Times New Roman" w:hAnsi="Times New Roman"/>
        </w:rPr>
        <w:t>týkajúcu sa akútneho respiračného syndrómu spôsobeného novým koronavírusom 2019-nCoV, ktorý spôsobuje ochorenie COVID-19.</w:t>
      </w:r>
      <w:r w:rsidR="008E70B9">
        <w:rPr>
          <w:rFonts w:ascii="Times New Roman" w:hAnsi="Times New Roman"/>
        </w:rPr>
        <w:t xml:space="preserve"> </w:t>
      </w:r>
    </w:p>
    <w:p w:rsidR="00540B4A" w:rsidRDefault="00540B4A" w:rsidP="008E70B9">
      <w:pPr>
        <w:spacing w:after="0" w:line="240" w:lineRule="auto"/>
        <w:jc w:val="both"/>
        <w:rPr>
          <w:rFonts w:ascii="Times New Roman" w:hAnsi="Times New Roman"/>
        </w:rPr>
      </w:pPr>
    </w:p>
    <w:p w:rsidR="005D1A94" w:rsidRPr="005D1A94" w:rsidRDefault="005D1A94" w:rsidP="00540B4A">
      <w:pPr>
        <w:spacing w:after="0" w:line="240" w:lineRule="auto"/>
        <w:jc w:val="both"/>
        <w:rPr>
          <w:rFonts w:ascii="Times New Roman" w:hAnsi="Times New Roman"/>
          <w:b/>
        </w:rPr>
      </w:pPr>
      <w:r w:rsidRPr="005D1A94">
        <w:rPr>
          <w:rFonts w:ascii="Times New Roman" w:hAnsi="Times New Roman"/>
          <w:b/>
        </w:rPr>
        <w:t>Zníženie výdavkov:</w:t>
      </w:r>
    </w:p>
    <w:p w:rsidR="00540B4A" w:rsidRDefault="006A243B" w:rsidP="00540B4A">
      <w:pPr>
        <w:spacing w:after="0" w:line="240" w:lineRule="auto"/>
        <w:jc w:val="both"/>
        <w:rPr>
          <w:rFonts w:ascii="Times New Roman" w:hAnsi="Times New Roman"/>
        </w:rPr>
      </w:pPr>
      <w:r>
        <w:rPr>
          <w:rFonts w:ascii="Times New Roman" w:hAnsi="Times New Roman"/>
        </w:rPr>
        <w:t xml:space="preserve">Predmetný návrh zákona predpokladá </w:t>
      </w:r>
      <w:r w:rsidR="00540B4A">
        <w:rPr>
          <w:rFonts w:ascii="Times New Roman" w:hAnsi="Times New Roman"/>
        </w:rPr>
        <w:t xml:space="preserve">úsporu výdavkov na zabezpečenie štátnej </w:t>
      </w:r>
      <w:r w:rsidR="00540B4A" w:rsidRPr="00540B4A">
        <w:rPr>
          <w:rFonts w:ascii="Times New Roman" w:hAnsi="Times New Roman"/>
        </w:rPr>
        <w:t>karantén</w:t>
      </w:r>
      <w:r w:rsidR="00540B4A">
        <w:rPr>
          <w:rFonts w:ascii="Times New Roman" w:hAnsi="Times New Roman"/>
        </w:rPr>
        <w:t>y</w:t>
      </w:r>
      <w:r w:rsidR="00540B4A" w:rsidRPr="00540B4A">
        <w:rPr>
          <w:rFonts w:ascii="Times New Roman" w:hAnsi="Times New Roman"/>
        </w:rPr>
        <w:t xml:space="preserve"> odbremen</w:t>
      </w:r>
      <w:r w:rsidR="00540B4A">
        <w:rPr>
          <w:rFonts w:ascii="Times New Roman" w:hAnsi="Times New Roman"/>
        </w:rPr>
        <w:t>ením kapací</w:t>
      </w:r>
      <w:r w:rsidR="00540B4A" w:rsidRPr="00540B4A">
        <w:rPr>
          <w:rFonts w:ascii="Times New Roman" w:hAnsi="Times New Roman"/>
        </w:rPr>
        <w:t>t štátnych karanténnych zariadení</w:t>
      </w:r>
      <w:r w:rsidR="00540B4A">
        <w:rPr>
          <w:rFonts w:ascii="Times New Roman" w:hAnsi="Times New Roman"/>
        </w:rPr>
        <w:t>.</w:t>
      </w:r>
    </w:p>
    <w:p w:rsidR="00920679" w:rsidRDefault="00920679" w:rsidP="00920679">
      <w:pPr>
        <w:spacing w:after="0" w:line="240" w:lineRule="auto"/>
        <w:jc w:val="both"/>
        <w:rPr>
          <w:rFonts w:ascii="Times New Roman" w:hAnsi="Times New Roman"/>
        </w:rPr>
      </w:pPr>
    </w:p>
    <w:p w:rsidR="00920679" w:rsidRPr="00920679" w:rsidRDefault="00920679" w:rsidP="00920679">
      <w:pPr>
        <w:spacing w:after="0" w:line="240" w:lineRule="auto"/>
        <w:jc w:val="both"/>
        <w:rPr>
          <w:rFonts w:ascii="Times New Roman" w:hAnsi="Times New Roman"/>
        </w:rPr>
      </w:pPr>
      <w:r>
        <w:rPr>
          <w:rFonts w:ascii="Times New Roman" w:hAnsi="Times New Roman"/>
        </w:rPr>
        <w:t>P</w:t>
      </w:r>
      <w:r w:rsidRPr="00920679">
        <w:rPr>
          <w:rFonts w:ascii="Times New Roman" w:hAnsi="Times New Roman"/>
        </w:rPr>
        <w:t>osledný aktuálny počet osôb umiestnených v štátnej karanténe</w:t>
      </w:r>
      <w:r>
        <w:rPr>
          <w:rFonts w:ascii="Times New Roman" w:hAnsi="Times New Roman"/>
        </w:rPr>
        <w:t xml:space="preserve"> k </w:t>
      </w:r>
      <w:r w:rsidR="005D1A94">
        <w:rPr>
          <w:rFonts w:ascii="Times New Roman" w:hAnsi="Times New Roman"/>
        </w:rPr>
        <w:t>11</w:t>
      </w:r>
      <w:r>
        <w:rPr>
          <w:rFonts w:ascii="Times New Roman" w:hAnsi="Times New Roman"/>
        </w:rPr>
        <w:t xml:space="preserve">. máju 2020: </w:t>
      </w:r>
      <w:r w:rsidR="005D1A94">
        <w:rPr>
          <w:rFonts w:ascii="Times New Roman" w:hAnsi="Times New Roman"/>
        </w:rPr>
        <w:t>3279 osôb</w:t>
      </w:r>
    </w:p>
    <w:p w:rsidR="00920679" w:rsidRDefault="00920679" w:rsidP="00920679">
      <w:pPr>
        <w:spacing w:after="0" w:line="240" w:lineRule="auto"/>
        <w:jc w:val="both"/>
        <w:rPr>
          <w:rFonts w:ascii="Times New Roman" w:hAnsi="Times New Roman"/>
        </w:rPr>
      </w:pPr>
      <w:r>
        <w:rPr>
          <w:rFonts w:ascii="Times New Roman" w:hAnsi="Times New Roman"/>
        </w:rPr>
        <w:t>C</w:t>
      </w:r>
      <w:r w:rsidRPr="00920679">
        <w:rPr>
          <w:rFonts w:ascii="Times New Roman" w:hAnsi="Times New Roman"/>
        </w:rPr>
        <w:t>elkový počet osôb, ktoré prešli štátnou karanténou</w:t>
      </w:r>
      <w:r>
        <w:rPr>
          <w:rFonts w:ascii="Times New Roman" w:hAnsi="Times New Roman"/>
        </w:rPr>
        <w:t xml:space="preserve"> </w:t>
      </w:r>
      <w:r w:rsidR="005D1A94">
        <w:rPr>
          <w:rFonts w:ascii="Times New Roman" w:hAnsi="Times New Roman"/>
        </w:rPr>
        <w:t>do 11. mája</w:t>
      </w:r>
      <w:r>
        <w:rPr>
          <w:rFonts w:ascii="Times New Roman" w:hAnsi="Times New Roman"/>
        </w:rPr>
        <w:t xml:space="preserve"> 2020:</w:t>
      </w:r>
      <w:r w:rsidR="005D1A94">
        <w:rPr>
          <w:rFonts w:ascii="Times New Roman" w:hAnsi="Times New Roman"/>
        </w:rPr>
        <w:t xml:space="preserve"> 15 864 osôb</w:t>
      </w:r>
    </w:p>
    <w:p w:rsidR="00920679" w:rsidRDefault="00920679" w:rsidP="00920679">
      <w:pPr>
        <w:spacing w:after="0" w:line="240" w:lineRule="auto"/>
        <w:jc w:val="both"/>
        <w:rPr>
          <w:rFonts w:ascii="Times New Roman" w:hAnsi="Times New Roman"/>
        </w:rPr>
      </w:pPr>
      <w:r>
        <w:rPr>
          <w:rFonts w:ascii="Times New Roman" w:hAnsi="Times New Roman"/>
        </w:rPr>
        <w:t>P</w:t>
      </w:r>
      <w:r w:rsidRPr="00920679">
        <w:rPr>
          <w:rFonts w:ascii="Times New Roman" w:hAnsi="Times New Roman"/>
        </w:rPr>
        <w:t>riemerné náklady na umiestnenie jednej osoby v štátnej karanténe (všetky náklady na ubytovanie a služby, okrem 13 eur na stravu, ktoré si osoba platí sama)</w:t>
      </w:r>
      <w:r>
        <w:rPr>
          <w:rFonts w:ascii="Times New Roman" w:hAnsi="Times New Roman"/>
        </w:rPr>
        <w:t xml:space="preserve">: </w:t>
      </w:r>
      <w:r w:rsidR="005D1A94">
        <w:rPr>
          <w:rFonts w:ascii="Times New Roman" w:hAnsi="Times New Roman"/>
        </w:rPr>
        <w:t>26 eur</w:t>
      </w:r>
    </w:p>
    <w:p w:rsidR="00920679" w:rsidRDefault="00920679" w:rsidP="00920679">
      <w:pPr>
        <w:spacing w:after="0" w:line="240" w:lineRule="auto"/>
        <w:jc w:val="both"/>
        <w:rPr>
          <w:rFonts w:ascii="Times New Roman" w:hAnsi="Times New Roman"/>
        </w:rPr>
      </w:pPr>
      <w:r>
        <w:rPr>
          <w:rFonts w:ascii="Times New Roman" w:hAnsi="Times New Roman"/>
        </w:rPr>
        <w:t>C</w:t>
      </w:r>
      <w:r w:rsidRPr="00920679">
        <w:rPr>
          <w:rFonts w:ascii="Times New Roman" w:hAnsi="Times New Roman"/>
        </w:rPr>
        <w:t>elkový priemerný denný počet osôb (</w:t>
      </w:r>
      <w:r w:rsidR="005D1A94">
        <w:rPr>
          <w:rFonts w:ascii="Times New Roman" w:hAnsi="Times New Roman"/>
        </w:rPr>
        <w:t>HaZZ SR</w:t>
      </w:r>
      <w:r w:rsidRPr="00920679">
        <w:rPr>
          <w:rFonts w:ascii="Times New Roman" w:hAnsi="Times New Roman"/>
        </w:rPr>
        <w:t xml:space="preserve">, </w:t>
      </w:r>
      <w:r w:rsidR="005D1A94">
        <w:rPr>
          <w:rFonts w:ascii="Times New Roman" w:hAnsi="Times New Roman"/>
        </w:rPr>
        <w:t>PZ SR</w:t>
      </w:r>
      <w:r w:rsidRPr="00920679">
        <w:rPr>
          <w:rFonts w:ascii="Times New Roman" w:hAnsi="Times New Roman"/>
        </w:rPr>
        <w:t xml:space="preserve">, </w:t>
      </w:r>
      <w:r w:rsidR="005D1A94">
        <w:rPr>
          <w:rFonts w:ascii="Times New Roman" w:hAnsi="Times New Roman"/>
        </w:rPr>
        <w:t>ozbrojené sily</w:t>
      </w:r>
      <w:r w:rsidRPr="00920679">
        <w:rPr>
          <w:rFonts w:ascii="Times New Roman" w:hAnsi="Times New Roman"/>
        </w:rPr>
        <w:t>...) vyčlenených na úlohy, súvisiace s organizáciou štátnej karantény</w:t>
      </w:r>
      <w:r>
        <w:rPr>
          <w:rFonts w:ascii="Times New Roman" w:hAnsi="Times New Roman"/>
        </w:rPr>
        <w:t>:</w:t>
      </w:r>
      <w:r w:rsidR="005D1A94">
        <w:rPr>
          <w:rFonts w:ascii="Times New Roman" w:hAnsi="Times New Roman"/>
        </w:rPr>
        <w:t xml:space="preserve"> 896 osôb</w:t>
      </w:r>
    </w:p>
    <w:p w:rsidR="00920679" w:rsidRDefault="00920679" w:rsidP="00920679">
      <w:pPr>
        <w:spacing w:after="0" w:line="240" w:lineRule="auto"/>
        <w:jc w:val="both"/>
        <w:rPr>
          <w:rFonts w:ascii="Times New Roman" w:hAnsi="Times New Roman"/>
        </w:rPr>
      </w:pPr>
    </w:p>
    <w:p w:rsidR="00920679" w:rsidRDefault="00920679" w:rsidP="00920679">
      <w:pPr>
        <w:spacing w:after="0" w:line="240" w:lineRule="auto"/>
        <w:jc w:val="both"/>
        <w:rPr>
          <w:rFonts w:ascii="Times New Roman" w:hAnsi="Times New Roman"/>
        </w:rPr>
      </w:pPr>
      <w:r>
        <w:rPr>
          <w:rFonts w:ascii="Times New Roman" w:hAnsi="Times New Roman"/>
        </w:rPr>
        <w:t>Odhadovaný počet osôb, ktoré pravdepodobne využijú domácu karanténu a teda použijú mobilné aplikácie: 10 000 osôb</w:t>
      </w:r>
      <w:r w:rsidR="00FC7481">
        <w:rPr>
          <w:rFonts w:ascii="Times New Roman" w:hAnsi="Times New Roman"/>
        </w:rPr>
        <w:t xml:space="preserve">  (cca 2/3 z celkového počtu osôb, na ktoré sa bude štátna karanténa vzťahovať)</w:t>
      </w:r>
    </w:p>
    <w:p w:rsidR="00920679" w:rsidRDefault="000343A7" w:rsidP="00920679">
      <w:pPr>
        <w:spacing w:after="0" w:line="240" w:lineRule="auto"/>
        <w:jc w:val="both"/>
        <w:rPr>
          <w:rFonts w:ascii="Times New Roman" w:hAnsi="Times New Roman"/>
        </w:rPr>
      </w:pPr>
      <w:r>
        <w:rPr>
          <w:rFonts w:ascii="Times New Roman" w:hAnsi="Times New Roman"/>
        </w:rPr>
        <w:t>Odhadovaná</w:t>
      </w:r>
      <w:r w:rsidR="00920679">
        <w:rPr>
          <w:rFonts w:ascii="Times New Roman" w:hAnsi="Times New Roman"/>
        </w:rPr>
        <w:t xml:space="preserve"> dĺžka pobytu osoby v štátnej karanténe: </w:t>
      </w:r>
      <w:r w:rsidR="005D1A94">
        <w:rPr>
          <w:rFonts w:ascii="Times New Roman" w:hAnsi="Times New Roman"/>
        </w:rPr>
        <w:t>5</w:t>
      </w:r>
      <w:r w:rsidR="00920679">
        <w:rPr>
          <w:rFonts w:ascii="Times New Roman" w:hAnsi="Times New Roman"/>
        </w:rPr>
        <w:t> dní.</w:t>
      </w:r>
    </w:p>
    <w:p w:rsidR="00920679" w:rsidRDefault="00920679" w:rsidP="00920679">
      <w:pPr>
        <w:spacing w:after="0" w:line="240" w:lineRule="auto"/>
        <w:jc w:val="both"/>
        <w:rPr>
          <w:rFonts w:ascii="Times New Roman" w:hAnsi="Times New Roman"/>
        </w:rPr>
      </w:pPr>
    </w:p>
    <w:p w:rsidR="00403ECB" w:rsidRDefault="00920679" w:rsidP="00FC63F0">
      <w:pPr>
        <w:spacing w:after="0" w:line="240" w:lineRule="auto"/>
        <w:rPr>
          <w:rFonts w:ascii="Times New Roman" w:hAnsi="Times New Roman"/>
        </w:rPr>
      </w:pPr>
      <w:r>
        <w:rPr>
          <w:rFonts w:ascii="Times New Roman" w:hAnsi="Times New Roman"/>
        </w:rPr>
        <w:t>Zníženie rozpočtových výdavkov:</w:t>
      </w:r>
    </w:p>
    <w:p w:rsidR="00920679" w:rsidRDefault="00920679" w:rsidP="00920679">
      <w:pPr>
        <w:pStyle w:val="Odsekzoznamu"/>
        <w:numPr>
          <w:ilvl w:val="0"/>
          <w:numId w:val="33"/>
        </w:numPr>
        <w:spacing w:after="0" w:line="240" w:lineRule="auto"/>
        <w:rPr>
          <w:rFonts w:ascii="Times New Roman" w:hAnsi="Times New Roman"/>
          <w:lang w:val="sk-SK"/>
        </w:rPr>
      </w:pPr>
      <w:r w:rsidRPr="007E25EF">
        <w:rPr>
          <w:rFonts w:ascii="Times New Roman" w:hAnsi="Times New Roman"/>
          <w:lang w:val="sk-SK"/>
        </w:rPr>
        <w:t xml:space="preserve">výdavky na umiestnenie osoby v štátnej karanténe: </w:t>
      </w:r>
      <w:r w:rsidR="005D1A94">
        <w:rPr>
          <w:rFonts w:ascii="Times New Roman" w:hAnsi="Times New Roman"/>
          <w:lang w:val="sk-SK"/>
        </w:rPr>
        <w:t>26</w:t>
      </w:r>
      <w:r w:rsidRPr="007E25EF">
        <w:rPr>
          <w:rFonts w:ascii="Times New Roman" w:hAnsi="Times New Roman"/>
          <w:lang w:val="sk-SK"/>
        </w:rPr>
        <w:t xml:space="preserve"> eur x 10 000 osôb x </w:t>
      </w:r>
      <w:r w:rsidR="005D1A94">
        <w:rPr>
          <w:rFonts w:ascii="Times New Roman" w:hAnsi="Times New Roman"/>
          <w:lang w:val="sk-SK"/>
        </w:rPr>
        <w:t>5</w:t>
      </w:r>
      <w:r w:rsidRPr="007E25EF">
        <w:rPr>
          <w:rFonts w:ascii="Times New Roman" w:hAnsi="Times New Roman"/>
          <w:lang w:val="sk-SK"/>
        </w:rPr>
        <w:t xml:space="preserve"> dní = </w:t>
      </w:r>
      <w:r w:rsidR="005D1A94" w:rsidRPr="000343A7">
        <w:rPr>
          <w:rFonts w:ascii="Times New Roman" w:hAnsi="Times New Roman"/>
          <w:b/>
          <w:lang w:val="sk-SK"/>
        </w:rPr>
        <w:t>1 300 000</w:t>
      </w:r>
      <w:r w:rsidR="00FC7481" w:rsidRPr="000343A7">
        <w:rPr>
          <w:rFonts w:ascii="Times New Roman" w:hAnsi="Times New Roman"/>
          <w:b/>
          <w:lang w:val="sk-SK"/>
        </w:rPr>
        <w:t xml:space="preserve"> </w:t>
      </w:r>
      <w:r w:rsidRPr="000343A7">
        <w:rPr>
          <w:rFonts w:ascii="Times New Roman" w:hAnsi="Times New Roman"/>
          <w:b/>
          <w:lang w:val="sk-SK"/>
        </w:rPr>
        <w:t xml:space="preserve"> eur</w:t>
      </w:r>
    </w:p>
    <w:p w:rsidR="005D1A94" w:rsidRDefault="005D1A94" w:rsidP="005D1A94">
      <w:pPr>
        <w:spacing w:after="0" w:line="240" w:lineRule="auto"/>
        <w:rPr>
          <w:rFonts w:ascii="Times New Roman" w:hAnsi="Times New Roman"/>
        </w:rPr>
      </w:pPr>
    </w:p>
    <w:p w:rsidR="005D1A94" w:rsidRPr="005D1A94" w:rsidRDefault="005D1A94" w:rsidP="005D1A94">
      <w:pPr>
        <w:spacing w:after="0" w:line="240" w:lineRule="auto"/>
        <w:jc w:val="both"/>
        <w:rPr>
          <w:rFonts w:ascii="Times New Roman" w:hAnsi="Times New Roman"/>
        </w:rPr>
      </w:pPr>
      <w:r>
        <w:rPr>
          <w:rFonts w:ascii="Times New Roman" w:hAnsi="Times New Roman"/>
        </w:rPr>
        <w:t>Zároveň je potrebné zdôrazniť, že (pri predpoklade, že cca 2/3 osôb, ktorým bude po príchode zo zahraničia karanténa nariadená využijú domácu karanténu) dôjde k uvoľneniu cca 600 členov policajného zboru, ozbrojených síl a hasičského a záchranného zboru (2/3 z počtu 896 osôb) z plnenia úloh súvisiacich so štátnou karanténou a tieto osoby budú môcť plniť iné úlohy, podľa potrieb prísluš</w:t>
      </w:r>
      <w:r w:rsidR="00776FCA">
        <w:rPr>
          <w:rFonts w:ascii="Times New Roman" w:hAnsi="Times New Roman"/>
        </w:rPr>
        <w:t>ného rezortu</w:t>
      </w:r>
      <w:r>
        <w:rPr>
          <w:rFonts w:ascii="Times New Roman" w:hAnsi="Times New Roman"/>
        </w:rPr>
        <w:t>.</w:t>
      </w:r>
    </w:p>
    <w:p w:rsidR="005D1A94" w:rsidRDefault="005D1A94" w:rsidP="005D1A94">
      <w:pPr>
        <w:spacing w:after="0" w:line="240" w:lineRule="auto"/>
        <w:jc w:val="both"/>
        <w:rPr>
          <w:rFonts w:ascii="Times New Roman" w:hAnsi="Times New Roman"/>
        </w:rPr>
      </w:pPr>
    </w:p>
    <w:p w:rsidR="005D1A94" w:rsidRPr="00776FCA" w:rsidRDefault="00776FCA" w:rsidP="005D1A94">
      <w:pPr>
        <w:spacing w:after="0" w:line="240" w:lineRule="auto"/>
        <w:jc w:val="both"/>
        <w:rPr>
          <w:rFonts w:ascii="Times New Roman" w:hAnsi="Times New Roman"/>
        </w:rPr>
      </w:pPr>
      <w:r>
        <w:rPr>
          <w:rFonts w:ascii="Times New Roman" w:hAnsi="Times New Roman"/>
        </w:rPr>
        <w:t>Nepredpokladá sa zvýšenie výdavkov v súvislosti s vývojom aplikácie pre mobilné telefóny, nakoľko táto bude poskytnutá bezodplatne.</w:t>
      </w:r>
    </w:p>
    <w:p w:rsidR="000343A7" w:rsidRDefault="000343A7" w:rsidP="005D1A94">
      <w:pPr>
        <w:spacing w:after="0" w:line="240" w:lineRule="auto"/>
        <w:jc w:val="both"/>
        <w:rPr>
          <w:rFonts w:ascii="Times New Roman" w:hAnsi="Times New Roman"/>
        </w:rPr>
      </w:pPr>
    </w:p>
    <w:p w:rsidR="000343A7" w:rsidRPr="005D1A94" w:rsidRDefault="000343A7" w:rsidP="005D1A94">
      <w:pPr>
        <w:spacing w:after="0" w:line="240" w:lineRule="auto"/>
        <w:jc w:val="both"/>
        <w:rPr>
          <w:rFonts w:ascii="Times New Roman" w:hAnsi="Times New Roman"/>
        </w:rPr>
      </w:pPr>
    </w:p>
    <w:p w:rsidR="005D1A94" w:rsidRPr="005D1A94" w:rsidRDefault="005D1A94" w:rsidP="005D1A94">
      <w:pPr>
        <w:spacing w:after="0" w:line="240" w:lineRule="auto"/>
        <w:jc w:val="both"/>
        <w:rPr>
          <w:rFonts w:ascii="Times New Roman" w:hAnsi="Times New Roman"/>
        </w:rPr>
      </w:pPr>
    </w:p>
    <w:p w:rsidR="005D1A94" w:rsidRPr="007E25EF" w:rsidRDefault="005D1A94" w:rsidP="00FC7481">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jc w:val="both"/>
        <w:rPr>
          <w:rFonts w:ascii="Times New Roman" w:hAnsi="Times New Roman"/>
          <w:color w:val="000000"/>
        </w:rPr>
      </w:pPr>
    </w:p>
    <w:p w:rsidR="009D2FC7" w:rsidRPr="00FC63F0" w:rsidRDefault="009D2FC7" w:rsidP="00FC63F0">
      <w:pPr>
        <w:spacing w:after="0" w:line="240" w:lineRule="auto"/>
        <w:jc w:val="both"/>
        <w:rPr>
          <w:rFonts w:ascii="Times New Roman" w:hAnsi="Times New Roman"/>
          <w:color w:val="000000"/>
        </w:rPr>
        <w:sectPr w:rsidR="009D2FC7" w:rsidRPr="00FC63F0" w:rsidSect="00FD039D">
          <w:headerReference w:type="even" r:id="rId13"/>
          <w:footerReference w:type="even" r:id="rId14"/>
          <w:footerReference w:type="default" r:id="rId15"/>
          <w:headerReference w:type="first" r:id="rId16"/>
          <w:footerReference w:type="first" r:id="rId17"/>
          <w:pgSz w:w="11906" w:h="16838"/>
          <w:pgMar w:top="1440" w:right="1080" w:bottom="1440" w:left="1080" w:header="709" w:footer="709" w:gutter="0"/>
          <w:pgNumType w:start="1"/>
          <w:cols w:space="708"/>
          <w:docGrid w:linePitch="360"/>
        </w:sectPr>
      </w:pP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lastRenderedPageBreak/>
        <w:t xml:space="preserve">Tabuľka č. 3 </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BB7F52" w:rsidRPr="00FC63F0" w:rsidTr="00BB7F52">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poznámka</w:t>
            </w:r>
          </w:p>
        </w:tc>
      </w:tr>
      <w:tr w:rsidR="00BB7F52" w:rsidRPr="00FC63F0" w:rsidTr="00BB7F52">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rsidR="00BB7F52" w:rsidRPr="00FC63F0" w:rsidRDefault="00BB7F52" w:rsidP="00FC63F0">
            <w:pPr>
              <w:spacing w:after="0" w:line="240" w:lineRule="auto"/>
              <w:jc w:val="both"/>
              <w:rPr>
                <w:rFonts w:ascii="Times New Roman" w:hAnsi="Times New Roman"/>
                <w:b/>
                <w:bCs/>
                <w:color w:val="FFFFFF"/>
              </w:rPr>
            </w:pP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2020</w:t>
            </w: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2021</w:t>
            </w: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2022</w:t>
            </w: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2023</w:t>
            </w:r>
          </w:p>
        </w:tc>
        <w:tc>
          <w:tcPr>
            <w:tcW w:w="2392" w:type="dxa"/>
            <w:vMerge/>
            <w:tcBorders>
              <w:top w:val="single" w:sz="4" w:space="0" w:color="auto"/>
              <w:left w:val="single" w:sz="4" w:space="0" w:color="auto"/>
              <w:bottom w:val="single" w:sz="4" w:space="0" w:color="auto"/>
              <w:right w:val="single" w:sz="4" w:space="0" w:color="auto"/>
            </w:tcBorders>
            <w:vAlign w:val="center"/>
          </w:tcPr>
          <w:p w:rsidR="00BB7F52" w:rsidRPr="00FC63F0" w:rsidRDefault="00BB7F52" w:rsidP="00FC63F0">
            <w:pPr>
              <w:spacing w:after="0" w:line="240" w:lineRule="auto"/>
              <w:jc w:val="both"/>
              <w:rPr>
                <w:rFonts w:ascii="Times New Roman" w:hAnsi="Times New Roman"/>
                <w:b/>
                <w:bCs/>
                <w:color w:val="FFFFFF"/>
              </w:rPr>
            </w:pP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vertAlign w:val="superscript"/>
              </w:rPr>
            </w:pPr>
            <w:r w:rsidRPr="00FC63F0">
              <w:rPr>
                <w:rFonts w:ascii="Times New Roman" w:hAnsi="Times New Roman"/>
                <w:b/>
                <w:bCs/>
              </w:rPr>
              <w:t>Daňové príjmy (100)</w:t>
            </w:r>
            <w:r w:rsidRPr="00FC63F0">
              <w:rPr>
                <w:rFonts w:ascii="Times New Roman" w:hAnsi="Times New Roman"/>
                <w:b/>
                <w:bCs/>
                <w:vertAlign w:val="superscript"/>
              </w:rPr>
              <w:t>1</w:t>
            </w: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Nedaňové príjmy (200)</w:t>
            </w:r>
            <w:r w:rsidRPr="00FC63F0">
              <w:rPr>
                <w:rFonts w:ascii="Times New Roman" w:hAnsi="Times New Roman"/>
                <w:b/>
                <w:bCs/>
                <w:vertAlign w:val="superscript"/>
              </w:rPr>
              <w:t>1</w:t>
            </w: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Granty a transfery (300)</w:t>
            </w:r>
            <w:r w:rsidRPr="00FC63F0">
              <w:rPr>
                <w:rFonts w:ascii="Times New Roman" w:hAnsi="Times New Roman"/>
                <w:b/>
                <w:bCs/>
                <w:vertAlign w:val="superscript"/>
              </w:rPr>
              <w:t>1</w:t>
            </w: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Dopad na príjmy verejnej správy celkom</w:t>
            </w: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shd w:val="clear" w:color="auto" w:fill="BFBFBF"/>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bl>
    <w:p w:rsidR="00B801F3" w:rsidRPr="00FC63F0" w:rsidRDefault="00B801F3"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1 –  príjmy rozpísať až do položiek platnej ekonomickej klasifikácie</w:t>
      </w:r>
    </w:p>
    <w:p w:rsidR="00656F4B" w:rsidRPr="00FC63F0" w:rsidRDefault="00656F4B" w:rsidP="00FC63F0">
      <w:pPr>
        <w:tabs>
          <w:tab w:val="num" w:pos="1080"/>
        </w:tabs>
        <w:spacing w:after="0" w:line="240" w:lineRule="auto"/>
        <w:jc w:val="both"/>
        <w:rPr>
          <w:rFonts w:ascii="Times New Roman" w:hAnsi="Times New Roman"/>
          <w:b/>
          <w:bCs/>
        </w:rPr>
      </w:pPr>
      <w:r w:rsidRPr="00FC63F0">
        <w:rPr>
          <w:rFonts w:ascii="Times New Roman" w:hAnsi="Times New Roman"/>
          <w:b/>
          <w:bCs/>
        </w:rPr>
        <w:t>Poznámka:</w:t>
      </w: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Ak sa vplyv týka viacerých subjektov verejnej správy, vypĺňa sa samostatná tabuľka za každý subjekt.</w:t>
      </w:r>
    </w:p>
    <w:p w:rsidR="00656F4B" w:rsidRPr="00FC63F0" w:rsidRDefault="00656F4B" w:rsidP="00FC63F0">
      <w:pPr>
        <w:tabs>
          <w:tab w:val="num" w:pos="1080"/>
        </w:tabs>
        <w:spacing w:after="0" w:line="240" w:lineRule="auto"/>
        <w:ind w:right="-578"/>
        <w:jc w:val="both"/>
        <w:rPr>
          <w:rFonts w:ascii="Times New Roman" w:hAnsi="Times New Roman"/>
          <w:bCs/>
        </w:rPr>
      </w:pPr>
    </w:p>
    <w:p w:rsidR="00FC7481" w:rsidRDefault="00FC7481">
      <w:pPr>
        <w:rPr>
          <w:rFonts w:ascii="Times New Roman" w:hAnsi="Times New Roman"/>
          <w:bCs/>
        </w:rPr>
      </w:pPr>
      <w:r>
        <w:rPr>
          <w:rFonts w:ascii="Times New Roman" w:hAnsi="Times New Roman"/>
          <w:bCs/>
        </w:rPr>
        <w:br w:type="page"/>
      </w:r>
    </w:p>
    <w:p w:rsidR="00656F4B" w:rsidRPr="00FC63F0" w:rsidRDefault="00656F4B" w:rsidP="00FC63F0">
      <w:pPr>
        <w:tabs>
          <w:tab w:val="num" w:pos="1080"/>
        </w:tabs>
        <w:spacing w:after="0" w:line="240" w:lineRule="auto"/>
        <w:ind w:right="-32"/>
        <w:jc w:val="both"/>
        <w:rPr>
          <w:rFonts w:ascii="Times New Roman" w:hAnsi="Times New Roman"/>
          <w:bCs/>
        </w:rPr>
      </w:pPr>
      <w:r w:rsidRPr="00FC63F0">
        <w:rPr>
          <w:rFonts w:ascii="Times New Roman" w:hAnsi="Times New Roman"/>
          <w:bCs/>
        </w:rPr>
        <w:lastRenderedPageBreak/>
        <w:t xml:space="preserve">Tabuľka č. 4 </w:t>
      </w:r>
    </w:p>
    <w:p w:rsidR="00656F4B" w:rsidRPr="00FC63F0" w:rsidRDefault="00656F4B" w:rsidP="00FC63F0">
      <w:pPr>
        <w:tabs>
          <w:tab w:val="num" w:pos="1080"/>
        </w:tabs>
        <w:spacing w:after="0" w:line="240" w:lineRule="auto"/>
        <w:jc w:val="both"/>
        <w:rPr>
          <w:rFonts w:ascii="Times New Roman" w:hAnsi="Times New Roman"/>
          <w:bCs/>
        </w:rPr>
      </w:pPr>
    </w:p>
    <w:tbl>
      <w:tblPr>
        <w:tblpPr w:leftFromText="141" w:rightFromText="141" w:vertAnchor="text" w:horzAnchor="page" w:tblpX="629" w:tblpY="2"/>
        <w:tblW w:w="12469" w:type="dxa"/>
        <w:tblCellMar>
          <w:left w:w="70" w:type="dxa"/>
          <w:right w:w="70" w:type="dxa"/>
        </w:tblCellMar>
        <w:tblLook w:val="0000" w:firstRow="0" w:lastRow="0" w:firstColumn="0" w:lastColumn="0" w:noHBand="0" w:noVBand="0"/>
      </w:tblPr>
      <w:tblGrid>
        <w:gridCol w:w="4815"/>
        <w:gridCol w:w="1152"/>
        <w:gridCol w:w="1067"/>
        <w:gridCol w:w="1067"/>
        <w:gridCol w:w="1068"/>
        <w:gridCol w:w="3300"/>
      </w:tblGrid>
      <w:tr w:rsidR="00656F4B" w:rsidRPr="00FC63F0" w:rsidTr="00762B0D">
        <w:trPr>
          <w:cantSplit/>
          <w:trHeight w:val="229"/>
        </w:trPr>
        <w:tc>
          <w:tcPr>
            <w:tcW w:w="481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Výdavky (v eurách)</w:t>
            </w:r>
          </w:p>
        </w:tc>
        <w:tc>
          <w:tcPr>
            <w:tcW w:w="4354" w:type="dxa"/>
            <w:gridSpan w:val="4"/>
            <w:tcBorders>
              <w:top w:val="single" w:sz="4" w:space="0" w:color="auto"/>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Vplyv na rozpočet verejnej správy</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poznámka</w:t>
            </w:r>
          </w:p>
        </w:tc>
      </w:tr>
      <w:tr w:rsidR="00656F4B" w:rsidRPr="00FC63F0" w:rsidTr="00762B0D">
        <w:trPr>
          <w:cantSplit/>
          <w:trHeight w:val="229"/>
        </w:trPr>
        <w:tc>
          <w:tcPr>
            <w:tcW w:w="4815" w:type="dxa"/>
            <w:vMerge/>
            <w:tcBorders>
              <w:top w:val="single" w:sz="4" w:space="0" w:color="auto"/>
              <w:left w:val="single" w:sz="4" w:space="0" w:color="auto"/>
              <w:bottom w:val="single" w:sz="4" w:space="0" w:color="000000"/>
              <w:right w:val="single" w:sz="4" w:space="0" w:color="auto"/>
            </w:tcBorders>
            <w:vAlign w:val="center"/>
          </w:tcPr>
          <w:p w:rsidR="00656F4B" w:rsidRPr="00FC63F0" w:rsidRDefault="00656F4B" w:rsidP="00FC63F0">
            <w:pPr>
              <w:spacing w:after="0" w:line="240" w:lineRule="auto"/>
              <w:jc w:val="both"/>
              <w:rPr>
                <w:rFonts w:ascii="Times New Roman" w:hAnsi="Times New Roman"/>
                <w:b/>
                <w:bCs/>
                <w:color w:val="FFFFFF"/>
              </w:rPr>
            </w:pPr>
          </w:p>
        </w:tc>
        <w:tc>
          <w:tcPr>
            <w:tcW w:w="1152" w:type="dxa"/>
            <w:tcBorders>
              <w:top w:val="nil"/>
              <w:left w:val="nil"/>
              <w:bottom w:val="single" w:sz="4" w:space="0" w:color="auto"/>
              <w:right w:val="single" w:sz="4" w:space="0" w:color="auto"/>
            </w:tcBorders>
            <w:shd w:val="clear" w:color="auto" w:fill="BFBFBF"/>
          </w:tcPr>
          <w:p w:rsidR="00656F4B" w:rsidRPr="00FC63F0" w:rsidRDefault="00FC7481" w:rsidP="00FC63F0">
            <w:pPr>
              <w:spacing w:after="0" w:line="240" w:lineRule="auto"/>
              <w:jc w:val="both"/>
              <w:rPr>
                <w:rFonts w:ascii="Times New Roman" w:hAnsi="Times New Roman"/>
                <w:b/>
                <w:bCs/>
              </w:rPr>
            </w:pPr>
            <w:r>
              <w:rPr>
                <w:rFonts w:ascii="Times New Roman" w:hAnsi="Times New Roman"/>
                <w:b/>
                <w:bCs/>
              </w:rPr>
              <w:t>2020</w:t>
            </w:r>
          </w:p>
        </w:tc>
        <w:tc>
          <w:tcPr>
            <w:tcW w:w="1067" w:type="dxa"/>
            <w:tcBorders>
              <w:top w:val="nil"/>
              <w:left w:val="nil"/>
              <w:bottom w:val="single" w:sz="4" w:space="0" w:color="auto"/>
              <w:right w:val="single" w:sz="4" w:space="0" w:color="auto"/>
            </w:tcBorders>
            <w:shd w:val="clear" w:color="auto" w:fill="BFBFBF"/>
          </w:tcPr>
          <w:p w:rsidR="00656F4B" w:rsidRPr="00FC63F0" w:rsidRDefault="00FC7481" w:rsidP="00FC63F0">
            <w:pPr>
              <w:spacing w:after="0" w:line="240" w:lineRule="auto"/>
              <w:jc w:val="both"/>
              <w:rPr>
                <w:rFonts w:ascii="Times New Roman" w:hAnsi="Times New Roman"/>
                <w:b/>
                <w:bCs/>
              </w:rPr>
            </w:pPr>
            <w:r>
              <w:rPr>
                <w:rFonts w:ascii="Times New Roman" w:hAnsi="Times New Roman"/>
                <w:b/>
                <w:bCs/>
              </w:rPr>
              <w:t>2021</w:t>
            </w:r>
          </w:p>
        </w:tc>
        <w:tc>
          <w:tcPr>
            <w:tcW w:w="1067" w:type="dxa"/>
            <w:tcBorders>
              <w:top w:val="nil"/>
              <w:left w:val="nil"/>
              <w:bottom w:val="single" w:sz="4" w:space="0" w:color="auto"/>
              <w:right w:val="single" w:sz="4" w:space="0" w:color="auto"/>
            </w:tcBorders>
            <w:shd w:val="clear" w:color="auto" w:fill="BFBFBF"/>
          </w:tcPr>
          <w:p w:rsidR="00656F4B" w:rsidRPr="00FC63F0" w:rsidRDefault="00656F4B" w:rsidP="00FC7481">
            <w:pPr>
              <w:spacing w:after="0" w:line="240" w:lineRule="auto"/>
              <w:jc w:val="both"/>
              <w:rPr>
                <w:rFonts w:ascii="Times New Roman" w:hAnsi="Times New Roman"/>
                <w:b/>
                <w:bCs/>
              </w:rPr>
            </w:pPr>
            <w:r w:rsidRPr="00FC63F0">
              <w:rPr>
                <w:rFonts w:ascii="Times New Roman" w:hAnsi="Times New Roman"/>
                <w:b/>
                <w:bCs/>
              </w:rPr>
              <w:t>202</w:t>
            </w:r>
            <w:r w:rsidR="00FC7481">
              <w:rPr>
                <w:rFonts w:ascii="Times New Roman" w:hAnsi="Times New Roman"/>
                <w:b/>
                <w:bCs/>
              </w:rPr>
              <w:t>2</w:t>
            </w:r>
          </w:p>
        </w:tc>
        <w:tc>
          <w:tcPr>
            <w:tcW w:w="1068" w:type="dxa"/>
            <w:tcBorders>
              <w:top w:val="nil"/>
              <w:left w:val="nil"/>
              <w:bottom w:val="single" w:sz="4" w:space="0" w:color="auto"/>
              <w:right w:val="single" w:sz="4" w:space="0" w:color="auto"/>
            </w:tcBorders>
            <w:shd w:val="clear" w:color="auto" w:fill="BFBFBF"/>
          </w:tcPr>
          <w:p w:rsidR="00656F4B" w:rsidRPr="00FC63F0" w:rsidRDefault="00656F4B" w:rsidP="00FC7481">
            <w:pPr>
              <w:spacing w:after="0" w:line="240" w:lineRule="auto"/>
              <w:jc w:val="both"/>
              <w:rPr>
                <w:rFonts w:ascii="Times New Roman" w:hAnsi="Times New Roman"/>
                <w:b/>
                <w:bCs/>
              </w:rPr>
            </w:pPr>
            <w:r w:rsidRPr="00FC63F0">
              <w:rPr>
                <w:rFonts w:ascii="Times New Roman" w:hAnsi="Times New Roman"/>
                <w:b/>
                <w:bCs/>
              </w:rPr>
              <w:t>202</w:t>
            </w:r>
            <w:r w:rsidR="00FC7481">
              <w:rPr>
                <w:rFonts w:ascii="Times New Roman" w:hAnsi="Times New Roman"/>
                <w:b/>
                <w:bCs/>
              </w:rPr>
              <w:t>3</w:t>
            </w:r>
          </w:p>
        </w:tc>
        <w:tc>
          <w:tcPr>
            <w:tcW w:w="3300" w:type="dxa"/>
            <w:vMerge/>
            <w:tcBorders>
              <w:top w:val="single" w:sz="4" w:space="0" w:color="auto"/>
              <w:left w:val="single" w:sz="4" w:space="0" w:color="auto"/>
              <w:bottom w:val="single" w:sz="4" w:space="0" w:color="auto"/>
              <w:right w:val="single" w:sz="4" w:space="0" w:color="auto"/>
            </w:tcBorders>
            <w:vAlign w:val="center"/>
          </w:tcPr>
          <w:p w:rsidR="00656F4B" w:rsidRPr="00FC63F0" w:rsidRDefault="00656F4B" w:rsidP="00FC63F0">
            <w:pPr>
              <w:spacing w:after="0" w:line="240" w:lineRule="auto"/>
              <w:jc w:val="both"/>
              <w:rPr>
                <w:rFonts w:ascii="Times New Roman" w:hAnsi="Times New Roman"/>
                <w:b/>
                <w:bCs/>
                <w:color w:val="FFFFFF"/>
              </w:rPr>
            </w:pP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Bežné výdavky (600)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xml:space="preserve">  Mzdy, platy, služobné príjmy a ostatné osobné vyrovnania (610)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vertAlign w:val="superscript"/>
              </w:rPr>
            </w:pPr>
            <w:r w:rsidRPr="00FC63F0">
              <w:rPr>
                <w:rFonts w:ascii="Times New Roman" w:hAnsi="Times New Roman"/>
              </w:rPr>
              <w:t xml:space="preserve">  Poistné a príspevok do poisťovní (620)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C732DA" w:rsidRPr="00FC63F0" w:rsidTr="008E25DF">
        <w:trPr>
          <w:trHeight w:val="229"/>
        </w:trPr>
        <w:tc>
          <w:tcPr>
            <w:tcW w:w="4815" w:type="dxa"/>
            <w:tcBorders>
              <w:top w:val="nil"/>
              <w:left w:val="single" w:sz="4" w:space="0" w:color="auto"/>
              <w:bottom w:val="single" w:sz="4" w:space="0" w:color="auto"/>
              <w:right w:val="single" w:sz="4" w:space="0" w:color="auto"/>
            </w:tcBorders>
          </w:tcPr>
          <w:p w:rsidR="00C732DA" w:rsidRPr="00FC63F0" w:rsidRDefault="00C732DA" w:rsidP="00FC63F0">
            <w:pPr>
              <w:spacing w:after="0" w:line="240" w:lineRule="auto"/>
              <w:jc w:val="both"/>
              <w:rPr>
                <w:rFonts w:ascii="Times New Roman" w:hAnsi="Times New Roman"/>
                <w:vertAlign w:val="superscript"/>
              </w:rPr>
            </w:pPr>
            <w:r w:rsidRPr="00FC63F0">
              <w:rPr>
                <w:rFonts w:ascii="Times New Roman" w:hAnsi="Times New Roman"/>
              </w:rPr>
              <w:t xml:space="preserve">  Tovary a služby (630)</w:t>
            </w:r>
            <w:r w:rsidRPr="00FC63F0">
              <w:rPr>
                <w:rFonts w:ascii="Times New Roman" w:hAnsi="Times New Roman"/>
                <w:vertAlign w:val="superscript"/>
              </w:rPr>
              <w:t>2</w:t>
            </w:r>
          </w:p>
        </w:tc>
        <w:tc>
          <w:tcPr>
            <w:tcW w:w="1152" w:type="dxa"/>
            <w:tcBorders>
              <w:top w:val="nil"/>
              <w:left w:val="nil"/>
              <w:bottom w:val="single" w:sz="8" w:space="0" w:color="auto"/>
              <w:right w:val="single" w:sz="8" w:space="0" w:color="auto"/>
            </w:tcBorders>
            <w:shd w:val="clear" w:color="auto" w:fill="auto"/>
          </w:tcPr>
          <w:p w:rsidR="00C732DA" w:rsidRPr="00FC63F0" w:rsidRDefault="000343A7" w:rsidP="00FC63F0">
            <w:pPr>
              <w:spacing w:after="0" w:line="240" w:lineRule="auto"/>
              <w:jc w:val="both"/>
              <w:rPr>
                <w:rFonts w:ascii="Times New Roman" w:hAnsi="Times New Roman"/>
              </w:rPr>
            </w:pPr>
            <w:r>
              <w:rPr>
                <w:rFonts w:ascii="Times New Roman" w:hAnsi="Times New Roman"/>
              </w:rPr>
              <w:t>- 1 300 000</w:t>
            </w:r>
          </w:p>
        </w:tc>
        <w:tc>
          <w:tcPr>
            <w:tcW w:w="1067" w:type="dxa"/>
            <w:tcBorders>
              <w:top w:val="nil"/>
              <w:left w:val="nil"/>
              <w:bottom w:val="single" w:sz="4" w:space="0" w:color="auto"/>
              <w:right w:val="single" w:sz="4" w:space="0" w:color="auto"/>
            </w:tcBorders>
            <w:shd w:val="clear" w:color="auto" w:fill="auto"/>
            <w:vAlign w:val="center"/>
          </w:tcPr>
          <w:p w:rsidR="00C732DA" w:rsidRPr="00FC63F0" w:rsidRDefault="00C732DA"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shd w:val="clear" w:color="auto" w:fill="auto"/>
            <w:vAlign w:val="center"/>
          </w:tcPr>
          <w:p w:rsidR="00C732DA" w:rsidRPr="00FC63F0" w:rsidRDefault="00C732DA"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tcPr>
          <w:p w:rsidR="00C732DA" w:rsidRPr="00FC63F0" w:rsidRDefault="00C732DA"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C732DA" w:rsidRPr="00FC63F0" w:rsidRDefault="000343A7" w:rsidP="00FC63F0">
            <w:pPr>
              <w:spacing w:after="0" w:line="240" w:lineRule="auto"/>
              <w:jc w:val="both"/>
              <w:rPr>
                <w:rFonts w:ascii="Times New Roman" w:hAnsi="Times New Roman"/>
              </w:rPr>
            </w:pPr>
            <w:r>
              <w:rPr>
                <w:rFonts w:ascii="Times New Roman" w:hAnsi="Times New Roman"/>
              </w:rPr>
              <w:t>Zníženie výdavkov v súvislosti s realizáciou povinnej karantény v domácom prostredí</w:t>
            </w:r>
          </w:p>
        </w:tc>
      </w:tr>
      <w:tr w:rsidR="000343A7" w:rsidRPr="00FC63F0" w:rsidTr="00762B0D">
        <w:trPr>
          <w:trHeight w:val="229"/>
        </w:trPr>
        <w:tc>
          <w:tcPr>
            <w:tcW w:w="4815" w:type="dxa"/>
            <w:tcBorders>
              <w:top w:val="nil"/>
              <w:left w:val="single" w:sz="4" w:space="0" w:color="auto"/>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xml:space="preserve">  Bežné transfery (640)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w:t>
            </w:r>
          </w:p>
        </w:tc>
      </w:tr>
      <w:tr w:rsidR="000343A7" w:rsidRPr="00FC63F0" w:rsidTr="00762B0D">
        <w:trPr>
          <w:trHeight w:val="229"/>
        </w:trPr>
        <w:tc>
          <w:tcPr>
            <w:tcW w:w="4815" w:type="dxa"/>
            <w:tcBorders>
              <w:top w:val="nil"/>
              <w:left w:val="single" w:sz="4" w:space="0" w:color="auto"/>
              <w:bottom w:val="single" w:sz="4" w:space="0" w:color="auto"/>
              <w:right w:val="single" w:sz="4" w:space="0" w:color="auto"/>
            </w:tcBorders>
            <w:vAlign w:val="center"/>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xml:space="preserve">  Splácanie úrokov a ostatné platby súvisiace s  úverom, pôžičkou, návratnou finančnou výpomocou a finančným prenájmom (650)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0343A7" w:rsidRPr="00FC63F0" w:rsidRDefault="000343A7" w:rsidP="000343A7">
            <w:pPr>
              <w:spacing w:after="0" w:line="240" w:lineRule="auto"/>
              <w:jc w:val="both"/>
              <w:rPr>
                <w:rFonts w:ascii="Times New Roman" w:hAnsi="Times New Roman"/>
              </w:rPr>
            </w:pPr>
          </w:p>
        </w:tc>
      </w:tr>
      <w:tr w:rsidR="000343A7" w:rsidRPr="00FC63F0" w:rsidTr="00762B0D">
        <w:trPr>
          <w:trHeight w:val="229"/>
        </w:trPr>
        <w:tc>
          <w:tcPr>
            <w:tcW w:w="4815" w:type="dxa"/>
            <w:tcBorders>
              <w:top w:val="nil"/>
              <w:left w:val="single" w:sz="4" w:space="0" w:color="auto"/>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Kapitálové výdavky (700)</w:t>
            </w:r>
          </w:p>
        </w:tc>
        <w:tc>
          <w:tcPr>
            <w:tcW w:w="1152"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b/>
                <w:bCs/>
              </w:rPr>
            </w:pPr>
          </w:p>
        </w:tc>
        <w:tc>
          <w:tcPr>
            <w:tcW w:w="1068"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b/>
                <w:bCs/>
              </w:rPr>
            </w:pPr>
          </w:p>
        </w:tc>
        <w:tc>
          <w:tcPr>
            <w:tcW w:w="3300" w:type="dxa"/>
            <w:tcBorders>
              <w:top w:val="nil"/>
              <w:left w:val="nil"/>
              <w:bottom w:val="single" w:sz="4" w:space="0" w:color="auto"/>
              <w:right w:val="single" w:sz="4" w:space="0" w:color="auto"/>
            </w:tcBorders>
            <w:noWrap/>
            <w:vAlign w:val="bottom"/>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w:t>
            </w:r>
          </w:p>
        </w:tc>
      </w:tr>
      <w:tr w:rsidR="000343A7" w:rsidRPr="00FC63F0" w:rsidTr="00762B0D">
        <w:trPr>
          <w:trHeight w:val="229"/>
        </w:trPr>
        <w:tc>
          <w:tcPr>
            <w:tcW w:w="4815" w:type="dxa"/>
            <w:tcBorders>
              <w:top w:val="nil"/>
              <w:left w:val="single" w:sz="4" w:space="0" w:color="auto"/>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xml:space="preserve">  Obstarávanie kapitálových aktív (710)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w:t>
            </w:r>
          </w:p>
        </w:tc>
      </w:tr>
      <w:tr w:rsidR="000343A7" w:rsidRPr="00FC63F0" w:rsidTr="00762B0D">
        <w:trPr>
          <w:trHeight w:val="229"/>
        </w:trPr>
        <w:tc>
          <w:tcPr>
            <w:tcW w:w="4815" w:type="dxa"/>
            <w:tcBorders>
              <w:top w:val="nil"/>
              <w:left w:val="single" w:sz="4" w:space="0" w:color="auto"/>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xml:space="preserve">  Kapitálové transfery (720)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w:t>
            </w:r>
          </w:p>
        </w:tc>
      </w:tr>
      <w:tr w:rsidR="000343A7" w:rsidRPr="00FC63F0" w:rsidTr="00762B0D">
        <w:trPr>
          <w:trHeight w:val="229"/>
        </w:trPr>
        <w:tc>
          <w:tcPr>
            <w:tcW w:w="4815" w:type="dxa"/>
            <w:tcBorders>
              <w:top w:val="nil"/>
              <w:left w:val="single" w:sz="4" w:space="0" w:color="auto"/>
              <w:bottom w:val="single" w:sz="4" w:space="0" w:color="auto"/>
              <w:right w:val="single" w:sz="4" w:space="0" w:color="auto"/>
            </w:tcBorders>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Výdavky z transakcií s finančnými aktívami a finančnými pasívami (800)</w:t>
            </w:r>
          </w:p>
        </w:tc>
        <w:tc>
          <w:tcPr>
            <w:tcW w:w="1152" w:type="dxa"/>
            <w:tcBorders>
              <w:top w:val="nil"/>
              <w:left w:val="nil"/>
              <w:bottom w:val="single" w:sz="4" w:space="0" w:color="auto"/>
              <w:right w:val="single" w:sz="4" w:space="0" w:color="auto"/>
            </w:tcBorders>
            <w:shd w:val="clear" w:color="auto" w:fill="FFFF99"/>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 </w:t>
            </w:r>
          </w:p>
        </w:tc>
        <w:tc>
          <w:tcPr>
            <w:tcW w:w="1067" w:type="dxa"/>
            <w:tcBorders>
              <w:top w:val="nil"/>
              <w:left w:val="nil"/>
              <w:bottom w:val="single" w:sz="4" w:space="0" w:color="auto"/>
              <w:right w:val="single" w:sz="4" w:space="0" w:color="auto"/>
            </w:tcBorders>
            <w:shd w:val="clear" w:color="auto" w:fill="FFFF99"/>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 </w:t>
            </w:r>
          </w:p>
        </w:tc>
        <w:tc>
          <w:tcPr>
            <w:tcW w:w="1067" w:type="dxa"/>
            <w:tcBorders>
              <w:top w:val="nil"/>
              <w:left w:val="nil"/>
              <w:bottom w:val="single" w:sz="4" w:space="0" w:color="auto"/>
              <w:right w:val="single" w:sz="4" w:space="0" w:color="auto"/>
            </w:tcBorders>
            <w:shd w:val="clear" w:color="auto" w:fill="FFFF99"/>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 </w:t>
            </w:r>
          </w:p>
        </w:tc>
        <w:tc>
          <w:tcPr>
            <w:tcW w:w="1068" w:type="dxa"/>
            <w:tcBorders>
              <w:top w:val="nil"/>
              <w:left w:val="nil"/>
              <w:bottom w:val="single" w:sz="4" w:space="0" w:color="auto"/>
              <w:right w:val="single" w:sz="4" w:space="0" w:color="auto"/>
            </w:tcBorders>
            <w:shd w:val="clear" w:color="auto" w:fill="FFFF99"/>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 </w:t>
            </w:r>
          </w:p>
        </w:tc>
        <w:tc>
          <w:tcPr>
            <w:tcW w:w="3300" w:type="dxa"/>
            <w:tcBorders>
              <w:top w:val="nil"/>
              <w:left w:val="nil"/>
              <w:bottom w:val="single" w:sz="4" w:space="0" w:color="auto"/>
              <w:right w:val="single" w:sz="4" w:space="0" w:color="auto"/>
            </w:tcBorders>
            <w:noWrap/>
            <w:vAlign w:val="bottom"/>
          </w:tcPr>
          <w:p w:rsidR="000343A7" w:rsidRPr="00FC63F0" w:rsidRDefault="000343A7" w:rsidP="000343A7">
            <w:pPr>
              <w:spacing w:after="0" w:line="240" w:lineRule="auto"/>
              <w:jc w:val="both"/>
              <w:rPr>
                <w:rFonts w:ascii="Times New Roman" w:hAnsi="Times New Roman"/>
              </w:rPr>
            </w:pPr>
            <w:r w:rsidRPr="00FC63F0">
              <w:rPr>
                <w:rFonts w:ascii="Times New Roman" w:hAnsi="Times New Roman"/>
              </w:rPr>
              <w:t> </w:t>
            </w:r>
          </w:p>
        </w:tc>
      </w:tr>
      <w:tr w:rsidR="000343A7" w:rsidRPr="00FC63F0" w:rsidTr="00762B0D">
        <w:trPr>
          <w:trHeight w:val="229"/>
        </w:trPr>
        <w:tc>
          <w:tcPr>
            <w:tcW w:w="4815" w:type="dxa"/>
            <w:tcBorders>
              <w:top w:val="single" w:sz="4" w:space="0" w:color="auto"/>
              <w:left w:val="single" w:sz="4" w:space="0" w:color="auto"/>
              <w:bottom w:val="single" w:sz="4" w:space="0" w:color="auto"/>
              <w:right w:val="single" w:sz="4" w:space="0" w:color="auto"/>
            </w:tcBorders>
            <w:shd w:val="clear" w:color="auto" w:fill="BFBFBF"/>
          </w:tcPr>
          <w:p w:rsidR="000343A7" w:rsidRPr="00FC63F0" w:rsidRDefault="000343A7" w:rsidP="000343A7">
            <w:pPr>
              <w:spacing w:after="0" w:line="240" w:lineRule="auto"/>
              <w:jc w:val="both"/>
              <w:rPr>
                <w:rFonts w:ascii="Times New Roman" w:hAnsi="Times New Roman"/>
                <w:b/>
                <w:bCs/>
              </w:rPr>
            </w:pPr>
            <w:r w:rsidRPr="00FC63F0">
              <w:rPr>
                <w:rFonts w:ascii="Times New Roman" w:hAnsi="Times New Roman"/>
                <w:b/>
                <w:bCs/>
              </w:rPr>
              <w:t>Dopad na výdavky verejnej správy celkom</w:t>
            </w:r>
          </w:p>
        </w:tc>
        <w:tc>
          <w:tcPr>
            <w:tcW w:w="1152" w:type="dxa"/>
            <w:tcBorders>
              <w:top w:val="nil"/>
              <w:left w:val="nil"/>
              <w:bottom w:val="single" w:sz="8" w:space="0" w:color="auto"/>
              <w:right w:val="single" w:sz="8" w:space="0" w:color="auto"/>
            </w:tcBorders>
            <w:shd w:val="clear" w:color="auto" w:fill="auto"/>
            <w:vAlign w:val="center"/>
          </w:tcPr>
          <w:p w:rsidR="000343A7" w:rsidRPr="00FC63F0" w:rsidRDefault="000343A7" w:rsidP="00776FCA">
            <w:pPr>
              <w:spacing w:after="0" w:line="240" w:lineRule="auto"/>
              <w:jc w:val="both"/>
              <w:rPr>
                <w:rFonts w:ascii="Times New Roman" w:hAnsi="Times New Roman"/>
                <w:b/>
                <w:bCs/>
                <w:color w:val="000000"/>
              </w:rPr>
            </w:pPr>
            <w:r>
              <w:rPr>
                <w:rFonts w:ascii="Times New Roman" w:hAnsi="Times New Roman"/>
                <w:b/>
                <w:bCs/>
                <w:color w:val="000000"/>
              </w:rPr>
              <w:t>- 1 </w:t>
            </w:r>
            <w:r w:rsidR="00776FCA">
              <w:rPr>
                <w:rFonts w:ascii="Times New Roman" w:hAnsi="Times New Roman"/>
                <w:b/>
                <w:bCs/>
                <w:color w:val="000000"/>
              </w:rPr>
              <w:t>30</w:t>
            </w:r>
            <w:r>
              <w:rPr>
                <w:rFonts w:ascii="Times New Roman" w:hAnsi="Times New Roman"/>
                <w:b/>
                <w:bCs/>
                <w:color w:val="000000"/>
              </w:rPr>
              <w:t>0 000</w:t>
            </w:r>
          </w:p>
        </w:tc>
        <w:tc>
          <w:tcPr>
            <w:tcW w:w="1067" w:type="dxa"/>
            <w:tcBorders>
              <w:top w:val="nil"/>
              <w:left w:val="nil"/>
              <w:bottom w:val="single" w:sz="8" w:space="0" w:color="auto"/>
              <w:right w:val="single" w:sz="8" w:space="0" w:color="auto"/>
            </w:tcBorders>
            <w:shd w:val="clear" w:color="auto" w:fill="auto"/>
            <w:vAlign w:val="center"/>
          </w:tcPr>
          <w:p w:rsidR="000343A7" w:rsidRPr="00FC63F0" w:rsidRDefault="000343A7" w:rsidP="000343A7">
            <w:pPr>
              <w:spacing w:after="0" w:line="240" w:lineRule="auto"/>
              <w:jc w:val="both"/>
              <w:rPr>
                <w:rFonts w:ascii="Times New Roman" w:hAnsi="Times New Roman"/>
                <w:b/>
                <w:bCs/>
                <w:color w:val="000000"/>
              </w:rPr>
            </w:pPr>
            <w:r w:rsidRPr="00FC63F0">
              <w:rPr>
                <w:rFonts w:ascii="Times New Roman" w:hAnsi="Times New Roman"/>
                <w:b/>
                <w:bCs/>
                <w:color w:val="000000"/>
                <w:lang w:eastAsia="sk-SK"/>
              </w:rPr>
              <w:t xml:space="preserve"> </w:t>
            </w:r>
          </w:p>
        </w:tc>
        <w:tc>
          <w:tcPr>
            <w:tcW w:w="1067" w:type="dxa"/>
            <w:tcBorders>
              <w:top w:val="nil"/>
              <w:left w:val="nil"/>
              <w:bottom w:val="single" w:sz="8" w:space="0" w:color="auto"/>
              <w:right w:val="single" w:sz="8" w:space="0" w:color="auto"/>
            </w:tcBorders>
            <w:shd w:val="clear" w:color="auto" w:fill="auto"/>
            <w:vAlign w:val="center"/>
          </w:tcPr>
          <w:p w:rsidR="000343A7" w:rsidRPr="00FC63F0" w:rsidRDefault="000343A7" w:rsidP="000343A7">
            <w:pPr>
              <w:spacing w:after="0" w:line="240" w:lineRule="auto"/>
              <w:jc w:val="both"/>
              <w:rPr>
                <w:rFonts w:ascii="Times New Roman" w:hAnsi="Times New Roman"/>
                <w:b/>
                <w:bCs/>
                <w:color w:val="000000"/>
              </w:rPr>
            </w:pPr>
            <w:r w:rsidRPr="00FC63F0">
              <w:rPr>
                <w:rFonts w:ascii="Times New Roman" w:hAnsi="Times New Roman"/>
                <w:b/>
                <w:bCs/>
                <w:color w:val="000000"/>
                <w:lang w:eastAsia="sk-SK"/>
              </w:rPr>
              <w:t xml:space="preserve"> </w:t>
            </w:r>
          </w:p>
        </w:tc>
        <w:tc>
          <w:tcPr>
            <w:tcW w:w="1068" w:type="dxa"/>
            <w:tcBorders>
              <w:top w:val="nil"/>
              <w:left w:val="nil"/>
              <w:bottom w:val="single" w:sz="8" w:space="0" w:color="auto"/>
              <w:right w:val="single" w:sz="8" w:space="0" w:color="auto"/>
            </w:tcBorders>
            <w:shd w:val="clear" w:color="auto" w:fill="auto"/>
            <w:vAlign w:val="center"/>
          </w:tcPr>
          <w:p w:rsidR="000343A7" w:rsidRPr="00FC63F0" w:rsidRDefault="000343A7" w:rsidP="000343A7">
            <w:pPr>
              <w:spacing w:after="0" w:line="240" w:lineRule="auto"/>
              <w:jc w:val="both"/>
              <w:rPr>
                <w:rFonts w:ascii="Times New Roman" w:hAnsi="Times New Roman"/>
                <w:b/>
                <w:bCs/>
                <w:color w:val="000000"/>
              </w:rPr>
            </w:pPr>
            <w:r w:rsidRPr="00FC63F0">
              <w:rPr>
                <w:rFonts w:ascii="Times New Roman" w:hAnsi="Times New Roman"/>
                <w:b/>
                <w:bCs/>
                <w:color w:val="000000"/>
                <w:lang w:eastAsia="sk-SK"/>
              </w:rPr>
              <w:t xml:space="preserve"> </w:t>
            </w:r>
          </w:p>
        </w:tc>
        <w:tc>
          <w:tcPr>
            <w:tcW w:w="3300" w:type="dxa"/>
            <w:tcBorders>
              <w:top w:val="single" w:sz="4" w:space="0" w:color="auto"/>
              <w:left w:val="nil"/>
              <w:bottom w:val="single" w:sz="4" w:space="0" w:color="auto"/>
              <w:right w:val="single" w:sz="4" w:space="0" w:color="auto"/>
            </w:tcBorders>
            <w:shd w:val="clear" w:color="auto" w:fill="BFBFBF"/>
            <w:noWrap/>
            <w:vAlign w:val="bottom"/>
          </w:tcPr>
          <w:p w:rsidR="000343A7" w:rsidRPr="000343A7" w:rsidRDefault="000343A7" w:rsidP="000343A7">
            <w:pPr>
              <w:pStyle w:val="Odsekzoznamu"/>
              <w:spacing w:after="0" w:line="240" w:lineRule="auto"/>
              <w:ind w:left="420"/>
              <w:jc w:val="both"/>
              <w:rPr>
                <w:rFonts w:ascii="Times New Roman" w:hAnsi="Times New Roman"/>
              </w:rPr>
            </w:pPr>
          </w:p>
        </w:tc>
      </w:tr>
    </w:tbl>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0343A7" w:rsidRDefault="000343A7"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FC7481" w:rsidRDefault="00FC7481" w:rsidP="00FC63F0">
      <w:pPr>
        <w:tabs>
          <w:tab w:val="num" w:pos="1080"/>
        </w:tabs>
        <w:spacing w:after="0" w:line="240" w:lineRule="auto"/>
        <w:ind w:left="-900"/>
        <w:jc w:val="both"/>
        <w:rPr>
          <w:rFonts w:ascii="Times New Roman" w:hAnsi="Times New Roman"/>
          <w:bCs/>
        </w:rPr>
      </w:pPr>
    </w:p>
    <w:p w:rsidR="000343A7" w:rsidRDefault="000343A7" w:rsidP="00FC63F0">
      <w:pPr>
        <w:tabs>
          <w:tab w:val="num" w:pos="1080"/>
        </w:tabs>
        <w:spacing w:after="0" w:line="240" w:lineRule="auto"/>
        <w:ind w:left="-900"/>
        <w:jc w:val="both"/>
        <w:rPr>
          <w:rFonts w:ascii="Times New Roman" w:hAnsi="Times New Roman"/>
          <w:bCs/>
        </w:rPr>
      </w:pPr>
    </w:p>
    <w:p w:rsidR="000343A7" w:rsidRDefault="000343A7"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ind w:left="-900"/>
        <w:jc w:val="both"/>
        <w:rPr>
          <w:rFonts w:ascii="Times New Roman" w:hAnsi="Times New Roman"/>
          <w:bCs/>
        </w:rPr>
      </w:pPr>
      <w:r w:rsidRPr="00FC63F0">
        <w:rPr>
          <w:rFonts w:ascii="Times New Roman" w:hAnsi="Times New Roman"/>
          <w:bCs/>
        </w:rPr>
        <w:t>2 –  výdavky rozpísať až do položiek platnej ekonomickej klasifikácie</w:t>
      </w:r>
    </w:p>
    <w:p w:rsidR="00656F4B" w:rsidRPr="00FC63F0" w:rsidRDefault="00656F4B"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ind w:left="-900"/>
        <w:jc w:val="both"/>
        <w:rPr>
          <w:rFonts w:ascii="Times New Roman" w:hAnsi="Times New Roman"/>
          <w:b/>
          <w:bCs/>
        </w:rPr>
      </w:pPr>
      <w:r w:rsidRPr="00FC63F0">
        <w:rPr>
          <w:rFonts w:ascii="Times New Roman" w:hAnsi="Times New Roman"/>
          <w:b/>
          <w:bCs/>
        </w:rPr>
        <w:t>Poznámka:</w:t>
      </w:r>
    </w:p>
    <w:p w:rsidR="00656F4B" w:rsidRPr="00FC63F0" w:rsidRDefault="00656F4B" w:rsidP="00FC63F0">
      <w:pPr>
        <w:tabs>
          <w:tab w:val="num" w:pos="1080"/>
        </w:tabs>
        <w:spacing w:after="0" w:line="240" w:lineRule="auto"/>
        <w:ind w:left="-900"/>
        <w:jc w:val="both"/>
        <w:rPr>
          <w:rFonts w:ascii="Times New Roman" w:hAnsi="Times New Roman"/>
          <w:bCs/>
        </w:rPr>
      </w:pPr>
      <w:r w:rsidRPr="00FC63F0">
        <w:rPr>
          <w:rFonts w:ascii="Times New Roman" w:hAnsi="Times New Roman"/>
          <w:bCs/>
        </w:rPr>
        <w:t>Ak sa vplyv týka viacerých subjektov verejnej správy, vypĺňa sa samostatná tabuľka za každý subjekt.</w:t>
      </w:r>
    </w:p>
    <w:p w:rsidR="00656F4B" w:rsidRPr="00FC63F0" w:rsidRDefault="00656F4B"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ind w:left="-900"/>
        <w:jc w:val="both"/>
        <w:rPr>
          <w:rFonts w:ascii="Times New Roman" w:hAnsi="Times New Roman"/>
          <w:bCs/>
        </w:rPr>
      </w:pPr>
    </w:p>
    <w:p w:rsidR="000343A7"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 xml:space="preserve">                </w:t>
      </w:r>
    </w:p>
    <w:p w:rsidR="000343A7" w:rsidRDefault="000343A7">
      <w:pPr>
        <w:rPr>
          <w:rFonts w:ascii="Times New Roman" w:hAnsi="Times New Roman"/>
          <w:bCs/>
        </w:rPr>
      </w:pPr>
      <w:r>
        <w:rPr>
          <w:rFonts w:ascii="Times New Roman" w:hAnsi="Times New Roman"/>
          <w:bCs/>
        </w:rPr>
        <w:br w:type="page"/>
      </w: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lastRenderedPageBreak/>
        <w:t xml:space="preserve"> Tabuľka č. 5 </w:t>
      </w:r>
    </w:p>
    <w:p w:rsidR="00656F4B" w:rsidRPr="00FC63F0" w:rsidRDefault="00656F4B" w:rsidP="00FC63F0">
      <w:pPr>
        <w:tabs>
          <w:tab w:val="num" w:pos="1080"/>
        </w:tabs>
        <w:spacing w:after="0" w:line="240" w:lineRule="auto"/>
        <w:jc w:val="both"/>
        <w:rPr>
          <w:rFonts w:ascii="Times New Roman" w:hAnsi="Times New Roman"/>
          <w:bCs/>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656F4B" w:rsidRPr="00FC63F0" w:rsidTr="00362F29">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poznámka</w:t>
            </w:r>
          </w:p>
        </w:tc>
      </w:tr>
      <w:tr w:rsidR="00656F4B" w:rsidRPr="00FC63F0" w:rsidTr="00362F29">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rPr>
            </w:pPr>
          </w:p>
        </w:tc>
        <w:tc>
          <w:tcPr>
            <w:tcW w:w="1276" w:type="dxa"/>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2020</w:t>
            </w:r>
          </w:p>
        </w:tc>
        <w:tc>
          <w:tcPr>
            <w:tcW w:w="1134" w:type="dxa"/>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2021</w:t>
            </w:r>
          </w:p>
        </w:tc>
        <w:tc>
          <w:tcPr>
            <w:tcW w:w="1170" w:type="dxa"/>
            <w:gridSpan w:val="2"/>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2022</w:t>
            </w:r>
          </w:p>
        </w:tc>
        <w:tc>
          <w:tcPr>
            <w:tcW w:w="1256" w:type="dxa"/>
            <w:gridSpan w:val="2"/>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2023</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color w:val="FFFFFF"/>
              </w:rPr>
            </w:pP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Počet zamestnancov celkom</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xml:space="preserve">   z toho vplyv na ŠR</w:t>
            </w:r>
          </w:p>
        </w:tc>
        <w:tc>
          <w:tcPr>
            <w:tcW w:w="1276"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Priemerný mzdový výdavok (v eurách)</w:t>
            </w:r>
          </w:p>
        </w:tc>
        <w:tc>
          <w:tcPr>
            <w:tcW w:w="1276"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b/>
                <w:bCs/>
              </w:rPr>
              <w:t xml:space="preserve">   z toho vplyv na ŠR</w:t>
            </w:r>
          </w:p>
        </w:tc>
        <w:tc>
          <w:tcPr>
            <w:tcW w:w="1276"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134"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170"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256"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Osobné výdavky celkom (v eurách)</w:t>
            </w:r>
          </w:p>
        </w:tc>
        <w:tc>
          <w:tcPr>
            <w:tcW w:w="1276"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shd w:val="clear" w:color="auto" w:fill="BFBFBF"/>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Mzdy, platy, služobné príjmy a ostatné osobné vyrovnania (610)</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b/>
                <w:bCs/>
              </w:rPr>
              <w:t xml:space="preserve">   z toho vplyv na ŠR</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Poistné a príspevok do poisťovní (620)</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b/>
                <w:bCs/>
              </w:rPr>
              <w:t xml:space="preserve">   z toho vplyv na ŠR</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276"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gridAfter w:val="1"/>
          <w:wAfter w:w="64" w:type="dxa"/>
          <w:trHeight w:val="255"/>
        </w:trPr>
        <w:tc>
          <w:tcPr>
            <w:tcW w:w="4181" w:type="dxa"/>
            <w:tcBorders>
              <w:top w:val="nil"/>
              <w:left w:val="nil"/>
              <w:bottom w:val="nil"/>
              <w:right w:val="nil"/>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Poznámky:</w:t>
            </w:r>
          </w:p>
        </w:tc>
        <w:tc>
          <w:tcPr>
            <w:tcW w:w="1276"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gridAfter w:val="1"/>
          <w:wAfter w:w="64" w:type="dxa"/>
          <w:trHeight w:val="255"/>
        </w:trPr>
        <w:tc>
          <w:tcPr>
            <w:tcW w:w="9066" w:type="dxa"/>
            <w:gridSpan w:val="8"/>
            <w:tcBorders>
              <w:top w:val="nil"/>
              <w:left w:val="nil"/>
              <w:bottom w:val="nil"/>
              <w:right w:val="nil"/>
            </w:tcBorders>
            <w:noWrap/>
          </w:tcPr>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trHeight w:val="255"/>
        </w:trPr>
        <w:tc>
          <w:tcPr>
            <w:tcW w:w="7349" w:type="dxa"/>
            <w:gridSpan w:val="4"/>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905" w:type="dxa"/>
            <w:gridSpan w:val="3"/>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92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bl>
    <w:p w:rsidR="00656F4B" w:rsidRPr="00FC63F0" w:rsidRDefault="00656F4B" w:rsidP="00FC63F0">
      <w:pPr>
        <w:spacing w:after="0" w:line="240" w:lineRule="auto"/>
        <w:jc w:val="both"/>
        <w:rPr>
          <w:rFonts w:ascii="Times New Roman" w:hAnsi="Times New Roman"/>
          <w:b/>
          <w:color w:val="000000"/>
        </w:rPr>
      </w:pPr>
    </w:p>
    <w:p w:rsidR="00656F4B" w:rsidRPr="00FC63F0" w:rsidRDefault="00656F4B" w:rsidP="00FC63F0">
      <w:pPr>
        <w:spacing w:after="0" w:line="240" w:lineRule="auto"/>
        <w:jc w:val="both"/>
        <w:rPr>
          <w:rFonts w:ascii="Times New Roman" w:hAnsi="Times New Roman"/>
          <w:b/>
          <w:color w:val="000000"/>
        </w:rPr>
      </w:pPr>
    </w:p>
    <w:p w:rsidR="00656F4B" w:rsidRPr="00FC63F0" w:rsidRDefault="00656F4B" w:rsidP="00FC63F0">
      <w:pPr>
        <w:spacing w:after="0" w:line="240" w:lineRule="auto"/>
        <w:jc w:val="both"/>
        <w:rPr>
          <w:rFonts w:ascii="Times New Roman" w:hAnsi="Times New Roman"/>
        </w:rPr>
      </w:pPr>
    </w:p>
    <w:sectPr w:rsidR="00656F4B" w:rsidRPr="00FC63F0" w:rsidSect="00FD039D">
      <w:pgSz w:w="16838" w:h="11906" w:orient="landscape"/>
      <w:pgMar w:top="1080" w:right="1440" w:bottom="108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D9" w:rsidRDefault="00BA33D9">
      <w:pPr>
        <w:spacing w:after="0" w:line="240" w:lineRule="auto"/>
      </w:pPr>
      <w:r>
        <w:separator/>
      </w:r>
    </w:p>
  </w:endnote>
  <w:endnote w:type="continuationSeparator" w:id="0">
    <w:p w:rsidR="00BA33D9" w:rsidRDefault="00BA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AA" w:rsidRDefault="00BD5AA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D5AAA" w:rsidRDefault="00BD5AA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AA" w:rsidRDefault="00BD5AAA">
    <w:pPr>
      <w:pStyle w:val="Pta"/>
      <w:jc w:val="right"/>
    </w:pPr>
    <w:r>
      <w:fldChar w:fldCharType="begin"/>
    </w:r>
    <w:r>
      <w:instrText>PAGE   \* MERGEFORMAT</w:instrText>
    </w:r>
    <w:r>
      <w:fldChar w:fldCharType="separate"/>
    </w:r>
    <w:r w:rsidR="00FE5108">
      <w:rPr>
        <w:noProof/>
      </w:rPr>
      <w:t>2</w:t>
    </w:r>
    <w:r>
      <w:fldChar w:fldCharType="end"/>
    </w:r>
  </w:p>
  <w:p w:rsidR="00BD5AAA" w:rsidRDefault="00BD5AA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AA" w:rsidRDefault="00BD5AAA">
    <w:pPr>
      <w:pStyle w:val="Pta"/>
      <w:jc w:val="right"/>
    </w:pPr>
    <w:r>
      <w:fldChar w:fldCharType="begin"/>
    </w:r>
    <w:r>
      <w:instrText>PAGE   \* MERGEFORMAT</w:instrText>
    </w:r>
    <w:r>
      <w:fldChar w:fldCharType="separate"/>
    </w:r>
    <w:r>
      <w:rPr>
        <w:noProof/>
      </w:rPr>
      <w:t>0</w:t>
    </w:r>
    <w:r>
      <w:fldChar w:fldCharType="end"/>
    </w:r>
  </w:p>
  <w:p w:rsidR="00BD5AAA" w:rsidRDefault="00BD5A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D9" w:rsidRDefault="00BA33D9">
      <w:pPr>
        <w:spacing w:after="0" w:line="240" w:lineRule="auto"/>
      </w:pPr>
      <w:r>
        <w:separator/>
      </w:r>
    </w:p>
  </w:footnote>
  <w:footnote w:type="continuationSeparator" w:id="0">
    <w:p w:rsidR="00BA33D9" w:rsidRDefault="00BA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AA" w:rsidRDefault="00BD5AAA" w:rsidP="0051724E">
    <w:pPr>
      <w:pStyle w:val="Hlavika"/>
      <w:jc w:val="right"/>
      <w:rPr>
        <w:sz w:val="24"/>
        <w:szCs w:val="24"/>
      </w:rPr>
    </w:pPr>
    <w:r>
      <w:rPr>
        <w:sz w:val="24"/>
        <w:szCs w:val="24"/>
      </w:rPr>
      <w:t>Príloha č. 2</w:t>
    </w:r>
  </w:p>
  <w:p w:rsidR="00BD5AAA" w:rsidRPr="00EB59C8" w:rsidRDefault="00BD5AAA" w:rsidP="0051724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AA" w:rsidRPr="000A15AE" w:rsidRDefault="00BD5AAA"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449"/>
    <w:multiLevelType w:val="hybridMultilevel"/>
    <w:tmpl w:val="A02E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004B9"/>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F2407"/>
    <w:multiLevelType w:val="hybridMultilevel"/>
    <w:tmpl w:val="0FCC698C"/>
    <w:lvl w:ilvl="0" w:tplc="01A224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704D15"/>
    <w:multiLevelType w:val="hybridMultilevel"/>
    <w:tmpl w:val="2DDA49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7B48D6"/>
    <w:multiLevelType w:val="hybridMultilevel"/>
    <w:tmpl w:val="0D6E85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8F01E6"/>
    <w:multiLevelType w:val="hybridMultilevel"/>
    <w:tmpl w:val="96C4874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214608"/>
    <w:multiLevelType w:val="hybridMultilevel"/>
    <w:tmpl w:val="BDCCE41A"/>
    <w:lvl w:ilvl="0" w:tplc="3758816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C37A35"/>
    <w:multiLevelType w:val="hybridMultilevel"/>
    <w:tmpl w:val="32544E1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29381539"/>
    <w:multiLevelType w:val="hybridMultilevel"/>
    <w:tmpl w:val="EC563DA2"/>
    <w:lvl w:ilvl="0" w:tplc="AA5402B4">
      <w:start w:val="17"/>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8577ED"/>
    <w:multiLevelType w:val="hybridMultilevel"/>
    <w:tmpl w:val="2CFE55CC"/>
    <w:lvl w:ilvl="0" w:tplc="DB12D3C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2755E2"/>
    <w:multiLevelType w:val="hybridMultilevel"/>
    <w:tmpl w:val="64963BD2"/>
    <w:lvl w:ilvl="0" w:tplc="C07A7E0E">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55CCE"/>
    <w:multiLevelType w:val="hybridMultilevel"/>
    <w:tmpl w:val="0E4CF4CA"/>
    <w:lvl w:ilvl="0" w:tplc="668A1EB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5C150D"/>
    <w:multiLevelType w:val="hybridMultilevel"/>
    <w:tmpl w:val="3EE07DE6"/>
    <w:lvl w:ilvl="0" w:tplc="041B0001">
      <w:start w:val="5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1417EE"/>
    <w:multiLevelType w:val="hybridMultilevel"/>
    <w:tmpl w:val="2626FECC"/>
    <w:lvl w:ilvl="0" w:tplc="0518B6A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47635BE"/>
    <w:multiLevelType w:val="hybridMultilevel"/>
    <w:tmpl w:val="33C205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14E5F"/>
    <w:multiLevelType w:val="hybridMultilevel"/>
    <w:tmpl w:val="7FC0769C"/>
    <w:lvl w:ilvl="0" w:tplc="ED602570">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4404A0"/>
    <w:multiLevelType w:val="hybridMultilevel"/>
    <w:tmpl w:val="AD680234"/>
    <w:lvl w:ilvl="0" w:tplc="B92EAA2A">
      <w:start w:val="1"/>
      <w:numFmt w:val="bullet"/>
      <w:lvlText w:val="-"/>
      <w:lvlJc w:val="left"/>
      <w:pPr>
        <w:ind w:left="660" w:hanging="360"/>
      </w:pPr>
      <w:rPr>
        <w:rFonts w:ascii="Liberation Serif" w:eastAsia="SimSun" w:hAnsi="Liberation Serif"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23" w15:restartNumberingAfterBreak="0">
    <w:nsid w:val="50410380"/>
    <w:multiLevelType w:val="hybridMultilevel"/>
    <w:tmpl w:val="276CD660"/>
    <w:lvl w:ilvl="0" w:tplc="48263D6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A6736D"/>
    <w:multiLevelType w:val="hybridMultilevel"/>
    <w:tmpl w:val="FE34D500"/>
    <w:lvl w:ilvl="0" w:tplc="041B0001">
      <w:start w:val="9"/>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B40950"/>
    <w:multiLevelType w:val="hybridMultilevel"/>
    <w:tmpl w:val="EA5C732C"/>
    <w:lvl w:ilvl="0" w:tplc="7C286718">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4D52A7"/>
    <w:multiLevelType w:val="hybridMultilevel"/>
    <w:tmpl w:val="1FD24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567CA1"/>
    <w:multiLevelType w:val="hybridMultilevel"/>
    <w:tmpl w:val="920E9EEC"/>
    <w:lvl w:ilvl="0" w:tplc="29F4F26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8AF3CF2"/>
    <w:multiLevelType w:val="hybridMultilevel"/>
    <w:tmpl w:val="A92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FC3A7B"/>
    <w:multiLevelType w:val="hybridMultilevel"/>
    <w:tmpl w:val="ACD287F8"/>
    <w:lvl w:ilvl="0" w:tplc="D92649DA">
      <w:start w:val="10"/>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2" w15:restartNumberingAfterBreak="0">
    <w:nsid w:val="7EAB38F2"/>
    <w:multiLevelType w:val="hybridMultilevel"/>
    <w:tmpl w:val="35706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2745D0"/>
    <w:multiLevelType w:val="hybridMultilevel"/>
    <w:tmpl w:val="F2B26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26"/>
  </w:num>
  <w:num w:numId="5">
    <w:abstractNumId w:val="12"/>
  </w:num>
  <w:num w:numId="6">
    <w:abstractNumId w:val="19"/>
  </w:num>
  <w:num w:numId="7">
    <w:abstractNumId w:val="15"/>
  </w:num>
  <w:num w:numId="8">
    <w:abstractNumId w:val="23"/>
  </w:num>
  <w:num w:numId="9">
    <w:abstractNumId w:val="2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7"/>
  </w:num>
  <w:num w:numId="14">
    <w:abstractNumId w:val="30"/>
  </w:num>
  <w:num w:numId="15">
    <w:abstractNumId w:val="0"/>
  </w:num>
  <w:num w:numId="16">
    <w:abstractNumId w:val="22"/>
  </w:num>
  <w:num w:numId="17">
    <w:abstractNumId w:val="33"/>
  </w:num>
  <w:num w:numId="18">
    <w:abstractNumId w:val="17"/>
  </w:num>
  <w:num w:numId="19">
    <w:abstractNumId w:val="28"/>
  </w:num>
  <w:num w:numId="20">
    <w:abstractNumId w:val="10"/>
  </w:num>
  <w:num w:numId="21">
    <w:abstractNumId w:val="1"/>
  </w:num>
  <w:num w:numId="22">
    <w:abstractNumId w:val="4"/>
  </w:num>
  <w:num w:numId="23">
    <w:abstractNumId w:val="9"/>
  </w:num>
  <w:num w:numId="24">
    <w:abstractNumId w:val="13"/>
  </w:num>
  <w:num w:numId="25">
    <w:abstractNumId w:val="11"/>
  </w:num>
  <w:num w:numId="26">
    <w:abstractNumId w:val="14"/>
  </w:num>
  <w:num w:numId="27">
    <w:abstractNumId w:val="6"/>
  </w:num>
  <w:num w:numId="28">
    <w:abstractNumId w:val="5"/>
  </w:num>
  <w:num w:numId="29">
    <w:abstractNumId w:val="2"/>
  </w:num>
  <w:num w:numId="30">
    <w:abstractNumId w:val="20"/>
  </w:num>
  <w:num w:numId="31">
    <w:abstractNumId w:val="2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195"/>
    <w:rsid w:val="00007824"/>
    <w:rsid w:val="00014850"/>
    <w:rsid w:val="00015D2A"/>
    <w:rsid w:val="000206ED"/>
    <w:rsid w:val="00020C88"/>
    <w:rsid w:val="00023FC4"/>
    <w:rsid w:val="0002537D"/>
    <w:rsid w:val="00027B76"/>
    <w:rsid w:val="00031E18"/>
    <w:rsid w:val="000343A7"/>
    <w:rsid w:val="00035EB6"/>
    <w:rsid w:val="00037573"/>
    <w:rsid w:val="0004147A"/>
    <w:rsid w:val="000416A5"/>
    <w:rsid w:val="00042CDF"/>
    <w:rsid w:val="00043791"/>
    <w:rsid w:val="00045303"/>
    <w:rsid w:val="0004584E"/>
    <w:rsid w:val="000468CB"/>
    <w:rsid w:val="00047B8F"/>
    <w:rsid w:val="00054059"/>
    <w:rsid w:val="00054507"/>
    <w:rsid w:val="000552ED"/>
    <w:rsid w:val="00057135"/>
    <w:rsid w:val="00061108"/>
    <w:rsid w:val="000616B3"/>
    <w:rsid w:val="00062570"/>
    <w:rsid w:val="0006311E"/>
    <w:rsid w:val="0007019E"/>
    <w:rsid w:val="000737C6"/>
    <w:rsid w:val="00073BA9"/>
    <w:rsid w:val="00074FD9"/>
    <w:rsid w:val="00077B21"/>
    <w:rsid w:val="00084682"/>
    <w:rsid w:val="00085839"/>
    <w:rsid w:val="000870A0"/>
    <w:rsid w:val="0008759D"/>
    <w:rsid w:val="0009006D"/>
    <w:rsid w:val="00091095"/>
    <w:rsid w:val="00091240"/>
    <w:rsid w:val="00091FAF"/>
    <w:rsid w:val="000927D0"/>
    <w:rsid w:val="00092D89"/>
    <w:rsid w:val="0009495D"/>
    <w:rsid w:val="000977E2"/>
    <w:rsid w:val="00097E01"/>
    <w:rsid w:val="000A044C"/>
    <w:rsid w:val="000A15AE"/>
    <w:rsid w:val="000A19FF"/>
    <w:rsid w:val="000A1E89"/>
    <w:rsid w:val="000A1F6E"/>
    <w:rsid w:val="000A5045"/>
    <w:rsid w:val="000A574A"/>
    <w:rsid w:val="000A764D"/>
    <w:rsid w:val="000B2853"/>
    <w:rsid w:val="000B2DD8"/>
    <w:rsid w:val="000B3BAE"/>
    <w:rsid w:val="000B49D5"/>
    <w:rsid w:val="000C10F9"/>
    <w:rsid w:val="000C5591"/>
    <w:rsid w:val="000D07CE"/>
    <w:rsid w:val="000D1348"/>
    <w:rsid w:val="000D3884"/>
    <w:rsid w:val="000D3FD8"/>
    <w:rsid w:val="000E29DE"/>
    <w:rsid w:val="000E2BB6"/>
    <w:rsid w:val="000E5AD1"/>
    <w:rsid w:val="000E6B4D"/>
    <w:rsid w:val="000F09CE"/>
    <w:rsid w:val="000F1438"/>
    <w:rsid w:val="000F341B"/>
    <w:rsid w:val="000F37FC"/>
    <w:rsid w:val="000F7999"/>
    <w:rsid w:val="0010124B"/>
    <w:rsid w:val="00102592"/>
    <w:rsid w:val="00103E05"/>
    <w:rsid w:val="00107A15"/>
    <w:rsid w:val="001100EC"/>
    <w:rsid w:val="00111923"/>
    <w:rsid w:val="00112088"/>
    <w:rsid w:val="001127A8"/>
    <w:rsid w:val="001158E8"/>
    <w:rsid w:val="00116559"/>
    <w:rsid w:val="001173DB"/>
    <w:rsid w:val="00117CB8"/>
    <w:rsid w:val="00127DFD"/>
    <w:rsid w:val="0013517B"/>
    <w:rsid w:val="001357B6"/>
    <w:rsid w:val="001368F8"/>
    <w:rsid w:val="0014108D"/>
    <w:rsid w:val="00142FE3"/>
    <w:rsid w:val="001469D7"/>
    <w:rsid w:val="00147982"/>
    <w:rsid w:val="00151256"/>
    <w:rsid w:val="0015307D"/>
    <w:rsid w:val="00153F73"/>
    <w:rsid w:val="0015408E"/>
    <w:rsid w:val="001561F4"/>
    <w:rsid w:val="001576F5"/>
    <w:rsid w:val="0016067B"/>
    <w:rsid w:val="00161774"/>
    <w:rsid w:val="00161CAC"/>
    <w:rsid w:val="00163D7A"/>
    <w:rsid w:val="00163D97"/>
    <w:rsid w:val="00165D3F"/>
    <w:rsid w:val="00165D89"/>
    <w:rsid w:val="00170D2B"/>
    <w:rsid w:val="00170EC7"/>
    <w:rsid w:val="001724EF"/>
    <w:rsid w:val="001724F7"/>
    <w:rsid w:val="00173E0C"/>
    <w:rsid w:val="00176F52"/>
    <w:rsid w:val="001770BF"/>
    <w:rsid w:val="001774D8"/>
    <w:rsid w:val="00180079"/>
    <w:rsid w:val="00180D95"/>
    <w:rsid w:val="00184F37"/>
    <w:rsid w:val="00185605"/>
    <w:rsid w:val="001869E5"/>
    <w:rsid w:val="00192E67"/>
    <w:rsid w:val="001A18CE"/>
    <w:rsid w:val="001A1C23"/>
    <w:rsid w:val="001A2C49"/>
    <w:rsid w:val="001B2716"/>
    <w:rsid w:val="001B2749"/>
    <w:rsid w:val="001B4208"/>
    <w:rsid w:val="001B73AD"/>
    <w:rsid w:val="001C039C"/>
    <w:rsid w:val="001C2F03"/>
    <w:rsid w:val="001C5328"/>
    <w:rsid w:val="001C7640"/>
    <w:rsid w:val="001D1883"/>
    <w:rsid w:val="001D1AE3"/>
    <w:rsid w:val="001D2A16"/>
    <w:rsid w:val="001D413E"/>
    <w:rsid w:val="001D4B49"/>
    <w:rsid w:val="001D5AE9"/>
    <w:rsid w:val="001D5B06"/>
    <w:rsid w:val="001D6E49"/>
    <w:rsid w:val="001E1809"/>
    <w:rsid w:val="001E18CE"/>
    <w:rsid w:val="001E27E4"/>
    <w:rsid w:val="001E2FFE"/>
    <w:rsid w:val="001E6300"/>
    <w:rsid w:val="001E757C"/>
    <w:rsid w:val="001E7C6B"/>
    <w:rsid w:val="001F2211"/>
    <w:rsid w:val="001F3071"/>
    <w:rsid w:val="001F3441"/>
    <w:rsid w:val="001F448F"/>
    <w:rsid w:val="00200898"/>
    <w:rsid w:val="00201417"/>
    <w:rsid w:val="002015B1"/>
    <w:rsid w:val="002051BE"/>
    <w:rsid w:val="002119A8"/>
    <w:rsid w:val="00212894"/>
    <w:rsid w:val="00213282"/>
    <w:rsid w:val="002134EE"/>
    <w:rsid w:val="00214AD1"/>
    <w:rsid w:val="0021508E"/>
    <w:rsid w:val="00215DD3"/>
    <w:rsid w:val="0022148F"/>
    <w:rsid w:val="00232363"/>
    <w:rsid w:val="00237EFC"/>
    <w:rsid w:val="0024067A"/>
    <w:rsid w:val="00241646"/>
    <w:rsid w:val="002439B0"/>
    <w:rsid w:val="002445E9"/>
    <w:rsid w:val="00246984"/>
    <w:rsid w:val="00253049"/>
    <w:rsid w:val="002531B7"/>
    <w:rsid w:val="0026250A"/>
    <w:rsid w:val="00263CBD"/>
    <w:rsid w:val="00263FD1"/>
    <w:rsid w:val="0026659F"/>
    <w:rsid w:val="002674E3"/>
    <w:rsid w:val="00270824"/>
    <w:rsid w:val="00270D61"/>
    <w:rsid w:val="002747BB"/>
    <w:rsid w:val="0027524F"/>
    <w:rsid w:val="00275BA3"/>
    <w:rsid w:val="00280A57"/>
    <w:rsid w:val="002829F8"/>
    <w:rsid w:val="00282A79"/>
    <w:rsid w:val="00282DD4"/>
    <w:rsid w:val="0028536C"/>
    <w:rsid w:val="00286233"/>
    <w:rsid w:val="00292770"/>
    <w:rsid w:val="002942EB"/>
    <w:rsid w:val="002951C1"/>
    <w:rsid w:val="002970DB"/>
    <w:rsid w:val="0029720E"/>
    <w:rsid w:val="00297720"/>
    <w:rsid w:val="002A0DB9"/>
    <w:rsid w:val="002A48E2"/>
    <w:rsid w:val="002A5E00"/>
    <w:rsid w:val="002B1923"/>
    <w:rsid w:val="002B1C46"/>
    <w:rsid w:val="002B2394"/>
    <w:rsid w:val="002B33DB"/>
    <w:rsid w:val="002B409E"/>
    <w:rsid w:val="002C17FB"/>
    <w:rsid w:val="002C439B"/>
    <w:rsid w:val="002C4A2F"/>
    <w:rsid w:val="002C60AE"/>
    <w:rsid w:val="002C6587"/>
    <w:rsid w:val="002D0BC2"/>
    <w:rsid w:val="002D2B7C"/>
    <w:rsid w:val="002D3478"/>
    <w:rsid w:val="002D420F"/>
    <w:rsid w:val="002D7EF7"/>
    <w:rsid w:val="002E0228"/>
    <w:rsid w:val="002E4461"/>
    <w:rsid w:val="002E6A96"/>
    <w:rsid w:val="002F1733"/>
    <w:rsid w:val="002F34D7"/>
    <w:rsid w:val="002F478A"/>
    <w:rsid w:val="002F71F3"/>
    <w:rsid w:val="00300910"/>
    <w:rsid w:val="00300A11"/>
    <w:rsid w:val="00302A6D"/>
    <w:rsid w:val="00303796"/>
    <w:rsid w:val="003037AC"/>
    <w:rsid w:val="0030479A"/>
    <w:rsid w:val="00305496"/>
    <w:rsid w:val="00305592"/>
    <w:rsid w:val="00305BE4"/>
    <w:rsid w:val="00310F27"/>
    <w:rsid w:val="00311651"/>
    <w:rsid w:val="00311E26"/>
    <w:rsid w:val="00312AAC"/>
    <w:rsid w:val="003136D1"/>
    <w:rsid w:val="003162D5"/>
    <w:rsid w:val="00317B90"/>
    <w:rsid w:val="003233CC"/>
    <w:rsid w:val="00323AB4"/>
    <w:rsid w:val="00324AE2"/>
    <w:rsid w:val="0032790C"/>
    <w:rsid w:val="0033117D"/>
    <w:rsid w:val="0033270F"/>
    <w:rsid w:val="003359D7"/>
    <w:rsid w:val="00335BF5"/>
    <w:rsid w:val="003434D4"/>
    <w:rsid w:val="00344928"/>
    <w:rsid w:val="003464DE"/>
    <w:rsid w:val="003470FF"/>
    <w:rsid w:val="00352312"/>
    <w:rsid w:val="00356761"/>
    <w:rsid w:val="00361CE5"/>
    <w:rsid w:val="00361ED3"/>
    <w:rsid w:val="0036280B"/>
    <w:rsid w:val="00362F29"/>
    <w:rsid w:val="003633B6"/>
    <w:rsid w:val="00363492"/>
    <w:rsid w:val="00364AD9"/>
    <w:rsid w:val="003667F7"/>
    <w:rsid w:val="00370A9B"/>
    <w:rsid w:val="00373484"/>
    <w:rsid w:val="00377212"/>
    <w:rsid w:val="003773F5"/>
    <w:rsid w:val="00377CC0"/>
    <w:rsid w:val="00380B23"/>
    <w:rsid w:val="003837F0"/>
    <w:rsid w:val="003862DD"/>
    <w:rsid w:val="003866C0"/>
    <w:rsid w:val="00390633"/>
    <w:rsid w:val="00391C46"/>
    <w:rsid w:val="00393772"/>
    <w:rsid w:val="003942E4"/>
    <w:rsid w:val="00394973"/>
    <w:rsid w:val="00395F9B"/>
    <w:rsid w:val="003A2506"/>
    <w:rsid w:val="003A2583"/>
    <w:rsid w:val="003A28C0"/>
    <w:rsid w:val="003A44C6"/>
    <w:rsid w:val="003A653E"/>
    <w:rsid w:val="003B1714"/>
    <w:rsid w:val="003B1C48"/>
    <w:rsid w:val="003B28C5"/>
    <w:rsid w:val="003B32F6"/>
    <w:rsid w:val="003B4E2C"/>
    <w:rsid w:val="003B5934"/>
    <w:rsid w:val="003B5B9E"/>
    <w:rsid w:val="003C0624"/>
    <w:rsid w:val="003C0E5A"/>
    <w:rsid w:val="003C4968"/>
    <w:rsid w:val="003C501C"/>
    <w:rsid w:val="003D28AB"/>
    <w:rsid w:val="003D394F"/>
    <w:rsid w:val="003D4EC1"/>
    <w:rsid w:val="003D67FB"/>
    <w:rsid w:val="003D6E48"/>
    <w:rsid w:val="003D76E0"/>
    <w:rsid w:val="003E196D"/>
    <w:rsid w:val="003E4564"/>
    <w:rsid w:val="003E54DA"/>
    <w:rsid w:val="003E5770"/>
    <w:rsid w:val="003E596D"/>
    <w:rsid w:val="003F2D31"/>
    <w:rsid w:val="003F4E44"/>
    <w:rsid w:val="003F7F0A"/>
    <w:rsid w:val="004015CE"/>
    <w:rsid w:val="00401613"/>
    <w:rsid w:val="0040228C"/>
    <w:rsid w:val="00402E1D"/>
    <w:rsid w:val="004034F6"/>
    <w:rsid w:val="00403ECB"/>
    <w:rsid w:val="00404EE8"/>
    <w:rsid w:val="00405513"/>
    <w:rsid w:val="0040650B"/>
    <w:rsid w:val="00407B5E"/>
    <w:rsid w:val="00411423"/>
    <w:rsid w:val="0041579E"/>
    <w:rsid w:val="0041686A"/>
    <w:rsid w:val="004214E8"/>
    <w:rsid w:val="004224E4"/>
    <w:rsid w:val="004228ED"/>
    <w:rsid w:val="0042351E"/>
    <w:rsid w:val="00424A58"/>
    <w:rsid w:val="004253B7"/>
    <w:rsid w:val="00432070"/>
    <w:rsid w:val="0043248A"/>
    <w:rsid w:val="004349B1"/>
    <w:rsid w:val="00434E81"/>
    <w:rsid w:val="00436870"/>
    <w:rsid w:val="0043775F"/>
    <w:rsid w:val="00437C3E"/>
    <w:rsid w:val="004418D6"/>
    <w:rsid w:val="004441E1"/>
    <w:rsid w:val="004445AD"/>
    <w:rsid w:val="00445925"/>
    <w:rsid w:val="00457028"/>
    <w:rsid w:val="004575FA"/>
    <w:rsid w:val="00461523"/>
    <w:rsid w:val="00463C0D"/>
    <w:rsid w:val="00463FB2"/>
    <w:rsid w:val="00464259"/>
    <w:rsid w:val="004645BE"/>
    <w:rsid w:val="00467518"/>
    <w:rsid w:val="0047027A"/>
    <w:rsid w:val="004803EE"/>
    <w:rsid w:val="00482BB2"/>
    <w:rsid w:val="00486E96"/>
    <w:rsid w:val="00486EC0"/>
    <w:rsid w:val="00487203"/>
    <w:rsid w:val="00487795"/>
    <w:rsid w:val="00491E11"/>
    <w:rsid w:val="00491E26"/>
    <w:rsid w:val="00491F36"/>
    <w:rsid w:val="00492AB0"/>
    <w:rsid w:val="004958FB"/>
    <w:rsid w:val="00496A9D"/>
    <w:rsid w:val="004A077B"/>
    <w:rsid w:val="004A18F4"/>
    <w:rsid w:val="004A5901"/>
    <w:rsid w:val="004A7B08"/>
    <w:rsid w:val="004B189C"/>
    <w:rsid w:val="004B1CEE"/>
    <w:rsid w:val="004B5972"/>
    <w:rsid w:val="004C1869"/>
    <w:rsid w:val="004C5A1C"/>
    <w:rsid w:val="004C71E8"/>
    <w:rsid w:val="004C733E"/>
    <w:rsid w:val="004C784A"/>
    <w:rsid w:val="004C7AF0"/>
    <w:rsid w:val="004D0ACD"/>
    <w:rsid w:val="004D2ED6"/>
    <w:rsid w:val="004D4C0E"/>
    <w:rsid w:val="004D5843"/>
    <w:rsid w:val="004D6793"/>
    <w:rsid w:val="004D7493"/>
    <w:rsid w:val="004E147C"/>
    <w:rsid w:val="004E14D2"/>
    <w:rsid w:val="004E39F8"/>
    <w:rsid w:val="004E3BD9"/>
    <w:rsid w:val="004E51D0"/>
    <w:rsid w:val="004E565D"/>
    <w:rsid w:val="004E5B48"/>
    <w:rsid w:val="004F0D89"/>
    <w:rsid w:val="004F27BE"/>
    <w:rsid w:val="005005EC"/>
    <w:rsid w:val="00500886"/>
    <w:rsid w:val="00501D49"/>
    <w:rsid w:val="00501F39"/>
    <w:rsid w:val="00502ABF"/>
    <w:rsid w:val="00507678"/>
    <w:rsid w:val="005114E0"/>
    <w:rsid w:val="005145FE"/>
    <w:rsid w:val="005157C2"/>
    <w:rsid w:val="00515A7C"/>
    <w:rsid w:val="00515AD0"/>
    <w:rsid w:val="005166A3"/>
    <w:rsid w:val="0051724E"/>
    <w:rsid w:val="00521600"/>
    <w:rsid w:val="00522E95"/>
    <w:rsid w:val="00524E6E"/>
    <w:rsid w:val="005256E6"/>
    <w:rsid w:val="005279EA"/>
    <w:rsid w:val="00531D14"/>
    <w:rsid w:val="00532C3C"/>
    <w:rsid w:val="005373A4"/>
    <w:rsid w:val="00540B4A"/>
    <w:rsid w:val="00546693"/>
    <w:rsid w:val="00551FD9"/>
    <w:rsid w:val="00554D42"/>
    <w:rsid w:val="00555D45"/>
    <w:rsid w:val="00564755"/>
    <w:rsid w:val="005658F0"/>
    <w:rsid w:val="0056590D"/>
    <w:rsid w:val="0056627F"/>
    <w:rsid w:val="00567A1C"/>
    <w:rsid w:val="00573ADA"/>
    <w:rsid w:val="00576CA8"/>
    <w:rsid w:val="00577CEC"/>
    <w:rsid w:val="00580BAC"/>
    <w:rsid w:val="00590596"/>
    <w:rsid w:val="00591933"/>
    <w:rsid w:val="0059299E"/>
    <w:rsid w:val="00592AB1"/>
    <w:rsid w:val="0059365F"/>
    <w:rsid w:val="0059386A"/>
    <w:rsid w:val="00593BED"/>
    <w:rsid w:val="005940E4"/>
    <w:rsid w:val="00596BDF"/>
    <w:rsid w:val="00597118"/>
    <w:rsid w:val="00597781"/>
    <w:rsid w:val="005A118C"/>
    <w:rsid w:val="005A30DB"/>
    <w:rsid w:val="005A3BF3"/>
    <w:rsid w:val="005A3D44"/>
    <w:rsid w:val="005B05A8"/>
    <w:rsid w:val="005B0CFB"/>
    <w:rsid w:val="005B102D"/>
    <w:rsid w:val="005B1B3F"/>
    <w:rsid w:val="005B236E"/>
    <w:rsid w:val="005B2694"/>
    <w:rsid w:val="005B58FA"/>
    <w:rsid w:val="005B5988"/>
    <w:rsid w:val="005C1701"/>
    <w:rsid w:val="005C1B4B"/>
    <w:rsid w:val="005C33B4"/>
    <w:rsid w:val="005C430E"/>
    <w:rsid w:val="005C4C62"/>
    <w:rsid w:val="005C58B5"/>
    <w:rsid w:val="005C617E"/>
    <w:rsid w:val="005C6EEE"/>
    <w:rsid w:val="005C789C"/>
    <w:rsid w:val="005D0664"/>
    <w:rsid w:val="005D0F6E"/>
    <w:rsid w:val="005D1A94"/>
    <w:rsid w:val="005D5515"/>
    <w:rsid w:val="005D6DF6"/>
    <w:rsid w:val="005E02FB"/>
    <w:rsid w:val="005E0539"/>
    <w:rsid w:val="005E5A2A"/>
    <w:rsid w:val="005E7E19"/>
    <w:rsid w:val="005F06E8"/>
    <w:rsid w:val="005F077B"/>
    <w:rsid w:val="005F5966"/>
    <w:rsid w:val="005F66F0"/>
    <w:rsid w:val="00602798"/>
    <w:rsid w:val="00602B56"/>
    <w:rsid w:val="0060402C"/>
    <w:rsid w:val="00605468"/>
    <w:rsid w:val="006103AA"/>
    <w:rsid w:val="00612EE1"/>
    <w:rsid w:val="006139A0"/>
    <w:rsid w:val="006139BF"/>
    <w:rsid w:val="006144D0"/>
    <w:rsid w:val="0061545E"/>
    <w:rsid w:val="0061568D"/>
    <w:rsid w:val="00617AA0"/>
    <w:rsid w:val="0062126F"/>
    <w:rsid w:val="00622021"/>
    <w:rsid w:val="00622424"/>
    <w:rsid w:val="00623DD5"/>
    <w:rsid w:val="0062527C"/>
    <w:rsid w:val="00625330"/>
    <w:rsid w:val="00630C6D"/>
    <w:rsid w:val="00631D94"/>
    <w:rsid w:val="00632AF4"/>
    <w:rsid w:val="00634A13"/>
    <w:rsid w:val="00636D4A"/>
    <w:rsid w:val="00636FA0"/>
    <w:rsid w:val="006412C5"/>
    <w:rsid w:val="006416F4"/>
    <w:rsid w:val="006417F5"/>
    <w:rsid w:val="00643592"/>
    <w:rsid w:val="0064641C"/>
    <w:rsid w:val="00647F0E"/>
    <w:rsid w:val="00651213"/>
    <w:rsid w:val="00655BA9"/>
    <w:rsid w:val="00656F4B"/>
    <w:rsid w:val="00660017"/>
    <w:rsid w:val="006627D4"/>
    <w:rsid w:val="006631E7"/>
    <w:rsid w:val="006632A3"/>
    <w:rsid w:val="00665748"/>
    <w:rsid w:val="00666C20"/>
    <w:rsid w:val="00672D3E"/>
    <w:rsid w:val="0068101F"/>
    <w:rsid w:val="00681053"/>
    <w:rsid w:val="006810A5"/>
    <w:rsid w:val="006831B9"/>
    <w:rsid w:val="0068518D"/>
    <w:rsid w:val="00686AC3"/>
    <w:rsid w:val="00691E9B"/>
    <w:rsid w:val="00694B50"/>
    <w:rsid w:val="00694DC8"/>
    <w:rsid w:val="00695C65"/>
    <w:rsid w:val="006976FB"/>
    <w:rsid w:val="006A0388"/>
    <w:rsid w:val="006A0F3A"/>
    <w:rsid w:val="006A243B"/>
    <w:rsid w:val="006A33C9"/>
    <w:rsid w:val="006A48EF"/>
    <w:rsid w:val="006A60E5"/>
    <w:rsid w:val="006B1074"/>
    <w:rsid w:val="006B436A"/>
    <w:rsid w:val="006B6A10"/>
    <w:rsid w:val="006C50CB"/>
    <w:rsid w:val="006C6B91"/>
    <w:rsid w:val="006D000F"/>
    <w:rsid w:val="006D3AB5"/>
    <w:rsid w:val="006D5C1D"/>
    <w:rsid w:val="006D788E"/>
    <w:rsid w:val="006E12F5"/>
    <w:rsid w:val="006E5420"/>
    <w:rsid w:val="006F0145"/>
    <w:rsid w:val="006F1596"/>
    <w:rsid w:val="006F1EA6"/>
    <w:rsid w:val="006F1F2A"/>
    <w:rsid w:val="00702689"/>
    <w:rsid w:val="00710264"/>
    <w:rsid w:val="00712ED7"/>
    <w:rsid w:val="007150F2"/>
    <w:rsid w:val="00715296"/>
    <w:rsid w:val="00720B31"/>
    <w:rsid w:val="007246BD"/>
    <w:rsid w:val="007267B7"/>
    <w:rsid w:val="007273C7"/>
    <w:rsid w:val="00730703"/>
    <w:rsid w:val="00731304"/>
    <w:rsid w:val="00731CB8"/>
    <w:rsid w:val="00732733"/>
    <w:rsid w:val="00735389"/>
    <w:rsid w:val="007364F5"/>
    <w:rsid w:val="00740E40"/>
    <w:rsid w:val="0074163D"/>
    <w:rsid w:val="007459C2"/>
    <w:rsid w:val="0074694A"/>
    <w:rsid w:val="0074768C"/>
    <w:rsid w:val="00753787"/>
    <w:rsid w:val="007552B7"/>
    <w:rsid w:val="00761D02"/>
    <w:rsid w:val="00762B0D"/>
    <w:rsid w:val="0076404D"/>
    <w:rsid w:val="00765DB2"/>
    <w:rsid w:val="00765DE1"/>
    <w:rsid w:val="00776FCA"/>
    <w:rsid w:val="00782572"/>
    <w:rsid w:val="00782FA7"/>
    <w:rsid w:val="00785D60"/>
    <w:rsid w:val="00786BBF"/>
    <w:rsid w:val="00790DAD"/>
    <w:rsid w:val="00791432"/>
    <w:rsid w:val="00791D0D"/>
    <w:rsid w:val="00793D12"/>
    <w:rsid w:val="007943DC"/>
    <w:rsid w:val="0079543B"/>
    <w:rsid w:val="00797253"/>
    <w:rsid w:val="007A0C39"/>
    <w:rsid w:val="007A0D5F"/>
    <w:rsid w:val="007A519D"/>
    <w:rsid w:val="007B1BB4"/>
    <w:rsid w:val="007B5E08"/>
    <w:rsid w:val="007B5FB7"/>
    <w:rsid w:val="007B6486"/>
    <w:rsid w:val="007C2E7F"/>
    <w:rsid w:val="007C4245"/>
    <w:rsid w:val="007C537C"/>
    <w:rsid w:val="007C684D"/>
    <w:rsid w:val="007D3BAA"/>
    <w:rsid w:val="007D5748"/>
    <w:rsid w:val="007D61B5"/>
    <w:rsid w:val="007E25EF"/>
    <w:rsid w:val="007E33A6"/>
    <w:rsid w:val="007E778A"/>
    <w:rsid w:val="007F15F4"/>
    <w:rsid w:val="007F1C56"/>
    <w:rsid w:val="007F21A0"/>
    <w:rsid w:val="007F30EB"/>
    <w:rsid w:val="007F3D14"/>
    <w:rsid w:val="007F511F"/>
    <w:rsid w:val="007F5F23"/>
    <w:rsid w:val="007F72FB"/>
    <w:rsid w:val="008015DE"/>
    <w:rsid w:val="008046D8"/>
    <w:rsid w:val="008050F8"/>
    <w:rsid w:val="00805DE1"/>
    <w:rsid w:val="008132A4"/>
    <w:rsid w:val="008144ED"/>
    <w:rsid w:val="008147F9"/>
    <w:rsid w:val="008159DF"/>
    <w:rsid w:val="00820087"/>
    <w:rsid w:val="0082106A"/>
    <w:rsid w:val="008210BD"/>
    <w:rsid w:val="008218D2"/>
    <w:rsid w:val="008230DC"/>
    <w:rsid w:val="00825F73"/>
    <w:rsid w:val="0083222F"/>
    <w:rsid w:val="0083333A"/>
    <w:rsid w:val="00835637"/>
    <w:rsid w:val="00836811"/>
    <w:rsid w:val="00837B07"/>
    <w:rsid w:val="008408ED"/>
    <w:rsid w:val="008418DA"/>
    <w:rsid w:val="008426F2"/>
    <w:rsid w:val="00843E52"/>
    <w:rsid w:val="008459FC"/>
    <w:rsid w:val="00846EFD"/>
    <w:rsid w:val="0085097D"/>
    <w:rsid w:val="008514FB"/>
    <w:rsid w:val="00853413"/>
    <w:rsid w:val="00853959"/>
    <w:rsid w:val="008545D4"/>
    <w:rsid w:val="00857D73"/>
    <w:rsid w:val="00861800"/>
    <w:rsid w:val="00864A3B"/>
    <w:rsid w:val="00864BAA"/>
    <w:rsid w:val="00866554"/>
    <w:rsid w:val="00866FE4"/>
    <w:rsid w:val="008672BE"/>
    <w:rsid w:val="00870931"/>
    <w:rsid w:val="00872995"/>
    <w:rsid w:val="00873368"/>
    <w:rsid w:val="0087431E"/>
    <w:rsid w:val="0089092F"/>
    <w:rsid w:val="00890F15"/>
    <w:rsid w:val="00891B6D"/>
    <w:rsid w:val="00893B84"/>
    <w:rsid w:val="008945CB"/>
    <w:rsid w:val="00897C4C"/>
    <w:rsid w:val="008A0426"/>
    <w:rsid w:val="008A088D"/>
    <w:rsid w:val="008A1967"/>
    <w:rsid w:val="008A1FB3"/>
    <w:rsid w:val="008A7763"/>
    <w:rsid w:val="008B0449"/>
    <w:rsid w:val="008B2AD4"/>
    <w:rsid w:val="008B46D4"/>
    <w:rsid w:val="008B541B"/>
    <w:rsid w:val="008B5A58"/>
    <w:rsid w:val="008B66F5"/>
    <w:rsid w:val="008B6A9F"/>
    <w:rsid w:val="008B7D2A"/>
    <w:rsid w:val="008C4DA5"/>
    <w:rsid w:val="008C6B12"/>
    <w:rsid w:val="008D0181"/>
    <w:rsid w:val="008D0DF3"/>
    <w:rsid w:val="008D0FD6"/>
    <w:rsid w:val="008D2801"/>
    <w:rsid w:val="008D339D"/>
    <w:rsid w:val="008D660F"/>
    <w:rsid w:val="008D6EA1"/>
    <w:rsid w:val="008E15DA"/>
    <w:rsid w:val="008E25DF"/>
    <w:rsid w:val="008E2736"/>
    <w:rsid w:val="008E59EB"/>
    <w:rsid w:val="008E5C3D"/>
    <w:rsid w:val="008E6C99"/>
    <w:rsid w:val="008E70B9"/>
    <w:rsid w:val="008E784D"/>
    <w:rsid w:val="008E7C7C"/>
    <w:rsid w:val="008F49A8"/>
    <w:rsid w:val="008F7EFB"/>
    <w:rsid w:val="009012CD"/>
    <w:rsid w:val="00902080"/>
    <w:rsid w:val="009028C0"/>
    <w:rsid w:val="00903CE5"/>
    <w:rsid w:val="009040BA"/>
    <w:rsid w:val="009070F0"/>
    <w:rsid w:val="009076B2"/>
    <w:rsid w:val="0091065A"/>
    <w:rsid w:val="00910764"/>
    <w:rsid w:val="009121E5"/>
    <w:rsid w:val="00913F1D"/>
    <w:rsid w:val="00914BE9"/>
    <w:rsid w:val="00915E7E"/>
    <w:rsid w:val="00916C00"/>
    <w:rsid w:val="00920524"/>
    <w:rsid w:val="00920679"/>
    <w:rsid w:val="009235E1"/>
    <w:rsid w:val="00923BB5"/>
    <w:rsid w:val="009253F0"/>
    <w:rsid w:val="00926679"/>
    <w:rsid w:val="00926D47"/>
    <w:rsid w:val="00927665"/>
    <w:rsid w:val="00941828"/>
    <w:rsid w:val="00942C13"/>
    <w:rsid w:val="00950DC8"/>
    <w:rsid w:val="009562BB"/>
    <w:rsid w:val="00956D20"/>
    <w:rsid w:val="00957161"/>
    <w:rsid w:val="009619CF"/>
    <w:rsid w:val="00964E1F"/>
    <w:rsid w:val="00967FAC"/>
    <w:rsid w:val="009706A2"/>
    <w:rsid w:val="009706B7"/>
    <w:rsid w:val="00970775"/>
    <w:rsid w:val="00974854"/>
    <w:rsid w:val="00977913"/>
    <w:rsid w:val="0098095C"/>
    <w:rsid w:val="00981B3A"/>
    <w:rsid w:val="00982FC2"/>
    <w:rsid w:val="00987F10"/>
    <w:rsid w:val="009935DA"/>
    <w:rsid w:val="00995C98"/>
    <w:rsid w:val="00997490"/>
    <w:rsid w:val="009A021F"/>
    <w:rsid w:val="009A17C7"/>
    <w:rsid w:val="009A17EA"/>
    <w:rsid w:val="009A5258"/>
    <w:rsid w:val="009A5A3C"/>
    <w:rsid w:val="009A78DA"/>
    <w:rsid w:val="009B23F9"/>
    <w:rsid w:val="009B355C"/>
    <w:rsid w:val="009B39B2"/>
    <w:rsid w:val="009B3D08"/>
    <w:rsid w:val="009B3F00"/>
    <w:rsid w:val="009B5C19"/>
    <w:rsid w:val="009C10E8"/>
    <w:rsid w:val="009C44BB"/>
    <w:rsid w:val="009C458D"/>
    <w:rsid w:val="009C4678"/>
    <w:rsid w:val="009C4F9A"/>
    <w:rsid w:val="009C576C"/>
    <w:rsid w:val="009C5EF3"/>
    <w:rsid w:val="009C6B26"/>
    <w:rsid w:val="009D2FC7"/>
    <w:rsid w:val="009D34C3"/>
    <w:rsid w:val="009D3C04"/>
    <w:rsid w:val="009E089E"/>
    <w:rsid w:val="009E16F9"/>
    <w:rsid w:val="009E1E31"/>
    <w:rsid w:val="009E2092"/>
    <w:rsid w:val="009E4F02"/>
    <w:rsid w:val="009E50A5"/>
    <w:rsid w:val="009E7615"/>
    <w:rsid w:val="009F5E85"/>
    <w:rsid w:val="009F645D"/>
    <w:rsid w:val="00A037D0"/>
    <w:rsid w:val="00A04DD5"/>
    <w:rsid w:val="00A05BD8"/>
    <w:rsid w:val="00A10009"/>
    <w:rsid w:val="00A1056A"/>
    <w:rsid w:val="00A10C62"/>
    <w:rsid w:val="00A15D2A"/>
    <w:rsid w:val="00A24B84"/>
    <w:rsid w:val="00A26A3F"/>
    <w:rsid w:val="00A26D50"/>
    <w:rsid w:val="00A32642"/>
    <w:rsid w:val="00A356E9"/>
    <w:rsid w:val="00A37599"/>
    <w:rsid w:val="00A40433"/>
    <w:rsid w:val="00A42E80"/>
    <w:rsid w:val="00A45FE2"/>
    <w:rsid w:val="00A50EDC"/>
    <w:rsid w:val="00A51B73"/>
    <w:rsid w:val="00A55131"/>
    <w:rsid w:val="00A61B91"/>
    <w:rsid w:val="00A64B58"/>
    <w:rsid w:val="00A67DC5"/>
    <w:rsid w:val="00A7161B"/>
    <w:rsid w:val="00A71762"/>
    <w:rsid w:val="00A76AEB"/>
    <w:rsid w:val="00A801AD"/>
    <w:rsid w:val="00A8123C"/>
    <w:rsid w:val="00A8219A"/>
    <w:rsid w:val="00A8316C"/>
    <w:rsid w:val="00A83CB6"/>
    <w:rsid w:val="00A84A0E"/>
    <w:rsid w:val="00A878DE"/>
    <w:rsid w:val="00A90FAC"/>
    <w:rsid w:val="00A93AB7"/>
    <w:rsid w:val="00A94938"/>
    <w:rsid w:val="00A949EA"/>
    <w:rsid w:val="00A95711"/>
    <w:rsid w:val="00A97236"/>
    <w:rsid w:val="00A97366"/>
    <w:rsid w:val="00AA1009"/>
    <w:rsid w:val="00AA525F"/>
    <w:rsid w:val="00AA5876"/>
    <w:rsid w:val="00AB3C25"/>
    <w:rsid w:val="00AB656A"/>
    <w:rsid w:val="00AC2FC5"/>
    <w:rsid w:val="00AC3971"/>
    <w:rsid w:val="00AC5D7B"/>
    <w:rsid w:val="00AC7B0A"/>
    <w:rsid w:val="00AD2874"/>
    <w:rsid w:val="00AD68A9"/>
    <w:rsid w:val="00AD6A93"/>
    <w:rsid w:val="00AD7A6C"/>
    <w:rsid w:val="00AE0791"/>
    <w:rsid w:val="00AE15E2"/>
    <w:rsid w:val="00AE1609"/>
    <w:rsid w:val="00AE56C8"/>
    <w:rsid w:val="00AF5464"/>
    <w:rsid w:val="00B00162"/>
    <w:rsid w:val="00B00DFA"/>
    <w:rsid w:val="00B01F02"/>
    <w:rsid w:val="00B02A57"/>
    <w:rsid w:val="00B02CB5"/>
    <w:rsid w:val="00B03EF7"/>
    <w:rsid w:val="00B058A4"/>
    <w:rsid w:val="00B109F2"/>
    <w:rsid w:val="00B1226E"/>
    <w:rsid w:val="00B1724B"/>
    <w:rsid w:val="00B20067"/>
    <w:rsid w:val="00B2048C"/>
    <w:rsid w:val="00B21D41"/>
    <w:rsid w:val="00B25DDE"/>
    <w:rsid w:val="00B260BE"/>
    <w:rsid w:val="00B328BC"/>
    <w:rsid w:val="00B36B33"/>
    <w:rsid w:val="00B37D06"/>
    <w:rsid w:val="00B41D28"/>
    <w:rsid w:val="00B42274"/>
    <w:rsid w:val="00B43725"/>
    <w:rsid w:val="00B44897"/>
    <w:rsid w:val="00B45419"/>
    <w:rsid w:val="00B45F5B"/>
    <w:rsid w:val="00B45FF2"/>
    <w:rsid w:val="00B51A21"/>
    <w:rsid w:val="00B523CA"/>
    <w:rsid w:val="00B52D80"/>
    <w:rsid w:val="00B5535C"/>
    <w:rsid w:val="00B5556A"/>
    <w:rsid w:val="00B56ACD"/>
    <w:rsid w:val="00B5771B"/>
    <w:rsid w:val="00B604D3"/>
    <w:rsid w:val="00B639D7"/>
    <w:rsid w:val="00B63B10"/>
    <w:rsid w:val="00B65274"/>
    <w:rsid w:val="00B67325"/>
    <w:rsid w:val="00B74471"/>
    <w:rsid w:val="00B7738C"/>
    <w:rsid w:val="00B801F3"/>
    <w:rsid w:val="00B80AC2"/>
    <w:rsid w:val="00B8137F"/>
    <w:rsid w:val="00B8447B"/>
    <w:rsid w:val="00B86229"/>
    <w:rsid w:val="00B86A7C"/>
    <w:rsid w:val="00B87F25"/>
    <w:rsid w:val="00B90F24"/>
    <w:rsid w:val="00B910BB"/>
    <w:rsid w:val="00B92ADB"/>
    <w:rsid w:val="00B92B88"/>
    <w:rsid w:val="00B941D3"/>
    <w:rsid w:val="00B94E52"/>
    <w:rsid w:val="00B9629A"/>
    <w:rsid w:val="00BA0784"/>
    <w:rsid w:val="00BA22D7"/>
    <w:rsid w:val="00BA2AFD"/>
    <w:rsid w:val="00BA33D9"/>
    <w:rsid w:val="00BA3E7B"/>
    <w:rsid w:val="00BA5575"/>
    <w:rsid w:val="00BA7754"/>
    <w:rsid w:val="00BB1DFF"/>
    <w:rsid w:val="00BB2B49"/>
    <w:rsid w:val="00BB455C"/>
    <w:rsid w:val="00BB7827"/>
    <w:rsid w:val="00BB7F52"/>
    <w:rsid w:val="00BC10D8"/>
    <w:rsid w:val="00BC2935"/>
    <w:rsid w:val="00BC6431"/>
    <w:rsid w:val="00BC79E7"/>
    <w:rsid w:val="00BD00EA"/>
    <w:rsid w:val="00BD05AE"/>
    <w:rsid w:val="00BD097A"/>
    <w:rsid w:val="00BD1F13"/>
    <w:rsid w:val="00BD3422"/>
    <w:rsid w:val="00BD5AAA"/>
    <w:rsid w:val="00BD6E96"/>
    <w:rsid w:val="00BD7444"/>
    <w:rsid w:val="00BE1B6D"/>
    <w:rsid w:val="00BE1F89"/>
    <w:rsid w:val="00BF441E"/>
    <w:rsid w:val="00C010A2"/>
    <w:rsid w:val="00C016A5"/>
    <w:rsid w:val="00C06CA5"/>
    <w:rsid w:val="00C12451"/>
    <w:rsid w:val="00C14CAE"/>
    <w:rsid w:val="00C14DCC"/>
    <w:rsid w:val="00C15212"/>
    <w:rsid w:val="00C21A4A"/>
    <w:rsid w:val="00C22F3F"/>
    <w:rsid w:val="00C23460"/>
    <w:rsid w:val="00C2384C"/>
    <w:rsid w:val="00C268CD"/>
    <w:rsid w:val="00C26F60"/>
    <w:rsid w:val="00C303B5"/>
    <w:rsid w:val="00C331FA"/>
    <w:rsid w:val="00C36008"/>
    <w:rsid w:val="00C42A15"/>
    <w:rsid w:val="00C45868"/>
    <w:rsid w:val="00C45A01"/>
    <w:rsid w:val="00C46629"/>
    <w:rsid w:val="00C47831"/>
    <w:rsid w:val="00C51274"/>
    <w:rsid w:val="00C51A40"/>
    <w:rsid w:val="00C51FD4"/>
    <w:rsid w:val="00C529EF"/>
    <w:rsid w:val="00C53D12"/>
    <w:rsid w:val="00C5582A"/>
    <w:rsid w:val="00C5650A"/>
    <w:rsid w:val="00C61844"/>
    <w:rsid w:val="00C6201D"/>
    <w:rsid w:val="00C62C02"/>
    <w:rsid w:val="00C64CDB"/>
    <w:rsid w:val="00C65C1F"/>
    <w:rsid w:val="00C66E8A"/>
    <w:rsid w:val="00C70956"/>
    <w:rsid w:val="00C7140D"/>
    <w:rsid w:val="00C732DA"/>
    <w:rsid w:val="00C834B4"/>
    <w:rsid w:val="00C85A2C"/>
    <w:rsid w:val="00C92D63"/>
    <w:rsid w:val="00C9399B"/>
    <w:rsid w:val="00C96236"/>
    <w:rsid w:val="00CA052C"/>
    <w:rsid w:val="00CA0683"/>
    <w:rsid w:val="00CA09D8"/>
    <w:rsid w:val="00CA0E25"/>
    <w:rsid w:val="00CA1DC8"/>
    <w:rsid w:val="00CA20AC"/>
    <w:rsid w:val="00CA4FA5"/>
    <w:rsid w:val="00CA63E6"/>
    <w:rsid w:val="00CA73EF"/>
    <w:rsid w:val="00CB0644"/>
    <w:rsid w:val="00CB0781"/>
    <w:rsid w:val="00CB1C78"/>
    <w:rsid w:val="00CB2DB6"/>
    <w:rsid w:val="00CB3623"/>
    <w:rsid w:val="00CB5D7B"/>
    <w:rsid w:val="00CB6A72"/>
    <w:rsid w:val="00CB750F"/>
    <w:rsid w:val="00CC092F"/>
    <w:rsid w:val="00CC29EE"/>
    <w:rsid w:val="00CC2B42"/>
    <w:rsid w:val="00CC30F8"/>
    <w:rsid w:val="00CC772B"/>
    <w:rsid w:val="00CC7A4B"/>
    <w:rsid w:val="00CD0060"/>
    <w:rsid w:val="00CD2466"/>
    <w:rsid w:val="00CD4629"/>
    <w:rsid w:val="00CD5602"/>
    <w:rsid w:val="00CD5DC4"/>
    <w:rsid w:val="00CD64F2"/>
    <w:rsid w:val="00CD7BD5"/>
    <w:rsid w:val="00CE156C"/>
    <w:rsid w:val="00CE299A"/>
    <w:rsid w:val="00CE2A0A"/>
    <w:rsid w:val="00CE7664"/>
    <w:rsid w:val="00CF049B"/>
    <w:rsid w:val="00CF1CE5"/>
    <w:rsid w:val="00CF4703"/>
    <w:rsid w:val="00CF5A55"/>
    <w:rsid w:val="00D01605"/>
    <w:rsid w:val="00D016C1"/>
    <w:rsid w:val="00D018A5"/>
    <w:rsid w:val="00D0337A"/>
    <w:rsid w:val="00D03701"/>
    <w:rsid w:val="00D0407A"/>
    <w:rsid w:val="00D0485E"/>
    <w:rsid w:val="00D05783"/>
    <w:rsid w:val="00D12056"/>
    <w:rsid w:val="00D121C5"/>
    <w:rsid w:val="00D150ED"/>
    <w:rsid w:val="00D1539A"/>
    <w:rsid w:val="00D16710"/>
    <w:rsid w:val="00D215D1"/>
    <w:rsid w:val="00D21AA1"/>
    <w:rsid w:val="00D25C88"/>
    <w:rsid w:val="00D275C8"/>
    <w:rsid w:val="00D2773E"/>
    <w:rsid w:val="00D3283A"/>
    <w:rsid w:val="00D42070"/>
    <w:rsid w:val="00D43F66"/>
    <w:rsid w:val="00D440A5"/>
    <w:rsid w:val="00D46D23"/>
    <w:rsid w:val="00D56593"/>
    <w:rsid w:val="00D565B9"/>
    <w:rsid w:val="00D56EB2"/>
    <w:rsid w:val="00D57052"/>
    <w:rsid w:val="00D57829"/>
    <w:rsid w:val="00D57F7E"/>
    <w:rsid w:val="00D61AAD"/>
    <w:rsid w:val="00D64084"/>
    <w:rsid w:val="00D71DD4"/>
    <w:rsid w:val="00D746E7"/>
    <w:rsid w:val="00D76073"/>
    <w:rsid w:val="00D76D8F"/>
    <w:rsid w:val="00D80712"/>
    <w:rsid w:val="00D85FD2"/>
    <w:rsid w:val="00D92598"/>
    <w:rsid w:val="00D92D77"/>
    <w:rsid w:val="00DB0DC0"/>
    <w:rsid w:val="00DB1C7D"/>
    <w:rsid w:val="00DB3A11"/>
    <w:rsid w:val="00DB4E90"/>
    <w:rsid w:val="00DB6F7E"/>
    <w:rsid w:val="00DC0505"/>
    <w:rsid w:val="00DC3D83"/>
    <w:rsid w:val="00DC4170"/>
    <w:rsid w:val="00DC5470"/>
    <w:rsid w:val="00DC675E"/>
    <w:rsid w:val="00DC6DAE"/>
    <w:rsid w:val="00DD2769"/>
    <w:rsid w:val="00DD2805"/>
    <w:rsid w:val="00DD79A1"/>
    <w:rsid w:val="00DE1CF1"/>
    <w:rsid w:val="00DE392D"/>
    <w:rsid w:val="00DE5BF1"/>
    <w:rsid w:val="00DF1D5B"/>
    <w:rsid w:val="00DF2466"/>
    <w:rsid w:val="00DF688B"/>
    <w:rsid w:val="00DF69FA"/>
    <w:rsid w:val="00E02760"/>
    <w:rsid w:val="00E028F9"/>
    <w:rsid w:val="00E03938"/>
    <w:rsid w:val="00E03BE7"/>
    <w:rsid w:val="00E05595"/>
    <w:rsid w:val="00E07CE9"/>
    <w:rsid w:val="00E14014"/>
    <w:rsid w:val="00E16871"/>
    <w:rsid w:val="00E20D39"/>
    <w:rsid w:val="00E21461"/>
    <w:rsid w:val="00E2311B"/>
    <w:rsid w:val="00E235F8"/>
    <w:rsid w:val="00E26305"/>
    <w:rsid w:val="00E26D23"/>
    <w:rsid w:val="00E340DD"/>
    <w:rsid w:val="00E3657F"/>
    <w:rsid w:val="00E410A7"/>
    <w:rsid w:val="00E41370"/>
    <w:rsid w:val="00E41670"/>
    <w:rsid w:val="00E444BE"/>
    <w:rsid w:val="00E45F02"/>
    <w:rsid w:val="00E46F16"/>
    <w:rsid w:val="00E53873"/>
    <w:rsid w:val="00E54194"/>
    <w:rsid w:val="00E57EEA"/>
    <w:rsid w:val="00E6083B"/>
    <w:rsid w:val="00E62409"/>
    <w:rsid w:val="00E63BF2"/>
    <w:rsid w:val="00E63EF2"/>
    <w:rsid w:val="00E64A7D"/>
    <w:rsid w:val="00E65750"/>
    <w:rsid w:val="00E724CF"/>
    <w:rsid w:val="00E73EB1"/>
    <w:rsid w:val="00E775DF"/>
    <w:rsid w:val="00E80F34"/>
    <w:rsid w:val="00E81B3A"/>
    <w:rsid w:val="00E90840"/>
    <w:rsid w:val="00E90C63"/>
    <w:rsid w:val="00E9239A"/>
    <w:rsid w:val="00E929E1"/>
    <w:rsid w:val="00E9528C"/>
    <w:rsid w:val="00E963A3"/>
    <w:rsid w:val="00EA1596"/>
    <w:rsid w:val="00EA1E90"/>
    <w:rsid w:val="00EA2EE3"/>
    <w:rsid w:val="00EA33E3"/>
    <w:rsid w:val="00EA4ABA"/>
    <w:rsid w:val="00EA54B7"/>
    <w:rsid w:val="00EA569D"/>
    <w:rsid w:val="00EB0800"/>
    <w:rsid w:val="00EB097E"/>
    <w:rsid w:val="00EB188F"/>
    <w:rsid w:val="00EB59C8"/>
    <w:rsid w:val="00EB67AC"/>
    <w:rsid w:val="00EC3664"/>
    <w:rsid w:val="00EC59C8"/>
    <w:rsid w:val="00EC7E4C"/>
    <w:rsid w:val="00ED0E39"/>
    <w:rsid w:val="00ED5451"/>
    <w:rsid w:val="00EE04E8"/>
    <w:rsid w:val="00EE17BB"/>
    <w:rsid w:val="00EE1A67"/>
    <w:rsid w:val="00EE776C"/>
    <w:rsid w:val="00EF4BB2"/>
    <w:rsid w:val="00EF4D62"/>
    <w:rsid w:val="00EF4D78"/>
    <w:rsid w:val="00EF58F5"/>
    <w:rsid w:val="00F007D0"/>
    <w:rsid w:val="00F010A1"/>
    <w:rsid w:val="00F02D9F"/>
    <w:rsid w:val="00F037C9"/>
    <w:rsid w:val="00F05B78"/>
    <w:rsid w:val="00F07473"/>
    <w:rsid w:val="00F07630"/>
    <w:rsid w:val="00F07B42"/>
    <w:rsid w:val="00F12602"/>
    <w:rsid w:val="00F1266C"/>
    <w:rsid w:val="00F13D7D"/>
    <w:rsid w:val="00F14687"/>
    <w:rsid w:val="00F23342"/>
    <w:rsid w:val="00F253D0"/>
    <w:rsid w:val="00F26881"/>
    <w:rsid w:val="00F26D86"/>
    <w:rsid w:val="00F33299"/>
    <w:rsid w:val="00F337DF"/>
    <w:rsid w:val="00F350C3"/>
    <w:rsid w:val="00F352FB"/>
    <w:rsid w:val="00F35DD6"/>
    <w:rsid w:val="00F40136"/>
    <w:rsid w:val="00F46B32"/>
    <w:rsid w:val="00F51A5C"/>
    <w:rsid w:val="00F526F6"/>
    <w:rsid w:val="00F5330B"/>
    <w:rsid w:val="00F53CFA"/>
    <w:rsid w:val="00F611CE"/>
    <w:rsid w:val="00F615D8"/>
    <w:rsid w:val="00F61C90"/>
    <w:rsid w:val="00F61FCD"/>
    <w:rsid w:val="00F6488A"/>
    <w:rsid w:val="00F67072"/>
    <w:rsid w:val="00F67319"/>
    <w:rsid w:val="00F71DCB"/>
    <w:rsid w:val="00F751CC"/>
    <w:rsid w:val="00F757ED"/>
    <w:rsid w:val="00F77641"/>
    <w:rsid w:val="00F83159"/>
    <w:rsid w:val="00F838ED"/>
    <w:rsid w:val="00F869D0"/>
    <w:rsid w:val="00F910E6"/>
    <w:rsid w:val="00F97152"/>
    <w:rsid w:val="00F97ABD"/>
    <w:rsid w:val="00F97DAF"/>
    <w:rsid w:val="00FA4FB8"/>
    <w:rsid w:val="00FA601A"/>
    <w:rsid w:val="00FA68ED"/>
    <w:rsid w:val="00FA6AE4"/>
    <w:rsid w:val="00FA6E17"/>
    <w:rsid w:val="00FA7BF2"/>
    <w:rsid w:val="00FB0211"/>
    <w:rsid w:val="00FB0827"/>
    <w:rsid w:val="00FB0F68"/>
    <w:rsid w:val="00FB1EF2"/>
    <w:rsid w:val="00FB2E28"/>
    <w:rsid w:val="00FB5424"/>
    <w:rsid w:val="00FC2E87"/>
    <w:rsid w:val="00FC5EC4"/>
    <w:rsid w:val="00FC63F0"/>
    <w:rsid w:val="00FC7481"/>
    <w:rsid w:val="00FD039D"/>
    <w:rsid w:val="00FD0692"/>
    <w:rsid w:val="00FD18D6"/>
    <w:rsid w:val="00FD2240"/>
    <w:rsid w:val="00FD3D16"/>
    <w:rsid w:val="00FD4BAF"/>
    <w:rsid w:val="00FD6DCE"/>
    <w:rsid w:val="00FD7059"/>
    <w:rsid w:val="00FE0BE9"/>
    <w:rsid w:val="00FE1945"/>
    <w:rsid w:val="00FE3959"/>
    <w:rsid w:val="00FE3A12"/>
    <w:rsid w:val="00FE3DA0"/>
    <w:rsid w:val="00FE4E18"/>
    <w:rsid w:val="00FE50E6"/>
    <w:rsid w:val="00FE5108"/>
    <w:rsid w:val="00FE7FA4"/>
    <w:rsid w:val="00FF004B"/>
    <w:rsid w:val="00FF0EBD"/>
    <w:rsid w:val="00FF12B1"/>
    <w:rsid w:val="00FF4C38"/>
    <w:rsid w:val="00FF5422"/>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DE2C0"/>
  <w14:defaultImageDpi w14:val="0"/>
  <w15:docId w15:val="{2AE3F595-E69C-4A62-8630-D37404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Odsekzoznamu">
    <w:name w:val="List Paragraph"/>
    <w:aliases w:val="body,Odsek zoznamu2,Odsek,Odsek zoznamu1,List Paragraph,List Paragraph1"/>
    <w:basedOn w:val="Normlny"/>
    <w:link w:val="OdsekzoznamuChar"/>
    <w:uiPriority w:val="34"/>
    <w:qFormat/>
    <w:rsid w:val="00866554"/>
    <w:pPr>
      <w:ind w:left="720"/>
      <w:contextualSpacing/>
    </w:pPr>
    <w:rPr>
      <w:rFonts w:ascii="Calibri" w:hAnsi="Calibri"/>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hAnsi="Calibri"/>
      <w:sz w:val="20"/>
      <w:szCs w:val="20"/>
      <w:lang w:val="en-US"/>
    </w:rPr>
  </w:style>
  <w:style w:type="character" w:customStyle="1" w:styleId="TextpoznmkypodiarouChar">
    <w:name w:val="Text poznámky pod čiarou Char"/>
    <w:basedOn w:val="Predvolenpsmoodseku"/>
    <w:link w:val="Textpoznmkypodiarou"/>
    <w:uiPriority w:val="99"/>
    <w:semiHidden/>
    <w:locked/>
    <w:rsid w:val="001C7640"/>
    <w:rPr>
      <w:rFonts w:ascii="Calibri" w:hAnsi="Calibri" w:cs="Times New Roman"/>
      <w:sz w:val="20"/>
      <w:szCs w:val="20"/>
      <w:lang w:val="en-US" w:eastAsia="x-none"/>
    </w:rPr>
  </w:style>
  <w:style w:type="character" w:styleId="Odkaznapoznmkupodiarou">
    <w:name w:val="footnote reference"/>
    <w:basedOn w:val="Predvolenpsmoodseku"/>
    <w:uiPriority w:val="99"/>
    <w:semiHidden/>
    <w:unhideWhenUsed/>
    <w:rsid w:val="001C7640"/>
    <w:rPr>
      <w:rFonts w:cs="Times New Roman"/>
      <w:vertAlign w:val="superscript"/>
    </w:rPr>
  </w:style>
  <w:style w:type="character" w:styleId="Hypertextovprepojenie">
    <w:name w:val="Hyperlink"/>
    <w:basedOn w:val="Predvolenpsmoodseku"/>
    <w:uiPriority w:val="99"/>
    <w:unhideWhenUsed/>
    <w:rsid w:val="001C7640"/>
    <w:rPr>
      <w:rFonts w:cs="Times New Roman"/>
      <w:color w:val="0000FF" w:themeColor="hyperlink"/>
      <w:u w:val="single"/>
    </w:rPr>
  </w:style>
  <w:style w:type="character" w:styleId="Odkaznakomentr">
    <w:name w:val="annotation reference"/>
    <w:basedOn w:val="Predvolenpsmoodseku"/>
    <w:uiPriority w:val="99"/>
    <w:semiHidden/>
    <w:unhideWhenUsed/>
    <w:rsid w:val="00390633"/>
    <w:rPr>
      <w:rFonts w:cs="Times New Roman"/>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locked/>
    <w:rsid w:val="0039063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locked/>
    <w:rsid w:val="00390633"/>
    <w:rPr>
      <w:rFonts w:cs="Times New Roman"/>
      <w:b/>
      <w:bCs/>
      <w:sz w:val="20"/>
      <w:szCs w:val="20"/>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656F4B"/>
    <w:rPr>
      <w:rFonts w:ascii="Calibri" w:hAnsi="Calibri" w:cs="Times New Roman"/>
      <w:lang w:val="en-US"/>
    </w:rPr>
  </w:style>
  <w:style w:type="paragraph" w:styleId="Normlnywebov">
    <w:name w:val="Normal (Web)"/>
    <w:basedOn w:val="Normlny"/>
    <w:uiPriority w:val="99"/>
    <w:rsid w:val="002D7EF7"/>
    <w:pPr>
      <w:spacing w:before="100" w:beforeAutospacing="1" w:after="100" w:afterAutospacing="1" w:line="240" w:lineRule="auto"/>
    </w:pPr>
    <w:rPr>
      <w:rFonts w:ascii="Times New Roman" w:hAnsi="Times New Roman"/>
      <w:sz w:val="24"/>
      <w:szCs w:val="24"/>
      <w:lang w:eastAsia="sk-SK"/>
    </w:rPr>
  </w:style>
  <w:style w:type="paragraph" w:customStyle="1" w:styleId="TableContents">
    <w:name w:val="Table Contents"/>
    <w:basedOn w:val="Normlny"/>
    <w:rsid w:val="003B1714"/>
    <w:pPr>
      <w:suppressLineNumbers/>
      <w:suppressAutoHyphens/>
      <w:spacing w:after="0" w:line="240" w:lineRule="auto"/>
    </w:pPr>
    <w:rPr>
      <w:rFonts w:ascii="Liberation Serif" w:eastAsia="SimSun" w:hAnsi="Liberation Serif" w:cs="Arial"/>
      <w:kern w:val="1"/>
      <w:sz w:val="24"/>
      <w:szCs w:val="24"/>
      <w:lang w:val="en-US" w:eastAsia="zh-CN" w:bidi="hi-IN"/>
    </w:rPr>
  </w:style>
  <w:style w:type="paragraph" w:styleId="Bezriadkovania">
    <w:name w:val="No Spacing"/>
    <w:uiPriority w:val="1"/>
    <w:qFormat/>
    <w:rsid w:val="003B1714"/>
    <w:pPr>
      <w:spacing w:after="0" w:line="240" w:lineRule="auto"/>
    </w:pPr>
    <w:rPr>
      <w:rFonts w:eastAsiaTheme="minorEastAsia" w:cs="Times New Roman"/>
      <w:lang w:eastAsia="sk-SK"/>
    </w:rPr>
  </w:style>
  <w:style w:type="table" w:styleId="Mriekatabuky">
    <w:name w:val="Table Grid"/>
    <w:basedOn w:val="Normlnatabuka"/>
    <w:uiPriority w:val="59"/>
    <w:rsid w:val="002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140993598232482001msolistparagraph">
    <w:name w:val="m_6140993598232482001msolistparagraph"/>
    <w:basedOn w:val="Normlny"/>
    <w:rsid w:val="00403ECB"/>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343">
      <w:bodyDiv w:val="1"/>
      <w:marLeft w:val="0"/>
      <w:marRight w:val="0"/>
      <w:marTop w:val="0"/>
      <w:marBottom w:val="0"/>
      <w:divBdr>
        <w:top w:val="none" w:sz="0" w:space="0" w:color="auto"/>
        <w:left w:val="none" w:sz="0" w:space="0" w:color="auto"/>
        <w:bottom w:val="none" w:sz="0" w:space="0" w:color="auto"/>
        <w:right w:val="none" w:sz="0" w:space="0" w:color="auto"/>
      </w:divBdr>
    </w:div>
    <w:div w:id="25102282">
      <w:bodyDiv w:val="1"/>
      <w:marLeft w:val="0"/>
      <w:marRight w:val="0"/>
      <w:marTop w:val="0"/>
      <w:marBottom w:val="0"/>
      <w:divBdr>
        <w:top w:val="none" w:sz="0" w:space="0" w:color="auto"/>
        <w:left w:val="none" w:sz="0" w:space="0" w:color="auto"/>
        <w:bottom w:val="none" w:sz="0" w:space="0" w:color="auto"/>
        <w:right w:val="none" w:sz="0" w:space="0" w:color="auto"/>
      </w:divBdr>
    </w:div>
    <w:div w:id="39592705">
      <w:bodyDiv w:val="1"/>
      <w:marLeft w:val="0"/>
      <w:marRight w:val="0"/>
      <w:marTop w:val="0"/>
      <w:marBottom w:val="0"/>
      <w:divBdr>
        <w:top w:val="none" w:sz="0" w:space="0" w:color="auto"/>
        <w:left w:val="none" w:sz="0" w:space="0" w:color="auto"/>
        <w:bottom w:val="none" w:sz="0" w:space="0" w:color="auto"/>
        <w:right w:val="none" w:sz="0" w:space="0" w:color="auto"/>
      </w:divBdr>
    </w:div>
    <w:div w:id="41103488">
      <w:bodyDiv w:val="1"/>
      <w:marLeft w:val="0"/>
      <w:marRight w:val="0"/>
      <w:marTop w:val="0"/>
      <w:marBottom w:val="0"/>
      <w:divBdr>
        <w:top w:val="none" w:sz="0" w:space="0" w:color="auto"/>
        <w:left w:val="none" w:sz="0" w:space="0" w:color="auto"/>
        <w:bottom w:val="none" w:sz="0" w:space="0" w:color="auto"/>
        <w:right w:val="none" w:sz="0" w:space="0" w:color="auto"/>
      </w:divBdr>
    </w:div>
    <w:div w:id="65810499">
      <w:bodyDiv w:val="1"/>
      <w:marLeft w:val="0"/>
      <w:marRight w:val="0"/>
      <w:marTop w:val="0"/>
      <w:marBottom w:val="0"/>
      <w:divBdr>
        <w:top w:val="none" w:sz="0" w:space="0" w:color="auto"/>
        <w:left w:val="none" w:sz="0" w:space="0" w:color="auto"/>
        <w:bottom w:val="none" w:sz="0" w:space="0" w:color="auto"/>
        <w:right w:val="none" w:sz="0" w:space="0" w:color="auto"/>
      </w:divBdr>
    </w:div>
    <w:div w:id="80372271">
      <w:bodyDiv w:val="1"/>
      <w:marLeft w:val="0"/>
      <w:marRight w:val="0"/>
      <w:marTop w:val="0"/>
      <w:marBottom w:val="0"/>
      <w:divBdr>
        <w:top w:val="none" w:sz="0" w:space="0" w:color="auto"/>
        <w:left w:val="none" w:sz="0" w:space="0" w:color="auto"/>
        <w:bottom w:val="none" w:sz="0" w:space="0" w:color="auto"/>
        <w:right w:val="none" w:sz="0" w:space="0" w:color="auto"/>
      </w:divBdr>
    </w:div>
    <w:div w:id="95684950">
      <w:bodyDiv w:val="1"/>
      <w:marLeft w:val="0"/>
      <w:marRight w:val="0"/>
      <w:marTop w:val="0"/>
      <w:marBottom w:val="0"/>
      <w:divBdr>
        <w:top w:val="none" w:sz="0" w:space="0" w:color="auto"/>
        <w:left w:val="none" w:sz="0" w:space="0" w:color="auto"/>
        <w:bottom w:val="none" w:sz="0" w:space="0" w:color="auto"/>
        <w:right w:val="none" w:sz="0" w:space="0" w:color="auto"/>
      </w:divBdr>
    </w:div>
    <w:div w:id="97795796">
      <w:bodyDiv w:val="1"/>
      <w:marLeft w:val="0"/>
      <w:marRight w:val="0"/>
      <w:marTop w:val="0"/>
      <w:marBottom w:val="0"/>
      <w:divBdr>
        <w:top w:val="none" w:sz="0" w:space="0" w:color="auto"/>
        <w:left w:val="none" w:sz="0" w:space="0" w:color="auto"/>
        <w:bottom w:val="none" w:sz="0" w:space="0" w:color="auto"/>
        <w:right w:val="none" w:sz="0" w:space="0" w:color="auto"/>
      </w:divBdr>
    </w:div>
    <w:div w:id="114181829">
      <w:bodyDiv w:val="1"/>
      <w:marLeft w:val="0"/>
      <w:marRight w:val="0"/>
      <w:marTop w:val="0"/>
      <w:marBottom w:val="0"/>
      <w:divBdr>
        <w:top w:val="none" w:sz="0" w:space="0" w:color="auto"/>
        <w:left w:val="none" w:sz="0" w:space="0" w:color="auto"/>
        <w:bottom w:val="none" w:sz="0" w:space="0" w:color="auto"/>
        <w:right w:val="none" w:sz="0" w:space="0" w:color="auto"/>
      </w:divBdr>
    </w:div>
    <w:div w:id="140001064">
      <w:bodyDiv w:val="1"/>
      <w:marLeft w:val="0"/>
      <w:marRight w:val="0"/>
      <w:marTop w:val="0"/>
      <w:marBottom w:val="0"/>
      <w:divBdr>
        <w:top w:val="none" w:sz="0" w:space="0" w:color="auto"/>
        <w:left w:val="none" w:sz="0" w:space="0" w:color="auto"/>
        <w:bottom w:val="none" w:sz="0" w:space="0" w:color="auto"/>
        <w:right w:val="none" w:sz="0" w:space="0" w:color="auto"/>
      </w:divBdr>
    </w:div>
    <w:div w:id="181625383">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02982817">
      <w:bodyDiv w:val="1"/>
      <w:marLeft w:val="0"/>
      <w:marRight w:val="0"/>
      <w:marTop w:val="0"/>
      <w:marBottom w:val="0"/>
      <w:divBdr>
        <w:top w:val="none" w:sz="0" w:space="0" w:color="auto"/>
        <w:left w:val="none" w:sz="0" w:space="0" w:color="auto"/>
        <w:bottom w:val="none" w:sz="0" w:space="0" w:color="auto"/>
        <w:right w:val="none" w:sz="0" w:space="0" w:color="auto"/>
      </w:divBdr>
    </w:div>
    <w:div w:id="205411515">
      <w:bodyDiv w:val="1"/>
      <w:marLeft w:val="0"/>
      <w:marRight w:val="0"/>
      <w:marTop w:val="0"/>
      <w:marBottom w:val="0"/>
      <w:divBdr>
        <w:top w:val="none" w:sz="0" w:space="0" w:color="auto"/>
        <w:left w:val="none" w:sz="0" w:space="0" w:color="auto"/>
        <w:bottom w:val="none" w:sz="0" w:space="0" w:color="auto"/>
        <w:right w:val="none" w:sz="0" w:space="0" w:color="auto"/>
      </w:divBdr>
    </w:div>
    <w:div w:id="249049877">
      <w:bodyDiv w:val="1"/>
      <w:marLeft w:val="0"/>
      <w:marRight w:val="0"/>
      <w:marTop w:val="0"/>
      <w:marBottom w:val="0"/>
      <w:divBdr>
        <w:top w:val="none" w:sz="0" w:space="0" w:color="auto"/>
        <w:left w:val="none" w:sz="0" w:space="0" w:color="auto"/>
        <w:bottom w:val="none" w:sz="0" w:space="0" w:color="auto"/>
        <w:right w:val="none" w:sz="0" w:space="0" w:color="auto"/>
      </w:divBdr>
    </w:div>
    <w:div w:id="272132382">
      <w:bodyDiv w:val="1"/>
      <w:marLeft w:val="0"/>
      <w:marRight w:val="0"/>
      <w:marTop w:val="0"/>
      <w:marBottom w:val="0"/>
      <w:divBdr>
        <w:top w:val="none" w:sz="0" w:space="0" w:color="auto"/>
        <w:left w:val="none" w:sz="0" w:space="0" w:color="auto"/>
        <w:bottom w:val="none" w:sz="0" w:space="0" w:color="auto"/>
        <w:right w:val="none" w:sz="0" w:space="0" w:color="auto"/>
      </w:divBdr>
    </w:div>
    <w:div w:id="279604125">
      <w:bodyDiv w:val="1"/>
      <w:marLeft w:val="0"/>
      <w:marRight w:val="0"/>
      <w:marTop w:val="0"/>
      <w:marBottom w:val="0"/>
      <w:divBdr>
        <w:top w:val="none" w:sz="0" w:space="0" w:color="auto"/>
        <w:left w:val="none" w:sz="0" w:space="0" w:color="auto"/>
        <w:bottom w:val="none" w:sz="0" w:space="0" w:color="auto"/>
        <w:right w:val="none" w:sz="0" w:space="0" w:color="auto"/>
      </w:divBdr>
    </w:div>
    <w:div w:id="414088987">
      <w:bodyDiv w:val="1"/>
      <w:marLeft w:val="0"/>
      <w:marRight w:val="0"/>
      <w:marTop w:val="0"/>
      <w:marBottom w:val="0"/>
      <w:divBdr>
        <w:top w:val="none" w:sz="0" w:space="0" w:color="auto"/>
        <w:left w:val="none" w:sz="0" w:space="0" w:color="auto"/>
        <w:bottom w:val="none" w:sz="0" w:space="0" w:color="auto"/>
        <w:right w:val="none" w:sz="0" w:space="0" w:color="auto"/>
      </w:divBdr>
    </w:div>
    <w:div w:id="420487212">
      <w:bodyDiv w:val="1"/>
      <w:marLeft w:val="0"/>
      <w:marRight w:val="0"/>
      <w:marTop w:val="0"/>
      <w:marBottom w:val="0"/>
      <w:divBdr>
        <w:top w:val="none" w:sz="0" w:space="0" w:color="auto"/>
        <w:left w:val="none" w:sz="0" w:space="0" w:color="auto"/>
        <w:bottom w:val="none" w:sz="0" w:space="0" w:color="auto"/>
        <w:right w:val="none" w:sz="0" w:space="0" w:color="auto"/>
      </w:divBdr>
    </w:div>
    <w:div w:id="485098039">
      <w:bodyDiv w:val="1"/>
      <w:marLeft w:val="0"/>
      <w:marRight w:val="0"/>
      <w:marTop w:val="0"/>
      <w:marBottom w:val="0"/>
      <w:divBdr>
        <w:top w:val="none" w:sz="0" w:space="0" w:color="auto"/>
        <w:left w:val="none" w:sz="0" w:space="0" w:color="auto"/>
        <w:bottom w:val="none" w:sz="0" w:space="0" w:color="auto"/>
        <w:right w:val="none" w:sz="0" w:space="0" w:color="auto"/>
      </w:divBdr>
    </w:div>
    <w:div w:id="508839521">
      <w:bodyDiv w:val="1"/>
      <w:marLeft w:val="0"/>
      <w:marRight w:val="0"/>
      <w:marTop w:val="0"/>
      <w:marBottom w:val="0"/>
      <w:divBdr>
        <w:top w:val="none" w:sz="0" w:space="0" w:color="auto"/>
        <w:left w:val="none" w:sz="0" w:space="0" w:color="auto"/>
        <w:bottom w:val="none" w:sz="0" w:space="0" w:color="auto"/>
        <w:right w:val="none" w:sz="0" w:space="0" w:color="auto"/>
      </w:divBdr>
    </w:div>
    <w:div w:id="509218583">
      <w:bodyDiv w:val="1"/>
      <w:marLeft w:val="0"/>
      <w:marRight w:val="0"/>
      <w:marTop w:val="0"/>
      <w:marBottom w:val="0"/>
      <w:divBdr>
        <w:top w:val="none" w:sz="0" w:space="0" w:color="auto"/>
        <w:left w:val="none" w:sz="0" w:space="0" w:color="auto"/>
        <w:bottom w:val="none" w:sz="0" w:space="0" w:color="auto"/>
        <w:right w:val="none" w:sz="0" w:space="0" w:color="auto"/>
      </w:divBdr>
    </w:div>
    <w:div w:id="613245839">
      <w:bodyDiv w:val="1"/>
      <w:marLeft w:val="0"/>
      <w:marRight w:val="0"/>
      <w:marTop w:val="0"/>
      <w:marBottom w:val="0"/>
      <w:divBdr>
        <w:top w:val="none" w:sz="0" w:space="0" w:color="auto"/>
        <w:left w:val="none" w:sz="0" w:space="0" w:color="auto"/>
        <w:bottom w:val="none" w:sz="0" w:space="0" w:color="auto"/>
        <w:right w:val="none" w:sz="0" w:space="0" w:color="auto"/>
      </w:divBdr>
    </w:div>
    <w:div w:id="614141067">
      <w:bodyDiv w:val="1"/>
      <w:marLeft w:val="0"/>
      <w:marRight w:val="0"/>
      <w:marTop w:val="0"/>
      <w:marBottom w:val="0"/>
      <w:divBdr>
        <w:top w:val="none" w:sz="0" w:space="0" w:color="auto"/>
        <w:left w:val="none" w:sz="0" w:space="0" w:color="auto"/>
        <w:bottom w:val="none" w:sz="0" w:space="0" w:color="auto"/>
        <w:right w:val="none" w:sz="0" w:space="0" w:color="auto"/>
      </w:divBdr>
    </w:div>
    <w:div w:id="635527230">
      <w:bodyDiv w:val="1"/>
      <w:marLeft w:val="0"/>
      <w:marRight w:val="0"/>
      <w:marTop w:val="0"/>
      <w:marBottom w:val="0"/>
      <w:divBdr>
        <w:top w:val="none" w:sz="0" w:space="0" w:color="auto"/>
        <w:left w:val="none" w:sz="0" w:space="0" w:color="auto"/>
        <w:bottom w:val="none" w:sz="0" w:space="0" w:color="auto"/>
        <w:right w:val="none" w:sz="0" w:space="0" w:color="auto"/>
      </w:divBdr>
    </w:div>
    <w:div w:id="654335073">
      <w:bodyDiv w:val="1"/>
      <w:marLeft w:val="0"/>
      <w:marRight w:val="0"/>
      <w:marTop w:val="0"/>
      <w:marBottom w:val="0"/>
      <w:divBdr>
        <w:top w:val="none" w:sz="0" w:space="0" w:color="auto"/>
        <w:left w:val="none" w:sz="0" w:space="0" w:color="auto"/>
        <w:bottom w:val="none" w:sz="0" w:space="0" w:color="auto"/>
        <w:right w:val="none" w:sz="0" w:space="0" w:color="auto"/>
      </w:divBdr>
    </w:div>
    <w:div w:id="725491741">
      <w:bodyDiv w:val="1"/>
      <w:marLeft w:val="0"/>
      <w:marRight w:val="0"/>
      <w:marTop w:val="0"/>
      <w:marBottom w:val="0"/>
      <w:divBdr>
        <w:top w:val="none" w:sz="0" w:space="0" w:color="auto"/>
        <w:left w:val="none" w:sz="0" w:space="0" w:color="auto"/>
        <w:bottom w:val="none" w:sz="0" w:space="0" w:color="auto"/>
        <w:right w:val="none" w:sz="0" w:space="0" w:color="auto"/>
      </w:divBdr>
    </w:div>
    <w:div w:id="752505570">
      <w:bodyDiv w:val="1"/>
      <w:marLeft w:val="0"/>
      <w:marRight w:val="0"/>
      <w:marTop w:val="0"/>
      <w:marBottom w:val="0"/>
      <w:divBdr>
        <w:top w:val="none" w:sz="0" w:space="0" w:color="auto"/>
        <w:left w:val="none" w:sz="0" w:space="0" w:color="auto"/>
        <w:bottom w:val="none" w:sz="0" w:space="0" w:color="auto"/>
        <w:right w:val="none" w:sz="0" w:space="0" w:color="auto"/>
      </w:divBdr>
    </w:div>
    <w:div w:id="778916037">
      <w:bodyDiv w:val="1"/>
      <w:marLeft w:val="0"/>
      <w:marRight w:val="0"/>
      <w:marTop w:val="0"/>
      <w:marBottom w:val="0"/>
      <w:divBdr>
        <w:top w:val="none" w:sz="0" w:space="0" w:color="auto"/>
        <w:left w:val="none" w:sz="0" w:space="0" w:color="auto"/>
        <w:bottom w:val="none" w:sz="0" w:space="0" w:color="auto"/>
        <w:right w:val="none" w:sz="0" w:space="0" w:color="auto"/>
      </w:divBdr>
    </w:div>
    <w:div w:id="809177343">
      <w:bodyDiv w:val="1"/>
      <w:marLeft w:val="0"/>
      <w:marRight w:val="0"/>
      <w:marTop w:val="0"/>
      <w:marBottom w:val="0"/>
      <w:divBdr>
        <w:top w:val="none" w:sz="0" w:space="0" w:color="auto"/>
        <w:left w:val="none" w:sz="0" w:space="0" w:color="auto"/>
        <w:bottom w:val="none" w:sz="0" w:space="0" w:color="auto"/>
        <w:right w:val="none" w:sz="0" w:space="0" w:color="auto"/>
      </w:divBdr>
    </w:div>
    <w:div w:id="809664057">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824588539">
      <w:bodyDiv w:val="1"/>
      <w:marLeft w:val="0"/>
      <w:marRight w:val="0"/>
      <w:marTop w:val="0"/>
      <w:marBottom w:val="0"/>
      <w:divBdr>
        <w:top w:val="none" w:sz="0" w:space="0" w:color="auto"/>
        <w:left w:val="none" w:sz="0" w:space="0" w:color="auto"/>
        <w:bottom w:val="none" w:sz="0" w:space="0" w:color="auto"/>
        <w:right w:val="none" w:sz="0" w:space="0" w:color="auto"/>
      </w:divBdr>
    </w:div>
    <w:div w:id="828599217">
      <w:bodyDiv w:val="1"/>
      <w:marLeft w:val="0"/>
      <w:marRight w:val="0"/>
      <w:marTop w:val="0"/>
      <w:marBottom w:val="0"/>
      <w:divBdr>
        <w:top w:val="none" w:sz="0" w:space="0" w:color="auto"/>
        <w:left w:val="none" w:sz="0" w:space="0" w:color="auto"/>
        <w:bottom w:val="none" w:sz="0" w:space="0" w:color="auto"/>
        <w:right w:val="none" w:sz="0" w:space="0" w:color="auto"/>
      </w:divBdr>
    </w:div>
    <w:div w:id="973096460">
      <w:bodyDiv w:val="1"/>
      <w:marLeft w:val="0"/>
      <w:marRight w:val="0"/>
      <w:marTop w:val="0"/>
      <w:marBottom w:val="0"/>
      <w:divBdr>
        <w:top w:val="none" w:sz="0" w:space="0" w:color="auto"/>
        <w:left w:val="none" w:sz="0" w:space="0" w:color="auto"/>
        <w:bottom w:val="none" w:sz="0" w:space="0" w:color="auto"/>
        <w:right w:val="none" w:sz="0" w:space="0" w:color="auto"/>
      </w:divBdr>
    </w:div>
    <w:div w:id="976296801">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022784677">
      <w:bodyDiv w:val="1"/>
      <w:marLeft w:val="0"/>
      <w:marRight w:val="0"/>
      <w:marTop w:val="0"/>
      <w:marBottom w:val="0"/>
      <w:divBdr>
        <w:top w:val="none" w:sz="0" w:space="0" w:color="auto"/>
        <w:left w:val="none" w:sz="0" w:space="0" w:color="auto"/>
        <w:bottom w:val="none" w:sz="0" w:space="0" w:color="auto"/>
        <w:right w:val="none" w:sz="0" w:space="0" w:color="auto"/>
      </w:divBdr>
    </w:div>
    <w:div w:id="1101335918">
      <w:bodyDiv w:val="1"/>
      <w:marLeft w:val="0"/>
      <w:marRight w:val="0"/>
      <w:marTop w:val="0"/>
      <w:marBottom w:val="0"/>
      <w:divBdr>
        <w:top w:val="none" w:sz="0" w:space="0" w:color="auto"/>
        <w:left w:val="none" w:sz="0" w:space="0" w:color="auto"/>
        <w:bottom w:val="none" w:sz="0" w:space="0" w:color="auto"/>
        <w:right w:val="none" w:sz="0" w:space="0" w:color="auto"/>
      </w:divBdr>
    </w:div>
    <w:div w:id="1172914841">
      <w:bodyDiv w:val="1"/>
      <w:marLeft w:val="0"/>
      <w:marRight w:val="0"/>
      <w:marTop w:val="0"/>
      <w:marBottom w:val="0"/>
      <w:divBdr>
        <w:top w:val="none" w:sz="0" w:space="0" w:color="auto"/>
        <w:left w:val="none" w:sz="0" w:space="0" w:color="auto"/>
        <w:bottom w:val="none" w:sz="0" w:space="0" w:color="auto"/>
        <w:right w:val="none" w:sz="0" w:space="0" w:color="auto"/>
      </w:divBdr>
    </w:div>
    <w:div w:id="1187596794">
      <w:bodyDiv w:val="1"/>
      <w:marLeft w:val="0"/>
      <w:marRight w:val="0"/>
      <w:marTop w:val="0"/>
      <w:marBottom w:val="0"/>
      <w:divBdr>
        <w:top w:val="none" w:sz="0" w:space="0" w:color="auto"/>
        <w:left w:val="none" w:sz="0" w:space="0" w:color="auto"/>
        <w:bottom w:val="none" w:sz="0" w:space="0" w:color="auto"/>
        <w:right w:val="none" w:sz="0" w:space="0" w:color="auto"/>
      </w:divBdr>
    </w:div>
    <w:div w:id="1193373105">
      <w:bodyDiv w:val="1"/>
      <w:marLeft w:val="0"/>
      <w:marRight w:val="0"/>
      <w:marTop w:val="0"/>
      <w:marBottom w:val="0"/>
      <w:divBdr>
        <w:top w:val="none" w:sz="0" w:space="0" w:color="auto"/>
        <w:left w:val="none" w:sz="0" w:space="0" w:color="auto"/>
        <w:bottom w:val="none" w:sz="0" w:space="0" w:color="auto"/>
        <w:right w:val="none" w:sz="0" w:space="0" w:color="auto"/>
      </w:divBdr>
    </w:div>
    <w:div w:id="1210023668">
      <w:bodyDiv w:val="1"/>
      <w:marLeft w:val="0"/>
      <w:marRight w:val="0"/>
      <w:marTop w:val="0"/>
      <w:marBottom w:val="0"/>
      <w:divBdr>
        <w:top w:val="none" w:sz="0" w:space="0" w:color="auto"/>
        <w:left w:val="none" w:sz="0" w:space="0" w:color="auto"/>
        <w:bottom w:val="none" w:sz="0" w:space="0" w:color="auto"/>
        <w:right w:val="none" w:sz="0" w:space="0" w:color="auto"/>
      </w:divBdr>
    </w:div>
    <w:div w:id="1217354863">
      <w:bodyDiv w:val="1"/>
      <w:marLeft w:val="0"/>
      <w:marRight w:val="0"/>
      <w:marTop w:val="0"/>
      <w:marBottom w:val="0"/>
      <w:divBdr>
        <w:top w:val="none" w:sz="0" w:space="0" w:color="auto"/>
        <w:left w:val="none" w:sz="0" w:space="0" w:color="auto"/>
        <w:bottom w:val="none" w:sz="0" w:space="0" w:color="auto"/>
        <w:right w:val="none" w:sz="0" w:space="0" w:color="auto"/>
      </w:divBdr>
    </w:div>
    <w:div w:id="1223905264">
      <w:bodyDiv w:val="1"/>
      <w:marLeft w:val="0"/>
      <w:marRight w:val="0"/>
      <w:marTop w:val="0"/>
      <w:marBottom w:val="0"/>
      <w:divBdr>
        <w:top w:val="none" w:sz="0" w:space="0" w:color="auto"/>
        <w:left w:val="none" w:sz="0" w:space="0" w:color="auto"/>
        <w:bottom w:val="none" w:sz="0" w:space="0" w:color="auto"/>
        <w:right w:val="none" w:sz="0" w:space="0" w:color="auto"/>
      </w:divBdr>
    </w:div>
    <w:div w:id="1232157004">
      <w:bodyDiv w:val="1"/>
      <w:marLeft w:val="0"/>
      <w:marRight w:val="0"/>
      <w:marTop w:val="0"/>
      <w:marBottom w:val="0"/>
      <w:divBdr>
        <w:top w:val="none" w:sz="0" w:space="0" w:color="auto"/>
        <w:left w:val="none" w:sz="0" w:space="0" w:color="auto"/>
        <w:bottom w:val="none" w:sz="0" w:space="0" w:color="auto"/>
        <w:right w:val="none" w:sz="0" w:space="0" w:color="auto"/>
      </w:divBdr>
    </w:div>
    <w:div w:id="1237326371">
      <w:bodyDiv w:val="1"/>
      <w:marLeft w:val="0"/>
      <w:marRight w:val="0"/>
      <w:marTop w:val="0"/>
      <w:marBottom w:val="0"/>
      <w:divBdr>
        <w:top w:val="none" w:sz="0" w:space="0" w:color="auto"/>
        <w:left w:val="none" w:sz="0" w:space="0" w:color="auto"/>
        <w:bottom w:val="none" w:sz="0" w:space="0" w:color="auto"/>
        <w:right w:val="none" w:sz="0" w:space="0" w:color="auto"/>
      </w:divBdr>
    </w:div>
    <w:div w:id="1272514737">
      <w:bodyDiv w:val="1"/>
      <w:marLeft w:val="0"/>
      <w:marRight w:val="0"/>
      <w:marTop w:val="0"/>
      <w:marBottom w:val="0"/>
      <w:divBdr>
        <w:top w:val="none" w:sz="0" w:space="0" w:color="auto"/>
        <w:left w:val="none" w:sz="0" w:space="0" w:color="auto"/>
        <w:bottom w:val="none" w:sz="0" w:space="0" w:color="auto"/>
        <w:right w:val="none" w:sz="0" w:space="0" w:color="auto"/>
      </w:divBdr>
    </w:div>
    <w:div w:id="1331641015">
      <w:bodyDiv w:val="1"/>
      <w:marLeft w:val="0"/>
      <w:marRight w:val="0"/>
      <w:marTop w:val="0"/>
      <w:marBottom w:val="0"/>
      <w:divBdr>
        <w:top w:val="none" w:sz="0" w:space="0" w:color="auto"/>
        <w:left w:val="none" w:sz="0" w:space="0" w:color="auto"/>
        <w:bottom w:val="none" w:sz="0" w:space="0" w:color="auto"/>
        <w:right w:val="none" w:sz="0" w:space="0" w:color="auto"/>
      </w:divBdr>
    </w:div>
    <w:div w:id="1389526527">
      <w:bodyDiv w:val="1"/>
      <w:marLeft w:val="0"/>
      <w:marRight w:val="0"/>
      <w:marTop w:val="0"/>
      <w:marBottom w:val="0"/>
      <w:divBdr>
        <w:top w:val="none" w:sz="0" w:space="0" w:color="auto"/>
        <w:left w:val="none" w:sz="0" w:space="0" w:color="auto"/>
        <w:bottom w:val="none" w:sz="0" w:space="0" w:color="auto"/>
        <w:right w:val="none" w:sz="0" w:space="0" w:color="auto"/>
      </w:divBdr>
    </w:div>
    <w:div w:id="1409420926">
      <w:bodyDiv w:val="1"/>
      <w:marLeft w:val="0"/>
      <w:marRight w:val="0"/>
      <w:marTop w:val="0"/>
      <w:marBottom w:val="0"/>
      <w:divBdr>
        <w:top w:val="none" w:sz="0" w:space="0" w:color="auto"/>
        <w:left w:val="none" w:sz="0" w:space="0" w:color="auto"/>
        <w:bottom w:val="none" w:sz="0" w:space="0" w:color="auto"/>
        <w:right w:val="none" w:sz="0" w:space="0" w:color="auto"/>
      </w:divBdr>
    </w:div>
    <w:div w:id="1443651793">
      <w:bodyDiv w:val="1"/>
      <w:marLeft w:val="0"/>
      <w:marRight w:val="0"/>
      <w:marTop w:val="0"/>
      <w:marBottom w:val="0"/>
      <w:divBdr>
        <w:top w:val="none" w:sz="0" w:space="0" w:color="auto"/>
        <w:left w:val="none" w:sz="0" w:space="0" w:color="auto"/>
        <w:bottom w:val="none" w:sz="0" w:space="0" w:color="auto"/>
        <w:right w:val="none" w:sz="0" w:space="0" w:color="auto"/>
      </w:divBdr>
    </w:div>
    <w:div w:id="1472480589">
      <w:bodyDiv w:val="1"/>
      <w:marLeft w:val="0"/>
      <w:marRight w:val="0"/>
      <w:marTop w:val="0"/>
      <w:marBottom w:val="0"/>
      <w:divBdr>
        <w:top w:val="none" w:sz="0" w:space="0" w:color="auto"/>
        <w:left w:val="none" w:sz="0" w:space="0" w:color="auto"/>
        <w:bottom w:val="none" w:sz="0" w:space="0" w:color="auto"/>
        <w:right w:val="none" w:sz="0" w:space="0" w:color="auto"/>
      </w:divBdr>
    </w:div>
    <w:div w:id="1492286107">
      <w:bodyDiv w:val="1"/>
      <w:marLeft w:val="0"/>
      <w:marRight w:val="0"/>
      <w:marTop w:val="0"/>
      <w:marBottom w:val="0"/>
      <w:divBdr>
        <w:top w:val="none" w:sz="0" w:space="0" w:color="auto"/>
        <w:left w:val="none" w:sz="0" w:space="0" w:color="auto"/>
        <w:bottom w:val="none" w:sz="0" w:space="0" w:color="auto"/>
        <w:right w:val="none" w:sz="0" w:space="0" w:color="auto"/>
      </w:divBdr>
    </w:div>
    <w:div w:id="1498110382">
      <w:bodyDiv w:val="1"/>
      <w:marLeft w:val="0"/>
      <w:marRight w:val="0"/>
      <w:marTop w:val="0"/>
      <w:marBottom w:val="0"/>
      <w:divBdr>
        <w:top w:val="none" w:sz="0" w:space="0" w:color="auto"/>
        <w:left w:val="none" w:sz="0" w:space="0" w:color="auto"/>
        <w:bottom w:val="none" w:sz="0" w:space="0" w:color="auto"/>
        <w:right w:val="none" w:sz="0" w:space="0" w:color="auto"/>
      </w:divBdr>
    </w:div>
    <w:div w:id="1498956899">
      <w:bodyDiv w:val="1"/>
      <w:marLeft w:val="0"/>
      <w:marRight w:val="0"/>
      <w:marTop w:val="0"/>
      <w:marBottom w:val="0"/>
      <w:divBdr>
        <w:top w:val="none" w:sz="0" w:space="0" w:color="auto"/>
        <w:left w:val="none" w:sz="0" w:space="0" w:color="auto"/>
        <w:bottom w:val="none" w:sz="0" w:space="0" w:color="auto"/>
        <w:right w:val="none" w:sz="0" w:space="0" w:color="auto"/>
      </w:divBdr>
    </w:div>
    <w:div w:id="1504199060">
      <w:bodyDiv w:val="1"/>
      <w:marLeft w:val="0"/>
      <w:marRight w:val="0"/>
      <w:marTop w:val="0"/>
      <w:marBottom w:val="0"/>
      <w:divBdr>
        <w:top w:val="none" w:sz="0" w:space="0" w:color="auto"/>
        <w:left w:val="none" w:sz="0" w:space="0" w:color="auto"/>
        <w:bottom w:val="none" w:sz="0" w:space="0" w:color="auto"/>
        <w:right w:val="none" w:sz="0" w:space="0" w:color="auto"/>
      </w:divBdr>
    </w:div>
    <w:div w:id="1515150520">
      <w:bodyDiv w:val="1"/>
      <w:marLeft w:val="0"/>
      <w:marRight w:val="0"/>
      <w:marTop w:val="0"/>
      <w:marBottom w:val="0"/>
      <w:divBdr>
        <w:top w:val="none" w:sz="0" w:space="0" w:color="auto"/>
        <w:left w:val="none" w:sz="0" w:space="0" w:color="auto"/>
        <w:bottom w:val="none" w:sz="0" w:space="0" w:color="auto"/>
        <w:right w:val="none" w:sz="0" w:space="0" w:color="auto"/>
      </w:divBdr>
    </w:div>
    <w:div w:id="1516261736">
      <w:bodyDiv w:val="1"/>
      <w:marLeft w:val="0"/>
      <w:marRight w:val="0"/>
      <w:marTop w:val="0"/>
      <w:marBottom w:val="0"/>
      <w:divBdr>
        <w:top w:val="none" w:sz="0" w:space="0" w:color="auto"/>
        <w:left w:val="none" w:sz="0" w:space="0" w:color="auto"/>
        <w:bottom w:val="none" w:sz="0" w:space="0" w:color="auto"/>
        <w:right w:val="none" w:sz="0" w:space="0" w:color="auto"/>
      </w:divBdr>
    </w:div>
    <w:div w:id="1517426877">
      <w:bodyDiv w:val="1"/>
      <w:marLeft w:val="0"/>
      <w:marRight w:val="0"/>
      <w:marTop w:val="0"/>
      <w:marBottom w:val="0"/>
      <w:divBdr>
        <w:top w:val="none" w:sz="0" w:space="0" w:color="auto"/>
        <w:left w:val="none" w:sz="0" w:space="0" w:color="auto"/>
        <w:bottom w:val="none" w:sz="0" w:space="0" w:color="auto"/>
        <w:right w:val="none" w:sz="0" w:space="0" w:color="auto"/>
      </w:divBdr>
    </w:div>
    <w:div w:id="1518814877">
      <w:bodyDiv w:val="1"/>
      <w:marLeft w:val="0"/>
      <w:marRight w:val="0"/>
      <w:marTop w:val="0"/>
      <w:marBottom w:val="0"/>
      <w:divBdr>
        <w:top w:val="none" w:sz="0" w:space="0" w:color="auto"/>
        <w:left w:val="none" w:sz="0" w:space="0" w:color="auto"/>
        <w:bottom w:val="none" w:sz="0" w:space="0" w:color="auto"/>
        <w:right w:val="none" w:sz="0" w:space="0" w:color="auto"/>
      </w:divBdr>
    </w:div>
    <w:div w:id="1534268687">
      <w:bodyDiv w:val="1"/>
      <w:marLeft w:val="0"/>
      <w:marRight w:val="0"/>
      <w:marTop w:val="0"/>
      <w:marBottom w:val="0"/>
      <w:divBdr>
        <w:top w:val="none" w:sz="0" w:space="0" w:color="auto"/>
        <w:left w:val="none" w:sz="0" w:space="0" w:color="auto"/>
        <w:bottom w:val="none" w:sz="0" w:space="0" w:color="auto"/>
        <w:right w:val="none" w:sz="0" w:space="0" w:color="auto"/>
      </w:divBdr>
    </w:div>
    <w:div w:id="1562247398">
      <w:bodyDiv w:val="1"/>
      <w:marLeft w:val="0"/>
      <w:marRight w:val="0"/>
      <w:marTop w:val="0"/>
      <w:marBottom w:val="0"/>
      <w:divBdr>
        <w:top w:val="none" w:sz="0" w:space="0" w:color="auto"/>
        <w:left w:val="none" w:sz="0" w:space="0" w:color="auto"/>
        <w:bottom w:val="none" w:sz="0" w:space="0" w:color="auto"/>
        <w:right w:val="none" w:sz="0" w:space="0" w:color="auto"/>
      </w:divBdr>
    </w:div>
    <w:div w:id="1580166058">
      <w:bodyDiv w:val="1"/>
      <w:marLeft w:val="0"/>
      <w:marRight w:val="0"/>
      <w:marTop w:val="0"/>
      <w:marBottom w:val="0"/>
      <w:divBdr>
        <w:top w:val="none" w:sz="0" w:space="0" w:color="auto"/>
        <w:left w:val="none" w:sz="0" w:space="0" w:color="auto"/>
        <w:bottom w:val="none" w:sz="0" w:space="0" w:color="auto"/>
        <w:right w:val="none" w:sz="0" w:space="0" w:color="auto"/>
      </w:divBdr>
    </w:div>
    <w:div w:id="1613589516">
      <w:bodyDiv w:val="1"/>
      <w:marLeft w:val="0"/>
      <w:marRight w:val="0"/>
      <w:marTop w:val="0"/>
      <w:marBottom w:val="0"/>
      <w:divBdr>
        <w:top w:val="none" w:sz="0" w:space="0" w:color="auto"/>
        <w:left w:val="none" w:sz="0" w:space="0" w:color="auto"/>
        <w:bottom w:val="none" w:sz="0" w:space="0" w:color="auto"/>
        <w:right w:val="none" w:sz="0" w:space="0" w:color="auto"/>
      </w:divBdr>
    </w:div>
    <w:div w:id="1626890461">
      <w:bodyDiv w:val="1"/>
      <w:marLeft w:val="0"/>
      <w:marRight w:val="0"/>
      <w:marTop w:val="0"/>
      <w:marBottom w:val="0"/>
      <w:divBdr>
        <w:top w:val="none" w:sz="0" w:space="0" w:color="auto"/>
        <w:left w:val="none" w:sz="0" w:space="0" w:color="auto"/>
        <w:bottom w:val="none" w:sz="0" w:space="0" w:color="auto"/>
        <w:right w:val="none" w:sz="0" w:space="0" w:color="auto"/>
      </w:divBdr>
    </w:div>
    <w:div w:id="1633292764">
      <w:bodyDiv w:val="1"/>
      <w:marLeft w:val="0"/>
      <w:marRight w:val="0"/>
      <w:marTop w:val="0"/>
      <w:marBottom w:val="0"/>
      <w:divBdr>
        <w:top w:val="none" w:sz="0" w:space="0" w:color="auto"/>
        <w:left w:val="none" w:sz="0" w:space="0" w:color="auto"/>
        <w:bottom w:val="none" w:sz="0" w:space="0" w:color="auto"/>
        <w:right w:val="none" w:sz="0" w:space="0" w:color="auto"/>
      </w:divBdr>
    </w:div>
    <w:div w:id="1636712521">
      <w:bodyDiv w:val="1"/>
      <w:marLeft w:val="0"/>
      <w:marRight w:val="0"/>
      <w:marTop w:val="0"/>
      <w:marBottom w:val="0"/>
      <w:divBdr>
        <w:top w:val="none" w:sz="0" w:space="0" w:color="auto"/>
        <w:left w:val="none" w:sz="0" w:space="0" w:color="auto"/>
        <w:bottom w:val="none" w:sz="0" w:space="0" w:color="auto"/>
        <w:right w:val="none" w:sz="0" w:space="0" w:color="auto"/>
      </w:divBdr>
    </w:div>
    <w:div w:id="1658612101">
      <w:bodyDiv w:val="1"/>
      <w:marLeft w:val="0"/>
      <w:marRight w:val="0"/>
      <w:marTop w:val="0"/>
      <w:marBottom w:val="0"/>
      <w:divBdr>
        <w:top w:val="none" w:sz="0" w:space="0" w:color="auto"/>
        <w:left w:val="none" w:sz="0" w:space="0" w:color="auto"/>
        <w:bottom w:val="none" w:sz="0" w:space="0" w:color="auto"/>
        <w:right w:val="none" w:sz="0" w:space="0" w:color="auto"/>
      </w:divBdr>
    </w:div>
    <w:div w:id="1663309166">
      <w:bodyDiv w:val="1"/>
      <w:marLeft w:val="0"/>
      <w:marRight w:val="0"/>
      <w:marTop w:val="0"/>
      <w:marBottom w:val="0"/>
      <w:divBdr>
        <w:top w:val="none" w:sz="0" w:space="0" w:color="auto"/>
        <w:left w:val="none" w:sz="0" w:space="0" w:color="auto"/>
        <w:bottom w:val="none" w:sz="0" w:space="0" w:color="auto"/>
        <w:right w:val="none" w:sz="0" w:space="0" w:color="auto"/>
      </w:divBdr>
    </w:div>
    <w:div w:id="1681464253">
      <w:bodyDiv w:val="1"/>
      <w:marLeft w:val="0"/>
      <w:marRight w:val="0"/>
      <w:marTop w:val="0"/>
      <w:marBottom w:val="0"/>
      <w:divBdr>
        <w:top w:val="none" w:sz="0" w:space="0" w:color="auto"/>
        <w:left w:val="none" w:sz="0" w:space="0" w:color="auto"/>
        <w:bottom w:val="none" w:sz="0" w:space="0" w:color="auto"/>
        <w:right w:val="none" w:sz="0" w:space="0" w:color="auto"/>
      </w:divBdr>
    </w:div>
    <w:div w:id="1702701623">
      <w:bodyDiv w:val="1"/>
      <w:marLeft w:val="0"/>
      <w:marRight w:val="0"/>
      <w:marTop w:val="0"/>
      <w:marBottom w:val="0"/>
      <w:divBdr>
        <w:top w:val="none" w:sz="0" w:space="0" w:color="auto"/>
        <w:left w:val="none" w:sz="0" w:space="0" w:color="auto"/>
        <w:bottom w:val="none" w:sz="0" w:space="0" w:color="auto"/>
        <w:right w:val="none" w:sz="0" w:space="0" w:color="auto"/>
      </w:divBdr>
    </w:div>
    <w:div w:id="1731342177">
      <w:bodyDiv w:val="1"/>
      <w:marLeft w:val="0"/>
      <w:marRight w:val="0"/>
      <w:marTop w:val="0"/>
      <w:marBottom w:val="0"/>
      <w:divBdr>
        <w:top w:val="none" w:sz="0" w:space="0" w:color="auto"/>
        <w:left w:val="none" w:sz="0" w:space="0" w:color="auto"/>
        <w:bottom w:val="none" w:sz="0" w:space="0" w:color="auto"/>
        <w:right w:val="none" w:sz="0" w:space="0" w:color="auto"/>
      </w:divBdr>
    </w:div>
    <w:div w:id="1739016027">
      <w:bodyDiv w:val="1"/>
      <w:marLeft w:val="0"/>
      <w:marRight w:val="0"/>
      <w:marTop w:val="0"/>
      <w:marBottom w:val="0"/>
      <w:divBdr>
        <w:top w:val="none" w:sz="0" w:space="0" w:color="auto"/>
        <w:left w:val="none" w:sz="0" w:space="0" w:color="auto"/>
        <w:bottom w:val="none" w:sz="0" w:space="0" w:color="auto"/>
        <w:right w:val="none" w:sz="0" w:space="0" w:color="auto"/>
      </w:divBdr>
    </w:div>
    <w:div w:id="1809545937">
      <w:bodyDiv w:val="1"/>
      <w:marLeft w:val="0"/>
      <w:marRight w:val="0"/>
      <w:marTop w:val="0"/>
      <w:marBottom w:val="0"/>
      <w:divBdr>
        <w:top w:val="none" w:sz="0" w:space="0" w:color="auto"/>
        <w:left w:val="none" w:sz="0" w:space="0" w:color="auto"/>
        <w:bottom w:val="none" w:sz="0" w:space="0" w:color="auto"/>
        <w:right w:val="none" w:sz="0" w:space="0" w:color="auto"/>
      </w:divBdr>
    </w:div>
    <w:div w:id="1847087601">
      <w:bodyDiv w:val="1"/>
      <w:marLeft w:val="0"/>
      <w:marRight w:val="0"/>
      <w:marTop w:val="0"/>
      <w:marBottom w:val="0"/>
      <w:divBdr>
        <w:top w:val="none" w:sz="0" w:space="0" w:color="auto"/>
        <w:left w:val="none" w:sz="0" w:space="0" w:color="auto"/>
        <w:bottom w:val="none" w:sz="0" w:space="0" w:color="auto"/>
        <w:right w:val="none" w:sz="0" w:space="0" w:color="auto"/>
      </w:divBdr>
    </w:div>
    <w:div w:id="1919901215">
      <w:bodyDiv w:val="1"/>
      <w:marLeft w:val="0"/>
      <w:marRight w:val="0"/>
      <w:marTop w:val="0"/>
      <w:marBottom w:val="0"/>
      <w:divBdr>
        <w:top w:val="none" w:sz="0" w:space="0" w:color="auto"/>
        <w:left w:val="none" w:sz="0" w:space="0" w:color="auto"/>
        <w:bottom w:val="none" w:sz="0" w:space="0" w:color="auto"/>
        <w:right w:val="none" w:sz="0" w:space="0" w:color="auto"/>
      </w:divBdr>
    </w:div>
    <w:div w:id="1926642180">
      <w:bodyDiv w:val="1"/>
      <w:marLeft w:val="0"/>
      <w:marRight w:val="0"/>
      <w:marTop w:val="0"/>
      <w:marBottom w:val="0"/>
      <w:divBdr>
        <w:top w:val="none" w:sz="0" w:space="0" w:color="auto"/>
        <w:left w:val="none" w:sz="0" w:space="0" w:color="auto"/>
        <w:bottom w:val="none" w:sz="0" w:space="0" w:color="auto"/>
        <w:right w:val="none" w:sz="0" w:space="0" w:color="auto"/>
      </w:divBdr>
    </w:div>
    <w:div w:id="1929776626">
      <w:bodyDiv w:val="1"/>
      <w:marLeft w:val="0"/>
      <w:marRight w:val="0"/>
      <w:marTop w:val="0"/>
      <w:marBottom w:val="0"/>
      <w:divBdr>
        <w:top w:val="none" w:sz="0" w:space="0" w:color="auto"/>
        <w:left w:val="none" w:sz="0" w:space="0" w:color="auto"/>
        <w:bottom w:val="none" w:sz="0" w:space="0" w:color="auto"/>
        <w:right w:val="none" w:sz="0" w:space="0" w:color="auto"/>
      </w:divBdr>
    </w:div>
    <w:div w:id="1941404416">
      <w:bodyDiv w:val="1"/>
      <w:marLeft w:val="0"/>
      <w:marRight w:val="0"/>
      <w:marTop w:val="0"/>
      <w:marBottom w:val="0"/>
      <w:divBdr>
        <w:top w:val="none" w:sz="0" w:space="0" w:color="auto"/>
        <w:left w:val="none" w:sz="0" w:space="0" w:color="auto"/>
        <w:bottom w:val="none" w:sz="0" w:space="0" w:color="auto"/>
        <w:right w:val="none" w:sz="0" w:space="0" w:color="auto"/>
      </w:divBdr>
    </w:div>
    <w:div w:id="1981303655">
      <w:bodyDiv w:val="1"/>
      <w:marLeft w:val="0"/>
      <w:marRight w:val="0"/>
      <w:marTop w:val="0"/>
      <w:marBottom w:val="0"/>
      <w:divBdr>
        <w:top w:val="none" w:sz="0" w:space="0" w:color="auto"/>
        <w:left w:val="none" w:sz="0" w:space="0" w:color="auto"/>
        <w:bottom w:val="none" w:sz="0" w:space="0" w:color="auto"/>
        <w:right w:val="none" w:sz="0" w:space="0" w:color="auto"/>
      </w:divBdr>
    </w:div>
    <w:div w:id="2043355845">
      <w:bodyDiv w:val="1"/>
      <w:marLeft w:val="0"/>
      <w:marRight w:val="0"/>
      <w:marTop w:val="0"/>
      <w:marBottom w:val="0"/>
      <w:divBdr>
        <w:top w:val="none" w:sz="0" w:space="0" w:color="auto"/>
        <w:left w:val="none" w:sz="0" w:space="0" w:color="auto"/>
        <w:bottom w:val="none" w:sz="0" w:space="0" w:color="auto"/>
        <w:right w:val="none" w:sz="0" w:space="0" w:color="auto"/>
      </w:divBdr>
    </w:div>
    <w:div w:id="2083403972">
      <w:marLeft w:val="0"/>
      <w:marRight w:val="0"/>
      <w:marTop w:val="0"/>
      <w:marBottom w:val="0"/>
      <w:divBdr>
        <w:top w:val="none" w:sz="0" w:space="0" w:color="auto"/>
        <w:left w:val="none" w:sz="0" w:space="0" w:color="auto"/>
        <w:bottom w:val="none" w:sz="0" w:space="0" w:color="auto"/>
        <w:right w:val="none" w:sz="0" w:space="0" w:color="auto"/>
      </w:divBdr>
    </w:div>
    <w:div w:id="2083403973">
      <w:marLeft w:val="0"/>
      <w:marRight w:val="0"/>
      <w:marTop w:val="0"/>
      <w:marBottom w:val="0"/>
      <w:divBdr>
        <w:top w:val="none" w:sz="0" w:space="0" w:color="auto"/>
        <w:left w:val="none" w:sz="0" w:space="0" w:color="auto"/>
        <w:bottom w:val="none" w:sz="0" w:space="0" w:color="auto"/>
        <w:right w:val="none" w:sz="0" w:space="0" w:color="auto"/>
      </w:divBdr>
    </w:div>
    <w:div w:id="2083403974">
      <w:marLeft w:val="0"/>
      <w:marRight w:val="0"/>
      <w:marTop w:val="0"/>
      <w:marBottom w:val="0"/>
      <w:divBdr>
        <w:top w:val="none" w:sz="0" w:space="0" w:color="auto"/>
        <w:left w:val="none" w:sz="0" w:space="0" w:color="auto"/>
        <w:bottom w:val="none" w:sz="0" w:space="0" w:color="auto"/>
        <w:right w:val="none" w:sz="0" w:space="0" w:color="auto"/>
      </w:divBdr>
    </w:div>
    <w:div w:id="2083403975">
      <w:marLeft w:val="0"/>
      <w:marRight w:val="0"/>
      <w:marTop w:val="0"/>
      <w:marBottom w:val="0"/>
      <w:divBdr>
        <w:top w:val="none" w:sz="0" w:space="0" w:color="auto"/>
        <w:left w:val="none" w:sz="0" w:space="0" w:color="auto"/>
        <w:bottom w:val="none" w:sz="0" w:space="0" w:color="auto"/>
        <w:right w:val="none" w:sz="0" w:space="0" w:color="auto"/>
      </w:divBdr>
    </w:div>
    <w:div w:id="2083403976">
      <w:marLeft w:val="0"/>
      <w:marRight w:val="0"/>
      <w:marTop w:val="0"/>
      <w:marBottom w:val="0"/>
      <w:divBdr>
        <w:top w:val="none" w:sz="0" w:space="0" w:color="auto"/>
        <w:left w:val="none" w:sz="0" w:space="0" w:color="auto"/>
        <w:bottom w:val="none" w:sz="0" w:space="0" w:color="auto"/>
        <w:right w:val="none" w:sz="0" w:space="0" w:color="auto"/>
      </w:divBdr>
    </w:div>
    <w:div w:id="2083403977">
      <w:marLeft w:val="0"/>
      <w:marRight w:val="0"/>
      <w:marTop w:val="0"/>
      <w:marBottom w:val="0"/>
      <w:divBdr>
        <w:top w:val="none" w:sz="0" w:space="0" w:color="auto"/>
        <w:left w:val="none" w:sz="0" w:space="0" w:color="auto"/>
        <w:bottom w:val="none" w:sz="0" w:space="0" w:color="auto"/>
        <w:right w:val="none" w:sz="0" w:space="0" w:color="auto"/>
      </w:divBdr>
    </w:div>
    <w:div w:id="2083403978">
      <w:marLeft w:val="0"/>
      <w:marRight w:val="0"/>
      <w:marTop w:val="0"/>
      <w:marBottom w:val="0"/>
      <w:divBdr>
        <w:top w:val="none" w:sz="0" w:space="0" w:color="auto"/>
        <w:left w:val="none" w:sz="0" w:space="0" w:color="auto"/>
        <w:bottom w:val="none" w:sz="0" w:space="0" w:color="auto"/>
        <w:right w:val="none" w:sz="0" w:space="0" w:color="auto"/>
      </w:divBdr>
    </w:div>
    <w:div w:id="2083403979">
      <w:marLeft w:val="0"/>
      <w:marRight w:val="0"/>
      <w:marTop w:val="0"/>
      <w:marBottom w:val="0"/>
      <w:divBdr>
        <w:top w:val="none" w:sz="0" w:space="0" w:color="auto"/>
        <w:left w:val="none" w:sz="0" w:space="0" w:color="auto"/>
        <w:bottom w:val="none" w:sz="0" w:space="0" w:color="auto"/>
        <w:right w:val="none" w:sz="0" w:space="0" w:color="auto"/>
      </w:divBdr>
    </w:div>
    <w:div w:id="2083403980">
      <w:marLeft w:val="0"/>
      <w:marRight w:val="0"/>
      <w:marTop w:val="0"/>
      <w:marBottom w:val="0"/>
      <w:divBdr>
        <w:top w:val="none" w:sz="0" w:space="0" w:color="auto"/>
        <w:left w:val="none" w:sz="0" w:space="0" w:color="auto"/>
        <w:bottom w:val="none" w:sz="0" w:space="0" w:color="auto"/>
        <w:right w:val="none" w:sz="0" w:space="0" w:color="auto"/>
      </w:divBdr>
    </w:div>
    <w:div w:id="2083403981">
      <w:marLeft w:val="0"/>
      <w:marRight w:val="0"/>
      <w:marTop w:val="0"/>
      <w:marBottom w:val="0"/>
      <w:divBdr>
        <w:top w:val="none" w:sz="0" w:space="0" w:color="auto"/>
        <w:left w:val="none" w:sz="0" w:space="0" w:color="auto"/>
        <w:bottom w:val="none" w:sz="0" w:space="0" w:color="auto"/>
        <w:right w:val="none" w:sz="0" w:space="0" w:color="auto"/>
      </w:divBdr>
    </w:div>
    <w:div w:id="2083403982">
      <w:marLeft w:val="0"/>
      <w:marRight w:val="0"/>
      <w:marTop w:val="0"/>
      <w:marBottom w:val="0"/>
      <w:divBdr>
        <w:top w:val="none" w:sz="0" w:space="0" w:color="auto"/>
        <w:left w:val="none" w:sz="0" w:space="0" w:color="auto"/>
        <w:bottom w:val="none" w:sz="0" w:space="0" w:color="auto"/>
        <w:right w:val="none" w:sz="0" w:space="0" w:color="auto"/>
      </w:divBdr>
    </w:div>
    <w:div w:id="2083403983">
      <w:marLeft w:val="0"/>
      <w:marRight w:val="0"/>
      <w:marTop w:val="0"/>
      <w:marBottom w:val="0"/>
      <w:divBdr>
        <w:top w:val="none" w:sz="0" w:space="0" w:color="auto"/>
        <w:left w:val="none" w:sz="0" w:space="0" w:color="auto"/>
        <w:bottom w:val="none" w:sz="0" w:space="0" w:color="auto"/>
        <w:right w:val="none" w:sz="0" w:space="0" w:color="auto"/>
      </w:divBdr>
    </w:div>
    <w:div w:id="2083403984">
      <w:marLeft w:val="0"/>
      <w:marRight w:val="0"/>
      <w:marTop w:val="0"/>
      <w:marBottom w:val="0"/>
      <w:divBdr>
        <w:top w:val="none" w:sz="0" w:space="0" w:color="auto"/>
        <w:left w:val="none" w:sz="0" w:space="0" w:color="auto"/>
        <w:bottom w:val="none" w:sz="0" w:space="0" w:color="auto"/>
        <w:right w:val="none" w:sz="0" w:space="0" w:color="auto"/>
      </w:divBdr>
    </w:div>
    <w:div w:id="2083403985">
      <w:marLeft w:val="0"/>
      <w:marRight w:val="0"/>
      <w:marTop w:val="0"/>
      <w:marBottom w:val="0"/>
      <w:divBdr>
        <w:top w:val="none" w:sz="0" w:space="0" w:color="auto"/>
        <w:left w:val="none" w:sz="0" w:space="0" w:color="auto"/>
        <w:bottom w:val="none" w:sz="0" w:space="0" w:color="auto"/>
        <w:right w:val="none" w:sz="0" w:space="0" w:color="auto"/>
      </w:divBdr>
    </w:div>
    <w:div w:id="2083403986">
      <w:marLeft w:val="0"/>
      <w:marRight w:val="0"/>
      <w:marTop w:val="0"/>
      <w:marBottom w:val="0"/>
      <w:divBdr>
        <w:top w:val="none" w:sz="0" w:space="0" w:color="auto"/>
        <w:left w:val="none" w:sz="0" w:space="0" w:color="auto"/>
        <w:bottom w:val="none" w:sz="0" w:space="0" w:color="auto"/>
        <w:right w:val="none" w:sz="0" w:space="0" w:color="auto"/>
      </w:divBdr>
    </w:div>
    <w:div w:id="2083403987">
      <w:marLeft w:val="0"/>
      <w:marRight w:val="0"/>
      <w:marTop w:val="0"/>
      <w:marBottom w:val="0"/>
      <w:divBdr>
        <w:top w:val="none" w:sz="0" w:space="0" w:color="auto"/>
        <w:left w:val="none" w:sz="0" w:space="0" w:color="auto"/>
        <w:bottom w:val="none" w:sz="0" w:space="0" w:color="auto"/>
        <w:right w:val="none" w:sz="0" w:space="0" w:color="auto"/>
      </w:divBdr>
    </w:div>
    <w:div w:id="2083403988">
      <w:marLeft w:val="0"/>
      <w:marRight w:val="0"/>
      <w:marTop w:val="0"/>
      <w:marBottom w:val="0"/>
      <w:divBdr>
        <w:top w:val="none" w:sz="0" w:space="0" w:color="auto"/>
        <w:left w:val="none" w:sz="0" w:space="0" w:color="auto"/>
        <w:bottom w:val="none" w:sz="0" w:space="0" w:color="auto"/>
        <w:right w:val="none" w:sz="0" w:space="0" w:color="auto"/>
      </w:divBdr>
    </w:div>
    <w:div w:id="2083403989">
      <w:marLeft w:val="0"/>
      <w:marRight w:val="0"/>
      <w:marTop w:val="0"/>
      <w:marBottom w:val="0"/>
      <w:divBdr>
        <w:top w:val="none" w:sz="0" w:space="0" w:color="auto"/>
        <w:left w:val="none" w:sz="0" w:space="0" w:color="auto"/>
        <w:bottom w:val="none" w:sz="0" w:space="0" w:color="auto"/>
        <w:right w:val="none" w:sz="0" w:space="0" w:color="auto"/>
      </w:divBdr>
    </w:div>
    <w:div w:id="2083403990">
      <w:marLeft w:val="0"/>
      <w:marRight w:val="0"/>
      <w:marTop w:val="0"/>
      <w:marBottom w:val="0"/>
      <w:divBdr>
        <w:top w:val="none" w:sz="0" w:space="0" w:color="auto"/>
        <w:left w:val="none" w:sz="0" w:space="0" w:color="auto"/>
        <w:bottom w:val="none" w:sz="0" w:space="0" w:color="auto"/>
        <w:right w:val="none" w:sz="0" w:space="0" w:color="auto"/>
      </w:divBdr>
    </w:div>
    <w:div w:id="2083403991">
      <w:marLeft w:val="0"/>
      <w:marRight w:val="0"/>
      <w:marTop w:val="0"/>
      <w:marBottom w:val="0"/>
      <w:divBdr>
        <w:top w:val="none" w:sz="0" w:space="0" w:color="auto"/>
        <w:left w:val="none" w:sz="0" w:space="0" w:color="auto"/>
        <w:bottom w:val="none" w:sz="0" w:space="0" w:color="auto"/>
        <w:right w:val="none" w:sz="0" w:space="0" w:color="auto"/>
      </w:divBdr>
    </w:div>
    <w:div w:id="2083403992">
      <w:marLeft w:val="0"/>
      <w:marRight w:val="0"/>
      <w:marTop w:val="0"/>
      <w:marBottom w:val="0"/>
      <w:divBdr>
        <w:top w:val="none" w:sz="0" w:space="0" w:color="auto"/>
        <w:left w:val="none" w:sz="0" w:space="0" w:color="auto"/>
        <w:bottom w:val="none" w:sz="0" w:space="0" w:color="auto"/>
        <w:right w:val="none" w:sz="0" w:space="0" w:color="auto"/>
      </w:divBdr>
    </w:div>
    <w:div w:id="2083403993">
      <w:marLeft w:val="0"/>
      <w:marRight w:val="0"/>
      <w:marTop w:val="0"/>
      <w:marBottom w:val="0"/>
      <w:divBdr>
        <w:top w:val="none" w:sz="0" w:space="0" w:color="auto"/>
        <w:left w:val="none" w:sz="0" w:space="0" w:color="auto"/>
        <w:bottom w:val="none" w:sz="0" w:space="0" w:color="auto"/>
        <w:right w:val="none" w:sz="0" w:space="0" w:color="auto"/>
      </w:divBdr>
    </w:div>
    <w:div w:id="2083403994">
      <w:marLeft w:val="0"/>
      <w:marRight w:val="0"/>
      <w:marTop w:val="0"/>
      <w:marBottom w:val="0"/>
      <w:divBdr>
        <w:top w:val="none" w:sz="0" w:space="0" w:color="auto"/>
        <w:left w:val="none" w:sz="0" w:space="0" w:color="auto"/>
        <w:bottom w:val="none" w:sz="0" w:space="0" w:color="auto"/>
        <w:right w:val="none" w:sz="0" w:space="0" w:color="auto"/>
      </w:divBdr>
    </w:div>
    <w:div w:id="2083403995">
      <w:marLeft w:val="0"/>
      <w:marRight w:val="0"/>
      <w:marTop w:val="0"/>
      <w:marBottom w:val="0"/>
      <w:divBdr>
        <w:top w:val="none" w:sz="0" w:space="0" w:color="auto"/>
        <w:left w:val="none" w:sz="0" w:space="0" w:color="auto"/>
        <w:bottom w:val="none" w:sz="0" w:space="0" w:color="auto"/>
        <w:right w:val="none" w:sz="0" w:space="0" w:color="auto"/>
      </w:divBdr>
    </w:div>
    <w:div w:id="2083403996">
      <w:marLeft w:val="0"/>
      <w:marRight w:val="0"/>
      <w:marTop w:val="0"/>
      <w:marBottom w:val="0"/>
      <w:divBdr>
        <w:top w:val="none" w:sz="0" w:space="0" w:color="auto"/>
        <w:left w:val="none" w:sz="0" w:space="0" w:color="auto"/>
        <w:bottom w:val="none" w:sz="0" w:space="0" w:color="auto"/>
        <w:right w:val="none" w:sz="0" w:space="0" w:color="auto"/>
      </w:divBdr>
    </w:div>
    <w:div w:id="2083403997">
      <w:marLeft w:val="0"/>
      <w:marRight w:val="0"/>
      <w:marTop w:val="0"/>
      <w:marBottom w:val="0"/>
      <w:divBdr>
        <w:top w:val="none" w:sz="0" w:space="0" w:color="auto"/>
        <w:left w:val="none" w:sz="0" w:space="0" w:color="auto"/>
        <w:bottom w:val="none" w:sz="0" w:space="0" w:color="auto"/>
        <w:right w:val="none" w:sz="0" w:space="0" w:color="auto"/>
      </w:divBdr>
    </w:div>
    <w:div w:id="2083403998">
      <w:marLeft w:val="0"/>
      <w:marRight w:val="0"/>
      <w:marTop w:val="0"/>
      <w:marBottom w:val="0"/>
      <w:divBdr>
        <w:top w:val="none" w:sz="0" w:space="0" w:color="auto"/>
        <w:left w:val="none" w:sz="0" w:space="0" w:color="auto"/>
        <w:bottom w:val="none" w:sz="0" w:space="0" w:color="auto"/>
        <w:right w:val="none" w:sz="0" w:space="0" w:color="auto"/>
      </w:divBdr>
    </w:div>
    <w:div w:id="2083403999">
      <w:marLeft w:val="0"/>
      <w:marRight w:val="0"/>
      <w:marTop w:val="0"/>
      <w:marBottom w:val="0"/>
      <w:divBdr>
        <w:top w:val="none" w:sz="0" w:space="0" w:color="auto"/>
        <w:left w:val="none" w:sz="0" w:space="0" w:color="auto"/>
        <w:bottom w:val="none" w:sz="0" w:space="0" w:color="auto"/>
        <w:right w:val="none" w:sz="0" w:space="0" w:color="auto"/>
      </w:divBdr>
    </w:div>
    <w:div w:id="2083404000">
      <w:marLeft w:val="0"/>
      <w:marRight w:val="0"/>
      <w:marTop w:val="0"/>
      <w:marBottom w:val="0"/>
      <w:divBdr>
        <w:top w:val="none" w:sz="0" w:space="0" w:color="auto"/>
        <w:left w:val="none" w:sz="0" w:space="0" w:color="auto"/>
        <w:bottom w:val="none" w:sz="0" w:space="0" w:color="auto"/>
        <w:right w:val="none" w:sz="0" w:space="0" w:color="auto"/>
      </w:divBdr>
    </w:div>
    <w:div w:id="2083404001">
      <w:marLeft w:val="0"/>
      <w:marRight w:val="0"/>
      <w:marTop w:val="0"/>
      <w:marBottom w:val="0"/>
      <w:divBdr>
        <w:top w:val="none" w:sz="0" w:space="0" w:color="auto"/>
        <w:left w:val="none" w:sz="0" w:space="0" w:color="auto"/>
        <w:bottom w:val="none" w:sz="0" w:space="0" w:color="auto"/>
        <w:right w:val="none" w:sz="0" w:space="0" w:color="auto"/>
      </w:divBdr>
    </w:div>
    <w:div w:id="2083404002">
      <w:marLeft w:val="0"/>
      <w:marRight w:val="0"/>
      <w:marTop w:val="0"/>
      <w:marBottom w:val="0"/>
      <w:divBdr>
        <w:top w:val="none" w:sz="0" w:space="0" w:color="auto"/>
        <w:left w:val="none" w:sz="0" w:space="0" w:color="auto"/>
        <w:bottom w:val="none" w:sz="0" w:space="0" w:color="auto"/>
        <w:right w:val="none" w:sz="0" w:space="0" w:color="auto"/>
      </w:divBdr>
    </w:div>
    <w:div w:id="2083404003">
      <w:marLeft w:val="0"/>
      <w:marRight w:val="0"/>
      <w:marTop w:val="0"/>
      <w:marBottom w:val="0"/>
      <w:divBdr>
        <w:top w:val="none" w:sz="0" w:space="0" w:color="auto"/>
        <w:left w:val="none" w:sz="0" w:space="0" w:color="auto"/>
        <w:bottom w:val="none" w:sz="0" w:space="0" w:color="auto"/>
        <w:right w:val="none" w:sz="0" w:space="0" w:color="auto"/>
      </w:divBdr>
    </w:div>
    <w:div w:id="2083404004">
      <w:marLeft w:val="0"/>
      <w:marRight w:val="0"/>
      <w:marTop w:val="0"/>
      <w:marBottom w:val="0"/>
      <w:divBdr>
        <w:top w:val="none" w:sz="0" w:space="0" w:color="auto"/>
        <w:left w:val="none" w:sz="0" w:space="0" w:color="auto"/>
        <w:bottom w:val="none" w:sz="0" w:space="0" w:color="auto"/>
        <w:right w:val="none" w:sz="0" w:space="0" w:color="auto"/>
      </w:divBdr>
    </w:div>
    <w:div w:id="2083404005">
      <w:marLeft w:val="0"/>
      <w:marRight w:val="0"/>
      <w:marTop w:val="0"/>
      <w:marBottom w:val="0"/>
      <w:divBdr>
        <w:top w:val="none" w:sz="0" w:space="0" w:color="auto"/>
        <w:left w:val="none" w:sz="0" w:space="0" w:color="auto"/>
        <w:bottom w:val="none" w:sz="0" w:space="0" w:color="auto"/>
        <w:right w:val="none" w:sz="0" w:space="0" w:color="auto"/>
      </w:divBdr>
    </w:div>
    <w:div w:id="2083404006">
      <w:marLeft w:val="0"/>
      <w:marRight w:val="0"/>
      <w:marTop w:val="0"/>
      <w:marBottom w:val="0"/>
      <w:divBdr>
        <w:top w:val="none" w:sz="0" w:space="0" w:color="auto"/>
        <w:left w:val="none" w:sz="0" w:space="0" w:color="auto"/>
        <w:bottom w:val="none" w:sz="0" w:space="0" w:color="auto"/>
        <w:right w:val="none" w:sz="0" w:space="0" w:color="auto"/>
      </w:divBdr>
    </w:div>
    <w:div w:id="2083404007">
      <w:marLeft w:val="0"/>
      <w:marRight w:val="0"/>
      <w:marTop w:val="0"/>
      <w:marBottom w:val="0"/>
      <w:divBdr>
        <w:top w:val="none" w:sz="0" w:space="0" w:color="auto"/>
        <w:left w:val="none" w:sz="0" w:space="0" w:color="auto"/>
        <w:bottom w:val="none" w:sz="0" w:space="0" w:color="auto"/>
        <w:right w:val="none" w:sz="0" w:space="0" w:color="auto"/>
      </w:divBdr>
    </w:div>
    <w:div w:id="2083404008">
      <w:marLeft w:val="0"/>
      <w:marRight w:val="0"/>
      <w:marTop w:val="0"/>
      <w:marBottom w:val="0"/>
      <w:divBdr>
        <w:top w:val="none" w:sz="0" w:space="0" w:color="auto"/>
        <w:left w:val="none" w:sz="0" w:space="0" w:color="auto"/>
        <w:bottom w:val="none" w:sz="0" w:space="0" w:color="auto"/>
        <w:right w:val="none" w:sz="0" w:space="0" w:color="auto"/>
      </w:divBdr>
    </w:div>
    <w:div w:id="2083404009">
      <w:marLeft w:val="0"/>
      <w:marRight w:val="0"/>
      <w:marTop w:val="0"/>
      <w:marBottom w:val="0"/>
      <w:divBdr>
        <w:top w:val="none" w:sz="0" w:space="0" w:color="auto"/>
        <w:left w:val="none" w:sz="0" w:space="0" w:color="auto"/>
        <w:bottom w:val="none" w:sz="0" w:space="0" w:color="auto"/>
        <w:right w:val="none" w:sz="0" w:space="0" w:color="auto"/>
      </w:divBdr>
    </w:div>
    <w:div w:id="2083404010">
      <w:marLeft w:val="0"/>
      <w:marRight w:val="0"/>
      <w:marTop w:val="0"/>
      <w:marBottom w:val="0"/>
      <w:divBdr>
        <w:top w:val="none" w:sz="0" w:space="0" w:color="auto"/>
        <w:left w:val="none" w:sz="0" w:space="0" w:color="auto"/>
        <w:bottom w:val="none" w:sz="0" w:space="0" w:color="auto"/>
        <w:right w:val="none" w:sz="0" w:space="0" w:color="auto"/>
      </w:divBdr>
    </w:div>
    <w:div w:id="2083404011">
      <w:marLeft w:val="0"/>
      <w:marRight w:val="0"/>
      <w:marTop w:val="0"/>
      <w:marBottom w:val="0"/>
      <w:divBdr>
        <w:top w:val="none" w:sz="0" w:space="0" w:color="auto"/>
        <w:left w:val="none" w:sz="0" w:space="0" w:color="auto"/>
        <w:bottom w:val="none" w:sz="0" w:space="0" w:color="auto"/>
        <w:right w:val="none" w:sz="0" w:space="0" w:color="auto"/>
      </w:divBdr>
    </w:div>
    <w:div w:id="2083404012">
      <w:marLeft w:val="0"/>
      <w:marRight w:val="0"/>
      <w:marTop w:val="0"/>
      <w:marBottom w:val="0"/>
      <w:divBdr>
        <w:top w:val="none" w:sz="0" w:space="0" w:color="auto"/>
        <w:left w:val="none" w:sz="0" w:space="0" w:color="auto"/>
        <w:bottom w:val="none" w:sz="0" w:space="0" w:color="auto"/>
        <w:right w:val="none" w:sz="0" w:space="0" w:color="auto"/>
      </w:divBdr>
    </w:div>
    <w:div w:id="2083404013">
      <w:marLeft w:val="0"/>
      <w:marRight w:val="0"/>
      <w:marTop w:val="0"/>
      <w:marBottom w:val="0"/>
      <w:divBdr>
        <w:top w:val="none" w:sz="0" w:space="0" w:color="auto"/>
        <w:left w:val="none" w:sz="0" w:space="0" w:color="auto"/>
        <w:bottom w:val="none" w:sz="0" w:space="0" w:color="auto"/>
        <w:right w:val="none" w:sz="0" w:space="0" w:color="auto"/>
      </w:divBdr>
    </w:div>
    <w:div w:id="2083404014">
      <w:marLeft w:val="0"/>
      <w:marRight w:val="0"/>
      <w:marTop w:val="0"/>
      <w:marBottom w:val="0"/>
      <w:divBdr>
        <w:top w:val="none" w:sz="0" w:space="0" w:color="auto"/>
        <w:left w:val="none" w:sz="0" w:space="0" w:color="auto"/>
        <w:bottom w:val="none" w:sz="0" w:space="0" w:color="auto"/>
        <w:right w:val="none" w:sz="0" w:space="0" w:color="auto"/>
      </w:divBdr>
    </w:div>
    <w:div w:id="2083404015">
      <w:marLeft w:val="0"/>
      <w:marRight w:val="0"/>
      <w:marTop w:val="0"/>
      <w:marBottom w:val="0"/>
      <w:divBdr>
        <w:top w:val="none" w:sz="0" w:space="0" w:color="auto"/>
        <w:left w:val="none" w:sz="0" w:space="0" w:color="auto"/>
        <w:bottom w:val="none" w:sz="0" w:space="0" w:color="auto"/>
        <w:right w:val="none" w:sz="0" w:space="0" w:color="auto"/>
      </w:divBdr>
    </w:div>
    <w:div w:id="2083404016">
      <w:marLeft w:val="0"/>
      <w:marRight w:val="0"/>
      <w:marTop w:val="0"/>
      <w:marBottom w:val="0"/>
      <w:divBdr>
        <w:top w:val="none" w:sz="0" w:space="0" w:color="auto"/>
        <w:left w:val="none" w:sz="0" w:space="0" w:color="auto"/>
        <w:bottom w:val="none" w:sz="0" w:space="0" w:color="auto"/>
        <w:right w:val="none" w:sz="0" w:space="0" w:color="auto"/>
      </w:divBdr>
    </w:div>
    <w:div w:id="2083404017">
      <w:marLeft w:val="0"/>
      <w:marRight w:val="0"/>
      <w:marTop w:val="0"/>
      <w:marBottom w:val="0"/>
      <w:divBdr>
        <w:top w:val="none" w:sz="0" w:space="0" w:color="auto"/>
        <w:left w:val="none" w:sz="0" w:space="0" w:color="auto"/>
        <w:bottom w:val="none" w:sz="0" w:space="0" w:color="auto"/>
        <w:right w:val="none" w:sz="0" w:space="0" w:color="auto"/>
      </w:divBdr>
    </w:div>
    <w:div w:id="2083404018">
      <w:marLeft w:val="0"/>
      <w:marRight w:val="0"/>
      <w:marTop w:val="0"/>
      <w:marBottom w:val="0"/>
      <w:divBdr>
        <w:top w:val="none" w:sz="0" w:space="0" w:color="auto"/>
        <w:left w:val="none" w:sz="0" w:space="0" w:color="auto"/>
        <w:bottom w:val="none" w:sz="0" w:space="0" w:color="auto"/>
        <w:right w:val="none" w:sz="0" w:space="0" w:color="auto"/>
      </w:divBdr>
    </w:div>
    <w:div w:id="2083404019">
      <w:marLeft w:val="0"/>
      <w:marRight w:val="0"/>
      <w:marTop w:val="0"/>
      <w:marBottom w:val="0"/>
      <w:divBdr>
        <w:top w:val="none" w:sz="0" w:space="0" w:color="auto"/>
        <w:left w:val="none" w:sz="0" w:space="0" w:color="auto"/>
        <w:bottom w:val="none" w:sz="0" w:space="0" w:color="auto"/>
        <w:right w:val="none" w:sz="0" w:space="0" w:color="auto"/>
      </w:divBdr>
    </w:div>
    <w:div w:id="2083404020">
      <w:marLeft w:val="0"/>
      <w:marRight w:val="0"/>
      <w:marTop w:val="0"/>
      <w:marBottom w:val="0"/>
      <w:divBdr>
        <w:top w:val="none" w:sz="0" w:space="0" w:color="auto"/>
        <w:left w:val="none" w:sz="0" w:space="0" w:color="auto"/>
        <w:bottom w:val="none" w:sz="0" w:space="0" w:color="auto"/>
        <w:right w:val="none" w:sz="0" w:space="0" w:color="auto"/>
      </w:divBdr>
    </w:div>
    <w:div w:id="2083404021">
      <w:marLeft w:val="0"/>
      <w:marRight w:val="0"/>
      <w:marTop w:val="0"/>
      <w:marBottom w:val="0"/>
      <w:divBdr>
        <w:top w:val="none" w:sz="0" w:space="0" w:color="auto"/>
        <w:left w:val="none" w:sz="0" w:space="0" w:color="auto"/>
        <w:bottom w:val="none" w:sz="0" w:space="0" w:color="auto"/>
        <w:right w:val="none" w:sz="0" w:space="0" w:color="auto"/>
      </w:divBdr>
    </w:div>
    <w:div w:id="2083404022">
      <w:marLeft w:val="0"/>
      <w:marRight w:val="0"/>
      <w:marTop w:val="0"/>
      <w:marBottom w:val="0"/>
      <w:divBdr>
        <w:top w:val="none" w:sz="0" w:space="0" w:color="auto"/>
        <w:left w:val="none" w:sz="0" w:space="0" w:color="auto"/>
        <w:bottom w:val="none" w:sz="0" w:space="0" w:color="auto"/>
        <w:right w:val="none" w:sz="0" w:space="0" w:color="auto"/>
      </w:divBdr>
    </w:div>
    <w:div w:id="2083404023">
      <w:marLeft w:val="0"/>
      <w:marRight w:val="0"/>
      <w:marTop w:val="0"/>
      <w:marBottom w:val="0"/>
      <w:divBdr>
        <w:top w:val="none" w:sz="0" w:space="0" w:color="auto"/>
        <w:left w:val="none" w:sz="0" w:space="0" w:color="auto"/>
        <w:bottom w:val="none" w:sz="0" w:space="0" w:color="auto"/>
        <w:right w:val="none" w:sz="0" w:space="0" w:color="auto"/>
      </w:divBdr>
    </w:div>
    <w:div w:id="2083404024">
      <w:marLeft w:val="0"/>
      <w:marRight w:val="0"/>
      <w:marTop w:val="0"/>
      <w:marBottom w:val="0"/>
      <w:divBdr>
        <w:top w:val="none" w:sz="0" w:space="0" w:color="auto"/>
        <w:left w:val="none" w:sz="0" w:space="0" w:color="auto"/>
        <w:bottom w:val="none" w:sz="0" w:space="0" w:color="auto"/>
        <w:right w:val="none" w:sz="0" w:space="0" w:color="auto"/>
      </w:divBdr>
    </w:div>
    <w:div w:id="2083404025">
      <w:marLeft w:val="0"/>
      <w:marRight w:val="0"/>
      <w:marTop w:val="0"/>
      <w:marBottom w:val="0"/>
      <w:divBdr>
        <w:top w:val="none" w:sz="0" w:space="0" w:color="auto"/>
        <w:left w:val="none" w:sz="0" w:space="0" w:color="auto"/>
        <w:bottom w:val="none" w:sz="0" w:space="0" w:color="auto"/>
        <w:right w:val="none" w:sz="0" w:space="0" w:color="auto"/>
      </w:divBdr>
    </w:div>
    <w:div w:id="2083404026">
      <w:marLeft w:val="0"/>
      <w:marRight w:val="0"/>
      <w:marTop w:val="0"/>
      <w:marBottom w:val="0"/>
      <w:divBdr>
        <w:top w:val="none" w:sz="0" w:space="0" w:color="auto"/>
        <w:left w:val="none" w:sz="0" w:space="0" w:color="auto"/>
        <w:bottom w:val="none" w:sz="0" w:space="0" w:color="auto"/>
        <w:right w:val="none" w:sz="0" w:space="0" w:color="auto"/>
      </w:divBdr>
    </w:div>
    <w:div w:id="2083404027">
      <w:marLeft w:val="0"/>
      <w:marRight w:val="0"/>
      <w:marTop w:val="0"/>
      <w:marBottom w:val="0"/>
      <w:divBdr>
        <w:top w:val="none" w:sz="0" w:space="0" w:color="auto"/>
        <w:left w:val="none" w:sz="0" w:space="0" w:color="auto"/>
        <w:bottom w:val="none" w:sz="0" w:space="0" w:color="auto"/>
        <w:right w:val="none" w:sz="0" w:space="0" w:color="auto"/>
      </w:divBdr>
    </w:div>
    <w:div w:id="2083404028">
      <w:marLeft w:val="0"/>
      <w:marRight w:val="0"/>
      <w:marTop w:val="0"/>
      <w:marBottom w:val="0"/>
      <w:divBdr>
        <w:top w:val="none" w:sz="0" w:space="0" w:color="auto"/>
        <w:left w:val="none" w:sz="0" w:space="0" w:color="auto"/>
        <w:bottom w:val="none" w:sz="0" w:space="0" w:color="auto"/>
        <w:right w:val="none" w:sz="0" w:space="0" w:color="auto"/>
      </w:divBdr>
    </w:div>
    <w:div w:id="2083404029">
      <w:marLeft w:val="0"/>
      <w:marRight w:val="0"/>
      <w:marTop w:val="0"/>
      <w:marBottom w:val="0"/>
      <w:divBdr>
        <w:top w:val="none" w:sz="0" w:space="0" w:color="auto"/>
        <w:left w:val="none" w:sz="0" w:space="0" w:color="auto"/>
        <w:bottom w:val="none" w:sz="0" w:space="0" w:color="auto"/>
        <w:right w:val="none" w:sz="0" w:space="0" w:color="auto"/>
      </w:divBdr>
    </w:div>
    <w:div w:id="2083404030">
      <w:marLeft w:val="0"/>
      <w:marRight w:val="0"/>
      <w:marTop w:val="0"/>
      <w:marBottom w:val="0"/>
      <w:divBdr>
        <w:top w:val="none" w:sz="0" w:space="0" w:color="auto"/>
        <w:left w:val="none" w:sz="0" w:space="0" w:color="auto"/>
        <w:bottom w:val="none" w:sz="0" w:space="0" w:color="auto"/>
        <w:right w:val="none" w:sz="0" w:space="0" w:color="auto"/>
      </w:divBdr>
    </w:div>
    <w:div w:id="2083404031">
      <w:marLeft w:val="0"/>
      <w:marRight w:val="0"/>
      <w:marTop w:val="0"/>
      <w:marBottom w:val="0"/>
      <w:divBdr>
        <w:top w:val="none" w:sz="0" w:space="0" w:color="auto"/>
        <w:left w:val="none" w:sz="0" w:space="0" w:color="auto"/>
        <w:bottom w:val="none" w:sz="0" w:space="0" w:color="auto"/>
        <w:right w:val="none" w:sz="0" w:space="0" w:color="auto"/>
      </w:divBdr>
    </w:div>
    <w:div w:id="2083404032">
      <w:marLeft w:val="0"/>
      <w:marRight w:val="0"/>
      <w:marTop w:val="0"/>
      <w:marBottom w:val="0"/>
      <w:divBdr>
        <w:top w:val="none" w:sz="0" w:space="0" w:color="auto"/>
        <w:left w:val="none" w:sz="0" w:space="0" w:color="auto"/>
        <w:bottom w:val="none" w:sz="0" w:space="0" w:color="auto"/>
        <w:right w:val="none" w:sz="0" w:space="0" w:color="auto"/>
      </w:divBdr>
    </w:div>
    <w:div w:id="2083404033">
      <w:marLeft w:val="0"/>
      <w:marRight w:val="0"/>
      <w:marTop w:val="0"/>
      <w:marBottom w:val="0"/>
      <w:divBdr>
        <w:top w:val="none" w:sz="0" w:space="0" w:color="auto"/>
        <w:left w:val="none" w:sz="0" w:space="0" w:color="auto"/>
        <w:bottom w:val="none" w:sz="0" w:space="0" w:color="auto"/>
        <w:right w:val="none" w:sz="0" w:space="0" w:color="auto"/>
      </w:divBdr>
    </w:div>
    <w:div w:id="2083404034">
      <w:marLeft w:val="0"/>
      <w:marRight w:val="0"/>
      <w:marTop w:val="0"/>
      <w:marBottom w:val="0"/>
      <w:divBdr>
        <w:top w:val="none" w:sz="0" w:space="0" w:color="auto"/>
        <w:left w:val="none" w:sz="0" w:space="0" w:color="auto"/>
        <w:bottom w:val="none" w:sz="0" w:space="0" w:color="auto"/>
        <w:right w:val="none" w:sz="0" w:space="0" w:color="auto"/>
      </w:divBdr>
    </w:div>
    <w:div w:id="2083404035">
      <w:marLeft w:val="0"/>
      <w:marRight w:val="0"/>
      <w:marTop w:val="0"/>
      <w:marBottom w:val="0"/>
      <w:divBdr>
        <w:top w:val="none" w:sz="0" w:space="0" w:color="auto"/>
        <w:left w:val="none" w:sz="0" w:space="0" w:color="auto"/>
        <w:bottom w:val="none" w:sz="0" w:space="0" w:color="auto"/>
        <w:right w:val="none" w:sz="0" w:space="0" w:color="auto"/>
      </w:divBdr>
    </w:div>
    <w:div w:id="2083404036">
      <w:marLeft w:val="0"/>
      <w:marRight w:val="0"/>
      <w:marTop w:val="0"/>
      <w:marBottom w:val="0"/>
      <w:divBdr>
        <w:top w:val="none" w:sz="0" w:space="0" w:color="auto"/>
        <w:left w:val="none" w:sz="0" w:space="0" w:color="auto"/>
        <w:bottom w:val="none" w:sz="0" w:space="0" w:color="auto"/>
        <w:right w:val="none" w:sz="0" w:space="0" w:color="auto"/>
      </w:divBdr>
    </w:div>
    <w:div w:id="2083404037">
      <w:marLeft w:val="0"/>
      <w:marRight w:val="0"/>
      <w:marTop w:val="0"/>
      <w:marBottom w:val="0"/>
      <w:divBdr>
        <w:top w:val="none" w:sz="0" w:space="0" w:color="auto"/>
        <w:left w:val="none" w:sz="0" w:space="0" w:color="auto"/>
        <w:bottom w:val="none" w:sz="0" w:space="0" w:color="auto"/>
        <w:right w:val="none" w:sz="0" w:space="0" w:color="auto"/>
      </w:divBdr>
    </w:div>
    <w:div w:id="2083404038">
      <w:marLeft w:val="0"/>
      <w:marRight w:val="0"/>
      <w:marTop w:val="0"/>
      <w:marBottom w:val="0"/>
      <w:divBdr>
        <w:top w:val="none" w:sz="0" w:space="0" w:color="auto"/>
        <w:left w:val="none" w:sz="0" w:space="0" w:color="auto"/>
        <w:bottom w:val="none" w:sz="0" w:space="0" w:color="auto"/>
        <w:right w:val="none" w:sz="0" w:space="0" w:color="auto"/>
      </w:divBdr>
    </w:div>
    <w:div w:id="2083404039">
      <w:marLeft w:val="0"/>
      <w:marRight w:val="0"/>
      <w:marTop w:val="0"/>
      <w:marBottom w:val="0"/>
      <w:divBdr>
        <w:top w:val="none" w:sz="0" w:space="0" w:color="auto"/>
        <w:left w:val="none" w:sz="0" w:space="0" w:color="auto"/>
        <w:bottom w:val="none" w:sz="0" w:space="0" w:color="auto"/>
        <w:right w:val="none" w:sz="0" w:space="0" w:color="auto"/>
      </w:divBdr>
    </w:div>
    <w:div w:id="2083404040">
      <w:marLeft w:val="0"/>
      <w:marRight w:val="0"/>
      <w:marTop w:val="0"/>
      <w:marBottom w:val="0"/>
      <w:divBdr>
        <w:top w:val="none" w:sz="0" w:space="0" w:color="auto"/>
        <w:left w:val="none" w:sz="0" w:space="0" w:color="auto"/>
        <w:bottom w:val="none" w:sz="0" w:space="0" w:color="auto"/>
        <w:right w:val="none" w:sz="0" w:space="0" w:color="auto"/>
      </w:divBdr>
    </w:div>
    <w:div w:id="2083404041">
      <w:marLeft w:val="0"/>
      <w:marRight w:val="0"/>
      <w:marTop w:val="0"/>
      <w:marBottom w:val="0"/>
      <w:divBdr>
        <w:top w:val="none" w:sz="0" w:space="0" w:color="auto"/>
        <w:left w:val="none" w:sz="0" w:space="0" w:color="auto"/>
        <w:bottom w:val="none" w:sz="0" w:space="0" w:color="auto"/>
        <w:right w:val="none" w:sz="0" w:space="0" w:color="auto"/>
      </w:divBdr>
    </w:div>
    <w:div w:id="2083404042">
      <w:marLeft w:val="0"/>
      <w:marRight w:val="0"/>
      <w:marTop w:val="0"/>
      <w:marBottom w:val="0"/>
      <w:divBdr>
        <w:top w:val="none" w:sz="0" w:space="0" w:color="auto"/>
        <w:left w:val="none" w:sz="0" w:space="0" w:color="auto"/>
        <w:bottom w:val="none" w:sz="0" w:space="0" w:color="auto"/>
        <w:right w:val="none" w:sz="0" w:space="0" w:color="auto"/>
      </w:divBdr>
    </w:div>
    <w:div w:id="2083404043">
      <w:marLeft w:val="0"/>
      <w:marRight w:val="0"/>
      <w:marTop w:val="0"/>
      <w:marBottom w:val="0"/>
      <w:divBdr>
        <w:top w:val="none" w:sz="0" w:space="0" w:color="auto"/>
        <w:left w:val="none" w:sz="0" w:space="0" w:color="auto"/>
        <w:bottom w:val="none" w:sz="0" w:space="0" w:color="auto"/>
        <w:right w:val="none" w:sz="0" w:space="0" w:color="auto"/>
      </w:divBdr>
    </w:div>
    <w:div w:id="2083404044">
      <w:marLeft w:val="0"/>
      <w:marRight w:val="0"/>
      <w:marTop w:val="0"/>
      <w:marBottom w:val="0"/>
      <w:divBdr>
        <w:top w:val="none" w:sz="0" w:space="0" w:color="auto"/>
        <w:left w:val="none" w:sz="0" w:space="0" w:color="auto"/>
        <w:bottom w:val="none" w:sz="0" w:space="0" w:color="auto"/>
        <w:right w:val="none" w:sz="0" w:space="0" w:color="auto"/>
      </w:divBdr>
    </w:div>
    <w:div w:id="2083404045">
      <w:marLeft w:val="0"/>
      <w:marRight w:val="0"/>
      <w:marTop w:val="0"/>
      <w:marBottom w:val="0"/>
      <w:divBdr>
        <w:top w:val="none" w:sz="0" w:space="0" w:color="auto"/>
        <w:left w:val="none" w:sz="0" w:space="0" w:color="auto"/>
        <w:bottom w:val="none" w:sz="0" w:space="0" w:color="auto"/>
        <w:right w:val="none" w:sz="0" w:space="0" w:color="auto"/>
      </w:divBdr>
    </w:div>
    <w:div w:id="2083404046">
      <w:marLeft w:val="0"/>
      <w:marRight w:val="0"/>
      <w:marTop w:val="0"/>
      <w:marBottom w:val="0"/>
      <w:divBdr>
        <w:top w:val="none" w:sz="0" w:space="0" w:color="auto"/>
        <w:left w:val="none" w:sz="0" w:space="0" w:color="auto"/>
        <w:bottom w:val="none" w:sz="0" w:space="0" w:color="auto"/>
        <w:right w:val="none" w:sz="0" w:space="0" w:color="auto"/>
      </w:divBdr>
    </w:div>
    <w:div w:id="2083404047">
      <w:marLeft w:val="0"/>
      <w:marRight w:val="0"/>
      <w:marTop w:val="0"/>
      <w:marBottom w:val="0"/>
      <w:divBdr>
        <w:top w:val="none" w:sz="0" w:space="0" w:color="auto"/>
        <w:left w:val="none" w:sz="0" w:space="0" w:color="auto"/>
        <w:bottom w:val="none" w:sz="0" w:space="0" w:color="auto"/>
        <w:right w:val="none" w:sz="0" w:space="0" w:color="auto"/>
      </w:divBdr>
    </w:div>
    <w:div w:id="2083404048">
      <w:marLeft w:val="0"/>
      <w:marRight w:val="0"/>
      <w:marTop w:val="0"/>
      <w:marBottom w:val="0"/>
      <w:divBdr>
        <w:top w:val="none" w:sz="0" w:space="0" w:color="auto"/>
        <w:left w:val="none" w:sz="0" w:space="0" w:color="auto"/>
        <w:bottom w:val="none" w:sz="0" w:space="0" w:color="auto"/>
        <w:right w:val="none" w:sz="0" w:space="0" w:color="auto"/>
      </w:divBdr>
    </w:div>
    <w:div w:id="2083404049">
      <w:marLeft w:val="0"/>
      <w:marRight w:val="0"/>
      <w:marTop w:val="0"/>
      <w:marBottom w:val="0"/>
      <w:divBdr>
        <w:top w:val="none" w:sz="0" w:space="0" w:color="auto"/>
        <w:left w:val="none" w:sz="0" w:space="0" w:color="auto"/>
        <w:bottom w:val="none" w:sz="0" w:space="0" w:color="auto"/>
        <w:right w:val="none" w:sz="0" w:space="0" w:color="auto"/>
      </w:divBdr>
    </w:div>
    <w:div w:id="2083404050">
      <w:marLeft w:val="0"/>
      <w:marRight w:val="0"/>
      <w:marTop w:val="0"/>
      <w:marBottom w:val="0"/>
      <w:divBdr>
        <w:top w:val="none" w:sz="0" w:space="0" w:color="auto"/>
        <w:left w:val="none" w:sz="0" w:space="0" w:color="auto"/>
        <w:bottom w:val="none" w:sz="0" w:space="0" w:color="auto"/>
        <w:right w:val="none" w:sz="0" w:space="0" w:color="auto"/>
      </w:divBdr>
    </w:div>
    <w:div w:id="2083404051">
      <w:marLeft w:val="0"/>
      <w:marRight w:val="0"/>
      <w:marTop w:val="0"/>
      <w:marBottom w:val="0"/>
      <w:divBdr>
        <w:top w:val="none" w:sz="0" w:space="0" w:color="auto"/>
        <w:left w:val="none" w:sz="0" w:space="0" w:color="auto"/>
        <w:bottom w:val="none" w:sz="0" w:space="0" w:color="auto"/>
        <w:right w:val="none" w:sz="0" w:space="0" w:color="auto"/>
      </w:divBdr>
    </w:div>
    <w:div w:id="2083404052">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2083404054">
      <w:marLeft w:val="0"/>
      <w:marRight w:val="0"/>
      <w:marTop w:val="0"/>
      <w:marBottom w:val="0"/>
      <w:divBdr>
        <w:top w:val="none" w:sz="0" w:space="0" w:color="auto"/>
        <w:left w:val="none" w:sz="0" w:space="0" w:color="auto"/>
        <w:bottom w:val="none" w:sz="0" w:space="0" w:color="auto"/>
        <w:right w:val="none" w:sz="0" w:space="0" w:color="auto"/>
      </w:divBdr>
    </w:div>
    <w:div w:id="2083404055">
      <w:marLeft w:val="0"/>
      <w:marRight w:val="0"/>
      <w:marTop w:val="0"/>
      <w:marBottom w:val="0"/>
      <w:divBdr>
        <w:top w:val="none" w:sz="0" w:space="0" w:color="auto"/>
        <w:left w:val="none" w:sz="0" w:space="0" w:color="auto"/>
        <w:bottom w:val="none" w:sz="0" w:space="0" w:color="auto"/>
        <w:right w:val="none" w:sz="0" w:space="0" w:color="auto"/>
      </w:divBdr>
    </w:div>
    <w:div w:id="2083404056">
      <w:marLeft w:val="0"/>
      <w:marRight w:val="0"/>
      <w:marTop w:val="0"/>
      <w:marBottom w:val="0"/>
      <w:divBdr>
        <w:top w:val="none" w:sz="0" w:space="0" w:color="auto"/>
        <w:left w:val="none" w:sz="0" w:space="0" w:color="auto"/>
        <w:bottom w:val="none" w:sz="0" w:space="0" w:color="auto"/>
        <w:right w:val="none" w:sz="0" w:space="0" w:color="auto"/>
      </w:divBdr>
    </w:div>
    <w:div w:id="2083404057">
      <w:marLeft w:val="0"/>
      <w:marRight w:val="0"/>
      <w:marTop w:val="0"/>
      <w:marBottom w:val="0"/>
      <w:divBdr>
        <w:top w:val="none" w:sz="0" w:space="0" w:color="auto"/>
        <w:left w:val="none" w:sz="0" w:space="0" w:color="auto"/>
        <w:bottom w:val="none" w:sz="0" w:space="0" w:color="auto"/>
        <w:right w:val="none" w:sz="0" w:space="0" w:color="auto"/>
      </w:divBdr>
    </w:div>
    <w:div w:id="2083404058">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2083404060">
      <w:marLeft w:val="0"/>
      <w:marRight w:val="0"/>
      <w:marTop w:val="0"/>
      <w:marBottom w:val="0"/>
      <w:divBdr>
        <w:top w:val="none" w:sz="0" w:space="0" w:color="auto"/>
        <w:left w:val="none" w:sz="0" w:space="0" w:color="auto"/>
        <w:bottom w:val="none" w:sz="0" w:space="0" w:color="auto"/>
        <w:right w:val="none" w:sz="0" w:space="0" w:color="auto"/>
      </w:divBdr>
    </w:div>
    <w:div w:id="2083404061">
      <w:marLeft w:val="0"/>
      <w:marRight w:val="0"/>
      <w:marTop w:val="0"/>
      <w:marBottom w:val="0"/>
      <w:divBdr>
        <w:top w:val="none" w:sz="0" w:space="0" w:color="auto"/>
        <w:left w:val="none" w:sz="0" w:space="0" w:color="auto"/>
        <w:bottom w:val="none" w:sz="0" w:space="0" w:color="auto"/>
        <w:right w:val="none" w:sz="0" w:space="0" w:color="auto"/>
      </w:divBdr>
    </w:div>
    <w:div w:id="2083404062">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083404064">
      <w:marLeft w:val="0"/>
      <w:marRight w:val="0"/>
      <w:marTop w:val="0"/>
      <w:marBottom w:val="0"/>
      <w:divBdr>
        <w:top w:val="none" w:sz="0" w:space="0" w:color="auto"/>
        <w:left w:val="none" w:sz="0" w:space="0" w:color="auto"/>
        <w:bottom w:val="none" w:sz="0" w:space="0" w:color="auto"/>
        <w:right w:val="none" w:sz="0" w:space="0" w:color="auto"/>
      </w:divBdr>
    </w:div>
    <w:div w:id="2083404065">
      <w:marLeft w:val="0"/>
      <w:marRight w:val="0"/>
      <w:marTop w:val="0"/>
      <w:marBottom w:val="0"/>
      <w:divBdr>
        <w:top w:val="none" w:sz="0" w:space="0" w:color="auto"/>
        <w:left w:val="none" w:sz="0" w:space="0" w:color="auto"/>
        <w:bottom w:val="none" w:sz="0" w:space="0" w:color="auto"/>
        <w:right w:val="none" w:sz="0" w:space="0" w:color="auto"/>
      </w:divBdr>
    </w:div>
    <w:div w:id="2083404066">
      <w:marLeft w:val="0"/>
      <w:marRight w:val="0"/>
      <w:marTop w:val="0"/>
      <w:marBottom w:val="0"/>
      <w:divBdr>
        <w:top w:val="none" w:sz="0" w:space="0" w:color="auto"/>
        <w:left w:val="none" w:sz="0" w:space="0" w:color="auto"/>
        <w:bottom w:val="none" w:sz="0" w:space="0" w:color="auto"/>
        <w:right w:val="none" w:sz="0" w:space="0" w:color="auto"/>
      </w:divBdr>
    </w:div>
    <w:div w:id="2083404067">
      <w:marLeft w:val="0"/>
      <w:marRight w:val="0"/>
      <w:marTop w:val="0"/>
      <w:marBottom w:val="0"/>
      <w:divBdr>
        <w:top w:val="none" w:sz="0" w:space="0" w:color="auto"/>
        <w:left w:val="none" w:sz="0" w:space="0" w:color="auto"/>
        <w:bottom w:val="none" w:sz="0" w:space="0" w:color="auto"/>
        <w:right w:val="none" w:sz="0" w:space="0" w:color="auto"/>
      </w:divBdr>
    </w:div>
    <w:div w:id="2083404068">
      <w:marLeft w:val="0"/>
      <w:marRight w:val="0"/>
      <w:marTop w:val="0"/>
      <w:marBottom w:val="0"/>
      <w:divBdr>
        <w:top w:val="none" w:sz="0" w:space="0" w:color="auto"/>
        <w:left w:val="none" w:sz="0" w:space="0" w:color="auto"/>
        <w:bottom w:val="none" w:sz="0" w:space="0" w:color="auto"/>
        <w:right w:val="none" w:sz="0" w:space="0" w:color="auto"/>
      </w:divBdr>
    </w:div>
    <w:div w:id="2083404069">
      <w:marLeft w:val="0"/>
      <w:marRight w:val="0"/>
      <w:marTop w:val="0"/>
      <w:marBottom w:val="0"/>
      <w:divBdr>
        <w:top w:val="none" w:sz="0" w:space="0" w:color="auto"/>
        <w:left w:val="none" w:sz="0" w:space="0" w:color="auto"/>
        <w:bottom w:val="none" w:sz="0" w:space="0" w:color="auto"/>
        <w:right w:val="none" w:sz="0" w:space="0" w:color="auto"/>
      </w:divBdr>
    </w:div>
    <w:div w:id="2083404070">
      <w:marLeft w:val="0"/>
      <w:marRight w:val="0"/>
      <w:marTop w:val="0"/>
      <w:marBottom w:val="0"/>
      <w:divBdr>
        <w:top w:val="none" w:sz="0" w:space="0" w:color="auto"/>
        <w:left w:val="none" w:sz="0" w:space="0" w:color="auto"/>
        <w:bottom w:val="none" w:sz="0" w:space="0" w:color="auto"/>
        <w:right w:val="none" w:sz="0" w:space="0" w:color="auto"/>
      </w:divBdr>
    </w:div>
    <w:div w:id="2083404071">
      <w:marLeft w:val="0"/>
      <w:marRight w:val="0"/>
      <w:marTop w:val="0"/>
      <w:marBottom w:val="0"/>
      <w:divBdr>
        <w:top w:val="none" w:sz="0" w:space="0" w:color="auto"/>
        <w:left w:val="none" w:sz="0" w:space="0" w:color="auto"/>
        <w:bottom w:val="none" w:sz="0" w:space="0" w:color="auto"/>
        <w:right w:val="none" w:sz="0" w:space="0" w:color="auto"/>
      </w:divBdr>
    </w:div>
    <w:div w:id="2083404072">
      <w:marLeft w:val="0"/>
      <w:marRight w:val="0"/>
      <w:marTop w:val="0"/>
      <w:marBottom w:val="0"/>
      <w:divBdr>
        <w:top w:val="none" w:sz="0" w:space="0" w:color="auto"/>
        <w:left w:val="none" w:sz="0" w:space="0" w:color="auto"/>
        <w:bottom w:val="none" w:sz="0" w:space="0" w:color="auto"/>
        <w:right w:val="none" w:sz="0" w:space="0" w:color="auto"/>
      </w:divBdr>
    </w:div>
    <w:div w:id="2083404073">
      <w:marLeft w:val="0"/>
      <w:marRight w:val="0"/>
      <w:marTop w:val="0"/>
      <w:marBottom w:val="0"/>
      <w:divBdr>
        <w:top w:val="none" w:sz="0" w:space="0" w:color="auto"/>
        <w:left w:val="none" w:sz="0" w:space="0" w:color="auto"/>
        <w:bottom w:val="none" w:sz="0" w:space="0" w:color="auto"/>
        <w:right w:val="none" w:sz="0" w:space="0" w:color="auto"/>
      </w:divBdr>
    </w:div>
    <w:div w:id="2083404074">
      <w:marLeft w:val="0"/>
      <w:marRight w:val="0"/>
      <w:marTop w:val="0"/>
      <w:marBottom w:val="0"/>
      <w:divBdr>
        <w:top w:val="none" w:sz="0" w:space="0" w:color="auto"/>
        <w:left w:val="none" w:sz="0" w:space="0" w:color="auto"/>
        <w:bottom w:val="none" w:sz="0" w:space="0" w:color="auto"/>
        <w:right w:val="none" w:sz="0" w:space="0" w:color="auto"/>
      </w:divBdr>
    </w:div>
    <w:div w:id="2083404075">
      <w:marLeft w:val="0"/>
      <w:marRight w:val="0"/>
      <w:marTop w:val="0"/>
      <w:marBottom w:val="0"/>
      <w:divBdr>
        <w:top w:val="none" w:sz="0" w:space="0" w:color="auto"/>
        <w:left w:val="none" w:sz="0" w:space="0" w:color="auto"/>
        <w:bottom w:val="none" w:sz="0" w:space="0" w:color="auto"/>
        <w:right w:val="none" w:sz="0" w:space="0" w:color="auto"/>
      </w:divBdr>
    </w:div>
    <w:div w:id="2083404076">
      <w:marLeft w:val="0"/>
      <w:marRight w:val="0"/>
      <w:marTop w:val="0"/>
      <w:marBottom w:val="0"/>
      <w:divBdr>
        <w:top w:val="none" w:sz="0" w:space="0" w:color="auto"/>
        <w:left w:val="none" w:sz="0" w:space="0" w:color="auto"/>
        <w:bottom w:val="none" w:sz="0" w:space="0" w:color="auto"/>
        <w:right w:val="none" w:sz="0" w:space="0" w:color="auto"/>
      </w:divBdr>
    </w:div>
    <w:div w:id="2083404077">
      <w:marLeft w:val="0"/>
      <w:marRight w:val="0"/>
      <w:marTop w:val="0"/>
      <w:marBottom w:val="0"/>
      <w:divBdr>
        <w:top w:val="none" w:sz="0" w:space="0" w:color="auto"/>
        <w:left w:val="none" w:sz="0" w:space="0" w:color="auto"/>
        <w:bottom w:val="none" w:sz="0" w:space="0" w:color="auto"/>
        <w:right w:val="none" w:sz="0" w:space="0" w:color="auto"/>
      </w:divBdr>
    </w:div>
    <w:div w:id="2083404078">
      <w:marLeft w:val="0"/>
      <w:marRight w:val="0"/>
      <w:marTop w:val="0"/>
      <w:marBottom w:val="0"/>
      <w:divBdr>
        <w:top w:val="none" w:sz="0" w:space="0" w:color="auto"/>
        <w:left w:val="none" w:sz="0" w:space="0" w:color="auto"/>
        <w:bottom w:val="none" w:sz="0" w:space="0" w:color="auto"/>
        <w:right w:val="none" w:sz="0" w:space="0" w:color="auto"/>
      </w:divBdr>
    </w:div>
    <w:div w:id="2083404079">
      <w:marLeft w:val="0"/>
      <w:marRight w:val="0"/>
      <w:marTop w:val="0"/>
      <w:marBottom w:val="0"/>
      <w:divBdr>
        <w:top w:val="none" w:sz="0" w:space="0" w:color="auto"/>
        <w:left w:val="none" w:sz="0" w:space="0" w:color="auto"/>
        <w:bottom w:val="none" w:sz="0" w:space="0" w:color="auto"/>
        <w:right w:val="none" w:sz="0" w:space="0" w:color="auto"/>
      </w:divBdr>
    </w:div>
    <w:div w:id="2083404080">
      <w:marLeft w:val="0"/>
      <w:marRight w:val="0"/>
      <w:marTop w:val="0"/>
      <w:marBottom w:val="0"/>
      <w:divBdr>
        <w:top w:val="none" w:sz="0" w:space="0" w:color="auto"/>
        <w:left w:val="none" w:sz="0" w:space="0" w:color="auto"/>
        <w:bottom w:val="none" w:sz="0" w:space="0" w:color="auto"/>
        <w:right w:val="none" w:sz="0" w:space="0" w:color="auto"/>
      </w:divBdr>
    </w:div>
    <w:div w:id="2083404081">
      <w:marLeft w:val="0"/>
      <w:marRight w:val="0"/>
      <w:marTop w:val="0"/>
      <w:marBottom w:val="0"/>
      <w:divBdr>
        <w:top w:val="none" w:sz="0" w:space="0" w:color="auto"/>
        <w:left w:val="none" w:sz="0" w:space="0" w:color="auto"/>
        <w:bottom w:val="none" w:sz="0" w:space="0" w:color="auto"/>
        <w:right w:val="none" w:sz="0" w:space="0" w:color="auto"/>
      </w:divBdr>
    </w:div>
    <w:div w:id="2083404082">
      <w:marLeft w:val="0"/>
      <w:marRight w:val="0"/>
      <w:marTop w:val="0"/>
      <w:marBottom w:val="0"/>
      <w:divBdr>
        <w:top w:val="none" w:sz="0" w:space="0" w:color="auto"/>
        <w:left w:val="none" w:sz="0" w:space="0" w:color="auto"/>
        <w:bottom w:val="none" w:sz="0" w:space="0" w:color="auto"/>
        <w:right w:val="none" w:sz="0" w:space="0" w:color="auto"/>
      </w:divBdr>
    </w:div>
    <w:div w:id="2083404083">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083404085">
      <w:marLeft w:val="0"/>
      <w:marRight w:val="0"/>
      <w:marTop w:val="0"/>
      <w:marBottom w:val="0"/>
      <w:divBdr>
        <w:top w:val="none" w:sz="0" w:space="0" w:color="auto"/>
        <w:left w:val="none" w:sz="0" w:space="0" w:color="auto"/>
        <w:bottom w:val="none" w:sz="0" w:space="0" w:color="auto"/>
        <w:right w:val="none" w:sz="0" w:space="0" w:color="auto"/>
      </w:divBdr>
    </w:div>
    <w:div w:id="2083404086">
      <w:marLeft w:val="0"/>
      <w:marRight w:val="0"/>
      <w:marTop w:val="0"/>
      <w:marBottom w:val="0"/>
      <w:divBdr>
        <w:top w:val="none" w:sz="0" w:space="0" w:color="auto"/>
        <w:left w:val="none" w:sz="0" w:space="0" w:color="auto"/>
        <w:bottom w:val="none" w:sz="0" w:space="0" w:color="auto"/>
        <w:right w:val="none" w:sz="0" w:space="0" w:color="auto"/>
      </w:divBdr>
    </w:div>
    <w:div w:id="2083404087">
      <w:marLeft w:val="0"/>
      <w:marRight w:val="0"/>
      <w:marTop w:val="0"/>
      <w:marBottom w:val="0"/>
      <w:divBdr>
        <w:top w:val="none" w:sz="0" w:space="0" w:color="auto"/>
        <w:left w:val="none" w:sz="0" w:space="0" w:color="auto"/>
        <w:bottom w:val="none" w:sz="0" w:space="0" w:color="auto"/>
        <w:right w:val="none" w:sz="0" w:space="0" w:color="auto"/>
      </w:divBdr>
    </w:div>
    <w:div w:id="2083404088">
      <w:marLeft w:val="0"/>
      <w:marRight w:val="0"/>
      <w:marTop w:val="0"/>
      <w:marBottom w:val="0"/>
      <w:divBdr>
        <w:top w:val="none" w:sz="0" w:space="0" w:color="auto"/>
        <w:left w:val="none" w:sz="0" w:space="0" w:color="auto"/>
        <w:bottom w:val="none" w:sz="0" w:space="0" w:color="auto"/>
        <w:right w:val="none" w:sz="0" w:space="0" w:color="auto"/>
      </w:divBdr>
    </w:div>
    <w:div w:id="2083404089">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2083404091">
      <w:marLeft w:val="0"/>
      <w:marRight w:val="0"/>
      <w:marTop w:val="0"/>
      <w:marBottom w:val="0"/>
      <w:divBdr>
        <w:top w:val="none" w:sz="0" w:space="0" w:color="auto"/>
        <w:left w:val="none" w:sz="0" w:space="0" w:color="auto"/>
        <w:bottom w:val="none" w:sz="0" w:space="0" w:color="auto"/>
        <w:right w:val="none" w:sz="0" w:space="0" w:color="auto"/>
      </w:divBdr>
    </w:div>
    <w:div w:id="2083404092">
      <w:marLeft w:val="0"/>
      <w:marRight w:val="0"/>
      <w:marTop w:val="0"/>
      <w:marBottom w:val="0"/>
      <w:divBdr>
        <w:top w:val="none" w:sz="0" w:space="0" w:color="auto"/>
        <w:left w:val="none" w:sz="0" w:space="0" w:color="auto"/>
        <w:bottom w:val="none" w:sz="0" w:space="0" w:color="auto"/>
        <w:right w:val="none" w:sz="0" w:space="0" w:color="auto"/>
      </w:divBdr>
    </w:div>
    <w:div w:id="2083404093">
      <w:marLeft w:val="0"/>
      <w:marRight w:val="0"/>
      <w:marTop w:val="0"/>
      <w:marBottom w:val="0"/>
      <w:divBdr>
        <w:top w:val="none" w:sz="0" w:space="0" w:color="auto"/>
        <w:left w:val="none" w:sz="0" w:space="0" w:color="auto"/>
        <w:bottom w:val="none" w:sz="0" w:space="0" w:color="auto"/>
        <w:right w:val="none" w:sz="0" w:space="0" w:color="auto"/>
      </w:divBdr>
    </w:div>
    <w:div w:id="2083404094">
      <w:marLeft w:val="0"/>
      <w:marRight w:val="0"/>
      <w:marTop w:val="0"/>
      <w:marBottom w:val="0"/>
      <w:divBdr>
        <w:top w:val="none" w:sz="0" w:space="0" w:color="auto"/>
        <w:left w:val="none" w:sz="0" w:space="0" w:color="auto"/>
        <w:bottom w:val="none" w:sz="0" w:space="0" w:color="auto"/>
        <w:right w:val="none" w:sz="0" w:space="0" w:color="auto"/>
      </w:divBdr>
    </w:div>
    <w:div w:id="2083404095">
      <w:marLeft w:val="0"/>
      <w:marRight w:val="0"/>
      <w:marTop w:val="0"/>
      <w:marBottom w:val="0"/>
      <w:divBdr>
        <w:top w:val="none" w:sz="0" w:space="0" w:color="auto"/>
        <w:left w:val="none" w:sz="0" w:space="0" w:color="auto"/>
        <w:bottom w:val="none" w:sz="0" w:space="0" w:color="auto"/>
        <w:right w:val="none" w:sz="0" w:space="0" w:color="auto"/>
      </w:divBdr>
    </w:div>
    <w:div w:id="2083404096">
      <w:marLeft w:val="0"/>
      <w:marRight w:val="0"/>
      <w:marTop w:val="0"/>
      <w:marBottom w:val="0"/>
      <w:divBdr>
        <w:top w:val="none" w:sz="0" w:space="0" w:color="auto"/>
        <w:left w:val="none" w:sz="0" w:space="0" w:color="auto"/>
        <w:bottom w:val="none" w:sz="0" w:space="0" w:color="auto"/>
        <w:right w:val="none" w:sz="0" w:space="0" w:color="auto"/>
      </w:divBdr>
    </w:div>
    <w:div w:id="2083404097">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2083404099">
      <w:marLeft w:val="0"/>
      <w:marRight w:val="0"/>
      <w:marTop w:val="0"/>
      <w:marBottom w:val="0"/>
      <w:divBdr>
        <w:top w:val="none" w:sz="0" w:space="0" w:color="auto"/>
        <w:left w:val="none" w:sz="0" w:space="0" w:color="auto"/>
        <w:bottom w:val="none" w:sz="0" w:space="0" w:color="auto"/>
        <w:right w:val="none" w:sz="0" w:space="0" w:color="auto"/>
      </w:divBdr>
    </w:div>
    <w:div w:id="2083404100">
      <w:marLeft w:val="0"/>
      <w:marRight w:val="0"/>
      <w:marTop w:val="0"/>
      <w:marBottom w:val="0"/>
      <w:divBdr>
        <w:top w:val="none" w:sz="0" w:space="0" w:color="auto"/>
        <w:left w:val="none" w:sz="0" w:space="0" w:color="auto"/>
        <w:bottom w:val="none" w:sz="0" w:space="0" w:color="auto"/>
        <w:right w:val="none" w:sz="0" w:space="0" w:color="auto"/>
      </w:divBdr>
    </w:div>
    <w:div w:id="2083404101">
      <w:marLeft w:val="0"/>
      <w:marRight w:val="0"/>
      <w:marTop w:val="0"/>
      <w:marBottom w:val="0"/>
      <w:divBdr>
        <w:top w:val="none" w:sz="0" w:space="0" w:color="auto"/>
        <w:left w:val="none" w:sz="0" w:space="0" w:color="auto"/>
        <w:bottom w:val="none" w:sz="0" w:space="0" w:color="auto"/>
        <w:right w:val="none" w:sz="0" w:space="0" w:color="auto"/>
      </w:divBdr>
    </w:div>
    <w:div w:id="2083404102">
      <w:marLeft w:val="0"/>
      <w:marRight w:val="0"/>
      <w:marTop w:val="0"/>
      <w:marBottom w:val="0"/>
      <w:divBdr>
        <w:top w:val="none" w:sz="0" w:space="0" w:color="auto"/>
        <w:left w:val="none" w:sz="0" w:space="0" w:color="auto"/>
        <w:bottom w:val="none" w:sz="0" w:space="0" w:color="auto"/>
        <w:right w:val="none" w:sz="0" w:space="0" w:color="auto"/>
      </w:divBdr>
    </w:div>
    <w:div w:id="2083404103">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404106">
      <w:marLeft w:val="0"/>
      <w:marRight w:val="0"/>
      <w:marTop w:val="0"/>
      <w:marBottom w:val="0"/>
      <w:divBdr>
        <w:top w:val="none" w:sz="0" w:space="0" w:color="auto"/>
        <w:left w:val="none" w:sz="0" w:space="0" w:color="auto"/>
        <w:bottom w:val="none" w:sz="0" w:space="0" w:color="auto"/>
        <w:right w:val="none" w:sz="0" w:space="0" w:color="auto"/>
      </w:divBdr>
    </w:div>
    <w:div w:id="2083404107">
      <w:marLeft w:val="0"/>
      <w:marRight w:val="0"/>
      <w:marTop w:val="0"/>
      <w:marBottom w:val="0"/>
      <w:divBdr>
        <w:top w:val="none" w:sz="0" w:space="0" w:color="auto"/>
        <w:left w:val="none" w:sz="0" w:space="0" w:color="auto"/>
        <w:bottom w:val="none" w:sz="0" w:space="0" w:color="auto"/>
        <w:right w:val="none" w:sz="0" w:space="0" w:color="auto"/>
      </w:divBdr>
    </w:div>
    <w:div w:id="2083404108">
      <w:marLeft w:val="0"/>
      <w:marRight w:val="0"/>
      <w:marTop w:val="0"/>
      <w:marBottom w:val="0"/>
      <w:divBdr>
        <w:top w:val="none" w:sz="0" w:space="0" w:color="auto"/>
        <w:left w:val="none" w:sz="0" w:space="0" w:color="auto"/>
        <w:bottom w:val="none" w:sz="0" w:space="0" w:color="auto"/>
        <w:right w:val="none" w:sz="0" w:space="0" w:color="auto"/>
      </w:divBdr>
    </w:div>
    <w:div w:id="2083404109">
      <w:marLeft w:val="0"/>
      <w:marRight w:val="0"/>
      <w:marTop w:val="0"/>
      <w:marBottom w:val="0"/>
      <w:divBdr>
        <w:top w:val="none" w:sz="0" w:space="0" w:color="auto"/>
        <w:left w:val="none" w:sz="0" w:space="0" w:color="auto"/>
        <w:bottom w:val="none" w:sz="0" w:space="0" w:color="auto"/>
        <w:right w:val="none" w:sz="0" w:space="0" w:color="auto"/>
      </w:divBdr>
    </w:div>
    <w:div w:id="2083404110">
      <w:marLeft w:val="0"/>
      <w:marRight w:val="0"/>
      <w:marTop w:val="0"/>
      <w:marBottom w:val="0"/>
      <w:divBdr>
        <w:top w:val="none" w:sz="0" w:space="0" w:color="auto"/>
        <w:left w:val="none" w:sz="0" w:space="0" w:color="auto"/>
        <w:bottom w:val="none" w:sz="0" w:space="0" w:color="auto"/>
        <w:right w:val="none" w:sz="0" w:space="0" w:color="auto"/>
      </w:divBdr>
    </w:div>
    <w:div w:id="2083404111">
      <w:marLeft w:val="0"/>
      <w:marRight w:val="0"/>
      <w:marTop w:val="0"/>
      <w:marBottom w:val="0"/>
      <w:divBdr>
        <w:top w:val="none" w:sz="0" w:space="0" w:color="auto"/>
        <w:left w:val="none" w:sz="0" w:space="0" w:color="auto"/>
        <w:bottom w:val="none" w:sz="0" w:space="0" w:color="auto"/>
        <w:right w:val="none" w:sz="0" w:space="0" w:color="auto"/>
      </w:divBdr>
    </w:div>
    <w:div w:id="2083404112">
      <w:marLeft w:val="0"/>
      <w:marRight w:val="0"/>
      <w:marTop w:val="0"/>
      <w:marBottom w:val="0"/>
      <w:divBdr>
        <w:top w:val="none" w:sz="0" w:space="0" w:color="auto"/>
        <w:left w:val="none" w:sz="0" w:space="0" w:color="auto"/>
        <w:bottom w:val="none" w:sz="0" w:space="0" w:color="auto"/>
        <w:right w:val="none" w:sz="0" w:space="0" w:color="auto"/>
      </w:divBdr>
    </w:div>
    <w:div w:id="2083404113">
      <w:marLeft w:val="0"/>
      <w:marRight w:val="0"/>
      <w:marTop w:val="0"/>
      <w:marBottom w:val="0"/>
      <w:divBdr>
        <w:top w:val="none" w:sz="0" w:space="0" w:color="auto"/>
        <w:left w:val="none" w:sz="0" w:space="0" w:color="auto"/>
        <w:bottom w:val="none" w:sz="0" w:space="0" w:color="auto"/>
        <w:right w:val="none" w:sz="0" w:space="0" w:color="auto"/>
      </w:divBdr>
    </w:div>
    <w:div w:id="2083404114">
      <w:marLeft w:val="0"/>
      <w:marRight w:val="0"/>
      <w:marTop w:val="0"/>
      <w:marBottom w:val="0"/>
      <w:divBdr>
        <w:top w:val="none" w:sz="0" w:space="0" w:color="auto"/>
        <w:left w:val="none" w:sz="0" w:space="0" w:color="auto"/>
        <w:bottom w:val="none" w:sz="0" w:space="0" w:color="auto"/>
        <w:right w:val="none" w:sz="0" w:space="0" w:color="auto"/>
      </w:divBdr>
    </w:div>
    <w:div w:id="2083404115">
      <w:marLeft w:val="0"/>
      <w:marRight w:val="0"/>
      <w:marTop w:val="0"/>
      <w:marBottom w:val="0"/>
      <w:divBdr>
        <w:top w:val="none" w:sz="0" w:space="0" w:color="auto"/>
        <w:left w:val="none" w:sz="0" w:space="0" w:color="auto"/>
        <w:bottom w:val="none" w:sz="0" w:space="0" w:color="auto"/>
        <w:right w:val="none" w:sz="0" w:space="0" w:color="auto"/>
      </w:divBdr>
    </w:div>
    <w:div w:id="21451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analyza_vplyv_na_rozpocet-verejnej-spravy_7_3_19"/>
    <f:field ref="objsubject" par="" edit="true" text=""/>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https://ovdmasv601/sites/DMS/_layouts/15/DocIdRedir.aspx?ID=WKX3UHSAJ2R6-2-927800</Url>
      <Description>WKX3UHSAJ2R6-2-927800</Description>
    </_dlc_DocIdUrl>
    <_dlc_DocId xmlns="e60a29af-d413-48d4-bd90-fe9d2a897e4b">WKX3UHSAJ2R6-2-927800</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429C1E-E4D9-473C-904B-E2B5F09CDF25}">
  <ds:schemaRefs>
    <ds:schemaRef ds:uri="http://schemas.microsoft.com/office/2006/metadata/properties"/>
    <ds:schemaRef ds:uri="http://schemas.microsoft.com/office/infopath/2007/PartnerControls"/>
    <ds:schemaRef ds:uri="e60a29af-d413-48d4-bd90-fe9d2a897e4b"/>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4924D882-E5A1-4535-A01B-445C27497FCC}">
  <ds:schemaRefs>
    <ds:schemaRef ds:uri="http://schemas.microsoft.com/sharepoint/events"/>
  </ds:schemaRefs>
</ds:datastoreItem>
</file>

<file path=customXml/itemProps5.xml><?xml version="1.0" encoding="utf-8"?>
<ds:datastoreItem xmlns:ds="http://schemas.openxmlformats.org/officeDocument/2006/customXml" ds:itemID="{EA7A58C5-32CC-4A56-8BAA-E9A6EF95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152407-DE95-4AD5-864E-73ED318D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1770</Words>
  <Characters>10089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Földesová Motajová Zuzana</cp:lastModifiedBy>
  <cp:revision>4</cp:revision>
  <cp:lastPrinted>2019-02-27T09:24:00Z</cp:lastPrinted>
  <dcterms:created xsi:type="dcterms:W3CDTF">2020-05-11T07:07:00Z</dcterms:created>
  <dcterms:modified xsi:type="dcterms:W3CDTF">2020-05-13T13:30:00Z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COO.2145.1000.3.3255762</vt:lpwstr>
  </property>
  <property fmtid="{D5CDD505-2E9C-101B-9397-08002B2CF9AE}" pid="152" name="FSC#FSCFOLIO@1.1001:docpropproject">
    <vt:lpwstr/>
  </property>
  <property fmtid="{D5CDD505-2E9C-101B-9397-08002B2CF9AE}" pid="153" name="ContentTypeId">
    <vt:lpwstr>0x0101006C0C8C3C1E3DCC44BECE3792677AD011</vt:lpwstr>
  </property>
  <property fmtid="{D5CDD505-2E9C-101B-9397-08002B2CF9AE}" pid="154" name="_dlc_DocIdItemGuid">
    <vt:lpwstr>503cd884-236e-4108-b46a-8f7797e209f2</vt:lpwstr>
  </property>
</Properties>
</file>