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BA" w:rsidRPr="00641E15" w:rsidRDefault="00DA3F41" w:rsidP="00641E15">
      <w:pPr>
        <w:pStyle w:val="Normlnywebov"/>
        <w:spacing w:beforeAutospacing="0" w:afterAutospacing="0"/>
        <w:jc w:val="center"/>
      </w:pPr>
      <w:r w:rsidRPr="00641E15">
        <w:rPr>
          <w:b/>
          <w:bCs/>
          <w:caps/>
          <w:spacing w:val="30"/>
        </w:rPr>
        <w:t>DOLOŽKA ZLUČITEĽNOSTI</w:t>
      </w:r>
    </w:p>
    <w:p w:rsidR="00AF63BA" w:rsidRDefault="00DA3F41" w:rsidP="00641E15">
      <w:pPr>
        <w:pStyle w:val="Normlnywebov"/>
        <w:spacing w:beforeAutospacing="0" w:afterAutospacing="0"/>
        <w:jc w:val="center"/>
        <w:rPr>
          <w:b/>
          <w:bCs/>
        </w:rPr>
      </w:pPr>
      <w:r w:rsidRPr="00641E15">
        <w:rPr>
          <w:b/>
          <w:bCs/>
        </w:rPr>
        <w:t>návrhu zákona</w:t>
      </w:r>
      <w:r w:rsidRPr="00641E15">
        <w:t xml:space="preserve"> </w:t>
      </w:r>
      <w:r w:rsidRPr="00641E15">
        <w:rPr>
          <w:b/>
          <w:bCs/>
        </w:rPr>
        <w:t>s právom Európskej únie</w:t>
      </w:r>
    </w:p>
    <w:p w:rsidR="00641E15" w:rsidRPr="00641E15" w:rsidRDefault="00641E15" w:rsidP="00641E15">
      <w:pPr>
        <w:pStyle w:val="Normlnywebov"/>
        <w:spacing w:beforeAutospacing="0" w:afterAutospacing="0"/>
        <w:jc w:val="center"/>
      </w:pPr>
    </w:p>
    <w:p w:rsidR="00AF63BA" w:rsidRPr="00641E15" w:rsidRDefault="00DA3F41">
      <w:pPr>
        <w:pStyle w:val="Normlnywebov"/>
        <w:spacing w:before="120" w:line="276" w:lineRule="auto"/>
        <w:jc w:val="both"/>
      </w:pPr>
      <w:r w:rsidRPr="00641E15">
        <w:t> </w:t>
      </w:r>
      <w:r w:rsidRPr="00641E15">
        <w:rPr>
          <w:b/>
          <w:bCs/>
        </w:rPr>
        <w:t>1. Navrhovateľ zákona:</w:t>
      </w:r>
      <w:r w:rsidRPr="00641E15">
        <w:t xml:space="preserve"> </w:t>
      </w:r>
      <w:r w:rsidRPr="00641E15">
        <w:rPr>
          <w:color w:val="000000"/>
        </w:rPr>
        <w:t>Ministerstvo zdravotníctva</w:t>
      </w:r>
      <w:r w:rsidRPr="00641E15">
        <w:t xml:space="preserve"> Slovenskej republiky</w:t>
      </w:r>
    </w:p>
    <w:p w:rsidR="00AF63BA" w:rsidRPr="00641E15" w:rsidRDefault="00DA3F41">
      <w:pPr>
        <w:pStyle w:val="Normlnywebov"/>
        <w:spacing w:before="120" w:line="276" w:lineRule="auto"/>
        <w:jc w:val="both"/>
      </w:pPr>
      <w:r w:rsidRPr="00641E15">
        <w:rPr>
          <w:b/>
          <w:bCs/>
        </w:rPr>
        <w:t>2. Názov návrhu zákona:</w:t>
      </w:r>
      <w:r w:rsidRPr="00641E15">
        <w:t xml:space="preserve"> návrh zákona, ktorým sa mení a dopĺňa zákon č. 355/2007 Z. z. o ochrane, podpore a rozvoji </w:t>
      </w:r>
      <w:r w:rsidRPr="00641E15">
        <w:t>verejného zdravia a o zmene a doplnení niektorých zákonov v znení neskorších predpisov a ktorým sa mení a dopĺňa zákon č. 351/2011 Z. z. o elektronických komunikáciách v znení neskorších predpisov</w:t>
      </w:r>
    </w:p>
    <w:p w:rsidR="00AF63BA" w:rsidRPr="00641E15" w:rsidRDefault="00DA3F41">
      <w:pPr>
        <w:pStyle w:val="Normlnywebov"/>
        <w:spacing w:before="120" w:line="276" w:lineRule="auto"/>
        <w:jc w:val="both"/>
      </w:pPr>
      <w:r w:rsidRPr="00641E15">
        <w:rPr>
          <w:b/>
          <w:bCs/>
        </w:rPr>
        <w:t>3. Predmet návrhu zákona:</w:t>
      </w:r>
    </w:p>
    <w:p w:rsidR="00AF63BA" w:rsidRPr="00641E15" w:rsidRDefault="00DA3F41">
      <w:pPr>
        <w:numPr>
          <w:ilvl w:val="0"/>
          <w:numId w:val="2"/>
        </w:numPr>
        <w:spacing w:before="120" w:line="276" w:lineRule="auto"/>
        <w:jc w:val="both"/>
      </w:pPr>
      <w:r w:rsidRPr="00641E15">
        <w:t>je upravený v primárnom práve Eu</w:t>
      </w:r>
      <w:r w:rsidRPr="00641E15">
        <w:t xml:space="preserve">rópskej únie, a to </w:t>
      </w:r>
    </w:p>
    <w:p w:rsidR="00AF63BA" w:rsidRPr="00641E15" w:rsidRDefault="00DA3F41">
      <w:pPr>
        <w:spacing w:before="120" w:line="276" w:lineRule="auto"/>
        <w:ind w:left="1080"/>
        <w:jc w:val="both"/>
      </w:pPr>
      <w:r w:rsidRPr="00641E15">
        <w:t xml:space="preserve">- v článkoch 6 a 39 Zmluvy o Európskej únii, </w:t>
      </w:r>
    </w:p>
    <w:p w:rsidR="00AF63BA" w:rsidRPr="00641E15" w:rsidRDefault="00DA3F41">
      <w:pPr>
        <w:spacing w:before="120" w:line="276" w:lineRule="auto"/>
        <w:ind w:left="1080"/>
        <w:jc w:val="both"/>
      </w:pPr>
      <w:r w:rsidRPr="00641E15">
        <w:t>- článku 16 a 168 Zmluvy o fungovaní Európskej únie,</w:t>
      </w:r>
    </w:p>
    <w:p w:rsidR="00AF63BA" w:rsidRPr="00641E15" w:rsidRDefault="00DA3F41">
      <w:pPr>
        <w:spacing w:before="120" w:line="276" w:lineRule="auto"/>
        <w:ind w:left="1080"/>
        <w:jc w:val="both"/>
      </w:pPr>
      <w:r w:rsidRPr="00641E15">
        <w:t>- článku 8 Charty základných práv Európskej únie,</w:t>
      </w:r>
    </w:p>
    <w:p w:rsidR="00AF63BA" w:rsidRPr="00641E15" w:rsidRDefault="00DA3F41">
      <w:pPr>
        <w:numPr>
          <w:ilvl w:val="0"/>
          <w:numId w:val="2"/>
        </w:numPr>
        <w:spacing w:before="120" w:line="276" w:lineRule="auto"/>
        <w:jc w:val="both"/>
      </w:pPr>
      <w:r w:rsidRPr="00641E15">
        <w:t>je upravený v sekundárnom práve Európskej únie,</w:t>
      </w:r>
      <w:r w:rsidRPr="00641E15">
        <w:rPr>
          <w:color w:val="000000"/>
        </w:rPr>
        <w:t xml:space="preserve"> a to:</w:t>
      </w:r>
    </w:p>
    <w:p w:rsidR="00AF63BA" w:rsidRPr="00641E15" w:rsidRDefault="00DA3F41">
      <w:pPr>
        <w:numPr>
          <w:ilvl w:val="0"/>
          <w:numId w:val="5"/>
        </w:numPr>
        <w:spacing w:before="120" w:line="276" w:lineRule="auto"/>
        <w:jc w:val="both"/>
        <w:rPr>
          <w:color w:val="000000"/>
        </w:rPr>
      </w:pPr>
      <w:r w:rsidRPr="00641E15">
        <w:rPr>
          <w:color w:val="000000"/>
        </w:rPr>
        <w:t>nariadení Európskeho parlamentu a</w:t>
      </w:r>
      <w:r w:rsidRPr="00641E15">
        <w:rPr>
          <w:color w:val="000000"/>
        </w:rPr>
        <w:t xml:space="preserve"> rady (EÚ) č. 2016/679 z 27. apríla 2016 o ochrane fyzických osôb pri spracúvaní osobných údajov a o voľnom pohybe takýchto údajov, ktorým sa zrušuje smernica 95/46/ES (všeobecné nariadenie o ochrane údajov) (Ú. v. EÚ L 119, 4. 5. 2016),</w:t>
      </w:r>
    </w:p>
    <w:p w:rsidR="00AF63BA" w:rsidRPr="00641E15" w:rsidRDefault="00DA3F41">
      <w:pPr>
        <w:numPr>
          <w:ilvl w:val="0"/>
          <w:numId w:val="5"/>
        </w:numPr>
        <w:spacing w:before="120" w:line="276" w:lineRule="auto"/>
        <w:jc w:val="both"/>
        <w:rPr>
          <w:color w:val="000000"/>
        </w:rPr>
      </w:pPr>
      <w:r w:rsidRPr="00641E15">
        <w:rPr>
          <w:color w:val="000000"/>
        </w:rPr>
        <w:t>smernici Európskeh</w:t>
      </w:r>
      <w:r w:rsidRPr="00641E15">
        <w:rPr>
          <w:color w:val="000000"/>
        </w:rPr>
        <w:t xml:space="preserve">o parlamentu a Rady (EÚ) 2016/680 z 27. apríla 2016 o ochrane fyzických osôb pri spracúvaní osobných údajov príslušnými orgánmi na účely predchádzania trestným činom, ich vyšetrovania, odhaľovania alebo stíhania alebo na účely výkonu trestných sankcií a o </w:t>
      </w:r>
      <w:r w:rsidRPr="00641E15">
        <w:rPr>
          <w:color w:val="000000"/>
        </w:rPr>
        <w:t xml:space="preserve">voľnom pohybe takýchto údajov a o zrušení rámcového rozhodnutia Rady 2008/977/SVV (Ú. v. EÚ L 119, 4. 5. 2016), </w:t>
      </w:r>
    </w:p>
    <w:p w:rsidR="00AF63BA" w:rsidRPr="00641E15" w:rsidRDefault="00DA3F41">
      <w:pPr>
        <w:numPr>
          <w:ilvl w:val="0"/>
          <w:numId w:val="5"/>
        </w:numPr>
        <w:spacing w:before="120" w:line="276" w:lineRule="auto"/>
        <w:jc w:val="both"/>
        <w:rPr>
          <w:color w:val="000000"/>
        </w:rPr>
      </w:pPr>
      <w:r w:rsidRPr="00641E15">
        <w:rPr>
          <w:color w:val="000000"/>
        </w:rPr>
        <w:t>smernici Európskeho parlamentu a Rady 2002/58/ES z 12. júla 2002, týkajúca sa spracovávania osobných údajov a ochrany súkromia v sektore elektr</w:t>
      </w:r>
      <w:r w:rsidRPr="00641E15">
        <w:rPr>
          <w:color w:val="000000"/>
        </w:rPr>
        <w:t>onických komunikácií (smernica o súkromí a elektronických komunikáciách) (Ú. v. ES L 201, 31.7.2002)</w:t>
      </w:r>
    </w:p>
    <w:p w:rsidR="00AF63BA" w:rsidRPr="00641E15" w:rsidRDefault="00DA3F41">
      <w:pPr>
        <w:numPr>
          <w:ilvl w:val="0"/>
          <w:numId w:val="2"/>
        </w:numPr>
        <w:spacing w:before="120" w:line="276" w:lineRule="auto"/>
        <w:jc w:val="both"/>
      </w:pPr>
      <w:r w:rsidRPr="00641E15">
        <w:t>je obsiahnutý v judikatúre Súdneho dvora Európskej únie, a to:</w:t>
      </w:r>
    </w:p>
    <w:p w:rsidR="00AF63BA" w:rsidRPr="00641E15" w:rsidRDefault="00DA3F41">
      <w:pPr>
        <w:spacing w:before="120" w:line="276" w:lineRule="auto"/>
        <w:ind w:left="1080"/>
        <w:jc w:val="both"/>
      </w:pPr>
      <w:r w:rsidRPr="00641E15">
        <w:t>• rozhodnutie Súdneho dvora vo veci C-212/13 František Ryneš proti Úřad pro ochranu osobních</w:t>
      </w:r>
      <w:r w:rsidRPr="00641E15">
        <w:t xml:space="preserve"> údajů (2014)</w:t>
      </w:r>
    </w:p>
    <w:p w:rsidR="00AF63BA" w:rsidRPr="00641E15" w:rsidRDefault="00DA3F41">
      <w:pPr>
        <w:spacing w:before="120" w:line="276" w:lineRule="auto"/>
        <w:ind w:left="1080"/>
        <w:jc w:val="both"/>
      </w:pPr>
      <w:r w:rsidRPr="00641E15">
        <w:t>• rozhodnutie Súdneho dvora vo veci C-230/14 Weltimmo s.r.o. proti Nemzeti Adatvédelmi és Információszabadság Hatóság (2015)</w:t>
      </w:r>
    </w:p>
    <w:p w:rsidR="00AF63BA" w:rsidRDefault="00DA3F41">
      <w:pPr>
        <w:spacing w:before="120" w:line="276" w:lineRule="auto"/>
        <w:ind w:left="1080"/>
        <w:jc w:val="both"/>
      </w:pPr>
      <w:r w:rsidRPr="00641E15">
        <w:t>• rozhodnutie Súdneho dvora vo veci C-362/14 Maximillian Schrems proti Data Protection Commissioner (2015)</w:t>
      </w:r>
    </w:p>
    <w:p w:rsidR="00641E15" w:rsidRPr="00641E15" w:rsidRDefault="00641E15">
      <w:pPr>
        <w:spacing w:before="120" w:line="276" w:lineRule="auto"/>
        <w:ind w:left="1080"/>
        <w:jc w:val="both"/>
      </w:pPr>
      <w:bookmarkStart w:id="0" w:name="_GoBack"/>
      <w:bookmarkEnd w:id="0"/>
    </w:p>
    <w:p w:rsidR="00AF63BA" w:rsidRPr="00641E15" w:rsidRDefault="00AF63BA">
      <w:pPr>
        <w:spacing w:before="120" w:line="276" w:lineRule="auto"/>
        <w:ind w:left="720"/>
        <w:jc w:val="both"/>
      </w:pPr>
    </w:p>
    <w:p w:rsidR="00AF63BA" w:rsidRPr="00641E15" w:rsidRDefault="00DA3F41">
      <w:pPr>
        <w:numPr>
          <w:ilvl w:val="3"/>
          <w:numId w:val="3"/>
        </w:numPr>
        <w:tabs>
          <w:tab w:val="left" w:pos="284"/>
        </w:tabs>
        <w:spacing w:before="120" w:line="276" w:lineRule="auto"/>
        <w:jc w:val="both"/>
      </w:pPr>
      <w:r w:rsidRPr="00641E15">
        <w:rPr>
          <w:b/>
        </w:rPr>
        <w:lastRenderedPageBreak/>
        <w:t xml:space="preserve">Záväzky </w:t>
      </w:r>
      <w:r w:rsidRPr="00641E15">
        <w:rPr>
          <w:b/>
        </w:rPr>
        <w:t>Slovenskej republiky vo vzťahu k Európskej únii:</w:t>
      </w:r>
    </w:p>
    <w:p w:rsidR="00AF63BA" w:rsidRPr="00641E15" w:rsidRDefault="00DA3F41">
      <w:pPr>
        <w:spacing w:before="120" w:line="276" w:lineRule="auto"/>
        <w:ind w:left="540" w:hanging="256"/>
        <w:jc w:val="both"/>
      </w:pPr>
      <w:r w:rsidRPr="00641E15">
        <w:t>a) lehota na prebratie smernice alebo lehota na implementáciu nariadenia alebo rozhodnutia,</w:t>
      </w:r>
    </w:p>
    <w:p w:rsidR="00AF63BA" w:rsidRPr="00641E15" w:rsidRDefault="00DA3F41">
      <w:pPr>
        <w:spacing w:before="120" w:line="276" w:lineRule="auto"/>
        <w:ind w:left="540" w:hanging="256"/>
        <w:jc w:val="both"/>
      </w:pPr>
      <w:r w:rsidRPr="00641E15">
        <w:t xml:space="preserve">- </w:t>
      </w:r>
      <w:r w:rsidRPr="00641E15">
        <w:tab/>
        <w:t>lehota na implementáciu nariadenia Európskeho parlamentu a Rady (EÚ) č. 2016/679  z 27. apríla 2016 o ochrane fy</w:t>
      </w:r>
      <w:r w:rsidRPr="00641E15">
        <w:t>zických osôb pri spracúvaní osobných údajov a o voľnom pohybe takýchto údajov, ktorým sa zrušuje smernica 95/46/ES (všeobecné nariadenie o ochrane údajov) (Ú. v. EÚ L 119, 4. 5. 2016) uplynula 25. mája 2018, pričom táto smernica bola prebratá do vnútroštát</w:t>
      </w:r>
      <w:r w:rsidRPr="00641E15">
        <w:t>neho právneho poriadku riadne a včas spôsobom uvedeným v písmene c);</w:t>
      </w:r>
    </w:p>
    <w:p w:rsidR="00AF63BA" w:rsidRPr="00641E15" w:rsidRDefault="00DA3F41">
      <w:pPr>
        <w:spacing w:before="120" w:line="276" w:lineRule="auto"/>
        <w:ind w:left="540" w:hanging="256"/>
        <w:jc w:val="both"/>
      </w:pPr>
      <w:r w:rsidRPr="00641E15">
        <w:t xml:space="preserve">- </w:t>
      </w:r>
      <w:r w:rsidRPr="00641E15">
        <w:tab/>
        <w:t>lehota na prebratie smernice Európskeho parlamentu a Rady (EÚ) 2016/680 z 27. apríla 2016 o ochrane fyzických osôb pri spracúvaní osobných údajov príslušnými orgánmi na účely predchádz</w:t>
      </w:r>
      <w:r w:rsidRPr="00641E15">
        <w:t xml:space="preserve">ania trestným činom, ich vyšetrovania, odhaľovania alebo stíhania alebo na účely výkonu trestných sankcií a o voľnom pohybe takýchto údajov a o zrušení rámcového rozhodnutia Rady 2008/977/SVV (Ú. v. EÚ L 119, 4. 5. 2016) uplynula 6. mája 2018, pričom táto </w:t>
      </w:r>
      <w:r w:rsidRPr="00641E15">
        <w:t>smernica bola prebratá do vnútroštátneho právneho poriadku riadne a včas spôsobom uvedeným v písmene c);</w:t>
      </w:r>
    </w:p>
    <w:p w:rsidR="00AF63BA" w:rsidRPr="00641E15" w:rsidRDefault="00DA3F41">
      <w:pPr>
        <w:spacing w:before="120" w:line="276" w:lineRule="auto"/>
        <w:ind w:left="540" w:hanging="256"/>
        <w:jc w:val="both"/>
      </w:pPr>
      <w:r w:rsidRPr="00641E15">
        <w:t xml:space="preserve">- </w:t>
      </w:r>
      <w:r w:rsidRPr="00641E15">
        <w:tab/>
        <w:t xml:space="preserve">lehota na prebratie smernice </w:t>
      </w:r>
      <w:r w:rsidRPr="00641E15">
        <w:rPr>
          <w:color w:val="000000"/>
        </w:rPr>
        <w:t>Európskeho parlamentu a Rady 2002/58/ES z 12. júla 2002, týkajúca sa spracovávania osobných údajov a ochrany súkromia v</w:t>
      </w:r>
      <w:r w:rsidRPr="00641E15">
        <w:rPr>
          <w:color w:val="000000"/>
        </w:rPr>
        <w:t xml:space="preserve"> sektore elektronických komunikácií (smernica o súkromí a elektronických komunikáciách) (Ú. v. ES L 201, 31.7.2002)</w:t>
      </w:r>
      <w:r w:rsidRPr="00641E15">
        <w:t xml:space="preserve"> uplynula 1. mája 2004, pričom táto smernica bola prebratá do vnútroštátneho právneho poriadku riadne a včas spôsobom uvedeným v písmene c);</w:t>
      </w:r>
    </w:p>
    <w:p w:rsidR="00AF63BA" w:rsidRPr="00641E15" w:rsidRDefault="00AF63BA">
      <w:pPr>
        <w:spacing w:before="120" w:line="276" w:lineRule="auto"/>
        <w:ind w:left="540" w:hanging="256"/>
        <w:jc w:val="both"/>
      </w:pPr>
    </w:p>
    <w:p w:rsidR="00AF63BA" w:rsidRPr="00641E15" w:rsidRDefault="00DA3F41">
      <w:pPr>
        <w:spacing w:before="120" w:line="276" w:lineRule="auto"/>
        <w:ind w:left="539" w:hanging="255"/>
        <w:jc w:val="both"/>
      </w:pPr>
      <w:r w:rsidRPr="00641E15">
        <w:t>b) v danej oblasti nebol proti Slovenskej republike začatý postup Európskej komisie a ani konanie Súdneho dvora Európskej únie podľa článkov 258 až 260 Zmluvy o fungovaní Európskej únie,</w:t>
      </w:r>
    </w:p>
    <w:p w:rsidR="00AF63BA" w:rsidRPr="00641E15" w:rsidRDefault="00DA3F41">
      <w:pPr>
        <w:tabs>
          <w:tab w:val="left" w:pos="284"/>
        </w:tabs>
        <w:spacing w:before="120" w:line="276" w:lineRule="auto"/>
        <w:ind w:left="284"/>
        <w:jc w:val="both"/>
      </w:pPr>
      <w:r w:rsidRPr="00641E15">
        <w:t>c) smernice uvedené v  bode 3 písm. b) tejto doložky zlučiteľnosti b</w:t>
      </w:r>
      <w:r w:rsidRPr="00641E15">
        <w:t xml:space="preserve">ola úplne </w:t>
      </w:r>
      <w:r w:rsidRPr="00641E15">
        <w:tab/>
        <w:t>transponované do:</w:t>
      </w:r>
    </w:p>
    <w:p w:rsidR="00AF63BA" w:rsidRPr="00641E15" w:rsidRDefault="00DA3F41">
      <w:pPr>
        <w:numPr>
          <w:ilvl w:val="0"/>
          <w:numId w:val="6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    prvá z uvedených smerníc do: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71/1967 Zb. o správnom konaní (správny poriadok),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460/1992 Zb. Ústava Slovenskej republiky,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Národnej rady Slovenskej republiky č. 171/1993 Z. z. o Policajnom zbore,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</w:t>
      </w:r>
      <w:r w:rsidRPr="00641E15">
        <w:t>kona Národnej rady Slovenskej republiky č. 278/1993 Z. z. o správe majetku štátu,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145/1995 Z. z. o správnych poplatkoch,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575/2001 Z. z. o organizácii činnosti vlády a organizácii ústrednej štátnej </w:t>
      </w:r>
      <w:r w:rsidRPr="00641E15">
        <w:tab/>
        <w:t>správy,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514/2003 Z. z. o zodpovednosti za škodu spôsobenú pri výkone verejnej </w:t>
      </w:r>
      <w:r w:rsidRPr="00641E15">
        <w:tab/>
        <w:t>moci a o zmene niektorých zákonov,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lastRenderedPageBreak/>
        <w:t xml:space="preserve">ústavného zákona č. 357/2004 Z. z. o ochrane verejného záujmu pri výkone funkcií </w:t>
      </w:r>
      <w:r w:rsidRPr="00641E15">
        <w:tab/>
        <w:t>verejných funkcionárov,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523/2004 Z. z. o rozpočt</w:t>
      </w:r>
      <w:r w:rsidRPr="00641E15">
        <w:t xml:space="preserve">ových pravidlách verejnej správy a o zmene a </w:t>
      </w:r>
      <w:r w:rsidRPr="00641E15">
        <w:tab/>
        <w:t>doplnení niektorých zákonov,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307/2014 Z. z. o niektorých opatreniach súvisiacich s oznamovaním </w:t>
      </w:r>
      <w:r w:rsidRPr="00641E15">
        <w:tab/>
        <w:t>protispoločenskej činnosti a o zmene a doplnení niektorých zákonov,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162/2015 Z. z. Správny súd</w:t>
      </w:r>
      <w:r w:rsidRPr="00641E15">
        <w:t>ny poriadok,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55/2017 Z. z. o štátnej službe a o zmene a doplnení niektorých zákonov,</w:t>
      </w:r>
    </w:p>
    <w:p w:rsidR="00AF63BA" w:rsidRPr="00641E15" w:rsidRDefault="00DA3F41">
      <w:pPr>
        <w:numPr>
          <w:ilvl w:val="0"/>
          <w:numId w:val="8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18/2018 Z. z. o ochrane osobných údajov a o zmene a doplnení niektorých </w:t>
      </w:r>
      <w:r w:rsidRPr="00641E15">
        <w:tab/>
        <w:t xml:space="preserve">zákonov, </w:t>
      </w:r>
    </w:p>
    <w:p w:rsidR="00AF63BA" w:rsidRPr="00641E15" w:rsidRDefault="00DA3F41">
      <w:pPr>
        <w:numPr>
          <w:ilvl w:val="0"/>
          <w:numId w:val="7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    druhá z uvedených smerníc do: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    zákona č. 428/2002 Z. z. o och</w:t>
      </w:r>
      <w:r w:rsidRPr="00641E15">
        <w:t>rane osobných údajov,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610/2003 Z. z. o elektronických komunikáciách,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222/2004 Z. z. o dani z pridanej hodnoty,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90/2005 Z. z., ktorým sa mení a dopĺňa zákon č. 428/2002 Z. z. o </w:t>
      </w:r>
      <w:r w:rsidRPr="00641E15">
        <w:tab/>
        <w:t>ochrane osobných údajov v znení neskorších predpi</w:t>
      </w:r>
      <w:r w:rsidRPr="00641E15">
        <w:t>sov,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117/2006 Z. z., ktorým sa mení a dopĺňa zákon č. 610/2003 Z. z. o </w:t>
      </w:r>
      <w:r w:rsidRPr="00641E15">
        <w:tab/>
        <w:t xml:space="preserve">elektronických komunikáciách v znení neskorších predpisov a o zmene a doplnení  </w:t>
      </w:r>
      <w:r w:rsidRPr="00641E15">
        <w:tab/>
        <w:t>niektorých predpisov,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471/2009 Z. z., ktorým sa mení a dopĺňa zákon č. 222/2004 Z. </w:t>
      </w:r>
      <w:r w:rsidRPr="00641E15">
        <w:t xml:space="preserve">z. o dani z </w:t>
      </w:r>
      <w:r w:rsidRPr="00641E15">
        <w:tab/>
        <w:t>pridanej hodnoty v znení neskorších predpisov,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>zákona č. 351/2011 Z. z. o elektronických komunikáciách,</w:t>
      </w:r>
    </w:p>
    <w:p w:rsidR="00AF63BA" w:rsidRPr="00641E15" w:rsidRDefault="00DA3F41">
      <w:pPr>
        <w:numPr>
          <w:ilvl w:val="0"/>
          <w:numId w:val="9"/>
        </w:numPr>
        <w:tabs>
          <w:tab w:val="clear" w:pos="720"/>
          <w:tab w:val="left" w:pos="284"/>
        </w:tabs>
        <w:spacing w:before="120" w:line="276" w:lineRule="auto"/>
        <w:ind w:left="284" w:firstLine="0"/>
        <w:jc w:val="both"/>
      </w:pPr>
      <w:r w:rsidRPr="00641E15">
        <w:t xml:space="preserve">zákona č. 247/2015 Z. z., ktorým sa mení a dopĺňa zákon č. 351/2011 Z. z. o </w:t>
      </w:r>
      <w:r w:rsidRPr="00641E15">
        <w:tab/>
        <w:t xml:space="preserve">elektronických komunikáciách v znení neskorších predpisov a o </w:t>
      </w:r>
      <w:r w:rsidRPr="00641E15">
        <w:t xml:space="preserve">zmene a doplnení </w:t>
      </w:r>
      <w:r w:rsidRPr="00641E15">
        <w:tab/>
        <w:t>niektorých zákonov</w:t>
      </w:r>
    </w:p>
    <w:p w:rsidR="00AF63BA" w:rsidRPr="00641E15" w:rsidRDefault="00DA3F41">
      <w:pPr>
        <w:tabs>
          <w:tab w:val="left" w:pos="284"/>
        </w:tabs>
        <w:spacing w:before="120" w:line="276" w:lineRule="auto"/>
        <w:ind w:left="284"/>
        <w:jc w:val="both"/>
      </w:pPr>
      <w:r w:rsidRPr="00641E15">
        <w:t xml:space="preserve">         </w:t>
      </w:r>
    </w:p>
    <w:p w:rsidR="00AF63BA" w:rsidRPr="00641E15" w:rsidRDefault="00DA3F41">
      <w:pPr>
        <w:numPr>
          <w:ilvl w:val="0"/>
          <w:numId w:val="4"/>
        </w:numPr>
        <w:tabs>
          <w:tab w:val="left" w:pos="284"/>
          <w:tab w:val="left" w:pos="341"/>
        </w:tabs>
        <w:spacing w:before="120" w:line="276" w:lineRule="auto"/>
        <w:ind w:left="284"/>
        <w:jc w:val="both"/>
      </w:pPr>
      <w:r w:rsidRPr="00641E15">
        <w:rPr>
          <w:b/>
          <w:color w:val="000000"/>
        </w:rPr>
        <w:t>Stupeň zlučiteľnosti návrhu zákona s právom Európskej únie</w:t>
      </w:r>
    </w:p>
    <w:p w:rsidR="00AF63BA" w:rsidRPr="00641E15" w:rsidRDefault="00DA3F41">
      <w:pPr>
        <w:spacing w:before="120" w:line="276" w:lineRule="auto"/>
        <w:ind w:firstLine="284"/>
        <w:rPr>
          <w:b/>
          <w:bCs/>
          <w:i/>
          <w:iCs/>
          <w:caps/>
          <w:color w:val="000000"/>
          <w:spacing w:val="30"/>
        </w:rPr>
      </w:pPr>
      <w:r w:rsidRPr="00641E15">
        <w:t>úplný</w:t>
      </w:r>
    </w:p>
    <w:sectPr w:rsidR="00AF63BA" w:rsidRPr="00641E15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41" w:rsidRDefault="00DA3F41">
      <w:r>
        <w:separator/>
      </w:r>
    </w:p>
  </w:endnote>
  <w:endnote w:type="continuationSeparator" w:id="0">
    <w:p w:rsidR="00DA3F41" w:rsidRDefault="00DA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3BA" w:rsidRDefault="00DA3F41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TopAndBottom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F63BA" w:rsidRDefault="00DA3F4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lang w:eastAsia="sk-SK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641E15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-45.15pt;margin-top:.05pt;width:6.0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" stroked="f">
              <v:fill opacity="0"/>
              <v:textbox style="mso-fit-shape-to-text:t" inset="0,0,0,0">
                <w:txbxContent>
                  <w:p w:rsidR="00AF63BA" w:rsidRDefault="00DA3F41">
                    <w:pPr>
                      <w:pStyle w:val="Pta"/>
                    </w:pPr>
                    <w:r>
                      <w:rPr>
                        <w:rStyle w:val="slostrany"/>
                        <w:lang w:eastAsia="sk-SK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641E15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41" w:rsidRDefault="00DA3F41">
      <w:r>
        <w:separator/>
      </w:r>
    </w:p>
  </w:footnote>
  <w:footnote w:type="continuationSeparator" w:id="0">
    <w:p w:rsidR="00DA3F41" w:rsidRDefault="00DA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220"/>
    <w:multiLevelType w:val="multilevel"/>
    <w:tmpl w:val="84DC6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E3367E"/>
    <w:multiLevelType w:val="multilevel"/>
    <w:tmpl w:val="802445CE"/>
    <w:lvl w:ilvl="0"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Book Antiqua" w:hAnsi="Book Antiqua" w:cs="Times New Roman"/>
        <w:b/>
        <w:sz w:val="22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A54FF7"/>
    <w:multiLevelType w:val="multilevel"/>
    <w:tmpl w:val="FD404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3759AE"/>
    <w:multiLevelType w:val="multilevel"/>
    <w:tmpl w:val="5F50D358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hAnsi="Book Antiqua" w:cs="Times New Roman"/>
        <w:b/>
        <w:sz w:val="22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2F7E93"/>
    <w:multiLevelType w:val="multilevel"/>
    <w:tmpl w:val="47B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47223892"/>
    <w:multiLevelType w:val="multilevel"/>
    <w:tmpl w:val="EB6C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4B647856"/>
    <w:multiLevelType w:val="multilevel"/>
    <w:tmpl w:val="B10CAA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65192A83"/>
    <w:multiLevelType w:val="multilevel"/>
    <w:tmpl w:val="58FE6E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6E5A4794"/>
    <w:multiLevelType w:val="multilevel"/>
    <w:tmpl w:val="67D833F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63BA"/>
    <w:rsid w:val="00641E15"/>
    <w:rsid w:val="00AF63BA"/>
    <w:rsid w:val="00D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DBD"/>
  <w15:docId w15:val="{659F8AB2-EBC1-4FC4-9203-2A8FDA20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Courier New" w:hAnsi="Times New Roman" w:cs="Times New Roman"/>
      <w:sz w:val="24"/>
      <w:lang w:eastAsia="sk-SK" w:bidi="ar-SA"/>
    </w:rPr>
  </w:style>
  <w:style w:type="paragraph" w:styleId="Nadpis1">
    <w:name w:val="heading 1"/>
    <w:basedOn w:val="Normlny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mbria" w:hAnsi="Cambria" w:cs="Times New Roman"/>
      <w:b/>
      <w:kern w:val="2"/>
      <w:sz w:val="32"/>
    </w:rPr>
  </w:style>
  <w:style w:type="character" w:customStyle="1" w:styleId="Nadpis3Char">
    <w:name w:val="Nadpis 3 Char"/>
    <w:basedOn w:val="Predvolenpsmoodseku"/>
    <w:qFormat/>
    <w:rPr>
      <w:rFonts w:ascii="Cambria" w:hAnsi="Cambria" w:cs="Times New Roman"/>
      <w:b/>
      <w:sz w:val="26"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PtaChar">
    <w:name w:val="Päta Char"/>
    <w:basedOn w:val="Predvolenpsmoodseku"/>
    <w:qFormat/>
    <w:rPr>
      <w:rFonts w:cs="Times New Roman"/>
      <w:sz w:val="24"/>
    </w:rPr>
  </w:style>
  <w:style w:type="character" w:styleId="slostrany">
    <w:name w:val="page number"/>
    <w:basedOn w:val="Predvolenpsmoodseku"/>
    <w:qFormat/>
    <w:rPr>
      <w:rFonts w:cs="Times New Roman"/>
    </w:rPr>
  </w:style>
  <w:style w:type="character" w:customStyle="1" w:styleId="Internetovodkaz">
    <w:name w:val="Internetový odkaz"/>
    <w:basedOn w:val="Predvolenpsmoodseku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HlavikaChar">
    <w:name w:val="Hlavička Char"/>
    <w:basedOn w:val="Predvolenpsmoodseku"/>
    <w:qFormat/>
    <w:rPr>
      <w:rFonts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Book Antiqua" w:hAnsi="Book Antiqua" w:cs="Times New Roman"/>
      <w:sz w:val="22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ascii="Book Antiqua" w:hAnsi="Book Antiqua" w:cs="Times New Roman"/>
      <w:b/>
      <w:sz w:val="22"/>
    </w:rPr>
  </w:style>
  <w:style w:type="character" w:customStyle="1" w:styleId="ListLabel147">
    <w:name w:val="ListLabel 147"/>
    <w:qFormat/>
    <w:rPr>
      <w:rFonts w:ascii="Book Antiqua" w:hAnsi="Book Antiqua" w:cs="Times New Roman"/>
      <w:b/>
      <w:sz w:val="22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eastAsia="Times New Roman" w:cs="Times New Roma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Times New Roman" w:eastAsia="Courier New" w:hAnsi="Times New Roman" w:cs="Times New Roman"/>
      <w:szCs w:val="20"/>
      <w:lang w:eastAsia="sk-SK" w:bidi="ar-SA"/>
    </w:rPr>
  </w:style>
  <w:style w:type="paragraph" w:styleId="Textbubliny">
    <w:name w:val="Balloon Text"/>
    <w:basedOn w:val="Normlny"/>
    <w:qFormat/>
    <w:rPr>
      <w:rFonts w:ascii="Tahoma" w:hAnsi="Tahoma"/>
      <w:sz w:val="16"/>
      <w:szCs w:val="16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eastAsia="en-US"/>
    </w:rPr>
  </w:style>
  <w:style w:type="paragraph" w:customStyle="1" w:styleId="titulok">
    <w:name w:val="titulok"/>
    <w:basedOn w:val="Normlny"/>
    <w:qFormat/>
    <w:pPr>
      <w:spacing w:beforeAutospacing="1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qFormat/>
    <w:pPr>
      <w:spacing w:beforeAutospacing="1" w:afterAutospacing="1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lang w:eastAsia="en-US"/>
    </w:rPr>
  </w:style>
  <w:style w:type="paragraph" w:customStyle="1" w:styleId="Obsahrmca">
    <w:name w:val="Obsah rámca"/>
    <w:basedOn w:val="Normlny"/>
    <w:qFormat/>
  </w:style>
  <w:style w:type="paragraph" w:styleId="Odsekzoznamu">
    <w:name w:val="List Paragraph"/>
    <w:basedOn w:val="Norm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Tomá_ Mészáros</dc:creator>
  <dc:description/>
  <cp:lastModifiedBy>Lacová Magdaléna</cp:lastModifiedBy>
  <cp:revision>13</cp:revision>
  <cp:lastPrinted>2020-05-11T09:10:00Z</cp:lastPrinted>
  <dcterms:created xsi:type="dcterms:W3CDTF">2018-02-09T09:58:00Z</dcterms:created>
  <dcterms:modified xsi:type="dcterms:W3CDTF">2020-05-11T09:11:00Z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UVSR</vt:lpwstr>
  </property>
  <property fmtid="{D5CDD505-2E9C-101B-9397-08002B2CF9AE}" pid="3" name="Operator">
    <vt:lpwstr>Lukáč, Jozef (asistent)</vt:lpwstr>
  </property>
</Properties>
</file>