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75" w:rsidRDefault="003B6C75" w:rsidP="003B6C75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3B6C75" w:rsidRDefault="003B6C75" w:rsidP="003B6C75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3B6C75" w:rsidRDefault="003B6C75" w:rsidP="003B6C75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Pr="003B6C75">
        <w:rPr>
          <w:b/>
          <w:szCs w:val="24"/>
          <w:lang w:eastAsia="sk-SK"/>
        </w:rPr>
        <w:t>6</w:t>
      </w:r>
      <w:r>
        <w:rPr>
          <w:b/>
          <w:szCs w:val="24"/>
          <w:lang w:eastAsia="sk-SK"/>
        </w:rPr>
        <w:t>.  schôdza výboru</w:t>
      </w:r>
    </w:p>
    <w:p w:rsidR="003B6C75" w:rsidRDefault="003B6C75" w:rsidP="003B6C75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  </w:t>
      </w:r>
      <w:r>
        <w:rPr>
          <w:szCs w:val="24"/>
          <w:lang w:eastAsia="sk-SK"/>
        </w:rPr>
        <w:t>CRD-</w:t>
      </w:r>
      <w:r w:rsidR="007A5F8F" w:rsidRPr="007A5F8F">
        <w:rPr>
          <w:szCs w:val="24"/>
          <w:lang w:eastAsia="sk-SK"/>
        </w:rPr>
        <w:t>900</w:t>
      </w:r>
      <w:r>
        <w:rPr>
          <w:szCs w:val="24"/>
          <w:lang w:eastAsia="sk-SK"/>
        </w:rPr>
        <w:t>/2020</w:t>
      </w:r>
    </w:p>
    <w:p w:rsidR="003B6C75" w:rsidRDefault="003B6C75" w:rsidP="003B6C75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3B6C75" w:rsidRPr="003B6C75" w:rsidRDefault="00D12F16" w:rsidP="003B6C75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7</w:t>
      </w:r>
    </w:p>
    <w:p w:rsidR="003B6C75" w:rsidRDefault="003B6C75" w:rsidP="003B6C75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3B6C75" w:rsidRDefault="003B6C75" w:rsidP="003B6C7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3B6C75" w:rsidRDefault="003B6C75" w:rsidP="003B6C7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3B6C75" w:rsidRPr="00A505EF" w:rsidRDefault="003B6C75" w:rsidP="003B6C75">
      <w:pPr>
        <w:spacing w:after="0" w:line="240" w:lineRule="auto"/>
        <w:jc w:val="center"/>
        <w:rPr>
          <w:color w:val="FF0000"/>
          <w:szCs w:val="24"/>
          <w:lang w:eastAsia="sk-SK"/>
        </w:rPr>
      </w:pPr>
      <w:r>
        <w:rPr>
          <w:szCs w:val="24"/>
          <w:lang w:eastAsia="sk-SK"/>
        </w:rPr>
        <w:t xml:space="preserve">zo </w:t>
      </w:r>
      <w:r w:rsidR="009C01AE" w:rsidRPr="009C01AE">
        <w:rPr>
          <w:szCs w:val="24"/>
          <w:lang w:eastAsia="sk-SK"/>
        </w:rPr>
        <w:t>13</w:t>
      </w:r>
      <w:r w:rsidRPr="009C01AE">
        <w:rPr>
          <w:szCs w:val="24"/>
          <w:lang w:eastAsia="sk-SK"/>
        </w:rPr>
        <w:t>.</w:t>
      </w:r>
      <w:r w:rsidRPr="00A505EF"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mája 2020</w:t>
      </w:r>
    </w:p>
    <w:p w:rsidR="003B6C75" w:rsidRPr="00A505EF" w:rsidRDefault="003B6C75" w:rsidP="003B6C75">
      <w:pPr>
        <w:spacing w:after="0" w:line="240" w:lineRule="auto"/>
        <w:jc w:val="center"/>
        <w:rPr>
          <w:color w:val="FF0000"/>
          <w:szCs w:val="24"/>
          <w:lang w:eastAsia="sk-SK"/>
        </w:rPr>
      </w:pPr>
    </w:p>
    <w:p w:rsidR="003B6C75" w:rsidRPr="003B6C75" w:rsidRDefault="003B6C75" w:rsidP="003B6C75">
      <w:pPr>
        <w:ind w:firstLine="708"/>
        <w:jc w:val="both"/>
        <w:rPr>
          <w:sz w:val="22"/>
        </w:rPr>
      </w:pPr>
      <w:r w:rsidRPr="003B6C75">
        <w:rPr>
          <w:sz w:val="22"/>
          <w:lang w:eastAsia="sk-SK"/>
        </w:rPr>
        <w:t>Výbor Národnej rady Slovenskej republiky pre obranu a bezpečnosť prerokoval</w:t>
      </w:r>
      <w:r w:rsidRPr="003B6C75">
        <w:rPr>
          <w:rFonts w:cs="Arial"/>
          <w:noProof/>
          <w:sz w:val="22"/>
        </w:rPr>
        <w:t xml:space="preserve"> vládny návrh zákona, ktorým  sa mení a dopĺňa </w:t>
      </w:r>
      <w:r w:rsidRPr="003B6C75">
        <w:rPr>
          <w:color w:val="333333"/>
          <w:sz w:val="22"/>
        </w:rPr>
        <w:t>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</w:t>
      </w:r>
      <w:r w:rsidRPr="003B6C75">
        <w:rPr>
          <w:rFonts w:cs="Arial"/>
          <w:color w:val="FF0000"/>
          <w:sz w:val="22"/>
        </w:rPr>
        <w:t xml:space="preserve"> </w:t>
      </w:r>
      <w:r w:rsidRPr="003B6C75">
        <w:rPr>
          <w:rFonts w:cs="Arial"/>
          <w:b/>
          <w:sz w:val="22"/>
        </w:rPr>
        <w:t>(tlač 82) – druhé čítanie a</w:t>
      </w:r>
    </w:p>
    <w:p w:rsidR="003B6C75" w:rsidRDefault="003B6C75" w:rsidP="003B6C75">
      <w:pPr>
        <w:keepNext/>
        <w:spacing w:after="0" w:line="240" w:lineRule="auto"/>
        <w:ind w:firstLine="708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A. súhlasí</w:t>
      </w:r>
    </w:p>
    <w:p w:rsidR="003B6C75" w:rsidRPr="003B6C75" w:rsidRDefault="003B6C75" w:rsidP="003B6C75">
      <w:pPr>
        <w:ind w:firstLine="708"/>
        <w:jc w:val="both"/>
        <w:rPr>
          <w:sz w:val="22"/>
        </w:rPr>
      </w:pPr>
      <w:r w:rsidRPr="003B6C75">
        <w:rPr>
          <w:sz w:val="22"/>
          <w:lang w:eastAsia="sk-SK"/>
        </w:rPr>
        <w:t xml:space="preserve">    </w:t>
      </w:r>
      <w:r w:rsidRPr="003B6C75">
        <w:rPr>
          <w:bCs/>
          <w:sz w:val="22"/>
          <w:lang w:eastAsia="sk-SK"/>
        </w:rPr>
        <w:t xml:space="preserve">  s</w:t>
      </w:r>
      <w:r w:rsidRPr="003B6C75">
        <w:rPr>
          <w:bCs/>
          <w:color w:val="FF0000"/>
          <w:sz w:val="22"/>
          <w:lang w:eastAsia="sk-SK"/>
        </w:rPr>
        <w:t> </w:t>
      </w:r>
      <w:r w:rsidRPr="003B6C75">
        <w:rPr>
          <w:rFonts w:cs="Arial"/>
          <w:noProof/>
          <w:sz w:val="22"/>
        </w:rPr>
        <w:t xml:space="preserve">vládnym návrhom zákona, ktorým  sa mení a dopĺňa </w:t>
      </w:r>
      <w:r w:rsidRPr="003B6C75">
        <w:rPr>
          <w:color w:val="333333"/>
          <w:sz w:val="22"/>
        </w:rPr>
        <w:t>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</w:t>
      </w:r>
      <w:r w:rsidRPr="003B6C75">
        <w:rPr>
          <w:rFonts w:cs="Arial"/>
          <w:color w:val="FF0000"/>
          <w:sz w:val="22"/>
        </w:rPr>
        <w:t xml:space="preserve"> </w:t>
      </w:r>
      <w:r w:rsidR="002D6DD2">
        <w:rPr>
          <w:rFonts w:cs="Arial"/>
          <w:b/>
          <w:sz w:val="22"/>
        </w:rPr>
        <w:t>(tlač 82)</w:t>
      </w:r>
      <w:r w:rsidRPr="003B6C75">
        <w:rPr>
          <w:rFonts w:cs="Arial"/>
          <w:b/>
          <w:sz w:val="22"/>
        </w:rPr>
        <w:t>;</w:t>
      </w:r>
    </w:p>
    <w:p w:rsidR="003B6C75" w:rsidRDefault="003B6C75" w:rsidP="003B6C75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3B6C75" w:rsidRDefault="003B6C75" w:rsidP="003B6C75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3B6C75" w:rsidRDefault="003B6C75" w:rsidP="003B6C7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3B6C75" w:rsidRDefault="003B6C75" w:rsidP="003B6C75">
      <w:pPr>
        <w:spacing w:after="0" w:line="240" w:lineRule="auto"/>
        <w:jc w:val="both"/>
        <w:rPr>
          <w:bCs/>
          <w:szCs w:val="24"/>
          <w:lang w:eastAsia="sk-SK"/>
        </w:rPr>
      </w:pPr>
    </w:p>
    <w:p w:rsidR="003B6C75" w:rsidRPr="00802FB2" w:rsidRDefault="003B6C75" w:rsidP="003B6C75">
      <w:pPr>
        <w:ind w:firstLine="708"/>
        <w:jc w:val="both"/>
        <w:rPr>
          <w:sz w:val="22"/>
        </w:rPr>
      </w:pPr>
      <w:r>
        <w:rPr>
          <w:rFonts w:cs="Arial"/>
          <w:noProof/>
          <w:szCs w:val="24"/>
        </w:rPr>
        <w:t xml:space="preserve">     </w:t>
      </w:r>
      <w:r w:rsidRPr="003B6C75">
        <w:rPr>
          <w:rFonts w:cs="Arial"/>
          <w:noProof/>
          <w:sz w:val="22"/>
        </w:rPr>
        <w:t xml:space="preserve">vládny návrh zákona, ktorým  sa mení a dopĺňa </w:t>
      </w:r>
      <w:r w:rsidRPr="003B6C75">
        <w:rPr>
          <w:color w:val="333333"/>
          <w:sz w:val="22"/>
        </w:rPr>
        <w:t>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</w:t>
      </w:r>
      <w:r w:rsidRPr="003B6C75">
        <w:rPr>
          <w:rFonts w:cs="Arial"/>
          <w:color w:val="FF0000"/>
          <w:sz w:val="22"/>
        </w:rPr>
        <w:t xml:space="preserve"> </w:t>
      </w:r>
      <w:r w:rsidR="002D6DD2">
        <w:rPr>
          <w:rFonts w:cs="Arial"/>
          <w:b/>
          <w:sz w:val="22"/>
        </w:rPr>
        <w:t xml:space="preserve">(tlač 82) </w:t>
      </w:r>
      <w:r w:rsidRPr="004E4BF1">
        <w:rPr>
          <w:rFonts w:cs="Arial"/>
          <w:b/>
          <w:sz w:val="22"/>
        </w:rPr>
        <w:t>schváliť</w:t>
      </w:r>
      <w:r w:rsidR="00802FB2">
        <w:rPr>
          <w:rFonts w:cs="Arial"/>
          <w:sz w:val="22"/>
        </w:rPr>
        <w:t xml:space="preserve"> </w:t>
      </w:r>
      <w:r w:rsidR="00802FB2" w:rsidRPr="002F79E7">
        <w:rPr>
          <w:rFonts w:cs="Arial"/>
          <w:b/>
          <w:sz w:val="22"/>
        </w:rPr>
        <w:t>s </w:t>
      </w:r>
      <w:r w:rsidR="00802FB2" w:rsidRPr="002F79E7">
        <w:rPr>
          <w:rFonts w:cs="Arial"/>
          <w:b/>
          <w:sz w:val="22"/>
        </w:rPr>
        <w:t>pozmeňujúcimi a doplňujúcimi návrhmi</w:t>
      </w:r>
      <w:r w:rsidR="00802FB2" w:rsidRPr="00802FB2">
        <w:rPr>
          <w:rFonts w:cs="Arial"/>
          <w:sz w:val="22"/>
        </w:rPr>
        <w:t xml:space="preserve"> uvedenými v prílohe tohto uznesenia</w:t>
      </w:r>
      <w:r w:rsidRPr="00802FB2">
        <w:rPr>
          <w:rFonts w:cs="Arial"/>
          <w:sz w:val="22"/>
        </w:rPr>
        <w:t>;</w:t>
      </w:r>
      <w:bookmarkStart w:id="0" w:name="_GoBack"/>
      <w:bookmarkEnd w:id="0"/>
    </w:p>
    <w:p w:rsidR="003B6C75" w:rsidRDefault="003B6C75" w:rsidP="003B6C75">
      <w:pPr>
        <w:spacing w:after="0" w:line="240" w:lineRule="auto"/>
        <w:jc w:val="both"/>
        <w:rPr>
          <w:szCs w:val="24"/>
          <w:lang w:eastAsia="sk-SK"/>
        </w:rPr>
      </w:pPr>
    </w:p>
    <w:p w:rsidR="003B6C75" w:rsidRDefault="003B6C75" w:rsidP="003B6C75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b/>
          <w:bCs/>
          <w:sz w:val="28"/>
          <w:szCs w:val="24"/>
          <w:lang w:eastAsia="sk-SK"/>
        </w:rPr>
        <w:t>C. ukladá</w:t>
      </w:r>
    </w:p>
    <w:p w:rsidR="003B6C75" w:rsidRPr="003B6C75" w:rsidRDefault="003B6C75" w:rsidP="003B6C75">
      <w:pPr>
        <w:spacing w:after="0" w:line="240" w:lineRule="auto"/>
        <w:ind w:firstLine="708"/>
        <w:jc w:val="both"/>
        <w:rPr>
          <w:sz w:val="22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 w:rsidRPr="003B6C75">
        <w:rPr>
          <w:sz w:val="22"/>
          <w:lang w:eastAsia="sk-SK"/>
        </w:rPr>
        <w:t>predsedovi výboru</w:t>
      </w:r>
    </w:p>
    <w:p w:rsidR="003B6C75" w:rsidRPr="003B6C75" w:rsidRDefault="003B6C75" w:rsidP="003B6C75">
      <w:pPr>
        <w:spacing w:after="0" w:line="240" w:lineRule="auto"/>
        <w:ind w:firstLine="708"/>
        <w:jc w:val="both"/>
        <w:rPr>
          <w:sz w:val="22"/>
          <w:lang w:eastAsia="sk-SK"/>
        </w:rPr>
      </w:pPr>
      <w:r w:rsidRPr="003B6C75">
        <w:rPr>
          <w:sz w:val="22"/>
          <w:lang w:eastAsia="sk-SK"/>
        </w:rPr>
        <w:t xml:space="preserve">          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3B6C75" w:rsidRDefault="003B6C75" w:rsidP="003B6C75">
      <w:pPr>
        <w:spacing w:after="0" w:line="240" w:lineRule="auto"/>
        <w:jc w:val="both"/>
        <w:rPr>
          <w:szCs w:val="24"/>
          <w:lang w:eastAsia="sk-SK"/>
        </w:rPr>
      </w:pPr>
    </w:p>
    <w:p w:rsidR="003B6C75" w:rsidRDefault="003B6C75" w:rsidP="003B6C75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3B6C75" w:rsidRDefault="003B6C75" w:rsidP="003B6C75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predseda výboru</w:t>
      </w:r>
    </w:p>
    <w:p w:rsidR="003B6C75" w:rsidRPr="003B6C75" w:rsidRDefault="003B6C75" w:rsidP="003B6C75">
      <w:pPr>
        <w:spacing w:after="0" w:line="240" w:lineRule="auto"/>
        <w:rPr>
          <w:sz w:val="22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Marián </w:t>
      </w:r>
      <w:proofErr w:type="spellStart"/>
      <w:r>
        <w:rPr>
          <w:b/>
          <w:i/>
          <w:sz w:val="28"/>
          <w:szCs w:val="28"/>
          <w:lang w:eastAsia="sk-SK"/>
        </w:rPr>
        <w:t>SALOŇ</w:t>
      </w:r>
      <w:proofErr w:type="spellEnd"/>
    </w:p>
    <w:p w:rsidR="003B6C75" w:rsidRDefault="003B6C75" w:rsidP="003B6C75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3B6C75" w:rsidRDefault="003B6C75" w:rsidP="003B6C75">
      <w:pPr>
        <w:keepNext/>
        <w:spacing w:after="0" w:line="240" w:lineRule="auto"/>
        <w:outlineLvl w:val="1"/>
        <w:rPr>
          <w:sz w:val="22"/>
          <w:lang w:eastAsia="sk-SK"/>
        </w:rPr>
      </w:pPr>
    </w:p>
    <w:p w:rsidR="003B6C75" w:rsidRDefault="003B6C75" w:rsidP="003B6C75">
      <w:pPr>
        <w:keepNext/>
        <w:spacing w:after="0" w:line="240" w:lineRule="auto"/>
        <w:outlineLvl w:val="1"/>
        <w:rPr>
          <w:sz w:val="22"/>
          <w:lang w:eastAsia="sk-SK"/>
        </w:rPr>
      </w:pPr>
    </w:p>
    <w:p w:rsidR="003B6C75" w:rsidRDefault="003B6C75" w:rsidP="003B6C75">
      <w:pPr>
        <w:keepNext/>
        <w:spacing w:after="0" w:line="240" w:lineRule="auto"/>
        <w:outlineLvl w:val="1"/>
        <w:rPr>
          <w:sz w:val="22"/>
          <w:lang w:eastAsia="sk-SK"/>
        </w:rPr>
      </w:pPr>
    </w:p>
    <w:p w:rsidR="003B6C75" w:rsidRPr="003B6C75" w:rsidRDefault="003B6C75" w:rsidP="003B6C75">
      <w:pPr>
        <w:keepNext/>
        <w:spacing w:after="0" w:line="240" w:lineRule="auto"/>
        <w:outlineLvl w:val="1"/>
        <w:rPr>
          <w:b/>
          <w:sz w:val="28"/>
          <w:szCs w:val="28"/>
          <w:lang w:eastAsia="sk-SK"/>
        </w:rPr>
      </w:pPr>
      <w:r w:rsidRPr="003B6C75">
        <w:rPr>
          <w:b/>
          <w:sz w:val="28"/>
          <w:szCs w:val="28"/>
          <w:lang w:eastAsia="sk-SK"/>
        </w:rPr>
        <w:t>Igor HUS</w:t>
      </w:r>
    </w:p>
    <w:p w:rsidR="003B6C75" w:rsidRDefault="003B6C75" w:rsidP="003B6C75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3B6C75" w:rsidRDefault="003B6C75" w:rsidP="003B6C75">
      <w:pPr>
        <w:spacing w:after="0" w:line="240" w:lineRule="auto"/>
        <w:rPr>
          <w:sz w:val="22"/>
          <w:lang w:eastAsia="sk-SK"/>
        </w:rPr>
      </w:pPr>
    </w:p>
    <w:p w:rsidR="002D6DD2" w:rsidRDefault="00A520C5" w:rsidP="002D6DD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uzn.č.7</w:t>
      </w:r>
    </w:p>
    <w:p w:rsidR="002D6DD2" w:rsidRDefault="002D6DD2" w:rsidP="003B6C75">
      <w:pPr>
        <w:spacing w:after="0" w:line="240" w:lineRule="auto"/>
        <w:rPr>
          <w:sz w:val="22"/>
          <w:lang w:eastAsia="sk-SK"/>
        </w:rPr>
      </w:pPr>
    </w:p>
    <w:p w:rsidR="003B6C75" w:rsidRDefault="00802FB2" w:rsidP="002D6DD2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Pozmeňujúce a doplňujúce návrhy</w:t>
      </w:r>
    </w:p>
    <w:p w:rsidR="002D6DD2" w:rsidRPr="002D6DD2" w:rsidRDefault="002D6DD2" w:rsidP="002D6DD2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</w:p>
    <w:p w:rsidR="003B6C75" w:rsidRDefault="003B6C75" w:rsidP="003B6C75">
      <w:pPr>
        <w:spacing w:after="0" w:line="240" w:lineRule="auto"/>
        <w:rPr>
          <w:sz w:val="22"/>
          <w:lang w:eastAsia="sk-SK"/>
        </w:rPr>
      </w:pPr>
    </w:p>
    <w:p w:rsidR="002D6DD2" w:rsidRDefault="002D6DD2" w:rsidP="002D6DD2">
      <w:pPr>
        <w:jc w:val="both"/>
        <w:rPr>
          <w:rFonts w:cs="Arial"/>
          <w:b/>
          <w:sz w:val="22"/>
        </w:rPr>
      </w:pPr>
      <w:r>
        <w:rPr>
          <w:rFonts w:cs="Arial"/>
          <w:noProof/>
          <w:sz w:val="22"/>
        </w:rPr>
        <w:t xml:space="preserve">k </w:t>
      </w:r>
      <w:r w:rsidRPr="003B6C75">
        <w:rPr>
          <w:rFonts w:cs="Arial"/>
          <w:noProof/>
          <w:sz w:val="22"/>
        </w:rPr>
        <w:t>v</w:t>
      </w:r>
      <w:r>
        <w:rPr>
          <w:rFonts w:cs="Arial"/>
          <w:noProof/>
          <w:sz w:val="22"/>
        </w:rPr>
        <w:t>ládnemu</w:t>
      </w:r>
      <w:r w:rsidRPr="003B6C75">
        <w:rPr>
          <w:rFonts w:cs="Arial"/>
          <w:noProof/>
          <w:sz w:val="22"/>
        </w:rPr>
        <w:t xml:space="preserve"> návrh</w:t>
      </w:r>
      <w:r>
        <w:rPr>
          <w:rFonts w:cs="Arial"/>
          <w:noProof/>
          <w:sz w:val="22"/>
        </w:rPr>
        <w:t>u</w:t>
      </w:r>
      <w:r w:rsidRPr="003B6C75">
        <w:rPr>
          <w:rFonts w:cs="Arial"/>
          <w:noProof/>
          <w:sz w:val="22"/>
        </w:rPr>
        <w:t xml:space="preserve"> zákona, ktorým  sa mení a dopĺňa </w:t>
      </w:r>
      <w:r w:rsidRPr="002D6DD2">
        <w:rPr>
          <w:color w:val="333333"/>
          <w:szCs w:val="24"/>
        </w:rPr>
        <w:t>zákon</w:t>
      </w:r>
      <w:r w:rsidRPr="003B6C75">
        <w:rPr>
          <w:color w:val="333333"/>
          <w:sz w:val="22"/>
        </w:rPr>
        <w:t xml:space="preserve">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</w:t>
      </w:r>
      <w:r w:rsidRPr="003B6C75">
        <w:rPr>
          <w:rFonts w:cs="Arial"/>
          <w:color w:val="FF0000"/>
          <w:sz w:val="22"/>
        </w:rPr>
        <w:t xml:space="preserve"> </w:t>
      </w:r>
      <w:r w:rsidRPr="003B6C75">
        <w:rPr>
          <w:rFonts w:cs="Arial"/>
          <w:b/>
          <w:sz w:val="22"/>
        </w:rPr>
        <w:t>(tlač 82) – druhé čítanie</w:t>
      </w:r>
    </w:p>
    <w:p w:rsidR="002D6DD2" w:rsidRDefault="002D6DD2" w:rsidP="002D6DD2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___________________________________________________</w:t>
      </w:r>
      <w:r w:rsidR="00E56EA8">
        <w:rPr>
          <w:rFonts w:cs="Arial"/>
          <w:b/>
          <w:sz w:val="22"/>
        </w:rPr>
        <w:t>_______________________________</w:t>
      </w:r>
    </w:p>
    <w:p w:rsidR="00412C0E" w:rsidRDefault="00412C0E" w:rsidP="00412C0E">
      <w:pPr>
        <w:pStyle w:val="Odsekzoznamu"/>
        <w:numPr>
          <w:ilvl w:val="0"/>
          <w:numId w:val="14"/>
        </w:numPr>
        <w:spacing w:after="280"/>
        <w:ind w:right="14"/>
      </w:pPr>
      <w:r>
        <w:t>V názve zákona sa slová „mení a dopĺňa zákon č. 55/2017 Z. z. o štátnej službe a o zmene a doplnení niektorých zákonov v znení neskorších predpisov” nahrádzajú slovami „menia a dopĺňajú niektoré zákony”.</w:t>
      </w:r>
    </w:p>
    <w:p w:rsidR="00412C0E" w:rsidRDefault="00412C0E" w:rsidP="00412C0E">
      <w:pPr>
        <w:pStyle w:val="Odsekzoznamu"/>
        <w:spacing w:after="280"/>
        <w:ind w:left="4248" w:right="14"/>
      </w:pPr>
    </w:p>
    <w:p w:rsidR="00412C0E" w:rsidRDefault="00412C0E" w:rsidP="00412C0E">
      <w:pPr>
        <w:pStyle w:val="Odsekzoznamu"/>
        <w:spacing w:after="280"/>
        <w:ind w:left="4248" w:right="14"/>
      </w:pPr>
      <w:r>
        <w:t>Legislatívno-technická úprava v súvislosti s vložením nového čl. III.</w:t>
      </w:r>
    </w:p>
    <w:p w:rsidR="00412C0E" w:rsidRDefault="00412C0E" w:rsidP="00412C0E">
      <w:pPr>
        <w:pStyle w:val="Odsekzoznamu"/>
        <w:spacing w:after="280"/>
        <w:ind w:right="14"/>
      </w:pPr>
    </w:p>
    <w:p w:rsidR="00412C0E" w:rsidRDefault="00412C0E" w:rsidP="00412C0E">
      <w:pPr>
        <w:pStyle w:val="Odsekzoznamu"/>
        <w:numPr>
          <w:ilvl w:val="0"/>
          <w:numId w:val="14"/>
        </w:numPr>
        <w:spacing w:after="291"/>
        <w:ind w:right="14"/>
      </w:pPr>
      <w:r>
        <w:rPr>
          <w:szCs w:val="24"/>
        </w:rPr>
        <w:t>V čl. II sa za bod 7 vkladá nový bod 8, ktorý znie:</w:t>
      </w:r>
    </w:p>
    <w:p w:rsidR="00412C0E" w:rsidRDefault="00412C0E" w:rsidP="00412C0E">
      <w:pPr>
        <w:ind w:left="360" w:firstLine="348"/>
        <w:jc w:val="both"/>
        <w:rPr>
          <w:szCs w:val="24"/>
        </w:rPr>
      </w:pPr>
      <w:r>
        <w:rPr>
          <w:szCs w:val="24"/>
        </w:rPr>
        <w:t>„8. § 112 sa dopĺňa odsekom 10, ktorý znie:</w:t>
      </w:r>
    </w:p>
    <w:p w:rsidR="00412C0E" w:rsidRDefault="00412C0E" w:rsidP="00412C0E">
      <w:pPr>
        <w:ind w:left="709"/>
        <w:jc w:val="both"/>
        <w:rPr>
          <w:szCs w:val="24"/>
        </w:rPr>
      </w:pPr>
      <w:r>
        <w:rPr>
          <w:szCs w:val="24"/>
        </w:rPr>
        <w:t>„(10) Na štátneho zamestnanca vykonávajúceho lekársku posudkovú činnosť pri výkone štátnej správy v oblasti sociálnych vecí a rodiny a služieb zamestnanosti</w:t>
      </w:r>
      <w:r>
        <w:rPr>
          <w:szCs w:val="24"/>
          <w:vertAlign w:val="superscript"/>
        </w:rPr>
        <w:t>45a</w:t>
      </w:r>
      <w:r>
        <w:rPr>
          <w:szCs w:val="24"/>
        </w:rPr>
        <w:t>) sa nevzťahuje odsek 2 písm. a) a odsek 9 vo vzťahu k výkonu zdravotníckeho povolania na základe licencie na výkon samostatnej zdravotníckej praxe alebo na základe povolenia na prevádzkovanie zdravotníckeho zariadenia.</w:t>
      </w:r>
      <w:r>
        <w:rPr>
          <w:szCs w:val="24"/>
          <w:vertAlign w:val="superscript"/>
        </w:rPr>
        <w:t>45b</w:t>
      </w:r>
      <w:r>
        <w:rPr>
          <w:szCs w:val="24"/>
        </w:rPr>
        <w:t>)“.</w:t>
      </w:r>
    </w:p>
    <w:p w:rsidR="00412C0E" w:rsidRDefault="00412C0E" w:rsidP="00412C0E">
      <w:pPr>
        <w:ind w:left="708"/>
        <w:jc w:val="both"/>
        <w:rPr>
          <w:szCs w:val="24"/>
        </w:rPr>
      </w:pPr>
    </w:p>
    <w:p w:rsidR="00412C0E" w:rsidRDefault="00412C0E" w:rsidP="00412C0E">
      <w:pPr>
        <w:ind w:left="708"/>
        <w:jc w:val="both"/>
        <w:rPr>
          <w:szCs w:val="24"/>
        </w:rPr>
      </w:pPr>
      <w:r>
        <w:rPr>
          <w:szCs w:val="24"/>
        </w:rPr>
        <w:t>Poznámky pod čiarou k odkazom 45a a 45b znejú:</w:t>
      </w:r>
    </w:p>
    <w:p w:rsidR="00412C0E" w:rsidRDefault="00412C0E" w:rsidP="00412C0E">
      <w:pPr>
        <w:ind w:left="708"/>
        <w:jc w:val="both"/>
        <w:rPr>
          <w:szCs w:val="24"/>
        </w:rPr>
      </w:pPr>
      <w:r>
        <w:rPr>
          <w:szCs w:val="24"/>
        </w:rPr>
        <w:t>„</w:t>
      </w:r>
      <w:r>
        <w:rPr>
          <w:szCs w:val="24"/>
          <w:vertAlign w:val="superscript"/>
        </w:rPr>
        <w:t>45a</w:t>
      </w:r>
      <w:r>
        <w:rPr>
          <w:szCs w:val="24"/>
        </w:rPr>
        <w:t>) § 4 ods. 6 písm. a) prvého bodu až piateho bodu a § 5 ods. 7 písm. a) prvého bodu až piateho bodu zákona č. 453/2003 Z. z. v znení neskorších predpisov.</w:t>
      </w:r>
    </w:p>
    <w:p w:rsidR="00412C0E" w:rsidRDefault="00412C0E" w:rsidP="00412C0E">
      <w:pPr>
        <w:ind w:left="708"/>
        <w:jc w:val="both"/>
        <w:rPr>
          <w:szCs w:val="24"/>
        </w:rPr>
      </w:pPr>
      <w:r>
        <w:rPr>
          <w:szCs w:val="24"/>
          <w:vertAlign w:val="superscript"/>
        </w:rPr>
        <w:t>45b</w:t>
      </w:r>
      <w:r>
        <w:rPr>
          <w:szCs w:val="24"/>
        </w:rPr>
        <w:t>) Zákon č. 578/2004 Z. z. v znení neskorších predpisov.“.“.</w:t>
      </w:r>
    </w:p>
    <w:p w:rsidR="00412C0E" w:rsidRDefault="00412C0E" w:rsidP="00412C0E">
      <w:pPr>
        <w:ind w:left="426"/>
        <w:jc w:val="both"/>
        <w:rPr>
          <w:szCs w:val="24"/>
        </w:rPr>
      </w:pPr>
      <w:r>
        <w:rPr>
          <w:szCs w:val="24"/>
        </w:rPr>
        <w:t>Navrhovaná úprava nadobúda účinnosť dňom vyhlásenia.</w:t>
      </w:r>
    </w:p>
    <w:p w:rsidR="00412C0E" w:rsidRDefault="00412C0E" w:rsidP="00412C0E">
      <w:pPr>
        <w:ind w:left="426"/>
        <w:jc w:val="both"/>
        <w:rPr>
          <w:szCs w:val="24"/>
        </w:rPr>
      </w:pPr>
      <w:r>
        <w:rPr>
          <w:szCs w:val="24"/>
        </w:rPr>
        <w:t>Nasledujúci bod sa primerane prečísluje.</w:t>
      </w:r>
    </w:p>
    <w:p w:rsidR="00412C0E" w:rsidRDefault="00412C0E" w:rsidP="00412C0E">
      <w:pPr>
        <w:ind w:left="2832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Cieľom je umožniť štátnemu zamestnancovi, vykonávajúcemu lekársku posudkovú činnosť  pri výkone štátnej správy v oblasti sociálnych vecí a rodiny a služieb zamestnanosti (ďalej „posudkový lekár“), podnikať v rámci zdravotníckeho povolania na základe licencie na výkon samostatnej zdravotníckej praxe alebo na základe povolenia na prevádzkovanie zdravotníckeho zariadenia.</w:t>
      </w:r>
    </w:p>
    <w:p w:rsidR="00412C0E" w:rsidRDefault="00412C0E" w:rsidP="00412C0E">
      <w:pPr>
        <w:ind w:left="2832"/>
        <w:jc w:val="both"/>
        <w:rPr>
          <w:szCs w:val="24"/>
          <w:lang w:eastAsia="sk-SK"/>
        </w:rPr>
      </w:pPr>
      <w:r>
        <w:rPr>
          <w:szCs w:val="24"/>
        </w:rPr>
        <w:t xml:space="preserve"> V praxi  dochádza k situáciám kedy o výkon lekárskej posudkovej činnosti prejavujú záujem lekári, ktorí vykonávajú </w:t>
      </w:r>
      <w:r>
        <w:rPr>
          <w:szCs w:val="24"/>
        </w:rPr>
        <w:lastRenderedPageBreak/>
        <w:t xml:space="preserve">podnikateľskú činnosť, čo sa vylučuje s podmienkami prijatia do štátnej služby.  </w:t>
      </w:r>
    </w:p>
    <w:p w:rsidR="00412C0E" w:rsidRDefault="00412C0E" w:rsidP="00412C0E">
      <w:pPr>
        <w:ind w:left="360"/>
        <w:jc w:val="both"/>
        <w:rPr>
          <w:rFonts w:eastAsia="Calibri"/>
          <w:kern w:val="3"/>
          <w:szCs w:val="24"/>
        </w:rPr>
      </w:pPr>
    </w:p>
    <w:p w:rsidR="00412C0E" w:rsidRDefault="00412C0E" w:rsidP="00412C0E">
      <w:pPr>
        <w:pStyle w:val="Odsekzoznamu"/>
        <w:widowControl w:val="0"/>
        <w:numPr>
          <w:ilvl w:val="0"/>
          <w:numId w:val="14"/>
        </w:numPr>
        <w:suppressAutoHyphens/>
        <w:autoSpaceDN w:val="0"/>
        <w:spacing w:line="240" w:lineRule="auto"/>
        <w:jc w:val="both"/>
        <w:rPr>
          <w:szCs w:val="24"/>
        </w:rPr>
      </w:pPr>
      <w:r>
        <w:rPr>
          <w:szCs w:val="24"/>
        </w:rPr>
        <w:t>V čl. II bode 8 sa za § 193db vkladá § 193dc, ktorý znie:</w:t>
      </w:r>
    </w:p>
    <w:p w:rsidR="00412C0E" w:rsidRDefault="00412C0E" w:rsidP="00412C0E">
      <w:pPr>
        <w:ind w:left="360"/>
        <w:jc w:val="center"/>
        <w:rPr>
          <w:b/>
          <w:szCs w:val="24"/>
        </w:rPr>
      </w:pPr>
      <w:r>
        <w:rPr>
          <w:b/>
          <w:szCs w:val="24"/>
        </w:rPr>
        <w:t>„§ 193dc</w:t>
      </w:r>
    </w:p>
    <w:p w:rsidR="00412C0E" w:rsidRDefault="00412C0E" w:rsidP="00412C0E">
      <w:pPr>
        <w:ind w:left="708"/>
        <w:jc w:val="both"/>
        <w:rPr>
          <w:szCs w:val="24"/>
        </w:rPr>
      </w:pPr>
      <w:r>
        <w:rPr>
          <w:szCs w:val="24"/>
        </w:rPr>
        <w:t>Trvanie štátnozamestnaneckého pomeru štátneho zamestnanca vykonávajúceho lekársku posudkovú činnosť pri výkone štátnej správy v oblasti sociálnych vecí a rodiny a služieb zamestnanosti,</w:t>
      </w:r>
      <w:r>
        <w:rPr>
          <w:szCs w:val="24"/>
          <w:vertAlign w:val="superscript"/>
        </w:rPr>
        <w:t>45a</w:t>
      </w:r>
      <w:r>
        <w:rPr>
          <w:szCs w:val="24"/>
        </w:rPr>
        <w:t>) ktorý by inak skončil podľa § 82 ods. 5 alebo podľa § 180 ods. 9 druhej vety, možno opätovne predĺžiť najviac do 31. decembra 2021 dohodou o zmene štátnozamestnaneckého pomeru formou písomného dodatku k služobnej zmluve. Predĺženie štátnozamestnaneckého pomeru podľa prvej vety sa považuje za zmenu štátnozamestnaneckého pomeru podľa  § 55 ods. 1 písm. u).“.</w:t>
      </w:r>
    </w:p>
    <w:p w:rsidR="00412C0E" w:rsidRDefault="00412C0E" w:rsidP="00412C0E">
      <w:pPr>
        <w:ind w:left="360"/>
        <w:jc w:val="both"/>
        <w:rPr>
          <w:szCs w:val="24"/>
        </w:rPr>
      </w:pPr>
    </w:p>
    <w:p w:rsidR="00412C0E" w:rsidRDefault="00412C0E" w:rsidP="00412C0E">
      <w:pPr>
        <w:ind w:left="360" w:firstLine="348"/>
        <w:jc w:val="both"/>
        <w:rPr>
          <w:szCs w:val="24"/>
        </w:rPr>
      </w:pPr>
      <w:r>
        <w:rPr>
          <w:szCs w:val="24"/>
        </w:rPr>
        <w:t>Súčasne sa primerane upraví úvodná veta bodu 8.</w:t>
      </w:r>
    </w:p>
    <w:p w:rsidR="00412C0E" w:rsidRDefault="00412C0E" w:rsidP="00412C0E">
      <w:pPr>
        <w:ind w:left="360" w:firstLine="348"/>
        <w:jc w:val="both"/>
        <w:rPr>
          <w:szCs w:val="24"/>
        </w:rPr>
      </w:pPr>
      <w:r>
        <w:rPr>
          <w:szCs w:val="24"/>
        </w:rPr>
        <w:t>Navrhovaná úprava nadobúda účinnosť dňom vyhlásenia.</w:t>
      </w:r>
    </w:p>
    <w:p w:rsidR="00412C0E" w:rsidRDefault="00412C0E" w:rsidP="00412C0E">
      <w:pPr>
        <w:jc w:val="both"/>
        <w:rPr>
          <w:i/>
          <w:szCs w:val="24"/>
        </w:rPr>
      </w:pPr>
    </w:p>
    <w:p w:rsidR="00412C0E" w:rsidRDefault="00412C0E" w:rsidP="00412C0E">
      <w:pPr>
        <w:spacing w:after="200"/>
        <w:ind w:left="2832"/>
        <w:jc w:val="both"/>
        <w:rPr>
          <w:szCs w:val="24"/>
        </w:rPr>
      </w:pPr>
      <w:r>
        <w:rPr>
          <w:szCs w:val="24"/>
        </w:rPr>
        <w:t>Navrhuje sa možnosť opätovne predĺžiť trvanie štátnozamestnaneckého pomeru posudkovým lekárom, ktorým by inak skončil štátnozamestnanecký pomer, nakoľko im už bol predĺžený o 3 roky po dosiahnutí 65 roku veku, a to najviac do 31. decembra 2021. Podľa súčasného znenia zákona o štátnej službe v máji 2020 by sa z dôvodu vekového cenzu musel ukončiť štátnozamestnanecký pomer u cca 13 % posudkových lekárov, ktorým už bol štátnozamestnanecký pomer predĺžený o 3 roky po 65 roku veku. V súčasnosti je zložité zabezpečiť posudkových lekárov u ktorých pretrváva nízky záujem vykonávať lekársku posudkovú činnosť v štátnozamestnaneckom pomere z dôvodu vysokej náročnosti posudkovej činnosti ako aj ich nižšieho finančného ohodnotenia v porovnaní napr. s komerčnou sférou / poisťovňami ako aj z dôvodu legislatívnych obmedzení výkonu štátnej služby (zákaz podnikania).</w:t>
      </w:r>
    </w:p>
    <w:p w:rsidR="00412C0E" w:rsidRDefault="00412C0E" w:rsidP="00412C0E">
      <w:pPr>
        <w:spacing w:after="200"/>
        <w:ind w:left="2832"/>
        <w:jc w:val="both"/>
        <w:rPr>
          <w:szCs w:val="24"/>
        </w:rPr>
      </w:pPr>
      <w:r>
        <w:rPr>
          <w:szCs w:val="24"/>
        </w:rPr>
        <w:t>Práve v období krízovej situácie spôsobenej ochorením Covid-19 je potrebné stabilizovať posudkových lekárov, nakoľko lekárska posudková činnosť sa vykonáva na úsekoch štátnych sociálnych dávok, pomoci v hmotnej núdzi, kompenzácií sociálnych dôsledkov ťažkého zdravotného postihnutia, sociálnoprávnej ochrany detí a sociálnej kurately a služieb zamestnanosti. Počet žiadateľov v uvedených oblastiach neustále stúpa a stúpajúci trend sa dá očakávať najmä po skončení krízovej situácie.</w:t>
      </w:r>
    </w:p>
    <w:p w:rsidR="00412C0E" w:rsidRDefault="00412C0E" w:rsidP="00412C0E">
      <w:pPr>
        <w:spacing w:after="200"/>
        <w:ind w:left="2832"/>
        <w:jc w:val="both"/>
        <w:rPr>
          <w:szCs w:val="24"/>
        </w:rPr>
      </w:pPr>
      <w:r>
        <w:rPr>
          <w:szCs w:val="24"/>
        </w:rPr>
        <w:lastRenderedPageBreak/>
        <w:t>V Programovom vyhlásení vlády SR na obdobie rokov 2020-2024 je záväzok vytvoriť jednotný systém posudkovej činnosti. Splnenie tejto úlohy, na ktorej budú participovať aj posudkoví lekári, bude vyžadovať minimálne 1 ročné obdobie. Z tohto dôvodu sa navrhuje možnosť opätovného predĺženia štátnozamestnaneckého pomeru posudkovým lekárom do 31. decembra 2021.</w:t>
      </w:r>
    </w:p>
    <w:p w:rsidR="00412C0E" w:rsidRDefault="00412C0E" w:rsidP="00412C0E">
      <w:pPr>
        <w:pStyle w:val="Odsekzoznamu"/>
        <w:numPr>
          <w:ilvl w:val="0"/>
          <w:numId w:val="14"/>
        </w:numPr>
        <w:spacing w:after="291"/>
        <w:ind w:right="14"/>
      </w:pPr>
      <w:r>
        <w:t>Za doterajší článok II sa vkladá nový článok III, ktorý znie:</w:t>
      </w:r>
    </w:p>
    <w:p w:rsidR="00412C0E" w:rsidRDefault="00412C0E" w:rsidP="00412C0E">
      <w:pPr>
        <w:pStyle w:val="Odsekzoznamu"/>
      </w:pPr>
    </w:p>
    <w:p w:rsidR="00412C0E" w:rsidRDefault="00412C0E" w:rsidP="00412C0E">
      <w:pPr>
        <w:pStyle w:val="Nadpis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„čl. III</w:t>
      </w:r>
    </w:p>
    <w:p w:rsidR="00412C0E" w:rsidRDefault="00412C0E" w:rsidP="00412C0E">
      <w:pPr>
        <w:spacing w:after="253"/>
        <w:ind w:left="708" w:right="14" w:firstLine="701"/>
      </w:pPr>
      <w:r>
        <w:t>Zákon č. 35/2019 Z. z. o finančnej správe a o zmene a doplnení niektorých zákonov v znení zákona č. 319/2019 Z. z. sa mení a dopĺňa takto:</w:t>
      </w:r>
    </w:p>
    <w:p w:rsidR="00412C0E" w:rsidRDefault="00412C0E" w:rsidP="00412C0E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V § 105 odsek 5 znie:</w:t>
      </w:r>
    </w:p>
    <w:p w:rsidR="00412C0E" w:rsidRDefault="00412C0E" w:rsidP="00412C0E">
      <w:pPr>
        <w:pStyle w:val="Odsekzoznamu"/>
        <w:spacing w:after="0" w:line="240" w:lineRule="auto"/>
        <w:ind w:left="710"/>
        <w:jc w:val="both"/>
        <w:rPr>
          <w:szCs w:val="24"/>
        </w:rPr>
      </w:pPr>
      <w:r>
        <w:rPr>
          <w:szCs w:val="24"/>
        </w:rPr>
        <w:t>„(5) Riaditeľa daňového úradu, riaditeľa colného úradu, riaditeľa Kriminálneho úradu finančnej správy, námestníka riaditeľa daňového úradu, námestníka riaditeľa colného úradu a námestníka riaditeľa Kriminálneho úradu finančnej správy ustanovuje do funkcie a odvoláva z funkcie prezident; z funkcie ich možno odvolať aj bez uvedenia dôvodu.“.</w:t>
      </w:r>
    </w:p>
    <w:p w:rsidR="00412C0E" w:rsidRDefault="00412C0E" w:rsidP="00412C0E">
      <w:pPr>
        <w:spacing w:after="36" w:line="216" w:lineRule="auto"/>
        <w:ind w:left="1411" w:right="14"/>
        <w:jc w:val="both"/>
      </w:pPr>
    </w:p>
    <w:p w:rsidR="00412C0E" w:rsidRDefault="00412C0E" w:rsidP="00412C0E">
      <w:pPr>
        <w:numPr>
          <w:ilvl w:val="0"/>
          <w:numId w:val="15"/>
        </w:numPr>
        <w:spacing w:after="36" w:line="216" w:lineRule="auto"/>
        <w:ind w:right="14" w:firstLine="701"/>
        <w:jc w:val="both"/>
      </w:pPr>
      <w:r>
        <w:t>V § 105 ods. 6 sa na konci pripája táto veta:</w:t>
      </w:r>
    </w:p>
    <w:p w:rsidR="00412C0E" w:rsidRDefault="00412C0E" w:rsidP="00412C0E">
      <w:pPr>
        <w:spacing w:after="256"/>
        <w:ind w:left="708" w:right="14"/>
      </w:pPr>
      <w:r>
        <w:t>„Generálneho riaditeľa sekcie môže prezident odvolať' z funkcie aj bez uvedenia dôvodu.”.</w:t>
      </w:r>
    </w:p>
    <w:p w:rsidR="00412C0E" w:rsidRDefault="00412C0E" w:rsidP="00412C0E">
      <w:pPr>
        <w:numPr>
          <w:ilvl w:val="0"/>
          <w:numId w:val="15"/>
        </w:numPr>
        <w:spacing w:after="517" w:line="216" w:lineRule="auto"/>
        <w:ind w:right="14" w:firstLine="701"/>
        <w:jc w:val="both"/>
      </w:pPr>
      <w:r>
        <w:t>V § 107 ods. 1 písm. h) a § 115 ods. 1 písm. g) sa slová „§ 105 ods. 4” nahrádzajú slovami „§ 105 ods. 4, 5 alebo ods. 6”.</w:t>
      </w:r>
    </w:p>
    <w:p w:rsidR="00412C0E" w:rsidRDefault="00412C0E" w:rsidP="00412C0E">
      <w:pPr>
        <w:spacing w:after="0" w:line="228" w:lineRule="auto"/>
        <w:ind w:left="3842"/>
      </w:pPr>
      <w:r>
        <w:t xml:space="preserve">Platný zákon č. 35/2019 Z. z. o finančnej správe zakotvuje inštitút odvolania z riadiacej funkcie bez uvedenia dôvodu. Týmto návrhom sa rozširuje jeho možné uplatnenie tak, že sa popri oprávnení ministra odvolávať bez uvedenia dôvodu prezidenta </w:t>
      </w:r>
      <w:proofErr w:type="spellStart"/>
      <w:r>
        <w:t>FS</w:t>
      </w:r>
      <w:proofErr w:type="spellEnd"/>
      <w:r>
        <w:t xml:space="preserve"> a viceprezidenta </w:t>
      </w:r>
      <w:proofErr w:type="spellStart"/>
      <w:r>
        <w:t>FS</w:t>
      </w:r>
      <w:proofErr w:type="spellEnd"/>
      <w:r>
        <w:t xml:space="preserve"> zakotvuje možnosť' odvolať' bez uvedenia dôvodu aj riaditeľa </w:t>
      </w:r>
      <w:proofErr w:type="spellStart"/>
      <w:r>
        <w:t>KÚFS</w:t>
      </w:r>
      <w:proofErr w:type="spellEnd"/>
      <w:r>
        <w:t xml:space="preserve"> (právomoc využiť takúto zákonnú možnosť budú mat' minister aj prezident </w:t>
      </w:r>
      <w:proofErr w:type="spellStart"/>
      <w:r>
        <w:t>FS</w:t>
      </w:r>
      <w:proofErr w:type="spellEnd"/>
      <w:r>
        <w:t xml:space="preserve">) a riaditeľa daňového úradu, riaditeľa colného úradu a generálneho riaditeľa sekcie </w:t>
      </w:r>
      <w:proofErr w:type="spellStart"/>
      <w:r>
        <w:t>FR</w:t>
      </w:r>
      <w:proofErr w:type="spellEnd"/>
      <w:r>
        <w:t xml:space="preserve"> SR (právomoc odvolať bez uvedenia dôvodu bude mať prezident </w:t>
      </w:r>
      <w:proofErr w:type="spellStart"/>
      <w:r>
        <w:t>FS</w:t>
      </w:r>
      <w:proofErr w:type="spellEnd"/>
      <w:r>
        <w:t xml:space="preserve">). Zároveň si náležite upravujú ustanovenia, ktoré vecne a systematicky nadväzujú na takéto odvolanie. </w:t>
      </w:r>
    </w:p>
    <w:p w:rsidR="00412C0E" w:rsidRDefault="00412C0E" w:rsidP="00412C0E">
      <w:pPr>
        <w:pStyle w:val="Odsekzoznamu"/>
      </w:pPr>
    </w:p>
    <w:p w:rsidR="00412C0E" w:rsidRDefault="00412C0E" w:rsidP="00412C0E">
      <w:pPr>
        <w:ind w:firstLine="708"/>
      </w:pPr>
      <w:r>
        <w:t xml:space="preserve">Doterajší článok III sa označuje ako článok IV. </w:t>
      </w:r>
    </w:p>
    <w:p w:rsidR="00412C0E" w:rsidRDefault="00412C0E" w:rsidP="00412C0E">
      <w:pPr>
        <w:ind w:firstLine="708"/>
      </w:pPr>
      <w:r>
        <w:t xml:space="preserve">Navrhované zmeny nadobúdajú účinnosť dňom vyhlásenia. </w:t>
      </w:r>
    </w:p>
    <w:p w:rsidR="00412C0E" w:rsidRDefault="00412C0E" w:rsidP="00412C0E">
      <w:pPr>
        <w:pStyle w:val="Odsekzoznamu"/>
      </w:pPr>
    </w:p>
    <w:p w:rsidR="00412C0E" w:rsidRDefault="00412C0E" w:rsidP="00412C0E"/>
    <w:p w:rsidR="002D6DD2" w:rsidRDefault="002D6DD2" w:rsidP="002D6DD2">
      <w:pPr>
        <w:jc w:val="both"/>
        <w:rPr>
          <w:rFonts w:cs="Arial"/>
          <w:b/>
          <w:sz w:val="22"/>
        </w:rPr>
      </w:pPr>
    </w:p>
    <w:sectPr w:rsidR="002D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C28"/>
    <w:multiLevelType w:val="hybridMultilevel"/>
    <w:tmpl w:val="CB0AF5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BA1"/>
    <w:multiLevelType w:val="hybridMultilevel"/>
    <w:tmpl w:val="53CA04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537F"/>
    <w:multiLevelType w:val="hybridMultilevel"/>
    <w:tmpl w:val="CC603438"/>
    <w:lvl w:ilvl="0" w:tplc="041B000F">
      <w:start w:val="1"/>
      <w:numFmt w:val="decimal"/>
      <w:lvlText w:val="%1."/>
      <w:lvlJc w:val="left"/>
      <w:pPr>
        <w:ind w:left="734" w:hanging="360"/>
      </w:pPr>
    </w:lvl>
    <w:lvl w:ilvl="1" w:tplc="041B0019" w:tentative="1">
      <w:start w:val="1"/>
      <w:numFmt w:val="lowerLetter"/>
      <w:lvlText w:val="%2."/>
      <w:lvlJc w:val="left"/>
      <w:pPr>
        <w:ind w:left="1454" w:hanging="360"/>
      </w:pPr>
    </w:lvl>
    <w:lvl w:ilvl="2" w:tplc="041B001B" w:tentative="1">
      <w:start w:val="1"/>
      <w:numFmt w:val="lowerRoman"/>
      <w:lvlText w:val="%3."/>
      <w:lvlJc w:val="right"/>
      <w:pPr>
        <w:ind w:left="2174" w:hanging="180"/>
      </w:pPr>
    </w:lvl>
    <w:lvl w:ilvl="3" w:tplc="041B000F" w:tentative="1">
      <w:start w:val="1"/>
      <w:numFmt w:val="decimal"/>
      <w:lvlText w:val="%4."/>
      <w:lvlJc w:val="left"/>
      <w:pPr>
        <w:ind w:left="2894" w:hanging="360"/>
      </w:pPr>
    </w:lvl>
    <w:lvl w:ilvl="4" w:tplc="041B0019" w:tentative="1">
      <w:start w:val="1"/>
      <w:numFmt w:val="lowerLetter"/>
      <w:lvlText w:val="%5."/>
      <w:lvlJc w:val="left"/>
      <w:pPr>
        <w:ind w:left="3614" w:hanging="360"/>
      </w:pPr>
    </w:lvl>
    <w:lvl w:ilvl="5" w:tplc="041B001B" w:tentative="1">
      <w:start w:val="1"/>
      <w:numFmt w:val="lowerRoman"/>
      <w:lvlText w:val="%6."/>
      <w:lvlJc w:val="right"/>
      <w:pPr>
        <w:ind w:left="4334" w:hanging="180"/>
      </w:pPr>
    </w:lvl>
    <w:lvl w:ilvl="6" w:tplc="041B000F" w:tentative="1">
      <w:start w:val="1"/>
      <w:numFmt w:val="decimal"/>
      <w:lvlText w:val="%7."/>
      <w:lvlJc w:val="left"/>
      <w:pPr>
        <w:ind w:left="5054" w:hanging="360"/>
      </w:pPr>
    </w:lvl>
    <w:lvl w:ilvl="7" w:tplc="041B0019" w:tentative="1">
      <w:start w:val="1"/>
      <w:numFmt w:val="lowerLetter"/>
      <w:lvlText w:val="%8."/>
      <w:lvlJc w:val="left"/>
      <w:pPr>
        <w:ind w:left="5774" w:hanging="360"/>
      </w:pPr>
    </w:lvl>
    <w:lvl w:ilvl="8" w:tplc="041B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6D937B6"/>
    <w:multiLevelType w:val="hybridMultilevel"/>
    <w:tmpl w:val="12300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4321"/>
    <w:multiLevelType w:val="hybridMultilevel"/>
    <w:tmpl w:val="176870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C3622"/>
    <w:multiLevelType w:val="hybridMultilevel"/>
    <w:tmpl w:val="6AC8EA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482F"/>
    <w:multiLevelType w:val="hybridMultilevel"/>
    <w:tmpl w:val="84F4E616"/>
    <w:lvl w:ilvl="0" w:tplc="5EB6C0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E32D2D"/>
    <w:multiLevelType w:val="hybridMultilevel"/>
    <w:tmpl w:val="A79225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42FA1"/>
    <w:multiLevelType w:val="hybridMultilevel"/>
    <w:tmpl w:val="D2D0F8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97F07"/>
    <w:multiLevelType w:val="hybridMultilevel"/>
    <w:tmpl w:val="CC5EDEEE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610B48"/>
    <w:multiLevelType w:val="hybridMultilevel"/>
    <w:tmpl w:val="0952D9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724A8"/>
    <w:multiLevelType w:val="hybridMultilevel"/>
    <w:tmpl w:val="3A8EBF78"/>
    <w:lvl w:ilvl="0" w:tplc="1206C19A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780260">
      <w:start w:val="1"/>
      <w:numFmt w:val="lowerLetter"/>
      <w:lvlText w:val="%2"/>
      <w:lvlJc w:val="left"/>
      <w:pPr>
        <w:ind w:left="1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144CC58">
      <w:start w:val="1"/>
      <w:numFmt w:val="lowerRoman"/>
      <w:lvlText w:val="%3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0522A72">
      <w:start w:val="1"/>
      <w:numFmt w:val="decimal"/>
      <w:lvlText w:val="%4"/>
      <w:lvlJc w:val="left"/>
      <w:pPr>
        <w:ind w:left="3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5E6842C">
      <w:start w:val="1"/>
      <w:numFmt w:val="lowerLetter"/>
      <w:lvlText w:val="%5"/>
      <w:lvlJc w:val="left"/>
      <w:pPr>
        <w:ind w:left="3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51C1AC8">
      <w:start w:val="1"/>
      <w:numFmt w:val="lowerRoman"/>
      <w:lvlText w:val="%6"/>
      <w:lvlJc w:val="left"/>
      <w:pPr>
        <w:ind w:left="4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2825364">
      <w:start w:val="1"/>
      <w:numFmt w:val="decimal"/>
      <w:lvlText w:val="%7"/>
      <w:lvlJc w:val="left"/>
      <w:pPr>
        <w:ind w:left="5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27AC4AA">
      <w:start w:val="1"/>
      <w:numFmt w:val="lowerLetter"/>
      <w:lvlText w:val="%8"/>
      <w:lvlJc w:val="left"/>
      <w:pPr>
        <w:ind w:left="6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3A21A76">
      <w:start w:val="1"/>
      <w:numFmt w:val="lowerRoman"/>
      <w:lvlText w:val="%9"/>
      <w:lvlJc w:val="left"/>
      <w:pPr>
        <w:ind w:left="6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3861B82"/>
    <w:multiLevelType w:val="hybridMultilevel"/>
    <w:tmpl w:val="22465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44311"/>
    <w:multiLevelType w:val="hybridMultilevel"/>
    <w:tmpl w:val="39FCEE1E"/>
    <w:lvl w:ilvl="0" w:tplc="90C6841A">
      <w:start w:val="1"/>
      <w:numFmt w:val="decimal"/>
      <w:lvlText w:val="%1."/>
      <w:lvlJc w:val="left"/>
      <w:pPr>
        <w:ind w:left="1771" w:hanging="360"/>
      </w:pPr>
    </w:lvl>
    <w:lvl w:ilvl="1" w:tplc="041B0019">
      <w:start w:val="1"/>
      <w:numFmt w:val="lowerLetter"/>
      <w:lvlText w:val="%2."/>
      <w:lvlJc w:val="left"/>
      <w:pPr>
        <w:ind w:left="2491" w:hanging="360"/>
      </w:pPr>
    </w:lvl>
    <w:lvl w:ilvl="2" w:tplc="041B001B">
      <w:start w:val="1"/>
      <w:numFmt w:val="lowerRoman"/>
      <w:lvlText w:val="%3."/>
      <w:lvlJc w:val="right"/>
      <w:pPr>
        <w:ind w:left="3211" w:hanging="180"/>
      </w:pPr>
    </w:lvl>
    <w:lvl w:ilvl="3" w:tplc="041B000F">
      <w:start w:val="1"/>
      <w:numFmt w:val="decimal"/>
      <w:lvlText w:val="%4."/>
      <w:lvlJc w:val="left"/>
      <w:pPr>
        <w:ind w:left="3931" w:hanging="360"/>
      </w:pPr>
    </w:lvl>
    <w:lvl w:ilvl="4" w:tplc="041B0019">
      <w:start w:val="1"/>
      <w:numFmt w:val="lowerLetter"/>
      <w:lvlText w:val="%5."/>
      <w:lvlJc w:val="left"/>
      <w:pPr>
        <w:ind w:left="4651" w:hanging="360"/>
      </w:pPr>
    </w:lvl>
    <w:lvl w:ilvl="5" w:tplc="041B001B">
      <w:start w:val="1"/>
      <w:numFmt w:val="lowerRoman"/>
      <w:lvlText w:val="%6."/>
      <w:lvlJc w:val="right"/>
      <w:pPr>
        <w:ind w:left="5371" w:hanging="180"/>
      </w:pPr>
    </w:lvl>
    <w:lvl w:ilvl="6" w:tplc="041B000F">
      <w:start w:val="1"/>
      <w:numFmt w:val="decimal"/>
      <w:lvlText w:val="%7."/>
      <w:lvlJc w:val="left"/>
      <w:pPr>
        <w:ind w:left="6091" w:hanging="360"/>
      </w:pPr>
    </w:lvl>
    <w:lvl w:ilvl="7" w:tplc="041B0019">
      <w:start w:val="1"/>
      <w:numFmt w:val="lowerLetter"/>
      <w:lvlText w:val="%8."/>
      <w:lvlJc w:val="left"/>
      <w:pPr>
        <w:ind w:left="6811" w:hanging="360"/>
      </w:pPr>
    </w:lvl>
    <w:lvl w:ilvl="8" w:tplc="041B001B">
      <w:start w:val="1"/>
      <w:numFmt w:val="lowerRoman"/>
      <w:lvlText w:val="%9."/>
      <w:lvlJc w:val="right"/>
      <w:pPr>
        <w:ind w:left="7531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75"/>
    <w:rsid w:val="00021395"/>
    <w:rsid w:val="001136CF"/>
    <w:rsid w:val="002D6DD2"/>
    <w:rsid w:val="002F79E7"/>
    <w:rsid w:val="003B6C75"/>
    <w:rsid w:val="00412C0E"/>
    <w:rsid w:val="004E4BF1"/>
    <w:rsid w:val="007A5F8F"/>
    <w:rsid w:val="007F51A4"/>
    <w:rsid w:val="00802FB2"/>
    <w:rsid w:val="0085413C"/>
    <w:rsid w:val="009C01AE"/>
    <w:rsid w:val="00A51CD7"/>
    <w:rsid w:val="00A520C5"/>
    <w:rsid w:val="00D12F16"/>
    <w:rsid w:val="00E17FB5"/>
    <w:rsid w:val="00E56EA8"/>
    <w:rsid w:val="00F5389F"/>
    <w:rsid w:val="00F76A80"/>
    <w:rsid w:val="00F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6297"/>
  <w15:chartTrackingRefBased/>
  <w15:docId w15:val="{D1D78EC9-1634-4C3D-AA4E-A69CC4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6C7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next w:val="Normlny"/>
    <w:link w:val="Nadpis1Char"/>
    <w:uiPriority w:val="9"/>
    <w:qFormat/>
    <w:rsid w:val="00F5389F"/>
    <w:pPr>
      <w:keepNext/>
      <w:keepLines/>
      <w:spacing w:after="117" w:line="254" w:lineRule="auto"/>
      <w:ind w:right="19"/>
      <w:jc w:val="center"/>
      <w:outlineLvl w:val="0"/>
    </w:pPr>
    <w:rPr>
      <w:rFonts w:ascii="Calibri" w:eastAsia="Calibri" w:hAnsi="Calibri" w:cs="Calibri"/>
      <w:color w:val="000000"/>
      <w:sz w:val="3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6C7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5389F"/>
    <w:rPr>
      <w:rFonts w:ascii="Calibri" w:eastAsia="Calibri" w:hAnsi="Calibri" w:cs="Calibri"/>
      <w:color w:val="000000"/>
      <w:sz w:val="3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19</cp:revision>
  <dcterms:created xsi:type="dcterms:W3CDTF">2020-05-04T06:54:00Z</dcterms:created>
  <dcterms:modified xsi:type="dcterms:W3CDTF">2020-05-13T05:13:00Z</dcterms:modified>
</cp:coreProperties>
</file>